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3AE5D" w14:textId="77777777" w:rsidR="00A77B3E" w:rsidRDefault="00882E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1894D0B9" w14:textId="77777777" w:rsidR="00A77B3E" w:rsidRDefault="00882E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60730</w:t>
      </w:r>
    </w:p>
    <w:p w14:paraId="2017FFC2" w14:textId="77777777" w:rsidR="00A77B3E" w:rsidRDefault="00882E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BB71F1" w14:textId="77777777" w:rsidR="00A77B3E" w:rsidRDefault="00A77B3E">
      <w:pPr>
        <w:spacing w:line="360" w:lineRule="auto"/>
        <w:jc w:val="both"/>
      </w:pPr>
    </w:p>
    <w:p w14:paraId="590F1ACB" w14:textId="77777777" w:rsidR="00A77B3E" w:rsidRDefault="00882E46">
      <w:pPr>
        <w:spacing w:line="360" w:lineRule="auto"/>
        <w:jc w:val="both"/>
      </w:pPr>
      <w:r>
        <w:rPr>
          <w:rFonts w:ascii="Book Antiqua" w:eastAsia="Book Antiqua" w:hAnsi="Book Antiqua" w:cs="Book Antiqua"/>
          <w:b/>
          <w:i/>
          <w:color w:val="000000"/>
        </w:rPr>
        <w:t>Retrospective Study</w:t>
      </w:r>
    </w:p>
    <w:p w14:paraId="3383BB55" w14:textId="77777777" w:rsidR="00A77B3E" w:rsidRDefault="00882E46">
      <w:pPr>
        <w:spacing w:line="360" w:lineRule="auto"/>
        <w:jc w:val="both"/>
      </w:pPr>
      <w:r>
        <w:rPr>
          <w:rFonts w:ascii="Book Antiqua" w:eastAsia="Book Antiqua" w:hAnsi="Book Antiqua" w:cs="Book Antiqua"/>
          <w:b/>
          <w:bCs/>
          <w:color w:val="000000"/>
        </w:rPr>
        <w:t>Functional transition: Inconsistently parallel to the increase in future liver remnant volume after preoperative portal vein embolization</w:t>
      </w:r>
    </w:p>
    <w:p w14:paraId="5FB680B2" w14:textId="77777777" w:rsidR="00A77B3E" w:rsidRDefault="00A77B3E">
      <w:pPr>
        <w:spacing w:line="360" w:lineRule="auto"/>
        <w:jc w:val="both"/>
      </w:pPr>
    </w:p>
    <w:p w14:paraId="77741E2D" w14:textId="2BD1E12A" w:rsidR="00A77B3E" w:rsidRDefault="00A02FEF">
      <w:pPr>
        <w:spacing w:line="360" w:lineRule="auto"/>
        <w:jc w:val="both"/>
      </w:pPr>
      <w:r>
        <w:rPr>
          <w:rFonts w:ascii="Book Antiqua" w:eastAsia="Book Antiqua" w:hAnsi="Book Antiqua" w:cs="Book Antiqua"/>
          <w:color w:val="000000"/>
        </w:rPr>
        <w:t xml:space="preserve">Tsuruga Y </w:t>
      </w:r>
      <w:r w:rsidRPr="00CF59C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82E46">
        <w:rPr>
          <w:rFonts w:ascii="Book Antiqua" w:eastAsia="Book Antiqua" w:hAnsi="Book Antiqua" w:cs="Book Antiqua"/>
          <w:color w:val="000000"/>
        </w:rPr>
        <w:t xml:space="preserve">Functional transition after </w:t>
      </w:r>
      <w:r>
        <w:rPr>
          <w:rFonts w:ascii="Book Antiqua" w:eastAsia="Book Antiqua" w:hAnsi="Book Antiqua" w:cs="Book Antiqua"/>
          <w:color w:val="000000"/>
        </w:rPr>
        <w:t>PVE</w:t>
      </w:r>
    </w:p>
    <w:p w14:paraId="3CB6ABAB" w14:textId="77777777" w:rsidR="00A77B3E" w:rsidRDefault="00A77B3E">
      <w:pPr>
        <w:spacing w:line="360" w:lineRule="auto"/>
        <w:jc w:val="both"/>
      </w:pPr>
    </w:p>
    <w:p w14:paraId="46E49AC2" w14:textId="77777777" w:rsidR="00A77B3E" w:rsidRDefault="00882E46">
      <w:pPr>
        <w:spacing w:line="360" w:lineRule="auto"/>
        <w:jc w:val="both"/>
      </w:pPr>
      <w:r>
        <w:rPr>
          <w:rFonts w:ascii="Book Antiqua" w:eastAsia="Book Antiqua" w:hAnsi="Book Antiqua" w:cs="Book Antiqua"/>
          <w:color w:val="000000"/>
        </w:rPr>
        <w:t>Yosuke Tsuruga, Toshiya Kamiyama, Hirofumi Kamachi, Tatsuya Orimo, Shingo Shimada, Akihisa Nagatsu, Yoh Asahi, Yuzuru Sakamoto, Tatsuhiko Kakisaka, Akinobu Taketomi</w:t>
      </w:r>
    </w:p>
    <w:p w14:paraId="4B11E3EF" w14:textId="77777777" w:rsidR="00A77B3E" w:rsidRDefault="00A77B3E">
      <w:pPr>
        <w:spacing w:line="360" w:lineRule="auto"/>
        <w:jc w:val="both"/>
      </w:pPr>
    </w:p>
    <w:p w14:paraId="08623167" w14:textId="77777777" w:rsidR="00A77B3E" w:rsidRDefault="00882E46">
      <w:pPr>
        <w:spacing w:line="360" w:lineRule="auto"/>
        <w:jc w:val="both"/>
      </w:pPr>
      <w:r>
        <w:rPr>
          <w:rFonts w:ascii="Book Antiqua" w:eastAsia="Book Antiqua" w:hAnsi="Book Antiqua" w:cs="Book Antiqua"/>
          <w:b/>
          <w:bCs/>
          <w:color w:val="000000"/>
        </w:rPr>
        <w:t xml:space="preserve">Yosuke Tsuruga, Toshiya Kamiyama, Hirofumi Kamachi, Tatsuya Orimo, Shingo Shimada, Akihisa Nagatsu, Yoh Asahi, Yuzuru Sakamoto, Tatsuhiko Kakisaka, Akinobu Taketomi, </w:t>
      </w:r>
      <w:r>
        <w:rPr>
          <w:rFonts w:ascii="Book Antiqua" w:eastAsia="Book Antiqua" w:hAnsi="Book Antiqua" w:cs="Book Antiqua"/>
          <w:color w:val="000000"/>
        </w:rPr>
        <w:t>Department of Gastroenterological Surgery I, Hokkaido University Graduate School of Medicine, Sapporo 060-8638, Japan</w:t>
      </w:r>
    </w:p>
    <w:p w14:paraId="3A0DED46" w14:textId="77777777" w:rsidR="00A77B3E" w:rsidRDefault="00A77B3E">
      <w:pPr>
        <w:spacing w:line="360" w:lineRule="auto"/>
        <w:jc w:val="both"/>
      </w:pPr>
    </w:p>
    <w:p w14:paraId="43545A64" w14:textId="2A7C31AE" w:rsidR="00A77B3E" w:rsidRDefault="00882E4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Tsuruga Y, Kamiyama T and Kamiachi H designed the research study; Tsuruga Y, Kakisaka T, Orimo T, Shimada S, Nagatsu A, Asahi Y and Sakamoto </w:t>
      </w:r>
      <w:r w:rsidR="00A02FEF">
        <w:rPr>
          <w:rFonts w:ascii="Book Antiqua" w:eastAsia="Book Antiqua" w:hAnsi="Book Antiqua" w:cs="Book Antiqua"/>
          <w:color w:val="000000"/>
        </w:rPr>
        <w:t xml:space="preserve">Y </w:t>
      </w:r>
      <w:r>
        <w:rPr>
          <w:rFonts w:ascii="Book Antiqua" w:eastAsia="Book Antiqua" w:hAnsi="Book Antiqua" w:cs="Book Antiqua"/>
          <w:color w:val="000000"/>
        </w:rPr>
        <w:t>gave substantial contributions to acquisition of data</w:t>
      </w:r>
      <w:r w:rsidR="00A02FEF">
        <w:rPr>
          <w:rFonts w:ascii="Book Antiqua" w:eastAsia="Book Antiqua" w:hAnsi="Book Antiqua" w:cs="Book Antiqua"/>
          <w:color w:val="000000"/>
        </w:rPr>
        <w:t xml:space="preserve">; </w:t>
      </w:r>
      <w:r>
        <w:rPr>
          <w:rFonts w:ascii="Book Antiqua" w:eastAsia="Book Antiqua" w:hAnsi="Book Antiqua" w:cs="Book Antiqua"/>
          <w:color w:val="000000"/>
        </w:rPr>
        <w:t>Tsuruga Y and Kamiyama T analyzed the data and wrote the manuscript; Taketomi A gave final approval of the version to be published; all authors have read and approve</w:t>
      </w:r>
      <w:r w:rsidR="00155EB8">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61C7E81" w14:textId="77777777" w:rsidR="00A77B3E" w:rsidRDefault="00A77B3E">
      <w:pPr>
        <w:spacing w:line="360" w:lineRule="auto"/>
        <w:jc w:val="both"/>
      </w:pPr>
    </w:p>
    <w:p w14:paraId="5E2DDBF9" w14:textId="77777777" w:rsidR="00A77B3E" w:rsidRDefault="00882E46">
      <w:pPr>
        <w:spacing w:line="360" w:lineRule="auto"/>
        <w:jc w:val="both"/>
      </w:pPr>
      <w:r>
        <w:rPr>
          <w:rFonts w:ascii="Book Antiqua" w:eastAsia="Book Antiqua" w:hAnsi="Book Antiqua" w:cs="Book Antiqua"/>
          <w:b/>
          <w:bCs/>
          <w:color w:val="000000"/>
        </w:rPr>
        <w:t xml:space="preserve">Corresponding author: Yosuke Tsuruga, MD, PhD, Doctor, </w:t>
      </w:r>
      <w:r>
        <w:rPr>
          <w:rFonts w:ascii="Book Antiqua" w:eastAsia="Book Antiqua" w:hAnsi="Book Antiqua" w:cs="Book Antiqua"/>
          <w:color w:val="000000"/>
        </w:rPr>
        <w:t>Department of Gastroenterological Surgery I, Hokkaido University Graduate School of Medicine, North 15, West 7, Kita-ku, Sapporo 060-8638, Japan. ytsuruga@d2.dion.ne.jp</w:t>
      </w:r>
    </w:p>
    <w:p w14:paraId="205CD9BE" w14:textId="77777777" w:rsidR="00A77B3E" w:rsidRDefault="00A77B3E">
      <w:pPr>
        <w:spacing w:line="360" w:lineRule="auto"/>
        <w:jc w:val="both"/>
      </w:pPr>
    </w:p>
    <w:p w14:paraId="251A1249" w14:textId="77777777" w:rsidR="00A77B3E" w:rsidRDefault="00882E4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16, 2020</w:t>
      </w:r>
    </w:p>
    <w:p w14:paraId="743C4033" w14:textId="77777777" w:rsidR="00A77B3E" w:rsidRDefault="00882E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26, 2020</w:t>
      </w:r>
    </w:p>
    <w:p w14:paraId="4677E1E2" w14:textId="5BFBD993" w:rsidR="00A77B3E" w:rsidRDefault="00882E46">
      <w:pPr>
        <w:spacing w:line="360" w:lineRule="auto"/>
        <w:jc w:val="both"/>
      </w:pPr>
      <w:r>
        <w:rPr>
          <w:rFonts w:ascii="Book Antiqua" w:eastAsia="Book Antiqua" w:hAnsi="Book Antiqua" w:cs="Book Antiqua"/>
          <w:b/>
          <w:bCs/>
          <w:color w:val="000000"/>
        </w:rPr>
        <w:t xml:space="preserve">Accepted: </w:t>
      </w:r>
      <w:r w:rsidR="00884961" w:rsidRPr="00884961">
        <w:rPr>
          <w:rFonts w:ascii="Book Antiqua" w:eastAsia="Book Antiqua" w:hAnsi="Book Antiqua" w:cs="Book Antiqua"/>
          <w:color w:val="000000"/>
        </w:rPr>
        <w:t>January 14, 2021</w:t>
      </w:r>
    </w:p>
    <w:p w14:paraId="00217099" w14:textId="77777777" w:rsidR="00A77B3E" w:rsidRDefault="00882E46">
      <w:pPr>
        <w:spacing w:line="360" w:lineRule="auto"/>
        <w:jc w:val="both"/>
      </w:pPr>
      <w:r>
        <w:rPr>
          <w:rFonts w:ascii="Book Antiqua" w:eastAsia="Book Antiqua" w:hAnsi="Book Antiqua" w:cs="Book Antiqua"/>
          <w:b/>
          <w:bCs/>
          <w:color w:val="000000"/>
        </w:rPr>
        <w:t xml:space="preserve">Published online: </w:t>
      </w:r>
    </w:p>
    <w:p w14:paraId="1DE95AB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C4A4D71" w14:textId="77777777" w:rsidR="00A77B3E" w:rsidRDefault="00882E46">
      <w:pPr>
        <w:spacing w:line="360" w:lineRule="auto"/>
        <w:jc w:val="both"/>
      </w:pPr>
      <w:r>
        <w:rPr>
          <w:rFonts w:ascii="Book Antiqua" w:eastAsia="Book Antiqua" w:hAnsi="Book Antiqua" w:cs="Book Antiqua"/>
          <w:b/>
          <w:color w:val="000000"/>
        </w:rPr>
        <w:lastRenderedPageBreak/>
        <w:t>Abstract</w:t>
      </w:r>
    </w:p>
    <w:p w14:paraId="6989AEEE" w14:textId="77777777" w:rsidR="00A77B3E" w:rsidRDefault="00882E46">
      <w:pPr>
        <w:spacing w:line="360" w:lineRule="auto"/>
        <w:jc w:val="both"/>
      </w:pPr>
      <w:r>
        <w:rPr>
          <w:rFonts w:ascii="Book Antiqua" w:eastAsia="Book Antiqua" w:hAnsi="Book Antiqua" w:cs="Book Antiqua"/>
          <w:color w:val="000000"/>
        </w:rPr>
        <w:t>BACKGROUND</w:t>
      </w:r>
    </w:p>
    <w:p w14:paraId="6208DA38" w14:textId="77777777" w:rsidR="00A77B3E" w:rsidRDefault="00882E46">
      <w:pPr>
        <w:spacing w:line="360" w:lineRule="auto"/>
        <w:jc w:val="both"/>
      </w:pPr>
      <w:r>
        <w:rPr>
          <w:rFonts w:ascii="Book Antiqua" w:eastAsia="Book Antiqua" w:hAnsi="Book Antiqua" w:cs="Book Antiqua"/>
          <w:color w:val="000000"/>
        </w:rPr>
        <w:t>Preoperative portal vein embolization (PVE) is a widely used strategy to enable major hepatectomy in patients with insufficient liver remnant. PVE induces hypertrophy of the future liver remnant (FLR) and a shift of the functional reserve to the FLR. However, whether the increase of the FLR volume (FLRV) corresponds to the functional transition after PVE remains unclear.</w:t>
      </w:r>
    </w:p>
    <w:p w14:paraId="08A8768E" w14:textId="77777777" w:rsidR="00A77B3E" w:rsidRDefault="00A77B3E">
      <w:pPr>
        <w:spacing w:line="360" w:lineRule="auto"/>
        <w:jc w:val="both"/>
      </w:pPr>
    </w:p>
    <w:p w14:paraId="41D8E1C1" w14:textId="77777777" w:rsidR="00A77B3E" w:rsidRDefault="00882E46">
      <w:pPr>
        <w:spacing w:line="360" w:lineRule="auto"/>
        <w:jc w:val="both"/>
      </w:pPr>
      <w:r>
        <w:rPr>
          <w:rFonts w:ascii="Book Antiqua" w:eastAsia="Book Antiqua" w:hAnsi="Book Antiqua" w:cs="Book Antiqua"/>
          <w:color w:val="000000"/>
        </w:rPr>
        <w:t>AIM</w:t>
      </w:r>
    </w:p>
    <w:p w14:paraId="38597D7C" w14:textId="3EE58430" w:rsidR="00A77B3E" w:rsidRDefault="00882E46">
      <w:pPr>
        <w:spacing w:line="360" w:lineRule="auto"/>
        <w:jc w:val="both"/>
      </w:pPr>
      <w:r>
        <w:rPr>
          <w:rFonts w:ascii="Book Antiqua" w:eastAsia="Book Antiqua" w:hAnsi="Book Antiqua" w:cs="Book Antiqua"/>
          <w:color w:val="000000"/>
        </w:rPr>
        <w:t xml:space="preserve">To investigate the sequential relationship between the increase in FLRV and functional transition after preoperative PVE using </w:t>
      </w:r>
      <w:r w:rsidR="001450FA">
        <w:rPr>
          <w:rFonts w:ascii="Book Antiqua" w:eastAsia="Book Antiqua" w:hAnsi="Book Antiqua" w:cs="Book Antiqua"/>
          <w:color w:val="000000"/>
        </w:rPr>
        <w:t>3-</w:t>
      </w:r>
      <w:r w:rsidR="001450FA" w:rsidRPr="001450FA">
        <w:rPr>
          <w:rFonts w:ascii="Book Antiqua" w:eastAsia="Book Antiqua" w:hAnsi="Book Antiqua" w:cs="Book Antiqua"/>
          <w:color w:val="000000"/>
        </w:rPr>
        <w:t xml:space="preserve">dimensional </w:t>
      </w:r>
      <w:r w:rsidR="00F11613">
        <w:rPr>
          <w:rFonts w:ascii="Book Antiqua" w:eastAsia="Book Antiqua" w:hAnsi="Book Antiqua" w:cs="Book Antiqua"/>
          <w:color w:val="000000"/>
        </w:rPr>
        <w:t>(</w:t>
      </w:r>
      <w:r>
        <w:rPr>
          <w:rFonts w:ascii="Book Antiqua" w:eastAsia="Book Antiqua" w:hAnsi="Book Antiqua" w:cs="Book Antiqua"/>
          <w:color w:val="000000"/>
        </w:rPr>
        <w:t>3D</w:t>
      </w:r>
      <w:r w:rsidR="00F11613">
        <w:rPr>
          <w:rFonts w:ascii="Book Antiqua" w:eastAsia="Book Antiqua" w:hAnsi="Book Antiqua" w:cs="Book Antiqua"/>
          <w:color w:val="000000"/>
        </w:rPr>
        <w:t xml:space="preserve">) </w:t>
      </w:r>
      <w:r w:rsidR="00F11613" w:rsidRPr="001450FA">
        <w:rPr>
          <w:rFonts w:ascii="Book Antiqua" w:eastAsia="Book Antiqua" w:hAnsi="Book Antiqua" w:cs="Book Antiqua"/>
          <w:color w:val="000000"/>
        </w:rPr>
        <w:t>computed tomography</w:t>
      </w:r>
      <w:r w:rsidR="00F11613">
        <w:rPr>
          <w:rFonts w:ascii="Book Antiqua" w:eastAsia="Book Antiqua" w:hAnsi="Book Antiqua" w:cs="Book Antiqua"/>
          <w:color w:val="000000"/>
        </w:rPr>
        <w:t xml:space="preserve"> (</w:t>
      </w:r>
      <w:r>
        <w:rPr>
          <w:rFonts w:ascii="Book Antiqua" w:eastAsia="Book Antiqua" w:hAnsi="Book Antiqua" w:cs="Book Antiqua"/>
          <w:color w:val="000000"/>
        </w:rPr>
        <w:t>CT</w:t>
      </w:r>
      <w:r w:rsidR="00F11613">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Tc-galactosyl-human serum albumin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single-photon emission computed tomography (SPECT) fusion images. </w:t>
      </w:r>
    </w:p>
    <w:p w14:paraId="5C2FC5C0" w14:textId="77777777" w:rsidR="00A77B3E" w:rsidRDefault="00A77B3E">
      <w:pPr>
        <w:spacing w:line="360" w:lineRule="auto"/>
        <w:jc w:val="both"/>
      </w:pPr>
    </w:p>
    <w:p w14:paraId="2FC2506F" w14:textId="77777777" w:rsidR="00A77B3E" w:rsidRDefault="00882E46">
      <w:pPr>
        <w:spacing w:line="360" w:lineRule="auto"/>
        <w:jc w:val="both"/>
      </w:pPr>
      <w:r>
        <w:rPr>
          <w:rFonts w:ascii="Book Antiqua" w:eastAsia="Book Antiqua" w:hAnsi="Book Antiqua" w:cs="Book Antiqua"/>
          <w:color w:val="000000"/>
        </w:rPr>
        <w:t>METHODS</w:t>
      </w:r>
    </w:p>
    <w:p w14:paraId="4C948B90" w14:textId="3AFDDC70" w:rsidR="00A77B3E" w:rsidRDefault="00882E46">
      <w:pPr>
        <w:spacing w:line="360" w:lineRule="auto"/>
        <w:jc w:val="both"/>
      </w:pPr>
      <w:r>
        <w:rPr>
          <w:rFonts w:ascii="Book Antiqua" w:eastAsia="Book Antiqua" w:hAnsi="Book Antiqua" w:cs="Book Antiqua"/>
          <w:color w:val="000000"/>
        </w:rPr>
        <w:t xml:space="preserve">Thirty-three patients who underwent major hepatectomy following PVE at the Department of Gastroenterological Surgery I, Hokkaido University Hospital between October 2013 and March 2018 were enrolled. Three-phase dynamic multidetector CT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SPECT scintigraphy were performed at pre-PVE, and at 1 and 2 wk after PVE; 3D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SPECT CT-fused images were constructed from the Digital Imaging and Communications in Medicine data using 3D image analysis system. Functional </w:t>
      </w:r>
      <w:r w:rsidR="001450FA">
        <w:rPr>
          <w:rFonts w:ascii="Book Antiqua" w:eastAsia="Book Antiqua" w:hAnsi="Book Antiqua" w:cs="Book Antiqua"/>
          <w:color w:val="000000"/>
        </w:rPr>
        <w:t>FLRV</w:t>
      </w:r>
      <w:r>
        <w:rPr>
          <w:rFonts w:ascii="Book Antiqua" w:eastAsia="Book Antiqua" w:hAnsi="Book Antiqua" w:cs="Book Antiqua"/>
          <w:color w:val="000000"/>
        </w:rPr>
        <w:t xml:space="preserve"> (FFLRV) was defined as the total liver volume</w:t>
      </w:r>
      <w:r w:rsidR="001450FA">
        <w:rPr>
          <w:rFonts w:ascii="Book Antiqua" w:eastAsia="Book Antiqua" w:hAnsi="Book Antiqua" w:cs="Book Antiqua"/>
          <w:color w:val="000000"/>
        </w:rPr>
        <w:t xml:space="preserve"> </w:t>
      </w:r>
      <w:r>
        <w:rPr>
          <w:rFonts w:ascii="Book Antiqua" w:eastAsia="Book Antiqua" w:hAnsi="Book Antiqua" w:cs="Book Antiqua"/>
          <w:color w:val="000000"/>
        </w:rPr>
        <w:t xml:space="preserve">× (FLR volume counts/total liver volume counts) on the 3D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CT-fused images. The calculated FFLRV was compared with FLRV.</w:t>
      </w:r>
    </w:p>
    <w:p w14:paraId="79BAF9F6" w14:textId="77777777" w:rsidR="00A77B3E" w:rsidRDefault="00A77B3E">
      <w:pPr>
        <w:spacing w:line="360" w:lineRule="auto"/>
        <w:jc w:val="both"/>
      </w:pPr>
    </w:p>
    <w:p w14:paraId="15144CBA" w14:textId="77777777" w:rsidR="00A77B3E" w:rsidRDefault="00882E46">
      <w:pPr>
        <w:spacing w:line="360" w:lineRule="auto"/>
        <w:jc w:val="both"/>
      </w:pPr>
      <w:r>
        <w:rPr>
          <w:rFonts w:ascii="Book Antiqua" w:eastAsia="Book Antiqua" w:hAnsi="Book Antiqua" w:cs="Book Antiqua"/>
          <w:color w:val="000000"/>
        </w:rPr>
        <w:t>RESULTS</w:t>
      </w:r>
    </w:p>
    <w:p w14:paraId="46D046E0" w14:textId="3EB0C6C1" w:rsidR="00A77B3E" w:rsidRDefault="00882E46">
      <w:pPr>
        <w:spacing w:line="360" w:lineRule="auto"/>
        <w:jc w:val="both"/>
      </w:pPr>
      <w:r>
        <w:rPr>
          <w:rFonts w:ascii="Book Antiqua" w:eastAsia="Book Antiqua" w:hAnsi="Book Antiqua" w:cs="Book Antiqua"/>
          <w:color w:val="000000"/>
        </w:rPr>
        <w:t>FFLRV increased by a significantly larger extent than FLRV at 1 and 2 wk after PVE (</w:t>
      </w:r>
      <w:r w:rsidRPr="00CF59CD">
        <w:rPr>
          <w:rFonts w:ascii="Book Antiqua" w:eastAsia="Book Antiqua" w:hAnsi="Book Antiqua" w:cs="Book Antiqua"/>
          <w:i/>
          <w:iCs/>
          <w:color w:val="000000"/>
        </w:rPr>
        <w:t>P</w:t>
      </w:r>
      <w:r w:rsidR="001450FA">
        <w:rPr>
          <w:rFonts w:ascii="Book Antiqua" w:eastAsia="Book Antiqua" w:hAnsi="Book Antiqua" w:cs="Book Antiqua"/>
          <w:color w:val="000000"/>
        </w:rPr>
        <w:t xml:space="preserve"> </w:t>
      </w:r>
      <w:r>
        <w:rPr>
          <w:rFonts w:ascii="Book Antiqua" w:eastAsia="Book Antiqua" w:hAnsi="Book Antiqua" w:cs="Book Antiqua"/>
          <w:color w:val="000000"/>
        </w:rPr>
        <w:t>&lt;</w:t>
      </w:r>
      <w:r w:rsidR="001450FA">
        <w:rPr>
          <w:rFonts w:ascii="Book Antiqua" w:eastAsia="Book Antiqua" w:hAnsi="Book Antiqua" w:cs="Book Antiqua"/>
          <w:color w:val="000000"/>
        </w:rPr>
        <w:t xml:space="preserve"> </w:t>
      </w:r>
      <w:r>
        <w:rPr>
          <w:rFonts w:ascii="Book Antiqua" w:eastAsia="Book Antiqua" w:hAnsi="Book Antiqua" w:cs="Book Antiqua"/>
          <w:color w:val="000000"/>
        </w:rPr>
        <w:t>0.01). The increase in FFLRV and FLRV was 55.1% ± 41.6% and 26.7% ± 17.8% (</w:t>
      </w:r>
      <w:r w:rsidRPr="00CF59CD">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1 wk after PVE, and 64.2% ± 33.3% and 36.8% ± 18.9% (</w:t>
      </w:r>
      <w:r w:rsidRPr="00CF59CD">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Book Antiqua" w:hAnsi="Book Antiqua" w:cs="Book Antiqua"/>
          <w:color w:val="000000"/>
        </w:rPr>
        <w:lastRenderedPageBreak/>
        <w:t>respectively, at 2 wk after PVE. In 3 of the 33 patients, FFLRV levels decreased below FLRV at 2 wk. One of the three patients showed rapidly progressive fatty changes in FLR. The biopsy at 4 wk after PVE showed macro- and micro-vesicular steatosis of more than 40%, which improved to 10%. Radical resection was performed at 13 wk after PVE. The patient recovered uneventfully without any symptoms of postoperative liver failure.</w:t>
      </w:r>
    </w:p>
    <w:p w14:paraId="3F3BC7E8" w14:textId="77777777" w:rsidR="00A77B3E" w:rsidRDefault="00A77B3E">
      <w:pPr>
        <w:spacing w:line="360" w:lineRule="auto"/>
        <w:jc w:val="both"/>
      </w:pPr>
    </w:p>
    <w:p w14:paraId="7370E286" w14:textId="77777777" w:rsidR="00A77B3E" w:rsidRDefault="00882E46">
      <w:pPr>
        <w:spacing w:line="360" w:lineRule="auto"/>
        <w:jc w:val="both"/>
      </w:pPr>
      <w:r>
        <w:rPr>
          <w:rFonts w:ascii="Book Antiqua" w:eastAsia="Book Antiqua" w:hAnsi="Book Antiqua" w:cs="Book Antiqua"/>
          <w:color w:val="000000"/>
        </w:rPr>
        <w:t>CONCLUSION</w:t>
      </w:r>
    </w:p>
    <w:p w14:paraId="4CAF2750" w14:textId="77777777" w:rsidR="00A77B3E" w:rsidRDefault="00882E46">
      <w:pPr>
        <w:spacing w:line="360" w:lineRule="auto"/>
        <w:jc w:val="both"/>
      </w:pPr>
      <w:r>
        <w:rPr>
          <w:rFonts w:ascii="Book Antiqua" w:eastAsia="Book Antiqua" w:hAnsi="Book Antiqua" w:cs="Book Antiqua"/>
          <w:color w:val="000000"/>
        </w:rPr>
        <w:t>The functional transition lagged behind the increase in FLRV after PVE in some cases. Evaluating both volume and function is needed to determine the optimal timing of hepatectomy after PVE.</w:t>
      </w:r>
    </w:p>
    <w:p w14:paraId="768412FB" w14:textId="77777777" w:rsidR="00A77B3E" w:rsidRDefault="00A77B3E">
      <w:pPr>
        <w:spacing w:line="360" w:lineRule="auto"/>
        <w:jc w:val="both"/>
      </w:pPr>
    </w:p>
    <w:p w14:paraId="43D92F1B" w14:textId="77777777" w:rsidR="00A77B3E" w:rsidRDefault="00882E46">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Preoperative portal vein embolization; Hepatectomy;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Tc-galactosyl-human serum albumin single-photon emission computed tomography; Future liver remnant volume; Functional transition; Fatty liver change</w:t>
      </w:r>
    </w:p>
    <w:p w14:paraId="6D4D28D8" w14:textId="77777777" w:rsidR="00397D0C" w:rsidRDefault="00397D0C" w:rsidP="00397D0C">
      <w:pPr>
        <w:spacing w:line="360" w:lineRule="auto"/>
        <w:jc w:val="both"/>
        <w:rPr>
          <w:lang w:eastAsia="zh-CN"/>
        </w:rPr>
      </w:pPr>
    </w:p>
    <w:p w14:paraId="4424CED8" w14:textId="77777777" w:rsidR="00397D0C" w:rsidRPr="00026CB8" w:rsidRDefault="00397D0C" w:rsidP="00397D0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3200F5B" w14:textId="77777777" w:rsidR="00397D0C" w:rsidRPr="009C101B" w:rsidRDefault="00397D0C" w:rsidP="00397D0C">
      <w:pPr>
        <w:spacing w:line="360" w:lineRule="auto"/>
        <w:jc w:val="both"/>
        <w:rPr>
          <w:lang w:eastAsia="zh-CN"/>
        </w:rPr>
      </w:pPr>
    </w:p>
    <w:p w14:paraId="78080061" w14:textId="66EB4C5C" w:rsidR="00363620" w:rsidRDefault="00397D0C" w:rsidP="00363620">
      <w:pPr>
        <w:spacing w:line="360" w:lineRule="auto"/>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82E46">
        <w:rPr>
          <w:rFonts w:ascii="Book Antiqua" w:eastAsia="Book Antiqua" w:hAnsi="Book Antiqua" w:cs="Book Antiqua"/>
          <w:color w:val="000000"/>
        </w:rPr>
        <w:t xml:space="preserve">Tsuruga Y, Kamiyama T, Kamachi H, Orimo T, Shimada S, Nagatsu A, Asahi Y, Sakamoto Y, Kakisaka T, Taketomi A. Functional transition: Inconsistently parallel to the increase in future liver remnant volume after preoperative portal vein embolization. </w:t>
      </w:r>
      <w:r w:rsidR="00882E46">
        <w:rPr>
          <w:rFonts w:ascii="Book Antiqua" w:eastAsia="Book Antiqua" w:hAnsi="Book Antiqua" w:cs="Book Antiqua"/>
          <w:i/>
          <w:iCs/>
          <w:color w:val="000000"/>
        </w:rPr>
        <w:t>World J Gastrointest Surg</w:t>
      </w:r>
      <w:r w:rsidR="00882E46">
        <w:rPr>
          <w:rFonts w:ascii="Book Antiqua" w:eastAsia="Book Antiqua" w:hAnsi="Book Antiqua" w:cs="Book Antiqua"/>
          <w:color w:val="000000"/>
        </w:rPr>
        <w:t xml:space="preserve"> 2021; </w:t>
      </w:r>
      <w:r w:rsidR="00363620">
        <w:rPr>
          <w:rFonts w:ascii="Book Antiqua" w:eastAsia="Book Antiqua" w:hAnsi="Book Antiqua" w:cs="Book Antiqua"/>
          <w:color w:val="000000"/>
        </w:rPr>
        <w:t xml:space="preserve">13(2): </w:t>
      </w:r>
      <w:r w:rsidR="00363620">
        <w:rPr>
          <w:rFonts w:ascii="Book Antiqua" w:eastAsia="Book Antiqua" w:hAnsi="Book Antiqua" w:cs="Book Antiqua"/>
          <w:color w:val="000000"/>
        </w:rPr>
        <w:t>153-163</w:t>
      </w:r>
    </w:p>
    <w:p w14:paraId="66037BBA" w14:textId="5770BAEE" w:rsidR="00363620" w:rsidRDefault="00363620" w:rsidP="00363620">
      <w:pPr>
        <w:spacing w:line="360" w:lineRule="auto"/>
        <w:rPr>
          <w:rFonts w:ascii="Book Antiqua" w:eastAsia="Book Antiqua" w:hAnsi="Book Antiqua" w:cs="Book Antiqua"/>
          <w:color w:val="000000"/>
        </w:rPr>
      </w:pPr>
      <w:r>
        <w:rPr>
          <w:rFonts w:ascii="Book Antiqua" w:eastAsia="Book Antiqua" w:hAnsi="Book Antiqua" w:cs="Book Antiqua"/>
          <w:color w:val="000000"/>
        </w:rPr>
        <w:t>URL: https://www.wjgnet.com/1948-9366/full/v13/i2/</w:t>
      </w:r>
      <w:r>
        <w:rPr>
          <w:rFonts w:ascii="Book Antiqua" w:eastAsia="Book Antiqua" w:hAnsi="Book Antiqua" w:cs="Book Antiqua"/>
          <w:color w:val="000000"/>
        </w:rPr>
        <w:t>153</w:t>
      </w:r>
      <w:r>
        <w:rPr>
          <w:rFonts w:ascii="Book Antiqua" w:eastAsia="Book Antiqua" w:hAnsi="Book Antiqua" w:cs="Book Antiqua"/>
          <w:color w:val="000000"/>
        </w:rPr>
        <w:t xml:space="preserve">.htm  </w:t>
      </w:r>
    </w:p>
    <w:p w14:paraId="2EAE7D64" w14:textId="52C3F873" w:rsidR="00363620" w:rsidRDefault="00363620" w:rsidP="00363620">
      <w:pPr>
        <w:spacing w:line="360" w:lineRule="auto"/>
        <w:rPr>
          <w:rFonts w:ascii="Book Antiqua" w:hAnsi="Book Antiqua" w:cs="Book Antiqua"/>
          <w:color w:val="000000"/>
          <w:lang w:eastAsia="zh-CN"/>
        </w:rPr>
      </w:pPr>
      <w:r>
        <w:rPr>
          <w:rFonts w:ascii="Book Antiqua" w:eastAsia="Book Antiqua" w:hAnsi="Book Antiqua" w:cs="Book Antiqua"/>
          <w:color w:val="000000"/>
        </w:rPr>
        <w:t>DOI: https://dx.doi.org/10.4240/wjgs.v13.i2.</w:t>
      </w:r>
      <w:r>
        <w:rPr>
          <w:rFonts w:ascii="Book Antiqua" w:eastAsia="Book Antiqua" w:hAnsi="Book Antiqua" w:cs="Book Antiqua"/>
          <w:color w:val="000000"/>
        </w:rPr>
        <w:t>153</w:t>
      </w:r>
    </w:p>
    <w:p w14:paraId="1B0A715A" w14:textId="770D319A" w:rsidR="00A77B3E" w:rsidRDefault="00A77B3E">
      <w:pPr>
        <w:spacing w:line="360" w:lineRule="auto"/>
        <w:jc w:val="both"/>
      </w:pPr>
    </w:p>
    <w:p w14:paraId="7AAB52AC" w14:textId="1B6DB845" w:rsidR="00F11613" w:rsidRDefault="00882E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Preoperative portal vein embolization (PVE) induces hypertrophy of the future liver remnant (FLR) and a shift of the functional reserve to the FLR. However, whether the increase in FLR volume (FLRV) corresponds to the functional transition after PVE remains unclear. We investigated the sequential relationship between the increase in the FLRV and the functional transition after preoperative PVE. The functional transition </w:t>
      </w:r>
      <w:r>
        <w:rPr>
          <w:rFonts w:ascii="Book Antiqua" w:eastAsia="Book Antiqua" w:hAnsi="Book Antiqua" w:cs="Book Antiqua"/>
          <w:color w:val="000000"/>
        </w:rPr>
        <w:lastRenderedPageBreak/>
        <w:t>lagged behind the increase in FLRV after PVE in 3 of the 33 cases. Evaluating both volume and function is needed to determine the optimal timing of hepatectomy after PVE.</w:t>
      </w:r>
    </w:p>
    <w:p w14:paraId="3335C71E" w14:textId="30A078AB" w:rsidR="00A77B3E" w:rsidRDefault="00F11613">
      <w:pPr>
        <w:spacing w:line="360" w:lineRule="auto"/>
        <w:jc w:val="both"/>
      </w:pPr>
      <w:r>
        <w:rPr>
          <w:rFonts w:ascii="Book Antiqua" w:eastAsia="Book Antiqua" w:hAnsi="Book Antiqua" w:cs="Book Antiqua"/>
          <w:color w:val="000000"/>
        </w:rPr>
        <w:br w:type="page"/>
      </w:r>
      <w:r w:rsidR="00882E46">
        <w:rPr>
          <w:rFonts w:ascii="Book Antiqua" w:eastAsia="Book Antiqua" w:hAnsi="Book Antiqua" w:cs="Book Antiqua"/>
          <w:b/>
          <w:caps/>
          <w:color w:val="000000"/>
          <w:u w:val="single"/>
        </w:rPr>
        <w:lastRenderedPageBreak/>
        <w:t>INTRODUCTION</w:t>
      </w:r>
    </w:p>
    <w:p w14:paraId="31249786" w14:textId="4656A0C7" w:rsidR="00A77B3E" w:rsidRDefault="00882E46" w:rsidP="00F11613">
      <w:pPr>
        <w:spacing w:line="360" w:lineRule="auto"/>
        <w:jc w:val="both"/>
      </w:pPr>
      <w:r>
        <w:rPr>
          <w:rFonts w:ascii="Book Antiqua" w:eastAsia="Book Antiqua" w:hAnsi="Book Antiqua" w:cs="Book Antiqua"/>
          <w:color w:val="000000"/>
        </w:rPr>
        <w:t>Liver resection is often the only option for long-term survival of patients with primary or secondary liver cancer. The mortality rate after major liver resection has been reported to be 2.0%</w:t>
      </w:r>
      <w:r w:rsidR="00F11613">
        <w:rPr>
          <w:rFonts w:ascii="Book Antiqua" w:eastAsia="Book Antiqua" w:hAnsi="Book Antiqua" w:cs="Book Antiqua"/>
          <w:color w:val="000000"/>
        </w:rPr>
        <w:t>-</w:t>
      </w:r>
      <w:r>
        <w:rPr>
          <w:rFonts w:ascii="Book Antiqua" w:eastAsia="Book Antiqua" w:hAnsi="Book Antiqua" w:cs="Book Antiqua"/>
          <w:color w:val="000000"/>
        </w:rPr>
        <w:t>6.8%, which is mainly due to postoperative liver failure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Small future liver remnant volume (FLRV) is a predictor of perioperative morbidity and mortality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For patients with a normal liver, a remnant volume of more than 20%</w:t>
      </w:r>
      <w:r w:rsidR="00F11613">
        <w:rPr>
          <w:rFonts w:ascii="Book Antiqua" w:eastAsia="Book Antiqua" w:hAnsi="Book Antiqua" w:cs="Book Antiqua"/>
          <w:color w:val="000000"/>
        </w:rPr>
        <w:t>-</w:t>
      </w:r>
      <w:r>
        <w:rPr>
          <w:rFonts w:ascii="Book Antiqua" w:eastAsia="Book Antiqua" w:hAnsi="Book Antiqua" w:cs="Book Antiqua"/>
          <w:color w:val="000000"/>
        </w:rPr>
        <w:t>40% of the total liver or standardized liver volumes has been proposed as the threshold of surgical safety</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63D5D069"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Preoperative portal vein embolization (PVE) is widely used to enable major liver resection with insufficient liver remnant</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PVE induces hypertrophy of the future liver remnant (FLR) and a shift of the functional reserve to FLR</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However, whether the increase of the FLRV corresponds to the functional transition after PVE remains unclear.</w:t>
      </w:r>
    </w:p>
    <w:p w14:paraId="1CA93918" w14:textId="37FE90DA" w:rsidR="00A77B3E" w:rsidRDefault="00882E46" w:rsidP="00F11613">
      <w:pPr>
        <w:spacing w:line="360" w:lineRule="auto"/>
        <w:ind w:firstLineChars="100" w:firstLine="240"/>
        <w:jc w:val="both"/>
      </w:pPr>
      <w:r>
        <w:rPr>
          <w:rFonts w:ascii="Book Antiqua" w:eastAsia="Book Antiqua" w:hAnsi="Book Antiqua" w:cs="Book Antiqua"/>
          <w:color w:val="000000"/>
          <w:vertAlign w:val="superscript"/>
        </w:rPr>
        <w:t>99m</w:t>
      </w:r>
      <w:r>
        <w:rPr>
          <w:rFonts w:ascii="Book Antiqua" w:eastAsia="Book Antiqua" w:hAnsi="Book Antiqua" w:cs="Book Antiqua"/>
          <w:color w:val="000000"/>
        </w:rPr>
        <w:t>Tc-</w:t>
      </w:r>
      <w:r w:rsidR="001450FA">
        <w:rPr>
          <w:rFonts w:ascii="Book Antiqua" w:eastAsia="Book Antiqua" w:hAnsi="Book Antiqua" w:cs="Book Antiqua"/>
          <w:color w:val="000000"/>
        </w:rPr>
        <w:t>galactosyl-</w:t>
      </w:r>
      <w:r>
        <w:rPr>
          <w:rFonts w:ascii="Book Antiqua" w:eastAsia="Book Antiqua" w:hAnsi="Book Antiqua" w:cs="Book Antiqua"/>
          <w:color w:val="000000"/>
        </w:rPr>
        <w:t>human serum albumin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was developed as a liver scintigraphy agent that binds to the asialoglycoprotein receptor on hepatocytes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scintigraphy is frequently used for evaluating the hepatic functional reserve.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single-photon emission computed tomography (SPECT) can determine the regional distribution of hepatic function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However, the spatial resolution of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is low. Furthermore, it is difficult to precisely estimate the functional reserve of FLR in patients requiring complex resection. Recently, computed tomography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 has been reported to enable the precise evaluation of hepatic function distribution owing to the high spatial resolution provided by CT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We previously reported the usefulness of calculating the functional hepatic resection rate using </w:t>
      </w:r>
      <w:r w:rsidR="00F11613">
        <w:rPr>
          <w:rFonts w:ascii="Book Antiqua" w:eastAsia="Book Antiqua" w:hAnsi="Book Antiqua" w:cs="Book Antiqua"/>
          <w:color w:val="000000"/>
        </w:rPr>
        <w:t>3-</w:t>
      </w:r>
      <w:r w:rsidR="00F11613" w:rsidRPr="001450FA">
        <w:rPr>
          <w:rFonts w:ascii="Book Antiqua" w:eastAsia="Book Antiqua" w:hAnsi="Book Antiqua" w:cs="Book Antiqua"/>
          <w:color w:val="000000"/>
        </w:rPr>
        <w:t xml:space="preserve">dimensional </w:t>
      </w:r>
      <w:r w:rsidR="00F11613">
        <w:rPr>
          <w:rFonts w:ascii="Book Antiqua" w:eastAsia="Book Antiqua" w:hAnsi="Book Antiqua" w:cs="Book Antiqua"/>
          <w:color w:val="000000"/>
        </w:rPr>
        <w:t>(3D)</w:t>
      </w:r>
      <w:r>
        <w:rPr>
          <w:rFonts w:ascii="Book Antiqua" w:eastAsia="Book Antiqua" w:hAnsi="Book Antiqua" w:cs="Book Antiqua"/>
          <w:color w:val="000000"/>
        </w:rPr>
        <w:t xml:space="preserve">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 for patients undergoing major hepatectomy by correlation with the parenchymal hepatic resection rate (PHRR)</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Precise measurement of the changes in both volume and function is presumed to be obtained simultaneously using 3D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imaging.</w:t>
      </w:r>
    </w:p>
    <w:p w14:paraId="2300053E"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In the present study, we investigated the sequential relationship between the increase in FLRV and the functional transition after preoperative PVE using 3D CT/</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w:t>
      </w:r>
      <w:r>
        <w:rPr>
          <w:rFonts w:ascii="Book Antiqua" w:eastAsia="Book Antiqua" w:hAnsi="Book Antiqua" w:cs="Book Antiqua"/>
          <w:color w:val="000000"/>
        </w:rPr>
        <w:lastRenderedPageBreak/>
        <w:t>SPECT fusion imaging to develop a strategy for preventing fatal liver failure after major hepatectomy.</w:t>
      </w:r>
    </w:p>
    <w:p w14:paraId="52D5E5DA" w14:textId="77777777" w:rsidR="00A77B3E" w:rsidRDefault="00A77B3E" w:rsidP="00F11613">
      <w:pPr>
        <w:spacing w:line="360" w:lineRule="auto"/>
        <w:jc w:val="both"/>
      </w:pPr>
    </w:p>
    <w:p w14:paraId="72DFBD3A" w14:textId="77777777" w:rsidR="00A77B3E" w:rsidRDefault="00882E46">
      <w:pPr>
        <w:spacing w:line="360" w:lineRule="auto"/>
        <w:jc w:val="both"/>
      </w:pPr>
      <w:r>
        <w:rPr>
          <w:rFonts w:ascii="Book Antiqua" w:eastAsia="Book Antiqua" w:hAnsi="Book Antiqua" w:cs="Book Antiqua"/>
          <w:b/>
          <w:caps/>
          <w:color w:val="000000"/>
          <w:u w:val="single"/>
        </w:rPr>
        <w:t>MATERIALS AND METHODS</w:t>
      </w:r>
    </w:p>
    <w:p w14:paraId="0C6B3C88" w14:textId="7441BF7E" w:rsidR="00A77B3E" w:rsidRDefault="00882E46" w:rsidP="00F11613">
      <w:pPr>
        <w:spacing w:line="360" w:lineRule="auto"/>
        <w:jc w:val="both"/>
      </w:pPr>
      <w:r>
        <w:rPr>
          <w:rFonts w:ascii="Book Antiqua" w:eastAsia="Book Antiqua" w:hAnsi="Book Antiqua" w:cs="Book Antiqua"/>
          <w:color w:val="000000"/>
        </w:rPr>
        <w:t>We retrospectively analyzed the data of 33 patients who underwent major hepatectomy following PVE at the Department of Gastroenterological Surgery I, Hokkaido University Hospital between October 2013 and March 2018. This study was reviewed and approved by the Institutional Review Board of Hokkaido University Hospital for Clinical Research (approval number: 018-0263), which waived the need for written informed consent due to the retrospective design of the study. The baseline characteristics of the patients are shown in Table 1. At our institution, preoperative PVE is generally performed for patients with a PHRR of &gt;</w:t>
      </w:r>
      <w:r w:rsidR="00F11613">
        <w:rPr>
          <w:rFonts w:ascii="Book Antiqua" w:eastAsia="Book Antiqua" w:hAnsi="Book Antiqua" w:cs="Book Antiqua"/>
          <w:color w:val="000000"/>
        </w:rPr>
        <w:t xml:space="preserve"> </w:t>
      </w:r>
      <w:r>
        <w:rPr>
          <w:rFonts w:ascii="Book Antiqua" w:eastAsia="Book Antiqua" w:hAnsi="Book Antiqua" w:cs="Book Antiqua"/>
          <w:color w:val="000000"/>
        </w:rPr>
        <w:t>60%</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All patients underwent a three-phase dynamic multidetector CT scan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scintigraphy at pre-PVE, and at 1 and 2 wk after PVE.</w:t>
      </w:r>
    </w:p>
    <w:p w14:paraId="08FDD499" w14:textId="77777777" w:rsidR="00A77B3E" w:rsidRDefault="00A77B3E" w:rsidP="00F11613">
      <w:pPr>
        <w:spacing w:line="360" w:lineRule="auto"/>
        <w:jc w:val="both"/>
      </w:pPr>
    </w:p>
    <w:p w14:paraId="0CD1A4FC" w14:textId="77777777" w:rsidR="00A77B3E" w:rsidRDefault="00882E46">
      <w:pPr>
        <w:spacing w:line="360" w:lineRule="auto"/>
        <w:jc w:val="both"/>
      </w:pPr>
      <w:r>
        <w:rPr>
          <w:rFonts w:ascii="Book Antiqua" w:eastAsia="Book Antiqua" w:hAnsi="Book Antiqua" w:cs="Book Antiqua"/>
          <w:b/>
          <w:bCs/>
          <w:i/>
          <w:iCs/>
          <w:color w:val="000000"/>
        </w:rPr>
        <w:t>Preoperative PVE</w:t>
      </w:r>
    </w:p>
    <w:p w14:paraId="61B32240" w14:textId="77777777" w:rsidR="00A77B3E" w:rsidRDefault="00882E46" w:rsidP="00F11613">
      <w:pPr>
        <w:spacing w:line="360" w:lineRule="auto"/>
        <w:jc w:val="both"/>
      </w:pPr>
      <w:r>
        <w:rPr>
          <w:rFonts w:ascii="Book Antiqua" w:eastAsia="Book Antiqua" w:hAnsi="Book Antiqua" w:cs="Book Antiqua"/>
          <w:color w:val="000000"/>
        </w:rPr>
        <w:t>The ipsilateral approach was routinely used, with the contralateral approach reserved for patients for whom the ipsilateral approach was judged to be unsuitable. Ethanol is used as the embolizing agent at our institution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intrahepatic portal vein was punctured under sonographic guidance. A guidewire was inserted into the portal vein through the needle, followed by the introduction of a 5.5-French sheath introducer. Balloon occlusion was performed, and contrast material was injected until the targeted portal branches were enhanced. The balloon was then deflated, and an equal amount (equivalent to the previously injected contrast material) of 0.5% lidocaine was injected. Finally, balloon occlusion was repeated, and an equal amount of ethanol (equivalent to the previously injected contrast material or 0.5% lidocaine) was injected. The balloon was deflated after 5 min, and the complete embolization of targeted vessels was determined by test portography through a manual injection of contrast medium. Subsequently, for incomplete embolization, the ethanol injections were repeated in the same way. Finally, </w:t>
      </w:r>
      <w:r>
        <w:rPr>
          <w:rFonts w:ascii="Book Antiqua" w:eastAsia="Book Antiqua" w:hAnsi="Book Antiqua" w:cs="Book Antiqua"/>
          <w:color w:val="000000"/>
        </w:rPr>
        <w:lastRenderedPageBreak/>
        <w:t>the 5.5-French sheath was extracted by packing the puncture tract with gelatin sponge torpedoes.</w:t>
      </w:r>
    </w:p>
    <w:p w14:paraId="3035CEC3" w14:textId="77777777" w:rsidR="00A77B3E" w:rsidRDefault="00A77B3E" w:rsidP="00F11613">
      <w:pPr>
        <w:spacing w:line="360" w:lineRule="auto"/>
        <w:jc w:val="both"/>
      </w:pPr>
    </w:p>
    <w:p w14:paraId="1B49DCB1" w14:textId="77777777" w:rsidR="00A77B3E" w:rsidRDefault="00882E46">
      <w:pPr>
        <w:spacing w:line="360" w:lineRule="auto"/>
        <w:jc w:val="both"/>
      </w:pPr>
      <w:r>
        <w:rPr>
          <w:rFonts w:ascii="Book Antiqua" w:eastAsia="Book Antiqua" w:hAnsi="Book Antiqua" w:cs="Book Antiqua"/>
          <w:b/>
          <w:bCs/>
          <w:i/>
          <w:iCs/>
          <w:color w:val="000000"/>
        </w:rPr>
        <w:t>Hepatectomy</w:t>
      </w:r>
    </w:p>
    <w:p w14:paraId="7BA44192" w14:textId="77777777" w:rsidR="00A77B3E" w:rsidRDefault="00882E46" w:rsidP="00F11613">
      <w:pPr>
        <w:spacing w:line="360" w:lineRule="auto"/>
        <w:jc w:val="both"/>
      </w:pPr>
      <w:r>
        <w:rPr>
          <w:rFonts w:ascii="Book Antiqua" w:eastAsia="Book Antiqua" w:hAnsi="Book Antiqua" w:cs="Book Antiqua"/>
          <w:color w:val="000000"/>
        </w:rPr>
        <w:t xml:space="preserve">An algorithm (Hokkaido University Algorithm) incorporating the indocyanine green retention at 15 min and FLRV is generally used to determine the nature of sectionectomy required, </w:t>
      </w:r>
      <w:r>
        <w:rPr>
          <w:rFonts w:ascii="Book Antiqua" w:eastAsia="Book Antiqua" w:hAnsi="Book Antiqua" w:cs="Book Antiqua"/>
          <w:i/>
          <w:iCs/>
          <w:color w:val="000000"/>
        </w:rPr>
        <w:t>e.g.</w:t>
      </w:r>
      <w:r>
        <w:rPr>
          <w:rFonts w:ascii="Book Antiqua" w:eastAsia="Book Antiqua" w:hAnsi="Book Antiqua" w:cs="Book Antiqua"/>
          <w:color w:val="000000"/>
        </w:rPr>
        <w:t>, bisectionectomy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timing of the operation after PVE was generally determined by a PHRR decrease of less than 60% at least two weeks after PVE.</w:t>
      </w:r>
    </w:p>
    <w:p w14:paraId="677484FC" w14:textId="77777777" w:rsidR="00A77B3E" w:rsidRDefault="00A77B3E" w:rsidP="00F11613">
      <w:pPr>
        <w:spacing w:line="360" w:lineRule="auto"/>
        <w:jc w:val="both"/>
      </w:pPr>
    </w:p>
    <w:p w14:paraId="7C1E96A1" w14:textId="77777777" w:rsidR="00A77B3E" w:rsidRDefault="00882E46">
      <w:pPr>
        <w:spacing w:line="360" w:lineRule="auto"/>
        <w:jc w:val="both"/>
      </w:pPr>
      <w:r>
        <w:rPr>
          <w:rFonts w:ascii="Book Antiqua" w:eastAsia="Book Antiqua" w:hAnsi="Book Antiqua" w:cs="Book Antiqua"/>
          <w:b/>
          <w:bCs/>
          <w:i/>
          <w:iCs/>
          <w:color w:val="000000"/>
        </w:rPr>
        <w:t>3D CT/</w:t>
      </w:r>
      <w:r>
        <w:rPr>
          <w:rFonts w:ascii="Book Antiqua" w:eastAsia="Book Antiqua" w:hAnsi="Book Antiqua" w:cs="Book Antiqua"/>
          <w:b/>
          <w:bCs/>
          <w:i/>
          <w:iCs/>
          <w:color w:val="000000"/>
          <w:szCs w:val="30"/>
          <w:vertAlign w:val="superscript"/>
        </w:rPr>
        <w:t>99m</w:t>
      </w:r>
      <w:r>
        <w:rPr>
          <w:rFonts w:ascii="Book Antiqua" w:eastAsia="Book Antiqua" w:hAnsi="Book Antiqua" w:cs="Book Antiqua"/>
          <w:b/>
          <w:bCs/>
          <w:i/>
          <w:iCs/>
          <w:color w:val="000000"/>
        </w:rPr>
        <w:t>Tc-GSA SPECT fusion imaging</w:t>
      </w:r>
    </w:p>
    <w:p w14:paraId="3C858B96" w14:textId="77777777" w:rsidR="00A77B3E" w:rsidRDefault="00882E46" w:rsidP="00F11613">
      <w:pPr>
        <w:spacing w:line="360" w:lineRule="auto"/>
        <w:jc w:val="both"/>
      </w:pPr>
      <w:r>
        <w:rPr>
          <w:rFonts w:ascii="Book Antiqua" w:eastAsia="Book Antiqua" w:hAnsi="Book Antiqua" w:cs="Book Antiqua"/>
          <w:color w:val="000000"/>
        </w:rPr>
        <w:t>Three-phase dynamic CT scan was performed with a 320-row multidetector device (Aquilion ONE; Toshiba Medical Systems Co., Otawara, Japan). The obtained Digital Imaging and Communications in Medicine (DICOM) data were imported to the 3D image analysis system (Volume Analyzer SYNAPSE VINCENT; Fuji Film Medical, Tokyo, Japan)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Three-dimensional images were reconstructed from the DICOM data.</w:t>
      </w:r>
    </w:p>
    <w:p w14:paraId="03D258BB" w14:textId="102BF27C" w:rsidR="00A77B3E" w:rsidRDefault="00882E46" w:rsidP="00F11613">
      <w:pPr>
        <w:spacing w:line="360" w:lineRule="auto"/>
        <w:ind w:firstLineChars="100" w:firstLine="240"/>
        <w:jc w:val="both"/>
      </w:pPr>
      <w:r>
        <w:rPr>
          <w:rFonts w:ascii="Book Antiqua" w:eastAsia="Book Antiqua" w:hAnsi="Book Antiqua" w:cs="Book Antiqua"/>
          <w:color w:val="000000"/>
          <w:vertAlign w:val="superscript"/>
        </w:rPr>
        <w:t>99m</w:t>
      </w:r>
      <w:r>
        <w:rPr>
          <w:rFonts w:ascii="Book Antiqua" w:eastAsia="Book Antiqua" w:hAnsi="Book Antiqua" w:cs="Book Antiqua"/>
          <w:color w:val="000000"/>
        </w:rPr>
        <w:t xml:space="preserve">Tc-GSA scintigraphy was performed separately from CT. Dynamic scanning was initially performed using a large-field view gamma camera (E.CAM; Siemens, Tokyo, Japan) in an anterior view, equipped with a low-energy high-resolution collimator, with the patient in a supine position after a bolus intravenous injection of 185 MBq of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Dynamic planar images were obtained for 30 min by 147 serial frames (60 × 1 s, 87 × 20 s), with a matrix size of 128 × 128. Hepatic SPECT images were acquired after the dynamic study. The DICOM data obtained from SPECT were also imported to the SYNAPSE VINCENT and subsequently fused with the 3D CT images. Functional </w:t>
      </w:r>
      <w:r w:rsidR="001450FA">
        <w:rPr>
          <w:rFonts w:ascii="Book Antiqua" w:eastAsia="Book Antiqua" w:hAnsi="Book Antiqua" w:cs="Book Antiqua"/>
          <w:color w:val="000000"/>
        </w:rPr>
        <w:t>FLRV</w:t>
      </w:r>
      <w:r>
        <w:rPr>
          <w:rFonts w:ascii="Book Antiqua" w:eastAsia="Book Antiqua" w:hAnsi="Book Antiqua" w:cs="Book Antiqua"/>
          <w:color w:val="000000"/>
        </w:rPr>
        <w:t xml:space="preserve"> (FFLRV) was calculated using the following formula:</w:t>
      </w:r>
      <w:r w:rsidR="00F11613">
        <w:rPr>
          <w:rFonts w:hint="eastAsia"/>
          <w:lang w:eastAsia="zh-CN"/>
        </w:rPr>
        <w:t xml:space="preserve"> </w:t>
      </w:r>
      <w:r>
        <w:rPr>
          <w:rFonts w:ascii="Book Antiqua" w:eastAsia="Book Antiqua" w:hAnsi="Book Antiqua" w:cs="Book Antiqua"/>
          <w:color w:val="000000"/>
        </w:rPr>
        <w:t xml:space="preserve">FFLRV (mL) = </w:t>
      </w:r>
      <w:r w:rsidR="00F11613">
        <w:rPr>
          <w:rFonts w:ascii="Book Antiqua" w:eastAsia="Book Antiqua" w:hAnsi="Book Antiqua" w:cs="Book Antiqua"/>
          <w:color w:val="000000"/>
        </w:rPr>
        <w:t>[</w:t>
      </w:r>
      <w:r>
        <w:rPr>
          <w:rFonts w:ascii="Book Antiqua" w:eastAsia="Book Antiqua" w:hAnsi="Book Antiqua" w:cs="Book Antiqua"/>
          <w:color w:val="000000"/>
        </w:rPr>
        <w:t>(total liver volume counts - resection volume counts)/total liver volume counts) × total liver volume</w:t>
      </w:r>
      <w:r w:rsidR="00F11613">
        <w:rPr>
          <w:rFonts w:ascii="Book Antiqua" w:eastAsia="Book Antiqua" w:hAnsi="Book Antiqua" w:cs="Book Antiqua"/>
          <w:color w:val="000000"/>
        </w:rPr>
        <w:t>]</w:t>
      </w:r>
      <w:r>
        <w:rPr>
          <w:rFonts w:ascii="Book Antiqua" w:eastAsia="Book Antiqua" w:hAnsi="Book Antiqua" w:cs="Book Antiqua"/>
          <w:color w:val="000000"/>
        </w:rPr>
        <w:t xml:space="preserve"> (mL)</w:t>
      </w:r>
      <w:r w:rsidR="00F11613">
        <w:rPr>
          <w:rFonts w:ascii="Book Antiqua" w:eastAsia="Book Antiqua" w:hAnsi="Book Antiqua" w:cs="Book Antiqua"/>
          <w:color w:val="000000"/>
        </w:rPr>
        <w:t>.</w:t>
      </w:r>
    </w:p>
    <w:p w14:paraId="37A2B95A" w14:textId="77777777" w:rsidR="00A77B3E" w:rsidRDefault="00A77B3E">
      <w:pPr>
        <w:spacing w:line="360" w:lineRule="auto"/>
        <w:ind w:firstLine="120"/>
        <w:jc w:val="both"/>
      </w:pPr>
    </w:p>
    <w:p w14:paraId="78AD8D1B" w14:textId="77777777" w:rsidR="00A77B3E" w:rsidRDefault="00882E46">
      <w:pPr>
        <w:spacing w:line="360" w:lineRule="auto"/>
        <w:jc w:val="both"/>
      </w:pPr>
      <w:r>
        <w:rPr>
          <w:rFonts w:ascii="Book Antiqua" w:eastAsia="Book Antiqua" w:hAnsi="Book Antiqua" w:cs="Book Antiqua"/>
          <w:b/>
          <w:bCs/>
          <w:i/>
          <w:iCs/>
          <w:color w:val="000000"/>
        </w:rPr>
        <w:t>Calculation of FLR to spleen attenuation ratio</w:t>
      </w:r>
    </w:p>
    <w:p w14:paraId="350B35BA" w14:textId="77777777" w:rsidR="00A77B3E" w:rsidRDefault="00882E46">
      <w:pPr>
        <w:spacing w:line="360" w:lineRule="auto"/>
        <w:jc w:val="both"/>
      </w:pPr>
      <w:r>
        <w:rPr>
          <w:rFonts w:ascii="Book Antiqua" w:eastAsia="Book Antiqua" w:hAnsi="Book Antiqua" w:cs="Book Antiqua"/>
          <w:color w:val="000000"/>
        </w:rPr>
        <w:t xml:space="preserve">Hounsfield unit attenuation values of the FLR and spleen at 10 regions of interest were obtained using unenhanced CT, and the average values were calculated. The regions </w:t>
      </w:r>
      <w:r>
        <w:rPr>
          <w:rFonts w:ascii="Book Antiqua" w:eastAsia="Book Antiqua" w:hAnsi="Book Antiqua" w:cs="Book Antiqua"/>
          <w:color w:val="000000"/>
        </w:rPr>
        <w:lastRenderedPageBreak/>
        <w:t xml:space="preserve">were selected while taking care to avoid the vessels. The ratio of liver to spleen attenuation was then calculated. </w:t>
      </w:r>
    </w:p>
    <w:p w14:paraId="0A18F039" w14:textId="77777777" w:rsidR="00A77B3E" w:rsidRDefault="00A77B3E">
      <w:pPr>
        <w:spacing w:line="360" w:lineRule="auto"/>
        <w:jc w:val="both"/>
      </w:pPr>
    </w:p>
    <w:p w14:paraId="79C47167" w14:textId="77777777" w:rsidR="00A77B3E" w:rsidRDefault="00882E46">
      <w:pPr>
        <w:spacing w:line="360" w:lineRule="auto"/>
        <w:jc w:val="both"/>
      </w:pPr>
      <w:r>
        <w:rPr>
          <w:rFonts w:ascii="Book Antiqua" w:eastAsia="Book Antiqua" w:hAnsi="Book Antiqua" w:cs="Book Antiqua"/>
          <w:b/>
          <w:bCs/>
          <w:i/>
          <w:iCs/>
          <w:color w:val="000000"/>
        </w:rPr>
        <w:t>Statistical analysis</w:t>
      </w:r>
    </w:p>
    <w:p w14:paraId="003F6D30" w14:textId="77777777" w:rsidR="00A77B3E" w:rsidRDefault="00882E46" w:rsidP="00F11613">
      <w:pPr>
        <w:spacing w:line="360" w:lineRule="auto"/>
        <w:jc w:val="both"/>
      </w:pPr>
      <w:r>
        <w:rPr>
          <w:rFonts w:ascii="Book Antiqua" w:eastAsia="Book Antiqua" w:hAnsi="Book Antiqua" w:cs="Book Antiqua"/>
          <w:color w:val="000000"/>
        </w:rPr>
        <w:t>The statistical analyses were performed using EZR software, version 1.36 (Saitama Medical Center, Jichi Medical University, Saitama, Japan)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Wilcoxon signed rank test was used for comparing FFLRV and FLRV.</w:t>
      </w:r>
    </w:p>
    <w:p w14:paraId="1C4C8C27" w14:textId="77777777" w:rsidR="00A77B3E" w:rsidRDefault="00A77B3E" w:rsidP="00F11613">
      <w:pPr>
        <w:spacing w:line="360" w:lineRule="auto"/>
        <w:jc w:val="both"/>
      </w:pPr>
    </w:p>
    <w:p w14:paraId="3FA9731C" w14:textId="77777777" w:rsidR="00A77B3E" w:rsidRDefault="00882E46">
      <w:pPr>
        <w:spacing w:line="360" w:lineRule="auto"/>
        <w:jc w:val="both"/>
      </w:pPr>
      <w:r>
        <w:rPr>
          <w:rFonts w:ascii="Book Antiqua" w:eastAsia="Book Antiqua" w:hAnsi="Book Antiqua" w:cs="Book Antiqua"/>
          <w:b/>
          <w:caps/>
          <w:color w:val="000000"/>
          <w:u w:val="single"/>
        </w:rPr>
        <w:t>RESULTS</w:t>
      </w:r>
    </w:p>
    <w:p w14:paraId="62B1D136" w14:textId="77777777" w:rsidR="00A77B3E" w:rsidRDefault="00882E46">
      <w:pPr>
        <w:spacing w:line="360" w:lineRule="auto"/>
        <w:jc w:val="both"/>
      </w:pPr>
      <w:r>
        <w:rPr>
          <w:rFonts w:ascii="Book Antiqua" w:eastAsia="Book Antiqua" w:hAnsi="Book Antiqua" w:cs="Book Antiqua"/>
          <w:b/>
          <w:bCs/>
          <w:i/>
          <w:iCs/>
          <w:color w:val="000000"/>
        </w:rPr>
        <w:t>Change in FFLRV and FLRV after PVE</w:t>
      </w:r>
    </w:p>
    <w:p w14:paraId="5AB3EEDD" w14:textId="72122CE3" w:rsidR="00A77B3E" w:rsidRDefault="00882E46" w:rsidP="00F11613">
      <w:pPr>
        <w:spacing w:line="360" w:lineRule="auto"/>
        <w:jc w:val="both"/>
      </w:pPr>
      <w:r>
        <w:rPr>
          <w:rFonts w:ascii="Book Antiqua" w:eastAsia="Book Antiqua" w:hAnsi="Book Antiqua" w:cs="Book Antiqua"/>
          <w:color w:val="000000"/>
        </w:rPr>
        <w:t>FFLRV increased by a significantly larger extent than FLRV at 1 and 2 wk after PVE (Figure 1</w:t>
      </w:r>
      <w:r w:rsidR="00F11613">
        <w:rPr>
          <w:rFonts w:ascii="Book Antiqua" w:eastAsia="Book Antiqua" w:hAnsi="Book Antiqua" w:cs="Book Antiqua"/>
          <w:color w:val="000000"/>
        </w:rPr>
        <w:t>A</w:t>
      </w:r>
      <w:r>
        <w:rPr>
          <w:rFonts w:ascii="Book Antiqua" w:eastAsia="Book Antiqua" w:hAnsi="Book Antiqua" w:cs="Book Antiqua"/>
          <w:color w:val="000000"/>
        </w:rPr>
        <w:t>). The FFLRV and FLRV were 55.1% ± 41.6% and 26.7% ± 17.8% (</w:t>
      </w:r>
      <w:r w:rsidRPr="00F11613">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1 wk after PVE, and 64.2% ± 33.3% and 36.8% ± 18.9% (</w:t>
      </w:r>
      <w:r w:rsidRPr="00F11613">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at 2 wk after PVE. We also compared FLRV and FFLRV between the groups with and without preoperative biliary drainage. However, no significant differences were observed between these two groups (Table 2).</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The similar tendency of the sequential increase in FLRV and FFLRV after PVE was observed in these two groups (Figure 1</w:t>
      </w:r>
      <w:r w:rsidR="00F11613">
        <w:rPr>
          <w:rFonts w:ascii="Book Antiqua" w:eastAsia="Book Antiqua" w:hAnsi="Book Antiqua" w:cs="Book Antiqua"/>
          <w:color w:val="000000"/>
        </w:rPr>
        <w:t>B and C</w:t>
      </w:r>
      <w:r>
        <w:rPr>
          <w:rFonts w:ascii="Book Antiqua" w:eastAsia="Book Antiqua" w:hAnsi="Book Antiqua" w:cs="Book Antiqua"/>
          <w:color w:val="000000"/>
        </w:rPr>
        <w:t>).</w:t>
      </w:r>
    </w:p>
    <w:p w14:paraId="43DF83DA" w14:textId="77777777" w:rsidR="00A77B3E" w:rsidRDefault="00A77B3E" w:rsidP="00F11613">
      <w:pPr>
        <w:spacing w:line="360" w:lineRule="auto"/>
        <w:jc w:val="both"/>
      </w:pPr>
    </w:p>
    <w:p w14:paraId="70D22DCA" w14:textId="77777777" w:rsidR="00A77B3E" w:rsidRDefault="00882E46">
      <w:pPr>
        <w:spacing w:line="360" w:lineRule="auto"/>
        <w:jc w:val="both"/>
      </w:pPr>
      <w:r>
        <w:rPr>
          <w:rFonts w:ascii="Book Antiqua" w:eastAsia="Book Antiqua" w:hAnsi="Book Antiqua" w:cs="Book Antiqua"/>
          <w:b/>
          <w:bCs/>
          <w:i/>
          <w:iCs/>
          <w:color w:val="000000"/>
        </w:rPr>
        <w:t>Change in the difference between FLRV and FFLRV</w:t>
      </w:r>
    </w:p>
    <w:p w14:paraId="4A33984A" w14:textId="77777777" w:rsidR="00A77B3E" w:rsidRDefault="00882E46" w:rsidP="00F11613">
      <w:pPr>
        <w:spacing w:line="360" w:lineRule="auto"/>
        <w:jc w:val="both"/>
      </w:pPr>
      <w:r>
        <w:rPr>
          <w:rFonts w:ascii="Book Antiqua" w:eastAsia="Book Antiqua" w:hAnsi="Book Antiqua" w:cs="Book Antiqua"/>
          <w:color w:val="000000"/>
        </w:rPr>
        <w:t>We calculated the difference by subtracting the FLRV values from FFLRV values of all patients before and after PVE (Figure 2). The results after PVE were almost entirely positive, while in 3 patients, the FFLRV became lower than the FLRV at 2 wk after PVE. FFLRV caught up with FLRV at 3 wk after PVE in 2 of these 3 patients. Subsequently, all the patients were classified into two groups: FLRV superior group included those in whom FFLRV decreased below the FLRV at 2 wk after PVE and the FFLRV superior group included the remaining patients. No significant differences were observed when the background factors were compared between these two groups (Table 3).</w:t>
      </w:r>
    </w:p>
    <w:p w14:paraId="38663D1A" w14:textId="77777777" w:rsidR="00A77B3E" w:rsidRDefault="00A77B3E" w:rsidP="00F11613">
      <w:pPr>
        <w:spacing w:line="360" w:lineRule="auto"/>
        <w:jc w:val="both"/>
      </w:pPr>
    </w:p>
    <w:p w14:paraId="4542EFB4" w14:textId="77777777" w:rsidR="00A77B3E" w:rsidRDefault="00882E46">
      <w:pPr>
        <w:spacing w:line="360" w:lineRule="auto"/>
        <w:jc w:val="both"/>
      </w:pPr>
      <w:r>
        <w:rPr>
          <w:rFonts w:ascii="Book Antiqua" w:eastAsia="Book Antiqua" w:hAnsi="Book Antiqua" w:cs="Book Antiqua"/>
          <w:b/>
          <w:bCs/>
          <w:i/>
          <w:iCs/>
          <w:color w:val="000000"/>
        </w:rPr>
        <w:lastRenderedPageBreak/>
        <w:t xml:space="preserve">Representative case </w:t>
      </w:r>
    </w:p>
    <w:p w14:paraId="33F29D64" w14:textId="0F3A3B7D" w:rsidR="00A77B3E" w:rsidRDefault="00882E46" w:rsidP="00F11613">
      <w:pPr>
        <w:spacing w:line="360" w:lineRule="auto"/>
        <w:jc w:val="both"/>
      </w:pPr>
      <w:r>
        <w:rPr>
          <w:rFonts w:ascii="Book Antiqua" w:eastAsia="Book Antiqua" w:hAnsi="Book Antiqua" w:cs="Book Antiqua"/>
          <w:color w:val="000000"/>
        </w:rPr>
        <w:t>A 77-year-old woman was diagnosed with hilar cholangiocarcinoma.</w:t>
      </w:r>
      <w:r>
        <w:rPr>
          <w:rFonts w:ascii="Book Antiqua" w:eastAsia="Book Antiqua" w:hAnsi="Book Antiqua" w:cs="Book Antiqua"/>
          <w:b/>
          <w:bCs/>
          <w:color w:val="000000"/>
        </w:rPr>
        <w:t xml:space="preserve"> </w:t>
      </w:r>
      <w:r>
        <w:rPr>
          <w:rFonts w:ascii="Book Antiqua" w:eastAsia="Book Antiqua" w:hAnsi="Book Antiqua" w:cs="Book Antiqua"/>
          <w:color w:val="000000"/>
        </w:rPr>
        <w:t>Right hepatectomy and caudal lobectomy were planned. PVE was performed because the initial resection ratio was 71.3%. FLRV increased from 414 mL to 796 mL at two weeks after PVE; however, the change in function lagged behind the increase in FLRV for 3 wk (Figure 3</w:t>
      </w:r>
      <w:r w:rsidR="00F11613">
        <w:rPr>
          <w:rFonts w:ascii="Book Antiqua" w:eastAsia="Book Antiqua" w:hAnsi="Book Antiqua" w:cs="Book Antiqua"/>
          <w:color w:val="000000"/>
        </w:rPr>
        <w:t>A</w:t>
      </w:r>
      <w:r>
        <w:rPr>
          <w:rFonts w:ascii="Book Antiqua" w:eastAsia="Book Antiqua" w:hAnsi="Book Antiqua" w:cs="Book Antiqua"/>
          <w:color w:val="000000"/>
        </w:rPr>
        <w:t>). The decrease in the FLR to spleen CT attenuation ratio at up to 5 wk after PVE indicated fatty changes in the FLR. Biopsy at 4 wk after PVE showed macro- and micro-vesicular steatosis of more than 40% (Figure 3</w:t>
      </w:r>
      <w:r w:rsidR="00F11613">
        <w:rPr>
          <w:rFonts w:ascii="Book Antiqua" w:eastAsia="Book Antiqua" w:hAnsi="Book Antiqua" w:cs="Book Antiqua"/>
          <w:color w:val="000000"/>
        </w:rPr>
        <w:t>B</w:t>
      </w:r>
      <w:r>
        <w:rPr>
          <w:rFonts w:ascii="Book Antiqua" w:eastAsia="Book Antiqua" w:hAnsi="Book Antiqua" w:cs="Book Antiqua"/>
          <w:color w:val="000000"/>
        </w:rPr>
        <w:t>). FLRV on CT was sufficient to proceed with resection, although we postponed the operation until the FLR to spleen CT attenuation ratio recovered. Pioglitazone was administered for the treatment of nonalcoholic fatty liver disease. The CT attenuation ratio recovered at 7 wk after PVE, and radical liver resection was successfully performed at 13 wk. Intraoperative biopsy showed that the steatosis had improved to approximately 10% (Figure 3</w:t>
      </w:r>
      <w:r w:rsidR="00F11613">
        <w:rPr>
          <w:rFonts w:ascii="Book Antiqua" w:eastAsia="Book Antiqua" w:hAnsi="Book Antiqua" w:cs="Book Antiqua"/>
          <w:color w:val="000000"/>
        </w:rPr>
        <w:t>C</w:t>
      </w:r>
      <w:r>
        <w:rPr>
          <w:rFonts w:ascii="Book Antiqua" w:eastAsia="Book Antiqua" w:hAnsi="Book Antiqua" w:cs="Book Antiqua"/>
          <w:color w:val="000000"/>
        </w:rPr>
        <w:t>). The patient recovered uneventfully without any symptoms of postoperative liver failure.</w:t>
      </w:r>
    </w:p>
    <w:p w14:paraId="7D8CC65D" w14:textId="77777777" w:rsidR="00A77B3E" w:rsidRDefault="00A77B3E" w:rsidP="00F11613">
      <w:pPr>
        <w:spacing w:line="360" w:lineRule="auto"/>
        <w:jc w:val="both"/>
      </w:pPr>
    </w:p>
    <w:p w14:paraId="1CA2D11A" w14:textId="77777777" w:rsidR="00A77B3E" w:rsidRDefault="00882E46">
      <w:pPr>
        <w:spacing w:line="360" w:lineRule="auto"/>
        <w:jc w:val="both"/>
      </w:pPr>
      <w:r>
        <w:rPr>
          <w:rFonts w:ascii="Book Antiqua" w:eastAsia="Book Antiqua" w:hAnsi="Book Antiqua" w:cs="Book Antiqua"/>
          <w:b/>
          <w:caps/>
          <w:color w:val="000000"/>
          <w:u w:val="single"/>
        </w:rPr>
        <w:t>DISCUSSION</w:t>
      </w:r>
    </w:p>
    <w:p w14:paraId="2D3C9AE7" w14:textId="3A341D2D" w:rsidR="00A77B3E" w:rsidRDefault="00882E46" w:rsidP="00F11613">
      <w:pPr>
        <w:spacing w:line="360" w:lineRule="auto"/>
        <w:jc w:val="both"/>
      </w:pPr>
      <w:r>
        <w:rPr>
          <w:rFonts w:ascii="Book Antiqua" w:eastAsia="Book Antiqua" w:hAnsi="Book Antiqua" w:cs="Book Antiqua"/>
          <w:color w:val="000000"/>
        </w:rPr>
        <w:t>In the present study investigating the sequential relationship between the increase in FLRV and the functional changes after preoperative PVE, we found that in almost all cases, the increase in FLRV lagged behind that of the FFLRV. However, several cases of marked lagging of the FFLRV behind the increase in FLRV within the first 2 wk were observed.</w:t>
      </w:r>
    </w:p>
    <w:p w14:paraId="090F5C33" w14:textId="6D428AF5" w:rsidR="00A77B3E" w:rsidRDefault="00882E46" w:rsidP="00F11613">
      <w:pPr>
        <w:spacing w:line="360" w:lineRule="auto"/>
        <w:ind w:firstLineChars="100" w:firstLine="240"/>
        <w:jc w:val="both"/>
      </w:pPr>
      <w:r>
        <w:rPr>
          <w:rFonts w:ascii="Book Antiqua" w:eastAsia="Book Antiqua" w:hAnsi="Book Antiqua" w:cs="Book Antiqua"/>
          <w:color w:val="000000"/>
        </w:rPr>
        <w:t>Embolized lobe atrophy and FLR hypertrophy occur after PVE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meta-analysis reported the mean relative rate of hypertrophy of FLR to be 43.1%</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this study, the increase in FLRV at 2 wk was 36.8% ± 18.9%, which is roughly in accordance with the previously published mean value. The increase in FFLRV at 2 wk (64.2% ± 33.3%) was greater than that of the FLRV. Beppu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also reported the marked increase in FLR after PVE using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scintigraphy SPECT-CT fusion data. They reported that the percentage increase in FLRV after PVE was greater than that of the non-tumorous remnant liver volume. Moreover, the increased portal flow, heat shock protein (HSP), </w:t>
      </w:r>
      <w:r>
        <w:rPr>
          <w:rFonts w:ascii="Book Antiqua" w:eastAsia="Book Antiqua" w:hAnsi="Book Antiqua" w:cs="Book Antiqua"/>
          <w:color w:val="000000"/>
        </w:rPr>
        <w:lastRenderedPageBreak/>
        <w:t>ATP</w:t>
      </w:r>
      <w:r w:rsidR="00F11613">
        <w:rPr>
          <w:rFonts w:ascii="Book Antiqua" w:eastAsia="Book Antiqua" w:hAnsi="Book Antiqua" w:cs="Book Antiqua"/>
          <w:color w:val="000000"/>
        </w:rPr>
        <w:t xml:space="preserve"> (</w:t>
      </w:r>
      <w:r w:rsidR="00F11613" w:rsidRPr="00F11613">
        <w:rPr>
          <w:rFonts w:ascii="Book Antiqua" w:eastAsia="Book Antiqua" w:hAnsi="Book Antiqua" w:cs="Book Antiqua"/>
          <w:color w:val="000000"/>
        </w:rPr>
        <w:t>adenosine triphosphate</w:t>
      </w:r>
      <w:r w:rsidR="00F11613">
        <w:rPr>
          <w:rFonts w:ascii="Book Antiqua" w:eastAsia="Book Antiqua" w:hAnsi="Book Antiqua" w:cs="Book Antiqua"/>
          <w:color w:val="000000"/>
        </w:rPr>
        <w:t>)</w:t>
      </w:r>
      <w:r>
        <w:rPr>
          <w:rFonts w:ascii="Book Antiqua" w:eastAsia="Book Antiqua" w:hAnsi="Book Antiqua" w:cs="Book Antiqua"/>
          <w:color w:val="000000"/>
        </w:rPr>
        <w:t xml:space="preserve"> concentrations, and DNA synthesis in the non-embolized liver after PVE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may be related to the mechanism of hyper-function of the FLR</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Functional transition evidently occurs after PVE because of the hypofunction of the embolized lobe and hyperfunction of the FLR.</w:t>
      </w:r>
    </w:p>
    <w:p w14:paraId="2D50C08F" w14:textId="0704E6E5" w:rsidR="00A77B3E" w:rsidRDefault="00882E46" w:rsidP="00F11613">
      <w:pPr>
        <w:spacing w:line="360" w:lineRule="auto"/>
        <w:ind w:firstLineChars="100" w:firstLine="240"/>
        <w:jc w:val="both"/>
      </w:pPr>
      <w:r>
        <w:rPr>
          <w:rFonts w:ascii="Book Antiqua" w:eastAsia="Book Antiqua" w:hAnsi="Book Antiqua" w:cs="Book Antiqua"/>
          <w:color w:val="000000"/>
        </w:rPr>
        <w:t xml:space="preserve">Moreover, as for the sequential relationship between FLRV increases and FFLRV, 3 patients experienced a marked decrease in FFLRV to levels below the FLRV at 2 wk after PVE. While these patients did not share obvious similarities, rapidly progressive fatty changes in FLR were observed after PVE in 1 patient. Tsai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the first case of acute non-alcoholic fatty change in the liver after PVE, suggesting a relationship between hemodynamic changes after PVE and fatty changes. A time-dependent fatty change in FLR was proven by biopsy in our study. There is a possible hypothesis on the mechanism underlying these fatty changes. Miyake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HSP70 Levels after right PVE were 2- to 4-fold higher in the non-embolized lobe than in the embolized lobe in 4 of 5 patients</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patient who did not experience this marked increase ultimately died of hepatic failure after extended right hepatic lobectomy. Archer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also showed that the decrease in HSP72 by siHSP72 Leads to lipid accumulation in the primary mouse hepatocytes. Thus, inhibition of HSP70 induction in the FLR after PVE may lead to fatty changes in the FLR and delay functional transition.</w:t>
      </w:r>
    </w:p>
    <w:p w14:paraId="0DF7F1FD"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In contrast, it was demonstrated that liver steatosis quantified with gadolinium ethoxybenzyl diethylenetriamine pentaacetic acid -enhanced liver MRI was associated with an impaired growth of FLR after portal vein occlusion in clinical cases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steatotic rats fed with a methionine-choline-deficient diet demonstrated impaired liver generation and less FLR function compared to control rats after portal vein ligation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7C0B27AF" w14:textId="2CD9C307" w:rsidR="00A77B3E" w:rsidRDefault="00882E46" w:rsidP="00F11613">
      <w:pPr>
        <w:spacing w:line="360" w:lineRule="auto"/>
        <w:ind w:firstLineChars="100" w:firstLine="240"/>
        <w:jc w:val="both"/>
      </w:pPr>
      <w:r>
        <w:rPr>
          <w:rFonts w:ascii="Book Antiqua" w:eastAsia="Book Antiqua" w:hAnsi="Book Antiqua" w:cs="Book Antiqua"/>
          <w:color w:val="000000"/>
        </w:rPr>
        <w:t xml:space="preserve">Increase in FLRV has generally only been used to determine the timing of hepatectomy after PVE; however, the risk of postoperative liver failure remains in some cases due to the functional transition lagging behind the increase in FLRV after PVE. However, in most cases, the increase in FFLRV is larger than that of FLRV after PVE. Therefore, both FLRV and FFLRV must be carefully considered when hepatectomy is performed. Furthermore, besides CT volumetry, evaluation of function with GSA is required. </w:t>
      </w:r>
    </w:p>
    <w:p w14:paraId="52FE6E4B" w14:textId="77064105" w:rsidR="00A77B3E" w:rsidRDefault="00882E46" w:rsidP="00F11613">
      <w:pPr>
        <w:spacing w:line="360" w:lineRule="auto"/>
        <w:ind w:firstLineChars="100" w:firstLine="240"/>
        <w:jc w:val="both"/>
      </w:pPr>
      <w:r>
        <w:rPr>
          <w:rFonts w:ascii="Book Antiqua" w:eastAsia="Book Antiqua" w:hAnsi="Book Antiqua" w:cs="Book Antiqua"/>
          <w:color w:val="000000"/>
        </w:rPr>
        <w:lastRenderedPageBreak/>
        <w:t>Associating liver partition and portal vein ligation for staged hepatectomy (ALPPS) enables rapid and extensive hypertrophy of the remnant liver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However, higher morbidity and mortality rates have been reported compared to the conventional methods of volume enhancement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Olthof </w:t>
      </w:r>
      <w:r>
        <w:rPr>
          <w:rFonts w:ascii="Book Antiqua" w:eastAsia="Book Antiqua" w:hAnsi="Book Antiqua" w:cs="Book Antiqua"/>
          <w:i/>
          <w:iCs/>
          <w:color w:val="000000"/>
        </w:rPr>
        <w:t>et al</w:t>
      </w:r>
      <w:r w:rsidR="00F11613">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the increase in the function of the FLR was less than that of the volume after stage 1. Calculation of FFLRV using 3D CT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SPECT fusion images may contribute to the improvement of the safety of ALPPS.</w:t>
      </w:r>
    </w:p>
    <w:p w14:paraId="05DA07B2" w14:textId="77777777" w:rsidR="00A77B3E" w:rsidRDefault="00882E46" w:rsidP="00F11613">
      <w:pPr>
        <w:spacing w:line="360" w:lineRule="auto"/>
        <w:ind w:firstLineChars="100" w:firstLine="240"/>
        <w:jc w:val="both"/>
      </w:pPr>
      <w:r>
        <w:rPr>
          <w:rFonts w:ascii="Book Antiqua" w:eastAsia="Book Antiqua" w:hAnsi="Book Antiqua" w:cs="Book Antiqua"/>
          <w:color w:val="000000"/>
        </w:rPr>
        <w:t xml:space="preserve">One of the limitations of this study is that only one of three patients who experienced a marked decrease in FFLRV to levels below the FLRV showed fatty changes in FLR after PVE. There could be multiple causes underlying the lagging of FFLRV behind the increase of FLRV. A large prospective study is needed to elucidate the underlying mechanism of the functional transition delay and fatty changes in FLR. Additionally, the effect of functional transition delay in clinical results, including postoperative liver failure, should be investigated in future studies. </w:t>
      </w:r>
    </w:p>
    <w:p w14:paraId="1865DFFA" w14:textId="77777777" w:rsidR="00A77B3E" w:rsidRDefault="00A77B3E">
      <w:pPr>
        <w:spacing w:line="360" w:lineRule="auto"/>
        <w:jc w:val="both"/>
      </w:pPr>
    </w:p>
    <w:p w14:paraId="174E4906" w14:textId="77777777" w:rsidR="00A77B3E" w:rsidRDefault="00882E46">
      <w:pPr>
        <w:spacing w:line="360" w:lineRule="auto"/>
        <w:jc w:val="both"/>
      </w:pPr>
      <w:r>
        <w:rPr>
          <w:rFonts w:ascii="Book Antiqua" w:eastAsia="Book Antiqua" w:hAnsi="Book Antiqua" w:cs="Book Antiqua"/>
          <w:b/>
          <w:caps/>
          <w:color w:val="000000"/>
          <w:u w:val="single"/>
        </w:rPr>
        <w:t>CONCLUSION</w:t>
      </w:r>
    </w:p>
    <w:p w14:paraId="31541E6F" w14:textId="77777777" w:rsidR="00A77B3E" w:rsidRDefault="00882E46" w:rsidP="00F11613">
      <w:pPr>
        <w:spacing w:line="360" w:lineRule="auto"/>
        <w:jc w:val="both"/>
      </w:pPr>
      <w:r>
        <w:rPr>
          <w:rFonts w:ascii="Book Antiqua" w:eastAsia="Book Antiqua" w:hAnsi="Book Antiqua" w:cs="Book Antiqua"/>
          <w:color w:val="000000"/>
        </w:rPr>
        <w:t xml:space="preserve">Although in most cases, the increase in FLRV lagged behind that of the FFLRV after PVE, the functional transition lagged behind the increase in FLRV in some cases. Evaluation of both volume and function by CT volumetry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 xml:space="preserve">Tc-GSA is required to determine the optimal timing of hepatectomy after PVE. </w:t>
      </w:r>
    </w:p>
    <w:p w14:paraId="03204518" w14:textId="77777777" w:rsidR="00A77B3E" w:rsidRDefault="00A77B3E" w:rsidP="00F11613">
      <w:pPr>
        <w:spacing w:line="360" w:lineRule="auto"/>
        <w:jc w:val="both"/>
      </w:pPr>
    </w:p>
    <w:p w14:paraId="0807691D" w14:textId="77777777" w:rsidR="00A77B3E" w:rsidRDefault="00882E46">
      <w:pPr>
        <w:spacing w:line="360" w:lineRule="auto"/>
        <w:jc w:val="both"/>
      </w:pPr>
      <w:r>
        <w:rPr>
          <w:rFonts w:ascii="Book Antiqua" w:eastAsia="Book Antiqua" w:hAnsi="Book Antiqua" w:cs="Book Antiqua"/>
          <w:b/>
          <w:caps/>
          <w:color w:val="000000"/>
          <w:u w:val="single"/>
        </w:rPr>
        <w:t>ARTICLE HIGHLIGHTS</w:t>
      </w:r>
    </w:p>
    <w:p w14:paraId="1F582447" w14:textId="77777777" w:rsidR="00A77B3E" w:rsidRDefault="00882E46">
      <w:pPr>
        <w:spacing w:line="360" w:lineRule="auto"/>
        <w:jc w:val="both"/>
      </w:pPr>
      <w:r>
        <w:rPr>
          <w:rFonts w:ascii="Book Antiqua" w:eastAsia="Book Antiqua" w:hAnsi="Book Antiqua" w:cs="Book Antiqua"/>
          <w:b/>
          <w:i/>
          <w:color w:val="000000"/>
        </w:rPr>
        <w:t>Research background</w:t>
      </w:r>
    </w:p>
    <w:p w14:paraId="13747EBE" w14:textId="60DBE26F" w:rsidR="00A77B3E" w:rsidRDefault="00882E46">
      <w:pPr>
        <w:spacing w:line="360" w:lineRule="auto"/>
        <w:jc w:val="both"/>
      </w:pPr>
      <w:r>
        <w:rPr>
          <w:rFonts w:ascii="Book Antiqua" w:eastAsia="Book Antiqua" w:hAnsi="Book Antiqua" w:cs="Book Antiqua"/>
          <w:color w:val="000000"/>
        </w:rPr>
        <w:t xml:space="preserve">Preoperative portal vein embolization (PVE) is a widely used strategy to enable major hepatectomy in patients with insufficient liver remnant. The timing of hepatectomy after PVE has been usually determined from future liver remnant volume (FLRV) based on </w:t>
      </w:r>
      <w:r w:rsidR="006F4098" w:rsidRPr="001450FA">
        <w:rPr>
          <w:rFonts w:ascii="Book Antiqua" w:eastAsia="Book Antiqua" w:hAnsi="Book Antiqua" w:cs="Book Antiqua"/>
          <w:color w:val="000000"/>
        </w:rPr>
        <w:t>computed tomography</w:t>
      </w:r>
      <w:r w:rsidR="006F4098">
        <w:rPr>
          <w:rFonts w:ascii="Book Antiqua" w:eastAsia="Book Antiqua" w:hAnsi="Book Antiqua" w:cs="Book Antiqua"/>
          <w:color w:val="000000"/>
        </w:rPr>
        <w:t xml:space="preserve"> (CT)</w:t>
      </w:r>
      <w:r>
        <w:rPr>
          <w:rFonts w:ascii="Book Antiqua" w:eastAsia="Book Antiqua" w:hAnsi="Book Antiqua" w:cs="Book Antiqua"/>
          <w:color w:val="000000"/>
        </w:rPr>
        <w:t xml:space="preserve"> volumetry.</w:t>
      </w:r>
    </w:p>
    <w:p w14:paraId="772F0A23" w14:textId="77777777" w:rsidR="00A77B3E" w:rsidRDefault="00A77B3E">
      <w:pPr>
        <w:spacing w:line="360" w:lineRule="auto"/>
        <w:jc w:val="both"/>
      </w:pPr>
    </w:p>
    <w:p w14:paraId="62A4D15E" w14:textId="77777777" w:rsidR="00A77B3E" w:rsidRDefault="00882E46">
      <w:pPr>
        <w:spacing w:line="360" w:lineRule="auto"/>
        <w:jc w:val="both"/>
      </w:pPr>
      <w:r>
        <w:rPr>
          <w:rFonts w:ascii="Book Antiqua" w:eastAsia="Book Antiqua" w:hAnsi="Book Antiqua" w:cs="Book Antiqua"/>
          <w:b/>
          <w:i/>
          <w:color w:val="000000"/>
        </w:rPr>
        <w:t>Research motivation</w:t>
      </w:r>
    </w:p>
    <w:p w14:paraId="6800F3EA" w14:textId="77777777" w:rsidR="00A77B3E" w:rsidRDefault="00882E46">
      <w:pPr>
        <w:spacing w:line="360" w:lineRule="auto"/>
        <w:jc w:val="both"/>
      </w:pPr>
      <w:r>
        <w:rPr>
          <w:rFonts w:ascii="Book Antiqua" w:eastAsia="Book Antiqua" w:hAnsi="Book Antiqua" w:cs="Book Antiqua"/>
          <w:color w:val="000000"/>
        </w:rPr>
        <w:lastRenderedPageBreak/>
        <w:t>PVE induces hypertrophy of the future liver remnant (FLR) and a shift of the functional reserve to the FLR. However, whether the increase in FLRV corresponds to the functional transition after PVE remains uncertain.</w:t>
      </w:r>
    </w:p>
    <w:p w14:paraId="079A4003" w14:textId="77777777" w:rsidR="00A77B3E" w:rsidRDefault="00A77B3E">
      <w:pPr>
        <w:spacing w:line="360" w:lineRule="auto"/>
        <w:jc w:val="both"/>
      </w:pPr>
    </w:p>
    <w:p w14:paraId="43966B10" w14:textId="77777777" w:rsidR="00A77B3E" w:rsidRDefault="00882E46">
      <w:pPr>
        <w:spacing w:line="360" w:lineRule="auto"/>
        <w:jc w:val="both"/>
      </w:pPr>
      <w:r>
        <w:rPr>
          <w:rFonts w:ascii="Book Antiqua" w:eastAsia="Book Antiqua" w:hAnsi="Book Antiqua" w:cs="Book Antiqua"/>
          <w:b/>
          <w:i/>
          <w:color w:val="000000"/>
        </w:rPr>
        <w:t>Research objectives</w:t>
      </w:r>
    </w:p>
    <w:p w14:paraId="7C961296" w14:textId="57956513" w:rsidR="00A77B3E" w:rsidRDefault="00882E46">
      <w:pPr>
        <w:spacing w:line="360" w:lineRule="auto"/>
        <w:jc w:val="both"/>
      </w:pPr>
      <w:r>
        <w:rPr>
          <w:rFonts w:ascii="Book Antiqua" w:eastAsia="Book Antiqua" w:hAnsi="Book Antiqua" w:cs="Book Antiqua"/>
          <w:color w:val="000000"/>
        </w:rPr>
        <w:t xml:space="preserve">The present study investigated the sequential relationship between the increase in the FLRV and functional transition after preoperative PVE. </w:t>
      </w:r>
    </w:p>
    <w:p w14:paraId="2453F32A" w14:textId="77777777" w:rsidR="00A77B3E" w:rsidRDefault="00A77B3E">
      <w:pPr>
        <w:spacing w:line="360" w:lineRule="auto"/>
        <w:jc w:val="both"/>
      </w:pPr>
    </w:p>
    <w:p w14:paraId="43A450AC" w14:textId="77777777" w:rsidR="00A77B3E" w:rsidRDefault="00882E46">
      <w:pPr>
        <w:spacing w:line="360" w:lineRule="auto"/>
        <w:jc w:val="both"/>
      </w:pPr>
      <w:r>
        <w:rPr>
          <w:rFonts w:ascii="Book Antiqua" w:eastAsia="Book Antiqua" w:hAnsi="Book Antiqua" w:cs="Book Antiqua"/>
          <w:b/>
          <w:i/>
          <w:color w:val="000000"/>
        </w:rPr>
        <w:t>Research methods</w:t>
      </w:r>
    </w:p>
    <w:p w14:paraId="11B7BC17" w14:textId="6E436881" w:rsidR="00A77B3E" w:rsidRDefault="00882E46">
      <w:pPr>
        <w:spacing w:line="360" w:lineRule="auto"/>
        <w:jc w:val="both"/>
      </w:pPr>
      <w:r>
        <w:rPr>
          <w:rFonts w:ascii="Book Antiqua" w:eastAsia="Book Antiqua" w:hAnsi="Book Antiqua" w:cs="Book Antiqua"/>
          <w:color w:val="000000"/>
        </w:rPr>
        <w:t xml:space="preserve">Thirty-three patients who underwent major hepatectomy following PVE were enrolled in this retrospective study. Functional </w:t>
      </w:r>
      <w:r w:rsidR="001450FA">
        <w:rPr>
          <w:rFonts w:ascii="Book Antiqua" w:eastAsia="Book Antiqua" w:hAnsi="Book Antiqua" w:cs="Book Antiqua"/>
          <w:color w:val="000000"/>
        </w:rPr>
        <w:t>FLRV</w:t>
      </w:r>
      <w:r>
        <w:rPr>
          <w:rFonts w:ascii="Book Antiqua" w:eastAsia="Book Antiqua" w:hAnsi="Book Antiqua" w:cs="Book Antiqua"/>
          <w:color w:val="000000"/>
        </w:rPr>
        <w:t xml:space="preserve"> (FFLRV) was defined as the total liver volume</w:t>
      </w:r>
      <w:r w:rsidR="00BF3DA9">
        <w:rPr>
          <w:rFonts w:ascii="Book Antiqua" w:eastAsia="Book Antiqua" w:hAnsi="Book Antiqua" w:cs="Book Antiqua"/>
          <w:color w:val="000000"/>
        </w:rPr>
        <w:t xml:space="preserve"> </w:t>
      </w:r>
      <w:r>
        <w:rPr>
          <w:rFonts w:ascii="Book Antiqua" w:eastAsia="Book Antiqua" w:hAnsi="Book Antiqua" w:cs="Book Antiqua"/>
          <w:color w:val="000000"/>
        </w:rPr>
        <w:t xml:space="preserve">× (FLR volume counts / total liver volume counts) on the </w:t>
      </w:r>
      <w:r w:rsidR="006F4098">
        <w:rPr>
          <w:rFonts w:ascii="Book Antiqua" w:eastAsia="Book Antiqua" w:hAnsi="Book Antiqua" w:cs="Book Antiqua"/>
          <w:color w:val="000000"/>
        </w:rPr>
        <w:t>3-</w:t>
      </w:r>
      <w:r w:rsidR="006F4098" w:rsidRPr="001450FA">
        <w:rPr>
          <w:rFonts w:ascii="Book Antiqua" w:eastAsia="Book Antiqua" w:hAnsi="Book Antiqua" w:cs="Book Antiqua"/>
          <w:color w:val="000000"/>
        </w:rPr>
        <w:t>dimensional</w:t>
      </w:r>
      <w:r>
        <w:rPr>
          <w:rFonts w:ascii="Book Antiqua" w:eastAsia="Book Antiqua" w:hAnsi="Book Antiqua" w:cs="Book Antiqua"/>
          <w:color w:val="000000"/>
        </w:rPr>
        <w:t xml:space="preserve"> </w:t>
      </w:r>
      <w:r w:rsidR="006F4098">
        <w:rPr>
          <w:rFonts w:ascii="Book Antiqua" w:eastAsia="Book Antiqua" w:hAnsi="Book Antiqua" w:cs="Book Antiqua"/>
          <w:color w:val="000000"/>
          <w:szCs w:val="30"/>
          <w:vertAlign w:val="superscript"/>
        </w:rPr>
        <w:t>99m</w:t>
      </w:r>
      <w:r w:rsidR="006F4098">
        <w:rPr>
          <w:rFonts w:ascii="Book Antiqua" w:eastAsia="Book Antiqua" w:hAnsi="Book Antiqua" w:cs="Book Antiqua"/>
          <w:color w:val="000000"/>
        </w:rPr>
        <w:t>Tc-galactosyl-human serum albumin (</w:t>
      </w:r>
      <w:r w:rsidR="006F4098">
        <w:rPr>
          <w:rFonts w:ascii="Book Antiqua" w:eastAsia="Book Antiqua" w:hAnsi="Book Antiqua" w:cs="Book Antiqua"/>
          <w:color w:val="000000"/>
          <w:szCs w:val="30"/>
          <w:vertAlign w:val="superscript"/>
        </w:rPr>
        <w:t>99m</w:t>
      </w:r>
      <w:r w:rsidR="006F4098">
        <w:rPr>
          <w:rFonts w:ascii="Book Antiqua" w:eastAsia="Book Antiqua" w:hAnsi="Book Antiqua" w:cs="Book Antiqua"/>
          <w:color w:val="000000"/>
        </w:rPr>
        <w:t>Tc-GSA) single-photon emission CT</w:t>
      </w:r>
      <w:r>
        <w:rPr>
          <w:rFonts w:ascii="Book Antiqua" w:eastAsia="Book Antiqua" w:hAnsi="Book Antiqua" w:cs="Book Antiqua"/>
          <w:color w:val="000000"/>
        </w:rPr>
        <w:t xml:space="preserve"> CT-fused images. The calculated FFLRV was compared with FLRV.</w:t>
      </w:r>
    </w:p>
    <w:p w14:paraId="50B77D85" w14:textId="77777777" w:rsidR="00A77B3E" w:rsidRDefault="00A77B3E">
      <w:pPr>
        <w:spacing w:line="360" w:lineRule="auto"/>
        <w:jc w:val="both"/>
      </w:pPr>
    </w:p>
    <w:p w14:paraId="2A5735E1" w14:textId="77777777" w:rsidR="00A77B3E" w:rsidRDefault="00882E46">
      <w:pPr>
        <w:spacing w:line="360" w:lineRule="auto"/>
        <w:jc w:val="both"/>
      </w:pPr>
      <w:r>
        <w:rPr>
          <w:rFonts w:ascii="Book Antiqua" w:eastAsia="Book Antiqua" w:hAnsi="Book Antiqua" w:cs="Book Antiqua"/>
          <w:b/>
          <w:i/>
          <w:color w:val="000000"/>
        </w:rPr>
        <w:t>Research results</w:t>
      </w:r>
    </w:p>
    <w:p w14:paraId="6EBAB50E" w14:textId="226CFC8F" w:rsidR="00A77B3E" w:rsidRDefault="00882E46">
      <w:pPr>
        <w:spacing w:line="360" w:lineRule="auto"/>
        <w:jc w:val="both"/>
      </w:pPr>
      <w:r>
        <w:rPr>
          <w:rFonts w:ascii="Book Antiqua" w:eastAsia="Book Antiqua" w:hAnsi="Book Antiqua" w:cs="Book Antiqua"/>
          <w:color w:val="000000"/>
        </w:rPr>
        <w:t>FFLRV increased by a significantly larger extent than FLRV at 1 and 2 wk after PVE (</w:t>
      </w:r>
      <w:r w:rsidRPr="006F4098">
        <w:rPr>
          <w:rFonts w:ascii="Book Antiqua" w:eastAsia="Book Antiqua" w:hAnsi="Book Antiqua" w:cs="Book Antiqua"/>
          <w:i/>
          <w:iCs/>
          <w:color w:val="000000"/>
        </w:rPr>
        <w:t>P</w:t>
      </w:r>
      <w:r w:rsidR="006F4098">
        <w:rPr>
          <w:rFonts w:ascii="Book Antiqua" w:eastAsia="Book Antiqua" w:hAnsi="Book Antiqua" w:cs="Book Antiqua"/>
          <w:color w:val="000000"/>
        </w:rPr>
        <w:t xml:space="preserve"> </w:t>
      </w:r>
      <w:r>
        <w:rPr>
          <w:rFonts w:ascii="Book Antiqua" w:eastAsia="Book Antiqua" w:hAnsi="Book Antiqua" w:cs="Book Antiqua"/>
          <w:color w:val="000000"/>
        </w:rPr>
        <w:t>&lt;</w:t>
      </w:r>
      <w:r w:rsidR="006F4098">
        <w:rPr>
          <w:rFonts w:ascii="Book Antiqua" w:eastAsia="Book Antiqua" w:hAnsi="Book Antiqua" w:cs="Book Antiqua"/>
          <w:color w:val="000000"/>
        </w:rPr>
        <w:t xml:space="preserve"> </w:t>
      </w:r>
      <w:r>
        <w:rPr>
          <w:rFonts w:ascii="Book Antiqua" w:eastAsia="Book Antiqua" w:hAnsi="Book Antiqua" w:cs="Book Antiqua"/>
          <w:color w:val="000000"/>
        </w:rPr>
        <w:t>0.01); however</w:t>
      </w:r>
      <w:r w:rsidR="006F4098">
        <w:rPr>
          <w:rFonts w:ascii="Book Antiqua" w:eastAsia="Book Antiqua" w:hAnsi="Book Antiqua" w:cs="Book Antiqua"/>
          <w:color w:val="000000"/>
        </w:rPr>
        <w:t>,</w:t>
      </w:r>
      <w:r>
        <w:rPr>
          <w:rFonts w:ascii="Book Antiqua" w:eastAsia="Book Antiqua" w:hAnsi="Book Antiqua" w:cs="Book Antiqua"/>
          <w:color w:val="000000"/>
        </w:rPr>
        <w:t xml:space="preserve"> in 3 of the 33 patients, FFLRV levels decreased below FLRV at 2 wk. One of the three patients showed rapidly progressive fatty changes in FLR.</w:t>
      </w:r>
    </w:p>
    <w:p w14:paraId="0BC0BC65" w14:textId="77777777" w:rsidR="00A77B3E" w:rsidRDefault="00A77B3E">
      <w:pPr>
        <w:spacing w:line="360" w:lineRule="auto"/>
        <w:jc w:val="both"/>
      </w:pPr>
    </w:p>
    <w:p w14:paraId="7C082E27" w14:textId="77777777" w:rsidR="00A77B3E" w:rsidRDefault="00882E46">
      <w:pPr>
        <w:spacing w:line="360" w:lineRule="auto"/>
        <w:jc w:val="both"/>
      </w:pPr>
      <w:r>
        <w:rPr>
          <w:rFonts w:ascii="Book Antiqua" w:eastAsia="Book Antiqua" w:hAnsi="Book Antiqua" w:cs="Book Antiqua"/>
          <w:b/>
          <w:i/>
          <w:color w:val="000000"/>
        </w:rPr>
        <w:t>Research conclusions</w:t>
      </w:r>
    </w:p>
    <w:p w14:paraId="60DF8899" w14:textId="77777777" w:rsidR="00A77B3E" w:rsidRDefault="00882E46">
      <w:pPr>
        <w:spacing w:line="360" w:lineRule="auto"/>
        <w:jc w:val="both"/>
      </w:pPr>
      <w:r>
        <w:rPr>
          <w:rFonts w:ascii="Book Antiqua" w:eastAsia="Book Antiqua" w:hAnsi="Book Antiqua" w:cs="Book Antiqua"/>
          <w:color w:val="000000"/>
        </w:rPr>
        <w:t xml:space="preserve">The results indicate that functional transition lagged behind the increase in FLRV after PVE in some cases. The evaluation of both volume and function by CT volumetry and </w:t>
      </w:r>
      <w:r>
        <w:rPr>
          <w:rFonts w:ascii="Book Antiqua" w:eastAsia="Book Antiqua" w:hAnsi="Book Antiqua" w:cs="Book Antiqua"/>
          <w:color w:val="000000"/>
          <w:szCs w:val="30"/>
          <w:vertAlign w:val="superscript"/>
        </w:rPr>
        <w:t>99m</w:t>
      </w:r>
      <w:r>
        <w:rPr>
          <w:rFonts w:ascii="Book Antiqua" w:eastAsia="Book Antiqua" w:hAnsi="Book Antiqua" w:cs="Book Antiqua"/>
          <w:color w:val="000000"/>
        </w:rPr>
        <w:t>Tc-GSA are needed to determine the optimal timing of hepatectomy after PVE for preventing fatal liver failure after major hepatectomy.</w:t>
      </w:r>
    </w:p>
    <w:p w14:paraId="7A884E4A" w14:textId="77777777" w:rsidR="00A77B3E" w:rsidRDefault="00A77B3E">
      <w:pPr>
        <w:spacing w:line="360" w:lineRule="auto"/>
        <w:jc w:val="both"/>
      </w:pPr>
    </w:p>
    <w:p w14:paraId="5A305E9F" w14:textId="77777777" w:rsidR="00A77B3E" w:rsidRDefault="00882E46">
      <w:pPr>
        <w:spacing w:line="360" w:lineRule="auto"/>
        <w:jc w:val="both"/>
      </w:pPr>
      <w:r>
        <w:rPr>
          <w:rFonts w:ascii="Book Antiqua" w:eastAsia="Book Antiqua" w:hAnsi="Book Antiqua" w:cs="Book Antiqua"/>
          <w:b/>
          <w:i/>
          <w:color w:val="000000"/>
        </w:rPr>
        <w:t>Research perspectives</w:t>
      </w:r>
    </w:p>
    <w:p w14:paraId="0CAAEFC7" w14:textId="77777777" w:rsidR="00A77B3E" w:rsidRDefault="00882E46">
      <w:pPr>
        <w:spacing w:line="360" w:lineRule="auto"/>
        <w:jc w:val="both"/>
      </w:pPr>
      <w:r>
        <w:rPr>
          <w:rFonts w:ascii="Book Antiqua" w:eastAsia="Book Antiqua" w:hAnsi="Book Antiqua" w:cs="Book Antiqua"/>
          <w:color w:val="000000"/>
        </w:rPr>
        <w:t>Further research is needed to elucidate the underlying mechanism of the functional transition delay and fatty changes in FLR.</w:t>
      </w:r>
    </w:p>
    <w:p w14:paraId="14BD5BFE" w14:textId="77777777" w:rsidR="00A77B3E" w:rsidRDefault="00A77B3E">
      <w:pPr>
        <w:spacing w:line="360" w:lineRule="auto"/>
        <w:jc w:val="both"/>
      </w:pPr>
    </w:p>
    <w:p w14:paraId="3F7EE9AD" w14:textId="77777777" w:rsidR="00A77B3E" w:rsidRDefault="00882E46">
      <w:pPr>
        <w:spacing w:line="360" w:lineRule="auto"/>
        <w:jc w:val="both"/>
      </w:pPr>
      <w:r>
        <w:rPr>
          <w:rFonts w:ascii="Book Antiqua" w:eastAsia="Book Antiqua" w:hAnsi="Book Antiqua" w:cs="Book Antiqua"/>
          <w:b/>
          <w:color w:val="000000"/>
        </w:rPr>
        <w:t>REFERENCES</w:t>
      </w:r>
    </w:p>
    <w:p w14:paraId="02D779DA" w14:textId="77777777" w:rsidR="00A77B3E" w:rsidRDefault="00882E4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Reissfelder C</w:t>
      </w:r>
      <w:r>
        <w:rPr>
          <w:rFonts w:ascii="Book Antiqua" w:eastAsia="Book Antiqua" w:hAnsi="Book Antiqua" w:cs="Book Antiqua"/>
          <w:color w:val="000000"/>
        </w:rPr>
        <w:t xml:space="preserve">, Rahbari NN, Koch M, Kofler B, Sutedja N, Elbers H, Büchler MW, Weitz J. Postoperative course and clinical significance of biochemical blood tests following hepatic resection.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836-844 [PMID: 21456090 DOI: 10.1002/bjs.7459]</w:t>
      </w:r>
    </w:p>
    <w:p w14:paraId="1F6A582B" w14:textId="77777777" w:rsidR="00A77B3E" w:rsidRDefault="00882E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Belghiti J</w:t>
      </w:r>
      <w:r>
        <w:rPr>
          <w:rFonts w:ascii="Book Antiqua" w:eastAsia="Book Antiqua" w:hAnsi="Book Antiqua" w:cs="Book Antiqua"/>
          <w:color w:val="000000"/>
        </w:rPr>
        <w:t xml:space="preserve">, Hiramatsu K, Benoist S, Massault P, Sauvanet A, Farges O. Seven hundred forty-seven hepatectomies in the 1990s: an update to evaluate the actual risk of liver resection.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191</w:t>
      </w:r>
      <w:r>
        <w:rPr>
          <w:rFonts w:ascii="Book Antiqua" w:eastAsia="Book Antiqua" w:hAnsi="Book Antiqua" w:cs="Book Antiqua"/>
          <w:color w:val="000000"/>
        </w:rPr>
        <w:t>: 38-46 [PMID: 10898182 DOI: 10.1016/S1072-7515(00)00261-1]</w:t>
      </w:r>
    </w:p>
    <w:p w14:paraId="4DC53766" w14:textId="77777777" w:rsidR="00A77B3E" w:rsidRDefault="00882E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Mullen JT</w:t>
      </w:r>
      <w:r>
        <w:rPr>
          <w:rFonts w:ascii="Book Antiqua" w:eastAsia="Book Antiqua" w:hAnsi="Book Antiqua" w:cs="Book Antiqua"/>
          <w:color w:val="000000"/>
        </w:rPr>
        <w:t xml:space="preserve">, Ribero D, Reddy SK, Donadon M, Zorzi D, Gautam S, Abdalla EK, Curley SA, Capussotti L, Clary BM, Vauthey JN. Hepatic insufficiency and mortality in 1,059 noncirrhotic patients undergoing major hepatectomy.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204</w:t>
      </w:r>
      <w:r>
        <w:rPr>
          <w:rFonts w:ascii="Book Antiqua" w:eastAsia="Book Antiqua" w:hAnsi="Book Antiqua" w:cs="Book Antiqua"/>
          <w:color w:val="000000"/>
        </w:rPr>
        <w:t>: 854-62; discussion 862-4 [PMID: 17481498 DOI: 10.1016/j.jamcollsurg.2006.12.032]</w:t>
      </w:r>
    </w:p>
    <w:p w14:paraId="21EB235E" w14:textId="6746E3C7" w:rsidR="00A77B3E" w:rsidRDefault="00882E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Jarnagin WR</w:t>
      </w:r>
      <w:r>
        <w:rPr>
          <w:rFonts w:ascii="Book Antiqua" w:eastAsia="Book Antiqua" w:hAnsi="Book Antiqua" w:cs="Book Antiqua"/>
          <w:color w:val="000000"/>
        </w:rPr>
        <w:t xml:space="preserve">, Gonen M, Fong Y, DeMatteo RP, Ben-Porat L, Little S, Corvera C, Weber S, Blumgart LH. Improvement in perioperative outcome after hepatic resection: analysis of 1,803 consecutive cases over the past decade.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236</w:t>
      </w:r>
      <w:r>
        <w:rPr>
          <w:rFonts w:ascii="Book Antiqua" w:eastAsia="Book Antiqua" w:hAnsi="Book Antiqua" w:cs="Book Antiqua"/>
          <w:color w:val="000000"/>
        </w:rPr>
        <w:t>: 397-406; discussion 406-</w:t>
      </w:r>
      <w:r w:rsidR="00155EB8">
        <w:rPr>
          <w:rFonts w:ascii="Book Antiqua" w:eastAsia="Book Antiqua" w:hAnsi="Book Antiqua" w:cs="Book Antiqua"/>
          <w:color w:val="000000"/>
        </w:rPr>
        <w:t>40</w:t>
      </w:r>
      <w:r>
        <w:rPr>
          <w:rFonts w:ascii="Book Antiqua" w:eastAsia="Book Antiqua" w:hAnsi="Book Antiqua" w:cs="Book Antiqua"/>
          <w:color w:val="000000"/>
        </w:rPr>
        <w:t>7 [PMID: 12368667 DOI: 10.1097/00000658-200210000-00001]</w:t>
      </w:r>
    </w:p>
    <w:p w14:paraId="54B8826C" w14:textId="77777777" w:rsidR="00A77B3E" w:rsidRDefault="00882E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Kishi Y</w:t>
      </w:r>
      <w:r>
        <w:rPr>
          <w:rFonts w:ascii="Book Antiqua" w:eastAsia="Book Antiqua" w:hAnsi="Book Antiqua" w:cs="Book Antiqua"/>
          <w:color w:val="000000"/>
        </w:rPr>
        <w:t xml:space="preserve">, Abdalla EK, Chun YS, Zorzi D, Madoff DC, Wallace MJ, Curley SA, Vauthey JN. Three hundred and one consecutive extended right hepatectomies: evaluation of outcome based on systematic liver volumetry.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540-548 [PMID: 19730239 DOI: 10.1097/SLA.0b013e3181b674df]</w:t>
      </w:r>
    </w:p>
    <w:p w14:paraId="457048B1" w14:textId="77777777" w:rsidR="00A77B3E" w:rsidRDefault="00882E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Shoup M</w:t>
      </w:r>
      <w:r>
        <w:rPr>
          <w:rFonts w:ascii="Book Antiqua" w:eastAsia="Book Antiqua" w:hAnsi="Book Antiqua" w:cs="Book Antiqua"/>
          <w:color w:val="000000"/>
        </w:rPr>
        <w:t xml:space="preserve">, Gonen M, D'Angelica M, Jarnagin WR, DeMatteo RP, Schwartz LH, Tuorto S, Blumgart LH, Fong Y. Volumetric analysis predicts hepatic dysfunction in patients undergoing major liver resection.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325-330 [PMID: 12654556 DOI: 10.1016/S1091-255X(02)00370-0]</w:t>
      </w:r>
    </w:p>
    <w:p w14:paraId="7FA197DF" w14:textId="77777777" w:rsidR="00A77B3E" w:rsidRDefault="00882E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Vauthey JN</w:t>
      </w:r>
      <w:r>
        <w:rPr>
          <w:rFonts w:ascii="Book Antiqua" w:eastAsia="Book Antiqua" w:hAnsi="Book Antiqua" w:cs="Book Antiqua"/>
          <w:color w:val="000000"/>
        </w:rPr>
        <w:t xml:space="preserve">, Chaoui A, Do KA, Bilimoria MM, Fenstermacher MJ, Charnsangavej C, Hicks M, Alsfasser G, Lauwers G, Hawkins IF, Caridi J. Standardized measurement of the future liver remnant prior to extended liver resection: methodology and clinical associations.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127</w:t>
      </w:r>
      <w:r>
        <w:rPr>
          <w:rFonts w:ascii="Book Antiqua" w:eastAsia="Book Antiqua" w:hAnsi="Book Antiqua" w:cs="Book Antiqua"/>
          <w:color w:val="000000"/>
        </w:rPr>
        <w:t>: 512-519 [PMID: 10819059 DOI: 10.1067/msy.2000.105294]</w:t>
      </w:r>
    </w:p>
    <w:p w14:paraId="754C4397" w14:textId="77777777" w:rsidR="00A77B3E" w:rsidRDefault="00882E46">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Kubota K</w:t>
      </w:r>
      <w:r>
        <w:rPr>
          <w:rFonts w:ascii="Book Antiqua" w:eastAsia="Book Antiqua" w:hAnsi="Book Antiqua" w:cs="Book Antiqua"/>
          <w:color w:val="000000"/>
        </w:rPr>
        <w:t xml:space="preserve">, Makuuchi M, Kusaka K, Kobayashi T, Miki K, Hasegawa K, Harihara Y, Takayama T. Measurement of liver volume and hepatic functional reserve as a guide to decision-making in resectional surgery for hepatic tumors.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1176-1181 [PMID: 9362359 DOI: 10.1053/jhep.1997.v26.pm0009362359]</w:t>
      </w:r>
    </w:p>
    <w:p w14:paraId="09C9E22F" w14:textId="77777777" w:rsidR="00A77B3E" w:rsidRDefault="00882E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Schindl MJ</w:t>
      </w:r>
      <w:r>
        <w:rPr>
          <w:rFonts w:ascii="Book Antiqua" w:eastAsia="Book Antiqua" w:hAnsi="Book Antiqua" w:cs="Book Antiqua"/>
          <w:color w:val="000000"/>
        </w:rPr>
        <w:t xml:space="preserve">, Redhead DN, Fearon KC, Garden OJ, Wigmore SJ; Edinburgh Liver Surgery and Transplantation Experimental Research Group (eLISTER). The value of residual liver volume as a predictor of hepatic dysfunction and infection after major liver resection.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289-296 [PMID: 15647196 DOI: 10.1136/gut.2004.046524]</w:t>
      </w:r>
    </w:p>
    <w:p w14:paraId="20F6CEF6" w14:textId="77777777" w:rsidR="00A77B3E" w:rsidRDefault="00882E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Kinoshita H</w:t>
      </w:r>
      <w:r>
        <w:rPr>
          <w:rFonts w:ascii="Book Antiqua" w:eastAsia="Book Antiqua" w:hAnsi="Book Antiqua" w:cs="Book Antiqua"/>
          <w:color w:val="000000"/>
        </w:rPr>
        <w:t xml:space="preserve">, Sakai K, Hirohashi K, Igawa S, Yamasaki O, Kubo S. Preoperative portal vein embolization for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10</w:t>
      </w:r>
      <w:r>
        <w:rPr>
          <w:rFonts w:ascii="Book Antiqua" w:eastAsia="Book Antiqua" w:hAnsi="Book Antiqua" w:cs="Book Antiqua"/>
          <w:color w:val="000000"/>
        </w:rPr>
        <w:t>: 803-808 [PMID: 3022488 DOI: 10.1007/BF01655244]</w:t>
      </w:r>
    </w:p>
    <w:p w14:paraId="376E7B73" w14:textId="77777777" w:rsidR="00A77B3E" w:rsidRDefault="00882E4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Giraudo G</w:t>
      </w:r>
      <w:r>
        <w:rPr>
          <w:rFonts w:ascii="Book Antiqua" w:eastAsia="Book Antiqua" w:hAnsi="Book Antiqua" w:cs="Book Antiqua"/>
          <w:color w:val="000000"/>
        </w:rPr>
        <w:t xml:space="preserve">, Greget M, Oussoultzoglou E, Rosso E, Bachellier P, Jaeck D. Preoperative contralateral portal vein embolization before major hepatic resection is a safe and efficient procedure: a large single institution experience.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476-482 [PMID: 18374044 DOI: 10.1016/j.surg.2007.12.006]</w:t>
      </w:r>
    </w:p>
    <w:p w14:paraId="2482BA94" w14:textId="77777777" w:rsidR="00A77B3E" w:rsidRDefault="00882E4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Nagino M</w:t>
      </w:r>
      <w:r>
        <w:rPr>
          <w:rFonts w:ascii="Book Antiqua" w:eastAsia="Book Antiqua" w:hAnsi="Book Antiqua" w:cs="Book Antiqua"/>
          <w:color w:val="000000"/>
        </w:rPr>
        <w:t xml:space="preserve">, Kamiya J, Nishio H, Ebata T, Arai T, Nimura Y. Two hundred forty consecutive portal vein embolizations before extended hepatectomy for biliary cancer: surgical outcome and long-term follow-up.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364-372 [PMID: 16495702 DOI: 10.1097/01.sla.0000201482.11876.14]</w:t>
      </w:r>
    </w:p>
    <w:p w14:paraId="463C8466" w14:textId="77777777" w:rsidR="00A77B3E" w:rsidRDefault="00882E4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Abulkhir A</w:t>
      </w:r>
      <w:r>
        <w:rPr>
          <w:rFonts w:ascii="Book Antiqua" w:eastAsia="Book Antiqua" w:hAnsi="Book Antiqua" w:cs="Book Antiqua"/>
          <w:color w:val="000000"/>
        </w:rPr>
        <w:t xml:space="preserve">, Limongelli P, Healey AJ, Damrah O, Tait P, Jackson J, Habib N, Jiao LR. Preoperative portal vein embolization for major liver resection: a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49-57 [PMID: 18156923 DOI: 10.1097/SLA.0b013e31815f6e5b]</w:t>
      </w:r>
    </w:p>
    <w:p w14:paraId="1AB02595" w14:textId="77777777" w:rsidR="00A77B3E" w:rsidRDefault="00882E4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Beppu T</w:t>
      </w:r>
      <w:r>
        <w:rPr>
          <w:rFonts w:ascii="Book Antiqua" w:eastAsia="Book Antiqua" w:hAnsi="Book Antiqua" w:cs="Book Antiqua"/>
          <w:color w:val="000000"/>
        </w:rPr>
        <w:t xml:space="preserve">, Hayashi H, Okabe H, Masuda T, Mima K, Otao R, Chikamoto A, Doi K, Ishiko T, Takamori H, Yoshida M, Shiraishi S, Yamashita Y, Baba H. Liver functional volumetry for portal vein embolization using a newly developed 99mTc-galactosyl human serum albumin scintigraphy SPECT-computed tomography fusion system.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938-943 [PMID: 21523415 DOI: 10.1007/s00535-011-0406-x]</w:t>
      </w:r>
    </w:p>
    <w:p w14:paraId="729E8783" w14:textId="77777777" w:rsidR="00A77B3E" w:rsidRDefault="00882E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Nanashima A</w:t>
      </w:r>
      <w:r>
        <w:rPr>
          <w:rFonts w:ascii="Book Antiqua" w:eastAsia="Book Antiqua" w:hAnsi="Book Antiqua" w:cs="Book Antiqua"/>
          <w:color w:val="000000"/>
        </w:rPr>
        <w:t xml:space="preserve">, Tobinaga S, Abo T, Sumida Y, Araki M, Hayashi H, Sakamoto I, Kudo T, Takeshita H, Hidaka S, Sawai T, Hatano K, Nagayasu T. Relationship of hepatic </w:t>
      </w:r>
      <w:r>
        <w:rPr>
          <w:rFonts w:ascii="Book Antiqua" w:eastAsia="Book Antiqua" w:hAnsi="Book Antiqua" w:cs="Book Antiqua"/>
          <w:color w:val="000000"/>
        </w:rPr>
        <w:lastRenderedPageBreak/>
        <w:t xml:space="preserve">functional parameters with changes of functional liver volume using technetium-99m galactosyl serum albumin scintigraphy in patients undergoing preoperative portal vein embolization: a follow-up report.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164</w:t>
      </w:r>
      <w:r>
        <w:rPr>
          <w:rFonts w:ascii="Book Antiqua" w:eastAsia="Book Antiqua" w:hAnsi="Book Antiqua" w:cs="Book Antiqua"/>
          <w:color w:val="000000"/>
        </w:rPr>
        <w:t>: e235-e242 [PMID: 20869076 DOI: 10.1016/j.jss.2010.06.003]</w:t>
      </w:r>
    </w:p>
    <w:p w14:paraId="46C1AA3F" w14:textId="77777777" w:rsidR="00A77B3E" w:rsidRDefault="00882E4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Ha-Kawa SK</w:t>
      </w:r>
      <w:r>
        <w:rPr>
          <w:rFonts w:ascii="Book Antiqua" w:eastAsia="Book Antiqua" w:hAnsi="Book Antiqua" w:cs="Book Antiqua"/>
          <w:color w:val="000000"/>
        </w:rPr>
        <w:t xml:space="preserve">, Tanaka Y, Hasebe S, Kuniyasu Y, Koizumi K, Ishii Y, Yamamoto K, Kashiwagi T, Ito A, Kudo M, Ikekubo K, Tsuda T, Murase K. Compartmental analysis of asialoglycoprotein receptor scintigraphy for quantitative measurement of liver function: a multicentre study. </w:t>
      </w:r>
      <w:r>
        <w:rPr>
          <w:rFonts w:ascii="Book Antiqua" w:eastAsia="Book Antiqua" w:hAnsi="Book Antiqua" w:cs="Book Antiqua"/>
          <w:i/>
          <w:iCs/>
          <w:color w:val="000000"/>
        </w:rPr>
        <w:t>Eur J Nucl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130-137 [PMID: 9021109 DOI: 10.1007/BF02439544]</w:t>
      </w:r>
    </w:p>
    <w:p w14:paraId="0EACFDE5" w14:textId="77777777" w:rsidR="00A77B3E" w:rsidRDefault="00882E4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Akaki S</w:t>
      </w:r>
      <w:r>
        <w:rPr>
          <w:rFonts w:ascii="Book Antiqua" w:eastAsia="Book Antiqua" w:hAnsi="Book Antiqua" w:cs="Book Antiqua"/>
          <w:color w:val="000000"/>
        </w:rPr>
        <w:t xml:space="preserve">, Okumura Y, Sasai N, Sato S, Tsunoda M, Kuroda M, Kanazawa S, Hiraki Y. Hepatectomy simulation discrepancy between radionuclide receptor imaging and CT volumetry: influence of decreased unilateral portal venous flow. </w:t>
      </w:r>
      <w:r>
        <w:rPr>
          <w:rFonts w:ascii="Book Antiqua" w:eastAsia="Book Antiqua" w:hAnsi="Book Antiqua" w:cs="Book Antiqua"/>
          <w:i/>
          <w:iCs/>
          <w:color w:val="000000"/>
        </w:rPr>
        <w:t>Ann Nucl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23-29 [PMID: 12691127 DOI: 10.1007/BF02988255]</w:t>
      </w:r>
    </w:p>
    <w:p w14:paraId="1D94E6DA" w14:textId="77777777" w:rsidR="00A77B3E" w:rsidRDefault="00882E4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Tsuruga Y</w:t>
      </w:r>
      <w:r>
        <w:rPr>
          <w:rFonts w:ascii="Book Antiqua" w:eastAsia="Book Antiqua" w:hAnsi="Book Antiqua" w:cs="Book Antiqua"/>
          <w:color w:val="000000"/>
        </w:rPr>
        <w:t xml:space="preserve">, Kamiyama T, Kamachi H, Shimada S, Wakayama K, Orimo T, Kakisaka T, Yokoo H, Taketomi A. Significance of functional hepatic resection rate calculated using 3D CT/(99m)Tc-galactosyl human serum albumin single-photon emission computed tomography fusion imaging.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4373-4379 [PMID: 27158206 DOI: 10.3748/wjg.v22.i17.4373]</w:t>
      </w:r>
    </w:p>
    <w:p w14:paraId="7468F68F" w14:textId="77777777" w:rsidR="00A77B3E" w:rsidRDefault="00882E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Kamiyama T</w:t>
      </w:r>
      <w:r>
        <w:rPr>
          <w:rFonts w:ascii="Book Antiqua" w:eastAsia="Book Antiqua" w:hAnsi="Book Antiqua" w:cs="Book Antiqua"/>
          <w:color w:val="000000"/>
        </w:rPr>
        <w:t xml:space="preserve">, Nakanishi K, Yokoo H, Kamachi H, Tahara M, Yamashita K, Taniguchi M, Shimamura T, Matsushita M, Todo S. Perioperative management of hepatic resection toward zero mortality and morbidity: analysis of 793 consecutive cases in a single institution.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211</w:t>
      </w:r>
      <w:r>
        <w:rPr>
          <w:rFonts w:ascii="Book Antiqua" w:eastAsia="Book Antiqua" w:hAnsi="Book Antiqua" w:cs="Book Antiqua"/>
          <w:color w:val="000000"/>
        </w:rPr>
        <w:t>: 443-449 [PMID: 20822741 DOI: 10.1016/j.jamcollsurg.2010.06.005]</w:t>
      </w:r>
    </w:p>
    <w:p w14:paraId="79C7C315" w14:textId="77777777" w:rsidR="00A77B3E" w:rsidRDefault="00882E4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Sakuhara Y</w:t>
      </w:r>
      <w:r>
        <w:rPr>
          <w:rFonts w:ascii="Book Antiqua" w:eastAsia="Book Antiqua" w:hAnsi="Book Antiqua" w:cs="Book Antiqua"/>
          <w:color w:val="000000"/>
        </w:rPr>
        <w:t xml:space="preserve">, Abo D, Hasegawa Y, Shimizu T, Kamiyama T, Hirano S, Fukumori D, Kawamura T, Ito YM, Tha KK, Shirato H, Terae S. Preoperative percutaneous transhepatic portal vein embolization with ethanol injection.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198</w:t>
      </w:r>
      <w:r>
        <w:rPr>
          <w:rFonts w:ascii="Book Antiqua" w:eastAsia="Book Antiqua" w:hAnsi="Book Antiqua" w:cs="Book Antiqua"/>
          <w:color w:val="000000"/>
        </w:rPr>
        <w:t>: 914-922 [PMID: 22451561 DOI: 10.2214/AJR.11.6515]</w:t>
      </w:r>
    </w:p>
    <w:p w14:paraId="7F93F5A2" w14:textId="77777777" w:rsidR="00A77B3E" w:rsidRDefault="00882E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Ohshima S</w:t>
      </w:r>
      <w:r>
        <w:rPr>
          <w:rFonts w:ascii="Book Antiqua" w:eastAsia="Book Antiqua" w:hAnsi="Book Antiqua" w:cs="Book Antiqua"/>
          <w:color w:val="000000"/>
        </w:rPr>
        <w:t xml:space="preserve">. Volume analyzer SYNAPSE VINCENT for liver analysis.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235-238 [PMID: 24520049 DOI: 10.1002/jhbp.81]</w:t>
      </w:r>
    </w:p>
    <w:p w14:paraId="6A43558A" w14:textId="77777777" w:rsidR="00A77B3E" w:rsidRDefault="00882E46">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Kanda Y</w:t>
      </w:r>
      <w:r>
        <w:rPr>
          <w:rFonts w:ascii="Book Antiqua" w:eastAsia="Book Antiqua" w:hAnsi="Book Antiqua" w:cs="Book Antiqua"/>
          <w:color w:val="000000"/>
        </w:rPr>
        <w:t xml:space="preserve">. Investigation of the freely available easy-to-use software 'EZR' for medical statistics.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452-458 [PMID: 23208313 DOI: 10.1038/bmt.2012.244]</w:t>
      </w:r>
    </w:p>
    <w:p w14:paraId="34357B8E" w14:textId="0402AC88" w:rsidR="00A77B3E" w:rsidRDefault="00882E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Isfordink CJ</w:t>
      </w:r>
      <w:r>
        <w:rPr>
          <w:rFonts w:ascii="Book Antiqua" w:eastAsia="Book Antiqua" w:hAnsi="Book Antiqua" w:cs="Book Antiqua"/>
          <w:color w:val="000000"/>
        </w:rPr>
        <w:t xml:space="preserve">, Samim M, Braat MNGJA, Almalki AM, Hagendoorn J, Borel Rinkes IHM, Molenaar IQ. Portal vein ligation </w:t>
      </w:r>
      <w:r w:rsidRPr="005D24DA">
        <w:rPr>
          <w:rFonts w:ascii="Book Antiqua" w:eastAsia="Book Antiqua" w:hAnsi="Book Antiqua" w:cs="Book Antiqua"/>
          <w:color w:val="000000"/>
        </w:rPr>
        <w:t>v</w:t>
      </w:r>
      <w:r w:rsidR="005D24DA">
        <w:rPr>
          <w:rFonts w:ascii="Book Antiqua" w:eastAsia="Book Antiqua" w:hAnsi="Book Antiqua" w:cs="Book Antiqua"/>
          <w:color w:val="000000"/>
        </w:rPr>
        <w:t>ersu</w:t>
      </w:r>
      <w:r w:rsidRPr="005D24DA">
        <w:rPr>
          <w:rFonts w:ascii="Book Antiqua" w:eastAsia="Book Antiqua" w:hAnsi="Book Antiqua" w:cs="Book Antiqua"/>
          <w:color w:val="000000"/>
        </w:rPr>
        <w:t>s</w:t>
      </w:r>
      <w:r>
        <w:rPr>
          <w:rFonts w:ascii="Book Antiqua" w:eastAsia="Book Antiqua" w:hAnsi="Book Antiqua" w:cs="Book Antiqua"/>
          <w:color w:val="000000"/>
        </w:rPr>
        <w:t xml:space="preserve"> portal vein embolization for induction of hypertrophy of the future liver remnant: A systematic review and meta-analysis.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257-267 [PMID: 28807245 DOI: 10.1016/j.suronc.2017.05.001]</w:t>
      </w:r>
    </w:p>
    <w:p w14:paraId="02D1CA0F" w14:textId="77777777" w:rsidR="00A77B3E" w:rsidRDefault="00882E4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Tashiro S</w:t>
      </w:r>
      <w:r>
        <w:rPr>
          <w:rFonts w:ascii="Book Antiqua" w:eastAsia="Book Antiqua" w:hAnsi="Book Antiqua" w:cs="Book Antiqua"/>
          <w:color w:val="000000"/>
        </w:rPr>
        <w:t xml:space="preserve">. Mechanism of liver regeneration after liver resection and portal vein embolization (ligation) is different?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292-299 [PMID: 19333540 DOI: 10.1007/s00534-009-0058-x]</w:t>
      </w:r>
    </w:p>
    <w:p w14:paraId="45416243" w14:textId="77777777" w:rsidR="00A77B3E" w:rsidRDefault="00882E4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Tsai CY</w:t>
      </w:r>
      <w:r>
        <w:rPr>
          <w:rFonts w:ascii="Book Antiqua" w:eastAsia="Book Antiqua" w:hAnsi="Book Antiqua" w:cs="Book Antiqua"/>
          <w:color w:val="000000"/>
        </w:rPr>
        <w:t xml:space="preserve">, Nojiri M, Yokoyama Y, Ebata T, Mizuno T, Nagino M. Uneven acute non-alcoholic fatty change of the liver after percutaneous transhepatic portal vein embolization in a patient with hilar cholangiocarcinoma - a case report.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144 [PMID: 29207941 DOI: 10.1186/s12876-017-0715-5]</w:t>
      </w:r>
    </w:p>
    <w:p w14:paraId="786382C0" w14:textId="77777777" w:rsidR="00A77B3E" w:rsidRDefault="00882E4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Miyake H</w:t>
      </w:r>
      <w:r>
        <w:rPr>
          <w:rFonts w:ascii="Book Antiqua" w:eastAsia="Book Antiqua" w:hAnsi="Book Antiqua" w:cs="Book Antiqua"/>
          <w:color w:val="000000"/>
        </w:rPr>
        <w:t xml:space="preserve">, Fujii M, Sasaki K, Ando T, Ikeyama S, Iwata T, Rokutan K, Tashiro S. Heat shock protein 70 induction in hepatocytes after right portal vein embolization.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2084-2087 [PMID: 14696469]</w:t>
      </w:r>
    </w:p>
    <w:p w14:paraId="1C9BEB80" w14:textId="77777777" w:rsidR="00A77B3E" w:rsidRDefault="00882E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Archer AE</w:t>
      </w:r>
      <w:r>
        <w:rPr>
          <w:rFonts w:ascii="Book Antiqua" w:eastAsia="Book Antiqua" w:hAnsi="Book Antiqua" w:cs="Book Antiqua"/>
          <w:color w:val="000000"/>
        </w:rPr>
        <w:t xml:space="preserve">, Rogers RS, Von Schulze AT, Wheatley JL, Morris EM, McCoin CS, Thyfault JP, Geiger PC. Heat shock protein 72 regulates hepatic lipid accumulation. </w:t>
      </w:r>
      <w:r>
        <w:rPr>
          <w:rFonts w:ascii="Book Antiqua" w:eastAsia="Book Antiqua" w:hAnsi="Book Antiqua" w:cs="Book Antiqua"/>
          <w:i/>
          <w:iCs/>
          <w:color w:val="000000"/>
        </w:rPr>
        <w:t>Am J Physiol Regul Integr Comp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315</w:t>
      </w:r>
      <w:r>
        <w:rPr>
          <w:rFonts w:ascii="Book Antiqua" w:eastAsia="Book Antiqua" w:hAnsi="Book Antiqua" w:cs="Book Antiqua"/>
          <w:color w:val="000000"/>
        </w:rPr>
        <w:t>: R696-R707 [PMID: 29924632 DOI: 10.1152/ajpregu.00073.2018]</w:t>
      </w:r>
    </w:p>
    <w:p w14:paraId="24A648C5" w14:textId="77777777" w:rsidR="00A77B3E" w:rsidRDefault="00882E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Barth BK</w:t>
      </w:r>
      <w:r>
        <w:rPr>
          <w:rFonts w:ascii="Book Antiqua" w:eastAsia="Book Antiqua" w:hAnsi="Book Antiqua" w:cs="Book Antiqua"/>
          <w:color w:val="000000"/>
        </w:rPr>
        <w:t xml:space="preserve">, Fischer MA, Kambakamba P, Lesurtel M, Reiner CS. Liver-fat and liver-function indices derived from Gd-EOB-DTPA-enhanced liver MRI for prediction of future liver remnant growth after portal vein occlusion.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843-849 [PMID: 26971433 DOI: 10.1016/j.ejrad.2016.02.008]</w:t>
      </w:r>
    </w:p>
    <w:p w14:paraId="1A427B0B" w14:textId="77777777" w:rsidR="00A77B3E" w:rsidRDefault="00882E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Hsiao IT</w:t>
      </w:r>
      <w:r>
        <w:rPr>
          <w:rFonts w:ascii="Book Antiqua" w:eastAsia="Book Antiqua" w:hAnsi="Book Antiqua" w:cs="Book Antiqua"/>
          <w:color w:val="000000"/>
        </w:rPr>
        <w:t xml:space="preserve">, Lin KJ, Chang SI, Yen TC, Chen TC, Yeh TS. Impaired liver regeneration of steatotic rats after portal vein ligation: a particular emphasis on (99m)Tc-DISIDA scintigraphy and adiponectin signaling.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540-549 [PMID: 20206399 DOI: 10.1016/j.jhep.2010.01.005]</w:t>
      </w:r>
    </w:p>
    <w:p w14:paraId="037727CC" w14:textId="77777777" w:rsidR="00A77B3E" w:rsidRDefault="00882E46">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Schnitzbauer AA</w:t>
      </w:r>
      <w:r>
        <w:rPr>
          <w:rFonts w:ascii="Book Antiqua" w:eastAsia="Book Antiqua" w:hAnsi="Book Antiqua" w:cs="Book Antiqua"/>
          <w:color w:val="000000"/>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405-414 [PMID: 22330038 DOI: 10.1097/SLA.0b013e31824856f5]</w:t>
      </w:r>
    </w:p>
    <w:p w14:paraId="0D3E6593" w14:textId="77777777" w:rsidR="00A77B3E" w:rsidRDefault="00882E4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Schadde E</w:t>
      </w:r>
      <w:r>
        <w:rPr>
          <w:rFonts w:ascii="Book Antiqua" w:eastAsia="Book Antiqua" w:hAnsi="Book Antiqua" w:cs="Book Antiqua"/>
          <w:color w:val="000000"/>
        </w:rPr>
        <w:t xml:space="preserve">, Raptis DA, Schnitzbauer AA, Ardiles V, Tschuor C, Lesurtel M, Abdalla EK, Hernandez-Alejandro R, Jovine E, Machado M, Malago M, Robles-Campos R, Petrowsky H, Santibanes ED, Clavien PA. Prediction of Mortality After ALPPS Stage-1: An Analysis of 320 Patients From the International ALPPS Registry.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780-5; discussion 785-6 [PMID: 26583666 DOI: 10.1097/SLA.0000000000001450]</w:t>
      </w:r>
    </w:p>
    <w:p w14:paraId="2DCB6F2D" w14:textId="77777777" w:rsidR="00A77B3E" w:rsidRDefault="00882E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Olthof PB</w:t>
      </w:r>
      <w:r>
        <w:rPr>
          <w:rFonts w:ascii="Book Antiqua" w:eastAsia="Book Antiqua" w:hAnsi="Book Antiqua" w:cs="Book Antiqua"/>
          <w:color w:val="000000"/>
        </w:rPr>
        <w:t xml:space="preserve">, Tomassini F, Huespe PE, Truant S, Pruvot FR, Troisi RI, Castro C, Schadde E, Axelsson R, Sparrelid E, Bennink RJ, Adam R, van Gulik TM, de Santibanes E. Hepatobiliary scintigraphy to evaluate liver function in associating liver partition and portal vein ligation for staged hepatectomy: Liver volume overestimates liver function.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775-783 [PMID: 28732555 DOI: 10.1016/j.surg.2017.05.022]</w:t>
      </w:r>
    </w:p>
    <w:p w14:paraId="7074E2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2A90B9" w14:textId="77777777" w:rsidR="00A77B3E" w:rsidRDefault="00882E46">
      <w:pPr>
        <w:spacing w:line="360" w:lineRule="auto"/>
        <w:jc w:val="both"/>
      </w:pPr>
      <w:r>
        <w:rPr>
          <w:rFonts w:ascii="Book Antiqua" w:eastAsia="Book Antiqua" w:hAnsi="Book Antiqua" w:cs="Book Antiqua"/>
          <w:b/>
          <w:color w:val="000000"/>
        </w:rPr>
        <w:lastRenderedPageBreak/>
        <w:t>Footnotes</w:t>
      </w:r>
    </w:p>
    <w:p w14:paraId="2EFEE7FE" w14:textId="7F22F3AE" w:rsidR="00A77B3E" w:rsidRDefault="00882E4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retrospective study was approved by the Institutional Review Board of Hokkaido University Hospital for Clinical Research on November 29, 2018 (</w:t>
      </w:r>
      <w:r w:rsidR="006F4098">
        <w:rPr>
          <w:rFonts w:ascii="Book Antiqua" w:eastAsia="Book Antiqua" w:hAnsi="Book Antiqua" w:cs="Book Antiqua"/>
          <w:color w:val="000000"/>
        </w:rPr>
        <w:t>A</w:t>
      </w:r>
      <w:r>
        <w:rPr>
          <w:rFonts w:ascii="Book Antiqua" w:eastAsia="Book Antiqua" w:hAnsi="Book Antiqua" w:cs="Book Antiqua"/>
          <w:color w:val="000000"/>
        </w:rPr>
        <w:t xml:space="preserve">pproval </w:t>
      </w:r>
      <w:r w:rsidR="006F4098">
        <w:rPr>
          <w:rFonts w:ascii="Book Antiqua" w:eastAsia="Book Antiqua" w:hAnsi="Book Antiqua" w:cs="Book Antiqua"/>
          <w:color w:val="000000"/>
        </w:rPr>
        <w:t>No.</w:t>
      </w:r>
      <w:r>
        <w:rPr>
          <w:rFonts w:ascii="Book Antiqua" w:eastAsia="Book Antiqua" w:hAnsi="Book Antiqua" w:cs="Book Antiqua"/>
          <w:color w:val="000000"/>
        </w:rPr>
        <w:t xml:space="preserve"> 018-0263).</w:t>
      </w:r>
    </w:p>
    <w:p w14:paraId="0416CC80" w14:textId="77777777" w:rsidR="00A77B3E" w:rsidRDefault="00A77B3E">
      <w:pPr>
        <w:spacing w:line="360" w:lineRule="auto"/>
        <w:jc w:val="both"/>
      </w:pPr>
    </w:p>
    <w:p w14:paraId="79AFFA14" w14:textId="5EC58761" w:rsidR="00A77B3E" w:rsidRDefault="00882E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This study was reviewed and approved by the Institutional Review Board of Hokkaido University Hospital for Clinical Research (</w:t>
      </w:r>
      <w:r w:rsidR="006F4098">
        <w:rPr>
          <w:rFonts w:ascii="Book Antiqua" w:eastAsia="Book Antiqua" w:hAnsi="Book Antiqua" w:cs="Book Antiqua"/>
          <w:color w:val="000000"/>
        </w:rPr>
        <w:t>Approval No.</w:t>
      </w:r>
      <w:r w:rsidR="00792B93">
        <w:rPr>
          <w:rFonts w:ascii="Book Antiqua" w:eastAsia="Book Antiqua" w:hAnsi="Book Antiqua" w:cs="Book Antiqua"/>
          <w:color w:val="000000"/>
        </w:rPr>
        <w:t xml:space="preserve"> 018-0263</w:t>
      </w:r>
      <w:r>
        <w:rPr>
          <w:rFonts w:ascii="Book Antiqua" w:eastAsia="Book Antiqua" w:hAnsi="Book Antiqua" w:cs="Book Antiqua"/>
          <w:color w:val="000000"/>
          <w:szCs w:val="21"/>
        </w:rPr>
        <w:t>), which waived the need for written informed consent due to the retrospective design.</w:t>
      </w:r>
    </w:p>
    <w:p w14:paraId="6F19B837" w14:textId="77777777" w:rsidR="00A77B3E" w:rsidRDefault="00A77B3E">
      <w:pPr>
        <w:spacing w:line="360" w:lineRule="auto"/>
        <w:jc w:val="both"/>
      </w:pPr>
    </w:p>
    <w:p w14:paraId="48BD0600" w14:textId="77777777" w:rsidR="00A77B3E" w:rsidRDefault="00882E4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conflicts of interest associated with this manuscript.</w:t>
      </w:r>
    </w:p>
    <w:p w14:paraId="169BF6C2" w14:textId="77777777" w:rsidR="00A77B3E" w:rsidRDefault="00A77B3E">
      <w:pPr>
        <w:spacing w:line="360" w:lineRule="auto"/>
        <w:jc w:val="both"/>
      </w:pPr>
    </w:p>
    <w:p w14:paraId="78563243" w14:textId="77777777" w:rsidR="00A77B3E" w:rsidRDefault="00882E4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DD3209D" w14:textId="77777777" w:rsidR="00A77B3E" w:rsidRDefault="00A77B3E">
      <w:pPr>
        <w:spacing w:line="360" w:lineRule="auto"/>
        <w:jc w:val="both"/>
      </w:pPr>
    </w:p>
    <w:p w14:paraId="4796ECA5" w14:textId="77777777" w:rsidR="00A77B3E" w:rsidRDefault="00882E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0145F8" w14:textId="77777777" w:rsidR="00A77B3E" w:rsidRDefault="00A77B3E">
      <w:pPr>
        <w:spacing w:line="360" w:lineRule="auto"/>
        <w:jc w:val="both"/>
      </w:pPr>
    </w:p>
    <w:p w14:paraId="3FE5EE45" w14:textId="578CCBDC" w:rsidR="00A77B3E" w:rsidRDefault="00882E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02FEF">
        <w:rPr>
          <w:rFonts w:ascii="Book Antiqua" w:eastAsia="Book Antiqua" w:hAnsi="Book Antiqua" w:cs="Book Antiqua"/>
          <w:color w:val="000000"/>
        </w:rPr>
        <w:t>m</w:t>
      </w:r>
      <w:r>
        <w:rPr>
          <w:rFonts w:ascii="Book Antiqua" w:eastAsia="Book Antiqua" w:hAnsi="Book Antiqua" w:cs="Book Antiqua"/>
          <w:color w:val="000000"/>
        </w:rPr>
        <w:t>anuscript</w:t>
      </w:r>
    </w:p>
    <w:p w14:paraId="72F2A93A" w14:textId="77777777" w:rsidR="00A77B3E" w:rsidRDefault="00A77B3E">
      <w:pPr>
        <w:spacing w:line="360" w:lineRule="auto"/>
        <w:jc w:val="both"/>
      </w:pPr>
    </w:p>
    <w:p w14:paraId="6252FFF1" w14:textId="77777777" w:rsidR="00A77B3E" w:rsidRDefault="00882E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16, 2020</w:t>
      </w:r>
    </w:p>
    <w:p w14:paraId="2531B3B8" w14:textId="77777777" w:rsidR="00A77B3E" w:rsidRDefault="00882E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7EC85449" w14:textId="77777777" w:rsidR="00A77B3E" w:rsidRDefault="00882E46">
      <w:pPr>
        <w:spacing w:line="360" w:lineRule="auto"/>
        <w:jc w:val="both"/>
      </w:pPr>
      <w:r>
        <w:rPr>
          <w:rFonts w:ascii="Book Antiqua" w:eastAsia="Book Antiqua" w:hAnsi="Book Antiqua" w:cs="Book Antiqua"/>
          <w:b/>
          <w:color w:val="000000"/>
        </w:rPr>
        <w:t xml:space="preserve">Article in press: </w:t>
      </w:r>
    </w:p>
    <w:p w14:paraId="6656686E" w14:textId="77777777" w:rsidR="00A77B3E" w:rsidRDefault="00A77B3E">
      <w:pPr>
        <w:spacing w:line="360" w:lineRule="auto"/>
        <w:jc w:val="both"/>
      </w:pPr>
    </w:p>
    <w:p w14:paraId="1BF1442A" w14:textId="70612AEB" w:rsidR="00A77B3E" w:rsidRDefault="00882E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02FEF">
        <w:rPr>
          <w:rFonts w:ascii="Book Antiqua" w:eastAsia="Book Antiqua" w:hAnsi="Book Antiqua" w:cs="Book Antiqua"/>
          <w:color w:val="000000"/>
        </w:rPr>
        <w:t>hep</w:t>
      </w:r>
      <w:r>
        <w:rPr>
          <w:rFonts w:ascii="Book Antiqua" w:eastAsia="Book Antiqua" w:hAnsi="Book Antiqua" w:cs="Book Antiqua"/>
          <w:color w:val="000000"/>
        </w:rPr>
        <w:t>atology</w:t>
      </w:r>
    </w:p>
    <w:p w14:paraId="11D0D0EF" w14:textId="77777777" w:rsidR="00A77B3E" w:rsidRDefault="00882E4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Japan</w:t>
      </w:r>
    </w:p>
    <w:p w14:paraId="12EC13DA" w14:textId="77777777" w:rsidR="00A77B3E" w:rsidRDefault="00882E46">
      <w:pPr>
        <w:spacing w:line="360" w:lineRule="auto"/>
        <w:jc w:val="both"/>
      </w:pPr>
      <w:r>
        <w:rPr>
          <w:rFonts w:ascii="Book Antiqua" w:eastAsia="Book Antiqua" w:hAnsi="Book Antiqua" w:cs="Book Antiqua"/>
          <w:b/>
          <w:color w:val="000000"/>
        </w:rPr>
        <w:t>Peer-review report’s scientific quality classification</w:t>
      </w:r>
    </w:p>
    <w:p w14:paraId="05C2606D" w14:textId="77777777" w:rsidR="00A77B3E" w:rsidRDefault="00882E46">
      <w:pPr>
        <w:spacing w:line="360" w:lineRule="auto"/>
        <w:jc w:val="both"/>
      </w:pPr>
      <w:r>
        <w:rPr>
          <w:rFonts w:ascii="Book Antiqua" w:eastAsia="Book Antiqua" w:hAnsi="Book Antiqua" w:cs="Book Antiqua"/>
          <w:color w:val="000000"/>
        </w:rPr>
        <w:t>Grade A (Excellent): 0</w:t>
      </w:r>
    </w:p>
    <w:p w14:paraId="0CF9DAFE" w14:textId="77777777" w:rsidR="00A77B3E" w:rsidRDefault="00882E46">
      <w:pPr>
        <w:spacing w:line="360" w:lineRule="auto"/>
        <w:jc w:val="both"/>
      </w:pPr>
      <w:r>
        <w:rPr>
          <w:rFonts w:ascii="Book Antiqua" w:eastAsia="Book Antiqua" w:hAnsi="Book Antiqua" w:cs="Book Antiqua"/>
          <w:color w:val="000000"/>
        </w:rPr>
        <w:t>Grade B (Very good): B</w:t>
      </w:r>
    </w:p>
    <w:p w14:paraId="6852E7E3" w14:textId="77777777" w:rsidR="00A77B3E" w:rsidRDefault="00882E46">
      <w:pPr>
        <w:spacing w:line="360" w:lineRule="auto"/>
        <w:jc w:val="both"/>
      </w:pPr>
      <w:r>
        <w:rPr>
          <w:rFonts w:ascii="Book Antiqua" w:eastAsia="Book Antiqua" w:hAnsi="Book Antiqua" w:cs="Book Antiqua"/>
          <w:color w:val="000000"/>
        </w:rPr>
        <w:t>Grade C (Good): 0</w:t>
      </w:r>
    </w:p>
    <w:p w14:paraId="4F96D059" w14:textId="77777777" w:rsidR="00A77B3E" w:rsidRDefault="00882E46">
      <w:pPr>
        <w:spacing w:line="360" w:lineRule="auto"/>
        <w:jc w:val="both"/>
      </w:pPr>
      <w:r>
        <w:rPr>
          <w:rFonts w:ascii="Book Antiqua" w:eastAsia="Book Antiqua" w:hAnsi="Book Antiqua" w:cs="Book Antiqua"/>
          <w:color w:val="000000"/>
        </w:rPr>
        <w:t>Grade D (Fair): 0</w:t>
      </w:r>
    </w:p>
    <w:p w14:paraId="67C3BAD9" w14:textId="77777777" w:rsidR="00A77B3E" w:rsidRDefault="00882E46">
      <w:pPr>
        <w:spacing w:line="360" w:lineRule="auto"/>
        <w:jc w:val="both"/>
      </w:pPr>
      <w:r>
        <w:rPr>
          <w:rFonts w:ascii="Book Antiqua" w:eastAsia="Book Antiqua" w:hAnsi="Book Antiqua" w:cs="Book Antiqua"/>
          <w:color w:val="000000"/>
        </w:rPr>
        <w:t>Grade E (Poor): 0</w:t>
      </w:r>
    </w:p>
    <w:p w14:paraId="5AE412D6" w14:textId="77777777" w:rsidR="00A77B3E" w:rsidRDefault="00A77B3E">
      <w:pPr>
        <w:spacing w:line="360" w:lineRule="auto"/>
        <w:jc w:val="both"/>
      </w:pPr>
    </w:p>
    <w:p w14:paraId="7AB38D2E" w14:textId="77777777" w:rsidR="00A77B3E" w:rsidRDefault="00882E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HL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3F3D415" w14:textId="77777777" w:rsidR="00A47FB2" w:rsidRDefault="00A47FB2">
      <w:pPr>
        <w:spacing w:line="360" w:lineRule="auto"/>
        <w:jc w:val="both"/>
        <w:sectPr w:rsidR="00A47FB2">
          <w:pgSz w:w="12240" w:h="15840"/>
          <w:pgMar w:top="1440" w:right="1440" w:bottom="1440" w:left="1440" w:header="720" w:footer="720" w:gutter="0"/>
          <w:cols w:space="720"/>
          <w:docGrid w:linePitch="360"/>
        </w:sectPr>
      </w:pPr>
    </w:p>
    <w:p w14:paraId="553C1E10" w14:textId="0C6311D4" w:rsidR="00A77B3E" w:rsidRDefault="00882E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FAFB4ED" w14:textId="575F882C" w:rsidR="00776134" w:rsidRDefault="00776134">
      <w:pPr>
        <w:spacing w:line="360" w:lineRule="auto"/>
        <w:jc w:val="both"/>
      </w:pPr>
      <w:r>
        <w:rPr>
          <w:noProof/>
          <w:lang w:eastAsia="zh-CN"/>
        </w:rPr>
        <w:drawing>
          <wp:inline distT="0" distB="0" distL="0" distR="0" wp14:anchorId="055C41DC" wp14:editId="129E84E6">
            <wp:extent cx="2796364" cy="15364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7402" cy="1542529"/>
                    </a:xfrm>
                    <a:prstGeom prst="rect">
                      <a:avLst/>
                    </a:prstGeom>
                  </pic:spPr>
                </pic:pic>
              </a:graphicData>
            </a:graphic>
          </wp:inline>
        </w:drawing>
      </w:r>
    </w:p>
    <w:p w14:paraId="06F7EB23" w14:textId="76FAB426" w:rsidR="00776134" w:rsidRDefault="00776134">
      <w:pPr>
        <w:spacing w:line="360" w:lineRule="auto"/>
        <w:jc w:val="both"/>
      </w:pPr>
      <w:r>
        <w:rPr>
          <w:noProof/>
          <w:lang w:eastAsia="zh-CN"/>
        </w:rPr>
        <w:drawing>
          <wp:inline distT="0" distB="0" distL="0" distR="0" wp14:anchorId="030D63B0" wp14:editId="2BCD1DBD">
            <wp:extent cx="2654819" cy="192945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3257" cy="1935591"/>
                    </a:xfrm>
                    <a:prstGeom prst="rect">
                      <a:avLst/>
                    </a:prstGeom>
                  </pic:spPr>
                </pic:pic>
              </a:graphicData>
            </a:graphic>
          </wp:inline>
        </w:drawing>
      </w:r>
    </w:p>
    <w:p w14:paraId="0ADE0381" w14:textId="6725C6B5" w:rsidR="00776134" w:rsidRDefault="00776134">
      <w:pPr>
        <w:spacing w:line="360" w:lineRule="auto"/>
        <w:jc w:val="both"/>
      </w:pPr>
      <w:r>
        <w:rPr>
          <w:noProof/>
          <w:lang w:eastAsia="zh-CN"/>
        </w:rPr>
        <w:drawing>
          <wp:inline distT="0" distB="0" distL="0" distR="0" wp14:anchorId="2F44F17C" wp14:editId="1303EDF9">
            <wp:extent cx="2722804" cy="185044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0691" cy="1855809"/>
                    </a:xfrm>
                    <a:prstGeom prst="rect">
                      <a:avLst/>
                    </a:prstGeom>
                  </pic:spPr>
                </pic:pic>
              </a:graphicData>
            </a:graphic>
          </wp:inline>
        </w:drawing>
      </w:r>
    </w:p>
    <w:p w14:paraId="64437F40" w14:textId="43FC26F5" w:rsidR="00A77B3E" w:rsidRDefault="00882E46">
      <w:pPr>
        <w:spacing w:line="360" w:lineRule="auto"/>
        <w:jc w:val="both"/>
      </w:pPr>
      <w:r>
        <w:rPr>
          <w:rFonts w:ascii="Book Antiqua" w:eastAsia="Book Antiqua" w:hAnsi="Book Antiqua" w:cs="Book Antiqua"/>
          <w:b/>
          <w:bCs/>
          <w:color w:val="000000"/>
        </w:rPr>
        <w:t>Figure 1</w:t>
      </w:r>
      <w:r w:rsidR="00776134">
        <w:rPr>
          <w:rFonts w:ascii="Book Antiqua" w:eastAsia="Book Antiqua" w:hAnsi="Book Antiqua" w:cs="Book Antiqua"/>
          <w:b/>
          <w:bCs/>
          <w:color w:val="000000"/>
        </w:rPr>
        <w:t xml:space="preserve"> </w:t>
      </w:r>
      <w:r>
        <w:rPr>
          <w:rFonts w:ascii="Book Antiqua" w:eastAsia="Book Antiqua" w:hAnsi="Book Antiqua" w:cs="Book Antiqua"/>
          <w:b/>
          <w:bCs/>
          <w:color w:val="000000"/>
        </w:rPr>
        <w:t>Change in the volume of the future liver remnant after portal vein embolization.</w:t>
      </w:r>
      <w:r w:rsidR="00776134">
        <w:rPr>
          <w:rFonts w:ascii="Book Antiqua" w:eastAsia="Book Antiqua" w:hAnsi="Book Antiqua" w:cs="Book Antiqua"/>
          <w:b/>
          <w:bCs/>
          <w:color w:val="000000"/>
        </w:rPr>
        <w:t xml:space="preserve"> </w:t>
      </w:r>
      <w:r w:rsidR="00776134" w:rsidRPr="00776134">
        <w:rPr>
          <w:rFonts w:ascii="Book Antiqua" w:eastAsia="Book Antiqua" w:hAnsi="Book Antiqua" w:cs="Book Antiqua"/>
          <w:color w:val="000000"/>
        </w:rPr>
        <w:t>A</w:t>
      </w:r>
      <w:r w:rsidRPr="00776134">
        <w:rPr>
          <w:rFonts w:ascii="Book Antiqua" w:eastAsia="Book Antiqua" w:hAnsi="Book Antiqua" w:cs="Book Antiqua"/>
          <w:color w:val="000000"/>
        </w:rPr>
        <w:t xml:space="preserve">: </w:t>
      </w:r>
      <w:r>
        <w:rPr>
          <w:rFonts w:ascii="Book Antiqua" w:eastAsia="Book Antiqua" w:hAnsi="Book Antiqua" w:cs="Book Antiqua"/>
          <w:color w:val="000000"/>
        </w:rPr>
        <w:t xml:space="preserve">Change in the volume of the future liver remnant (FLR) after portal vein embolization in the whole case. </w:t>
      </w:r>
      <w:r w:rsidR="00776134">
        <w:rPr>
          <w:rFonts w:ascii="Book Antiqua" w:eastAsia="Book Antiqua" w:hAnsi="Book Antiqua" w:cs="Book Antiqua"/>
          <w:color w:val="000000"/>
        </w:rPr>
        <w:t>FLR</w:t>
      </w:r>
      <w:r>
        <w:rPr>
          <w:rFonts w:ascii="Book Antiqua" w:eastAsia="Book Antiqua" w:hAnsi="Book Antiqua" w:cs="Book Antiqua"/>
          <w:color w:val="000000"/>
        </w:rPr>
        <w:t xml:space="preserve"> volume (FLRV) (dashed line) and functional </w:t>
      </w:r>
      <w:r w:rsidR="00776134">
        <w:rPr>
          <w:rFonts w:ascii="Book Antiqua" w:eastAsia="Book Antiqua" w:hAnsi="Book Antiqua" w:cs="Book Antiqua"/>
          <w:color w:val="000000"/>
        </w:rPr>
        <w:t xml:space="preserve">FLRV </w:t>
      </w:r>
      <w:r>
        <w:rPr>
          <w:rFonts w:ascii="Book Antiqua" w:eastAsia="Book Antiqua" w:hAnsi="Book Antiqua" w:cs="Book Antiqua"/>
          <w:color w:val="000000"/>
        </w:rPr>
        <w:t>(solid line)</w:t>
      </w:r>
      <w:r w:rsidR="00776134">
        <w:rPr>
          <w:rFonts w:ascii="Book Antiqua" w:eastAsia="Book Antiqua" w:hAnsi="Book Antiqua" w:cs="Book Antiqua"/>
          <w:color w:val="000000"/>
        </w:rPr>
        <w:t xml:space="preserve">; B: Change in the volume of the FLR after portal vein embolization in the group with preoperative biliary drainage; C: Change in the volume of the FLR after portal vein embolization in the group without preoperative biliary drainage. </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sidR="009F363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F3636">
        <w:rPr>
          <w:rFonts w:ascii="Book Antiqua" w:eastAsia="Book Antiqua" w:hAnsi="Book Antiqua" w:cs="Book Antiqua"/>
          <w:color w:val="000000"/>
        </w:rPr>
        <w:t xml:space="preserve"> </w:t>
      </w:r>
      <w:r>
        <w:rPr>
          <w:rFonts w:ascii="Book Antiqua" w:eastAsia="Book Antiqua" w:hAnsi="Book Antiqua" w:cs="Book Antiqua"/>
          <w:color w:val="000000"/>
        </w:rPr>
        <w:t>0.01</w:t>
      </w:r>
      <w:r w:rsidR="00776134">
        <w:rPr>
          <w:rFonts w:ascii="Book Antiqua" w:eastAsia="Book Antiqua" w:hAnsi="Book Antiqua" w:cs="Book Antiqua"/>
          <w:color w:val="000000"/>
        </w:rPr>
        <w:t>. W: Week.</w:t>
      </w:r>
    </w:p>
    <w:p w14:paraId="4274DBD2" w14:textId="38BD89EF" w:rsidR="00A77B3E" w:rsidRDefault="00AA0959">
      <w:pPr>
        <w:spacing w:line="360" w:lineRule="auto"/>
        <w:jc w:val="both"/>
      </w:pPr>
      <w:r>
        <w:br w:type="page"/>
      </w:r>
      <w:r>
        <w:rPr>
          <w:noProof/>
          <w:lang w:eastAsia="zh-CN"/>
        </w:rPr>
        <w:lastRenderedPageBreak/>
        <w:drawing>
          <wp:inline distT="0" distB="0" distL="0" distR="0" wp14:anchorId="5A61640C" wp14:editId="159EF6E7">
            <wp:extent cx="3649693" cy="270920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9865" cy="2716758"/>
                    </a:xfrm>
                    <a:prstGeom prst="rect">
                      <a:avLst/>
                    </a:prstGeom>
                  </pic:spPr>
                </pic:pic>
              </a:graphicData>
            </a:graphic>
          </wp:inline>
        </w:drawing>
      </w:r>
    </w:p>
    <w:p w14:paraId="20662A2F" w14:textId="77777777" w:rsidR="00AA0959" w:rsidRDefault="00882E46" w:rsidP="00AA0959">
      <w:pPr>
        <w:spacing w:line="360" w:lineRule="auto"/>
        <w:jc w:val="both"/>
      </w:pPr>
      <w:r>
        <w:rPr>
          <w:rFonts w:ascii="Book Antiqua" w:eastAsia="Book Antiqua" w:hAnsi="Book Antiqua" w:cs="Book Antiqua"/>
          <w:b/>
          <w:bCs/>
          <w:color w:val="000000"/>
        </w:rPr>
        <w:t>Figure 2</w:t>
      </w:r>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Change in the difference between the </w:t>
      </w:r>
      <w:bookmarkStart w:id="0" w:name="_Hlk60677908"/>
      <w:r>
        <w:rPr>
          <w:rFonts w:ascii="Book Antiqua" w:eastAsia="Book Antiqua" w:hAnsi="Book Antiqua" w:cs="Book Antiqua"/>
          <w:b/>
          <w:bCs/>
          <w:color w:val="000000"/>
        </w:rPr>
        <w:t>future liver remnant volume</w:t>
      </w:r>
      <w:bookmarkEnd w:id="0"/>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and the functional future liver remnant volume</w:t>
      </w:r>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after </w:t>
      </w:r>
      <w:bookmarkStart w:id="1" w:name="_Hlk60677916"/>
      <w:r>
        <w:rPr>
          <w:rFonts w:ascii="Book Antiqua" w:eastAsia="Book Antiqua" w:hAnsi="Book Antiqua" w:cs="Book Antiqua"/>
          <w:b/>
          <w:bCs/>
          <w:color w:val="000000"/>
        </w:rPr>
        <w:t>portal vein embolization</w:t>
      </w:r>
      <w:bookmarkEnd w:id="1"/>
      <w:r>
        <w:rPr>
          <w:rFonts w:ascii="Book Antiqua" w:eastAsia="Book Antiqua" w:hAnsi="Book Antiqua" w:cs="Book Antiqua"/>
          <w:b/>
          <w:bCs/>
          <w:color w:val="000000"/>
        </w:rPr>
        <w:t>.</w:t>
      </w:r>
      <w:r>
        <w:rPr>
          <w:rFonts w:ascii="Book Antiqua" w:eastAsia="Book Antiqua" w:hAnsi="Book Antiqua" w:cs="Book Antiqua"/>
          <w:color w:val="000000"/>
        </w:rPr>
        <w:t xml:space="preserve"> In three patients (solid lines), the </w:t>
      </w:r>
      <w:r w:rsidR="00AA0959" w:rsidRPr="00AA0959">
        <w:rPr>
          <w:rFonts w:ascii="Book Antiqua" w:eastAsia="Book Antiqua" w:hAnsi="Book Antiqua" w:cs="Book Antiqua"/>
          <w:color w:val="000000"/>
        </w:rPr>
        <w:t>functional future liver remnant volume</w:t>
      </w:r>
      <w:r>
        <w:rPr>
          <w:rFonts w:ascii="Book Antiqua" w:eastAsia="Book Antiqua" w:hAnsi="Book Antiqua" w:cs="Book Antiqua"/>
          <w:color w:val="000000"/>
        </w:rPr>
        <w:t xml:space="preserve"> became lower than the </w:t>
      </w:r>
      <w:r w:rsidR="00AA0959" w:rsidRPr="00AA0959">
        <w:rPr>
          <w:rFonts w:ascii="Book Antiqua" w:eastAsia="Book Antiqua" w:hAnsi="Book Antiqua" w:cs="Book Antiqua"/>
          <w:color w:val="000000"/>
        </w:rPr>
        <w:t>future liver remnant volume</w:t>
      </w:r>
      <w:r>
        <w:rPr>
          <w:rFonts w:ascii="Book Antiqua" w:eastAsia="Book Antiqua" w:hAnsi="Book Antiqua" w:cs="Book Antiqua"/>
          <w:color w:val="000000"/>
        </w:rPr>
        <w:t xml:space="preserve"> at 2 wk after </w:t>
      </w:r>
      <w:r w:rsidR="00AA0959" w:rsidRPr="00AA0959">
        <w:rPr>
          <w:rFonts w:ascii="Book Antiqua" w:eastAsia="Book Antiqua" w:hAnsi="Book Antiqua" w:cs="Book Antiqua"/>
          <w:color w:val="000000"/>
        </w:rPr>
        <w:t>portal vein embolization</w:t>
      </w:r>
      <w:r>
        <w:rPr>
          <w:rFonts w:ascii="Book Antiqua" w:eastAsia="Book Antiqua" w:hAnsi="Book Antiqua" w:cs="Book Antiqua"/>
          <w:color w:val="000000"/>
        </w:rPr>
        <w:t>.</w:t>
      </w:r>
      <w:r w:rsidR="00AA0959">
        <w:rPr>
          <w:rFonts w:ascii="Book Antiqua" w:eastAsia="Book Antiqua" w:hAnsi="Book Antiqua" w:cs="Book Antiqua"/>
          <w:color w:val="000000"/>
        </w:rPr>
        <w:t xml:space="preserve"> W: Week.</w:t>
      </w:r>
    </w:p>
    <w:p w14:paraId="654DF19A" w14:textId="51AA34DA" w:rsidR="00A77B3E" w:rsidRDefault="00AA0959">
      <w:pPr>
        <w:spacing w:line="360" w:lineRule="auto"/>
        <w:jc w:val="both"/>
      </w:pPr>
      <w:r>
        <w:br w:type="page"/>
      </w:r>
      <w:r w:rsidR="009F3636">
        <w:rPr>
          <w:noProof/>
          <w:lang w:eastAsia="zh-CN"/>
        </w:rPr>
        <w:lastRenderedPageBreak/>
        <w:drawing>
          <wp:inline distT="0" distB="0" distL="0" distR="0" wp14:anchorId="09BA7267" wp14:editId="68CB362D">
            <wp:extent cx="4075493" cy="344684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756" cy="3449606"/>
                    </a:xfrm>
                    <a:prstGeom prst="rect">
                      <a:avLst/>
                    </a:prstGeom>
                  </pic:spPr>
                </pic:pic>
              </a:graphicData>
            </a:graphic>
          </wp:inline>
        </w:drawing>
      </w:r>
    </w:p>
    <w:p w14:paraId="6F2A3FAE" w14:textId="7B4A7E25" w:rsidR="007039DB" w:rsidRDefault="00882E4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AA0959">
        <w:rPr>
          <w:rFonts w:ascii="Book Antiqua" w:eastAsia="Book Antiqua" w:hAnsi="Book Antiqua" w:cs="Book Antiqua"/>
          <w:b/>
          <w:bCs/>
          <w:color w:val="000000"/>
        </w:rPr>
        <w:t xml:space="preserve"> </w:t>
      </w:r>
      <w:r>
        <w:rPr>
          <w:rFonts w:ascii="Book Antiqua" w:eastAsia="Book Antiqua" w:hAnsi="Book Antiqua" w:cs="Book Antiqua"/>
          <w:b/>
          <w:bCs/>
          <w:color w:val="000000"/>
        </w:rPr>
        <w:t>Change in the difference between the future liver remnant volume</w:t>
      </w:r>
      <w:r w:rsidR="009F3636">
        <w:rPr>
          <w:rFonts w:ascii="Book Antiqua" w:eastAsia="Book Antiqua" w:hAnsi="Book Antiqua" w:cs="Book Antiqua"/>
          <w:b/>
          <w:bCs/>
          <w:color w:val="000000"/>
        </w:rPr>
        <w:t xml:space="preserve"> </w:t>
      </w:r>
      <w:r>
        <w:rPr>
          <w:rFonts w:ascii="Book Antiqua" w:eastAsia="Book Antiqua" w:hAnsi="Book Antiqua" w:cs="Book Antiqua"/>
          <w:b/>
          <w:bCs/>
          <w:color w:val="000000"/>
        </w:rPr>
        <w:t>and the functional future liver remnant volume</w:t>
      </w:r>
      <w:r w:rsidR="009F3636">
        <w:rPr>
          <w:rFonts w:ascii="Book Antiqua" w:eastAsia="Book Antiqua" w:hAnsi="Book Antiqua" w:cs="Book Antiqua"/>
          <w:b/>
          <w:bCs/>
          <w:color w:val="000000"/>
        </w:rPr>
        <w:t xml:space="preserve"> </w:t>
      </w:r>
      <w:r>
        <w:rPr>
          <w:rFonts w:ascii="Book Antiqua" w:eastAsia="Book Antiqua" w:hAnsi="Book Antiqua" w:cs="Book Antiqua"/>
          <w:b/>
          <w:bCs/>
          <w:color w:val="000000"/>
        </w:rPr>
        <w:t>after portal vein embolization</w:t>
      </w:r>
      <w:r w:rsidR="009F363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and biopsy findings in </w:t>
      </w:r>
      <w:r w:rsidR="00AA0959">
        <w:rPr>
          <w:rFonts w:ascii="Book Antiqua" w:eastAsia="Book Antiqua" w:hAnsi="Book Antiqua" w:cs="Book Antiqua"/>
          <w:b/>
          <w:bCs/>
          <w:color w:val="000000"/>
        </w:rPr>
        <w:t>p</w:t>
      </w:r>
      <w:r>
        <w:rPr>
          <w:rFonts w:ascii="Book Antiqua" w:eastAsia="Book Antiqua" w:hAnsi="Book Antiqua" w:cs="Book Antiqua"/>
          <w:b/>
          <w:bCs/>
          <w:color w:val="000000"/>
        </w:rPr>
        <w:t>atient 1.</w:t>
      </w:r>
      <w:r w:rsidR="00AA0959">
        <w:rPr>
          <w:rFonts w:ascii="Book Antiqua" w:eastAsia="Book Antiqua" w:hAnsi="Book Antiqua" w:cs="Book Antiqua"/>
          <w:b/>
          <w:bCs/>
          <w:color w:val="000000"/>
        </w:rPr>
        <w:t xml:space="preserve"> </w:t>
      </w:r>
      <w:r w:rsidR="00AA0959">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Change in future liver remnant volume (FLRV), functional </w:t>
      </w:r>
      <w:r w:rsidR="009F3636">
        <w:rPr>
          <w:rFonts w:ascii="Book Antiqua" w:eastAsia="Book Antiqua" w:hAnsi="Book Antiqua" w:cs="Book Antiqua"/>
          <w:color w:val="000000"/>
        </w:rPr>
        <w:t>FLRV</w:t>
      </w:r>
      <w:r>
        <w:rPr>
          <w:rFonts w:ascii="Book Antiqua" w:eastAsia="Book Antiqua" w:hAnsi="Book Antiqua" w:cs="Book Antiqua"/>
          <w:color w:val="000000"/>
        </w:rPr>
        <w:t xml:space="preserve"> (FFLRV), and future liver remnant (FLR) to spleen </w:t>
      </w:r>
      <w:r w:rsidR="009F3636" w:rsidRPr="001450FA">
        <w:rPr>
          <w:rFonts w:ascii="Book Antiqua" w:eastAsia="Book Antiqua" w:hAnsi="Book Antiqua" w:cs="Book Antiqua"/>
          <w:color w:val="000000"/>
        </w:rPr>
        <w:t>computed tomography</w:t>
      </w:r>
      <w:r w:rsidR="009F3636">
        <w:rPr>
          <w:rFonts w:ascii="Book Antiqua" w:eastAsia="Book Antiqua" w:hAnsi="Book Antiqua" w:cs="Book Antiqua"/>
          <w:color w:val="000000"/>
        </w:rPr>
        <w:t xml:space="preserve"> (CT)</w:t>
      </w:r>
      <w:r>
        <w:rPr>
          <w:rFonts w:ascii="Book Antiqua" w:eastAsia="Book Antiqua" w:hAnsi="Book Antiqua" w:cs="Book Antiqua"/>
          <w:color w:val="000000"/>
        </w:rPr>
        <w:t xml:space="preserve"> attenuation ratio in </w:t>
      </w:r>
      <w:r w:rsidR="009F3636">
        <w:rPr>
          <w:rFonts w:ascii="Book Antiqua" w:eastAsia="Book Antiqua" w:hAnsi="Book Antiqua" w:cs="Book Antiqua"/>
          <w:color w:val="000000"/>
        </w:rPr>
        <w:t>p</w:t>
      </w:r>
      <w:r>
        <w:rPr>
          <w:rFonts w:ascii="Book Antiqua" w:eastAsia="Book Antiqua" w:hAnsi="Book Antiqua" w:cs="Book Antiqua"/>
          <w:color w:val="000000"/>
        </w:rPr>
        <w:t>atient 1. The FFLRV level remained below that of the FLRV at 2 wk after portal vein embolization (PVE). The decrease in the FLR to spleen CT attenuation ratio represents fatty changes in FLR at 5 wk after PVE</w:t>
      </w:r>
      <w:r w:rsidR="009F3636">
        <w:rPr>
          <w:rFonts w:ascii="Book Antiqua" w:eastAsia="Book Antiqua" w:hAnsi="Book Antiqua" w:cs="Book Antiqua"/>
          <w:color w:val="000000"/>
        </w:rPr>
        <w:t>; B</w:t>
      </w:r>
      <w:r>
        <w:rPr>
          <w:rFonts w:ascii="Book Antiqua" w:eastAsia="Book Antiqua" w:hAnsi="Book Antiqua" w:cs="Book Antiqua"/>
          <w:color w:val="000000"/>
        </w:rPr>
        <w:t>: Biopsy findings in the FLR at 4 wk after PVE. The macro and micro-vesicular steatosis was more than 40%</w:t>
      </w:r>
      <w:r w:rsidR="009F3636">
        <w:rPr>
          <w:rFonts w:ascii="Book Antiqua" w:eastAsia="Book Antiqua" w:hAnsi="Book Antiqua" w:cs="Book Antiqua"/>
          <w:color w:val="000000"/>
        </w:rPr>
        <w:t>; C</w:t>
      </w:r>
      <w:r>
        <w:rPr>
          <w:rFonts w:ascii="Book Antiqua" w:eastAsia="Book Antiqua" w:hAnsi="Book Antiqua" w:cs="Book Antiqua"/>
          <w:color w:val="000000"/>
        </w:rPr>
        <w:t>: At 13 wk after PVE, the steatosis had improved to approximately 10%.</w:t>
      </w:r>
      <w:r w:rsidR="009F3636">
        <w:rPr>
          <w:rFonts w:ascii="Book Antiqua" w:eastAsia="Book Antiqua" w:hAnsi="Book Antiqua" w:cs="Book Antiqua"/>
          <w:color w:val="000000"/>
        </w:rPr>
        <w:t xml:space="preserve"> W: Week.</w:t>
      </w:r>
    </w:p>
    <w:p w14:paraId="3ACD9143" w14:textId="74882D5B" w:rsidR="00A77B3E" w:rsidRDefault="007039D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039DB">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7039DB">
        <w:rPr>
          <w:rFonts w:ascii="Book Antiqua" w:eastAsia="Book Antiqua" w:hAnsi="Book Antiqua" w:cs="Book Antiqua"/>
          <w:b/>
          <w:bCs/>
          <w:color w:val="000000"/>
        </w:rPr>
        <w:t>Patient characteristics at baseline (</w:t>
      </w:r>
      <w:r w:rsidRPr="007039DB">
        <w:rPr>
          <w:rFonts w:ascii="Book Antiqua" w:eastAsia="Book Antiqua" w:hAnsi="Book Antiqua" w:cs="Book Antiqua"/>
          <w:b/>
          <w:bCs/>
          <w:i/>
          <w:iCs/>
          <w:color w:val="000000"/>
        </w:rPr>
        <w:t>n</w:t>
      </w:r>
      <w:r w:rsidRPr="007039DB">
        <w:rPr>
          <w:rFonts w:ascii="Book Antiqua" w:eastAsia="Book Antiqua" w:hAnsi="Book Antiqua" w:cs="Book Antiqua"/>
          <w:b/>
          <w:bCs/>
          <w:color w:val="000000"/>
        </w:rPr>
        <w:t xml:space="preserve"> = 33)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756"/>
        <w:gridCol w:w="2604"/>
      </w:tblGrid>
      <w:tr w:rsidR="007039DB" w:rsidRPr="007039DB" w14:paraId="2C8013DD" w14:textId="77777777" w:rsidTr="00CF2EC0">
        <w:trPr>
          <w:trHeight w:val="258"/>
        </w:trPr>
        <w:tc>
          <w:tcPr>
            <w:tcW w:w="6803" w:type="dxa"/>
            <w:tcBorders>
              <w:top w:val="single" w:sz="4" w:space="0" w:color="auto"/>
              <w:bottom w:val="single" w:sz="4" w:space="0" w:color="auto"/>
            </w:tcBorders>
          </w:tcPr>
          <w:p w14:paraId="3499CDCA" w14:textId="427C2255" w:rsidR="007039DB" w:rsidRPr="007039DB" w:rsidRDefault="007039DB" w:rsidP="007039DB">
            <w:pPr>
              <w:spacing w:line="360" w:lineRule="auto"/>
              <w:jc w:val="both"/>
              <w:rPr>
                <w:rFonts w:ascii="Book Antiqua" w:eastAsia="Times New Roman" w:hAnsi="Book Antiqua"/>
                <w:b/>
                <w:bCs/>
                <w:color w:val="000000" w:themeColor="dark1"/>
                <w:kern w:val="24"/>
              </w:rPr>
            </w:pPr>
            <w:r w:rsidRPr="007039DB">
              <w:rPr>
                <w:rFonts w:ascii="Book Antiqua" w:eastAsia="Times New Roman" w:hAnsi="Book Antiqua"/>
                <w:b/>
                <w:bCs/>
                <w:color w:val="000000" w:themeColor="dark1"/>
                <w:kern w:val="24"/>
              </w:rPr>
              <w:t>Characteristics</w:t>
            </w:r>
          </w:p>
        </w:tc>
        <w:tc>
          <w:tcPr>
            <w:tcW w:w="2619" w:type="dxa"/>
            <w:tcBorders>
              <w:top w:val="single" w:sz="4" w:space="0" w:color="auto"/>
              <w:bottom w:val="single" w:sz="4" w:space="0" w:color="auto"/>
            </w:tcBorders>
          </w:tcPr>
          <w:p w14:paraId="0B789886" w14:textId="33DE1AD9" w:rsidR="007039DB" w:rsidRPr="007039DB" w:rsidRDefault="007039DB" w:rsidP="007039DB">
            <w:pPr>
              <w:spacing w:line="360" w:lineRule="auto"/>
              <w:jc w:val="both"/>
              <w:rPr>
                <w:rFonts w:ascii="Book Antiqua" w:eastAsia="Times New Roman" w:hAnsi="Book Antiqua"/>
                <w:color w:val="000000" w:themeColor="dark1"/>
                <w:kern w:val="24"/>
              </w:rPr>
            </w:pPr>
            <w:r w:rsidRPr="007039DB">
              <w:rPr>
                <w:rFonts w:ascii="Book Antiqua" w:eastAsia="Book Antiqua" w:hAnsi="Book Antiqua" w:cs="Book Antiqua"/>
                <w:b/>
                <w:bCs/>
                <w:i/>
                <w:iCs/>
                <w:color w:val="000000"/>
              </w:rPr>
              <w:t>n</w:t>
            </w:r>
          </w:p>
        </w:tc>
      </w:tr>
      <w:tr w:rsidR="007039DB" w:rsidRPr="007039DB" w14:paraId="51E75CCC" w14:textId="77777777" w:rsidTr="00CF2EC0">
        <w:trPr>
          <w:trHeight w:val="258"/>
        </w:trPr>
        <w:tc>
          <w:tcPr>
            <w:tcW w:w="6803" w:type="dxa"/>
            <w:tcBorders>
              <w:top w:val="single" w:sz="4" w:space="0" w:color="auto"/>
            </w:tcBorders>
            <w:hideMark/>
          </w:tcPr>
          <w:p w14:paraId="01F46BFD" w14:textId="4D5F8999"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color w:val="000000" w:themeColor="dark1"/>
                <w:kern w:val="24"/>
              </w:rPr>
              <w:t>Age (yr), mean (range)</w:t>
            </w:r>
          </w:p>
        </w:tc>
        <w:tc>
          <w:tcPr>
            <w:tcW w:w="2619" w:type="dxa"/>
            <w:tcBorders>
              <w:top w:val="single" w:sz="4" w:space="0" w:color="auto"/>
            </w:tcBorders>
            <w:hideMark/>
          </w:tcPr>
          <w:p w14:paraId="18DF8469" w14:textId="676F75B4"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color w:val="000000" w:themeColor="dark1"/>
                <w:kern w:val="24"/>
              </w:rPr>
              <w:t>67.7 (40</w:t>
            </w:r>
            <w:r>
              <w:rPr>
                <w:rFonts w:ascii="Book Antiqua" w:eastAsia="Times New Roman" w:hAnsi="Book Antiqua" w:cs="Times New Roman"/>
                <w:color w:val="000000" w:themeColor="dark1"/>
                <w:kern w:val="24"/>
              </w:rPr>
              <w:t>-</w:t>
            </w:r>
            <w:r w:rsidRPr="007039DB">
              <w:rPr>
                <w:rFonts w:ascii="Book Antiqua" w:eastAsia="Times New Roman" w:hAnsi="Book Antiqua" w:cs="Times New Roman"/>
                <w:color w:val="000000" w:themeColor="dark1"/>
                <w:kern w:val="24"/>
              </w:rPr>
              <w:t>80)</w:t>
            </w:r>
          </w:p>
        </w:tc>
      </w:tr>
      <w:tr w:rsidR="007039DB" w:rsidRPr="007039DB" w14:paraId="3821CCE4" w14:textId="77777777" w:rsidTr="00CF2EC0">
        <w:trPr>
          <w:trHeight w:val="323"/>
        </w:trPr>
        <w:tc>
          <w:tcPr>
            <w:tcW w:w="6803" w:type="dxa"/>
            <w:hideMark/>
          </w:tcPr>
          <w:p w14:paraId="33DFDA37"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rPr>
              <w:t>Men/women</w:t>
            </w:r>
          </w:p>
        </w:tc>
        <w:tc>
          <w:tcPr>
            <w:tcW w:w="2619" w:type="dxa"/>
            <w:hideMark/>
          </w:tcPr>
          <w:p w14:paraId="2DC34B05"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rPr>
              <w:t>20/13</w:t>
            </w:r>
          </w:p>
        </w:tc>
      </w:tr>
      <w:tr w:rsidR="007039DB" w:rsidRPr="007039DB" w14:paraId="4CC4870C" w14:textId="77777777" w:rsidTr="00CF2EC0">
        <w:trPr>
          <w:trHeight w:val="323"/>
        </w:trPr>
        <w:tc>
          <w:tcPr>
            <w:tcW w:w="6803" w:type="dxa"/>
          </w:tcPr>
          <w:p w14:paraId="03BE2B03"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HBsAg positivity,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3184BFF2"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3 (9.0)</w:t>
            </w:r>
          </w:p>
        </w:tc>
      </w:tr>
      <w:tr w:rsidR="007039DB" w:rsidRPr="007039DB" w14:paraId="1AB7D868" w14:textId="77777777" w:rsidTr="00CF2EC0">
        <w:trPr>
          <w:trHeight w:val="323"/>
        </w:trPr>
        <w:tc>
          <w:tcPr>
            <w:tcW w:w="6803" w:type="dxa"/>
          </w:tcPr>
          <w:p w14:paraId="2A7DB2EC"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HCV positivity,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3345E03A"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2 (6.1)</w:t>
            </w:r>
          </w:p>
        </w:tc>
      </w:tr>
      <w:tr w:rsidR="007039DB" w:rsidRPr="007039DB" w14:paraId="5AA7F70C" w14:textId="77777777" w:rsidTr="00CF2EC0">
        <w:trPr>
          <w:trHeight w:val="323"/>
        </w:trPr>
        <w:tc>
          <w:tcPr>
            <w:tcW w:w="6803" w:type="dxa"/>
          </w:tcPr>
          <w:p w14:paraId="2CADE2DA" w14:textId="21866BEB"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Diagnosis,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4A8E92F1" w14:textId="3CE6CCC5" w:rsidR="007039DB" w:rsidRPr="007039DB" w:rsidRDefault="007039DB" w:rsidP="007039DB">
            <w:pPr>
              <w:spacing w:line="360" w:lineRule="auto"/>
              <w:jc w:val="both"/>
              <w:rPr>
                <w:rFonts w:ascii="Book Antiqua" w:eastAsia="Times New Roman" w:hAnsi="Book Antiqua" w:cs="Times New Roman"/>
                <w:kern w:val="0"/>
              </w:rPr>
            </w:pPr>
          </w:p>
        </w:tc>
      </w:tr>
      <w:tr w:rsidR="007039DB" w:rsidRPr="007039DB" w14:paraId="0D7130B0" w14:textId="77777777" w:rsidTr="00CF2EC0">
        <w:trPr>
          <w:trHeight w:val="323"/>
        </w:trPr>
        <w:tc>
          <w:tcPr>
            <w:tcW w:w="6803" w:type="dxa"/>
          </w:tcPr>
          <w:p w14:paraId="62BC22C5" w14:textId="6360159E"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Hilar cholangiocarcinoma</w:t>
            </w:r>
          </w:p>
        </w:tc>
        <w:tc>
          <w:tcPr>
            <w:tcW w:w="2619" w:type="dxa"/>
          </w:tcPr>
          <w:p w14:paraId="668EC039" w14:textId="7235E796"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20 (60.6)</w:t>
            </w:r>
          </w:p>
        </w:tc>
      </w:tr>
      <w:tr w:rsidR="007039DB" w:rsidRPr="007039DB" w14:paraId="5BDCE02C" w14:textId="77777777" w:rsidTr="00CF2EC0">
        <w:trPr>
          <w:trHeight w:val="323"/>
        </w:trPr>
        <w:tc>
          <w:tcPr>
            <w:tcW w:w="6803" w:type="dxa"/>
          </w:tcPr>
          <w:p w14:paraId="077E70D3" w14:textId="782A3B0B" w:rsidR="007039DB" w:rsidRPr="007039DB" w:rsidRDefault="007039DB" w:rsidP="007039DB">
            <w:pPr>
              <w:spacing w:line="360" w:lineRule="auto"/>
              <w:ind w:firstLineChars="100" w:firstLine="240"/>
              <w:jc w:val="both"/>
              <w:rPr>
                <w:rFonts w:ascii="Book Antiqua" w:eastAsia="MS Mincho" w:hAnsi="Book Antiqua" w:cs="Times New Roman"/>
              </w:rPr>
            </w:pPr>
            <w:r w:rsidRPr="007039DB">
              <w:rPr>
                <w:rFonts w:ascii="Book Antiqua" w:eastAsia="Times New Roman" w:hAnsi="Book Antiqua" w:cs="Times New Roman"/>
              </w:rPr>
              <w:t>Hepatoma</w:t>
            </w:r>
          </w:p>
        </w:tc>
        <w:tc>
          <w:tcPr>
            <w:tcW w:w="2619" w:type="dxa"/>
          </w:tcPr>
          <w:p w14:paraId="18BB1337" w14:textId="6BD8AB70"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6 (18.2)</w:t>
            </w:r>
          </w:p>
        </w:tc>
      </w:tr>
      <w:tr w:rsidR="007039DB" w:rsidRPr="007039DB" w14:paraId="7517ABF9" w14:textId="77777777" w:rsidTr="00CF2EC0">
        <w:trPr>
          <w:trHeight w:val="323"/>
        </w:trPr>
        <w:tc>
          <w:tcPr>
            <w:tcW w:w="6803" w:type="dxa"/>
          </w:tcPr>
          <w:p w14:paraId="487BAC30" w14:textId="596EF2F0" w:rsidR="007039DB" w:rsidRPr="007039DB" w:rsidRDefault="007039DB" w:rsidP="007039DB">
            <w:pPr>
              <w:spacing w:line="360" w:lineRule="auto"/>
              <w:ind w:firstLineChars="100" w:firstLine="240"/>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Gallbladder cancer</w:t>
            </w:r>
          </w:p>
        </w:tc>
        <w:tc>
          <w:tcPr>
            <w:tcW w:w="2619" w:type="dxa"/>
          </w:tcPr>
          <w:p w14:paraId="4B89809C" w14:textId="598F5C66"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3 (9.1)</w:t>
            </w:r>
          </w:p>
        </w:tc>
      </w:tr>
      <w:tr w:rsidR="007039DB" w:rsidRPr="007039DB" w14:paraId="482FB7AB" w14:textId="77777777" w:rsidTr="00CF2EC0">
        <w:trPr>
          <w:trHeight w:val="323"/>
        </w:trPr>
        <w:tc>
          <w:tcPr>
            <w:tcW w:w="6803" w:type="dxa"/>
          </w:tcPr>
          <w:p w14:paraId="47357B39" w14:textId="48A7CDE4"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Intrahepatic cholangiocarcinoma</w:t>
            </w:r>
          </w:p>
        </w:tc>
        <w:tc>
          <w:tcPr>
            <w:tcW w:w="2619" w:type="dxa"/>
          </w:tcPr>
          <w:p w14:paraId="69C51125" w14:textId="68928F46" w:rsidR="007039DB" w:rsidRPr="007039DB" w:rsidRDefault="007039DB" w:rsidP="007039DB">
            <w:pPr>
              <w:spacing w:line="360" w:lineRule="auto"/>
              <w:jc w:val="both"/>
              <w:rPr>
                <w:rFonts w:ascii="Book Antiqua" w:eastAsia="MS Mincho" w:hAnsi="Book Antiqua" w:cs="Times New Roman"/>
                <w:kern w:val="0"/>
              </w:rPr>
            </w:pPr>
            <w:r w:rsidRPr="007039DB">
              <w:rPr>
                <w:rFonts w:ascii="Book Antiqua" w:eastAsia="Times New Roman" w:hAnsi="Book Antiqua" w:cs="Times New Roman"/>
                <w:kern w:val="0"/>
              </w:rPr>
              <w:t>2 (6.1)</w:t>
            </w:r>
          </w:p>
        </w:tc>
      </w:tr>
      <w:tr w:rsidR="007039DB" w:rsidRPr="007039DB" w14:paraId="68D1E15A" w14:textId="77777777" w:rsidTr="00CF2EC0">
        <w:trPr>
          <w:trHeight w:val="323"/>
        </w:trPr>
        <w:tc>
          <w:tcPr>
            <w:tcW w:w="6803" w:type="dxa"/>
          </w:tcPr>
          <w:p w14:paraId="780F6372" w14:textId="39D0B4FC" w:rsidR="007039DB" w:rsidRPr="007039DB" w:rsidRDefault="007039DB" w:rsidP="007039DB">
            <w:pPr>
              <w:spacing w:line="360" w:lineRule="auto"/>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Metastatic tumor</w:t>
            </w:r>
          </w:p>
        </w:tc>
        <w:tc>
          <w:tcPr>
            <w:tcW w:w="2619" w:type="dxa"/>
          </w:tcPr>
          <w:p w14:paraId="01670906" w14:textId="2E4EB1F5" w:rsidR="007039DB" w:rsidRPr="007039DB" w:rsidRDefault="007039DB" w:rsidP="007039DB">
            <w:pPr>
              <w:spacing w:line="360" w:lineRule="auto"/>
              <w:jc w:val="both"/>
              <w:rPr>
                <w:rFonts w:ascii="Book Antiqua" w:eastAsia="Times New Roman" w:hAnsi="Book Antiqua"/>
              </w:rPr>
            </w:pPr>
            <w:r w:rsidRPr="007039DB">
              <w:rPr>
                <w:rFonts w:ascii="Book Antiqua" w:eastAsia="Times New Roman" w:hAnsi="Book Antiqua" w:cs="Times New Roman"/>
                <w:kern w:val="0"/>
              </w:rPr>
              <w:t>2 (6.1)</w:t>
            </w:r>
          </w:p>
        </w:tc>
      </w:tr>
      <w:tr w:rsidR="007039DB" w:rsidRPr="007039DB" w14:paraId="6AD426A5" w14:textId="77777777" w:rsidTr="00CF2EC0">
        <w:trPr>
          <w:trHeight w:val="338"/>
        </w:trPr>
        <w:tc>
          <w:tcPr>
            <w:tcW w:w="6803" w:type="dxa"/>
          </w:tcPr>
          <w:p w14:paraId="78BD7CD8" w14:textId="49125746"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Child</w:t>
            </w:r>
            <w:r>
              <w:rPr>
                <w:rFonts w:ascii="Book Antiqua" w:eastAsia="Times New Roman" w:hAnsi="Book Antiqua" w:cs="Times New Roman"/>
              </w:rPr>
              <w:t>-</w:t>
            </w:r>
            <w:r w:rsidRPr="007039DB">
              <w:rPr>
                <w:rFonts w:ascii="Book Antiqua" w:eastAsia="Times New Roman" w:hAnsi="Book Antiqua" w:cs="Times New Roman"/>
                <w:color w:val="000000" w:themeColor="dark1"/>
                <w:kern w:val="24"/>
              </w:rPr>
              <w:t xml:space="preserve">Pugh score (5/6/7/8), </w:t>
            </w:r>
            <w:r w:rsidRPr="007039DB">
              <w:rPr>
                <w:rFonts w:ascii="Book Antiqua" w:eastAsia="Times New Roman" w:hAnsi="Book Antiqua" w:cs="Times New Roman"/>
                <w:i/>
                <w:iCs/>
                <w:color w:val="000000" w:themeColor="dark1"/>
                <w:kern w:val="24"/>
              </w:rPr>
              <w:t>n</w:t>
            </w:r>
          </w:p>
        </w:tc>
        <w:tc>
          <w:tcPr>
            <w:tcW w:w="2619" w:type="dxa"/>
          </w:tcPr>
          <w:p w14:paraId="186B637B"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23/7/1/2</w:t>
            </w:r>
          </w:p>
        </w:tc>
      </w:tr>
      <w:tr w:rsidR="007039DB" w:rsidRPr="007039DB" w14:paraId="1A72E5A5" w14:textId="77777777" w:rsidTr="00CF2EC0">
        <w:trPr>
          <w:trHeight w:val="338"/>
        </w:trPr>
        <w:tc>
          <w:tcPr>
            <w:tcW w:w="6803" w:type="dxa"/>
          </w:tcPr>
          <w:p w14:paraId="67DB7449" w14:textId="3A8D84B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Child</w:t>
            </w:r>
            <w:r>
              <w:rPr>
                <w:rFonts w:ascii="Book Antiqua" w:eastAsia="Times New Roman" w:hAnsi="Book Antiqua" w:cs="Times New Roman"/>
              </w:rPr>
              <w:t>-</w:t>
            </w:r>
            <w:r w:rsidRPr="007039DB">
              <w:rPr>
                <w:rFonts w:ascii="Book Antiqua" w:eastAsia="Times New Roman" w:hAnsi="Book Antiqua" w:cs="Times New Roman"/>
                <w:color w:val="000000" w:themeColor="dark1"/>
                <w:kern w:val="24"/>
              </w:rPr>
              <w:t xml:space="preserve">Pugh classification (A/B), </w:t>
            </w:r>
            <w:r w:rsidRPr="007039DB">
              <w:rPr>
                <w:rFonts w:ascii="Book Antiqua" w:eastAsia="Times New Roman" w:hAnsi="Book Antiqua" w:cs="Times New Roman"/>
                <w:i/>
                <w:iCs/>
                <w:color w:val="000000" w:themeColor="dark1"/>
                <w:kern w:val="24"/>
              </w:rPr>
              <w:t>n</w:t>
            </w:r>
          </w:p>
        </w:tc>
        <w:tc>
          <w:tcPr>
            <w:tcW w:w="2619" w:type="dxa"/>
          </w:tcPr>
          <w:p w14:paraId="69090788" w14:textId="77777777"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30/3</w:t>
            </w:r>
          </w:p>
        </w:tc>
      </w:tr>
      <w:tr w:rsidR="007039DB" w:rsidRPr="007039DB" w14:paraId="452097CA" w14:textId="77777777" w:rsidTr="00CF2EC0">
        <w:trPr>
          <w:trHeight w:val="338"/>
        </w:trPr>
        <w:tc>
          <w:tcPr>
            <w:tcW w:w="6803" w:type="dxa"/>
          </w:tcPr>
          <w:p w14:paraId="44E09A5F"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ICGR</w:t>
            </w:r>
            <w:r w:rsidRPr="007039DB">
              <w:rPr>
                <w:rFonts w:ascii="Book Antiqua" w:eastAsia="Times New Roman" w:hAnsi="Book Antiqua" w:cs="Times New Roman"/>
                <w:color w:val="000000" w:themeColor="dark1"/>
                <w:kern w:val="24"/>
                <w:vertAlign w:val="subscript"/>
              </w:rPr>
              <w:t>15</w:t>
            </w:r>
            <w:r w:rsidRPr="007039DB">
              <w:rPr>
                <w:rFonts w:ascii="Book Antiqua" w:eastAsia="MS Mincho" w:hAnsi="Book Antiqua" w:cs="Times New Roman"/>
                <w:color w:val="000000" w:themeColor="dark1"/>
                <w:kern w:val="24"/>
                <w:vertAlign w:val="subscript"/>
              </w:rPr>
              <w:t xml:space="preserve"> </w:t>
            </w:r>
            <w:r w:rsidRPr="007039DB">
              <w:rPr>
                <w:rFonts w:ascii="Book Antiqua" w:eastAsia="MS Mincho" w:hAnsi="Book Antiqua" w:cs="Times New Roman"/>
                <w:color w:val="000000" w:themeColor="dark1"/>
                <w:kern w:val="24"/>
              </w:rPr>
              <w:t>(%)</w:t>
            </w:r>
            <w:r w:rsidRPr="007039DB">
              <w:rPr>
                <w:rFonts w:ascii="Book Antiqua" w:eastAsia="Times New Roman" w:hAnsi="Book Antiqua" w:cs="Times New Roman"/>
                <w:color w:val="000000" w:themeColor="dark1"/>
                <w:kern w:val="24"/>
              </w:rPr>
              <w:t>, mean (range)</w:t>
            </w:r>
          </w:p>
        </w:tc>
        <w:tc>
          <w:tcPr>
            <w:tcW w:w="2619" w:type="dxa"/>
          </w:tcPr>
          <w:p w14:paraId="778F0786" w14:textId="623952C3" w:rsidR="007039DB" w:rsidRPr="007039DB" w:rsidRDefault="007039DB" w:rsidP="007039DB">
            <w:pPr>
              <w:spacing w:line="360" w:lineRule="auto"/>
              <w:jc w:val="both"/>
              <w:rPr>
                <w:rFonts w:ascii="Book Antiqua" w:eastAsia="Times New Roman" w:hAnsi="Book Antiqua" w:cs="Times New Roman"/>
                <w:kern w:val="0"/>
              </w:rPr>
            </w:pPr>
            <w:r w:rsidRPr="007039DB">
              <w:rPr>
                <w:rFonts w:ascii="Book Antiqua" w:eastAsia="Times New Roman" w:hAnsi="Book Antiqua" w:cs="Times New Roman"/>
                <w:kern w:val="0"/>
              </w:rPr>
              <w:t>10.1 (1.5</w:t>
            </w:r>
            <w:r>
              <w:rPr>
                <w:rFonts w:ascii="Book Antiqua" w:eastAsia="Times New Roman" w:hAnsi="Book Antiqua" w:cs="Times New Roman"/>
                <w:kern w:val="0"/>
              </w:rPr>
              <w:t>-</w:t>
            </w:r>
            <w:r w:rsidRPr="007039DB">
              <w:rPr>
                <w:rFonts w:ascii="Book Antiqua" w:eastAsia="Times New Roman" w:hAnsi="Book Antiqua" w:cs="Times New Roman"/>
                <w:kern w:val="0"/>
              </w:rPr>
              <w:t>33.2)</w:t>
            </w:r>
          </w:p>
        </w:tc>
      </w:tr>
      <w:tr w:rsidR="007039DB" w:rsidRPr="007039DB" w14:paraId="16137F02" w14:textId="77777777" w:rsidTr="00CF2EC0">
        <w:trPr>
          <w:trHeight w:val="422"/>
        </w:trPr>
        <w:tc>
          <w:tcPr>
            <w:tcW w:w="6803" w:type="dxa"/>
          </w:tcPr>
          <w:p w14:paraId="0E6C00D2"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Preoperative biliary drainage,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606822FF"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17 (51.5)</w:t>
            </w:r>
          </w:p>
        </w:tc>
      </w:tr>
      <w:tr w:rsidR="007039DB" w:rsidRPr="007039DB" w14:paraId="71F9778A" w14:textId="77777777" w:rsidTr="00CF2EC0">
        <w:trPr>
          <w:trHeight w:val="422"/>
        </w:trPr>
        <w:tc>
          <w:tcPr>
            <w:tcW w:w="6803" w:type="dxa"/>
          </w:tcPr>
          <w:p w14:paraId="04FC3890"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Initial resection ratio (%), mean ± SD</w:t>
            </w:r>
          </w:p>
        </w:tc>
        <w:tc>
          <w:tcPr>
            <w:tcW w:w="2619" w:type="dxa"/>
          </w:tcPr>
          <w:p w14:paraId="5B128EB4"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64.5 ± 5.48 </w:t>
            </w:r>
          </w:p>
        </w:tc>
      </w:tr>
      <w:tr w:rsidR="007039DB" w:rsidRPr="007039DB" w14:paraId="5FD6185A" w14:textId="77777777" w:rsidTr="00CF2EC0">
        <w:trPr>
          <w:trHeight w:val="422"/>
        </w:trPr>
        <w:tc>
          <w:tcPr>
            <w:tcW w:w="6803" w:type="dxa"/>
          </w:tcPr>
          <w:p w14:paraId="0A6BD568"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Initial CT volume of FLR (mL),</w:t>
            </w:r>
            <w:r w:rsidRPr="007039DB">
              <w:rPr>
                <w:rFonts w:ascii="Book Antiqua" w:eastAsia="Times New Roman" w:hAnsi="Book Antiqua" w:cs="Times New Roman"/>
              </w:rPr>
              <w:t xml:space="preserve"> </w:t>
            </w:r>
            <w:r w:rsidRPr="007039DB">
              <w:rPr>
                <w:rFonts w:ascii="Book Antiqua" w:eastAsia="Times New Roman" w:hAnsi="Book Antiqua" w:cs="Times New Roman"/>
                <w:color w:val="000000" w:themeColor="dark1"/>
                <w:kern w:val="24"/>
              </w:rPr>
              <w:t>mean ± SD</w:t>
            </w:r>
          </w:p>
        </w:tc>
        <w:tc>
          <w:tcPr>
            <w:tcW w:w="2619" w:type="dxa"/>
          </w:tcPr>
          <w:p w14:paraId="65E6BC63"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410.9 ± 79.4</w:t>
            </w:r>
          </w:p>
        </w:tc>
      </w:tr>
      <w:tr w:rsidR="007039DB" w:rsidRPr="007039DB" w14:paraId="7D7173E0" w14:textId="77777777" w:rsidTr="00CF2EC0">
        <w:trPr>
          <w:trHeight w:val="422"/>
        </w:trPr>
        <w:tc>
          <w:tcPr>
            <w:tcW w:w="6803" w:type="dxa"/>
          </w:tcPr>
          <w:p w14:paraId="33710E3C" w14:textId="6A13BADB" w:rsidR="007039DB" w:rsidRPr="007039DB" w:rsidRDefault="007039DB" w:rsidP="00CF2EC0">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Average time between PVE and operation, d</w:t>
            </w:r>
            <w:r w:rsidR="00CF2EC0">
              <w:rPr>
                <w:rFonts w:ascii="Book Antiqua" w:eastAsia="Times New Roman" w:hAnsi="Book Antiqua" w:cs="Times New Roman"/>
                <w:color w:val="000000" w:themeColor="dark1"/>
                <w:kern w:val="24"/>
              </w:rPr>
              <w:t xml:space="preserve"> </w:t>
            </w:r>
            <w:r w:rsidRPr="007039DB">
              <w:rPr>
                <w:rFonts w:ascii="Book Antiqua" w:eastAsia="Times New Roman" w:hAnsi="Book Antiqua" w:cs="Times New Roman"/>
                <w:color w:val="000000" w:themeColor="dark1"/>
                <w:kern w:val="24"/>
              </w:rPr>
              <w:t>(range)</w:t>
            </w:r>
          </w:p>
        </w:tc>
        <w:tc>
          <w:tcPr>
            <w:tcW w:w="2619" w:type="dxa"/>
          </w:tcPr>
          <w:p w14:paraId="133BEFF6"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30.0 (15-94)</w:t>
            </w:r>
          </w:p>
        </w:tc>
      </w:tr>
      <w:tr w:rsidR="007039DB" w:rsidRPr="007039DB" w14:paraId="2F3174D5" w14:textId="77777777" w:rsidTr="00CF2EC0">
        <w:trPr>
          <w:trHeight w:val="422"/>
        </w:trPr>
        <w:tc>
          <w:tcPr>
            <w:tcW w:w="6803" w:type="dxa"/>
          </w:tcPr>
          <w:p w14:paraId="7EF9B1B1" w14:textId="0AD74631"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Type of hepatectomy,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Pr>
          <w:p w14:paraId="608D7E41" w14:textId="7FAC7620" w:rsidR="007039DB" w:rsidRPr="007039DB" w:rsidRDefault="007039DB" w:rsidP="007039DB">
            <w:pPr>
              <w:spacing w:line="360" w:lineRule="auto"/>
              <w:jc w:val="both"/>
              <w:rPr>
                <w:rFonts w:ascii="Book Antiqua" w:eastAsia="Times New Roman" w:hAnsi="Book Antiqua" w:cs="Times New Roman"/>
                <w:color w:val="000000" w:themeColor="dark1"/>
                <w:kern w:val="24"/>
              </w:rPr>
            </w:pPr>
          </w:p>
        </w:tc>
      </w:tr>
      <w:tr w:rsidR="007039DB" w:rsidRPr="007039DB" w14:paraId="05048055" w14:textId="77777777" w:rsidTr="00CF2EC0">
        <w:trPr>
          <w:trHeight w:val="422"/>
        </w:trPr>
        <w:tc>
          <w:tcPr>
            <w:tcW w:w="6803" w:type="dxa"/>
          </w:tcPr>
          <w:p w14:paraId="438B95AF" w14:textId="445ABEFD" w:rsidR="007039DB" w:rsidRPr="007039DB" w:rsidRDefault="007039DB" w:rsidP="007039DB">
            <w:pPr>
              <w:spacing w:line="360" w:lineRule="auto"/>
              <w:ind w:firstLineChars="100" w:firstLine="240"/>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Right hepatectomy+ caudal lobectomy</w:t>
            </w:r>
          </w:p>
        </w:tc>
        <w:tc>
          <w:tcPr>
            <w:tcW w:w="2619" w:type="dxa"/>
          </w:tcPr>
          <w:p w14:paraId="5CFA2FB1" w14:textId="2C093051"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19 (57.6)</w:t>
            </w:r>
          </w:p>
        </w:tc>
      </w:tr>
      <w:tr w:rsidR="007039DB" w:rsidRPr="007039DB" w14:paraId="3A21455D" w14:textId="77777777" w:rsidTr="00CF2EC0">
        <w:trPr>
          <w:trHeight w:val="422"/>
        </w:trPr>
        <w:tc>
          <w:tcPr>
            <w:tcW w:w="6803" w:type="dxa"/>
          </w:tcPr>
          <w:p w14:paraId="4DA4AADF" w14:textId="0B7928E1"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Right hepatectomy</w:t>
            </w:r>
          </w:p>
        </w:tc>
        <w:tc>
          <w:tcPr>
            <w:tcW w:w="2619" w:type="dxa"/>
          </w:tcPr>
          <w:p w14:paraId="413C1C95" w14:textId="4221F6E3"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9 (27.3)</w:t>
            </w:r>
          </w:p>
        </w:tc>
      </w:tr>
      <w:tr w:rsidR="007039DB" w:rsidRPr="007039DB" w14:paraId="4D0D341A" w14:textId="77777777" w:rsidTr="00CF2EC0">
        <w:trPr>
          <w:trHeight w:val="422"/>
        </w:trPr>
        <w:tc>
          <w:tcPr>
            <w:tcW w:w="6803" w:type="dxa"/>
          </w:tcPr>
          <w:p w14:paraId="5CFF0F6D" w14:textId="778F62B2" w:rsidR="007039DB" w:rsidRPr="007039DB" w:rsidRDefault="007039DB" w:rsidP="007039DB">
            <w:pPr>
              <w:spacing w:line="360" w:lineRule="auto"/>
              <w:ind w:firstLineChars="100" w:firstLine="240"/>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Left trisectionectomy+ caudal lobectomy</w:t>
            </w:r>
          </w:p>
        </w:tc>
        <w:tc>
          <w:tcPr>
            <w:tcW w:w="2619" w:type="dxa"/>
          </w:tcPr>
          <w:p w14:paraId="3FFFA296" w14:textId="345F75D4" w:rsidR="007039DB" w:rsidRPr="007039DB" w:rsidRDefault="007039DB" w:rsidP="007039DB">
            <w:pPr>
              <w:spacing w:line="360" w:lineRule="auto"/>
              <w:jc w:val="both"/>
              <w:rPr>
                <w:rFonts w:ascii="Book Antiqua" w:eastAsia="MS Mincho" w:hAnsi="Book Antiqua" w:cs="Times New Roman"/>
                <w:color w:val="000000" w:themeColor="dark1"/>
                <w:kern w:val="24"/>
              </w:rPr>
            </w:pPr>
            <w:r w:rsidRPr="007039DB">
              <w:rPr>
                <w:rFonts w:ascii="Book Antiqua" w:eastAsia="Times New Roman" w:hAnsi="Book Antiqua" w:cs="Times New Roman"/>
                <w:color w:val="000000" w:themeColor="dark1"/>
                <w:kern w:val="24"/>
              </w:rPr>
              <w:t>4 (12.1)</w:t>
            </w:r>
          </w:p>
        </w:tc>
      </w:tr>
      <w:tr w:rsidR="007039DB" w:rsidRPr="007039DB" w14:paraId="2F8393FF" w14:textId="77777777" w:rsidTr="00CF2EC0">
        <w:trPr>
          <w:trHeight w:val="422"/>
        </w:trPr>
        <w:tc>
          <w:tcPr>
            <w:tcW w:w="6803" w:type="dxa"/>
          </w:tcPr>
          <w:p w14:paraId="6DF16B83" w14:textId="063859A5" w:rsidR="007039DB" w:rsidRPr="007039DB" w:rsidRDefault="007039DB" w:rsidP="007039DB">
            <w:pPr>
              <w:spacing w:line="360" w:lineRule="auto"/>
              <w:ind w:firstLineChars="100" w:firstLine="240"/>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Left hepatectomy+ caudal lobectomy</w:t>
            </w:r>
          </w:p>
        </w:tc>
        <w:tc>
          <w:tcPr>
            <w:tcW w:w="2619" w:type="dxa"/>
          </w:tcPr>
          <w:p w14:paraId="61B673C1" w14:textId="5730C800" w:rsidR="007039DB" w:rsidRPr="007039DB" w:rsidRDefault="007039DB" w:rsidP="007039DB">
            <w:pPr>
              <w:spacing w:line="360" w:lineRule="auto"/>
              <w:jc w:val="both"/>
              <w:rPr>
                <w:rFonts w:ascii="Book Antiqua" w:eastAsia="Times New Roman" w:hAnsi="Book Antiqua"/>
                <w:color w:val="000000" w:themeColor="dark1"/>
                <w:kern w:val="24"/>
              </w:rPr>
            </w:pPr>
            <w:r w:rsidRPr="007039DB">
              <w:rPr>
                <w:rFonts w:ascii="Book Antiqua" w:eastAsia="Times New Roman" w:hAnsi="Book Antiqua" w:cs="Times New Roman"/>
                <w:color w:val="000000" w:themeColor="dark1"/>
                <w:kern w:val="24"/>
              </w:rPr>
              <w:t>1 (3.0)</w:t>
            </w:r>
          </w:p>
        </w:tc>
      </w:tr>
      <w:tr w:rsidR="007039DB" w:rsidRPr="007039DB" w14:paraId="4EC46E21" w14:textId="77777777" w:rsidTr="00CF2EC0">
        <w:trPr>
          <w:trHeight w:val="422"/>
        </w:trPr>
        <w:tc>
          <w:tcPr>
            <w:tcW w:w="6803" w:type="dxa"/>
            <w:tcBorders>
              <w:bottom w:val="single" w:sz="4" w:space="0" w:color="auto"/>
            </w:tcBorders>
          </w:tcPr>
          <w:p w14:paraId="175BD477"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 xml:space="preserve">Biliary reconstruction, </w:t>
            </w:r>
            <w:r w:rsidRPr="007039DB">
              <w:rPr>
                <w:rFonts w:ascii="Book Antiqua" w:eastAsia="Times New Roman" w:hAnsi="Book Antiqua" w:cs="Times New Roman"/>
                <w:i/>
                <w:iCs/>
                <w:color w:val="000000" w:themeColor="dark1"/>
                <w:kern w:val="24"/>
              </w:rPr>
              <w:t>n</w:t>
            </w:r>
            <w:r w:rsidRPr="007039DB">
              <w:rPr>
                <w:rFonts w:ascii="Book Antiqua" w:eastAsia="Times New Roman" w:hAnsi="Book Antiqua" w:cs="Times New Roman"/>
                <w:color w:val="000000" w:themeColor="dark1"/>
                <w:kern w:val="24"/>
              </w:rPr>
              <w:t xml:space="preserve"> (%)</w:t>
            </w:r>
          </w:p>
        </w:tc>
        <w:tc>
          <w:tcPr>
            <w:tcW w:w="2619" w:type="dxa"/>
            <w:tcBorders>
              <w:bottom w:val="single" w:sz="4" w:space="0" w:color="auto"/>
            </w:tcBorders>
          </w:tcPr>
          <w:p w14:paraId="38F29ED7" w14:textId="77777777" w:rsidR="007039DB" w:rsidRPr="007039DB" w:rsidRDefault="007039DB" w:rsidP="007039DB">
            <w:pPr>
              <w:spacing w:line="360" w:lineRule="auto"/>
              <w:jc w:val="both"/>
              <w:rPr>
                <w:rFonts w:ascii="Book Antiqua" w:eastAsia="Times New Roman" w:hAnsi="Book Antiqua" w:cs="Times New Roman"/>
                <w:color w:val="000000" w:themeColor="dark1"/>
                <w:kern w:val="24"/>
              </w:rPr>
            </w:pPr>
            <w:r w:rsidRPr="007039DB">
              <w:rPr>
                <w:rFonts w:ascii="Book Antiqua" w:eastAsia="Times New Roman" w:hAnsi="Book Antiqua" w:cs="Times New Roman"/>
                <w:color w:val="000000" w:themeColor="dark1"/>
                <w:kern w:val="24"/>
              </w:rPr>
              <w:t>24 (72.</w:t>
            </w:r>
            <w:r w:rsidRPr="007039DB">
              <w:rPr>
                <w:rFonts w:ascii="Book Antiqua" w:eastAsia="MS Mincho" w:hAnsi="Book Antiqua" w:cs="Times New Roman"/>
                <w:color w:val="000000" w:themeColor="dark1"/>
                <w:kern w:val="24"/>
              </w:rPr>
              <w:t>7</w:t>
            </w:r>
            <w:r w:rsidRPr="007039DB">
              <w:rPr>
                <w:rFonts w:ascii="Book Antiqua" w:eastAsia="Times New Roman" w:hAnsi="Book Antiqua" w:cs="Times New Roman"/>
                <w:color w:val="000000" w:themeColor="dark1"/>
                <w:kern w:val="24"/>
              </w:rPr>
              <w:t>)</w:t>
            </w:r>
          </w:p>
        </w:tc>
      </w:tr>
    </w:tbl>
    <w:p w14:paraId="0B4A4B2D" w14:textId="77777777" w:rsidR="00EC0E9B" w:rsidRDefault="007039DB">
      <w:pPr>
        <w:spacing w:line="360" w:lineRule="auto"/>
        <w:jc w:val="both"/>
        <w:rPr>
          <w:rFonts w:ascii="Book Antiqua" w:hAnsi="Book Antiqua"/>
        </w:rPr>
      </w:pPr>
      <w:r w:rsidRPr="007039DB">
        <w:rPr>
          <w:rFonts w:ascii="Book Antiqua" w:hAnsi="Book Antiqua"/>
        </w:rPr>
        <w:t>HBsAg</w:t>
      </w:r>
      <w:r>
        <w:rPr>
          <w:rFonts w:ascii="Book Antiqua" w:hAnsi="Book Antiqua"/>
        </w:rPr>
        <w:t>:</w:t>
      </w:r>
      <w:r w:rsidRPr="007039DB">
        <w:rPr>
          <w:rFonts w:ascii="Book Antiqua" w:hAnsi="Book Antiqua"/>
        </w:rPr>
        <w:t xml:space="preserve"> </w:t>
      </w:r>
      <w:r>
        <w:rPr>
          <w:rFonts w:ascii="Book Antiqua" w:hAnsi="Book Antiqua"/>
        </w:rPr>
        <w:t>H</w:t>
      </w:r>
      <w:r w:rsidRPr="007039DB">
        <w:rPr>
          <w:rFonts w:ascii="Book Antiqua" w:hAnsi="Book Antiqua"/>
        </w:rPr>
        <w:t>epatitis B virus surface antigen; HCV</w:t>
      </w:r>
      <w:r>
        <w:rPr>
          <w:rFonts w:ascii="Book Antiqua" w:hAnsi="Book Antiqua"/>
        </w:rPr>
        <w:t>:</w:t>
      </w:r>
      <w:r w:rsidRPr="007039DB">
        <w:rPr>
          <w:rFonts w:ascii="Book Antiqua" w:hAnsi="Book Antiqua"/>
        </w:rPr>
        <w:t xml:space="preserve"> </w:t>
      </w:r>
      <w:r>
        <w:rPr>
          <w:rFonts w:ascii="Book Antiqua" w:hAnsi="Book Antiqua"/>
        </w:rPr>
        <w:t>H</w:t>
      </w:r>
      <w:r w:rsidRPr="007039DB">
        <w:rPr>
          <w:rFonts w:ascii="Book Antiqua" w:hAnsi="Book Antiqua"/>
        </w:rPr>
        <w:t>epatitis C virus; ICGR15</w:t>
      </w:r>
      <w:r>
        <w:rPr>
          <w:rFonts w:ascii="Book Antiqua" w:hAnsi="Book Antiqua"/>
        </w:rPr>
        <w:t>:</w:t>
      </w:r>
      <w:r w:rsidRPr="007039DB">
        <w:rPr>
          <w:rFonts w:ascii="Book Antiqua" w:hAnsi="Book Antiqua"/>
        </w:rPr>
        <w:t xml:space="preserve"> </w:t>
      </w:r>
      <w:r>
        <w:rPr>
          <w:rFonts w:ascii="Book Antiqua" w:hAnsi="Book Antiqua"/>
        </w:rPr>
        <w:t>I</w:t>
      </w:r>
      <w:r w:rsidRPr="007039DB">
        <w:rPr>
          <w:rFonts w:ascii="Book Antiqua" w:hAnsi="Book Antiqua"/>
        </w:rPr>
        <w:t>ndocyanine green retention at 15 min; SD</w:t>
      </w:r>
      <w:r>
        <w:rPr>
          <w:rFonts w:ascii="Book Antiqua" w:hAnsi="Book Antiqua"/>
        </w:rPr>
        <w:t>:</w:t>
      </w:r>
      <w:r w:rsidRPr="007039DB">
        <w:rPr>
          <w:rFonts w:ascii="Book Antiqua" w:hAnsi="Book Antiqua"/>
        </w:rPr>
        <w:t xml:space="preserve"> </w:t>
      </w:r>
      <w:r>
        <w:rPr>
          <w:rFonts w:ascii="Book Antiqua" w:hAnsi="Book Antiqua"/>
        </w:rPr>
        <w:t>S</w:t>
      </w:r>
      <w:r w:rsidRPr="007039DB">
        <w:rPr>
          <w:rFonts w:ascii="Book Antiqua" w:hAnsi="Book Antiqua"/>
        </w:rPr>
        <w:t>tandard deviation; CT</w:t>
      </w:r>
      <w:r>
        <w:rPr>
          <w:rFonts w:ascii="Book Antiqua" w:hAnsi="Book Antiqua"/>
        </w:rPr>
        <w:t>:</w:t>
      </w:r>
      <w:r w:rsidRPr="007039DB">
        <w:rPr>
          <w:rFonts w:ascii="Book Antiqua" w:hAnsi="Book Antiqua"/>
        </w:rPr>
        <w:t xml:space="preserve"> </w:t>
      </w:r>
      <w:r>
        <w:rPr>
          <w:rFonts w:ascii="Book Antiqua" w:hAnsi="Book Antiqua"/>
        </w:rPr>
        <w:t>C</w:t>
      </w:r>
      <w:r w:rsidRPr="007039DB">
        <w:rPr>
          <w:rFonts w:ascii="Book Antiqua" w:hAnsi="Book Antiqua"/>
        </w:rPr>
        <w:t>omputed tomography; FLR</w:t>
      </w:r>
      <w:r>
        <w:rPr>
          <w:rFonts w:ascii="Book Antiqua" w:hAnsi="Book Antiqua"/>
        </w:rPr>
        <w:t>:</w:t>
      </w:r>
      <w:r w:rsidRPr="007039DB">
        <w:rPr>
          <w:rFonts w:ascii="Book Antiqua" w:hAnsi="Book Antiqua"/>
        </w:rPr>
        <w:t xml:space="preserve"> </w:t>
      </w:r>
      <w:r>
        <w:rPr>
          <w:rFonts w:ascii="Book Antiqua" w:hAnsi="Book Antiqua"/>
        </w:rPr>
        <w:t>F</w:t>
      </w:r>
      <w:r w:rsidRPr="007039DB">
        <w:rPr>
          <w:rFonts w:ascii="Book Antiqua" w:hAnsi="Book Antiqua"/>
        </w:rPr>
        <w:t>uture liver remnant; PVE</w:t>
      </w:r>
      <w:r>
        <w:rPr>
          <w:rFonts w:ascii="Book Antiqua" w:hAnsi="Book Antiqua"/>
        </w:rPr>
        <w:t>:</w:t>
      </w:r>
      <w:r w:rsidRPr="007039DB">
        <w:rPr>
          <w:rFonts w:ascii="Book Antiqua" w:hAnsi="Book Antiqua"/>
        </w:rPr>
        <w:t xml:space="preserve"> </w:t>
      </w:r>
      <w:r>
        <w:rPr>
          <w:rFonts w:ascii="Book Antiqua" w:hAnsi="Book Antiqua"/>
        </w:rPr>
        <w:t>P</w:t>
      </w:r>
      <w:r w:rsidRPr="007039DB">
        <w:rPr>
          <w:rFonts w:ascii="Book Antiqua" w:hAnsi="Book Antiqua"/>
        </w:rPr>
        <w:t>ortal vein embolization</w:t>
      </w:r>
      <w:r>
        <w:rPr>
          <w:rFonts w:ascii="Book Antiqua" w:hAnsi="Book Antiqua"/>
        </w:rPr>
        <w:t>.</w:t>
      </w:r>
    </w:p>
    <w:p w14:paraId="2314D98B" w14:textId="7D2DF500" w:rsidR="007039DB" w:rsidRDefault="007039DB">
      <w:pPr>
        <w:spacing w:line="360" w:lineRule="auto"/>
        <w:jc w:val="both"/>
        <w:rPr>
          <w:rFonts w:ascii="Book Antiqua" w:hAnsi="Book Antiqua"/>
          <w:b/>
          <w:bCs/>
        </w:rPr>
      </w:pPr>
      <w:r w:rsidRPr="007039DB">
        <w:rPr>
          <w:rFonts w:ascii="Book Antiqua" w:hAnsi="Book Antiqua"/>
          <w:b/>
          <w:bCs/>
        </w:rPr>
        <w:lastRenderedPageBreak/>
        <w:t>Table 2</w:t>
      </w:r>
      <w:r>
        <w:rPr>
          <w:rFonts w:ascii="Book Antiqua" w:hAnsi="Book Antiqua"/>
          <w:b/>
          <w:bCs/>
        </w:rPr>
        <w:t xml:space="preserve"> </w:t>
      </w:r>
      <w:r w:rsidRPr="007039DB">
        <w:rPr>
          <w:rFonts w:ascii="Book Antiqua" w:hAnsi="Book Antiqua"/>
          <w:b/>
          <w:bCs/>
        </w:rPr>
        <w:t>Comparison of the initial liver function, future liver remnant volume, and functional future liver remnant volume between the groups with and without preoperative biliary drainage</w:t>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35"/>
        <w:gridCol w:w="2694"/>
        <w:gridCol w:w="1701"/>
      </w:tblGrid>
      <w:tr w:rsidR="007039DB" w:rsidRPr="005C00B9" w14:paraId="6BC948DA" w14:textId="77777777" w:rsidTr="00CF2EC0">
        <w:tc>
          <w:tcPr>
            <w:tcW w:w="1809" w:type="dxa"/>
            <w:tcBorders>
              <w:top w:val="single" w:sz="4" w:space="0" w:color="auto"/>
              <w:bottom w:val="single" w:sz="4" w:space="0" w:color="auto"/>
            </w:tcBorders>
          </w:tcPr>
          <w:p w14:paraId="7167E3A6" w14:textId="77777777" w:rsidR="007039DB" w:rsidRPr="007039DB" w:rsidRDefault="007039DB" w:rsidP="007039DB">
            <w:pPr>
              <w:spacing w:line="360" w:lineRule="auto"/>
              <w:jc w:val="both"/>
              <w:rPr>
                <w:rFonts w:ascii="Book Antiqua" w:eastAsia="Times New Roman" w:hAnsi="Book Antiqua" w:cs="Times New Roman"/>
                <w:b/>
                <w:bCs/>
              </w:rPr>
            </w:pPr>
          </w:p>
        </w:tc>
        <w:tc>
          <w:tcPr>
            <w:tcW w:w="2835" w:type="dxa"/>
            <w:tcBorders>
              <w:top w:val="single" w:sz="4" w:space="0" w:color="auto"/>
              <w:bottom w:val="single" w:sz="4" w:space="0" w:color="auto"/>
            </w:tcBorders>
          </w:tcPr>
          <w:p w14:paraId="39954706" w14:textId="745EB580" w:rsidR="007039DB" w:rsidRPr="007039DB" w:rsidRDefault="007039DB" w:rsidP="00CF2EC0">
            <w:pPr>
              <w:spacing w:line="360" w:lineRule="auto"/>
              <w:jc w:val="center"/>
              <w:rPr>
                <w:rFonts w:ascii="Book Antiqua" w:eastAsia="Times New Roman" w:hAnsi="Book Antiqua" w:cs="Times New Roman"/>
                <w:b/>
                <w:bCs/>
              </w:rPr>
            </w:pPr>
            <w:r w:rsidRPr="007039DB">
              <w:rPr>
                <w:rFonts w:ascii="Book Antiqua" w:eastAsia="Times New Roman" w:hAnsi="Book Antiqua" w:cs="Times New Roman"/>
                <w:b/>
                <w:bCs/>
              </w:rPr>
              <w:t>Group with preoperative biliary drainage (</w:t>
            </w:r>
            <w:r w:rsidRPr="007039DB">
              <w:rPr>
                <w:rFonts w:ascii="Book Antiqua" w:eastAsia="Times New Roman" w:hAnsi="Book Antiqua" w:cs="Times New Roman"/>
                <w:b/>
                <w:bCs/>
                <w:i/>
                <w:iCs/>
              </w:rPr>
              <w:t>n</w:t>
            </w:r>
            <w:r>
              <w:rPr>
                <w:rFonts w:ascii="Book Antiqua" w:eastAsia="Times New Roman" w:hAnsi="Book Antiqua" w:cs="Times New Roman"/>
                <w:b/>
                <w:bCs/>
              </w:rPr>
              <w:t xml:space="preserve"> </w:t>
            </w:r>
            <w:r w:rsidRPr="007039DB">
              <w:rPr>
                <w:rFonts w:ascii="Book Antiqua" w:eastAsia="Times New Roman" w:hAnsi="Book Antiqua" w:cs="Times New Roman"/>
                <w:b/>
                <w:bCs/>
              </w:rPr>
              <w:t>=</w:t>
            </w:r>
            <w:r>
              <w:rPr>
                <w:rFonts w:ascii="Book Antiqua" w:eastAsia="Times New Roman" w:hAnsi="Book Antiqua" w:cs="Times New Roman"/>
                <w:b/>
                <w:bCs/>
              </w:rPr>
              <w:t xml:space="preserve"> </w:t>
            </w:r>
            <w:r w:rsidRPr="007039DB">
              <w:rPr>
                <w:rFonts w:ascii="Book Antiqua" w:eastAsia="Times New Roman" w:hAnsi="Book Antiqua" w:cs="Times New Roman"/>
                <w:b/>
                <w:bCs/>
              </w:rPr>
              <w:t>17)</w:t>
            </w:r>
          </w:p>
        </w:tc>
        <w:tc>
          <w:tcPr>
            <w:tcW w:w="2694" w:type="dxa"/>
            <w:tcBorders>
              <w:top w:val="single" w:sz="4" w:space="0" w:color="auto"/>
              <w:bottom w:val="single" w:sz="4" w:space="0" w:color="auto"/>
            </w:tcBorders>
          </w:tcPr>
          <w:p w14:paraId="2ED2846D" w14:textId="0DDB29E8" w:rsidR="007039DB" w:rsidRPr="007039DB" w:rsidRDefault="007039DB" w:rsidP="00CF2EC0">
            <w:pPr>
              <w:spacing w:line="360" w:lineRule="auto"/>
              <w:jc w:val="center"/>
              <w:rPr>
                <w:rFonts w:ascii="Book Antiqua" w:eastAsia="Times New Roman" w:hAnsi="Book Antiqua" w:cs="Times New Roman"/>
                <w:b/>
                <w:bCs/>
              </w:rPr>
            </w:pPr>
            <w:r w:rsidRPr="007039DB">
              <w:rPr>
                <w:rFonts w:ascii="Book Antiqua" w:eastAsia="Times New Roman" w:hAnsi="Book Antiqua" w:cs="Times New Roman"/>
                <w:b/>
                <w:bCs/>
              </w:rPr>
              <w:t xml:space="preserve">Group without preoperative biliary drainage </w:t>
            </w:r>
            <w:r w:rsidRPr="007039DB">
              <w:rPr>
                <w:rFonts w:ascii="Book Antiqua" w:eastAsia="MS Mincho" w:hAnsi="Book Antiqua" w:cs="MS Mincho"/>
                <w:b/>
                <w:bCs/>
              </w:rPr>
              <w:t>(</w:t>
            </w:r>
            <w:r w:rsidRPr="007039DB">
              <w:rPr>
                <w:rFonts w:ascii="Book Antiqua" w:eastAsia="Times New Roman" w:hAnsi="Book Antiqua" w:cs="Times New Roman"/>
                <w:b/>
                <w:bCs/>
                <w:i/>
                <w:iCs/>
              </w:rPr>
              <w:t>n</w:t>
            </w:r>
            <w:r>
              <w:rPr>
                <w:rFonts w:ascii="Book Antiqua" w:eastAsia="Times New Roman" w:hAnsi="Book Antiqua" w:cs="Times New Roman"/>
                <w:b/>
                <w:bCs/>
              </w:rPr>
              <w:t xml:space="preserve"> </w:t>
            </w:r>
            <w:r w:rsidRPr="007039DB">
              <w:rPr>
                <w:rFonts w:ascii="Book Antiqua" w:eastAsia="Times New Roman" w:hAnsi="Book Antiqua" w:cs="Times New Roman"/>
                <w:b/>
                <w:bCs/>
              </w:rPr>
              <w:t>=</w:t>
            </w:r>
            <w:r>
              <w:rPr>
                <w:rFonts w:ascii="Book Antiqua" w:eastAsia="Times New Roman" w:hAnsi="Book Antiqua" w:cs="Times New Roman"/>
                <w:b/>
                <w:bCs/>
              </w:rPr>
              <w:t xml:space="preserve"> </w:t>
            </w:r>
            <w:r w:rsidRPr="007039DB">
              <w:rPr>
                <w:rFonts w:ascii="Book Antiqua" w:eastAsia="Times New Roman" w:hAnsi="Book Antiqua" w:cs="Times New Roman"/>
                <w:b/>
                <w:bCs/>
              </w:rPr>
              <w:t>16)</w:t>
            </w:r>
          </w:p>
        </w:tc>
        <w:tc>
          <w:tcPr>
            <w:tcW w:w="1701" w:type="dxa"/>
            <w:tcBorders>
              <w:top w:val="single" w:sz="4" w:space="0" w:color="auto"/>
              <w:bottom w:val="single" w:sz="4" w:space="0" w:color="auto"/>
            </w:tcBorders>
          </w:tcPr>
          <w:p w14:paraId="734CFE6B" w14:textId="2BE36C58" w:rsidR="007039DB" w:rsidRPr="007039DB" w:rsidRDefault="007039DB" w:rsidP="00CF2EC0">
            <w:pPr>
              <w:spacing w:line="360" w:lineRule="auto"/>
              <w:jc w:val="center"/>
              <w:rPr>
                <w:rFonts w:ascii="Book Antiqua" w:eastAsia="MS Mincho" w:hAnsi="Book Antiqua" w:cs="Times New Roman"/>
                <w:b/>
                <w:bCs/>
              </w:rPr>
            </w:pPr>
            <w:r w:rsidRPr="007039DB">
              <w:rPr>
                <w:rFonts w:ascii="Book Antiqua" w:eastAsia="MS Mincho" w:hAnsi="Book Antiqua" w:cs="Times New Roman"/>
                <w:b/>
                <w:bCs/>
                <w:i/>
              </w:rPr>
              <w:t xml:space="preserve">P </w:t>
            </w:r>
            <w:r w:rsidRPr="007039DB">
              <w:rPr>
                <w:rFonts w:ascii="Book Antiqua" w:eastAsia="MS Mincho" w:hAnsi="Book Antiqua" w:cs="Times New Roman"/>
                <w:b/>
                <w:bCs/>
              </w:rPr>
              <w:t>value</w:t>
            </w:r>
          </w:p>
        </w:tc>
      </w:tr>
      <w:tr w:rsidR="007039DB" w:rsidRPr="005C00B9" w14:paraId="18DABC91" w14:textId="77777777" w:rsidTr="00CF2EC0">
        <w:trPr>
          <w:trHeight w:val="308"/>
        </w:trPr>
        <w:tc>
          <w:tcPr>
            <w:tcW w:w="1809" w:type="dxa"/>
            <w:tcBorders>
              <w:top w:val="single" w:sz="4" w:space="0" w:color="auto"/>
            </w:tcBorders>
          </w:tcPr>
          <w:p w14:paraId="23FCC84F" w14:textId="77777777" w:rsidR="007039DB" w:rsidRPr="005C00B9" w:rsidRDefault="007039DB" w:rsidP="007039DB">
            <w:pPr>
              <w:spacing w:line="360" w:lineRule="auto"/>
              <w:jc w:val="both"/>
              <w:rPr>
                <w:rFonts w:ascii="Book Antiqua" w:eastAsia="MS Mincho" w:hAnsi="Book Antiqua" w:cs="Times New Roman"/>
              </w:rPr>
            </w:pPr>
            <w:r w:rsidRPr="005C00B9">
              <w:rPr>
                <w:rFonts w:ascii="Book Antiqua" w:hAnsi="Book Antiqua"/>
              </w:rPr>
              <w:t>ICGR</w:t>
            </w:r>
            <w:r w:rsidRPr="005C00B9">
              <w:rPr>
                <w:rFonts w:ascii="Book Antiqua" w:hAnsi="Book Antiqua"/>
                <w:vertAlign w:val="subscript"/>
              </w:rPr>
              <w:t>15</w:t>
            </w:r>
            <w:r>
              <w:rPr>
                <w:rFonts w:ascii="Book Antiqua" w:eastAsia="MS Mincho" w:hAnsi="Book Antiqua" w:hint="eastAsia"/>
                <w:vertAlign w:val="subscript"/>
              </w:rPr>
              <w:t xml:space="preserve"> </w:t>
            </w:r>
            <w:r w:rsidRPr="0047323B">
              <w:rPr>
                <w:rFonts w:ascii="Book Antiqua" w:eastAsia="MS Mincho" w:hAnsi="Book Antiqua" w:hint="eastAsia"/>
              </w:rPr>
              <w:t>(%)</w:t>
            </w:r>
            <w:r w:rsidRPr="005C00B9">
              <w:rPr>
                <w:rFonts w:ascii="Book Antiqua" w:hAnsi="Book Antiqua"/>
              </w:rPr>
              <w:t>, mean ± SD</w:t>
            </w:r>
          </w:p>
        </w:tc>
        <w:tc>
          <w:tcPr>
            <w:tcW w:w="2835" w:type="dxa"/>
            <w:tcBorders>
              <w:top w:val="single" w:sz="4" w:space="0" w:color="auto"/>
            </w:tcBorders>
          </w:tcPr>
          <w:p w14:paraId="339D54F1"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9.09</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5.0</w:t>
            </w:r>
          </w:p>
        </w:tc>
        <w:tc>
          <w:tcPr>
            <w:tcW w:w="2694" w:type="dxa"/>
            <w:tcBorders>
              <w:top w:val="single" w:sz="4" w:space="0" w:color="auto"/>
            </w:tcBorders>
          </w:tcPr>
          <w:p w14:paraId="35D07E03" w14:textId="77777777" w:rsidR="007039DB" w:rsidRPr="005C00B9" w:rsidRDefault="007039DB" w:rsidP="00CF2EC0">
            <w:pPr>
              <w:spacing w:line="360" w:lineRule="auto"/>
              <w:ind w:firstLineChars="100" w:firstLine="240"/>
              <w:jc w:val="center"/>
              <w:rPr>
                <w:rFonts w:ascii="Book Antiqua" w:eastAsia="Times New Roman" w:hAnsi="Book Antiqua" w:cs="Times New Roman"/>
              </w:rPr>
            </w:pPr>
            <w:r w:rsidRPr="005C00B9">
              <w:rPr>
                <w:rFonts w:ascii="Book Antiqua" w:hAnsi="Book Antiqua"/>
              </w:rPr>
              <w:t>11.2</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7.2</w:t>
            </w:r>
          </w:p>
        </w:tc>
        <w:tc>
          <w:tcPr>
            <w:tcW w:w="1701" w:type="dxa"/>
            <w:tcBorders>
              <w:top w:val="single" w:sz="4" w:space="0" w:color="auto"/>
            </w:tcBorders>
          </w:tcPr>
          <w:p w14:paraId="1A7F187A"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0.28</w:t>
            </w:r>
          </w:p>
        </w:tc>
      </w:tr>
      <w:tr w:rsidR="007039DB" w:rsidRPr="005C00B9" w14:paraId="1342CCEC" w14:textId="77777777" w:rsidTr="00CF2EC0">
        <w:trPr>
          <w:trHeight w:val="170"/>
        </w:trPr>
        <w:tc>
          <w:tcPr>
            <w:tcW w:w="1809" w:type="dxa"/>
          </w:tcPr>
          <w:p w14:paraId="1A80BBA7" w14:textId="77777777" w:rsidR="007039DB" w:rsidRPr="005C00B9" w:rsidRDefault="007039DB" w:rsidP="007039DB">
            <w:pPr>
              <w:spacing w:line="360" w:lineRule="auto"/>
              <w:jc w:val="both"/>
              <w:rPr>
                <w:rFonts w:ascii="Book Antiqua" w:eastAsia="Times New Roman" w:hAnsi="Book Antiqua" w:cs="Times New Roman"/>
              </w:rPr>
            </w:pPr>
            <w:r w:rsidRPr="005C00B9">
              <w:rPr>
                <w:rFonts w:ascii="Book Antiqua" w:hAnsi="Book Antiqua"/>
              </w:rPr>
              <w:t>Initial resection ratio (%), mean ± SD</w:t>
            </w:r>
          </w:p>
        </w:tc>
        <w:tc>
          <w:tcPr>
            <w:tcW w:w="2835" w:type="dxa"/>
          </w:tcPr>
          <w:p w14:paraId="57ABB941"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64.6</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6.36</w:t>
            </w:r>
          </w:p>
        </w:tc>
        <w:tc>
          <w:tcPr>
            <w:tcW w:w="2694" w:type="dxa"/>
          </w:tcPr>
          <w:p w14:paraId="71EEC64E"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64.4</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4.57</w:t>
            </w:r>
          </w:p>
        </w:tc>
        <w:tc>
          <w:tcPr>
            <w:tcW w:w="1701" w:type="dxa"/>
          </w:tcPr>
          <w:p w14:paraId="703A9A6A"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0.69</w:t>
            </w:r>
            <w:r w:rsidRPr="005C00B9">
              <w:rPr>
                <w:rFonts w:ascii="Book Antiqua" w:eastAsia="MS Mincho" w:hAnsi="Book Antiqua"/>
              </w:rPr>
              <w:t>2</w:t>
            </w:r>
          </w:p>
        </w:tc>
      </w:tr>
      <w:tr w:rsidR="007039DB" w:rsidRPr="005C00B9" w14:paraId="2D3A3299" w14:textId="77777777" w:rsidTr="00CF2EC0">
        <w:tc>
          <w:tcPr>
            <w:tcW w:w="1809" w:type="dxa"/>
          </w:tcPr>
          <w:p w14:paraId="04BC2951" w14:textId="77777777" w:rsidR="007039DB" w:rsidRPr="005C00B9" w:rsidRDefault="007039DB" w:rsidP="007039DB">
            <w:pPr>
              <w:spacing w:line="360" w:lineRule="auto"/>
              <w:jc w:val="both"/>
              <w:rPr>
                <w:rFonts w:ascii="Book Antiqua" w:eastAsia="Times New Roman" w:hAnsi="Book Antiqua" w:cs="Times New Roman"/>
              </w:rPr>
            </w:pPr>
            <w:r w:rsidRPr="005C00B9">
              <w:rPr>
                <w:rFonts w:ascii="Book Antiqua" w:hAnsi="Book Antiqua"/>
              </w:rPr>
              <w:t>Initial FLRV (mL), mean ± SD</w:t>
            </w:r>
          </w:p>
        </w:tc>
        <w:tc>
          <w:tcPr>
            <w:tcW w:w="2835" w:type="dxa"/>
          </w:tcPr>
          <w:p w14:paraId="4189C904"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403.8</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88.6</w:t>
            </w:r>
          </w:p>
        </w:tc>
        <w:tc>
          <w:tcPr>
            <w:tcW w:w="2694" w:type="dxa"/>
          </w:tcPr>
          <w:p w14:paraId="5DF167F5"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418.4</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70.3</w:t>
            </w:r>
          </w:p>
        </w:tc>
        <w:tc>
          <w:tcPr>
            <w:tcW w:w="1701" w:type="dxa"/>
          </w:tcPr>
          <w:p w14:paraId="112E031D"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0.4</w:t>
            </w:r>
            <w:r w:rsidRPr="005C00B9">
              <w:rPr>
                <w:rFonts w:ascii="Book Antiqua" w:eastAsia="MS Mincho" w:hAnsi="Book Antiqua"/>
              </w:rPr>
              <w:t>02</w:t>
            </w:r>
          </w:p>
        </w:tc>
      </w:tr>
      <w:tr w:rsidR="007039DB" w:rsidRPr="005C00B9" w14:paraId="5004EF52" w14:textId="77777777" w:rsidTr="00CF2EC0">
        <w:tc>
          <w:tcPr>
            <w:tcW w:w="1809" w:type="dxa"/>
          </w:tcPr>
          <w:p w14:paraId="2CB3E0DD" w14:textId="59D78717" w:rsidR="007039DB" w:rsidRPr="005C00B9" w:rsidRDefault="007039DB" w:rsidP="007039DB">
            <w:pPr>
              <w:spacing w:line="360" w:lineRule="auto"/>
              <w:jc w:val="both"/>
              <w:rPr>
                <w:rFonts w:ascii="Book Antiqua" w:eastAsia="Times New Roman" w:hAnsi="Book Antiqua" w:cs="Times New Roman"/>
              </w:rPr>
            </w:pPr>
            <w:r w:rsidRPr="005C00B9">
              <w:rPr>
                <w:rFonts w:ascii="Book Antiqua" w:hAnsi="Book Antiqua"/>
              </w:rPr>
              <w:t>Initial FFLRV</w:t>
            </w:r>
            <w:r>
              <w:rPr>
                <w:rFonts w:ascii="Book Antiqua" w:hAnsi="Book Antiqua"/>
              </w:rPr>
              <w:t xml:space="preserve"> </w:t>
            </w:r>
            <w:r w:rsidRPr="005C00B9">
              <w:rPr>
                <w:rFonts w:ascii="Book Antiqua" w:hAnsi="Book Antiqua"/>
              </w:rPr>
              <w:t>(mL), mean ± SD</w:t>
            </w:r>
          </w:p>
        </w:tc>
        <w:tc>
          <w:tcPr>
            <w:tcW w:w="2835" w:type="dxa"/>
          </w:tcPr>
          <w:p w14:paraId="0BC64A7E"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366.4</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118.7</w:t>
            </w:r>
          </w:p>
        </w:tc>
        <w:tc>
          <w:tcPr>
            <w:tcW w:w="2694" w:type="dxa"/>
          </w:tcPr>
          <w:p w14:paraId="51246CD5"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384.0</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92.7</w:t>
            </w:r>
          </w:p>
        </w:tc>
        <w:tc>
          <w:tcPr>
            <w:tcW w:w="1701" w:type="dxa"/>
          </w:tcPr>
          <w:p w14:paraId="7D7015E5" w14:textId="77777777" w:rsidR="007039DB" w:rsidRPr="005C00B9" w:rsidRDefault="007039DB" w:rsidP="00CF2EC0">
            <w:pPr>
              <w:tabs>
                <w:tab w:val="left" w:pos="2235"/>
                <w:tab w:val="left" w:pos="2478"/>
              </w:tabs>
              <w:spacing w:line="360" w:lineRule="auto"/>
              <w:ind w:rightChars="16" w:right="38"/>
              <w:jc w:val="center"/>
              <w:rPr>
                <w:rFonts w:ascii="Book Antiqua" w:eastAsia="MS Mincho" w:hAnsi="Book Antiqua" w:cs="Times New Roman"/>
              </w:rPr>
            </w:pPr>
            <w:r w:rsidRPr="005C00B9">
              <w:rPr>
                <w:rFonts w:ascii="Book Antiqua" w:eastAsia="MS Mincho" w:hAnsi="Book Antiqua"/>
              </w:rPr>
              <w:t>0.601</w:t>
            </w:r>
          </w:p>
        </w:tc>
      </w:tr>
      <w:tr w:rsidR="007039DB" w:rsidRPr="005C00B9" w14:paraId="6E7C5FF3" w14:textId="77777777" w:rsidTr="00CF2EC0">
        <w:tc>
          <w:tcPr>
            <w:tcW w:w="1809" w:type="dxa"/>
          </w:tcPr>
          <w:p w14:paraId="685E03D0" w14:textId="6CEAEC27" w:rsidR="007039DB" w:rsidRPr="005C00B9" w:rsidRDefault="007039DB" w:rsidP="007039DB">
            <w:pPr>
              <w:spacing w:line="360" w:lineRule="auto"/>
              <w:jc w:val="both"/>
              <w:rPr>
                <w:rFonts w:ascii="Book Antiqua" w:eastAsia="MS Mincho" w:hAnsi="Book Antiqua" w:cs="Times New Roman"/>
              </w:rPr>
            </w:pPr>
            <w:r w:rsidRPr="005C00B9">
              <w:rPr>
                <w:rFonts w:ascii="Book Antiqua" w:eastAsia="MS Mincho" w:hAnsi="Book Antiqua" w:cs="Times New Roman"/>
              </w:rPr>
              <w:t>FLRV at 1</w:t>
            </w:r>
            <w:r w:rsidR="00EC0E9B">
              <w:rPr>
                <w:rFonts w:ascii="Book Antiqua" w:eastAsia="MS Mincho" w:hAnsi="Book Antiqua" w:cs="Times New Roman"/>
              </w:rPr>
              <w:t xml:space="preserve"> wk </w:t>
            </w:r>
            <w:r w:rsidRPr="005C00B9">
              <w:rPr>
                <w:rFonts w:ascii="Book Antiqua" w:hAnsi="Book Antiqua"/>
              </w:rPr>
              <w:t>(mL)</w:t>
            </w:r>
            <w:r w:rsidRPr="005C00B9">
              <w:rPr>
                <w:rFonts w:ascii="Book Antiqua" w:eastAsia="MS Mincho" w:hAnsi="Book Antiqua" w:cs="Times New Roman"/>
              </w:rPr>
              <w:t>, mean ± SD</w:t>
            </w:r>
          </w:p>
        </w:tc>
        <w:tc>
          <w:tcPr>
            <w:tcW w:w="2835" w:type="dxa"/>
          </w:tcPr>
          <w:p w14:paraId="79C53965"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MS Mincho" w:hAnsi="Book Antiqua" w:cs="Times New Roman"/>
              </w:rPr>
              <w:t>515.7 ± 100.9</w:t>
            </w:r>
          </w:p>
        </w:tc>
        <w:tc>
          <w:tcPr>
            <w:tcW w:w="2694" w:type="dxa"/>
          </w:tcPr>
          <w:p w14:paraId="1E37DB0B"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Times New Roman" w:hAnsi="Book Antiqua" w:cs="Times New Roman"/>
              </w:rPr>
              <w:t>515.</w:t>
            </w:r>
            <w:r w:rsidRPr="005C00B9">
              <w:rPr>
                <w:rFonts w:ascii="Book Antiqua" w:eastAsia="MS Mincho" w:hAnsi="Book Antiqua" w:cs="Times New Roman"/>
              </w:rPr>
              <w:t xml:space="preserve">0 </w:t>
            </w:r>
            <w:r w:rsidRPr="005C00B9">
              <w:rPr>
                <w:rFonts w:ascii="Book Antiqua" w:eastAsia="Times New Roman" w:hAnsi="Book Antiqua" w:cs="Times New Roman"/>
              </w:rPr>
              <w:t>±</w:t>
            </w:r>
            <w:r w:rsidRPr="005C00B9">
              <w:rPr>
                <w:rFonts w:ascii="Book Antiqua" w:eastAsia="MS Mincho" w:hAnsi="Book Antiqua" w:cs="Times New Roman"/>
              </w:rPr>
              <w:t xml:space="preserve"> </w:t>
            </w:r>
            <w:r w:rsidRPr="005C00B9">
              <w:rPr>
                <w:rFonts w:ascii="Book Antiqua" w:eastAsia="Times New Roman" w:hAnsi="Book Antiqua" w:cs="Times New Roman"/>
              </w:rPr>
              <w:t>10</w:t>
            </w:r>
            <w:r w:rsidRPr="005C00B9">
              <w:rPr>
                <w:rFonts w:ascii="Book Antiqua" w:eastAsia="MS Mincho" w:hAnsi="Book Antiqua" w:cs="Times New Roman"/>
              </w:rPr>
              <w:t>1.1</w:t>
            </w:r>
          </w:p>
        </w:tc>
        <w:tc>
          <w:tcPr>
            <w:tcW w:w="1701" w:type="dxa"/>
          </w:tcPr>
          <w:p w14:paraId="5FDAF881"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eastAsia="MS Mincho" w:hAnsi="Book Antiqua" w:cs="Times New Roman"/>
              </w:rPr>
              <w:t>0.914</w:t>
            </w:r>
          </w:p>
        </w:tc>
      </w:tr>
      <w:tr w:rsidR="007039DB" w:rsidRPr="005C00B9" w14:paraId="7E97FD51" w14:textId="77777777" w:rsidTr="00CF2EC0">
        <w:tc>
          <w:tcPr>
            <w:tcW w:w="1809" w:type="dxa"/>
          </w:tcPr>
          <w:p w14:paraId="3479ED7B" w14:textId="1EBA9BFC" w:rsidR="007039DB" w:rsidRPr="005C00B9" w:rsidRDefault="007039DB" w:rsidP="00EC0E9B">
            <w:pPr>
              <w:spacing w:line="360" w:lineRule="auto"/>
              <w:jc w:val="both"/>
              <w:rPr>
                <w:rFonts w:ascii="Book Antiqua" w:eastAsia="MS Mincho" w:hAnsi="Book Antiqua" w:cs="Times New Roman"/>
              </w:rPr>
            </w:pPr>
            <w:r w:rsidRPr="005C00B9">
              <w:rPr>
                <w:rFonts w:ascii="Book Antiqua" w:eastAsia="MS Mincho" w:hAnsi="Book Antiqua" w:cs="Times New Roman"/>
              </w:rPr>
              <w:t>FFLRV at 1</w:t>
            </w:r>
            <w:r w:rsidR="00EC0E9B">
              <w:rPr>
                <w:rFonts w:ascii="Book Antiqua" w:eastAsia="MS Mincho" w:hAnsi="Book Antiqua" w:cs="Times New Roman"/>
              </w:rPr>
              <w:t xml:space="preserve"> wk</w:t>
            </w:r>
            <w:r w:rsidR="00EC0E9B" w:rsidRPr="005C00B9">
              <w:rPr>
                <w:rFonts w:ascii="Book Antiqua" w:hAnsi="Book Antiqua"/>
              </w:rPr>
              <w:t xml:space="preserve"> </w:t>
            </w:r>
            <w:r w:rsidRPr="005C00B9">
              <w:rPr>
                <w:rFonts w:ascii="Book Antiqua" w:hAnsi="Book Antiqua"/>
              </w:rPr>
              <w:t>(mL)</w:t>
            </w:r>
            <w:r w:rsidRPr="005C00B9">
              <w:rPr>
                <w:rFonts w:ascii="Book Antiqua" w:eastAsia="MS Mincho" w:hAnsi="Book Antiqua" w:cs="Times New Roman"/>
              </w:rPr>
              <w:t>, mean ± SD</w:t>
            </w:r>
          </w:p>
        </w:tc>
        <w:tc>
          <w:tcPr>
            <w:tcW w:w="2835" w:type="dxa"/>
          </w:tcPr>
          <w:p w14:paraId="4498596E"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Times New Roman" w:hAnsi="Book Antiqua" w:cs="Times New Roman"/>
              </w:rPr>
              <w:t>5</w:t>
            </w:r>
            <w:r w:rsidRPr="005C00B9">
              <w:rPr>
                <w:rFonts w:ascii="Book Antiqua" w:eastAsia="MS Mincho" w:hAnsi="Book Antiqua" w:cs="Times New Roman"/>
              </w:rPr>
              <w:t xml:space="preserve">92 </w:t>
            </w:r>
            <w:r w:rsidRPr="005C00B9">
              <w:rPr>
                <w:rFonts w:ascii="Book Antiqua" w:eastAsia="Times New Roman" w:hAnsi="Book Antiqua" w:cs="Times New Roman"/>
              </w:rPr>
              <w:t>±</w:t>
            </w:r>
            <w:r w:rsidRPr="005C00B9">
              <w:rPr>
                <w:rFonts w:ascii="Book Antiqua" w:eastAsia="MS Mincho" w:hAnsi="Book Antiqua" w:cs="Times New Roman"/>
              </w:rPr>
              <w:t xml:space="preserve"> </w:t>
            </w:r>
            <w:r w:rsidRPr="005C00B9">
              <w:rPr>
                <w:rFonts w:ascii="Book Antiqua" w:eastAsia="Times New Roman" w:hAnsi="Book Antiqua" w:cs="Times New Roman"/>
              </w:rPr>
              <w:t>1</w:t>
            </w:r>
            <w:r w:rsidRPr="005C00B9">
              <w:rPr>
                <w:rFonts w:ascii="Book Antiqua" w:eastAsia="MS Mincho" w:hAnsi="Book Antiqua" w:cs="Times New Roman"/>
              </w:rPr>
              <w:t>14.0</w:t>
            </w:r>
          </w:p>
        </w:tc>
        <w:tc>
          <w:tcPr>
            <w:tcW w:w="2694" w:type="dxa"/>
          </w:tcPr>
          <w:p w14:paraId="23ABB152"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eastAsia="Times New Roman" w:hAnsi="Book Antiqua" w:cs="Times New Roman"/>
              </w:rPr>
              <w:t>5</w:t>
            </w:r>
            <w:r w:rsidRPr="005C00B9">
              <w:rPr>
                <w:rFonts w:ascii="Book Antiqua" w:eastAsia="MS Mincho" w:hAnsi="Book Antiqua" w:cs="Times New Roman"/>
              </w:rPr>
              <w:t xml:space="preserve">83.0 </w:t>
            </w:r>
            <w:r w:rsidRPr="005C00B9">
              <w:rPr>
                <w:rFonts w:ascii="Book Antiqua" w:eastAsia="Times New Roman" w:hAnsi="Book Antiqua" w:cs="Times New Roman"/>
              </w:rPr>
              <w:t>±</w:t>
            </w:r>
            <w:r w:rsidRPr="005C00B9">
              <w:rPr>
                <w:rFonts w:ascii="Book Antiqua" w:eastAsia="MS Mincho" w:hAnsi="Book Antiqua" w:cs="Times New Roman"/>
              </w:rPr>
              <w:t xml:space="preserve"> </w:t>
            </w:r>
            <w:r w:rsidRPr="005C00B9">
              <w:rPr>
                <w:rFonts w:ascii="Book Antiqua" w:eastAsia="Times New Roman" w:hAnsi="Book Antiqua" w:cs="Times New Roman"/>
              </w:rPr>
              <w:t>1</w:t>
            </w:r>
            <w:r w:rsidRPr="005C00B9">
              <w:rPr>
                <w:rFonts w:ascii="Book Antiqua" w:eastAsia="MS Mincho" w:hAnsi="Book Antiqua" w:cs="Times New Roman"/>
              </w:rPr>
              <w:t>01</w:t>
            </w:r>
            <w:r w:rsidRPr="005C00B9">
              <w:rPr>
                <w:rFonts w:ascii="Book Antiqua" w:eastAsia="Times New Roman" w:hAnsi="Book Antiqua" w:cs="Times New Roman"/>
              </w:rPr>
              <w:t>.</w:t>
            </w:r>
            <w:r w:rsidRPr="005C00B9">
              <w:rPr>
                <w:rFonts w:ascii="Book Antiqua" w:eastAsia="MS Mincho" w:hAnsi="Book Antiqua" w:cs="Times New Roman"/>
              </w:rPr>
              <w:t>0</w:t>
            </w:r>
          </w:p>
        </w:tc>
        <w:tc>
          <w:tcPr>
            <w:tcW w:w="1701" w:type="dxa"/>
          </w:tcPr>
          <w:p w14:paraId="0CBE60E6"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eastAsia="MS Mincho" w:hAnsi="Book Antiqua" w:cs="Times New Roman"/>
              </w:rPr>
              <w:t>0.986</w:t>
            </w:r>
          </w:p>
        </w:tc>
      </w:tr>
      <w:tr w:rsidR="007039DB" w:rsidRPr="005C00B9" w14:paraId="01DA87BD" w14:textId="77777777" w:rsidTr="00CF2EC0">
        <w:tc>
          <w:tcPr>
            <w:tcW w:w="1809" w:type="dxa"/>
          </w:tcPr>
          <w:p w14:paraId="27DDFB3F" w14:textId="4DF311A5" w:rsidR="007039DB" w:rsidRPr="005C00B9" w:rsidRDefault="007039DB" w:rsidP="00EC0E9B">
            <w:pPr>
              <w:spacing w:line="360" w:lineRule="auto"/>
              <w:jc w:val="both"/>
              <w:rPr>
                <w:rFonts w:ascii="Book Antiqua" w:eastAsia="Times New Roman" w:hAnsi="Book Antiqua" w:cs="Times New Roman"/>
              </w:rPr>
            </w:pPr>
            <w:r w:rsidRPr="005C00B9">
              <w:rPr>
                <w:rFonts w:ascii="Book Antiqua" w:hAnsi="Book Antiqua"/>
              </w:rPr>
              <w:t>FLRV at 2</w:t>
            </w:r>
            <w:r w:rsidR="00EC0E9B">
              <w:rPr>
                <w:rFonts w:ascii="Book Antiqua" w:hAnsi="Book Antiqua"/>
              </w:rPr>
              <w:t xml:space="preserve"> </w:t>
            </w:r>
            <w:r w:rsidR="00EC0E9B">
              <w:rPr>
                <w:rFonts w:ascii="Book Antiqua" w:eastAsia="MS Mincho" w:hAnsi="Book Antiqua" w:cs="Times New Roman"/>
              </w:rPr>
              <w:t>wk</w:t>
            </w:r>
            <w:r w:rsidR="00EC0E9B" w:rsidRPr="005C00B9">
              <w:rPr>
                <w:rFonts w:ascii="Book Antiqua" w:hAnsi="Book Antiqua"/>
              </w:rPr>
              <w:t xml:space="preserve"> </w:t>
            </w:r>
            <w:r w:rsidRPr="005C00B9">
              <w:rPr>
                <w:rFonts w:ascii="Book Antiqua" w:hAnsi="Book Antiqua"/>
              </w:rPr>
              <w:t>(mL), mean ± SD</w:t>
            </w:r>
          </w:p>
        </w:tc>
        <w:tc>
          <w:tcPr>
            <w:tcW w:w="2835" w:type="dxa"/>
          </w:tcPr>
          <w:p w14:paraId="09FC6C3E"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550.1</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86.6</w:t>
            </w:r>
          </w:p>
        </w:tc>
        <w:tc>
          <w:tcPr>
            <w:tcW w:w="2694" w:type="dxa"/>
          </w:tcPr>
          <w:p w14:paraId="33D13D86"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561.1</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114.5</w:t>
            </w:r>
          </w:p>
        </w:tc>
        <w:tc>
          <w:tcPr>
            <w:tcW w:w="1701" w:type="dxa"/>
          </w:tcPr>
          <w:p w14:paraId="7D31FD97" w14:textId="77777777" w:rsidR="007039DB" w:rsidRPr="005C00B9" w:rsidRDefault="007039DB" w:rsidP="00CF2EC0">
            <w:pPr>
              <w:spacing w:line="360" w:lineRule="auto"/>
              <w:jc w:val="center"/>
              <w:rPr>
                <w:rFonts w:ascii="Book Antiqua" w:eastAsia="MS Mincho" w:hAnsi="Book Antiqua" w:cs="Times New Roman"/>
              </w:rPr>
            </w:pPr>
            <w:r w:rsidRPr="005C00B9">
              <w:rPr>
                <w:rFonts w:ascii="Book Antiqua" w:hAnsi="Book Antiqua"/>
              </w:rPr>
              <w:t>0.9</w:t>
            </w:r>
            <w:r w:rsidRPr="005C00B9">
              <w:rPr>
                <w:rFonts w:ascii="Book Antiqua" w:eastAsia="MS Mincho" w:hAnsi="Book Antiqua"/>
              </w:rPr>
              <w:t>58</w:t>
            </w:r>
          </w:p>
        </w:tc>
      </w:tr>
      <w:tr w:rsidR="007039DB" w:rsidRPr="005C00B9" w14:paraId="3151AB3A" w14:textId="77777777" w:rsidTr="00CF2EC0">
        <w:tc>
          <w:tcPr>
            <w:tcW w:w="1809" w:type="dxa"/>
            <w:tcBorders>
              <w:bottom w:val="single" w:sz="4" w:space="0" w:color="auto"/>
            </w:tcBorders>
          </w:tcPr>
          <w:p w14:paraId="37961722" w14:textId="754C2A42" w:rsidR="007039DB" w:rsidRPr="005C00B9" w:rsidRDefault="007039DB" w:rsidP="00EC0E9B">
            <w:pPr>
              <w:spacing w:line="360" w:lineRule="auto"/>
              <w:ind w:left="240" w:hangingChars="100" w:hanging="240"/>
              <w:jc w:val="both"/>
              <w:rPr>
                <w:rFonts w:ascii="Book Antiqua" w:eastAsia="MS Mincho" w:hAnsi="Book Antiqua" w:cs="Times New Roman"/>
              </w:rPr>
            </w:pPr>
            <w:r w:rsidRPr="005C00B9">
              <w:rPr>
                <w:rFonts w:ascii="Book Antiqua" w:hAnsi="Book Antiqua"/>
              </w:rPr>
              <w:t>FFLRV at 2</w:t>
            </w:r>
            <w:r w:rsidR="00EC0E9B">
              <w:rPr>
                <w:rFonts w:ascii="Book Antiqua" w:hAnsi="Book Antiqua"/>
              </w:rPr>
              <w:t xml:space="preserve"> </w:t>
            </w:r>
            <w:r w:rsidR="00EC0E9B">
              <w:rPr>
                <w:rFonts w:ascii="Book Antiqua" w:eastAsia="MS Mincho" w:hAnsi="Book Antiqua" w:cs="Times New Roman"/>
              </w:rPr>
              <w:t>wk</w:t>
            </w:r>
            <w:r w:rsidR="00EC0E9B" w:rsidRPr="005C00B9">
              <w:rPr>
                <w:rFonts w:ascii="Book Antiqua" w:hAnsi="Book Antiqua"/>
              </w:rPr>
              <w:t xml:space="preserve"> </w:t>
            </w:r>
            <w:r w:rsidRPr="005C00B9">
              <w:rPr>
                <w:rFonts w:ascii="Book Antiqua" w:hAnsi="Book Antiqua"/>
              </w:rPr>
              <w:t>(mL), mean ± SD</w:t>
            </w:r>
          </w:p>
        </w:tc>
        <w:tc>
          <w:tcPr>
            <w:tcW w:w="2835" w:type="dxa"/>
            <w:tcBorders>
              <w:bottom w:val="single" w:sz="4" w:space="0" w:color="auto"/>
            </w:tcBorders>
          </w:tcPr>
          <w:p w14:paraId="1402330C"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640.0</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105.8</w:t>
            </w:r>
          </w:p>
        </w:tc>
        <w:tc>
          <w:tcPr>
            <w:tcW w:w="2694" w:type="dxa"/>
            <w:tcBorders>
              <w:bottom w:val="single" w:sz="4" w:space="0" w:color="auto"/>
            </w:tcBorders>
          </w:tcPr>
          <w:p w14:paraId="336D069D"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613.0</w:t>
            </w:r>
            <w:r w:rsidRPr="005C00B9">
              <w:rPr>
                <w:rFonts w:ascii="Book Antiqua" w:eastAsia="MS Mincho" w:hAnsi="Book Antiqua"/>
              </w:rPr>
              <w:t xml:space="preserve"> </w:t>
            </w:r>
            <w:r w:rsidRPr="005C00B9">
              <w:rPr>
                <w:rFonts w:ascii="Book Antiqua" w:hAnsi="Book Antiqua"/>
              </w:rPr>
              <w:t>±</w:t>
            </w:r>
            <w:r w:rsidRPr="005C00B9">
              <w:rPr>
                <w:rFonts w:ascii="Book Antiqua" w:eastAsia="MS Mincho" w:hAnsi="Book Antiqua"/>
              </w:rPr>
              <w:t xml:space="preserve"> </w:t>
            </w:r>
            <w:r w:rsidRPr="005C00B9">
              <w:rPr>
                <w:rFonts w:ascii="Book Antiqua" w:hAnsi="Book Antiqua"/>
              </w:rPr>
              <w:t>96.6</w:t>
            </w:r>
          </w:p>
        </w:tc>
        <w:tc>
          <w:tcPr>
            <w:tcW w:w="1701" w:type="dxa"/>
            <w:tcBorders>
              <w:bottom w:val="single" w:sz="4" w:space="0" w:color="auto"/>
            </w:tcBorders>
          </w:tcPr>
          <w:p w14:paraId="78A371CD" w14:textId="77777777" w:rsidR="007039DB" w:rsidRPr="005C00B9" w:rsidRDefault="007039DB" w:rsidP="00CF2EC0">
            <w:pPr>
              <w:spacing w:line="360" w:lineRule="auto"/>
              <w:jc w:val="center"/>
              <w:rPr>
                <w:rFonts w:ascii="Book Antiqua" w:eastAsia="Times New Roman" w:hAnsi="Book Antiqua" w:cs="Times New Roman"/>
              </w:rPr>
            </w:pPr>
            <w:r w:rsidRPr="005C00B9">
              <w:rPr>
                <w:rFonts w:ascii="Book Antiqua" w:hAnsi="Book Antiqua"/>
              </w:rPr>
              <w:t>0.38</w:t>
            </w:r>
            <w:r w:rsidRPr="005C00B9">
              <w:rPr>
                <w:rFonts w:ascii="Book Antiqua" w:eastAsia="MS Mincho" w:hAnsi="Book Antiqua"/>
              </w:rPr>
              <w:t>2</w:t>
            </w:r>
          </w:p>
        </w:tc>
      </w:tr>
    </w:tbl>
    <w:p w14:paraId="183C7E58" w14:textId="1F24DF65" w:rsidR="00EC0E9B" w:rsidRDefault="00EC0E9B">
      <w:pPr>
        <w:spacing w:line="360" w:lineRule="auto"/>
        <w:jc w:val="both"/>
        <w:rPr>
          <w:rFonts w:ascii="Book Antiqua" w:eastAsia="MS Mincho" w:hAnsi="Book Antiqua"/>
        </w:rPr>
      </w:pPr>
      <w:r w:rsidRPr="005C00B9">
        <w:rPr>
          <w:rFonts w:ascii="Book Antiqua" w:eastAsia="Times New Roman" w:hAnsi="Book Antiqua"/>
        </w:rPr>
        <w:lastRenderedPageBreak/>
        <w:t>ICGR</w:t>
      </w:r>
      <w:r w:rsidRPr="005C00B9">
        <w:rPr>
          <w:rFonts w:ascii="Book Antiqua" w:eastAsia="Times New Roman" w:hAnsi="Book Antiqua"/>
          <w:vertAlign w:val="subscript"/>
        </w:rPr>
        <w:t>15</w:t>
      </w:r>
      <w:r>
        <w:rPr>
          <w:rFonts w:ascii="Book Antiqua" w:eastAsia="Times New Roman" w:hAnsi="Book Antiqua"/>
        </w:rPr>
        <w:t>:</w:t>
      </w:r>
      <w:r w:rsidRPr="005C00B9">
        <w:rPr>
          <w:rFonts w:ascii="Book Antiqua" w:eastAsia="Times New Roman" w:hAnsi="Book Antiqua"/>
        </w:rPr>
        <w:t xml:space="preserve"> </w:t>
      </w:r>
      <w:r>
        <w:rPr>
          <w:rFonts w:ascii="Book Antiqua" w:eastAsia="Times New Roman" w:hAnsi="Book Antiqua"/>
        </w:rPr>
        <w:t>I</w:t>
      </w:r>
      <w:r w:rsidRPr="005C00B9">
        <w:rPr>
          <w:rFonts w:ascii="Book Antiqua" w:eastAsia="Times New Roman" w:hAnsi="Book Antiqua"/>
        </w:rPr>
        <w:t>ndocyanine green retention at 15 min; SD</w:t>
      </w:r>
      <w:r>
        <w:rPr>
          <w:rFonts w:ascii="Book Antiqua" w:eastAsia="Times New Roman" w:hAnsi="Book Antiqua"/>
        </w:rPr>
        <w:t>: S</w:t>
      </w:r>
      <w:r w:rsidRPr="005C00B9">
        <w:rPr>
          <w:rFonts w:ascii="Book Antiqua" w:eastAsia="Times New Roman" w:hAnsi="Book Antiqua"/>
        </w:rPr>
        <w:t>tandard deviation</w:t>
      </w:r>
      <w:r>
        <w:rPr>
          <w:rFonts w:ascii="Book Antiqua" w:eastAsia="Times New Roman" w:hAnsi="Book Antiqua"/>
        </w:rPr>
        <w:t xml:space="preserve">; </w:t>
      </w:r>
      <w:r w:rsidRPr="005C00B9">
        <w:rPr>
          <w:rFonts w:ascii="Book Antiqua" w:hAnsi="Book Antiqua"/>
        </w:rPr>
        <w:t>FLRV</w:t>
      </w:r>
      <w:r>
        <w:rPr>
          <w:rFonts w:ascii="Book Antiqua" w:hAnsi="Book Antiqua"/>
        </w:rPr>
        <w:t>: F</w:t>
      </w:r>
      <w:r w:rsidRPr="00EC0E9B">
        <w:rPr>
          <w:rFonts w:ascii="Book Antiqua" w:hAnsi="Book Antiqua"/>
        </w:rPr>
        <w:t>uture liver remnant volume</w:t>
      </w:r>
      <w:r>
        <w:rPr>
          <w:rFonts w:ascii="Book Antiqua" w:hAnsi="Book Antiqua"/>
        </w:rPr>
        <w:t xml:space="preserve">; </w:t>
      </w:r>
      <w:r w:rsidRPr="005C00B9">
        <w:rPr>
          <w:rFonts w:ascii="Book Antiqua" w:hAnsi="Book Antiqua"/>
        </w:rPr>
        <w:t>FFLRV</w:t>
      </w:r>
      <w:r>
        <w:rPr>
          <w:rFonts w:ascii="Book Antiqua" w:hAnsi="Book Antiqua"/>
        </w:rPr>
        <w:t xml:space="preserve">: </w:t>
      </w:r>
      <w:r>
        <w:rPr>
          <w:rFonts w:ascii="Book Antiqua" w:eastAsia="MS Mincho" w:hAnsi="Book Antiqua"/>
        </w:rPr>
        <w:t>F</w:t>
      </w:r>
      <w:r w:rsidRPr="005C00B9">
        <w:rPr>
          <w:rFonts w:ascii="Book Antiqua" w:eastAsia="MS Mincho" w:hAnsi="Book Antiqua"/>
        </w:rPr>
        <w:t>unctional future liver remnant volume</w:t>
      </w:r>
      <w:r>
        <w:rPr>
          <w:rFonts w:ascii="Book Antiqua" w:eastAsia="MS Mincho" w:hAnsi="Book Antiqua"/>
        </w:rPr>
        <w:t>.</w:t>
      </w:r>
    </w:p>
    <w:p w14:paraId="0E2AE877" w14:textId="4A5D3637" w:rsidR="007039DB" w:rsidRDefault="00EC0E9B">
      <w:pPr>
        <w:spacing w:line="360" w:lineRule="auto"/>
        <w:jc w:val="both"/>
        <w:rPr>
          <w:rFonts w:ascii="Book Antiqua" w:eastAsia="Times New Roman" w:hAnsi="Book Antiqua"/>
          <w:b/>
          <w:bCs/>
        </w:rPr>
      </w:pPr>
      <w:r>
        <w:rPr>
          <w:rFonts w:ascii="Book Antiqua" w:eastAsia="MS Mincho" w:hAnsi="Book Antiqua"/>
        </w:rPr>
        <w:br w:type="page"/>
      </w:r>
      <w:r w:rsidRPr="00EC0E9B">
        <w:rPr>
          <w:rFonts w:ascii="Book Antiqua" w:eastAsia="Times New Roman" w:hAnsi="Book Antiqua"/>
          <w:b/>
          <w:bCs/>
        </w:rPr>
        <w:lastRenderedPageBreak/>
        <w:t xml:space="preserve">Table </w:t>
      </w:r>
      <w:r w:rsidRPr="00EC0E9B">
        <w:rPr>
          <w:rFonts w:ascii="Book Antiqua" w:eastAsia="MS Mincho" w:hAnsi="Book Antiqua"/>
          <w:b/>
          <w:bCs/>
        </w:rPr>
        <w:t>3</w:t>
      </w:r>
      <w:r>
        <w:rPr>
          <w:rFonts w:ascii="Book Antiqua" w:eastAsia="MS Mincho" w:hAnsi="Book Antiqua"/>
          <w:b/>
          <w:bCs/>
        </w:rPr>
        <w:t xml:space="preserve"> </w:t>
      </w:r>
      <w:r w:rsidRPr="00EC0E9B">
        <w:rPr>
          <w:rFonts w:ascii="Book Antiqua" w:eastAsia="Times New Roman" w:hAnsi="Book Antiqua"/>
          <w:b/>
          <w:bCs/>
        </w:rPr>
        <w:t xml:space="preserve">Comparison of the background factors between the functional </w:t>
      </w:r>
      <w:r w:rsidRPr="00EC0E9B">
        <w:rPr>
          <w:rFonts w:ascii="Book Antiqua" w:eastAsia="MS Mincho" w:hAnsi="Book Antiqua"/>
          <w:b/>
          <w:bCs/>
        </w:rPr>
        <w:t>future liver remnant volume</w:t>
      </w:r>
      <w:r>
        <w:rPr>
          <w:rFonts w:ascii="Book Antiqua" w:eastAsia="MS Mincho" w:hAnsi="Book Antiqua"/>
          <w:b/>
          <w:bCs/>
        </w:rPr>
        <w:t xml:space="preserve"> </w:t>
      </w:r>
      <w:r w:rsidRPr="00EC0E9B">
        <w:rPr>
          <w:rFonts w:ascii="Book Antiqua" w:eastAsia="Times New Roman" w:hAnsi="Book Antiqua"/>
          <w:b/>
          <w:bCs/>
        </w:rPr>
        <w:t xml:space="preserve">superior group and </w:t>
      </w:r>
      <w:r w:rsidRPr="00EC0E9B">
        <w:rPr>
          <w:rFonts w:ascii="Book Antiqua" w:eastAsia="MS Mincho" w:hAnsi="Book Antiqua"/>
          <w:b/>
          <w:bCs/>
        </w:rPr>
        <w:t>future liver remnant volume</w:t>
      </w:r>
      <w:r>
        <w:rPr>
          <w:rFonts w:ascii="Book Antiqua" w:eastAsia="MS Mincho" w:hAnsi="Book Antiqua"/>
          <w:b/>
          <w:bCs/>
        </w:rPr>
        <w:t xml:space="preserve"> </w:t>
      </w:r>
      <w:r w:rsidRPr="00EC0E9B">
        <w:rPr>
          <w:rFonts w:ascii="Book Antiqua" w:eastAsia="Times New Roman" w:hAnsi="Book Antiqua"/>
          <w:b/>
          <w:bCs/>
        </w:rPr>
        <w:t>superior group</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505"/>
        <w:gridCol w:w="2427"/>
      </w:tblGrid>
      <w:tr w:rsidR="00EC0E9B" w:rsidRPr="00EC0E9B" w14:paraId="6FC54F05" w14:textId="77777777" w:rsidTr="00C63C73">
        <w:trPr>
          <w:trHeight w:val="890"/>
        </w:trPr>
        <w:tc>
          <w:tcPr>
            <w:tcW w:w="4490" w:type="dxa"/>
            <w:tcBorders>
              <w:top w:val="single" w:sz="4" w:space="0" w:color="auto"/>
              <w:bottom w:val="single" w:sz="4" w:space="0" w:color="auto"/>
            </w:tcBorders>
          </w:tcPr>
          <w:p w14:paraId="2E7825C5" w14:textId="77777777" w:rsidR="00EC0E9B" w:rsidRPr="00EC0E9B" w:rsidRDefault="00EC0E9B" w:rsidP="00EC0E9B">
            <w:pPr>
              <w:spacing w:line="360" w:lineRule="auto"/>
              <w:jc w:val="both"/>
              <w:rPr>
                <w:rFonts w:ascii="Book Antiqua" w:eastAsia="Times New Roman" w:hAnsi="Book Antiqua" w:cs="Times New Roman"/>
                <w:b/>
                <w:bCs/>
              </w:rPr>
            </w:pPr>
          </w:p>
        </w:tc>
        <w:tc>
          <w:tcPr>
            <w:tcW w:w="2524" w:type="dxa"/>
            <w:tcBorders>
              <w:top w:val="single" w:sz="4" w:space="0" w:color="auto"/>
              <w:bottom w:val="single" w:sz="4" w:space="0" w:color="auto"/>
            </w:tcBorders>
          </w:tcPr>
          <w:p w14:paraId="524DBF9F" w14:textId="4C2257DF" w:rsidR="00EC0E9B" w:rsidRPr="00EC0E9B" w:rsidRDefault="00EC0E9B" w:rsidP="00A13F9B">
            <w:pPr>
              <w:spacing w:line="360" w:lineRule="auto"/>
              <w:jc w:val="center"/>
              <w:rPr>
                <w:rFonts w:ascii="Book Antiqua" w:eastAsia="Times New Roman" w:hAnsi="Book Antiqua" w:cs="Times New Roman"/>
                <w:b/>
                <w:bCs/>
              </w:rPr>
            </w:pPr>
            <w:r w:rsidRPr="00EC0E9B">
              <w:rPr>
                <w:rFonts w:ascii="Book Antiqua" w:eastAsia="Times New Roman" w:hAnsi="Book Antiqua" w:cs="Times New Roman"/>
                <w:b/>
                <w:bCs/>
              </w:rPr>
              <w:t>FFLRV superior group (</w:t>
            </w:r>
            <w:r w:rsidRPr="00EC0E9B">
              <w:rPr>
                <w:rFonts w:ascii="Book Antiqua" w:eastAsia="Times New Roman" w:hAnsi="Book Antiqua" w:cs="Times New Roman"/>
                <w:b/>
                <w:bCs/>
                <w:i/>
                <w:iCs/>
              </w:rPr>
              <w:t>n</w:t>
            </w:r>
            <w:r w:rsidRPr="00EC0E9B">
              <w:rPr>
                <w:rFonts w:ascii="Book Antiqua" w:eastAsia="Times New Roman" w:hAnsi="Book Antiqua" w:cs="Times New Roman"/>
                <w:b/>
                <w:bCs/>
              </w:rPr>
              <w:t xml:space="preserve"> = 30)</w:t>
            </w:r>
          </w:p>
        </w:tc>
        <w:tc>
          <w:tcPr>
            <w:tcW w:w="2450" w:type="dxa"/>
            <w:tcBorders>
              <w:top w:val="single" w:sz="4" w:space="0" w:color="auto"/>
              <w:bottom w:val="single" w:sz="4" w:space="0" w:color="auto"/>
            </w:tcBorders>
          </w:tcPr>
          <w:p w14:paraId="0BBD146D" w14:textId="77777777" w:rsidR="00EC0E9B" w:rsidRPr="00EC0E9B" w:rsidRDefault="00EC0E9B" w:rsidP="00A13F9B">
            <w:pPr>
              <w:spacing w:line="360" w:lineRule="auto"/>
              <w:jc w:val="center"/>
              <w:rPr>
                <w:rFonts w:ascii="Book Antiqua" w:eastAsia="Times New Roman" w:hAnsi="Book Antiqua" w:cs="Times New Roman"/>
                <w:b/>
                <w:bCs/>
              </w:rPr>
            </w:pPr>
            <w:r w:rsidRPr="00EC0E9B">
              <w:rPr>
                <w:rFonts w:ascii="Book Antiqua" w:eastAsia="Times New Roman" w:hAnsi="Book Antiqua" w:cs="Times New Roman"/>
                <w:b/>
                <w:bCs/>
              </w:rPr>
              <w:t>FLRV superior group (</w:t>
            </w:r>
            <w:r w:rsidRPr="00EC0E9B">
              <w:rPr>
                <w:rFonts w:ascii="Book Antiqua" w:eastAsia="Times New Roman" w:hAnsi="Book Antiqua" w:cs="Times New Roman"/>
                <w:b/>
                <w:bCs/>
                <w:i/>
                <w:iCs/>
              </w:rPr>
              <w:t>n</w:t>
            </w:r>
            <w:r w:rsidRPr="00EC0E9B">
              <w:rPr>
                <w:rFonts w:ascii="Book Antiqua" w:eastAsia="Times New Roman" w:hAnsi="Book Antiqua" w:cs="Times New Roman"/>
                <w:b/>
                <w:bCs/>
              </w:rPr>
              <w:t xml:space="preserve"> = 3)</w:t>
            </w:r>
          </w:p>
        </w:tc>
      </w:tr>
      <w:tr w:rsidR="00EC0E9B" w:rsidRPr="00EC0E9B" w14:paraId="62A39FAC" w14:textId="77777777" w:rsidTr="00C63C73">
        <w:trPr>
          <w:trHeight w:val="312"/>
        </w:trPr>
        <w:tc>
          <w:tcPr>
            <w:tcW w:w="4490" w:type="dxa"/>
            <w:tcBorders>
              <w:top w:val="single" w:sz="4" w:space="0" w:color="auto"/>
            </w:tcBorders>
          </w:tcPr>
          <w:p w14:paraId="7F756035" w14:textId="729B4B74"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Age (y</w:t>
            </w:r>
            <w:r>
              <w:rPr>
                <w:rFonts w:ascii="Book Antiqua" w:eastAsia="Times New Roman" w:hAnsi="Book Antiqua" w:cs="Times New Roman"/>
              </w:rPr>
              <w:t>r</w:t>
            </w:r>
            <w:r w:rsidRPr="00EC0E9B">
              <w:rPr>
                <w:rFonts w:ascii="Book Antiqua" w:eastAsia="Times New Roman" w:hAnsi="Book Antiqua" w:cs="Times New Roman"/>
              </w:rPr>
              <w:t>), mean ± SD</w:t>
            </w:r>
          </w:p>
        </w:tc>
        <w:tc>
          <w:tcPr>
            <w:tcW w:w="2524" w:type="dxa"/>
            <w:tcBorders>
              <w:top w:val="single" w:sz="4" w:space="0" w:color="auto"/>
            </w:tcBorders>
          </w:tcPr>
          <w:p w14:paraId="54F8D8F3"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67.4 ± 9.1</w:t>
            </w:r>
          </w:p>
        </w:tc>
        <w:tc>
          <w:tcPr>
            <w:tcW w:w="2450" w:type="dxa"/>
            <w:tcBorders>
              <w:top w:val="single" w:sz="4" w:space="0" w:color="auto"/>
            </w:tcBorders>
          </w:tcPr>
          <w:p w14:paraId="69A7BA51" w14:textId="77777777" w:rsidR="00EC0E9B" w:rsidRPr="00EC0E9B" w:rsidRDefault="00EC0E9B" w:rsidP="00A13F9B">
            <w:pPr>
              <w:spacing w:line="360" w:lineRule="auto"/>
              <w:ind w:firstLineChars="100" w:firstLine="240"/>
              <w:jc w:val="center"/>
              <w:rPr>
                <w:rFonts w:ascii="Book Antiqua" w:eastAsia="Times New Roman" w:hAnsi="Book Antiqua" w:cs="Times New Roman"/>
              </w:rPr>
            </w:pPr>
            <w:r w:rsidRPr="00EC0E9B">
              <w:rPr>
                <w:rFonts w:ascii="Book Antiqua" w:eastAsia="Times New Roman" w:hAnsi="Book Antiqua" w:cs="Times New Roman"/>
              </w:rPr>
              <w:t>69.7 ± 9.5</w:t>
            </w:r>
          </w:p>
        </w:tc>
      </w:tr>
      <w:tr w:rsidR="00EC0E9B" w:rsidRPr="00EC0E9B" w14:paraId="26F9D825" w14:textId="77777777" w:rsidTr="00C63C73">
        <w:trPr>
          <w:trHeight w:val="172"/>
        </w:trPr>
        <w:tc>
          <w:tcPr>
            <w:tcW w:w="4490" w:type="dxa"/>
          </w:tcPr>
          <w:p w14:paraId="16FDD353" w14:textId="72612A8B" w:rsidR="00EC0E9B" w:rsidRPr="00EC0E9B" w:rsidRDefault="00EC0E9B" w:rsidP="00EC0E9B">
            <w:pPr>
              <w:spacing w:line="360" w:lineRule="auto"/>
              <w:jc w:val="both"/>
              <w:rPr>
                <w:rFonts w:ascii="Book Antiqua" w:eastAsia="MS Mincho" w:hAnsi="Book Antiqua" w:cs="Times New Roman"/>
              </w:rPr>
            </w:pPr>
            <w:r w:rsidRPr="00EC0E9B">
              <w:rPr>
                <w:rFonts w:ascii="Book Antiqua" w:eastAsia="Times New Roman" w:hAnsi="Book Antiqua" w:cs="Times New Roman"/>
              </w:rPr>
              <w:t>Gender</w:t>
            </w:r>
          </w:p>
        </w:tc>
        <w:tc>
          <w:tcPr>
            <w:tcW w:w="2524" w:type="dxa"/>
          </w:tcPr>
          <w:p w14:paraId="0C98DF07" w14:textId="14A9FDFA" w:rsidR="00EC0E9B" w:rsidRPr="00EC0E9B" w:rsidRDefault="00EC0E9B" w:rsidP="00A13F9B">
            <w:pPr>
              <w:spacing w:line="360" w:lineRule="auto"/>
              <w:jc w:val="center"/>
              <w:rPr>
                <w:rFonts w:ascii="Book Antiqua" w:eastAsia="Times New Roman" w:hAnsi="Book Antiqua" w:cs="Times New Roman"/>
              </w:rPr>
            </w:pPr>
          </w:p>
        </w:tc>
        <w:tc>
          <w:tcPr>
            <w:tcW w:w="2450" w:type="dxa"/>
          </w:tcPr>
          <w:p w14:paraId="1B47A7B7" w14:textId="58810D73" w:rsidR="00EC0E9B" w:rsidRPr="00EC0E9B" w:rsidRDefault="00EC0E9B" w:rsidP="00A13F9B">
            <w:pPr>
              <w:spacing w:line="360" w:lineRule="auto"/>
              <w:jc w:val="center"/>
              <w:rPr>
                <w:rFonts w:ascii="Book Antiqua" w:eastAsia="Times New Roman" w:hAnsi="Book Antiqua" w:cs="Times New Roman"/>
              </w:rPr>
            </w:pPr>
          </w:p>
        </w:tc>
      </w:tr>
      <w:tr w:rsidR="00EC0E9B" w:rsidRPr="00EC0E9B" w14:paraId="4AB32B76" w14:textId="77777777" w:rsidTr="00C63C73">
        <w:trPr>
          <w:trHeight w:val="172"/>
        </w:trPr>
        <w:tc>
          <w:tcPr>
            <w:tcW w:w="4490" w:type="dxa"/>
          </w:tcPr>
          <w:p w14:paraId="3E7898CB" w14:textId="7F3D0389" w:rsidR="00EC0E9B" w:rsidRPr="00EC0E9B" w:rsidRDefault="00EC0E9B" w:rsidP="00EC0E9B">
            <w:pPr>
              <w:spacing w:line="360" w:lineRule="auto"/>
              <w:ind w:firstLineChars="100" w:firstLine="240"/>
              <w:jc w:val="both"/>
              <w:rPr>
                <w:rFonts w:ascii="Book Antiqua" w:eastAsia="Times New Roman" w:hAnsi="Book Antiqua"/>
              </w:rPr>
            </w:pPr>
            <w:r w:rsidRPr="00EC0E9B">
              <w:rPr>
                <w:rFonts w:ascii="Book Antiqua" w:eastAsia="Times New Roman" w:hAnsi="Book Antiqua" w:cs="Times New Roman"/>
              </w:rPr>
              <w:t xml:space="preserve">Male, </w:t>
            </w:r>
            <w:r w:rsidRPr="00EC0E9B">
              <w:rPr>
                <w:rFonts w:ascii="Book Antiqua" w:eastAsia="Times New Roman" w:hAnsi="Book Antiqua" w:cs="Times New Roman"/>
                <w:i/>
                <w:iCs/>
              </w:rPr>
              <w:t>n</w:t>
            </w:r>
            <w:r w:rsidRPr="00EC0E9B">
              <w:rPr>
                <w:rFonts w:ascii="Book Antiqua" w:eastAsia="Times New Roman" w:hAnsi="Book Antiqua" w:cs="Times New Roman"/>
              </w:rPr>
              <w:t xml:space="preserve"> (%)</w:t>
            </w:r>
          </w:p>
        </w:tc>
        <w:tc>
          <w:tcPr>
            <w:tcW w:w="2524" w:type="dxa"/>
          </w:tcPr>
          <w:p w14:paraId="338A7F16" w14:textId="38A068AC" w:rsidR="00EC0E9B" w:rsidRPr="00EC0E9B" w:rsidRDefault="00EC0E9B" w:rsidP="00A13F9B">
            <w:pPr>
              <w:spacing w:line="360" w:lineRule="auto"/>
              <w:jc w:val="center"/>
              <w:rPr>
                <w:rFonts w:ascii="Book Antiqua" w:eastAsia="MS Mincho" w:hAnsi="Book Antiqua" w:cs="Times New Roman"/>
              </w:rPr>
            </w:pPr>
            <w:r w:rsidRPr="00EC0E9B">
              <w:rPr>
                <w:rFonts w:ascii="Book Antiqua" w:eastAsia="Times New Roman" w:hAnsi="Book Antiqua" w:cs="Times New Roman"/>
              </w:rPr>
              <w:t>18 (60.0)</w:t>
            </w:r>
          </w:p>
        </w:tc>
        <w:tc>
          <w:tcPr>
            <w:tcW w:w="2450" w:type="dxa"/>
          </w:tcPr>
          <w:p w14:paraId="633A3293" w14:textId="7CDC73C9" w:rsidR="00EC0E9B" w:rsidRPr="00EC0E9B" w:rsidRDefault="00EC0E9B" w:rsidP="00A13F9B">
            <w:pPr>
              <w:spacing w:line="360" w:lineRule="auto"/>
              <w:jc w:val="center"/>
              <w:rPr>
                <w:rFonts w:ascii="Book Antiqua" w:eastAsia="MS Mincho" w:hAnsi="Book Antiqua" w:cs="Times New Roman"/>
              </w:rPr>
            </w:pPr>
            <w:r w:rsidRPr="00EC0E9B">
              <w:rPr>
                <w:rFonts w:ascii="Book Antiqua" w:eastAsia="Times New Roman" w:hAnsi="Book Antiqua" w:cs="Times New Roman"/>
              </w:rPr>
              <w:t>2 (66.7)</w:t>
            </w:r>
          </w:p>
        </w:tc>
      </w:tr>
      <w:tr w:rsidR="00EC0E9B" w:rsidRPr="00EC0E9B" w14:paraId="28FBFDB0" w14:textId="77777777" w:rsidTr="00C63C73">
        <w:trPr>
          <w:trHeight w:val="172"/>
        </w:trPr>
        <w:tc>
          <w:tcPr>
            <w:tcW w:w="4490" w:type="dxa"/>
          </w:tcPr>
          <w:p w14:paraId="1B291C74" w14:textId="45C23B1F" w:rsidR="00EC0E9B" w:rsidRPr="00EC0E9B" w:rsidRDefault="00EC0E9B" w:rsidP="00EC0E9B">
            <w:pPr>
              <w:spacing w:line="360" w:lineRule="auto"/>
              <w:ind w:firstLineChars="100" w:firstLine="240"/>
              <w:jc w:val="both"/>
              <w:rPr>
                <w:rFonts w:ascii="Book Antiqua" w:eastAsia="Times New Roman" w:hAnsi="Book Antiqua"/>
              </w:rPr>
            </w:pPr>
            <w:r w:rsidRPr="00EC0E9B">
              <w:rPr>
                <w:rFonts w:ascii="Book Antiqua" w:eastAsia="Times New Roman" w:hAnsi="Book Antiqua" w:cs="Times New Roman"/>
              </w:rPr>
              <w:t xml:space="preserve">Female, </w:t>
            </w:r>
            <w:r w:rsidRPr="00EC0E9B">
              <w:rPr>
                <w:rFonts w:ascii="Book Antiqua" w:eastAsia="Times New Roman" w:hAnsi="Book Antiqua" w:cs="Times New Roman"/>
                <w:i/>
                <w:iCs/>
              </w:rPr>
              <w:t>n</w:t>
            </w:r>
            <w:r w:rsidRPr="00EC0E9B">
              <w:rPr>
                <w:rFonts w:ascii="Book Antiqua" w:eastAsia="Times New Roman" w:hAnsi="Book Antiqua" w:cs="Times New Roman"/>
              </w:rPr>
              <w:t xml:space="preserve"> (%)</w:t>
            </w:r>
          </w:p>
        </w:tc>
        <w:tc>
          <w:tcPr>
            <w:tcW w:w="2524" w:type="dxa"/>
          </w:tcPr>
          <w:p w14:paraId="1335539A" w14:textId="5EE14647" w:rsidR="00EC0E9B" w:rsidRPr="00EC0E9B" w:rsidRDefault="00EC0E9B" w:rsidP="00A13F9B">
            <w:pPr>
              <w:spacing w:line="360" w:lineRule="auto"/>
              <w:jc w:val="center"/>
              <w:rPr>
                <w:rFonts w:ascii="Book Antiqua" w:eastAsia="Times New Roman" w:hAnsi="Book Antiqua"/>
              </w:rPr>
            </w:pPr>
            <w:r w:rsidRPr="00EC0E9B">
              <w:rPr>
                <w:rFonts w:ascii="Book Antiqua" w:eastAsia="Times New Roman" w:hAnsi="Book Antiqua" w:cs="Times New Roman"/>
              </w:rPr>
              <w:t>12 (40.0)</w:t>
            </w:r>
          </w:p>
        </w:tc>
        <w:tc>
          <w:tcPr>
            <w:tcW w:w="2450" w:type="dxa"/>
          </w:tcPr>
          <w:p w14:paraId="7FD4FD07" w14:textId="3DC74D0B" w:rsidR="00EC0E9B" w:rsidRPr="00EC0E9B" w:rsidRDefault="00EC0E9B" w:rsidP="00A13F9B">
            <w:pPr>
              <w:spacing w:line="360" w:lineRule="auto"/>
              <w:jc w:val="center"/>
              <w:rPr>
                <w:rFonts w:ascii="Book Antiqua" w:eastAsia="Times New Roman" w:hAnsi="Book Antiqua"/>
              </w:rPr>
            </w:pPr>
            <w:r w:rsidRPr="00EC0E9B">
              <w:rPr>
                <w:rFonts w:ascii="Book Antiqua" w:eastAsia="Times New Roman" w:hAnsi="Book Antiqua" w:cs="Times New Roman"/>
              </w:rPr>
              <w:t>1 (33.3)</w:t>
            </w:r>
          </w:p>
        </w:tc>
      </w:tr>
      <w:tr w:rsidR="00EC0E9B" w:rsidRPr="00EC0E9B" w14:paraId="529FA4A9" w14:textId="77777777" w:rsidTr="00C63C73">
        <w:trPr>
          <w:trHeight w:val="263"/>
        </w:trPr>
        <w:tc>
          <w:tcPr>
            <w:tcW w:w="4490" w:type="dxa"/>
          </w:tcPr>
          <w:p w14:paraId="59E5D3EA"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Body mass index (kg/m</w:t>
            </w:r>
            <w:r w:rsidRPr="00EC0E9B">
              <w:rPr>
                <w:rFonts w:ascii="Book Antiqua" w:eastAsia="Times New Roman" w:hAnsi="Book Antiqua" w:cs="Times New Roman"/>
                <w:vertAlign w:val="superscript"/>
              </w:rPr>
              <w:t>2</w:t>
            </w:r>
            <w:r w:rsidRPr="00EC0E9B">
              <w:rPr>
                <w:rFonts w:ascii="Book Antiqua" w:eastAsia="Times New Roman" w:hAnsi="Book Antiqua" w:cs="Times New Roman"/>
              </w:rPr>
              <w:t>), mean ± SD</w:t>
            </w:r>
          </w:p>
        </w:tc>
        <w:tc>
          <w:tcPr>
            <w:tcW w:w="2524" w:type="dxa"/>
          </w:tcPr>
          <w:p w14:paraId="60FF94FE"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21.8 ± 3.5</w:t>
            </w:r>
          </w:p>
        </w:tc>
        <w:tc>
          <w:tcPr>
            <w:tcW w:w="2450" w:type="dxa"/>
          </w:tcPr>
          <w:p w14:paraId="4803BE12"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23.4 ± 7.0</w:t>
            </w:r>
          </w:p>
        </w:tc>
      </w:tr>
      <w:tr w:rsidR="00EC0E9B" w:rsidRPr="00EC0E9B" w14:paraId="0A20B73A" w14:textId="77777777" w:rsidTr="00C63C73">
        <w:trPr>
          <w:trHeight w:val="2720"/>
        </w:trPr>
        <w:tc>
          <w:tcPr>
            <w:tcW w:w="4490" w:type="dxa"/>
          </w:tcPr>
          <w:p w14:paraId="517CC55B"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Comorbidity (</w:t>
            </w:r>
            <w:r w:rsidRPr="00EC0E9B">
              <w:rPr>
                <w:rFonts w:ascii="Book Antiqua" w:eastAsia="Times New Roman" w:hAnsi="Book Antiqua" w:cs="Times New Roman"/>
                <w:i/>
                <w:iCs/>
              </w:rPr>
              <w:t>n</w:t>
            </w:r>
            <w:r w:rsidRPr="00EC0E9B">
              <w:rPr>
                <w:rFonts w:ascii="Book Antiqua" w:eastAsia="Times New Roman" w:hAnsi="Book Antiqua" w:cs="Times New Roman"/>
              </w:rPr>
              <w:t>)</w:t>
            </w:r>
          </w:p>
        </w:tc>
        <w:tc>
          <w:tcPr>
            <w:tcW w:w="2524" w:type="dxa"/>
          </w:tcPr>
          <w:p w14:paraId="6678024D" w14:textId="10239623"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Diabetes (5)</w:t>
            </w:r>
            <w:r>
              <w:rPr>
                <w:rFonts w:ascii="Book Antiqua" w:eastAsia="Times New Roman" w:hAnsi="Book Antiqua" w:cs="Times New Roman"/>
              </w:rPr>
              <w:t xml:space="preserve">, </w:t>
            </w:r>
            <w:r w:rsidRPr="00EC0E9B">
              <w:rPr>
                <w:rFonts w:ascii="Book Antiqua" w:eastAsia="Times New Roman" w:hAnsi="Book Antiqua" w:cs="Times New Roman"/>
              </w:rPr>
              <w:t>hypertension (3)</w:t>
            </w:r>
            <w:r>
              <w:rPr>
                <w:rFonts w:ascii="Book Antiqua" w:eastAsia="Times New Roman" w:hAnsi="Book Antiqua" w:cs="Times New Roman"/>
              </w:rPr>
              <w:t xml:space="preserve">, </w:t>
            </w:r>
            <w:r w:rsidRPr="00EC0E9B">
              <w:rPr>
                <w:rFonts w:ascii="Book Antiqua" w:eastAsia="Times New Roman" w:hAnsi="Book Antiqua" w:cs="Times New Roman"/>
              </w:rPr>
              <w:t>dyslipidemia (1)</w:t>
            </w:r>
            <w:r>
              <w:rPr>
                <w:rFonts w:ascii="Book Antiqua" w:eastAsia="Times New Roman" w:hAnsi="Book Antiqua" w:cs="Times New Roman"/>
              </w:rPr>
              <w:t xml:space="preserve">, </w:t>
            </w:r>
            <w:r w:rsidRPr="00EC0E9B">
              <w:rPr>
                <w:rFonts w:ascii="Book Antiqua" w:eastAsia="Times New Roman" w:hAnsi="Book Antiqua" w:cs="Times New Roman"/>
              </w:rPr>
              <w:t>COPD (1)</w:t>
            </w:r>
            <w:r>
              <w:rPr>
                <w:rFonts w:ascii="Book Antiqua" w:eastAsia="Times New Roman" w:hAnsi="Book Antiqua" w:cs="Times New Roman"/>
              </w:rPr>
              <w:t xml:space="preserve">, </w:t>
            </w:r>
            <w:r w:rsidRPr="00EC0E9B">
              <w:rPr>
                <w:rFonts w:ascii="Book Antiqua" w:eastAsia="Times New Roman" w:hAnsi="Book Antiqua" w:cs="Times New Roman"/>
              </w:rPr>
              <w:t>alcoholism (1)</w:t>
            </w:r>
            <w:r>
              <w:rPr>
                <w:rFonts w:ascii="Book Antiqua" w:eastAsia="Times New Roman" w:hAnsi="Book Antiqua" w:cs="Times New Roman"/>
              </w:rPr>
              <w:t xml:space="preserve">, </w:t>
            </w:r>
            <w:r w:rsidRPr="00EC0E9B">
              <w:rPr>
                <w:rFonts w:ascii="Book Antiqua" w:eastAsia="Times New Roman" w:hAnsi="Book Antiqua" w:cs="Times New Roman"/>
              </w:rPr>
              <w:t>angina (1)</w:t>
            </w:r>
            <w:r>
              <w:rPr>
                <w:rFonts w:ascii="Book Antiqua" w:eastAsia="Times New Roman" w:hAnsi="Book Antiqua" w:cs="Times New Roman"/>
              </w:rPr>
              <w:t xml:space="preserve">, </w:t>
            </w:r>
            <w:r w:rsidRPr="00EC0E9B">
              <w:rPr>
                <w:rFonts w:ascii="Book Antiqua" w:eastAsia="Times New Roman" w:hAnsi="Book Antiqua" w:cs="Times New Roman"/>
              </w:rPr>
              <w:t>lacunar infarction (1)</w:t>
            </w:r>
          </w:p>
        </w:tc>
        <w:tc>
          <w:tcPr>
            <w:tcW w:w="2450" w:type="dxa"/>
          </w:tcPr>
          <w:p w14:paraId="3F285A65" w14:textId="18EEAFDF" w:rsidR="00EC0E9B" w:rsidRPr="00EC0E9B" w:rsidRDefault="00EC0E9B" w:rsidP="00A13F9B">
            <w:pPr>
              <w:spacing w:line="360" w:lineRule="auto"/>
              <w:jc w:val="center"/>
              <w:rPr>
                <w:rFonts w:ascii="Book Antiqua" w:eastAsia="MS Mincho" w:hAnsi="Book Antiqua" w:cs="Times New Roman"/>
              </w:rPr>
            </w:pPr>
            <w:r w:rsidRPr="00EC0E9B">
              <w:rPr>
                <w:rFonts w:ascii="Book Antiqua" w:eastAsia="Times New Roman" w:hAnsi="Book Antiqua" w:cs="Times New Roman"/>
              </w:rPr>
              <w:t>Diabetes (1)</w:t>
            </w:r>
            <w:r>
              <w:rPr>
                <w:rFonts w:ascii="Book Antiqua" w:eastAsia="Times New Roman" w:hAnsi="Book Antiqua" w:cs="Times New Roman"/>
              </w:rPr>
              <w:t xml:space="preserve">, </w:t>
            </w:r>
            <w:r w:rsidRPr="00EC0E9B">
              <w:rPr>
                <w:rFonts w:ascii="Book Antiqua" w:eastAsia="Times New Roman" w:hAnsi="Book Antiqua" w:cs="Times New Roman"/>
              </w:rPr>
              <w:t>fatty liver (1)</w:t>
            </w:r>
            <w:r>
              <w:rPr>
                <w:rFonts w:ascii="Book Antiqua" w:eastAsia="Times New Roman" w:hAnsi="Book Antiqua" w:cs="Times New Roman"/>
              </w:rPr>
              <w:t xml:space="preserve">, </w:t>
            </w:r>
            <w:r w:rsidRPr="00EC0E9B">
              <w:rPr>
                <w:rFonts w:ascii="Book Antiqua" w:eastAsia="Times New Roman" w:hAnsi="Book Antiqua" w:cs="Times New Roman"/>
              </w:rPr>
              <w:t>alcoholism (1)</w:t>
            </w:r>
          </w:p>
        </w:tc>
      </w:tr>
      <w:tr w:rsidR="00EC0E9B" w:rsidRPr="00EC0E9B" w14:paraId="611D1A88" w14:textId="77777777" w:rsidTr="00C63C73">
        <w:trPr>
          <w:trHeight w:val="457"/>
        </w:trPr>
        <w:tc>
          <w:tcPr>
            <w:tcW w:w="4490" w:type="dxa"/>
          </w:tcPr>
          <w:p w14:paraId="2421DA14"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HBV/HCV infection (</w:t>
            </w:r>
            <w:r w:rsidRPr="00EC0E9B">
              <w:rPr>
                <w:rFonts w:ascii="Book Antiqua" w:eastAsia="Times New Roman" w:hAnsi="Book Antiqua" w:cs="Times New Roman"/>
                <w:i/>
                <w:iCs/>
              </w:rPr>
              <w:t>n</w:t>
            </w:r>
            <w:r w:rsidRPr="00EC0E9B">
              <w:rPr>
                <w:rFonts w:ascii="Book Antiqua" w:eastAsia="Times New Roman" w:hAnsi="Book Antiqua" w:cs="Times New Roman"/>
              </w:rPr>
              <w:t>)</w:t>
            </w:r>
          </w:p>
        </w:tc>
        <w:tc>
          <w:tcPr>
            <w:tcW w:w="2524" w:type="dxa"/>
          </w:tcPr>
          <w:p w14:paraId="41B7F8F9" w14:textId="3158DE4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3/1</w:t>
            </w:r>
          </w:p>
        </w:tc>
        <w:tc>
          <w:tcPr>
            <w:tcW w:w="2450" w:type="dxa"/>
          </w:tcPr>
          <w:p w14:paraId="49D73BC7" w14:textId="6B49B6A2"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0/1</w:t>
            </w:r>
          </w:p>
        </w:tc>
      </w:tr>
      <w:tr w:rsidR="00EC0E9B" w:rsidRPr="00EC0E9B" w14:paraId="0F3B6882" w14:textId="77777777" w:rsidTr="00C63C73">
        <w:trPr>
          <w:trHeight w:val="457"/>
        </w:trPr>
        <w:tc>
          <w:tcPr>
            <w:tcW w:w="4490" w:type="dxa"/>
          </w:tcPr>
          <w:p w14:paraId="348FBA0F" w14:textId="71C942C2"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Child</w:t>
            </w:r>
            <w:r>
              <w:rPr>
                <w:rFonts w:ascii="Book Antiqua" w:eastAsia="Times New Roman" w:hAnsi="Book Antiqua" w:cs="Times New Roman"/>
              </w:rPr>
              <w:t>-</w:t>
            </w:r>
            <w:r w:rsidRPr="00EC0E9B">
              <w:rPr>
                <w:rFonts w:ascii="Book Antiqua" w:eastAsia="Times New Roman" w:hAnsi="Book Antiqua" w:cs="Times New Roman"/>
              </w:rPr>
              <w:t>Pugh score, mean ± SD</w:t>
            </w:r>
          </w:p>
        </w:tc>
        <w:tc>
          <w:tcPr>
            <w:tcW w:w="2524" w:type="dxa"/>
          </w:tcPr>
          <w:p w14:paraId="08E1A573"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5.4 ± 0.9</w:t>
            </w:r>
          </w:p>
        </w:tc>
        <w:tc>
          <w:tcPr>
            <w:tcW w:w="2450" w:type="dxa"/>
          </w:tcPr>
          <w:p w14:paraId="5394D1A4"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5.7 ± 0.6</w:t>
            </w:r>
          </w:p>
        </w:tc>
      </w:tr>
      <w:tr w:rsidR="00EC0E9B" w:rsidRPr="00EC0E9B" w14:paraId="5A2B364B" w14:textId="77777777" w:rsidTr="00C63C73">
        <w:trPr>
          <w:trHeight w:val="444"/>
        </w:trPr>
        <w:tc>
          <w:tcPr>
            <w:tcW w:w="4490" w:type="dxa"/>
          </w:tcPr>
          <w:p w14:paraId="7524F43A"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hAnsi="Book Antiqua"/>
              </w:rPr>
              <w:t>ICGR</w:t>
            </w:r>
            <w:r w:rsidRPr="00EC0E9B">
              <w:rPr>
                <w:rFonts w:ascii="Book Antiqua" w:hAnsi="Book Antiqua"/>
                <w:vertAlign w:val="subscript"/>
              </w:rPr>
              <w:t>15</w:t>
            </w:r>
            <w:r w:rsidRPr="00EC0E9B">
              <w:rPr>
                <w:rFonts w:ascii="Book Antiqua" w:eastAsia="MS Mincho" w:hAnsi="Book Antiqua"/>
              </w:rPr>
              <w:t xml:space="preserve"> (%)</w:t>
            </w:r>
            <w:r w:rsidRPr="00EC0E9B">
              <w:rPr>
                <w:rFonts w:ascii="Book Antiqua" w:eastAsia="Times New Roman" w:hAnsi="Book Antiqua" w:cs="Times New Roman"/>
              </w:rPr>
              <w:t xml:space="preserve">, mean ± SD </w:t>
            </w:r>
          </w:p>
        </w:tc>
        <w:tc>
          <w:tcPr>
            <w:tcW w:w="2524" w:type="dxa"/>
          </w:tcPr>
          <w:p w14:paraId="25BA4D55"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10.4 ± 6.3</w:t>
            </w:r>
          </w:p>
        </w:tc>
        <w:tc>
          <w:tcPr>
            <w:tcW w:w="2450" w:type="dxa"/>
          </w:tcPr>
          <w:p w14:paraId="77357DE2"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7.2 ± 2.0</w:t>
            </w:r>
          </w:p>
        </w:tc>
      </w:tr>
      <w:tr w:rsidR="00EC0E9B" w:rsidRPr="00EC0E9B" w14:paraId="277AEE9E" w14:textId="77777777" w:rsidTr="00C63C73">
        <w:trPr>
          <w:trHeight w:val="257"/>
        </w:trPr>
        <w:tc>
          <w:tcPr>
            <w:tcW w:w="4490" w:type="dxa"/>
          </w:tcPr>
          <w:p w14:paraId="46CECA5D" w14:textId="631C5E0E"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Initial resection ratio (%), mean ±</w:t>
            </w:r>
            <w:r>
              <w:rPr>
                <w:rFonts w:ascii="Book Antiqua" w:eastAsia="Times New Roman" w:hAnsi="Book Antiqua" w:cs="Times New Roman"/>
              </w:rPr>
              <w:t xml:space="preserve"> </w:t>
            </w:r>
            <w:r w:rsidRPr="00EC0E9B">
              <w:rPr>
                <w:rFonts w:ascii="Book Antiqua" w:eastAsia="Times New Roman" w:hAnsi="Book Antiqua" w:cs="Times New Roman"/>
              </w:rPr>
              <w:t>SD</w:t>
            </w:r>
          </w:p>
        </w:tc>
        <w:tc>
          <w:tcPr>
            <w:tcW w:w="2524" w:type="dxa"/>
          </w:tcPr>
          <w:p w14:paraId="063639F0"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64.3 ± 5.6</w:t>
            </w:r>
          </w:p>
        </w:tc>
        <w:tc>
          <w:tcPr>
            <w:tcW w:w="2450" w:type="dxa"/>
          </w:tcPr>
          <w:p w14:paraId="69597218"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66.8 ± 4.4</w:t>
            </w:r>
          </w:p>
        </w:tc>
      </w:tr>
      <w:tr w:rsidR="00EC0E9B" w:rsidRPr="00EC0E9B" w14:paraId="492AA85F" w14:textId="77777777" w:rsidTr="00C63C73">
        <w:trPr>
          <w:trHeight w:val="457"/>
        </w:trPr>
        <w:tc>
          <w:tcPr>
            <w:tcW w:w="4490" w:type="dxa"/>
            <w:tcBorders>
              <w:bottom w:val="single" w:sz="4" w:space="0" w:color="auto"/>
            </w:tcBorders>
          </w:tcPr>
          <w:p w14:paraId="3220EC74" w14:textId="77777777" w:rsidR="00EC0E9B" w:rsidRPr="00EC0E9B" w:rsidRDefault="00EC0E9B" w:rsidP="00EC0E9B">
            <w:pPr>
              <w:spacing w:line="360" w:lineRule="auto"/>
              <w:jc w:val="both"/>
              <w:rPr>
                <w:rFonts w:ascii="Book Antiqua" w:eastAsia="Times New Roman" w:hAnsi="Book Antiqua" w:cs="Times New Roman"/>
              </w:rPr>
            </w:pPr>
            <w:r w:rsidRPr="00EC0E9B">
              <w:rPr>
                <w:rFonts w:ascii="Book Antiqua" w:eastAsia="Times New Roman" w:hAnsi="Book Antiqua" w:cs="Times New Roman"/>
              </w:rPr>
              <w:t>Initial FLRV (mL), mean ± SD</w:t>
            </w:r>
          </w:p>
        </w:tc>
        <w:tc>
          <w:tcPr>
            <w:tcW w:w="2524" w:type="dxa"/>
            <w:tcBorders>
              <w:bottom w:val="single" w:sz="4" w:space="0" w:color="auto"/>
            </w:tcBorders>
          </w:tcPr>
          <w:p w14:paraId="341BFBCD"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405.4 ± 79.0</w:t>
            </w:r>
          </w:p>
        </w:tc>
        <w:tc>
          <w:tcPr>
            <w:tcW w:w="2450" w:type="dxa"/>
            <w:tcBorders>
              <w:bottom w:val="single" w:sz="4" w:space="0" w:color="auto"/>
            </w:tcBorders>
          </w:tcPr>
          <w:p w14:paraId="3097C343" w14:textId="77777777" w:rsidR="00EC0E9B" w:rsidRPr="00EC0E9B" w:rsidRDefault="00EC0E9B" w:rsidP="00A13F9B">
            <w:pPr>
              <w:spacing w:line="360" w:lineRule="auto"/>
              <w:jc w:val="center"/>
              <w:rPr>
                <w:rFonts w:ascii="Book Antiqua" w:eastAsia="Times New Roman" w:hAnsi="Book Antiqua" w:cs="Times New Roman"/>
              </w:rPr>
            </w:pPr>
            <w:r w:rsidRPr="00EC0E9B">
              <w:rPr>
                <w:rFonts w:ascii="Book Antiqua" w:eastAsia="Times New Roman" w:hAnsi="Book Antiqua" w:cs="Times New Roman"/>
              </w:rPr>
              <w:t>466.3 ± 73.2</w:t>
            </w:r>
          </w:p>
        </w:tc>
      </w:tr>
    </w:tbl>
    <w:p w14:paraId="13DD8C42" w14:textId="7534A58D" w:rsidR="00397D0C" w:rsidRDefault="00EC0E9B" w:rsidP="00CF2EC0">
      <w:pPr>
        <w:spacing w:line="360" w:lineRule="auto"/>
        <w:jc w:val="both"/>
        <w:rPr>
          <w:rFonts w:ascii="Book Antiqua" w:eastAsia="MS Mincho" w:hAnsi="Book Antiqua"/>
        </w:rPr>
      </w:pPr>
      <w:r>
        <w:rPr>
          <w:rFonts w:ascii="Book Antiqua" w:eastAsia="MS Mincho" w:hAnsi="Book Antiqua"/>
        </w:rPr>
        <w:t>F</w:t>
      </w:r>
      <w:r w:rsidRPr="005C00B9">
        <w:rPr>
          <w:rFonts w:ascii="Book Antiqua" w:eastAsia="MS Mincho" w:hAnsi="Book Antiqua"/>
        </w:rPr>
        <w:t>unctional future liver remnant volume</w:t>
      </w:r>
      <w:r w:rsidRPr="005C00B9">
        <w:rPr>
          <w:rFonts w:ascii="Book Antiqua" w:eastAsia="Times New Roman" w:hAnsi="Book Antiqua"/>
        </w:rPr>
        <w:t xml:space="preserve"> </w:t>
      </w:r>
      <w:r>
        <w:rPr>
          <w:rFonts w:ascii="Book Antiqua" w:eastAsia="Times New Roman" w:hAnsi="Book Antiqua"/>
        </w:rPr>
        <w:t>(</w:t>
      </w:r>
      <w:r w:rsidRPr="005C00B9">
        <w:rPr>
          <w:rFonts w:ascii="Book Antiqua" w:eastAsia="Times New Roman" w:hAnsi="Book Antiqua"/>
        </w:rPr>
        <w:t>FFLRV</w:t>
      </w:r>
      <w:r>
        <w:rPr>
          <w:rFonts w:ascii="Book Antiqua" w:eastAsia="Times New Roman" w:hAnsi="Book Antiqua"/>
        </w:rPr>
        <w:t>)</w:t>
      </w:r>
      <w:r w:rsidRPr="005C00B9">
        <w:rPr>
          <w:rFonts w:ascii="Book Antiqua" w:eastAsia="Times New Roman" w:hAnsi="Book Antiqua"/>
        </w:rPr>
        <w:t xml:space="preserve"> superior group included the patients without FFLRV decrease below the </w:t>
      </w:r>
      <w:r>
        <w:rPr>
          <w:rFonts w:ascii="Book Antiqua" w:hAnsi="Book Antiqua"/>
        </w:rPr>
        <w:t>f</w:t>
      </w:r>
      <w:r w:rsidRPr="00EC0E9B">
        <w:rPr>
          <w:rFonts w:ascii="Book Antiqua" w:hAnsi="Book Antiqua"/>
        </w:rPr>
        <w:t>uture liver remnant volume</w:t>
      </w:r>
      <w:r w:rsidRPr="005C00B9">
        <w:rPr>
          <w:rFonts w:ascii="Book Antiqua" w:eastAsia="Times New Roman" w:hAnsi="Book Antiqua"/>
        </w:rPr>
        <w:t xml:space="preserve"> </w:t>
      </w:r>
      <w:r>
        <w:rPr>
          <w:rFonts w:ascii="Book Antiqua" w:eastAsia="Times New Roman" w:hAnsi="Book Antiqua"/>
        </w:rPr>
        <w:t>(</w:t>
      </w:r>
      <w:r w:rsidRPr="005C00B9">
        <w:rPr>
          <w:rFonts w:ascii="Book Antiqua" w:eastAsia="Times New Roman" w:hAnsi="Book Antiqua"/>
        </w:rPr>
        <w:t>FLRV</w:t>
      </w:r>
      <w:r>
        <w:rPr>
          <w:rFonts w:ascii="Book Antiqua" w:eastAsia="Times New Roman" w:hAnsi="Book Antiqua"/>
        </w:rPr>
        <w:t>)</w:t>
      </w:r>
      <w:r w:rsidRPr="005C00B9">
        <w:rPr>
          <w:rFonts w:ascii="Book Antiqua" w:eastAsia="Times New Roman" w:hAnsi="Book Antiqua"/>
        </w:rPr>
        <w:t xml:space="preserve"> at 2 w</w:t>
      </w:r>
      <w:r>
        <w:rPr>
          <w:rFonts w:ascii="Book Antiqua" w:eastAsia="Times New Roman" w:hAnsi="Book Antiqua"/>
        </w:rPr>
        <w:t>k</w:t>
      </w:r>
      <w:r w:rsidRPr="005C00B9">
        <w:rPr>
          <w:rFonts w:ascii="Book Antiqua" w:eastAsia="Times New Roman" w:hAnsi="Book Antiqua"/>
        </w:rPr>
        <w:t xml:space="preserve"> after PVE.</w:t>
      </w:r>
      <w:r>
        <w:rPr>
          <w:rFonts w:ascii="Book Antiqua" w:eastAsia="Times New Roman" w:hAnsi="Book Antiqua"/>
        </w:rPr>
        <w:t xml:space="preserve"> </w:t>
      </w:r>
      <w:r w:rsidRPr="005C00B9">
        <w:rPr>
          <w:rFonts w:ascii="Book Antiqua" w:eastAsia="Times New Roman" w:hAnsi="Book Antiqua"/>
        </w:rPr>
        <w:t>FLRV superior group included the patients with FFLRV decrease below the FLRV at 2 weeks after PVE.</w:t>
      </w:r>
      <w:r>
        <w:rPr>
          <w:rFonts w:ascii="Book Antiqua" w:hAnsi="Book Antiqua" w:hint="eastAsia"/>
          <w:lang w:eastAsia="zh-CN"/>
        </w:rPr>
        <w:t xml:space="preserve"> </w:t>
      </w:r>
      <w:r w:rsidRPr="005C00B9">
        <w:rPr>
          <w:rFonts w:ascii="Book Antiqua" w:eastAsia="Times New Roman" w:hAnsi="Book Antiqua"/>
        </w:rPr>
        <w:t>SD</w:t>
      </w:r>
      <w:r>
        <w:rPr>
          <w:rFonts w:ascii="Book Antiqua" w:eastAsia="Times New Roman" w:hAnsi="Book Antiqua"/>
        </w:rPr>
        <w:t>: S</w:t>
      </w:r>
      <w:r w:rsidRPr="005C00B9">
        <w:rPr>
          <w:rFonts w:ascii="Book Antiqua" w:eastAsia="Times New Roman" w:hAnsi="Book Antiqua"/>
        </w:rPr>
        <w:t>tandard deviation; COPD</w:t>
      </w:r>
      <w:r>
        <w:rPr>
          <w:rFonts w:ascii="Book Antiqua" w:eastAsia="Times New Roman" w:hAnsi="Book Antiqua"/>
        </w:rPr>
        <w:t>: C</w:t>
      </w:r>
      <w:r w:rsidRPr="005C00B9">
        <w:rPr>
          <w:rFonts w:ascii="Book Antiqua" w:eastAsia="Times New Roman" w:hAnsi="Book Antiqua"/>
        </w:rPr>
        <w:t>hronic obstructive pulmonary disease; HBV</w:t>
      </w:r>
      <w:r>
        <w:rPr>
          <w:rFonts w:ascii="Book Antiqua" w:eastAsia="Times New Roman" w:hAnsi="Book Antiqua"/>
        </w:rPr>
        <w:t>: H</w:t>
      </w:r>
      <w:r w:rsidRPr="005C00B9">
        <w:rPr>
          <w:rFonts w:ascii="Book Antiqua" w:eastAsia="Times New Roman" w:hAnsi="Book Antiqua"/>
        </w:rPr>
        <w:t>epatitis B virus; HCV</w:t>
      </w:r>
      <w:r>
        <w:rPr>
          <w:rFonts w:ascii="Book Antiqua" w:eastAsia="Times New Roman" w:hAnsi="Book Antiqua"/>
        </w:rPr>
        <w:t>: H</w:t>
      </w:r>
      <w:r w:rsidRPr="005C00B9">
        <w:rPr>
          <w:rFonts w:ascii="Book Antiqua" w:eastAsia="Times New Roman" w:hAnsi="Book Antiqua"/>
        </w:rPr>
        <w:t>epatitis C virus; ICGR</w:t>
      </w:r>
      <w:r w:rsidRPr="005C00B9">
        <w:rPr>
          <w:rFonts w:ascii="Book Antiqua" w:eastAsia="Times New Roman" w:hAnsi="Book Antiqua"/>
          <w:vertAlign w:val="subscript"/>
        </w:rPr>
        <w:t>15</w:t>
      </w:r>
      <w:r>
        <w:rPr>
          <w:rFonts w:ascii="Book Antiqua" w:eastAsia="Times New Roman" w:hAnsi="Book Antiqua"/>
        </w:rPr>
        <w:t>: I</w:t>
      </w:r>
      <w:r w:rsidRPr="005C00B9">
        <w:rPr>
          <w:rFonts w:ascii="Book Antiqua" w:eastAsia="Times New Roman" w:hAnsi="Book Antiqua"/>
        </w:rPr>
        <w:t>ndocyanine green retention at 15 min</w:t>
      </w:r>
      <w:r>
        <w:rPr>
          <w:rFonts w:ascii="Book Antiqua" w:eastAsia="Times New Roman" w:hAnsi="Book Antiqua"/>
        </w:rPr>
        <w:t xml:space="preserve">; </w:t>
      </w:r>
      <w:r w:rsidRPr="005C00B9">
        <w:rPr>
          <w:rFonts w:ascii="Book Antiqua" w:hAnsi="Book Antiqua"/>
        </w:rPr>
        <w:t>FLRV</w:t>
      </w:r>
      <w:r>
        <w:rPr>
          <w:rFonts w:ascii="Book Antiqua" w:hAnsi="Book Antiqua"/>
        </w:rPr>
        <w:t>: F</w:t>
      </w:r>
      <w:r w:rsidRPr="00EC0E9B">
        <w:rPr>
          <w:rFonts w:ascii="Book Antiqua" w:hAnsi="Book Antiqua"/>
        </w:rPr>
        <w:t>uture liver remnant volume</w:t>
      </w:r>
      <w:r>
        <w:rPr>
          <w:rFonts w:ascii="Book Antiqua" w:hAnsi="Book Antiqua"/>
        </w:rPr>
        <w:t xml:space="preserve">; </w:t>
      </w:r>
      <w:r w:rsidRPr="005C00B9">
        <w:rPr>
          <w:rFonts w:ascii="Book Antiqua" w:hAnsi="Book Antiqua"/>
        </w:rPr>
        <w:t>FFLRV</w:t>
      </w:r>
      <w:r>
        <w:rPr>
          <w:rFonts w:ascii="Book Antiqua" w:hAnsi="Book Antiqua"/>
        </w:rPr>
        <w:t xml:space="preserve">: </w:t>
      </w:r>
      <w:r>
        <w:rPr>
          <w:rFonts w:ascii="Book Antiqua" w:eastAsia="MS Mincho" w:hAnsi="Book Antiqua"/>
        </w:rPr>
        <w:t>F</w:t>
      </w:r>
      <w:r w:rsidRPr="005C00B9">
        <w:rPr>
          <w:rFonts w:ascii="Book Antiqua" w:eastAsia="MS Mincho" w:hAnsi="Book Antiqua"/>
        </w:rPr>
        <w:t>unctional future liver remnant volume</w:t>
      </w:r>
      <w:r>
        <w:rPr>
          <w:rFonts w:ascii="Book Antiqua" w:eastAsia="MS Mincho" w:hAnsi="Book Antiqua"/>
        </w:rPr>
        <w:t>.</w:t>
      </w:r>
    </w:p>
    <w:p w14:paraId="7FC00083" w14:textId="77777777" w:rsidR="00397D0C" w:rsidRDefault="00397D0C">
      <w:pPr>
        <w:rPr>
          <w:rFonts w:ascii="Book Antiqua" w:eastAsia="MS Mincho" w:hAnsi="Book Antiqua"/>
        </w:rPr>
      </w:pPr>
      <w:r>
        <w:rPr>
          <w:rFonts w:ascii="Book Antiqua" w:eastAsia="MS Mincho" w:hAnsi="Book Antiqua"/>
        </w:rPr>
        <w:br w:type="page"/>
      </w:r>
    </w:p>
    <w:p w14:paraId="03E0B02F" w14:textId="77777777" w:rsidR="00397D0C" w:rsidRDefault="00397D0C" w:rsidP="00397D0C">
      <w:pPr>
        <w:jc w:val="center"/>
        <w:rPr>
          <w:rFonts w:ascii="Book Antiqua" w:hAnsi="Book Antiqua"/>
          <w:lang w:eastAsia="zh-CN"/>
        </w:rPr>
      </w:pPr>
    </w:p>
    <w:p w14:paraId="5DD3A1A9" w14:textId="77777777" w:rsidR="00397D0C" w:rsidRDefault="00397D0C" w:rsidP="00397D0C">
      <w:pPr>
        <w:jc w:val="center"/>
        <w:rPr>
          <w:rFonts w:ascii="Book Antiqua" w:hAnsi="Book Antiqua"/>
          <w:lang w:eastAsia="zh-CN"/>
        </w:rPr>
      </w:pPr>
    </w:p>
    <w:p w14:paraId="1AEDBF24" w14:textId="77777777" w:rsidR="00397D0C" w:rsidRDefault="00397D0C" w:rsidP="00397D0C">
      <w:pPr>
        <w:jc w:val="center"/>
        <w:rPr>
          <w:rFonts w:ascii="Book Antiqua" w:hAnsi="Book Antiqua"/>
          <w:lang w:eastAsia="zh-CN"/>
        </w:rPr>
      </w:pPr>
    </w:p>
    <w:p w14:paraId="2DCA8D63" w14:textId="77777777" w:rsidR="00397D0C" w:rsidRDefault="00397D0C" w:rsidP="00397D0C">
      <w:pPr>
        <w:jc w:val="center"/>
        <w:rPr>
          <w:rFonts w:ascii="Book Antiqua" w:hAnsi="Book Antiqua"/>
          <w:lang w:eastAsia="zh-CN"/>
        </w:rPr>
      </w:pPr>
    </w:p>
    <w:p w14:paraId="4E9EE97A" w14:textId="77777777" w:rsidR="00397D0C" w:rsidRDefault="00397D0C" w:rsidP="00397D0C">
      <w:pPr>
        <w:jc w:val="center"/>
        <w:rPr>
          <w:rFonts w:ascii="Book Antiqua" w:hAnsi="Book Antiqua"/>
          <w:lang w:eastAsia="zh-CN"/>
        </w:rPr>
      </w:pPr>
    </w:p>
    <w:p w14:paraId="416FD758" w14:textId="77777777" w:rsidR="00397D0C" w:rsidRDefault="00397D0C" w:rsidP="00397D0C">
      <w:pPr>
        <w:jc w:val="center"/>
        <w:rPr>
          <w:rFonts w:ascii="Book Antiqua" w:hAnsi="Book Antiqua"/>
          <w:lang w:eastAsia="zh-CN"/>
        </w:rPr>
      </w:pPr>
      <w:r>
        <w:rPr>
          <w:rFonts w:ascii="Book Antiqua" w:hAnsi="Book Antiqua"/>
          <w:noProof/>
          <w:lang w:eastAsia="zh-CN"/>
        </w:rPr>
        <w:drawing>
          <wp:inline distT="0" distB="0" distL="0" distR="0" wp14:anchorId="2BBF69A1" wp14:editId="694400FB">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A525A1" w14:textId="77777777" w:rsidR="00397D0C" w:rsidRDefault="00397D0C" w:rsidP="00397D0C">
      <w:pPr>
        <w:jc w:val="center"/>
        <w:rPr>
          <w:rFonts w:ascii="Book Antiqua" w:hAnsi="Book Antiqua"/>
          <w:lang w:eastAsia="zh-CN"/>
        </w:rPr>
      </w:pPr>
    </w:p>
    <w:p w14:paraId="2CA18973" w14:textId="77777777" w:rsidR="00397D0C" w:rsidRPr="00763D22" w:rsidRDefault="00397D0C" w:rsidP="00397D0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C22D346" w14:textId="77777777" w:rsidR="00397D0C" w:rsidRPr="00763D22" w:rsidRDefault="00397D0C" w:rsidP="00397D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0FFDBE" w14:textId="77777777" w:rsidR="00397D0C" w:rsidRPr="00763D22" w:rsidRDefault="00397D0C" w:rsidP="00397D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864FA5" w14:textId="77777777" w:rsidR="00397D0C" w:rsidRPr="00763D22" w:rsidRDefault="00397D0C" w:rsidP="00397D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AA3CE3" w14:textId="77777777" w:rsidR="00397D0C" w:rsidRPr="00763D22" w:rsidRDefault="00397D0C" w:rsidP="00397D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EEC966" w14:textId="77777777" w:rsidR="00397D0C" w:rsidRPr="00763D22" w:rsidRDefault="00397D0C" w:rsidP="00397D0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EB12E56" w14:textId="77777777" w:rsidR="00397D0C" w:rsidRDefault="00397D0C" w:rsidP="00397D0C">
      <w:pPr>
        <w:jc w:val="center"/>
        <w:rPr>
          <w:rFonts w:ascii="Book Antiqua" w:hAnsi="Book Antiqua"/>
          <w:lang w:eastAsia="zh-CN"/>
        </w:rPr>
      </w:pPr>
    </w:p>
    <w:p w14:paraId="4E4B82BE" w14:textId="77777777" w:rsidR="00397D0C" w:rsidRDefault="00397D0C" w:rsidP="00397D0C">
      <w:pPr>
        <w:jc w:val="center"/>
        <w:rPr>
          <w:rFonts w:ascii="Book Antiqua" w:hAnsi="Book Antiqua"/>
          <w:lang w:eastAsia="zh-CN"/>
        </w:rPr>
      </w:pPr>
    </w:p>
    <w:p w14:paraId="41E38346" w14:textId="77777777" w:rsidR="00397D0C" w:rsidRDefault="00397D0C" w:rsidP="00397D0C">
      <w:pPr>
        <w:jc w:val="center"/>
        <w:rPr>
          <w:rFonts w:ascii="Book Antiqua" w:hAnsi="Book Antiqua"/>
          <w:lang w:eastAsia="zh-CN"/>
        </w:rPr>
      </w:pPr>
    </w:p>
    <w:p w14:paraId="502FDC83" w14:textId="77777777" w:rsidR="00397D0C" w:rsidRDefault="00397D0C" w:rsidP="00397D0C">
      <w:pPr>
        <w:jc w:val="center"/>
        <w:rPr>
          <w:rFonts w:ascii="Book Antiqua" w:hAnsi="Book Antiqua"/>
          <w:lang w:eastAsia="zh-CN"/>
        </w:rPr>
      </w:pPr>
      <w:r>
        <w:rPr>
          <w:rFonts w:ascii="Book Antiqua" w:hAnsi="Book Antiqua"/>
          <w:noProof/>
          <w:lang w:eastAsia="zh-CN"/>
        </w:rPr>
        <w:drawing>
          <wp:inline distT="0" distB="0" distL="0" distR="0" wp14:anchorId="70E67F90" wp14:editId="55B8A4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2B5D63" w14:textId="77777777" w:rsidR="00397D0C" w:rsidRDefault="00397D0C" w:rsidP="00397D0C">
      <w:pPr>
        <w:jc w:val="center"/>
        <w:rPr>
          <w:rFonts w:ascii="Book Antiqua" w:hAnsi="Book Antiqua"/>
          <w:lang w:eastAsia="zh-CN"/>
        </w:rPr>
      </w:pPr>
    </w:p>
    <w:p w14:paraId="35AA89F7" w14:textId="77777777" w:rsidR="00397D0C" w:rsidRDefault="00397D0C" w:rsidP="00397D0C">
      <w:pPr>
        <w:jc w:val="center"/>
        <w:rPr>
          <w:rFonts w:ascii="Book Antiqua" w:hAnsi="Book Antiqua"/>
          <w:lang w:eastAsia="zh-CN"/>
        </w:rPr>
      </w:pPr>
    </w:p>
    <w:p w14:paraId="6A7B8AE4" w14:textId="77777777" w:rsidR="00397D0C" w:rsidRDefault="00397D0C" w:rsidP="00397D0C">
      <w:pPr>
        <w:jc w:val="center"/>
        <w:rPr>
          <w:rFonts w:ascii="Book Antiqua" w:hAnsi="Book Antiqua"/>
          <w:lang w:eastAsia="zh-CN"/>
        </w:rPr>
      </w:pPr>
    </w:p>
    <w:p w14:paraId="208C3595" w14:textId="77777777" w:rsidR="00397D0C" w:rsidRDefault="00397D0C" w:rsidP="00397D0C">
      <w:pPr>
        <w:jc w:val="center"/>
        <w:rPr>
          <w:rFonts w:ascii="Book Antiqua" w:hAnsi="Book Antiqua"/>
          <w:lang w:eastAsia="zh-CN"/>
        </w:rPr>
      </w:pPr>
    </w:p>
    <w:p w14:paraId="3DF0460F" w14:textId="77777777" w:rsidR="00397D0C" w:rsidRDefault="00397D0C" w:rsidP="00397D0C">
      <w:pPr>
        <w:jc w:val="center"/>
        <w:rPr>
          <w:rFonts w:ascii="Book Antiqua" w:hAnsi="Book Antiqua"/>
          <w:lang w:eastAsia="zh-CN"/>
        </w:rPr>
      </w:pPr>
    </w:p>
    <w:p w14:paraId="45BC7861" w14:textId="77777777" w:rsidR="00397D0C" w:rsidRDefault="00397D0C" w:rsidP="00397D0C">
      <w:pPr>
        <w:jc w:val="center"/>
        <w:rPr>
          <w:rFonts w:ascii="Book Antiqua" w:hAnsi="Book Antiqua"/>
          <w:lang w:eastAsia="zh-CN"/>
        </w:rPr>
      </w:pPr>
    </w:p>
    <w:p w14:paraId="6A62ED4A" w14:textId="77777777" w:rsidR="00397D0C" w:rsidRDefault="00397D0C" w:rsidP="00397D0C">
      <w:pPr>
        <w:jc w:val="center"/>
        <w:rPr>
          <w:rFonts w:ascii="Book Antiqua" w:hAnsi="Book Antiqua"/>
          <w:lang w:eastAsia="zh-CN"/>
        </w:rPr>
      </w:pPr>
    </w:p>
    <w:p w14:paraId="703617BB" w14:textId="77777777" w:rsidR="00397D0C" w:rsidRDefault="00397D0C" w:rsidP="00397D0C">
      <w:pPr>
        <w:jc w:val="center"/>
        <w:rPr>
          <w:rFonts w:ascii="Book Antiqua" w:hAnsi="Book Antiqua"/>
          <w:lang w:eastAsia="zh-CN"/>
        </w:rPr>
      </w:pPr>
    </w:p>
    <w:p w14:paraId="663957B1" w14:textId="77777777" w:rsidR="00397D0C" w:rsidRDefault="00397D0C" w:rsidP="00397D0C">
      <w:pPr>
        <w:jc w:val="center"/>
        <w:rPr>
          <w:rFonts w:ascii="Book Antiqua" w:hAnsi="Book Antiqua"/>
          <w:lang w:eastAsia="zh-CN"/>
        </w:rPr>
      </w:pPr>
    </w:p>
    <w:p w14:paraId="40E61DC2" w14:textId="77777777" w:rsidR="00397D0C" w:rsidRPr="00763D22" w:rsidRDefault="00397D0C" w:rsidP="00397D0C">
      <w:pPr>
        <w:jc w:val="right"/>
        <w:rPr>
          <w:rFonts w:ascii="Book Antiqua" w:hAnsi="Book Antiqua"/>
          <w:color w:val="000000" w:themeColor="text1"/>
          <w:lang w:eastAsia="zh-CN"/>
        </w:rPr>
      </w:pPr>
    </w:p>
    <w:p w14:paraId="57106A00" w14:textId="77777777" w:rsidR="00397D0C" w:rsidRPr="00763D22" w:rsidRDefault="00397D0C" w:rsidP="00397D0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87D97C8" w14:textId="77777777" w:rsidR="00EC0E9B" w:rsidRPr="00EC0E9B" w:rsidRDefault="00EC0E9B" w:rsidP="00CF2EC0">
      <w:pPr>
        <w:spacing w:line="360" w:lineRule="auto"/>
        <w:jc w:val="both"/>
        <w:rPr>
          <w:rFonts w:ascii="Book Antiqua" w:hAnsi="Book Antiqua"/>
          <w:b/>
          <w:bCs/>
        </w:rPr>
      </w:pPr>
    </w:p>
    <w:sectPr w:rsidR="00EC0E9B" w:rsidRPr="00EC0E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26564" w14:textId="77777777" w:rsidR="008806D9" w:rsidRDefault="008806D9" w:rsidP="00077324">
      <w:r>
        <w:separator/>
      </w:r>
    </w:p>
  </w:endnote>
  <w:endnote w:type="continuationSeparator" w:id="0">
    <w:p w14:paraId="4235707E" w14:textId="77777777" w:rsidR="008806D9" w:rsidRDefault="008806D9" w:rsidP="000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4087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9B85DB" w14:textId="06582DA5" w:rsidR="00077324" w:rsidRPr="00077324" w:rsidRDefault="00077324" w:rsidP="00077324">
            <w:pPr>
              <w:pStyle w:val="a8"/>
              <w:jc w:val="right"/>
              <w:rPr>
                <w:rFonts w:ascii="Book Antiqua" w:hAnsi="Book Antiqua"/>
                <w:sz w:val="24"/>
                <w:szCs w:val="24"/>
              </w:rPr>
            </w:pPr>
            <w:r w:rsidRPr="00077324">
              <w:rPr>
                <w:rFonts w:ascii="Book Antiqua" w:hAnsi="Book Antiqua"/>
                <w:sz w:val="24"/>
                <w:szCs w:val="24"/>
                <w:lang w:val="zh-CN" w:eastAsia="zh-CN"/>
              </w:rPr>
              <w:t xml:space="preserve"> </w:t>
            </w:r>
            <w:r w:rsidRPr="00077324">
              <w:rPr>
                <w:rFonts w:ascii="Book Antiqua" w:hAnsi="Book Antiqua"/>
                <w:sz w:val="24"/>
                <w:szCs w:val="24"/>
              </w:rPr>
              <w:fldChar w:fldCharType="begin"/>
            </w:r>
            <w:r w:rsidRPr="00077324">
              <w:rPr>
                <w:rFonts w:ascii="Book Antiqua" w:hAnsi="Book Antiqua"/>
                <w:sz w:val="24"/>
                <w:szCs w:val="24"/>
              </w:rPr>
              <w:instrText>PAGE</w:instrText>
            </w:r>
            <w:r w:rsidRPr="00077324">
              <w:rPr>
                <w:rFonts w:ascii="Book Antiqua" w:hAnsi="Book Antiqua"/>
                <w:sz w:val="24"/>
                <w:szCs w:val="24"/>
              </w:rPr>
              <w:fldChar w:fldCharType="separate"/>
            </w:r>
            <w:r w:rsidR="00C63C73">
              <w:rPr>
                <w:rFonts w:ascii="Book Antiqua" w:hAnsi="Book Antiqua"/>
                <w:noProof/>
                <w:sz w:val="24"/>
                <w:szCs w:val="24"/>
              </w:rPr>
              <w:t>24</w:t>
            </w:r>
            <w:r w:rsidRPr="00077324">
              <w:rPr>
                <w:rFonts w:ascii="Book Antiqua" w:hAnsi="Book Antiqua"/>
                <w:sz w:val="24"/>
                <w:szCs w:val="24"/>
              </w:rPr>
              <w:fldChar w:fldCharType="end"/>
            </w:r>
            <w:r w:rsidRPr="00077324">
              <w:rPr>
                <w:rFonts w:ascii="Book Antiqua" w:hAnsi="Book Antiqua"/>
                <w:sz w:val="24"/>
                <w:szCs w:val="24"/>
                <w:lang w:val="zh-CN" w:eastAsia="zh-CN"/>
              </w:rPr>
              <w:t xml:space="preserve"> / </w:t>
            </w:r>
            <w:r w:rsidRPr="00077324">
              <w:rPr>
                <w:rFonts w:ascii="Book Antiqua" w:hAnsi="Book Antiqua"/>
                <w:sz w:val="24"/>
                <w:szCs w:val="24"/>
              </w:rPr>
              <w:fldChar w:fldCharType="begin"/>
            </w:r>
            <w:r w:rsidRPr="00077324">
              <w:rPr>
                <w:rFonts w:ascii="Book Antiqua" w:hAnsi="Book Antiqua"/>
                <w:sz w:val="24"/>
                <w:szCs w:val="24"/>
              </w:rPr>
              <w:instrText>NUMPAGES</w:instrText>
            </w:r>
            <w:r w:rsidRPr="00077324">
              <w:rPr>
                <w:rFonts w:ascii="Book Antiqua" w:hAnsi="Book Antiqua"/>
                <w:sz w:val="24"/>
                <w:szCs w:val="24"/>
              </w:rPr>
              <w:fldChar w:fldCharType="separate"/>
            </w:r>
            <w:r w:rsidR="00C63C73">
              <w:rPr>
                <w:rFonts w:ascii="Book Antiqua" w:hAnsi="Book Antiqua"/>
                <w:noProof/>
                <w:sz w:val="24"/>
                <w:szCs w:val="24"/>
              </w:rPr>
              <w:t>26</w:t>
            </w:r>
            <w:r w:rsidRPr="00077324">
              <w:rPr>
                <w:rFonts w:ascii="Book Antiqua" w:hAnsi="Book Antiqua"/>
                <w:sz w:val="24"/>
                <w:szCs w:val="24"/>
              </w:rPr>
              <w:fldChar w:fldCharType="end"/>
            </w:r>
          </w:p>
        </w:sdtContent>
      </w:sdt>
    </w:sdtContent>
  </w:sdt>
  <w:p w14:paraId="1910599E" w14:textId="77777777" w:rsidR="00077324" w:rsidRPr="00077324" w:rsidRDefault="00077324" w:rsidP="00077324">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86F85" w14:textId="77777777" w:rsidR="008806D9" w:rsidRDefault="008806D9" w:rsidP="00077324">
      <w:r>
        <w:separator/>
      </w:r>
    </w:p>
  </w:footnote>
  <w:footnote w:type="continuationSeparator" w:id="0">
    <w:p w14:paraId="0D574821" w14:textId="77777777" w:rsidR="008806D9" w:rsidRDefault="008806D9" w:rsidP="00077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324"/>
    <w:rsid w:val="001450FA"/>
    <w:rsid w:val="00155EB8"/>
    <w:rsid w:val="00215874"/>
    <w:rsid w:val="00363620"/>
    <w:rsid w:val="00397D0C"/>
    <w:rsid w:val="005D24DA"/>
    <w:rsid w:val="00600AB0"/>
    <w:rsid w:val="006F4098"/>
    <w:rsid w:val="007039DB"/>
    <w:rsid w:val="00776134"/>
    <w:rsid w:val="00792B93"/>
    <w:rsid w:val="008806D9"/>
    <w:rsid w:val="00882E46"/>
    <w:rsid w:val="00884961"/>
    <w:rsid w:val="008B0459"/>
    <w:rsid w:val="00986264"/>
    <w:rsid w:val="009F3636"/>
    <w:rsid w:val="00A02FEF"/>
    <w:rsid w:val="00A13F9B"/>
    <w:rsid w:val="00A47FB2"/>
    <w:rsid w:val="00A77B3E"/>
    <w:rsid w:val="00AA0959"/>
    <w:rsid w:val="00B077E7"/>
    <w:rsid w:val="00BE4F7F"/>
    <w:rsid w:val="00BF3DA9"/>
    <w:rsid w:val="00C63C73"/>
    <w:rsid w:val="00CA2A55"/>
    <w:rsid w:val="00CF2EC0"/>
    <w:rsid w:val="00CF59CD"/>
    <w:rsid w:val="00E3286A"/>
    <w:rsid w:val="00EC0E9B"/>
    <w:rsid w:val="00F02B7F"/>
    <w:rsid w:val="00F03AB2"/>
    <w:rsid w:val="00F11613"/>
    <w:rsid w:val="00F6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7A777"/>
  <w15:docId w15:val="{3D8392CC-9F7E-4F97-A885-57ABD65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02FEF"/>
    <w:rPr>
      <w:sz w:val="18"/>
      <w:szCs w:val="18"/>
    </w:rPr>
  </w:style>
  <w:style w:type="character" w:customStyle="1" w:styleId="a4">
    <w:name w:val="批注框文本 字符"/>
    <w:basedOn w:val="a0"/>
    <w:link w:val="a3"/>
    <w:rsid w:val="00A02FEF"/>
    <w:rPr>
      <w:sz w:val="18"/>
      <w:szCs w:val="18"/>
    </w:rPr>
  </w:style>
  <w:style w:type="table" w:styleId="a5">
    <w:name w:val="Table Grid"/>
    <w:basedOn w:val="a1"/>
    <w:uiPriority w:val="59"/>
    <w:rsid w:val="007039DB"/>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07732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77324"/>
    <w:rPr>
      <w:sz w:val="18"/>
      <w:szCs w:val="18"/>
    </w:rPr>
  </w:style>
  <w:style w:type="paragraph" w:styleId="a8">
    <w:name w:val="footer"/>
    <w:basedOn w:val="a"/>
    <w:link w:val="a9"/>
    <w:uiPriority w:val="99"/>
    <w:unhideWhenUsed/>
    <w:rsid w:val="00077324"/>
    <w:pPr>
      <w:tabs>
        <w:tab w:val="center" w:pos="4153"/>
        <w:tab w:val="right" w:pos="8306"/>
      </w:tabs>
      <w:snapToGrid w:val="0"/>
    </w:pPr>
    <w:rPr>
      <w:sz w:val="18"/>
      <w:szCs w:val="18"/>
    </w:rPr>
  </w:style>
  <w:style w:type="character" w:customStyle="1" w:styleId="a9">
    <w:name w:val="页脚 字符"/>
    <w:basedOn w:val="a0"/>
    <w:link w:val="a8"/>
    <w:uiPriority w:val="99"/>
    <w:rsid w:val="000773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84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5</cp:revision>
  <dcterms:created xsi:type="dcterms:W3CDTF">2021-01-14T17:53:00Z</dcterms:created>
  <dcterms:modified xsi:type="dcterms:W3CDTF">2021-02-04T02:47:00Z</dcterms:modified>
</cp:coreProperties>
</file>