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35F" w:rsidRPr="003A7660" w:rsidRDefault="0022735F" w:rsidP="00384F14">
      <w:pPr>
        <w:widowControl w:val="0"/>
        <w:snapToGrid w:val="0"/>
        <w:spacing w:line="360" w:lineRule="auto"/>
        <w:jc w:val="both"/>
        <w:rPr>
          <w:rFonts w:ascii="Book Antiqua" w:eastAsia="宋体" w:hAnsi="Book Antiqua"/>
          <w:b/>
          <w:lang w:val="en-US" w:eastAsia="zh-CN"/>
        </w:rPr>
      </w:pPr>
      <w:r w:rsidRPr="003A7660">
        <w:rPr>
          <w:rFonts w:ascii="Book Antiqua" w:eastAsia="宋体" w:hAnsi="Book Antiqua"/>
          <w:b/>
          <w:lang w:val="en-US" w:eastAsia="zh-CN"/>
        </w:rPr>
        <w:t xml:space="preserve">Name of </w:t>
      </w:r>
      <w:r w:rsidR="00704B02" w:rsidRPr="003A7660">
        <w:rPr>
          <w:rFonts w:ascii="Book Antiqua" w:eastAsia="宋体" w:hAnsi="Book Antiqua"/>
          <w:b/>
          <w:lang w:val="en-US" w:eastAsia="zh-CN"/>
        </w:rPr>
        <w:t>J</w:t>
      </w:r>
      <w:r w:rsidRPr="003A7660">
        <w:rPr>
          <w:rFonts w:ascii="Book Antiqua" w:eastAsia="宋体" w:hAnsi="Book Antiqua"/>
          <w:b/>
          <w:lang w:val="en-US" w:eastAsia="zh-CN"/>
        </w:rPr>
        <w:t xml:space="preserve">ournal: </w:t>
      </w:r>
      <w:r w:rsidRPr="003A7660">
        <w:rPr>
          <w:rFonts w:ascii="Book Antiqua" w:hAnsi="Book Antiqua"/>
          <w:i/>
          <w:lang w:val="en-US"/>
        </w:rPr>
        <w:t>World Journal of Gastrointestinal Oncology</w:t>
      </w:r>
    </w:p>
    <w:p w:rsidR="0022735F" w:rsidRPr="003A7660" w:rsidRDefault="0022735F" w:rsidP="00384F14">
      <w:pPr>
        <w:widowControl w:val="0"/>
        <w:snapToGrid w:val="0"/>
        <w:spacing w:line="360" w:lineRule="auto"/>
        <w:jc w:val="both"/>
        <w:rPr>
          <w:rFonts w:ascii="Book Antiqua" w:eastAsia="宋体" w:hAnsi="Book Antiqua"/>
          <w:b/>
          <w:lang w:val="en-US" w:eastAsia="zh-CN"/>
        </w:rPr>
      </w:pPr>
      <w:r w:rsidRPr="003A7660">
        <w:rPr>
          <w:rFonts w:ascii="Book Antiqua" w:eastAsia="宋体" w:hAnsi="Book Antiqua"/>
          <w:b/>
          <w:lang w:val="en-US" w:eastAsia="zh-CN"/>
        </w:rPr>
        <w:t xml:space="preserve">Manuscript NO: </w:t>
      </w:r>
      <w:r w:rsidRPr="003A7660">
        <w:rPr>
          <w:rFonts w:ascii="Book Antiqua" w:eastAsia="宋体" w:hAnsi="Book Antiqua"/>
          <w:lang w:val="en-US" w:eastAsia="zh-CN"/>
        </w:rPr>
        <w:t>42297</w:t>
      </w:r>
    </w:p>
    <w:p w:rsidR="0022735F" w:rsidRPr="003A7660" w:rsidRDefault="0022735F" w:rsidP="00384F14">
      <w:pPr>
        <w:widowControl w:val="0"/>
        <w:snapToGrid w:val="0"/>
        <w:spacing w:line="360" w:lineRule="auto"/>
        <w:jc w:val="both"/>
        <w:rPr>
          <w:rFonts w:ascii="Book Antiqua" w:eastAsia="宋体" w:hAnsi="Book Antiqua"/>
          <w:b/>
          <w:lang w:val="en-US" w:eastAsia="zh-CN"/>
        </w:rPr>
      </w:pPr>
      <w:bookmarkStart w:id="0" w:name="OLE_LINK3"/>
      <w:bookmarkStart w:id="1" w:name="OLE_LINK4"/>
      <w:r w:rsidRPr="003A7660">
        <w:rPr>
          <w:rFonts w:ascii="Book Antiqua" w:hAnsi="Book Antiqua"/>
          <w:b/>
          <w:color w:val="000000"/>
          <w:shd w:val="clear" w:color="auto" w:fill="FFFFFF"/>
          <w:lang w:val="en-US"/>
        </w:rPr>
        <w:t>Manuscript Type</w:t>
      </w:r>
      <w:r w:rsidRPr="003A7660">
        <w:rPr>
          <w:rFonts w:ascii="Book Antiqua" w:hAnsi="Book Antiqua"/>
          <w:b/>
          <w:color w:val="000000"/>
          <w:lang w:val="en-US"/>
        </w:rPr>
        <w:t>:</w:t>
      </w:r>
      <w:bookmarkEnd w:id="0"/>
      <w:bookmarkEnd w:id="1"/>
      <w:r w:rsidRPr="003A7660">
        <w:rPr>
          <w:rFonts w:ascii="Book Antiqua" w:eastAsia="宋体" w:hAnsi="Book Antiqua"/>
          <w:b/>
          <w:lang w:val="en-US" w:eastAsia="zh-CN"/>
        </w:rPr>
        <w:t xml:space="preserve"> </w:t>
      </w:r>
      <w:r w:rsidRPr="003A7660">
        <w:rPr>
          <w:rFonts w:ascii="Book Antiqua" w:eastAsia="宋体" w:hAnsi="Book Antiqua"/>
          <w:lang w:val="en-US" w:eastAsia="zh-CN"/>
        </w:rPr>
        <w:t>ORIGINAL ARTICLE</w:t>
      </w:r>
    </w:p>
    <w:p w:rsidR="0022735F" w:rsidRPr="003A7660" w:rsidRDefault="0022735F" w:rsidP="00384F14">
      <w:pPr>
        <w:snapToGrid w:val="0"/>
        <w:spacing w:line="360" w:lineRule="auto"/>
        <w:jc w:val="both"/>
        <w:rPr>
          <w:rStyle w:val="normaltextrun"/>
          <w:rFonts w:ascii="Book Antiqua" w:eastAsia="宋体" w:hAnsi="Book Antiqua"/>
          <w:b/>
          <w:shd w:val="clear" w:color="auto" w:fill="FFFFFF"/>
          <w:lang w:val="en-US" w:eastAsia="zh-CN"/>
        </w:rPr>
      </w:pPr>
    </w:p>
    <w:p w:rsidR="000167D9" w:rsidRPr="003A7660" w:rsidRDefault="0022735F" w:rsidP="00384F14">
      <w:pPr>
        <w:snapToGrid w:val="0"/>
        <w:spacing w:line="360" w:lineRule="auto"/>
        <w:jc w:val="both"/>
        <w:rPr>
          <w:rFonts w:ascii="Book Antiqua" w:hAnsi="Book Antiqua"/>
          <w:b/>
          <w:i/>
          <w:lang w:val="en-US"/>
        </w:rPr>
      </w:pPr>
      <w:r w:rsidRPr="003A7660">
        <w:rPr>
          <w:rFonts w:ascii="Book Antiqua" w:eastAsia="宋体" w:hAnsi="Book Antiqua"/>
          <w:b/>
          <w:i/>
          <w:lang w:val="en-US" w:eastAsia="zh-CN"/>
        </w:rPr>
        <w:t>Retrospective Cohort Study</w:t>
      </w:r>
    </w:p>
    <w:p w:rsidR="00781E91" w:rsidRPr="003A7660" w:rsidRDefault="00781E91" w:rsidP="00384F14">
      <w:pPr>
        <w:snapToGrid w:val="0"/>
        <w:spacing w:line="360" w:lineRule="auto"/>
        <w:jc w:val="both"/>
        <w:rPr>
          <w:rFonts w:ascii="Book Antiqua" w:eastAsia="宋体" w:hAnsi="Book Antiqua"/>
          <w:b/>
          <w:lang w:val="en-US" w:eastAsia="zh-CN"/>
        </w:rPr>
      </w:pPr>
      <w:bookmarkStart w:id="2" w:name="OLE_LINK112"/>
      <w:bookmarkStart w:id="3" w:name="OLE_LINK113"/>
      <w:r w:rsidRPr="003A7660">
        <w:rPr>
          <w:rFonts w:ascii="Book Antiqua" w:hAnsi="Book Antiqua"/>
          <w:b/>
          <w:bCs/>
          <w:lang w:val="en-US"/>
        </w:rPr>
        <w:t xml:space="preserve">Predictive factors of histological response </w:t>
      </w:r>
      <w:r w:rsidR="00F5664A" w:rsidRPr="003A7660">
        <w:rPr>
          <w:rFonts w:ascii="Book Antiqua" w:hAnsi="Book Antiqua"/>
          <w:b/>
          <w:bCs/>
          <w:lang w:val="en-US"/>
        </w:rPr>
        <w:t>of</w:t>
      </w:r>
      <w:r w:rsidRPr="003A7660">
        <w:rPr>
          <w:rFonts w:ascii="Book Antiqua" w:hAnsi="Book Antiqua"/>
          <w:b/>
          <w:bCs/>
          <w:lang w:val="en-US"/>
        </w:rPr>
        <w:t xml:space="preserve"> colorectal liver metastases</w:t>
      </w:r>
      <w:r w:rsidR="0022735F" w:rsidRPr="003A7660">
        <w:rPr>
          <w:rFonts w:ascii="Book Antiqua" w:hAnsi="Book Antiqua"/>
          <w:b/>
          <w:bCs/>
          <w:lang w:val="en-US"/>
        </w:rPr>
        <w:t xml:space="preserve"> after neoadjuvant chemotherapy</w:t>
      </w:r>
    </w:p>
    <w:bookmarkEnd w:id="2"/>
    <w:bookmarkEnd w:id="3"/>
    <w:p w:rsidR="008C47F8" w:rsidRPr="003A7660" w:rsidRDefault="008C47F8" w:rsidP="00384F14">
      <w:pPr>
        <w:snapToGrid w:val="0"/>
        <w:spacing w:line="360" w:lineRule="auto"/>
        <w:jc w:val="both"/>
        <w:rPr>
          <w:rFonts w:ascii="Book Antiqua" w:eastAsia="宋体" w:hAnsi="Book Antiqua"/>
          <w:lang w:val="en-US" w:eastAsia="zh-CN"/>
        </w:rPr>
      </w:pPr>
    </w:p>
    <w:p w:rsidR="008C47F8" w:rsidRPr="003A7660" w:rsidRDefault="0022735F" w:rsidP="00384F14">
      <w:pPr>
        <w:snapToGrid w:val="0"/>
        <w:spacing w:line="360" w:lineRule="auto"/>
        <w:jc w:val="both"/>
        <w:rPr>
          <w:rFonts w:ascii="Book Antiqua" w:eastAsia="宋体" w:hAnsi="Book Antiqua"/>
          <w:lang w:val="en-US" w:eastAsia="zh-CN"/>
        </w:rPr>
      </w:pPr>
      <w:r w:rsidRPr="003A7660">
        <w:rPr>
          <w:rFonts w:ascii="Book Antiqua" w:hAnsi="Book Antiqua"/>
          <w:lang w:val="en-US"/>
        </w:rPr>
        <w:t>Serayssol</w:t>
      </w:r>
      <w:r w:rsidRPr="003A7660">
        <w:rPr>
          <w:rFonts w:ascii="Book Antiqua" w:hAnsi="Book Antiqua"/>
          <w:color w:val="000000"/>
          <w:lang w:val="en-US"/>
        </w:rPr>
        <w:t xml:space="preserve"> </w:t>
      </w:r>
      <w:r w:rsidRPr="003A7660">
        <w:rPr>
          <w:rFonts w:ascii="Book Antiqua" w:eastAsia="宋体" w:hAnsi="Book Antiqua"/>
          <w:color w:val="000000"/>
          <w:lang w:val="en-US" w:eastAsia="zh-CN"/>
        </w:rPr>
        <w:t xml:space="preserve">C </w:t>
      </w:r>
      <w:r w:rsidRPr="003A7660">
        <w:rPr>
          <w:rFonts w:ascii="Book Antiqua" w:eastAsia="宋体" w:hAnsi="Book Antiqua"/>
          <w:i/>
          <w:color w:val="000000"/>
          <w:lang w:val="en-US" w:eastAsia="zh-CN"/>
        </w:rPr>
        <w:t>et al</w:t>
      </w:r>
      <w:r w:rsidRPr="003A7660">
        <w:rPr>
          <w:rFonts w:ascii="Book Antiqua" w:eastAsia="宋体" w:hAnsi="Book Antiqua"/>
          <w:color w:val="000000"/>
          <w:lang w:val="en-US" w:eastAsia="zh-CN"/>
        </w:rPr>
        <w:t xml:space="preserve">. </w:t>
      </w:r>
      <w:bookmarkStart w:id="4" w:name="OLE_LINK114"/>
      <w:bookmarkStart w:id="5" w:name="OLE_LINK115"/>
      <w:r w:rsidR="008C47F8" w:rsidRPr="003A7660">
        <w:rPr>
          <w:rFonts w:ascii="Book Antiqua" w:hAnsi="Book Antiqua"/>
          <w:color w:val="000000"/>
          <w:lang w:val="en-US"/>
        </w:rPr>
        <w:t>Histological</w:t>
      </w:r>
      <w:r w:rsidR="008C47F8" w:rsidRPr="003A7660">
        <w:rPr>
          <w:rFonts w:ascii="Book Antiqua" w:hAnsi="Book Antiqua"/>
          <w:lang w:val="en-US"/>
        </w:rPr>
        <w:t xml:space="preserve"> TRG and liver metastases</w:t>
      </w:r>
      <w:bookmarkEnd w:id="4"/>
      <w:bookmarkEnd w:id="5"/>
    </w:p>
    <w:p w:rsidR="00BC5E8B" w:rsidRPr="003A7660" w:rsidRDefault="00BC5E8B" w:rsidP="00384F14">
      <w:pPr>
        <w:snapToGrid w:val="0"/>
        <w:spacing w:line="360" w:lineRule="auto"/>
        <w:jc w:val="both"/>
        <w:rPr>
          <w:rFonts w:ascii="Book Antiqua" w:hAnsi="Book Antiqua"/>
          <w:iCs/>
          <w:lang w:val="en-US"/>
        </w:rPr>
      </w:pPr>
    </w:p>
    <w:p w:rsidR="000167D9" w:rsidRPr="003A7660" w:rsidRDefault="000167D9" w:rsidP="00384F14">
      <w:pPr>
        <w:snapToGrid w:val="0"/>
        <w:spacing w:line="360" w:lineRule="auto"/>
        <w:jc w:val="both"/>
        <w:rPr>
          <w:rFonts w:ascii="Book Antiqua" w:hAnsi="Book Antiqua"/>
          <w:b/>
          <w:lang w:val="en-US"/>
        </w:rPr>
      </w:pPr>
      <w:r w:rsidRPr="003A7660">
        <w:rPr>
          <w:rFonts w:ascii="Book Antiqua" w:hAnsi="Book Antiqua"/>
          <w:b/>
          <w:lang w:val="en-US"/>
        </w:rPr>
        <w:t xml:space="preserve">Chloé </w:t>
      </w:r>
      <w:r w:rsidR="0022735F" w:rsidRPr="003A7660">
        <w:rPr>
          <w:rFonts w:ascii="Book Antiqua" w:hAnsi="Book Antiqua"/>
          <w:b/>
          <w:lang w:val="en-US"/>
        </w:rPr>
        <w:t>Serayssol</w:t>
      </w:r>
      <w:r w:rsidRPr="003A7660">
        <w:rPr>
          <w:rFonts w:ascii="Book Antiqua" w:hAnsi="Book Antiqua"/>
          <w:b/>
          <w:lang w:val="en-US"/>
        </w:rPr>
        <w:t xml:space="preserve">, Charlotte </w:t>
      </w:r>
      <w:r w:rsidR="0022735F" w:rsidRPr="003A7660">
        <w:rPr>
          <w:rFonts w:ascii="Book Antiqua" w:hAnsi="Book Antiqua"/>
          <w:b/>
          <w:lang w:val="en-US"/>
        </w:rPr>
        <w:t>Maulat</w:t>
      </w:r>
      <w:r w:rsidRPr="003A7660">
        <w:rPr>
          <w:rFonts w:ascii="Book Antiqua" w:hAnsi="Book Antiqua"/>
          <w:b/>
          <w:lang w:val="en-US"/>
        </w:rPr>
        <w:t xml:space="preserve">, Florence </w:t>
      </w:r>
      <w:r w:rsidR="0022735F" w:rsidRPr="003A7660">
        <w:rPr>
          <w:rFonts w:ascii="Book Antiqua" w:hAnsi="Book Antiqua"/>
          <w:b/>
          <w:lang w:val="en-US"/>
        </w:rPr>
        <w:t>Breibach</w:t>
      </w:r>
      <w:r w:rsidRPr="003A7660">
        <w:rPr>
          <w:rFonts w:ascii="Book Antiqua" w:hAnsi="Book Antiqua"/>
          <w:b/>
          <w:lang w:val="en-US"/>
        </w:rPr>
        <w:t xml:space="preserve">, Fatima-Zohra </w:t>
      </w:r>
      <w:r w:rsidR="0022735F" w:rsidRPr="003A7660">
        <w:rPr>
          <w:rFonts w:ascii="Book Antiqua" w:hAnsi="Book Antiqua"/>
          <w:b/>
          <w:lang w:val="en-US"/>
        </w:rPr>
        <w:t>Mokrane</w:t>
      </w:r>
      <w:r w:rsidRPr="003A7660">
        <w:rPr>
          <w:rFonts w:ascii="Book Antiqua" w:hAnsi="Book Antiqua"/>
          <w:b/>
          <w:lang w:val="en-US"/>
        </w:rPr>
        <w:t xml:space="preserve">, Janick </w:t>
      </w:r>
      <w:r w:rsidR="0022735F" w:rsidRPr="003A7660">
        <w:rPr>
          <w:rFonts w:ascii="Book Antiqua" w:hAnsi="Book Antiqua"/>
          <w:b/>
          <w:lang w:val="en-US"/>
        </w:rPr>
        <w:t>Selves</w:t>
      </w:r>
      <w:r w:rsidRPr="003A7660">
        <w:rPr>
          <w:rFonts w:ascii="Book Antiqua" w:hAnsi="Book Antiqua"/>
          <w:b/>
          <w:lang w:val="en-US"/>
        </w:rPr>
        <w:t xml:space="preserve">, Rosine </w:t>
      </w:r>
      <w:r w:rsidR="0022735F" w:rsidRPr="003A7660">
        <w:rPr>
          <w:rFonts w:ascii="Book Antiqua" w:hAnsi="Book Antiqua"/>
          <w:b/>
          <w:lang w:val="en-US"/>
        </w:rPr>
        <w:t>Guimbaud</w:t>
      </w:r>
      <w:r w:rsidRPr="003A7660">
        <w:rPr>
          <w:rFonts w:ascii="Book Antiqua" w:hAnsi="Book Antiqua"/>
          <w:b/>
          <w:lang w:val="en-US"/>
        </w:rPr>
        <w:t xml:space="preserve">, Philippe </w:t>
      </w:r>
      <w:r w:rsidR="0022735F" w:rsidRPr="003A7660">
        <w:rPr>
          <w:rFonts w:ascii="Book Antiqua" w:hAnsi="Book Antiqua"/>
          <w:b/>
          <w:lang w:val="en-US"/>
        </w:rPr>
        <w:t>Otal</w:t>
      </w:r>
      <w:r w:rsidRPr="003A7660">
        <w:rPr>
          <w:rFonts w:ascii="Book Antiqua" w:hAnsi="Book Antiqua"/>
          <w:b/>
          <w:lang w:val="en-US"/>
        </w:rPr>
        <w:t xml:space="preserve">, Bertrand </w:t>
      </w:r>
      <w:r w:rsidR="0022735F" w:rsidRPr="003A7660">
        <w:rPr>
          <w:rFonts w:ascii="Book Antiqua" w:hAnsi="Book Antiqua"/>
          <w:b/>
          <w:lang w:val="en-US"/>
        </w:rPr>
        <w:t>Suc</w:t>
      </w:r>
      <w:r w:rsidRPr="003A7660">
        <w:rPr>
          <w:rFonts w:ascii="Book Antiqua" w:hAnsi="Book Antiqua"/>
          <w:b/>
          <w:lang w:val="en-US"/>
        </w:rPr>
        <w:t xml:space="preserve">, Emilie </w:t>
      </w:r>
      <w:r w:rsidR="0022735F" w:rsidRPr="003A7660">
        <w:rPr>
          <w:rFonts w:ascii="Book Antiqua" w:hAnsi="Book Antiqua"/>
          <w:b/>
          <w:lang w:val="en-US"/>
        </w:rPr>
        <w:t>Berard</w:t>
      </w:r>
      <w:r w:rsidR="0022735F" w:rsidRPr="003A7660">
        <w:rPr>
          <w:rFonts w:ascii="Book Antiqua" w:eastAsia="宋体" w:hAnsi="Book Antiqua"/>
          <w:b/>
          <w:lang w:val="en-US" w:eastAsia="zh-CN"/>
        </w:rPr>
        <w:t>,</w:t>
      </w:r>
      <w:r w:rsidRPr="003A7660">
        <w:rPr>
          <w:rFonts w:ascii="Book Antiqua" w:hAnsi="Book Antiqua"/>
          <w:b/>
          <w:lang w:val="en-US"/>
        </w:rPr>
        <w:t xml:space="preserve"> Fabrice</w:t>
      </w:r>
      <w:r w:rsidR="0022735F" w:rsidRPr="003A7660">
        <w:rPr>
          <w:rFonts w:ascii="Book Antiqua" w:hAnsi="Book Antiqua"/>
          <w:b/>
          <w:lang w:val="en-US"/>
        </w:rPr>
        <w:t xml:space="preserve"> Muscari </w:t>
      </w:r>
    </w:p>
    <w:p w:rsidR="000167D9" w:rsidRPr="003A7660" w:rsidRDefault="000167D9" w:rsidP="00384F14">
      <w:pPr>
        <w:snapToGrid w:val="0"/>
        <w:spacing w:line="360" w:lineRule="auto"/>
        <w:jc w:val="both"/>
        <w:rPr>
          <w:rFonts w:ascii="Book Antiqua" w:hAnsi="Book Antiqua"/>
          <w:lang w:val="en-US"/>
        </w:rPr>
      </w:pPr>
    </w:p>
    <w:p w:rsidR="000167D9" w:rsidRPr="003A7660" w:rsidRDefault="000167D9" w:rsidP="00384F14">
      <w:pPr>
        <w:snapToGrid w:val="0"/>
        <w:spacing w:line="360" w:lineRule="auto"/>
        <w:jc w:val="both"/>
        <w:rPr>
          <w:rStyle w:val="normaltextrun"/>
          <w:rFonts w:ascii="Book Antiqua" w:eastAsia="宋体" w:hAnsi="Book Antiqua"/>
          <w:lang w:val="en-US" w:eastAsia="zh-CN"/>
        </w:rPr>
      </w:pPr>
      <w:r w:rsidRPr="003A7660">
        <w:rPr>
          <w:rFonts w:ascii="Book Antiqua" w:hAnsi="Book Antiqua"/>
          <w:b/>
          <w:lang w:val="en-US"/>
        </w:rPr>
        <w:t xml:space="preserve">Chloé </w:t>
      </w:r>
      <w:r w:rsidR="006063F2" w:rsidRPr="003A7660">
        <w:rPr>
          <w:rFonts w:ascii="Book Antiqua" w:hAnsi="Book Antiqua"/>
          <w:b/>
          <w:lang w:val="en-US"/>
        </w:rPr>
        <w:t>Serayssol</w:t>
      </w:r>
      <w:r w:rsidRPr="003A7660">
        <w:rPr>
          <w:rFonts w:ascii="Book Antiqua" w:hAnsi="Book Antiqua"/>
          <w:b/>
          <w:lang w:val="en-US"/>
        </w:rPr>
        <w:t xml:space="preserve">, </w:t>
      </w:r>
      <w:r w:rsidRPr="003A7660">
        <w:rPr>
          <w:rFonts w:ascii="Book Antiqua" w:hAnsi="Book Antiqua"/>
          <w:b/>
          <w:caps/>
          <w:lang w:val="en-US"/>
        </w:rPr>
        <w:t>C</w:t>
      </w:r>
      <w:r w:rsidRPr="003A7660">
        <w:rPr>
          <w:rFonts w:ascii="Book Antiqua" w:hAnsi="Book Antiqua"/>
          <w:b/>
          <w:lang w:val="en-US"/>
        </w:rPr>
        <w:t xml:space="preserve">harlotte </w:t>
      </w:r>
      <w:r w:rsidR="006063F2" w:rsidRPr="003A7660">
        <w:rPr>
          <w:rFonts w:ascii="Book Antiqua" w:hAnsi="Book Antiqua"/>
          <w:b/>
          <w:lang w:val="en-US"/>
        </w:rPr>
        <w:t>Maulat</w:t>
      </w:r>
      <w:r w:rsidRPr="003A7660">
        <w:rPr>
          <w:rFonts w:ascii="Book Antiqua" w:hAnsi="Book Antiqua"/>
          <w:b/>
          <w:lang w:val="en-US"/>
        </w:rPr>
        <w:t xml:space="preserve">, Bertrand </w:t>
      </w:r>
      <w:r w:rsidR="006063F2" w:rsidRPr="003A7660">
        <w:rPr>
          <w:rFonts w:ascii="Book Antiqua" w:hAnsi="Book Antiqua"/>
          <w:b/>
          <w:lang w:val="en-US"/>
        </w:rPr>
        <w:t>Suc</w:t>
      </w:r>
      <w:r w:rsidR="008C47F8" w:rsidRPr="003A7660">
        <w:rPr>
          <w:rFonts w:ascii="Book Antiqua" w:hAnsi="Book Antiqua"/>
          <w:b/>
          <w:lang w:val="en-US"/>
        </w:rPr>
        <w:t xml:space="preserve">, </w:t>
      </w:r>
      <w:r w:rsidRPr="003A7660">
        <w:rPr>
          <w:rFonts w:ascii="Book Antiqua" w:hAnsi="Book Antiqua"/>
          <w:b/>
          <w:lang w:val="en-US"/>
        </w:rPr>
        <w:t xml:space="preserve">Fabrice </w:t>
      </w:r>
      <w:r w:rsidR="006063F2" w:rsidRPr="003A7660">
        <w:rPr>
          <w:rFonts w:ascii="Book Antiqua" w:hAnsi="Book Antiqua"/>
          <w:b/>
          <w:lang w:val="en-US"/>
        </w:rPr>
        <w:t>Muscari</w:t>
      </w:r>
      <w:r w:rsidR="008C47F8" w:rsidRPr="003A7660">
        <w:rPr>
          <w:rFonts w:ascii="Book Antiqua" w:hAnsi="Book Antiqua"/>
          <w:b/>
          <w:lang w:val="en-US"/>
        </w:rPr>
        <w:t>,</w:t>
      </w:r>
      <w:r w:rsidRPr="003A7660">
        <w:rPr>
          <w:rFonts w:ascii="Book Antiqua" w:hAnsi="Book Antiqua"/>
          <w:lang w:val="en-US"/>
        </w:rPr>
        <w:t xml:space="preserve"> </w:t>
      </w:r>
      <w:r w:rsidR="00704B02" w:rsidRPr="003A7660">
        <w:rPr>
          <w:rFonts w:ascii="Book Antiqua" w:hAnsi="Book Antiqua"/>
          <w:lang w:val="en-US"/>
        </w:rPr>
        <w:t xml:space="preserve">Department of </w:t>
      </w:r>
      <w:r w:rsidRPr="003A7660">
        <w:rPr>
          <w:rFonts w:ascii="Book Antiqua" w:hAnsi="Book Antiqua"/>
          <w:lang w:val="en-US"/>
        </w:rPr>
        <w:t>Digestive Surgery and Liver Transplantation,</w:t>
      </w:r>
      <w:r w:rsidRPr="003A7660">
        <w:rPr>
          <w:rStyle w:val="normaltextrun"/>
          <w:rFonts w:ascii="Book Antiqua" w:hAnsi="Book Antiqua"/>
          <w:lang w:val="en-US"/>
        </w:rPr>
        <w:t xml:space="preserve"> Toulouse-Rangueil University Hospital, Toulouse </w:t>
      </w:r>
      <w:r w:rsidR="006063F2" w:rsidRPr="003A7660">
        <w:rPr>
          <w:rStyle w:val="normaltextrun"/>
          <w:rFonts w:ascii="Book Antiqua" w:hAnsi="Book Antiqua"/>
          <w:lang w:val="en-US"/>
        </w:rPr>
        <w:t>31059, France</w:t>
      </w:r>
    </w:p>
    <w:p w:rsidR="000167D9" w:rsidRPr="003A7660" w:rsidRDefault="000167D9" w:rsidP="00384F14">
      <w:pPr>
        <w:snapToGrid w:val="0"/>
        <w:spacing w:line="360" w:lineRule="auto"/>
        <w:jc w:val="both"/>
        <w:rPr>
          <w:rStyle w:val="normaltextrun"/>
          <w:rFonts w:ascii="Book Antiqua" w:hAnsi="Book Antiqua"/>
          <w:lang w:val="en-US"/>
        </w:rPr>
      </w:pPr>
    </w:p>
    <w:p w:rsidR="000167D9" w:rsidRPr="003A7660" w:rsidRDefault="000167D9" w:rsidP="00384F14">
      <w:pPr>
        <w:snapToGrid w:val="0"/>
        <w:spacing w:line="360" w:lineRule="auto"/>
        <w:jc w:val="both"/>
        <w:rPr>
          <w:rStyle w:val="normaltextrun"/>
          <w:rFonts w:ascii="Book Antiqua" w:eastAsia="宋体" w:hAnsi="Book Antiqua"/>
          <w:lang w:val="en-US" w:eastAsia="zh-CN"/>
        </w:rPr>
      </w:pPr>
      <w:r w:rsidRPr="003A7660">
        <w:rPr>
          <w:rFonts w:ascii="Book Antiqua" w:hAnsi="Book Antiqua"/>
          <w:b/>
          <w:lang w:val="en-US"/>
        </w:rPr>
        <w:t xml:space="preserve">Florence </w:t>
      </w:r>
      <w:r w:rsidR="00704B02" w:rsidRPr="003A7660">
        <w:rPr>
          <w:rFonts w:ascii="Book Antiqua" w:hAnsi="Book Antiqua"/>
          <w:b/>
          <w:lang w:val="en-US"/>
        </w:rPr>
        <w:t>Breibach</w:t>
      </w:r>
      <w:r w:rsidR="008C47F8" w:rsidRPr="003A7660">
        <w:rPr>
          <w:rFonts w:ascii="Book Antiqua" w:hAnsi="Book Antiqua"/>
          <w:b/>
          <w:lang w:val="en-US"/>
        </w:rPr>
        <w:t xml:space="preserve">, </w:t>
      </w:r>
      <w:r w:rsidRPr="003A7660">
        <w:rPr>
          <w:rFonts w:ascii="Book Antiqua" w:hAnsi="Book Antiqua"/>
          <w:b/>
          <w:lang w:val="en-US"/>
        </w:rPr>
        <w:t xml:space="preserve">Janick </w:t>
      </w:r>
      <w:r w:rsidR="00704B02" w:rsidRPr="003A7660">
        <w:rPr>
          <w:rFonts w:ascii="Book Antiqua" w:hAnsi="Book Antiqua"/>
          <w:b/>
          <w:lang w:val="en-US"/>
        </w:rPr>
        <w:t>Selves</w:t>
      </w:r>
      <w:r w:rsidR="008C47F8" w:rsidRPr="003A7660">
        <w:rPr>
          <w:rFonts w:ascii="Book Antiqua" w:hAnsi="Book Antiqua"/>
          <w:b/>
          <w:lang w:val="en-US"/>
        </w:rPr>
        <w:t>,</w:t>
      </w:r>
      <w:r w:rsidR="008C47F8" w:rsidRPr="003A7660">
        <w:rPr>
          <w:rFonts w:ascii="Book Antiqua" w:hAnsi="Book Antiqua"/>
          <w:lang w:val="en-US"/>
        </w:rPr>
        <w:t xml:space="preserve"> </w:t>
      </w:r>
      <w:r w:rsidRPr="003A7660">
        <w:rPr>
          <w:rFonts w:ascii="Book Antiqua" w:hAnsi="Book Antiqua"/>
          <w:lang w:val="en-US"/>
        </w:rPr>
        <w:t xml:space="preserve">Department of Pathology, </w:t>
      </w:r>
      <w:r w:rsidRPr="003A7660">
        <w:rPr>
          <w:rStyle w:val="normaltextrun"/>
          <w:rFonts w:ascii="Book Antiqua" w:hAnsi="Book Antiqua"/>
          <w:lang w:val="en-US"/>
        </w:rPr>
        <w:t xml:space="preserve">Toulouse University Hospital, Toulouse </w:t>
      </w:r>
      <w:r w:rsidR="00704B02" w:rsidRPr="003A7660">
        <w:rPr>
          <w:rStyle w:val="normaltextrun"/>
          <w:rFonts w:ascii="Book Antiqua" w:hAnsi="Book Antiqua"/>
          <w:lang w:val="en-US"/>
        </w:rPr>
        <w:t>31059, France</w:t>
      </w:r>
    </w:p>
    <w:p w:rsidR="000167D9" w:rsidRPr="003A7660" w:rsidRDefault="000167D9" w:rsidP="00384F14">
      <w:pPr>
        <w:snapToGrid w:val="0"/>
        <w:spacing w:line="360" w:lineRule="auto"/>
        <w:jc w:val="both"/>
        <w:rPr>
          <w:rStyle w:val="normaltextrun"/>
          <w:rFonts w:ascii="Book Antiqua" w:hAnsi="Book Antiqua"/>
          <w:lang w:val="en-US"/>
        </w:rPr>
      </w:pPr>
    </w:p>
    <w:p w:rsidR="000167D9" w:rsidRPr="003A7660" w:rsidRDefault="000167D9" w:rsidP="00384F14">
      <w:pPr>
        <w:snapToGrid w:val="0"/>
        <w:spacing w:line="360" w:lineRule="auto"/>
        <w:jc w:val="both"/>
        <w:rPr>
          <w:rStyle w:val="normaltextrun"/>
          <w:rFonts w:ascii="Book Antiqua" w:eastAsia="宋体" w:hAnsi="Book Antiqua"/>
          <w:lang w:val="en-US" w:eastAsia="zh-CN"/>
        </w:rPr>
      </w:pPr>
      <w:r w:rsidRPr="003A7660">
        <w:rPr>
          <w:rFonts w:ascii="Book Antiqua" w:hAnsi="Book Antiqua"/>
          <w:b/>
          <w:lang w:val="en-US"/>
        </w:rPr>
        <w:t xml:space="preserve">Rosine </w:t>
      </w:r>
      <w:r w:rsidR="00704B02" w:rsidRPr="003A7660">
        <w:rPr>
          <w:rFonts w:ascii="Book Antiqua" w:hAnsi="Book Antiqua"/>
          <w:b/>
          <w:lang w:val="en-US"/>
        </w:rPr>
        <w:t>Guimbaud</w:t>
      </w:r>
      <w:r w:rsidR="008C47F8" w:rsidRPr="003A7660">
        <w:rPr>
          <w:rStyle w:val="normaltextrun"/>
          <w:rFonts w:ascii="Book Antiqua" w:hAnsi="Book Antiqua"/>
          <w:b/>
          <w:lang w:val="en-US"/>
        </w:rPr>
        <w:t>,</w:t>
      </w:r>
      <w:r w:rsidRPr="003A7660">
        <w:rPr>
          <w:rStyle w:val="normaltextrun"/>
          <w:rFonts w:ascii="Book Antiqua" w:hAnsi="Book Antiqua"/>
          <w:lang w:val="en-US"/>
        </w:rPr>
        <w:t xml:space="preserve"> </w:t>
      </w:r>
      <w:r w:rsidRPr="003A7660">
        <w:rPr>
          <w:rFonts w:ascii="Book Antiqua" w:hAnsi="Book Antiqua"/>
          <w:lang w:val="en-US"/>
        </w:rPr>
        <w:t xml:space="preserve">Department of Oncology, </w:t>
      </w:r>
      <w:r w:rsidRPr="003A7660">
        <w:rPr>
          <w:rStyle w:val="normaltextrun"/>
          <w:rFonts w:ascii="Book Antiqua" w:hAnsi="Book Antiqua"/>
          <w:lang w:val="en-US"/>
        </w:rPr>
        <w:t xml:space="preserve">Toulouse-Rangueil University Hospital, Toulouse </w:t>
      </w:r>
      <w:r w:rsidR="00704B02" w:rsidRPr="003A7660">
        <w:rPr>
          <w:rStyle w:val="normaltextrun"/>
          <w:rFonts w:ascii="Book Antiqua" w:hAnsi="Book Antiqua"/>
          <w:lang w:val="en-US"/>
        </w:rPr>
        <w:t>31059, France</w:t>
      </w:r>
    </w:p>
    <w:p w:rsidR="000167D9" w:rsidRPr="003A7660" w:rsidRDefault="000167D9" w:rsidP="00384F14">
      <w:pPr>
        <w:snapToGrid w:val="0"/>
        <w:spacing w:line="360" w:lineRule="auto"/>
        <w:jc w:val="both"/>
        <w:rPr>
          <w:rStyle w:val="normaltextrun"/>
          <w:rFonts w:ascii="Book Antiqua" w:hAnsi="Book Antiqua"/>
          <w:lang w:val="en-US"/>
        </w:rPr>
      </w:pPr>
    </w:p>
    <w:p w:rsidR="000167D9" w:rsidRPr="003A7660" w:rsidRDefault="000167D9" w:rsidP="00384F14">
      <w:pPr>
        <w:snapToGrid w:val="0"/>
        <w:spacing w:line="360" w:lineRule="auto"/>
        <w:jc w:val="both"/>
        <w:rPr>
          <w:rStyle w:val="normaltextrun"/>
          <w:rFonts w:ascii="Book Antiqua" w:eastAsia="宋体" w:hAnsi="Book Antiqua"/>
          <w:lang w:val="en-US" w:eastAsia="zh-CN"/>
        </w:rPr>
      </w:pPr>
      <w:r w:rsidRPr="003A7660">
        <w:rPr>
          <w:rFonts w:ascii="Book Antiqua" w:hAnsi="Book Antiqua"/>
          <w:b/>
          <w:lang w:val="en-US"/>
        </w:rPr>
        <w:t xml:space="preserve">Fatima-Zohra </w:t>
      </w:r>
      <w:r w:rsidR="00704B02" w:rsidRPr="003A7660">
        <w:rPr>
          <w:rFonts w:ascii="Book Antiqua" w:hAnsi="Book Antiqua"/>
          <w:b/>
          <w:lang w:val="en-US"/>
        </w:rPr>
        <w:t>Mokrane</w:t>
      </w:r>
      <w:r w:rsidR="008C47F8" w:rsidRPr="003A7660">
        <w:rPr>
          <w:rFonts w:ascii="Book Antiqua" w:hAnsi="Book Antiqua"/>
          <w:b/>
          <w:lang w:val="en-US"/>
        </w:rPr>
        <w:t xml:space="preserve">, </w:t>
      </w:r>
      <w:r w:rsidRPr="003A7660">
        <w:rPr>
          <w:rStyle w:val="normaltextrun"/>
          <w:rFonts w:ascii="Book Antiqua" w:hAnsi="Book Antiqua"/>
          <w:b/>
          <w:lang w:val="en-US"/>
        </w:rPr>
        <w:t xml:space="preserve">Philippe </w:t>
      </w:r>
      <w:r w:rsidR="00704B02" w:rsidRPr="003A7660">
        <w:rPr>
          <w:rStyle w:val="normaltextrun"/>
          <w:rFonts w:ascii="Book Antiqua" w:hAnsi="Book Antiqua"/>
          <w:b/>
          <w:lang w:val="en-US"/>
        </w:rPr>
        <w:t>Otal</w:t>
      </w:r>
      <w:r w:rsidR="008C47F8" w:rsidRPr="003A7660">
        <w:rPr>
          <w:rStyle w:val="normaltextrun"/>
          <w:rFonts w:ascii="Book Antiqua" w:hAnsi="Book Antiqua"/>
          <w:b/>
          <w:lang w:val="en-US"/>
        </w:rPr>
        <w:t>,</w:t>
      </w:r>
      <w:r w:rsidRPr="003A7660">
        <w:rPr>
          <w:rStyle w:val="normaltextrun"/>
          <w:rFonts w:ascii="Book Antiqua" w:hAnsi="Book Antiqua"/>
          <w:lang w:val="en-US"/>
        </w:rPr>
        <w:t xml:space="preserve"> </w:t>
      </w:r>
      <w:r w:rsidRPr="003A7660">
        <w:rPr>
          <w:rFonts w:ascii="Book Antiqua" w:hAnsi="Book Antiqua"/>
          <w:lang w:val="en-US"/>
        </w:rPr>
        <w:t xml:space="preserve">Department of Radiology, </w:t>
      </w:r>
      <w:r w:rsidRPr="003A7660">
        <w:rPr>
          <w:rStyle w:val="normaltextrun"/>
          <w:rFonts w:ascii="Book Antiqua" w:hAnsi="Book Antiqua"/>
          <w:lang w:val="en-US"/>
        </w:rPr>
        <w:t xml:space="preserve">Toulouse-Rangueil University Hospital, Toulouse </w:t>
      </w:r>
      <w:r w:rsidR="00704B02" w:rsidRPr="003A7660">
        <w:rPr>
          <w:rStyle w:val="normaltextrun"/>
          <w:rFonts w:ascii="Book Antiqua" w:hAnsi="Book Antiqua"/>
          <w:lang w:val="en-US"/>
        </w:rPr>
        <w:t>31059, France</w:t>
      </w:r>
    </w:p>
    <w:p w:rsidR="000167D9" w:rsidRPr="003A7660" w:rsidRDefault="000167D9" w:rsidP="00384F14">
      <w:pPr>
        <w:snapToGrid w:val="0"/>
        <w:spacing w:line="360" w:lineRule="auto"/>
        <w:jc w:val="both"/>
        <w:rPr>
          <w:rStyle w:val="normaltextrun"/>
          <w:rFonts w:ascii="Book Antiqua" w:hAnsi="Book Antiqua"/>
          <w:lang w:val="en-US"/>
        </w:rPr>
      </w:pPr>
    </w:p>
    <w:p w:rsidR="000167D9" w:rsidRPr="003A7660" w:rsidRDefault="000167D9" w:rsidP="00384F14">
      <w:pPr>
        <w:snapToGrid w:val="0"/>
        <w:spacing w:line="360" w:lineRule="auto"/>
        <w:jc w:val="both"/>
        <w:rPr>
          <w:rStyle w:val="normaltextrun"/>
          <w:rFonts w:ascii="Book Antiqua" w:eastAsia="宋体" w:hAnsi="Book Antiqua"/>
          <w:lang w:val="en-US" w:eastAsia="zh-CN"/>
        </w:rPr>
      </w:pPr>
      <w:r w:rsidRPr="003A7660">
        <w:rPr>
          <w:rStyle w:val="normaltextrun"/>
          <w:rFonts w:ascii="Book Antiqua" w:hAnsi="Book Antiqua"/>
          <w:b/>
          <w:lang w:val="en-US"/>
        </w:rPr>
        <w:t xml:space="preserve">Emilie </w:t>
      </w:r>
      <w:r w:rsidR="00704B02" w:rsidRPr="003A7660">
        <w:rPr>
          <w:rStyle w:val="normaltextrun"/>
          <w:rFonts w:ascii="Book Antiqua" w:hAnsi="Book Antiqua"/>
          <w:b/>
          <w:lang w:val="en-US"/>
        </w:rPr>
        <w:t>Berard</w:t>
      </w:r>
      <w:r w:rsidR="008C47F8" w:rsidRPr="003A7660">
        <w:rPr>
          <w:rStyle w:val="normaltextrun"/>
          <w:rFonts w:ascii="Book Antiqua" w:hAnsi="Book Antiqua"/>
          <w:b/>
          <w:lang w:val="en-US"/>
        </w:rPr>
        <w:t>,</w:t>
      </w:r>
      <w:r w:rsidRPr="003A7660">
        <w:rPr>
          <w:rStyle w:val="normaltextrun"/>
          <w:rFonts w:ascii="Book Antiqua" w:hAnsi="Book Antiqua"/>
          <w:lang w:val="en-US"/>
        </w:rPr>
        <w:t xml:space="preserve"> </w:t>
      </w:r>
      <w:r w:rsidR="00384F14" w:rsidRPr="003A7660">
        <w:rPr>
          <w:rFonts w:ascii="Book Antiqua" w:hAnsi="Book Antiqua"/>
          <w:lang w:val="en-US"/>
        </w:rPr>
        <w:t>T</w:t>
      </w:r>
      <w:r w:rsidRPr="003A7660">
        <w:rPr>
          <w:rFonts w:ascii="Book Antiqua" w:hAnsi="Book Antiqua"/>
          <w:lang w:val="en-US"/>
        </w:rPr>
        <w:t xml:space="preserve">he Toulouse Research Methodology Support Unit, </w:t>
      </w:r>
      <w:r w:rsidRPr="003A7660">
        <w:rPr>
          <w:rStyle w:val="normaltextrun"/>
          <w:rFonts w:ascii="Book Antiqua" w:hAnsi="Book Antiqua"/>
          <w:lang w:val="en-US"/>
        </w:rPr>
        <w:t>Toulouse University Hospital, Toulouse</w:t>
      </w:r>
      <w:r w:rsidR="00704B02" w:rsidRPr="003A7660">
        <w:rPr>
          <w:rStyle w:val="normaltextrun"/>
          <w:rFonts w:ascii="Book Antiqua" w:eastAsia="宋体" w:hAnsi="Book Antiqua"/>
          <w:lang w:val="en-US" w:eastAsia="zh-CN"/>
        </w:rPr>
        <w:t xml:space="preserve"> </w:t>
      </w:r>
      <w:r w:rsidR="00704B02" w:rsidRPr="003A7660">
        <w:rPr>
          <w:rStyle w:val="normaltextrun"/>
          <w:rFonts w:ascii="Book Antiqua" w:hAnsi="Book Antiqua"/>
          <w:lang w:val="en-US"/>
        </w:rPr>
        <w:t>31000, France</w:t>
      </w:r>
    </w:p>
    <w:p w:rsidR="000167D9" w:rsidRPr="003A7660" w:rsidRDefault="000167D9" w:rsidP="00384F14">
      <w:pPr>
        <w:snapToGrid w:val="0"/>
        <w:spacing w:line="360" w:lineRule="auto"/>
        <w:jc w:val="both"/>
        <w:rPr>
          <w:rStyle w:val="normaltextrun"/>
          <w:rFonts w:ascii="Book Antiqua" w:hAnsi="Book Antiqua"/>
          <w:lang w:val="en-US"/>
        </w:rPr>
      </w:pPr>
    </w:p>
    <w:p w:rsidR="00704B02" w:rsidRPr="003A7660" w:rsidRDefault="00704B02" w:rsidP="00384F14">
      <w:pPr>
        <w:snapToGrid w:val="0"/>
        <w:spacing w:line="360" w:lineRule="auto"/>
        <w:jc w:val="both"/>
        <w:rPr>
          <w:rFonts w:ascii="Book Antiqua" w:hAnsi="Book Antiqua"/>
          <w:color w:val="000000"/>
          <w:lang w:val="en-US"/>
        </w:rPr>
      </w:pPr>
      <w:r w:rsidRPr="003A7660">
        <w:rPr>
          <w:rFonts w:ascii="Book Antiqua" w:hAnsi="Book Antiqua"/>
          <w:b/>
          <w:bCs/>
          <w:color w:val="333333"/>
          <w:shd w:val="clear" w:color="auto" w:fill="FFFFFF"/>
          <w:lang w:val="en-US"/>
        </w:rPr>
        <w:lastRenderedPageBreak/>
        <w:t>ORCID number</w:t>
      </w:r>
      <w:r w:rsidRPr="003A7660">
        <w:rPr>
          <w:rFonts w:ascii="Book Antiqua" w:hAnsi="Book Antiqua"/>
          <w:b/>
          <w:color w:val="000000"/>
          <w:lang w:val="en-US"/>
        </w:rPr>
        <w:t>:</w:t>
      </w:r>
      <w:r w:rsidRPr="003A7660">
        <w:rPr>
          <w:rFonts w:ascii="Book Antiqua" w:eastAsia="宋体" w:hAnsi="Book Antiqua"/>
          <w:b/>
          <w:color w:val="000000"/>
          <w:lang w:val="en-US" w:eastAsia="zh-CN"/>
        </w:rPr>
        <w:t xml:space="preserve"> </w:t>
      </w:r>
      <w:r w:rsidRPr="003A7660">
        <w:rPr>
          <w:rFonts w:ascii="Book Antiqua" w:hAnsi="Book Antiqua"/>
          <w:color w:val="000000"/>
          <w:lang w:val="en-US"/>
        </w:rPr>
        <w:t>Chloé Serayssol (</w:t>
      </w:r>
      <w:hyperlink r:id="rId9" w:history="1">
        <w:r w:rsidRPr="003A7660">
          <w:rPr>
            <w:rFonts w:ascii="Book Antiqua" w:hAnsi="Book Antiqua"/>
            <w:color w:val="000000"/>
            <w:lang w:val="en-US"/>
          </w:rPr>
          <w:t>0000-0001-9965-0908</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Charlotte Maulat (</w:t>
      </w:r>
      <w:hyperlink r:id="rId10" w:tgtFrame="_blank" w:history="1">
        <w:r w:rsidRPr="003A7660">
          <w:rPr>
            <w:rStyle w:val="ac"/>
            <w:rFonts w:ascii="Book Antiqua" w:eastAsia="Calibri" w:hAnsi="Book Antiqua"/>
            <w:color w:val="000000"/>
            <w:u w:val="none"/>
            <w:lang w:val="en-US"/>
          </w:rPr>
          <w:t>0000-0002-0384-6592</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Florence Breibach (</w:t>
      </w:r>
      <w:hyperlink r:id="rId11" w:history="1">
        <w:r w:rsidRPr="003A7660">
          <w:rPr>
            <w:rStyle w:val="ac"/>
            <w:rFonts w:ascii="Book Antiqua" w:eastAsia="Calibri" w:hAnsi="Book Antiqua"/>
            <w:color w:val="000000"/>
            <w:u w:val="none"/>
            <w:lang w:val="en-US"/>
          </w:rPr>
          <w:t>0000-0003-2800-5615</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Fatima-Zohra Mokrane (</w:t>
      </w:r>
      <w:hyperlink r:id="rId12" w:history="1">
        <w:r w:rsidRPr="003A7660">
          <w:rPr>
            <w:rStyle w:val="ac"/>
            <w:rFonts w:ascii="Book Antiqua" w:eastAsia="Calibri" w:hAnsi="Book Antiqua"/>
            <w:color w:val="000000"/>
            <w:u w:val="none"/>
            <w:lang w:val="en-US"/>
          </w:rPr>
          <w:t>0000-0003-1610-1474</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Janick Selves (</w:t>
      </w:r>
      <w:hyperlink r:id="rId13" w:history="1">
        <w:r w:rsidRPr="003A7660">
          <w:rPr>
            <w:rStyle w:val="ac"/>
            <w:rFonts w:ascii="Book Antiqua" w:eastAsia="Calibri" w:hAnsi="Book Antiqua"/>
            <w:color w:val="000000"/>
            <w:u w:val="none"/>
            <w:lang w:val="en-US"/>
          </w:rPr>
          <w:t>0000-0001-6122-7004</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Rosine Guimbaud (</w:t>
      </w:r>
      <w:hyperlink r:id="rId14" w:history="1">
        <w:r w:rsidRPr="003A7660">
          <w:rPr>
            <w:rStyle w:val="ac"/>
            <w:rFonts w:ascii="Book Antiqua" w:eastAsia="Calibri" w:hAnsi="Book Antiqua"/>
            <w:color w:val="000000"/>
            <w:u w:val="none"/>
            <w:lang w:val="en-US"/>
          </w:rPr>
          <w:t>0000-0002-8344-1762</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Philippe Otal (</w:t>
      </w:r>
      <w:hyperlink r:id="rId15" w:history="1">
        <w:r w:rsidRPr="003A7660">
          <w:rPr>
            <w:rStyle w:val="ac"/>
            <w:rFonts w:ascii="Book Antiqua" w:eastAsia="Calibri" w:hAnsi="Book Antiqua"/>
            <w:color w:val="000000"/>
            <w:u w:val="none"/>
            <w:lang w:val="en-US"/>
          </w:rPr>
          <w:t>0000-0002-3590-8014</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Bertrand Suc (</w:t>
      </w:r>
      <w:hyperlink r:id="rId16" w:history="1">
        <w:r w:rsidRPr="003A7660">
          <w:rPr>
            <w:rStyle w:val="ac"/>
            <w:rFonts w:ascii="Book Antiqua" w:eastAsia="Calibri" w:hAnsi="Book Antiqua"/>
            <w:color w:val="000000"/>
            <w:u w:val="none"/>
            <w:lang w:val="en-US"/>
          </w:rPr>
          <w:t>0000-0002-2292-1156</w:t>
        </w:r>
      </w:hyperlink>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Emilie Berard (</w:t>
      </w:r>
      <w:r w:rsidRPr="003A7660">
        <w:rPr>
          <w:rFonts w:ascii="Book Antiqua" w:hAnsi="Book Antiqua"/>
          <w:color w:val="000000"/>
          <w:shd w:val="clear" w:color="auto" w:fill="FFFFFF"/>
          <w:lang w:val="en-US"/>
        </w:rPr>
        <w:t>0000-0003-2451-5271</w:t>
      </w:r>
      <w:r w:rsidRPr="003A7660">
        <w:rPr>
          <w:rFonts w:ascii="Book Antiqua" w:hAnsi="Book Antiqua"/>
          <w:color w:val="000000"/>
          <w:lang w:val="en-US"/>
        </w:rPr>
        <w:t>)</w:t>
      </w:r>
      <w:r w:rsidRPr="003A7660">
        <w:rPr>
          <w:rFonts w:ascii="Book Antiqua" w:eastAsia="宋体" w:hAnsi="Book Antiqua"/>
          <w:color w:val="000000"/>
          <w:lang w:val="en-US" w:eastAsia="zh-CN"/>
        </w:rPr>
        <w:t>;</w:t>
      </w:r>
      <w:r w:rsidRPr="003A7660">
        <w:rPr>
          <w:rFonts w:ascii="Book Antiqua" w:hAnsi="Book Antiqua"/>
          <w:color w:val="000000"/>
          <w:lang w:val="en-US"/>
        </w:rPr>
        <w:t xml:space="preserve"> Fabrice Muscari (</w:t>
      </w:r>
      <w:hyperlink r:id="rId17" w:history="1">
        <w:r w:rsidRPr="003A7660">
          <w:rPr>
            <w:rStyle w:val="ac"/>
            <w:rFonts w:ascii="Book Antiqua" w:eastAsia="Calibri" w:hAnsi="Book Antiqua"/>
            <w:color w:val="000000"/>
            <w:u w:val="none"/>
            <w:lang w:val="en-US"/>
          </w:rPr>
          <w:t>0000-0001-6754-1686</w:t>
        </w:r>
      </w:hyperlink>
      <w:r w:rsidRPr="003A7660">
        <w:rPr>
          <w:rFonts w:ascii="Book Antiqua" w:hAnsi="Book Antiqua"/>
          <w:color w:val="000000"/>
          <w:lang w:val="en-US"/>
        </w:rPr>
        <w:t xml:space="preserve">). </w:t>
      </w:r>
    </w:p>
    <w:p w:rsidR="00704B02" w:rsidRPr="003A7660" w:rsidRDefault="00704B02" w:rsidP="00384F14">
      <w:pPr>
        <w:snapToGrid w:val="0"/>
        <w:spacing w:line="360" w:lineRule="auto"/>
        <w:jc w:val="both"/>
        <w:rPr>
          <w:rStyle w:val="normaltextrun"/>
          <w:rFonts w:ascii="Book Antiqua" w:eastAsia="宋体" w:hAnsi="Book Antiqua"/>
          <w:b/>
          <w:lang w:val="en-US" w:eastAsia="zh-CN"/>
        </w:rPr>
      </w:pPr>
    </w:p>
    <w:p w:rsidR="000167D9" w:rsidRPr="003A7660" w:rsidRDefault="00704B02" w:rsidP="00384F14">
      <w:pPr>
        <w:snapToGrid w:val="0"/>
        <w:spacing w:line="360" w:lineRule="auto"/>
        <w:jc w:val="both"/>
        <w:rPr>
          <w:rStyle w:val="normaltextrun"/>
          <w:rFonts w:ascii="Book Antiqua" w:hAnsi="Book Antiqua"/>
          <w:color w:val="000000"/>
          <w:lang w:val="en-US"/>
        </w:rPr>
      </w:pPr>
      <w:r w:rsidRPr="003A7660">
        <w:rPr>
          <w:rFonts w:ascii="Book Antiqua" w:hAnsi="Book Antiqua" w:cs="Arial"/>
          <w:b/>
          <w:lang w:val="en-US"/>
        </w:rPr>
        <w:t>Author contributions:</w:t>
      </w:r>
      <w:r w:rsidR="000167D9" w:rsidRPr="003A7660">
        <w:rPr>
          <w:rStyle w:val="normaltextrun"/>
          <w:rFonts w:ascii="Book Antiqua" w:hAnsi="Book Antiqua"/>
          <w:lang w:val="en-US"/>
        </w:rPr>
        <w:t xml:space="preserve"> </w:t>
      </w:r>
      <w:r w:rsidRPr="003A7660">
        <w:rPr>
          <w:rFonts w:ascii="Book Antiqua" w:hAnsi="Book Antiqua"/>
          <w:lang w:val="en-US"/>
        </w:rPr>
        <w:t>Serayssol</w:t>
      </w:r>
      <w:r w:rsidRPr="003A7660">
        <w:rPr>
          <w:rFonts w:ascii="Book Antiqua" w:eastAsia="宋体" w:hAnsi="Book Antiqua"/>
          <w:lang w:val="en-US" w:eastAsia="zh-CN"/>
        </w:rPr>
        <w:t xml:space="preserve"> C</w:t>
      </w:r>
      <w:r w:rsidR="000167D9" w:rsidRPr="003A7660">
        <w:rPr>
          <w:rFonts w:ascii="Book Antiqua" w:hAnsi="Book Antiqua"/>
          <w:lang w:val="en-US"/>
        </w:rPr>
        <w:t xml:space="preserve">, </w:t>
      </w:r>
      <w:r w:rsidRPr="003A7660">
        <w:rPr>
          <w:rFonts w:ascii="Book Antiqua" w:hAnsi="Book Antiqua"/>
          <w:lang w:val="en-US"/>
        </w:rPr>
        <w:t>Maulat</w:t>
      </w:r>
      <w:r w:rsidRPr="003A7660">
        <w:rPr>
          <w:rFonts w:ascii="Book Antiqua" w:eastAsia="宋体" w:hAnsi="Book Antiqua"/>
          <w:lang w:val="en-US" w:eastAsia="zh-CN"/>
        </w:rPr>
        <w:t xml:space="preserve"> C</w:t>
      </w:r>
      <w:r w:rsidR="000167D9" w:rsidRPr="003A7660">
        <w:rPr>
          <w:rFonts w:ascii="Book Antiqua" w:hAnsi="Book Antiqua"/>
          <w:lang w:val="en-US"/>
        </w:rPr>
        <w:t xml:space="preserve">, </w:t>
      </w:r>
      <w:r w:rsidRPr="003A7660">
        <w:rPr>
          <w:rFonts w:ascii="Book Antiqua" w:hAnsi="Book Antiqua"/>
          <w:lang w:val="en-US"/>
        </w:rPr>
        <w:t>Breibach</w:t>
      </w:r>
      <w:r w:rsidRPr="003A7660">
        <w:rPr>
          <w:rFonts w:ascii="Book Antiqua" w:eastAsia="宋体" w:hAnsi="Book Antiqua"/>
          <w:lang w:val="en-US" w:eastAsia="zh-CN"/>
        </w:rPr>
        <w:t xml:space="preserve"> F</w:t>
      </w:r>
      <w:r w:rsidR="000167D9" w:rsidRPr="003A7660">
        <w:rPr>
          <w:rFonts w:ascii="Book Antiqua" w:hAnsi="Book Antiqua"/>
          <w:lang w:val="en-US"/>
        </w:rPr>
        <w:t xml:space="preserve">, </w:t>
      </w:r>
      <w:r w:rsidRPr="003A7660">
        <w:rPr>
          <w:rFonts w:ascii="Book Antiqua" w:hAnsi="Book Antiqua"/>
          <w:lang w:val="en-US"/>
        </w:rPr>
        <w:t>Berard</w:t>
      </w:r>
      <w:r w:rsidR="000167D9" w:rsidRPr="003A7660">
        <w:rPr>
          <w:rFonts w:ascii="Book Antiqua" w:hAnsi="Book Antiqua"/>
          <w:lang w:val="en-US"/>
        </w:rPr>
        <w:t xml:space="preserve"> </w:t>
      </w:r>
      <w:r w:rsidRPr="003A7660">
        <w:rPr>
          <w:rFonts w:ascii="Book Antiqua" w:eastAsia="宋体" w:hAnsi="Book Antiqua"/>
          <w:lang w:val="en-US" w:eastAsia="zh-CN"/>
        </w:rPr>
        <w:t xml:space="preserve">E </w:t>
      </w:r>
      <w:r w:rsidR="000167D9" w:rsidRPr="003A7660">
        <w:rPr>
          <w:rFonts w:ascii="Book Antiqua" w:hAnsi="Book Antiqua"/>
          <w:lang w:val="en-US"/>
        </w:rPr>
        <w:t xml:space="preserve">and </w:t>
      </w:r>
      <w:r w:rsidRPr="003A7660">
        <w:rPr>
          <w:rFonts w:ascii="Book Antiqua" w:hAnsi="Book Antiqua"/>
          <w:lang w:val="en-US"/>
        </w:rPr>
        <w:t>Muscari</w:t>
      </w:r>
      <w:r w:rsidR="000167D9" w:rsidRPr="003A7660">
        <w:rPr>
          <w:rFonts w:ascii="Book Antiqua" w:hAnsi="Book Antiqua"/>
          <w:lang w:val="en-US"/>
        </w:rPr>
        <w:t xml:space="preserve"> </w:t>
      </w:r>
      <w:r w:rsidRPr="003A7660">
        <w:rPr>
          <w:rFonts w:ascii="Book Antiqua" w:eastAsia="宋体" w:hAnsi="Book Antiqua"/>
          <w:lang w:val="en-US" w:eastAsia="zh-CN"/>
        </w:rPr>
        <w:t xml:space="preserve">F </w:t>
      </w:r>
      <w:r w:rsidR="000167D9" w:rsidRPr="003A7660">
        <w:rPr>
          <w:rStyle w:val="normaltextrun"/>
          <w:rFonts w:ascii="Book Antiqua" w:hAnsi="Book Antiqua"/>
          <w:lang w:val="en-US"/>
        </w:rPr>
        <w:t>perform</w:t>
      </w:r>
      <w:r w:rsidRPr="003A7660">
        <w:rPr>
          <w:rStyle w:val="normaltextrun"/>
          <w:rFonts w:ascii="Book Antiqua" w:hAnsi="Book Antiqua"/>
          <w:lang w:val="en-US"/>
        </w:rPr>
        <w:t xml:space="preserve">ed </w:t>
      </w:r>
      <w:r w:rsidR="00384F14" w:rsidRPr="003A7660">
        <w:rPr>
          <w:rStyle w:val="normaltextrun"/>
          <w:rFonts w:ascii="Book Antiqua" w:hAnsi="Book Antiqua"/>
          <w:lang w:val="en-US"/>
        </w:rPr>
        <w:t xml:space="preserve">the </w:t>
      </w:r>
      <w:r w:rsidRPr="003A7660">
        <w:rPr>
          <w:rStyle w:val="normaltextrun"/>
          <w:rFonts w:ascii="Book Antiqua" w:hAnsi="Book Antiqua"/>
          <w:lang w:val="en-US"/>
        </w:rPr>
        <w:t>research and wrote the paper</w:t>
      </w:r>
      <w:r w:rsidRPr="003A7660">
        <w:rPr>
          <w:rStyle w:val="normaltextrun"/>
          <w:rFonts w:ascii="Book Antiqua" w:eastAsia="宋体" w:hAnsi="Book Antiqua"/>
          <w:lang w:val="en-US" w:eastAsia="zh-CN"/>
        </w:rPr>
        <w:t>;</w:t>
      </w:r>
      <w:r w:rsidR="000167D9" w:rsidRPr="003A7660">
        <w:rPr>
          <w:rStyle w:val="normaltextrun"/>
          <w:rFonts w:ascii="Book Antiqua" w:hAnsi="Book Antiqua"/>
          <w:lang w:val="en-US"/>
        </w:rPr>
        <w:t xml:space="preserve"> </w:t>
      </w:r>
      <w:r w:rsidRPr="003A7660">
        <w:rPr>
          <w:rFonts w:ascii="Book Antiqua" w:hAnsi="Book Antiqua"/>
          <w:lang w:val="en-US"/>
        </w:rPr>
        <w:t>Mokrane</w:t>
      </w:r>
      <w:r w:rsidR="00756195" w:rsidRPr="003A7660">
        <w:rPr>
          <w:rFonts w:ascii="Book Antiqua" w:eastAsia="宋体" w:hAnsi="Book Antiqua"/>
          <w:lang w:val="en-US" w:eastAsia="zh-CN"/>
        </w:rPr>
        <w:t xml:space="preserve"> F</w:t>
      </w:r>
      <w:r w:rsidRPr="003A7660">
        <w:rPr>
          <w:rFonts w:ascii="Book Antiqua" w:eastAsia="宋体" w:hAnsi="Book Antiqua"/>
          <w:lang w:val="en-US" w:eastAsia="zh-CN"/>
        </w:rPr>
        <w:t>Z</w:t>
      </w:r>
      <w:r w:rsidR="000167D9" w:rsidRPr="003A7660">
        <w:rPr>
          <w:rFonts w:ascii="Book Antiqua" w:hAnsi="Book Antiqua"/>
          <w:lang w:val="en-US"/>
        </w:rPr>
        <w:t xml:space="preserve">, </w:t>
      </w:r>
      <w:r w:rsidRPr="003A7660">
        <w:rPr>
          <w:rFonts w:ascii="Book Antiqua" w:hAnsi="Book Antiqua"/>
          <w:lang w:val="en-US"/>
        </w:rPr>
        <w:t>Selves</w:t>
      </w:r>
      <w:r w:rsidRPr="003A7660">
        <w:rPr>
          <w:rFonts w:ascii="Book Antiqua" w:eastAsia="宋体" w:hAnsi="Book Antiqua"/>
          <w:lang w:val="en-US" w:eastAsia="zh-CN"/>
        </w:rPr>
        <w:t xml:space="preserve"> J</w:t>
      </w:r>
      <w:r w:rsidR="000167D9" w:rsidRPr="003A7660">
        <w:rPr>
          <w:rFonts w:ascii="Book Antiqua" w:hAnsi="Book Antiqua"/>
          <w:lang w:val="en-US"/>
        </w:rPr>
        <w:t xml:space="preserve">, </w:t>
      </w:r>
      <w:r w:rsidRPr="003A7660">
        <w:rPr>
          <w:rFonts w:ascii="Book Antiqua" w:hAnsi="Book Antiqua"/>
          <w:lang w:val="en-US"/>
        </w:rPr>
        <w:t>Guimbaud</w:t>
      </w:r>
      <w:r w:rsidRPr="003A7660">
        <w:rPr>
          <w:rFonts w:ascii="Book Antiqua" w:eastAsia="宋体" w:hAnsi="Book Antiqua"/>
          <w:lang w:val="en-US" w:eastAsia="zh-CN"/>
        </w:rPr>
        <w:t xml:space="preserve"> R</w:t>
      </w:r>
      <w:r w:rsidR="000167D9" w:rsidRPr="003A7660">
        <w:rPr>
          <w:rFonts w:ascii="Book Antiqua" w:hAnsi="Book Antiqua"/>
          <w:lang w:val="en-US"/>
        </w:rPr>
        <w:t xml:space="preserve">, </w:t>
      </w:r>
      <w:r w:rsidRPr="003A7660">
        <w:rPr>
          <w:rFonts w:ascii="Book Antiqua" w:hAnsi="Book Antiqua"/>
          <w:lang w:val="en-US"/>
        </w:rPr>
        <w:t>Otal</w:t>
      </w:r>
      <w:r w:rsidR="000167D9" w:rsidRPr="003A7660">
        <w:rPr>
          <w:rFonts w:ascii="Book Antiqua" w:hAnsi="Book Antiqua"/>
          <w:lang w:val="en-US"/>
        </w:rPr>
        <w:t xml:space="preserve"> </w:t>
      </w:r>
      <w:r w:rsidRPr="003A7660">
        <w:rPr>
          <w:rFonts w:ascii="Book Antiqua" w:eastAsia="宋体" w:hAnsi="Book Antiqua"/>
          <w:lang w:val="en-US" w:eastAsia="zh-CN"/>
        </w:rPr>
        <w:t xml:space="preserve">P </w:t>
      </w:r>
      <w:r w:rsidR="000167D9" w:rsidRPr="003A7660">
        <w:rPr>
          <w:rFonts w:ascii="Book Antiqua" w:hAnsi="Book Antiqua"/>
          <w:color w:val="000000"/>
          <w:lang w:val="en-US"/>
        </w:rPr>
        <w:t xml:space="preserve">and </w:t>
      </w:r>
      <w:r w:rsidRPr="003A7660">
        <w:rPr>
          <w:rFonts w:ascii="Book Antiqua" w:hAnsi="Book Antiqua"/>
          <w:color w:val="000000"/>
          <w:lang w:val="en-US"/>
        </w:rPr>
        <w:t>Suc</w:t>
      </w:r>
      <w:r w:rsidR="000167D9" w:rsidRPr="003A7660">
        <w:rPr>
          <w:rFonts w:ascii="Book Antiqua" w:hAnsi="Book Antiqua"/>
          <w:color w:val="000000"/>
          <w:lang w:val="en-US"/>
        </w:rPr>
        <w:t xml:space="preserve"> </w:t>
      </w:r>
      <w:r w:rsidRPr="003A7660">
        <w:rPr>
          <w:rFonts w:ascii="Book Antiqua" w:eastAsia="宋体" w:hAnsi="Book Antiqua"/>
          <w:color w:val="000000"/>
          <w:lang w:val="en-US" w:eastAsia="zh-CN"/>
        </w:rPr>
        <w:t xml:space="preserve">B </w:t>
      </w:r>
      <w:r w:rsidR="000167D9" w:rsidRPr="003A7660">
        <w:rPr>
          <w:rStyle w:val="normaltextrun"/>
          <w:rFonts w:ascii="Book Antiqua" w:hAnsi="Book Antiqua"/>
          <w:color w:val="000000"/>
          <w:lang w:val="en-US"/>
        </w:rPr>
        <w:t>provided critical revision of the manuscript for important intellectual content.</w:t>
      </w:r>
    </w:p>
    <w:p w:rsidR="00F5664A" w:rsidRPr="003A7660" w:rsidRDefault="00F5664A" w:rsidP="00384F14">
      <w:pPr>
        <w:snapToGrid w:val="0"/>
        <w:spacing w:line="360" w:lineRule="auto"/>
        <w:jc w:val="both"/>
        <w:rPr>
          <w:rFonts w:ascii="Book Antiqua" w:eastAsia="宋体" w:hAnsi="Book Antiqua"/>
          <w:lang w:val="en-US" w:eastAsia="zh-CN"/>
        </w:rPr>
      </w:pPr>
    </w:p>
    <w:p w:rsidR="00F5664A" w:rsidRPr="003A7660" w:rsidRDefault="00F5664A" w:rsidP="00384F14">
      <w:pPr>
        <w:pStyle w:val="p2"/>
        <w:snapToGrid w:val="0"/>
        <w:spacing w:line="360" w:lineRule="auto"/>
        <w:jc w:val="both"/>
        <w:rPr>
          <w:rFonts w:eastAsia="宋体"/>
          <w:sz w:val="24"/>
          <w:szCs w:val="24"/>
          <w:lang w:val="en-US" w:eastAsia="zh-CN"/>
        </w:rPr>
      </w:pPr>
      <w:r w:rsidRPr="003A7660">
        <w:rPr>
          <w:b/>
          <w:bCs/>
          <w:sz w:val="24"/>
          <w:szCs w:val="24"/>
          <w:lang w:val="en-US"/>
        </w:rPr>
        <w:t xml:space="preserve">Institutional review board statement: </w:t>
      </w:r>
      <w:r w:rsidRPr="003A7660">
        <w:rPr>
          <w:sz w:val="24"/>
          <w:szCs w:val="24"/>
          <w:lang w:val="en-US"/>
        </w:rPr>
        <w:t>This study was reviewed and approved by the Toulouse University Hospital Review Board.</w:t>
      </w:r>
    </w:p>
    <w:p w:rsidR="00F5664A" w:rsidRPr="003A7660" w:rsidRDefault="00F5664A" w:rsidP="00384F14">
      <w:pPr>
        <w:snapToGrid w:val="0"/>
        <w:spacing w:line="360" w:lineRule="auto"/>
        <w:jc w:val="both"/>
        <w:rPr>
          <w:rFonts w:ascii="Book Antiqua" w:hAnsi="Book Antiqua"/>
          <w:lang w:val="en-US"/>
        </w:rPr>
      </w:pPr>
    </w:p>
    <w:p w:rsidR="00F5664A" w:rsidRPr="003A7660" w:rsidRDefault="00F5664A" w:rsidP="00384F14">
      <w:pPr>
        <w:autoSpaceDE w:val="0"/>
        <w:autoSpaceDN w:val="0"/>
        <w:adjustRightInd w:val="0"/>
        <w:snapToGrid w:val="0"/>
        <w:spacing w:line="360" w:lineRule="auto"/>
        <w:jc w:val="both"/>
        <w:rPr>
          <w:rFonts w:ascii="Book Antiqua" w:hAnsi="Book Antiqua"/>
          <w:b/>
          <w:bCs/>
          <w:iCs/>
          <w:lang w:val="en-US"/>
        </w:rPr>
      </w:pPr>
      <w:r w:rsidRPr="003A7660">
        <w:rPr>
          <w:rFonts w:ascii="Book Antiqua" w:hAnsi="Book Antiqua"/>
          <w:b/>
          <w:lang w:val="en-US"/>
        </w:rPr>
        <w:t xml:space="preserve">Informed consent statement: </w:t>
      </w:r>
      <w:r w:rsidRPr="003A7660">
        <w:rPr>
          <w:rStyle w:val="a7"/>
          <w:rFonts w:ascii="Book Antiqua" w:hAnsi="Book Antiqua"/>
          <w:sz w:val="24"/>
          <w:szCs w:val="24"/>
          <w:lang w:val="en-US"/>
        </w:rPr>
        <w:t>P</w:t>
      </w:r>
      <w:r w:rsidRPr="003A7660">
        <w:rPr>
          <w:rFonts w:ascii="Book Antiqua" w:hAnsi="Book Antiqua"/>
          <w:lang w:val="en-US"/>
        </w:rPr>
        <w:t>atients were not required to give informed consent to the study because the analysis used anonymous clinical data that were obtained after each patient agreed to treatment by written consent.</w:t>
      </w:r>
    </w:p>
    <w:p w:rsidR="00BC5E8B" w:rsidRPr="003A7660" w:rsidRDefault="00BC5E8B" w:rsidP="00384F14">
      <w:pPr>
        <w:snapToGrid w:val="0"/>
        <w:spacing w:line="360" w:lineRule="auto"/>
        <w:jc w:val="both"/>
        <w:rPr>
          <w:rFonts w:ascii="Book Antiqua" w:hAnsi="Book Antiqua"/>
          <w:lang w:val="en-US"/>
        </w:rPr>
      </w:pPr>
    </w:p>
    <w:p w:rsidR="00BC5E8B" w:rsidRPr="003A7660" w:rsidRDefault="00756195" w:rsidP="00384F14">
      <w:pPr>
        <w:pStyle w:val="Default"/>
        <w:snapToGrid w:val="0"/>
        <w:spacing w:line="360" w:lineRule="auto"/>
        <w:jc w:val="both"/>
        <w:rPr>
          <w:rFonts w:cs="Arial"/>
          <w:lang w:val="en-US"/>
        </w:rPr>
      </w:pPr>
      <w:r w:rsidRPr="003A7660">
        <w:rPr>
          <w:b/>
          <w:lang w:val="en-US"/>
        </w:rPr>
        <w:t>Conflict-of-interest statement</w:t>
      </w:r>
      <w:r w:rsidRPr="003A7660">
        <w:rPr>
          <w:rFonts w:cs="TimesNewRomanPS-BoldItalicMT"/>
          <w:b/>
          <w:bCs/>
          <w:iCs/>
          <w:lang w:val="en-US" w:eastAsia="zh-CN"/>
        </w:rPr>
        <w:t>:</w:t>
      </w:r>
      <w:r w:rsidRPr="003A7660">
        <w:rPr>
          <w:rFonts w:eastAsia="宋体" w:cs="TimesNewRomanPS-BoldItalicMT"/>
          <w:b/>
          <w:bCs/>
          <w:iCs/>
          <w:lang w:val="en-US" w:eastAsia="zh-CN"/>
        </w:rPr>
        <w:t xml:space="preserve"> </w:t>
      </w:r>
      <w:r w:rsidR="00BC5E8B" w:rsidRPr="003A7660">
        <w:rPr>
          <w:rFonts w:cs="Arial"/>
          <w:lang w:val="en-US"/>
        </w:rPr>
        <w:t xml:space="preserve">All authors declare no conflicts-of-interest related to this article. </w:t>
      </w:r>
    </w:p>
    <w:p w:rsidR="009071EA" w:rsidRPr="003A7660" w:rsidRDefault="009071EA" w:rsidP="00384F14">
      <w:pPr>
        <w:snapToGrid w:val="0"/>
        <w:spacing w:line="360" w:lineRule="auto"/>
        <w:jc w:val="both"/>
        <w:rPr>
          <w:rFonts w:ascii="Book Antiqua" w:eastAsia="宋体" w:hAnsi="Book Antiqua"/>
          <w:lang w:val="en-US" w:eastAsia="zh-CN"/>
        </w:rPr>
      </w:pPr>
    </w:p>
    <w:p w:rsidR="009071EA" w:rsidRPr="003A7660" w:rsidRDefault="00F5664A" w:rsidP="00384F14">
      <w:pPr>
        <w:snapToGrid w:val="0"/>
        <w:spacing w:line="360" w:lineRule="auto"/>
        <w:jc w:val="both"/>
        <w:rPr>
          <w:rFonts w:ascii="Book Antiqua" w:hAnsi="Book Antiqua"/>
          <w:lang w:val="en-US"/>
        </w:rPr>
      </w:pPr>
      <w:r w:rsidRPr="003A7660">
        <w:rPr>
          <w:rFonts w:ascii="Book Antiqua" w:hAnsi="Book Antiqua"/>
          <w:b/>
          <w:lang w:val="en-US"/>
        </w:rPr>
        <w:t>STROBE Statement:</w:t>
      </w:r>
      <w:r w:rsidRPr="003A7660">
        <w:rPr>
          <w:rFonts w:ascii="Book Antiqua" w:hAnsi="Book Antiqua"/>
          <w:lang w:val="en-US"/>
        </w:rPr>
        <w:t xml:space="preserve"> </w:t>
      </w:r>
      <w:r w:rsidR="009071EA" w:rsidRPr="003A7660">
        <w:rPr>
          <w:rFonts w:ascii="Book Antiqua" w:hAnsi="Book Antiqua"/>
          <w:lang w:val="en-US"/>
        </w:rPr>
        <w:t>The authors have read the STROBE Statement-checklist of items, and the manuscript was prepared and revised according to the STROBE Statement-checklist of items.</w:t>
      </w:r>
    </w:p>
    <w:p w:rsidR="00BC5E8B" w:rsidRPr="003A7660" w:rsidRDefault="00BC5E8B" w:rsidP="00384F14">
      <w:pPr>
        <w:snapToGrid w:val="0"/>
        <w:spacing w:line="360" w:lineRule="auto"/>
        <w:jc w:val="both"/>
        <w:rPr>
          <w:rFonts w:ascii="Book Antiqua" w:eastAsia="宋体" w:hAnsi="Book Antiqua"/>
          <w:bCs/>
          <w:lang w:val="en-US" w:eastAsia="zh-CN"/>
        </w:rPr>
      </w:pPr>
    </w:p>
    <w:p w:rsidR="00E048F3" w:rsidRPr="003A7660" w:rsidRDefault="00E048F3" w:rsidP="00384F14">
      <w:pPr>
        <w:snapToGrid w:val="0"/>
        <w:spacing w:line="360" w:lineRule="auto"/>
        <w:jc w:val="both"/>
        <w:rPr>
          <w:rFonts w:ascii="Book Antiqua" w:eastAsia="宋体" w:hAnsi="Book Antiqua"/>
          <w:lang w:val="en-US" w:eastAsia="zh-CN"/>
        </w:rPr>
      </w:pPr>
      <w:r w:rsidRPr="003A7660">
        <w:rPr>
          <w:rFonts w:ascii="Book Antiqua" w:hAnsi="Book Antiqua"/>
          <w:b/>
          <w:lang w:val="en-US"/>
        </w:rPr>
        <w:t xml:space="preserve">Open-Access: </w:t>
      </w:r>
      <w:r w:rsidRPr="003A7660">
        <w:rPr>
          <w:rFonts w:ascii="Book Antiqua" w:hAnsi="Book Antiqua"/>
          <w:lang w:val="en-US"/>
        </w:rPr>
        <w:t>This article is an open-access article </w:t>
      </w:r>
      <w:r w:rsidR="003D3991" w:rsidRPr="003A7660">
        <w:rPr>
          <w:rFonts w:ascii="Book Antiqua" w:hAnsi="Book Antiqua"/>
          <w:lang w:val="en-US"/>
        </w:rPr>
        <w:t xml:space="preserve">that </w:t>
      </w:r>
      <w:r w:rsidRPr="003A7660">
        <w:rPr>
          <w:rFonts w:ascii="Book Antiqua" w:hAnsi="Book Antiqua"/>
          <w:lang w:val="en-US"/>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3A7660">
        <w:rPr>
          <w:rFonts w:ascii="Book Antiqua" w:hAnsi="Book Antiqua"/>
          <w:lang w:val="en-US"/>
        </w:rPr>
        <w:lastRenderedPageBreak/>
        <w:t xml:space="preserve">provided the original work is properly cited and the use is non-commercial. See: </w:t>
      </w:r>
      <w:hyperlink r:id="rId18" w:history="1">
        <w:r w:rsidRPr="003A7660">
          <w:rPr>
            <w:rStyle w:val="ac"/>
            <w:rFonts w:ascii="Book Antiqua" w:hAnsi="Book Antiqua"/>
            <w:lang w:val="en-US"/>
          </w:rPr>
          <w:t>http://creativecommons.org/licenses/by-nc/4.0/</w:t>
        </w:r>
      </w:hyperlink>
    </w:p>
    <w:p w:rsidR="00E048F3" w:rsidRPr="003A7660" w:rsidRDefault="00E048F3" w:rsidP="00384F14">
      <w:pPr>
        <w:snapToGrid w:val="0"/>
        <w:spacing w:line="360" w:lineRule="auto"/>
        <w:jc w:val="both"/>
        <w:rPr>
          <w:rFonts w:ascii="Book Antiqua" w:eastAsia="宋体" w:hAnsi="Book Antiqua"/>
          <w:lang w:val="en-US" w:eastAsia="zh-CN"/>
        </w:rPr>
      </w:pPr>
    </w:p>
    <w:p w:rsidR="00E048F3" w:rsidRPr="003A7660" w:rsidRDefault="00E048F3" w:rsidP="00384F14">
      <w:pPr>
        <w:snapToGrid w:val="0"/>
        <w:spacing w:line="360" w:lineRule="auto"/>
        <w:jc w:val="both"/>
        <w:rPr>
          <w:rFonts w:ascii="Book Antiqua" w:eastAsia="宋体" w:hAnsi="Book Antiqua"/>
          <w:bCs/>
          <w:lang w:val="en-US" w:eastAsia="zh-CN"/>
        </w:rPr>
      </w:pPr>
      <w:r w:rsidRPr="003A7660">
        <w:rPr>
          <w:rFonts w:ascii="Book Antiqua" w:eastAsia="宋体" w:hAnsi="Book Antiqua"/>
          <w:b/>
          <w:lang w:val="en-US" w:eastAsia="zh-CN"/>
        </w:rPr>
        <w:t>Manuscript sourc</w:t>
      </w:r>
      <w:r w:rsidR="00D5116E" w:rsidRPr="003A7660">
        <w:rPr>
          <w:rFonts w:ascii="Book Antiqua" w:eastAsia="宋体" w:hAnsi="Book Antiqua"/>
          <w:b/>
          <w:lang w:val="en-US" w:eastAsia="zh-CN"/>
        </w:rPr>
        <w:t>e</w:t>
      </w:r>
      <w:r w:rsidRPr="003A7660">
        <w:rPr>
          <w:rFonts w:ascii="Book Antiqua" w:eastAsia="宋体" w:hAnsi="Book Antiqua"/>
          <w:b/>
          <w:lang w:val="en-US" w:eastAsia="zh-CN"/>
        </w:rPr>
        <w:t>:</w:t>
      </w:r>
      <w:r w:rsidRPr="003A7660">
        <w:rPr>
          <w:rFonts w:ascii="Book Antiqua" w:eastAsia="宋体" w:hAnsi="Book Antiqua"/>
          <w:lang w:val="en-US" w:eastAsia="zh-CN"/>
        </w:rPr>
        <w:t xml:space="preserve"> Unsolicited manuscript</w:t>
      </w:r>
    </w:p>
    <w:p w:rsidR="00E048F3" w:rsidRPr="003A7660" w:rsidRDefault="00E048F3" w:rsidP="00384F14">
      <w:pPr>
        <w:snapToGrid w:val="0"/>
        <w:spacing w:line="360" w:lineRule="auto"/>
        <w:jc w:val="both"/>
        <w:rPr>
          <w:rFonts w:ascii="Book Antiqua" w:eastAsia="宋体" w:hAnsi="Book Antiqua"/>
          <w:bCs/>
          <w:lang w:val="en-US" w:eastAsia="zh-CN"/>
        </w:rPr>
      </w:pPr>
    </w:p>
    <w:p w:rsidR="000167D9" w:rsidRPr="003A7660" w:rsidRDefault="000167D9" w:rsidP="00384F14">
      <w:pPr>
        <w:snapToGrid w:val="0"/>
        <w:spacing w:line="360" w:lineRule="auto"/>
        <w:jc w:val="both"/>
        <w:rPr>
          <w:rFonts w:ascii="Book Antiqua" w:eastAsia="宋体" w:hAnsi="Book Antiqua"/>
          <w:lang w:val="en-US" w:eastAsia="zh-CN"/>
        </w:rPr>
      </w:pPr>
      <w:r w:rsidRPr="003A7660">
        <w:rPr>
          <w:rFonts w:ascii="Book Antiqua" w:hAnsi="Book Antiqua"/>
          <w:b/>
          <w:lang w:val="en-US"/>
        </w:rPr>
        <w:t xml:space="preserve">Corresponding author: Charlotte </w:t>
      </w:r>
      <w:r w:rsidR="00756195" w:rsidRPr="003A7660">
        <w:rPr>
          <w:rFonts w:ascii="Book Antiqua" w:hAnsi="Book Antiqua"/>
          <w:b/>
          <w:lang w:val="en-US"/>
        </w:rPr>
        <w:t>Maulat</w:t>
      </w:r>
      <w:r w:rsidRPr="003A7660">
        <w:rPr>
          <w:rFonts w:ascii="Book Antiqua" w:hAnsi="Book Antiqua"/>
          <w:b/>
          <w:lang w:val="en-US"/>
        </w:rPr>
        <w:t xml:space="preserve">, </w:t>
      </w:r>
      <w:r w:rsidR="00756195" w:rsidRPr="003A7660">
        <w:rPr>
          <w:rFonts w:ascii="Book Antiqua" w:hAnsi="Book Antiqua"/>
          <w:b/>
          <w:lang w:val="en-US"/>
        </w:rPr>
        <w:t>Academic Fellow</w:t>
      </w:r>
      <w:r w:rsidR="00756195" w:rsidRPr="003A7660">
        <w:rPr>
          <w:rFonts w:ascii="Book Antiqua" w:eastAsia="宋体" w:hAnsi="Book Antiqua"/>
          <w:b/>
          <w:lang w:val="en-US" w:eastAsia="zh-CN"/>
        </w:rPr>
        <w:t xml:space="preserve">, </w:t>
      </w:r>
      <w:bookmarkStart w:id="6" w:name="OLE_LINK120"/>
      <w:bookmarkStart w:id="7" w:name="OLE_LINK121"/>
      <w:r w:rsidR="00D5116E" w:rsidRPr="003A7660">
        <w:rPr>
          <w:rFonts w:ascii="Book Antiqua" w:hAnsi="Book Antiqua"/>
          <w:lang w:val="en-US"/>
        </w:rPr>
        <w:t>Department of Digestive Surgery and Liver Transplantation,</w:t>
      </w:r>
      <w:r w:rsidR="00D5116E" w:rsidRPr="003A7660">
        <w:rPr>
          <w:rStyle w:val="normaltextrun"/>
          <w:rFonts w:ascii="Book Antiqua" w:hAnsi="Book Antiqua"/>
          <w:lang w:val="en-US"/>
        </w:rPr>
        <w:t xml:space="preserve"> Toulouse-Rangueil University Hospital, </w:t>
      </w:r>
      <w:r w:rsidR="00D5116E" w:rsidRPr="003A7660">
        <w:rPr>
          <w:rFonts w:ascii="Book Antiqua" w:hAnsi="Book Antiqua"/>
          <w:lang w:val="en-US"/>
        </w:rPr>
        <w:t xml:space="preserve">CHU Rangueil, 1 avenue J Poulhès, </w:t>
      </w:r>
      <w:r w:rsidR="00D5116E" w:rsidRPr="003A7660">
        <w:rPr>
          <w:rStyle w:val="normaltextrun"/>
          <w:rFonts w:ascii="Book Antiqua" w:hAnsi="Book Antiqua"/>
          <w:lang w:val="en-US"/>
        </w:rPr>
        <w:t>Toulouse 31059, France</w:t>
      </w:r>
      <w:r w:rsidR="00D5116E" w:rsidRPr="003A7660">
        <w:rPr>
          <w:rStyle w:val="normaltextrun"/>
          <w:rFonts w:ascii="Book Antiqua" w:eastAsia="宋体" w:hAnsi="Book Antiqua"/>
          <w:lang w:val="en-US" w:eastAsia="zh-CN"/>
        </w:rPr>
        <w:t xml:space="preserve">. </w:t>
      </w:r>
      <w:r w:rsidR="00756195" w:rsidRPr="003A7660">
        <w:rPr>
          <w:rFonts w:ascii="Book Antiqua" w:hAnsi="Book Antiqua"/>
          <w:lang w:val="en-US"/>
        </w:rPr>
        <w:t>charlotte.maulat@gmail.com</w:t>
      </w:r>
    </w:p>
    <w:bookmarkEnd w:id="6"/>
    <w:bookmarkEnd w:id="7"/>
    <w:p w:rsidR="00D5116E" w:rsidRPr="003A7660" w:rsidRDefault="00D5116E" w:rsidP="00384F14">
      <w:pPr>
        <w:snapToGrid w:val="0"/>
        <w:spacing w:line="360" w:lineRule="auto"/>
        <w:jc w:val="both"/>
        <w:rPr>
          <w:rFonts w:ascii="Book Antiqua" w:eastAsia="宋体" w:hAnsi="Book Antiqua"/>
          <w:lang w:val="en-US" w:eastAsia="zh-CN"/>
        </w:rPr>
      </w:pPr>
      <w:r w:rsidRPr="003A7660">
        <w:rPr>
          <w:rFonts w:ascii="Book Antiqua" w:hAnsi="Book Antiqua" w:cs="Arial"/>
          <w:b/>
          <w:lang w:val="en-US"/>
        </w:rPr>
        <w:t>Telephone:</w:t>
      </w:r>
      <w:r w:rsidRPr="003A7660">
        <w:rPr>
          <w:rFonts w:ascii="Book Antiqua" w:hAnsi="Book Antiqua"/>
          <w:lang w:val="en-US"/>
        </w:rPr>
        <w:t xml:space="preserve"> +33</w:t>
      </w:r>
      <w:r w:rsidRPr="003A7660">
        <w:rPr>
          <w:rFonts w:ascii="Book Antiqua" w:eastAsia="宋体" w:hAnsi="Book Antiqua"/>
          <w:lang w:val="en-US" w:eastAsia="zh-CN"/>
        </w:rPr>
        <w:t>-</w:t>
      </w:r>
      <w:r w:rsidRPr="003A7660">
        <w:rPr>
          <w:rFonts w:ascii="Book Antiqua" w:hAnsi="Book Antiqua"/>
          <w:lang w:val="en-US"/>
        </w:rPr>
        <w:t>561322741</w:t>
      </w:r>
    </w:p>
    <w:p w:rsidR="00F14326" w:rsidRPr="003A7660" w:rsidRDefault="000167D9" w:rsidP="00384F14">
      <w:pPr>
        <w:snapToGrid w:val="0"/>
        <w:spacing w:line="360" w:lineRule="auto"/>
        <w:jc w:val="both"/>
        <w:rPr>
          <w:rFonts w:ascii="Book Antiqua" w:eastAsia="宋体" w:hAnsi="Book Antiqua"/>
          <w:lang w:val="en-US" w:eastAsia="zh-CN"/>
        </w:rPr>
      </w:pPr>
      <w:r w:rsidRPr="003A7660">
        <w:rPr>
          <w:rFonts w:ascii="Book Antiqua" w:hAnsi="Book Antiqua"/>
          <w:b/>
          <w:lang w:val="en-US"/>
        </w:rPr>
        <w:t>Fax:</w:t>
      </w:r>
      <w:r w:rsidR="00D5116E" w:rsidRPr="003A7660">
        <w:rPr>
          <w:rFonts w:ascii="Book Antiqua" w:hAnsi="Book Antiqua"/>
          <w:lang w:val="en-US"/>
        </w:rPr>
        <w:t xml:space="preserve"> +33</w:t>
      </w:r>
      <w:r w:rsidR="00D5116E" w:rsidRPr="003A7660">
        <w:rPr>
          <w:rFonts w:ascii="Book Antiqua" w:eastAsia="宋体" w:hAnsi="Book Antiqua"/>
          <w:lang w:val="en-US" w:eastAsia="zh-CN"/>
        </w:rPr>
        <w:t>-</w:t>
      </w:r>
      <w:r w:rsidR="00D5116E" w:rsidRPr="003A7660">
        <w:rPr>
          <w:rFonts w:ascii="Book Antiqua" w:hAnsi="Book Antiqua"/>
          <w:lang w:val="en-US"/>
        </w:rPr>
        <w:t>561322936</w:t>
      </w:r>
      <w:r w:rsidRPr="003A7660">
        <w:rPr>
          <w:rFonts w:ascii="Book Antiqua" w:hAnsi="Book Antiqua"/>
          <w:lang w:val="en-US"/>
        </w:rPr>
        <w:t xml:space="preserve"> </w:t>
      </w:r>
    </w:p>
    <w:p w:rsidR="00D5116E" w:rsidRPr="003A7660" w:rsidRDefault="00D5116E" w:rsidP="00384F14">
      <w:pPr>
        <w:snapToGrid w:val="0"/>
        <w:spacing w:line="360" w:lineRule="auto"/>
        <w:jc w:val="both"/>
        <w:rPr>
          <w:rFonts w:ascii="Book Antiqua" w:eastAsia="宋体" w:hAnsi="Book Antiqua"/>
          <w:lang w:val="en-US" w:eastAsia="zh-CN"/>
        </w:rPr>
      </w:pPr>
    </w:p>
    <w:p w:rsidR="00D5116E" w:rsidRPr="003A7660" w:rsidRDefault="00D5116E" w:rsidP="00384F14">
      <w:pPr>
        <w:snapToGrid w:val="0"/>
        <w:spacing w:line="360" w:lineRule="auto"/>
        <w:jc w:val="both"/>
        <w:rPr>
          <w:rFonts w:ascii="Book Antiqua" w:eastAsia="宋体" w:hAnsi="Book Antiqua"/>
          <w:lang w:val="en-US" w:eastAsia="zh-CN"/>
        </w:rPr>
      </w:pPr>
      <w:r w:rsidRPr="003A7660">
        <w:rPr>
          <w:rFonts w:ascii="Book Antiqua" w:hAnsi="Book Antiqua"/>
          <w:b/>
          <w:lang w:val="en-US"/>
        </w:rPr>
        <w:t xml:space="preserve">Received: </w:t>
      </w:r>
      <w:r w:rsidRPr="003A7660">
        <w:rPr>
          <w:rFonts w:ascii="Book Antiqua" w:eastAsia="宋体" w:hAnsi="Book Antiqua"/>
          <w:lang w:val="en-US" w:eastAsia="zh-CN"/>
        </w:rPr>
        <w:t>October 2, 2018</w:t>
      </w:r>
    </w:p>
    <w:p w:rsidR="00D5116E" w:rsidRPr="003A7660" w:rsidRDefault="00D5116E" w:rsidP="00384F14">
      <w:pPr>
        <w:snapToGrid w:val="0"/>
        <w:spacing w:line="360" w:lineRule="auto"/>
        <w:jc w:val="both"/>
        <w:rPr>
          <w:rFonts w:ascii="Book Antiqua" w:eastAsia="宋体" w:hAnsi="Book Antiqua"/>
          <w:lang w:val="en-US" w:eastAsia="zh-CN"/>
        </w:rPr>
      </w:pPr>
      <w:r w:rsidRPr="003A7660">
        <w:rPr>
          <w:rFonts w:ascii="Book Antiqua" w:hAnsi="Book Antiqua"/>
          <w:b/>
          <w:lang w:val="en-US"/>
        </w:rPr>
        <w:t>Peer-review started:</w:t>
      </w:r>
      <w:r w:rsidRPr="003A7660">
        <w:rPr>
          <w:rFonts w:ascii="Book Antiqua" w:eastAsia="宋体" w:hAnsi="Book Antiqua"/>
          <w:lang w:val="en-US" w:eastAsia="zh-CN"/>
        </w:rPr>
        <w:t xml:space="preserve"> October 2, 2018</w:t>
      </w:r>
    </w:p>
    <w:p w:rsidR="00D5116E" w:rsidRPr="003A7660" w:rsidRDefault="00D5116E" w:rsidP="00384F14">
      <w:pPr>
        <w:snapToGrid w:val="0"/>
        <w:spacing w:line="360" w:lineRule="auto"/>
        <w:jc w:val="both"/>
        <w:rPr>
          <w:rFonts w:ascii="Book Antiqua" w:eastAsia="宋体" w:hAnsi="Book Antiqua"/>
          <w:lang w:val="en-US" w:eastAsia="zh-CN"/>
        </w:rPr>
      </w:pPr>
      <w:r w:rsidRPr="003A7660">
        <w:rPr>
          <w:rFonts w:ascii="Book Antiqua" w:hAnsi="Book Antiqua"/>
          <w:b/>
          <w:lang w:val="en-US"/>
        </w:rPr>
        <w:t>First decision:</w:t>
      </w:r>
      <w:r w:rsidRPr="003A7660">
        <w:rPr>
          <w:rFonts w:ascii="Book Antiqua" w:eastAsia="宋体" w:hAnsi="Book Antiqua"/>
          <w:b/>
          <w:lang w:val="en-US" w:eastAsia="zh-CN"/>
        </w:rPr>
        <w:t xml:space="preserve"> </w:t>
      </w:r>
      <w:r w:rsidRPr="003A7660">
        <w:rPr>
          <w:rFonts w:ascii="Book Antiqua" w:eastAsia="宋体" w:hAnsi="Book Antiqua"/>
          <w:lang w:val="en-US" w:eastAsia="zh-CN"/>
        </w:rPr>
        <w:t>October 25, 2018</w:t>
      </w:r>
    </w:p>
    <w:p w:rsidR="00D5116E" w:rsidRPr="003A7660" w:rsidRDefault="00D5116E" w:rsidP="00384F14">
      <w:pPr>
        <w:widowControl w:val="0"/>
        <w:snapToGrid w:val="0"/>
        <w:spacing w:line="360" w:lineRule="auto"/>
        <w:jc w:val="both"/>
        <w:rPr>
          <w:rFonts w:ascii="Book Antiqua" w:hAnsi="Book Antiqua"/>
          <w:b/>
          <w:lang w:val="en-US"/>
        </w:rPr>
      </w:pPr>
      <w:r w:rsidRPr="003A7660">
        <w:rPr>
          <w:rFonts w:ascii="Book Antiqua" w:hAnsi="Book Antiqua"/>
          <w:b/>
          <w:lang w:val="en-US"/>
        </w:rPr>
        <w:t xml:space="preserve">Revised: </w:t>
      </w:r>
      <w:r w:rsidRPr="003A7660">
        <w:rPr>
          <w:rFonts w:ascii="Book Antiqua" w:eastAsia="宋体" w:hAnsi="Book Antiqua"/>
          <w:lang w:val="en-US" w:eastAsia="zh-CN"/>
        </w:rPr>
        <w:t>November 27, 2018</w:t>
      </w:r>
    </w:p>
    <w:p w:rsidR="00D5116E" w:rsidRPr="003A7660" w:rsidRDefault="00D5116E" w:rsidP="00384F14">
      <w:pPr>
        <w:widowControl w:val="0"/>
        <w:snapToGrid w:val="0"/>
        <w:spacing w:line="360" w:lineRule="auto"/>
        <w:jc w:val="both"/>
        <w:rPr>
          <w:rFonts w:ascii="Book Antiqua" w:hAnsi="Book Antiqua"/>
          <w:b/>
          <w:lang w:val="en-US"/>
        </w:rPr>
      </w:pPr>
      <w:r w:rsidRPr="003A7660">
        <w:rPr>
          <w:rFonts w:ascii="Book Antiqua" w:hAnsi="Book Antiqua"/>
          <w:b/>
          <w:lang w:val="en-US"/>
        </w:rPr>
        <w:t xml:space="preserve">Accepted: </w:t>
      </w:r>
      <w:r w:rsidR="00490748" w:rsidRPr="003A7660">
        <w:rPr>
          <w:rFonts w:ascii="Book Antiqua" w:hAnsi="Book Antiqua"/>
          <w:lang w:val="en-US"/>
        </w:rPr>
        <w:t>December 31, 2018</w:t>
      </w:r>
    </w:p>
    <w:p w:rsidR="00D5116E" w:rsidRPr="003A7660" w:rsidRDefault="00D5116E" w:rsidP="00384F14">
      <w:pPr>
        <w:widowControl w:val="0"/>
        <w:snapToGrid w:val="0"/>
        <w:spacing w:line="360" w:lineRule="auto"/>
        <w:jc w:val="both"/>
        <w:rPr>
          <w:rFonts w:ascii="Book Antiqua" w:eastAsiaTheme="minorEastAsia" w:hAnsi="Book Antiqua" w:hint="eastAsia"/>
          <w:b/>
          <w:lang w:val="en-US" w:eastAsia="zh-CN"/>
        </w:rPr>
      </w:pPr>
      <w:r w:rsidRPr="003A7660">
        <w:rPr>
          <w:rFonts w:ascii="Book Antiqua" w:hAnsi="Book Antiqua"/>
          <w:b/>
          <w:lang w:val="en-US"/>
        </w:rPr>
        <w:t>Article in press:</w:t>
      </w:r>
      <w:r w:rsidR="00EB25BF" w:rsidRPr="003A7660">
        <w:rPr>
          <w:rFonts w:ascii="Book Antiqua" w:hAnsi="Book Antiqua"/>
          <w:lang w:val="en-US"/>
        </w:rPr>
        <w:t xml:space="preserve"> </w:t>
      </w:r>
      <w:r w:rsidR="00EB25BF" w:rsidRPr="003A7660">
        <w:rPr>
          <w:rFonts w:ascii="Book Antiqua" w:eastAsiaTheme="minorEastAsia" w:hAnsi="Book Antiqua" w:hint="eastAsia"/>
          <w:lang w:val="en-US" w:eastAsia="zh-CN"/>
        </w:rPr>
        <w:t>January 1, 2019</w:t>
      </w:r>
    </w:p>
    <w:p w:rsidR="00D5116E" w:rsidRPr="003A7660" w:rsidRDefault="00D5116E" w:rsidP="00384F14">
      <w:pPr>
        <w:widowControl w:val="0"/>
        <w:snapToGrid w:val="0"/>
        <w:spacing w:line="360" w:lineRule="auto"/>
        <w:jc w:val="both"/>
        <w:rPr>
          <w:rFonts w:ascii="Book Antiqua" w:eastAsia="宋体" w:hAnsi="Book Antiqua"/>
          <w:lang w:val="en-US" w:eastAsia="zh-CN"/>
        </w:rPr>
      </w:pPr>
      <w:r w:rsidRPr="003A7660">
        <w:rPr>
          <w:rFonts w:ascii="Book Antiqua" w:hAnsi="Book Antiqua"/>
          <w:b/>
          <w:lang w:val="en-US"/>
        </w:rPr>
        <w:t>Published online:</w:t>
      </w:r>
      <w:r w:rsidR="00EB25BF" w:rsidRPr="003A7660">
        <w:rPr>
          <w:rFonts w:ascii="Book Antiqua" w:hAnsi="Book Antiqua"/>
          <w:lang w:val="en-US"/>
        </w:rPr>
        <w:t xml:space="preserve"> </w:t>
      </w:r>
      <w:r w:rsidR="00904263" w:rsidRPr="003A7660">
        <w:rPr>
          <w:rFonts w:ascii="Book Antiqua" w:hAnsi="Book Antiqua"/>
          <w:lang w:val="en-US"/>
        </w:rPr>
        <w:t>April 15, 2019</w:t>
      </w:r>
    </w:p>
    <w:p w:rsidR="00D5116E" w:rsidRPr="003A7660" w:rsidRDefault="00D5116E" w:rsidP="00384F14">
      <w:pPr>
        <w:snapToGrid w:val="0"/>
        <w:spacing w:line="360" w:lineRule="auto"/>
        <w:jc w:val="both"/>
        <w:rPr>
          <w:rFonts w:ascii="Book Antiqua" w:eastAsia="宋体" w:hAnsi="Book Antiqua"/>
          <w:b/>
          <w:lang w:val="en-US" w:eastAsia="zh-CN"/>
        </w:rPr>
      </w:pPr>
    </w:p>
    <w:p w:rsidR="00537523" w:rsidRPr="003A7660" w:rsidRDefault="000155F5" w:rsidP="00384F14">
      <w:pPr>
        <w:snapToGrid w:val="0"/>
        <w:spacing w:line="360" w:lineRule="auto"/>
        <w:jc w:val="both"/>
        <w:rPr>
          <w:rFonts w:ascii="Book Antiqua" w:hAnsi="Book Antiqua"/>
          <w:b/>
          <w:bCs/>
          <w:lang w:val="en-US"/>
        </w:rPr>
      </w:pPr>
      <w:r w:rsidRPr="003A7660">
        <w:rPr>
          <w:rFonts w:ascii="Book Antiqua" w:hAnsi="Book Antiqua"/>
          <w:b/>
          <w:lang w:val="en-US"/>
        </w:rPr>
        <w:br w:type="page"/>
      </w:r>
      <w:r w:rsidRPr="003A7660">
        <w:rPr>
          <w:rFonts w:ascii="Book Antiqua" w:hAnsi="Book Antiqua"/>
          <w:b/>
          <w:lang w:val="en-US"/>
        </w:rPr>
        <w:lastRenderedPageBreak/>
        <w:t>Abstract</w:t>
      </w:r>
    </w:p>
    <w:p w:rsidR="000155F5" w:rsidRPr="003A7660" w:rsidRDefault="000155F5" w:rsidP="00384F14">
      <w:pPr>
        <w:snapToGrid w:val="0"/>
        <w:spacing w:line="360" w:lineRule="auto"/>
        <w:jc w:val="both"/>
        <w:rPr>
          <w:rFonts w:ascii="Book Antiqua" w:eastAsia="宋体" w:hAnsi="Book Antiqua"/>
          <w:b/>
          <w:i/>
          <w:lang w:val="en-US" w:eastAsia="zh-CN"/>
        </w:rPr>
      </w:pPr>
      <w:r w:rsidRPr="003A7660">
        <w:rPr>
          <w:rFonts w:ascii="Book Antiqua" w:hAnsi="Book Antiqua"/>
          <w:b/>
          <w:i/>
          <w:lang w:val="en-US"/>
        </w:rPr>
        <w:t xml:space="preserve">BACKGROUND </w:t>
      </w:r>
    </w:p>
    <w:p w:rsidR="004230FF" w:rsidRPr="003A7660" w:rsidRDefault="004230FF" w:rsidP="00384F14">
      <w:pPr>
        <w:snapToGrid w:val="0"/>
        <w:spacing w:line="360" w:lineRule="auto"/>
        <w:jc w:val="both"/>
        <w:rPr>
          <w:rFonts w:ascii="Book Antiqua" w:hAnsi="Book Antiqua"/>
          <w:lang w:val="en-US"/>
        </w:rPr>
      </w:pPr>
      <w:r w:rsidRPr="003A7660">
        <w:rPr>
          <w:rFonts w:ascii="Book Antiqua" w:hAnsi="Book Antiqua" w:cs="Arial"/>
          <w:lang w:val="en-US"/>
        </w:rPr>
        <w:t>Colorectal cancer is the third most common cancer in men and the second most common in women worldwide.</w:t>
      </w:r>
      <w:r w:rsidR="00BC74B3" w:rsidRPr="003A7660">
        <w:rPr>
          <w:rFonts w:ascii="Book Antiqua" w:hAnsi="Book Antiqua" w:cs="Arial"/>
          <w:lang w:val="en-US"/>
        </w:rPr>
        <w:t xml:space="preserve"> </w:t>
      </w:r>
      <w:r w:rsidRPr="003A7660">
        <w:rPr>
          <w:rFonts w:ascii="Book Antiqua" w:hAnsi="Book Antiqua" w:cs="Arial"/>
          <w:lang w:val="en-US"/>
        </w:rPr>
        <w:t>Alm</w:t>
      </w:r>
      <w:r w:rsidR="000155F5" w:rsidRPr="003A7660">
        <w:rPr>
          <w:rFonts w:ascii="Book Antiqua" w:hAnsi="Book Antiqua" w:cs="Arial"/>
          <w:lang w:val="en-US"/>
        </w:rPr>
        <w:t>ost a third of the patients ha</w:t>
      </w:r>
      <w:r w:rsidR="000155F5" w:rsidRPr="003A7660">
        <w:rPr>
          <w:rFonts w:ascii="Book Antiqua" w:eastAsia="宋体" w:hAnsi="Book Antiqua" w:cs="Arial"/>
          <w:lang w:val="en-US" w:eastAsia="zh-CN"/>
        </w:rPr>
        <w:t>s</w:t>
      </w:r>
      <w:r w:rsidRPr="003A7660">
        <w:rPr>
          <w:rFonts w:ascii="Book Antiqua" w:hAnsi="Book Antiqua" w:cs="Arial"/>
          <w:lang w:val="en-US"/>
        </w:rPr>
        <w:t xml:space="preserve"> or will develop liver metastases.</w:t>
      </w:r>
      <w:r w:rsidR="0035357F" w:rsidRPr="003A7660">
        <w:rPr>
          <w:rFonts w:ascii="Book Antiqua" w:hAnsi="Book Antiqua" w:cs="Arial"/>
          <w:lang w:val="en-US"/>
        </w:rPr>
        <w:t xml:space="preserve"> Neoadjuvant chemotherapy (NAC) has recently become nearly systematic prior to </w:t>
      </w:r>
      <w:r w:rsidR="00BC74B3" w:rsidRPr="003A7660">
        <w:rPr>
          <w:rFonts w:ascii="Book Antiqua" w:hAnsi="Book Antiqua" w:cs="Arial"/>
          <w:lang w:val="en-US"/>
        </w:rPr>
        <w:t>surgery</w:t>
      </w:r>
      <w:r w:rsidR="0035357F" w:rsidRPr="003A7660">
        <w:rPr>
          <w:rFonts w:ascii="Book Antiqua" w:hAnsi="Book Antiqua" w:cs="Arial"/>
          <w:lang w:val="en-US"/>
        </w:rPr>
        <w:t xml:space="preserve"> of colorectal livers metastases (CRLMs). </w:t>
      </w:r>
      <w:r w:rsidR="0035357F" w:rsidRPr="003A7660">
        <w:rPr>
          <w:rFonts w:ascii="Book Antiqua" w:hAnsi="Book Antiqua"/>
          <w:lang w:val="en-US"/>
        </w:rPr>
        <w:t>The response to NAC is evaluated by radiological imaging according to morphological criteria. More recently, the response to NAC has been evaluated based on histological criteria of the resected specimen.</w:t>
      </w:r>
      <w:r w:rsidR="00BC74B3" w:rsidRPr="003A7660">
        <w:rPr>
          <w:rFonts w:ascii="Book Antiqua" w:hAnsi="Book Antiqua"/>
          <w:lang w:val="en-US"/>
        </w:rPr>
        <w:t xml:space="preserve"> The most often used score is the </w:t>
      </w:r>
      <w:r w:rsidR="000155F5" w:rsidRPr="003A7660">
        <w:rPr>
          <w:rFonts w:ascii="Book Antiqua" w:hAnsi="Book Antiqua"/>
          <w:lang w:val="en-US"/>
        </w:rPr>
        <w:t xml:space="preserve">tumor regression grade </w:t>
      </w:r>
      <w:r w:rsidR="00BC74B3" w:rsidRPr="003A7660">
        <w:rPr>
          <w:rFonts w:ascii="Book Antiqua" w:hAnsi="Book Antiqua"/>
          <w:lang w:val="en-US"/>
        </w:rPr>
        <w:t xml:space="preserve">(TRG), which considers the necrosis, fibrosis, and number of viable tumor cells. </w:t>
      </w:r>
    </w:p>
    <w:p w:rsidR="000155F5" w:rsidRPr="003A7660" w:rsidRDefault="000155F5" w:rsidP="00384F14">
      <w:pPr>
        <w:snapToGrid w:val="0"/>
        <w:spacing w:line="360" w:lineRule="auto"/>
        <w:jc w:val="both"/>
        <w:rPr>
          <w:rFonts w:ascii="Book Antiqua" w:eastAsia="宋体" w:hAnsi="Book Antiqua"/>
          <w:b/>
          <w:lang w:val="en-US" w:eastAsia="zh-CN"/>
        </w:rPr>
      </w:pPr>
    </w:p>
    <w:p w:rsidR="000155F5" w:rsidRPr="003A7660" w:rsidRDefault="000155F5" w:rsidP="00384F14">
      <w:pPr>
        <w:snapToGrid w:val="0"/>
        <w:spacing w:line="360" w:lineRule="auto"/>
        <w:jc w:val="both"/>
        <w:rPr>
          <w:rFonts w:ascii="Book Antiqua" w:eastAsia="宋体" w:hAnsi="Book Antiqua"/>
          <w:i/>
          <w:lang w:val="en-US" w:eastAsia="zh-CN"/>
        </w:rPr>
      </w:pPr>
      <w:r w:rsidRPr="003A7660">
        <w:rPr>
          <w:rFonts w:ascii="Book Antiqua" w:hAnsi="Book Antiqua"/>
          <w:b/>
          <w:i/>
          <w:lang w:val="en-US"/>
        </w:rPr>
        <w:t>AIM</w:t>
      </w:r>
    </w:p>
    <w:p w:rsidR="00A53D93" w:rsidRPr="003A7660" w:rsidRDefault="0097327B" w:rsidP="00384F14">
      <w:pPr>
        <w:snapToGrid w:val="0"/>
        <w:spacing w:line="360" w:lineRule="auto"/>
        <w:jc w:val="both"/>
        <w:rPr>
          <w:rFonts w:ascii="Book Antiqua" w:eastAsia="宋体" w:hAnsi="Book Antiqua"/>
          <w:lang w:val="en-US" w:eastAsia="zh-CN"/>
        </w:rPr>
      </w:pPr>
      <w:r w:rsidRPr="003A7660">
        <w:rPr>
          <w:rFonts w:ascii="Book Antiqua" w:hAnsi="Book Antiqua"/>
          <w:color w:val="000000"/>
          <w:lang w:val="en-US"/>
        </w:rPr>
        <w:t xml:space="preserve">To </w:t>
      </w:r>
      <w:r w:rsidRPr="003A7660">
        <w:rPr>
          <w:rFonts w:ascii="Book Antiqua" w:hAnsi="Book Antiqua"/>
          <w:lang w:val="en-US"/>
        </w:rPr>
        <w:t>analyze the predictive factors of the histological response, according to the</w:t>
      </w:r>
      <w:r w:rsidR="00673C3F" w:rsidRPr="003A7660">
        <w:rPr>
          <w:rFonts w:ascii="Book Antiqua" w:hAnsi="Book Antiqua"/>
          <w:lang w:val="en-US"/>
        </w:rPr>
        <w:t xml:space="preserve"> </w:t>
      </w:r>
      <w:r w:rsidRPr="003A7660">
        <w:rPr>
          <w:rFonts w:ascii="Book Antiqua" w:hAnsi="Book Antiqua"/>
          <w:lang w:val="en-US"/>
        </w:rPr>
        <w:t xml:space="preserve">TRG, on CRLM surgery performed after NAC. </w:t>
      </w:r>
    </w:p>
    <w:p w:rsidR="000155F5" w:rsidRPr="003A7660" w:rsidRDefault="000155F5" w:rsidP="00384F14">
      <w:pPr>
        <w:snapToGrid w:val="0"/>
        <w:spacing w:line="360" w:lineRule="auto"/>
        <w:jc w:val="both"/>
        <w:rPr>
          <w:rFonts w:ascii="Book Antiqua" w:eastAsia="宋体" w:hAnsi="Book Antiqua"/>
          <w:lang w:val="en-US" w:eastAsia="zh-CN"/>
        </w:rPr>
      </w:pPr>
    </w:p>
    <w:p w:rsidR="000155F5" w:rsidRPr="003A7660" w:rsidRDefault="000155F5" w:rsidP="00384F14">
      <w:pPr>
        <w:snapToGrid w:val="0"/>
        <w:spacing w:line="360" w:lineRule="auto"/>
        <w:jc w:val="both"/>
        <w:rPr>
          <w:rFonts w:ascii="Book Antiqua" w:eastAsia="宋体" w:hAnsi="Book Antiqua"/>
          <w:i/>
          <w:lang w:val="en-US" w:eastAsia="zh-CN"/>
        </w:rPr>
      </w:pPr>
      <w:r w:rsidRPr="003A7660">
        <w:rPr>
          <w:rFonts w:ascii="Book Antiqua" w:hAnsi="Book Antiqua"/>
          <w:b/>
          <w:i/>
          <w:lang w:val="en-US"/>
        </w:rPr>
        <w:t>METHODS</w:t>
      </w:r>
    </w:p>
    <w:p w:rsidR="0030443F" w:rsidRPr="003A7660" w:rsidRDefault="006907F0" w:rsidP="00384F14">
      <w:pPr>
        <w:snapToGrid w:val="0"/>
        <w:spacing w:line="360" w:lineRule="auto"/>
        <w:jc w:val="both"/>
        <w:rPr>
          <w:rFonts w:ascii="Book Antiqua" w:hAnsi="Book Antiqua"/>
          <w:lang w:val="en-US"/>
        </w:rPr>
      </w:pPr>
      <w:r w:rsidRPr="003A7660">
        <w:rPr>
          <w:rFonts w:ascii="Book Antiqua" w:hAnsi="Book Antiqua"/>
          <w:lang w:val="en-US"/>
        </w:rPr>
        <w:t xml:space="preserve">From January 2006 to December 2013, 150 patients who had </w:t>
      </w:r>
      <w:r w:rsidR="00021973" w:rsidRPr="003A7660">
        <w:rPr>
          <w:rFonts w:ascii="Book Antiqua" w:hAnsi="Book Antiqua"/>
          <w:lang w:val="en-US"/>
        </w:rPr>
        <w:t xml:space="preserve">underwent </w:t>
      </w:r>
      <w:r w:rsidRPr="003A7660">
        <w:rPr>
          <w:rFonts w:ascii="Book Antiqua" w:hAnsi="Book Antiqua"/>
          <w:lang w:val="en-US"/>
        </w:rPr>
        <w:t xml:space="preserve">surgery for CRLMs after NAC </w:t>
      </w:r>
      <w:r w:rsidR="0030443F" w:rsidRPr="003A7660">
        <w:rPr>
          <w:rFonts w:ascii="Book Antiqua" w:hAnsi="Book Antiqua"/>
          <w:lang w:val="en-US"/>
        </w:rPr>
        <w:t xml:space="preserve">were included. </w:t>
      </w:r>
      <w:r w:rsidRPr="003A7660">
        <w:rPr>
          <w:rFonts w:ascii="Book Antiqua" w:hAnsi="Book Antiqua"/>
          <w:lang w:val="en-US"/>
        </w:rPr>
        <w:t>The patients were separated in</w:t>
      </w:r>
      <w:r w:rsidR="00D22801" w:rsidRPr="003A7660">
        <w:rPr>
          <w:rFonts w:ascii="Book Antiqua" w:hAnsi="Book Antiqua"/>
          <w:lang w:val="en-US"/>
        </w:rPr>
        <w:t>to</w:t>
      </w:r>
      <w:r w:rsidRPr="003A7660">
        <w:rPr>
          <w:rFonts w:ascii="Book Antiqua" w:hAnsi="Book Antiqua"/>
          <w:lang w:val="en-US"/>
        </w:rPr>
        <w:t xml:space="preserve"> two groups based on their histological response</w:t>
      </w:r>
      <w:r w:rsidR="00F019BB" w:rsidRPr="003A7660">
        <w:rPr>
          <w:rFonts w:ascii="Book Antiqua" w:hAnsi="Book Antiqua"/>
          <w:lang w:val="en-US"/>
        </w:rPr>
        <w:t>,</w:t>
      </w:r>
      <w:r w:rsidRPr="003A7660">
        <w:rPr>
          <w:rFonts w:ascii="Book Antiqua" w:hAnsi="Book Antiqua"/>
          <w:lang w:val="en-US"/>
        </w:rPr>
        <w:t xml:space="preserve"> according to Rubbia-Brandt </w:t>
      </w:r>
      <w:r w:rsidR="000155F5" w:rsidRPr="003A7660">
        <w:rPr>
          <w:rFonts w:ascii="Book Antiqua" w:hAnsi="Book Antiqua"/>
          <w:lang w:val="en-US"/>
        </w:rPr>
        <w:t>TRG</w:t>
      </w:r>
      <w:r w:rsidRPr="003A7660">
        <w:rPr>
          <w:rFonts w:ascii="Book Antiqua" w:hAnsi="Book Antiqua"/>
          <w:lang w:val="en-US"/>
        </w:rPr>
        <w:t>. Based on their TRG, each patient was either assigned to the responder (R) group (TRG 1, 2, and 3) or to the non-responder (NR) group (TRG 4 and 5).</w:t>
      </w:r>
      <w:r w:rsidR="00631478" w:rsidRPr="003A7660">
        <w:rPr>
          <w:rFonts w:ascii="Book Antiqua" w:hAnsi="Book Antiqua"/>
          <w:lang w:val="en-US"/>
        </w:rPr>
        <w:t xml:space="preserve"> All of the histology slides were re-evaluated in a blind manner by the same specialized pathologist.</w:t>
      </w:r>
      <w:r w:rsidR="00631478" w:rsidRPr="003A7660">
        <w:rPr>
          <w:rFonts w:ascii="Book Antiqua" w:hAnsi="Book Antiqua"/>
          <w:b/>
          <w:bCs/>
          <w:lang w:val="en-US"/>
        </w:rPr>
        <w:t xml:space="preserve"> </w:t>
      </w:r>
      <w:r w:rsidR="0030443F" w:rsidRPr="003A7660">
        <w:rPr>
          <w:rFonts w:ascii="Book Antiqua" w:hAnsi="Book Antiqua"/>
          <w:color w:val="000000"/>
          <w:lang w:val="en-US"/>
        </w:rPr>
        <w:t>Univariate and multivariate analys</w:t>
      </w:r>
      <w:r w:rsidR="00673A23" w:rsidRPr="003A7660">
        <w:rPr>
          <w:rFonts w:ascii="Book Antiqua" w:hAnsi="Book Antiqua"/>
          <w:color w:val="000000"/>
          <w:lang w:val="en-US"/>
        </w:rPr>
        <w:t>e</w:t>
      </w:r>
      <w:r w:rsidR="0030443F" w:rsidRPr="003A7660">
        <w:rPr>
          <w:rFonts w:ascii="Book Antiqua" w:hAnsi="Book Antiqua"/>
          <w:color w:val="000000"/>
          <w:lang w:val="en-US"/>
        </w:rPr>
        <w:t>s were performed.</w:t>
      </w:r>
    </w:p>
    <w:p w:rsidR="00E15DFD" w:rsidRPr="003A7660" w:rsidRDefault="00E15DFD" w:rsidP="00384F14">
      <w:pPr>
        <w:snapToGrid w:val="0"/>
        <w:spacing w:line="360" w:lineRule="auto"/>
        <w:jc w:val="both"/>
        <w:rPr>
          <w:rFonts w:ascii="Book Antiqua" w:eastAsia="宋体" w:hAnsi="Book Antiqua"/>
          <w:b/>
          <w:lang w:val="en-US" w:eastAsia="zh-CN"/>
        </w:rPr>
      </w:pPr>
    </w:p>
    <w:p w:rsidR="00E15DFD" w:rsidRPr="003A7660" w:rsidRDefault="00E15DFD" w:rsidP="00384F14">
      <w:pPr>
        <w:snapToGrid w:val="0"/>
        <w:spacing w:line="360" w:lineRule="auto"/>
        <w:jc w:val="both"/>
        <w:rPr>
          <w:rFonts w:ascii="Book Antiqua" w:eastAsia="宋体" w:hAnsi="Book Antiqua"/>
          <w:b/>
          <w:i/>
          <w:lang w:val="en-US" w:eastAsia="zh-CN"/>
        </w:rPr>
      </w:pPr>
      <w:r w:rsidRPr="003A7660">
        <w:rPr>
          <w:rFonts w:ascii="Book Antiqua" w:hAnsi="Book Antiqua"/>
          <w:b/>
          <w:i/>
          <w:lang w:val="en-US"/>
        </w:rPr>
        <w:t>RESULTS</w:t>
      </w:r>
    </w:p>
    <w:p w:rsidR="001A3CA3" w:rsidRPr="003A7660" w:rsidRDefault="001767AD" w:rsidP="00384F14">
      <w:pPr>
        <w:snapToGrid w:val="0"/>
        <w:spacing w:line="360" w:lineRule="auto"/>
        <w:jc w:val="both"/>
        <w:rPr>
          <w:rFonts w:ascii="Book Antiqua" w:hAnsi="Book Antiqua"/>
          <w:lang w:val="en-US"/>
        </w:rPr>
      </w:pPr>
      <w:r w:rsidRPr="003A7660">
        <w:rPr>
          <w:rFonts w:ascii="Book Antiqua" w:hAnsi="Book Antiqua"/>
          <w:lang w:val="en-US"/>
        </w:rPr>
        <w:t xml:space="preserve">Seventy-four </w:t>
      </w:r>
      <w:r w:rsidR="0030443F" w:rsidRPr="003A7660">
        <w:rPr>
          <w:rFonts w:ascii="Book Antiqua" w:hAnsi="Book Antiqua"/>
          <w:lang w:val="en-US"/>
        </w:rPr>
        <w:t xml:space="preserve">patients were classified as responders and 76 as non-responders. </w:t>
      </w:r>
      <w:r w:rsidR="001A3CA3" w:rsidRPr="003A7660">
        <w:rPr>
          <w:rFonts w:ascii="Book Antiqua" w:hAnsi="Book Antiqua"/>
          <w:lang w:val="en-US"/>
        </w:rPr>
        <w:t xml:space="preserve">The postoperative mortality </w:t>
      </w:r>
      <w:r w:rsidR="00987FFA" w:rsidRPr="003A7660">
        <w:rPr>
          <w:rFonts w:ascii="Book Antiqua" w:hAnsi="Book Antiqua"/>
          <w:lang w:val="en-US"/>
        </w:rPr>
        <w:t xml:space="preserve">rate </w:t>
      </w:r>
      <w:r w:rsidR="001A3CA3" w:rsidRPr="003A7660">
        <w:rPr>
          <w:rFonts w:ascii="Book Antiqua" w:hAnsi="Book Antiqua"/>
          <w:lang w:val="en-US"/>
        </w:rPr>
        <w:t xml:space="preserve">was 0.7%, with a complication rate of 38%. </w:t>
      </w:r>
      <w:r w:rsidR="000A6944" w:rsidRPr="003A7660">
        <w:rPr>
          <w:rFonts w:ascii="Book Antiqua" w:hAnsi="Book Antiqua"/>
          <w:lang w:val="en-US"/>
        </w:rPr>
        <w:t>M</w:t>
      </w:r>
      <w:r w:rsidR="001A3CA3" w:rsidRPr="003A7660">
        <w:rPr>
          <w:rFonts w:ascii="Book Antiqua" w:hAnsi="Book Antiqua"/>
          <w:lang w:val="en-US"/>
        </w:rPr>
        <w:t xml:space="preserve">ultivariate analysis identified five predictive factors of histological response. Three were predictive of non-response: </w:t>
      </w:r>
      <w:r w:rsidR="004B4646" w:rsidRPr="003A7660">
        <w:rPr>
          <w:rFonts w:ascii="Book Antiqua" w:hAnsi="Book Antiqua"/>
          <w:lang w:val="en-US"/>
        </w:rPr>
        <w:t>m</w:t>
      </w:r>
      <w:r w:rsidR="001A3CA3" w:rsidRPr="003A7660">
        <w:rPr>
          <w:rFonts w:ascii="Book Antiqua" w:hAnsi="Book Antiqua"/>
          <w:lang w:val="en-US"/>
        </w:rPr>
        <w:t xml:space="preserve">ore than </w:t>
      </w:r>
      <w:r w:rsidR="004B4646" w:rsidRPr="003A7660">
        <w:rPr>
          <w:rFonts w:ascii="Book Antiqua" w:hAnsi="Book Antiqua"/>
          <w:lang w:val="en-US"/>
        </w:rPr>
        <w:t>seven</w:t>
      </w:r>
      <w:r w:rsidR="001A3CA3" w:rsidRPr="003A7660">
        <w:rPr>
          <w:rFonts w:ascii="Book Antiqua" w:hAnsi="Book Antiqua"/>
          <w:lang w:val="en-US"/>
        </w:rPr>
        <w:t xml:space="preserve"> NAC sessions, the absence of a radiological response after NAC, and a repeat hepatectomy (</w:t>
      </w:r>
      <w:r w:rsidR="00E15DFD" w:rsidRPr="003A7660">
        <w:rPr>
          <w:rFonts w:ascii="Book Antiqua" w:hAnsi="Book Antiqua"/>
          <w:i/>
          <w:lang w:val="en-US"/>
        </w:rPr>
        <w:t>P</w:t>
      </w:r>
      <w:r w:rsidR="00E15DFD" w:rsidRPr="003A7660">
        <w:rPr>
          <w:rFonts w:ascii="Book Antiqua" w:eastAsia="宋体" w:hAnsi="Book Antiqua"/>
          <w:lang w:val="en-US" w:eastAsia="zh-CN"/>
        </w:rPr>
        <w:t xml:space="preserve"> </w:t>
      </w:r>
      <w:r w:rsidR="001A3CA3" w:rsidRPr="003A7660">
        <w:rPr>
          <w:rFonts w:ascii="Book Antiqua" w:hAnsi="Book Antiqua"/>
          <w:lang w:val="en-US"/>
        </w:rPr>
        <w:t>&lt;</w:t>
      </w:r>
      <w:r w:rsidR="00E15DFD" w:rsidRPr="003A7660">
        <w:rPr>
          <w:rFonts w:ascii="Book Antiqua" w:eastAsia="宋体" w:hAnsi="Book Antiqua"/>
          <w:lang w:val="en-US" w:eastAsia="zh-CN"/>
        </w:rPr>
        <w:t xml:space="preserve"> </w:t>
      </w:r>
      <w:r w:rsidR="001A3CA3" w:rsidRPr="003A7660">
        <w:rPr>
          <w:rFonts w:ascii="Book Antiqua" w:hAnsi="Book Antiqua"/>
          <w:lang w:val="en-US"/>
        </w:rPr>
        <w:t xml:space="preserve">0.005). Two were predictive of a good response: </w:t>
      </w:r>
      <w:r w:rsidR="004666BA" w:rsidRPr="003A7660">
        <w:rPr>
          <w:rFonts w:ascii="Book Antiqua" w:hAnsi="Book Antiqua"/>
          <w:lang w:val="en-US"/>
        </w:rPr>
        <w:t>a</w:t>
      </w:r>
      <w:r w:rsidR="001A3CA3" w:rsidRPr="003A7660">
        <w:rPr>
          <w:rFonts w:ascii="Book Antiqua" w:hAnsi="Book Antiqua"/>
          <w:lang w:val="en-US"/>
        </w:rPr>
        <w:t xml:space="preserve"> rectal origin of the primary tumor and a liver-first </w:t>
      </w:r>
      <w:r w:rsidR="001A3CA3" w:rsidRPr="003A7660">
        <w:rPr>
          <w:rFonts w:ascii="Book Antiqua" w:hAnsi="Book Antiqua"/>
          <w:lang w:val="en-US"/>
        </w:rPr>
        <w:lastRenderedPageBreak/>
        <w:t>strategy (</w:t>
      </w:r>
      <w:r w:rsidR="00E15DFD" w:rsidRPr="003A7660">
        <w:rPr>
          <w:rFonts w:ascii="Book Antiqua" w:hAnsi="Book Antiqua"/>
          <w:i/>
          <w:lang w:val="en-US"/>
        </w:rPr>
        <w:t>P</w:t>
      </w:r>
      <w:r w:rsidR="00E15DFD" w:rsidRPr="003A7660">
        <w:rPr>
          <w:rFonts w:ascii="Book Antiqua" w:eastAsia="宋体" w:hAnsi="Book Antiqua"/>
          <w:lang w:val="en-US" w:eastAsia="zh-CN"/>
        </w:rPr>
        <w:t xml:space="preserve"> </w:t>
      </w:r>
      <w:r w:rsidR="001A3CA3" w:rsidRPr="003A7660">
        <w:rPr>
          <w:rFonts w:ascii="Book Antiqua" w:hAnsi="Book Antiqua"/>
          <w:lang w:val="en-US"/>
        </w:rPr>
        <w:t>&lt;</w:t>
      </w:r>
      <w:r w:rsidR="00E15DFD" w:rsidRPr="003A7660">
        <w:rPr>
          <w:rFonts w:ascii="Book Antiqua" w:eastAsia="宋体" w:hAnsi="Book Antiqua"/>
          <w:lang w:val="en-US" w:eastAsia="zh-CN"/>
        </w:rPr>
        <w:t xml:space="preserve"> </w:t>
      </w:r>
      <w:r w:rsidR="001A3CA3" w:rsidRPr="003A7660">
        <w:rPr>
          <w:rFonts w:ascii="Book Antiqua" w:hAnsi="Book Antiqua"/>
          <w:lang w:val="en-US"/>
        </w:rPr>
        <w:t xml:space="preserve">0.005). </w:t>
      </w:r>
      <w:r w:rsidR="00531E73" w:rsidRPr="003A7660">
        <w:rPr>
          <w:rFonts w:ascii="Book Antiqua" w:hAnsi="Book Antiqua"/>
          <w:lang w:val="en-US"/>
        </w:rPr>
        <w:t>The</w:t>
      </w:r>
      <w:r w:rsidR="00176693" w:rsidRPr="003A7660">
        <w:rPr>
          <w:rFonts w:ascii="Book Antiqua" w:hAnsi="Book Antiqua"/>
          <w:lang w:val="en-US"/>
        </w:rPr>
        <w:t xml:space="preserve"> overall survival </w:t>
      </w:r>
      <w:r w:rsidR="00531E73" w:rsidRPr="003A7660">
        <w:rPr>
          <w:rFonts w:ascii="Book Antiqua" w:hAnsi="Book Antiqua"/>
          <w:lang w:val="en-US"/>
        </w:rPr>
        <w:t>was 57% at 3 y</w:t>
      </w:r>
      <w:r w:rsidR="00E15DFD" w:rsidRPr="003A7660">
        <w:rPr>
          <w:rFonts w:ascii="Book Antiqua" w:hAnsi="Book Antiqua"/>
          <w:lang w:val="en-US"/>
        </w:rPr>
        <w:t>r</w:t>
      </w:r>
      <w:r w:rsidR="00531E73" w:rsidRPr="003A7660">
        <w:rPr>
          <w:rFonts w:ascii="Book Antiqua" w:hAnsi="Book Antiqua"/>
          <w:lang w:val="en-US"/>
        </w:rPr>
        <w:t xml:space="preserve"> and 36% at 5 y</w:t>
      </w:r>
      <w:r w:rsidR="00E15DFD" w:rsidRPr="003A7660">
        <w:rPr>
          <w:rFonts w:ascii="Book Antiqua" w:hAnsi="Book Antiqua"/>
          <w:lang w:val="en-US"/>
        </w:rPr>
        <w:t>r</w:t>
      </w:r>
      <w:r w:rsidR="00531E73" w:rsidRPr="003A7660">
        <w:rPr>
          <w:rFonts w:ascii="Book Antiqua" w:hAnsi="Book Antiqua"/>
          <w:lang w:val="en-US"/>
        </w:rPr>
        <w:t xml:space="preserve">. The </w:t>
      </w:r>
      <w:r w:rsidR="00176693" w:rsidRPr="003A7660">
        <w:rPr>
          <w:rFonts w:ascii="Book Antiqua" w:hAnsi="Book Antiqua"/>
          <w:lang w:val="en-US"/>
        </w:rPr>
        <w:t>disease-free survival</w:t>
      </w:r>
      <w:r w:rsidR="004666BA" w:rsidRPr="003A7660">
        <w:rPr>
          <w:rFonts w:ascii="Book Antiqua" w:hAnsi="Book Antiqua"/>
          <w:lang w:val="en-US"/>
        </w:rPr>
        <w:t xml:space="preserve"> rates</w:t>
      </w:r>
      <w:r w:rsidR="00176693" w:rsidRPr="003A7660">
        <w:rPr>
          <w:rFonts w:ascii="Book Antiqua" w:hAnsi="Book Antiqua"/>
          <w:lang w:val="en-US"/>
        </w:rPr>
        <w:t xml:space="preserve"> were 14%</w:t>
      </w:r>
      <w:r w:rsidR="00531E73" w:rsidRPr="003A7660">
        <w:rPr>
          <w:rFonts w:ascii="Book Antiqua" w:hAnsi="Book Antiqua"/>
          <w:lang w:val="en-US"/>
        </w:rPr>
        <w:t xml:space="preserve"> at 3 y</w:t>
      </w:r>
      <w:r w:rsidR="00E15DFD" w:rsidRPr="003A7660">
        <w:rPr>
          <w:rFonts w:ascii="Book Antiqua" w:hAnsi="Book Antiqua"/>
          <w:lang w:val="en-US"/>
        </w:rPr>
        <w:t>r</w:t>
      </w:r>
      <w:r w:rsidR="00531E73" w:rsidRPr="003A7660">
        <w:rPr>
          <w:rFonts w:ascii="Book Antiqua" w:hAnsi="Book Antiqua"/>
          <w:lang w:val="en-US"/>
        </w:rPr>
        <w:t xml:space="preserve"> and </w:t>
      </w:r>
      <w:r w:rsidR="00176693" w:rsidRPr="003A7660">
        <w:rPr>
          <w:rFonts w:ascii="Book Antiqua" w:hAnsi="Book Antiqua"/>
          <w:lang w:val="en-US"/>
        </w:rPr>
        <w:t>11%</w:t>
      </w:r>
      <w:r w:rsidR="00531E73" w:rsidRPr="003A7660">
        <w:rPr>
          <w:rFonts w:ascii="Book Antiqua" w:hAnsi="Book Antiqua"/>
          <w:lang w:val="en-US"/>
        </w:rPr>
        <w:t xml:space="preserve"> at 5 y</w:t>
      </w:r>
      <w:r w:rsidR="00E15DFD" w:rsidRPr="003A7660">
        <w:rPr>
          <w:rFonts w:ascii="Book Antiqua" w:hAnsi="Book Antiqua"/>
          <w:lang w:val="en-US"/>
        </w:rPr>
        <w:t>r</w:t>
      </w:r>
      <w:r w:rsidR="00531E73" w:rsidRPr="003A7660">
        <w:rPr>
          <w:rFonts w:ascii="Book Antiqua" w:hAnsi="Book Antiqua"/>
          <w:lang w:val="en-US"/>
        </w:rPr>
        <w:t xml:space="preserve">. </w:t>
      </w:r>
      <w:r w:rsidR="00176693" w:rsidRPr="003A7660">
        <w:rPr>
          <w:rFonts w:ascii="Book Antiqua" w:hAnsi="Book Antiqua"/>
          <w:lang w:val="en-US"/>
        </w:rPr>
        <w:t xml:space="preserve">The factors contributing to a poor prognosis for </w:t>
      </w:r>
      <w:r w:rsidR="000B7B01" w:rsidRPr="003A7660">
        <w:rPr>
          <w:rFonts w:ascii="Book Antiqua" w:hAnsi="Book Antiqua"/>
          <w:lang w:val="en-US"/>
        </w:rPr>
        <w:t>disease-free survival</w:t>
      </w:r>
      <w:r w:rsidR="00176693" w:rsidRPr="003A7660">
        <w:rPr>
          <w:rFonts w:ascii="Book Antiqua" w:hAnsi="Book Antiqua"/>
          <w:lang w:val="en-US"/>
        </w:rPr>
        <w:t xml:space="preserve"> were: </w:t>
      </w:r>
      <w:r w:rsidR="00C40B87" w:rsidRPr="003A7660">
        <w:rPr>
          <w:rFonts w:ascii="Book Antiqua" w:hAnsi="Book Antiqua"/>
          <w:lang w:val="en-US"/>
        </w:rPr>
        <w:t>n</w:t>
      </w:r>
      <w:r w:rsidR="00176693" w:rsidRPr="003A7660">
        <w:rPr>
          <w:rFonts w:ascii="Book Antiqua" w:hAnsi="Book Antiqua"/>
          <w:lang w:val="en-US"/>
        </w:rPr>
        <w:t>o histological response after</w:t>
      </w:r>
      <w:r w:rsidR="000155F5" w:rsidRPr="003A7660">
        <w:rPr>
          <w:rFonts w:ascii="Book Antiqua" w:eastAsia="宋体" w:hAnsi="Book Antiqua"/>
          <w:lang w:val="en-US" w:eastAsia="zh-CN"/>
        </w:rPr>
        <w:t xml:space="preserve"> NAC</w:t>
      </w:r>
      <w:r w:rsidR="00176693" w:rsidRPr="003A7660">
        <w:rPr>
          <w:rFonts w:ascii="Book Antiqua" w:hAnsi="Book Antiqua"/>
          <w:lang w:val="en-US"/>
        </w:rPr>
        <w:t xml:space="preserve">, largest metastasis &gt; 3 cm, more than </w:t>
      </w:r>
      <w:r w:rsidR="00485976" w:rsidRPr="003A7660">
        <w:rPr>
          <w:rFonts w:ascii="Book Antiqua" w:hAnsi="Book Antiqua"/>
          <w:lang w:val="en-US"/>
        </w:rPr>
        <w:t>three</w:t>
      </w:r>
      <w:r w:rsidR="00176693" w:rsidRPr="003A7660">
        <w:rPr>
          <w:rFonts w:ascii="Book Antiqua" w:hAnsi="Book Antiqua"/>
          <w:lang w:val="en-US"/>
        </w:rPr>
        <w:t xml:space="preserve"> preoperative metastases, R1 resection, and the use of a targeted therapy with </w:t>
      </w:r>
      <w:r w:rsidR="000155F5" w:rsidRPr="003A7660">
        <w:rPr>
          <w:rFonts w:ascii="Book Antiqua" w:eastAsia="宋体" w:hAnsi="Book Antiqua"/>
          <w:lang w:val="en-US" w:eastAsia="zh-CN"/>
        </w:rPr>
        <w:t>NAC</w:t>
      </w:r>
      <w:r w:rsidR="00176693" w:rsidRPr="003A7660">
        <w:rPr>
          <w:rFonts w:ascii="Book Antiqua" w:hAnsi="Book Antiqua"/>
          <w:lang w:val="en-US"/>
        </w:rPr>
        <w:t xml:space="preserve"> (</w:t>
      </w:r>
      <w:r w:rsidR="00E15DFD" w:rsidRPr="003A7660">
        <w:rPr>
          <w:rFonts w:ascii="Book Antiqua" w:hAnsi="Book Antiqua"/>
          <w:i/>
          <w:lang w:val="en-US"/>
        </w:rPr>
        <w:t>P</w:t>
      </w:r>
      <w:r w:rsidR="00E15DFD" w:rsidRPr="003A7660">
        <w:rPr>
          <w:rFonts w:ascii="Book Antiqua" w:hAnsi="Book Antiqua"/>
          <w:lang w:val="en-US"/>
        </w:rPr>
        <w:t xml:space="preserve"> </w:t>
      </w:r>
      <w:r w:rsidR="00176693" w:rsidRPr="003A7660">
        <w:rPr>
          <w:rFonts w:ascii="Book Antiqua" w:hAnsi="Book Antiqua"/>
          <w:lang w:val="en-US"/>
        </w:rPr>
        <w:t>&lt;</w:t>
      </w:r>
      <w:r w:rsidR="00E15DFD" w:rsidRPr="003A7660">
        <w:rPr>
          <w:rFonts w:ascii="Book Antiqua" w:eastAsia="宋体" w:hAnsi="Book Antiqua"/>
          <w:lang w:val="en-US" w:eastAsia="zh-CN"/>
        </w:rPr>
        <w:t xml:space="preserve"> </w:t>
      </w:r>
      <w:r w:rsidR="00176693" w:rsidRPr="003A7660">
        <w:rPr>
          <w:rFonts w:ascii="Book Antiqua" w:hAnsi="Book Antiqua"/>
          <w:lang w:val="en-US"/>
        </w:rPr>
        <w:t>0.005).</w:t>
      </w:r>
    </w:p>
    <w:p w:rsidR="00E15DFD" w:rsidRPr="003A7660" w:rsidRDefault="00E15DFD" w:rsidP="00384F14">
      <w:pPr>
        <w:snapToGrid w:val="0"/>
        <w:spacing w:line="360" w:lineRule="auto"/>
        <w:jc w:val="both"/>
        <w:rPr>
          <w:rFonts w:ascii="Book Antiqua" w:eastAsia="宋体" w:hAnsi="Book Antiqua"/>
          <w:b/>
          <w:lang w:val="en-US" w:eastAsia="zh-CN"/>
        </w:rPr>
      </w:pPr>
    </w:p>
    <w:p w:rsidR="00E15DFD" w:rsidRPr="003A7660" w:rsidRDefault="00E15DFD" w:rsidP="00384F14">
      <w:pPr>
        <w:snapToGrid w:val="0"/>
        <w:spacing w:line="360" w:lineRule="auto"/>
        <w:jc w:val="both"/>
        <w:rPr>
          <w:rFonts w:ascii="Book Antiqua" w:eastAsia="宋体" w:hAnsi="Book Antiqua"/>
          <w:b/>
          <w:i/>
          <w:lang w:val="en-US" w:eastAsia="zh-CN"/>
        </w:rPr>
      </w:pPr>
      <w:r w:rsidRPr="003A7660">
        <w:rPr>
          <w:rFonts w:ascii="Book Antiqua" w:hAnsi="Book Antiqua"/>
          <w:b/>
          <w:i/>
          <w:lang w:val="en-US"/>
        </w:rPr>
        <w:t xml:space="preserve">CONCLUSION </w:t>
      </w:r>
    </w:p>
    <w:p w:rsidR="0030443F" w:rsidRPr="003A7660" w:rsidRDefault="0030443F" w:rsidP="00384F14">
      <w:pPr>
        <w:snapToGrid w:val="0"/>
        <w:spacing w:line="360" w:lineRule="auto"/>
        <w:jc w:val="both"/>
        <w:rPr>
          <w:rFonts w:ascii="Book Antiqua" w:hAnsi="Book Antiqua"/>
          <w:lang w:val="en-US"/>
        </w:rPr>
      </w:pPr>
      <w:r w:rsidRPr="003A7660">
        <w:rPr>
          <w:rFonts w:ascii="Book Antiqua" w:hAnsi="Book Antiqua"/>
          <w:color w:val="000000"/>
          <w:lang w:val="en-US"/>
        </w:rPr>
        <w:t>A non-radiological response and a number</w:t>
      </w:r>
      <w:r w:rsidR="00C1354E" w:rsidRPr="003A7660">
        <w:rPr>
          <w:rFonts w:ascii="Book Antiqua" w:hAnsi="Book Antiqua"/>
          <w:color w:val="000000"/>
          <w:lang w:val="en-US"/>
        </w:rPr>
        <w:t xml:space="preserve"> of </w:t>
      </w:r>
      <w:r w:rsidR="00DE36F5" w:rsidRPr="003A7660">
        <w:rPr>
          <w:rFonts w:ascii="Book Antiqua" w:hAnsi="Book Antiqua"/>
          <w:color w:val="000000"/>
          <w:lang w:val="en-US"/>
        </w:rPr>
        <w:t xml:space="preserve">NAC </w:t>
      </w:r>
      <w:r w:rsidR="00C1354E" w:rsidRPr="003A7660">
        <w:rPr>
          <w:rFonts w:ascii="Book Antiqua" w:hAnsi="Book Antiqua"/>
          <w:color w:val="000000"/>
          <w:lang w:val="en-US"/>
        </w:rPr>
        <w:t>sessions</w:t>
      </w:r>
      <w:r w:rsidRPr="003A7660">
        <w:rPr>
          <w:rFonts w:ascii="Book Antiqua" w:hAnsi="Book Antiqua"/>
          <w:color w:val="000000"/>
          <w:lang w:val="en-US"/>
        </w:rPr>
        <w:t xml:space="preserve"> &gt; 7 are the two most pertinent predictive factors of non-histological response (TRG 4 or 5).</w:t>
      </w:r>
    </w:p>
    <w:p w:rsidR="005323D5" w:rsidRPr="003A7660" w:rsidRDefault="005323D5" w:rsidP="00384F14">
      <w:pPr>
        <w:snapToGrid w:val="0"/>
        <w:spacing w:line="360" w:lineRule="auto"/>
        <w:jc w:val="both"/>
        <w:rPr>
          <w:rFonts w:ascii="Book Antiqua" w:hAnsi="Book Antiqua"/>
          <w:lang w:val="en-US"/>
        </w:rPr>
      </w:pPr>
    </w:p>
    <w:p w:rsidR="000A4B65" w:rsidRPr="003A7660" w:rsidRDefault="00E15DFD" w:rsidP="00384F14">
      <w:pPr>
        <w:snapToGrid w:val="0"/>
        <w:spacing w:line="360" w:lineRule="auto"/>
        <w:jc w:val="both"/>
        <w:rPr>
          <w:rFonts w:ascii="Book Antiqua" w:hAnsi="Book Antiqua"/>
          <w:lang w:val="en-US"/>
        </w:rPr>
      </w:pPr>
      <w:r w:rsidRPr="003A7660">
        <w:rPr>
          <w:rFonts w:ascii="Book Antiqua" w:hAnsi="Book Antiqua"/>
          <w:b/>
          <w:lang w:val="en-US"/>
        </w:rPr>
        <w:t>Key words:</w:t>
      </w:r>
      <w:r w:rsidR="00C06E19" w:rsidRPr="003A7660">
        <w:rPr>
          <w:rFonts w:ascii="Book Antiqua" w:hAnsi="Book Antiqua"/>
          <w:b/>
          <w:lang w:val="en-US"/>
        </w:rPr>
        <w:t xml:space="preserve"> </w:t>
      </w:r>
      <w:bookmarkStart w:id="8" w:name="OLE_LINK116"/>
      <w:bookmarkStart w:id="9" w:name="OLE_LINK117"/>
      <w:r w:rsidR="00C06E19" w:rsidRPr="003A7660">
        <w:rPr>
          <w:rFonts w:ascii="Book Antiqua" w:hAnsi="Book Antiqua"/>
          <w:lang w:val="en-US"/>
        </w:rPr>
        <w:t>Colorectal liver metas</w:t>
      </w:r>
      <w:r w:rsidR="00056BF9" w:rsidRPr="003A7660">
        <w:rPr>
          <w:rFonts w:ascii="Book Antiqua" w:hAnsi="Book Antiqua"/>
          <w:lang w:val="en-US"/>
        </w:rPr>
        <w:t>tasis; T</w:t>
      </w:r>
      <w:r w:rsidR="00065C6F" w:rsidRPr="003A7660">
        <w:rPr>
          <w:rFonts w:ascii="Book Antiqua" w:hAnsi="Book Antiqua"/>
          <w:lang w:val="en-US"/>
        </w:rPr>
        <w:t>u</w:t>
      </w:r>
      <w:r w:rsidR="00056BF9" w:rsidRPr="003A7660">
        <w:rPr>
          <w:rFonts w:ascii="Book Antiqua" w:hAnsi="Book Antiqua"/>
          <w:lang w:val="en-US"/>
        </w:rPr>
        <w:t>mor regression grade; Neoadjuvant chemotherapy; Liver surgery; Histological response</w:t>
      </w:r>
      <w:r w:rsidR="001212C1" w:rsidRPr="003A7660">
        <w:rPr>
          <w:rFonts w:ascii="Book Antiqua" w:hAnsi="Book Antiqua"/>
          <w:lang w:val="en-US"/>
        </w:rPr>
        <w:t>; Hepatectomy</w:t>
      </w:r>
    </w:p>
    <w:bookmarkEnd w:id="8"/>
    <w:bookmarkEnd w:id="9"/>
    <w:p w:rsidR="00B92517" w:rsidRPr="003A7660" w:rsidRDefault="00B92517" w:rsidP="00384F14">
      <w:pPr>
        <w:snapToGrid w:val="0"/>
        <w:spacing w:line="360" w:lineRule="auto"/>
        <w:jc w:val="both"/>
        <w:rPr>
          <w:rFonts w:ascii="Book Antiqua" w:eastAsia="宋体" w:hAnsi="Book Antiqua"/>
          <w:lang w:val="en-US" w:eastAsia="zh-CN"/>
        </w:rPr>
      </w:pPr>
    </w:p>
    <w:p w:rsidR="00E15DFD" w:rsidRPr="003A7660" w:rsidRDefault="00E15DFD" w:rsidP="00384F14">
      <w:pPr>
        <w:widowControl w:val="0"/>
        <w:snapToGrid w:val="0"/>
        <w:spacing w:line="360" w:lineRule="auto"/>
        <w:jc w:val="both"/>
        <w:rPr>
          <w:rFonts w:ascii="Book Antiqua" w:eastAsia="宋体" w:hAnsi="Book Antiqua"/>
          <w:bCs/>
          <w:lang w:val="en-US" w:eastAsia="zh-CN"/>
        </w:rPr>
      </w:pPr>
      <w:bookmarkStart w:id="10" w:name="OLE_LINK118"/>
      <w:bookmarkStart w:id="11" w:name="OLE_LINK119"/>
      <w:r w:rsidRPr="003A7660">
        <w:rPr>
          <w:rFonts w:ascii="Book Antiqua" w:hAnsi="Book Antiqua"/>
          <w:b/>
          <w:bCs/>
          <w:lang w:val="en-US"/>
        </w:rPr>
        <w:t>© The Author(s) 201</w:t>
      </w:r>
      <w:r w:rsidR="00490748" w:rsidRPr="003A7660">
        <w:rPr>
          <w:rFonts w:ascii="Book Antiqua" w:eastAsia="宋体" w:hAnsi="Book Antiqua"/>
          <w:b/>
          <w:bCs/>
          <w:lang w:val="en-US" w:eastAsia="zh-CN"/>
        </w:rPr>
        <w:t>9</w:t>
      </w:r>
      <w:r w:rsidRPr="003A7660">
        <w:rPr>
          <w:rFonts w:ascii="Book Antiqua" w:hAnsi="Book Antiqua"/>
          <w:b/>
          <w:bCs/>
          <w:lang w:val="en-US"/>
        </w:rPr>
        <w:t xml:space="preserve">. </w:t>
      </w:r>
      <w:r w:rsidRPr="003A7660">
        <w:rPr>
          <w:rFonts w:ascii="Book Antiqua" w:hAnsi="Book Antiqua"/>
          <w:bCs/>
          <w:lang w:val="en-US"/>
        </w:rPr>
        <w:t>Published by Baishideng Publishing Group Inc. All rights reserved.</w:t>
      </w:r>
    </w:p>
    <w:bookmarkEnd w:id="10"/>
    <w:bookmarkEnd w:id="11"/>
    <w:p w:rsidR="00E15DFD" w:rsidRPr="003A7660" w:rsidRDefault="00E15DFD" w:rsidP="00384F14">
      <w:pPr>
        <w:snapToGrid w:val="0"/>
        <w:spacing w:line="360" w:lineRule="auto"/>
        <w:jc w:val="both"/>
        <w:rPr>
          <w:rFonts w:ascii="Book Antiqua" w:eastAsia="宋体" w:hAnsi="Book Antiqua"/>
          <w:lang w:val="en-US" w:eastAsia="zh-CN"/>
        </w:rPr>
      </w:pPr>
    </w:p>
    <w:p w:rsidR="00B92517" w:rsidRPr="003A7660" w:rsidRDefault="00B92517" w:rsidP="00384F14">
      <w:pPr>
        <w:snapToGrid w:val="0"/>
        <w:spacing w:line="360" w:lineRule="auto"/>
        <w:jc w:val="both"/>
        <w:rPr>
          <w:rFonts w:ascii="Book Antiqua" w:hAnsi="Book Antiqua"/>
          <w:lang w:val="en-US"/>
        </w:rPr>
      </w:pPr>
      <w:r w:rsidRPr="003A7660">
        <w:rPr>
          <w:rFonts w:ascii="Book Antiqua" w:hAnsi="Book Antiqua"/>
          <w:b/>
          <w:lang w:val="en-US"/>
        </w:rPr>
        <w:t>Core tip:</w:t>
      </w:r>
      <w:r w:rsidRPr="003A7660">
        <w:rPr>
          <w:rFonts w:ascii="Book Antiqua" w:hAnsi="Book Antiqua"/>
          <w:lang w:val="en-US"/>
        </w:rPr>
        <w:t xml:space="preserve"> In this study</w:t>
      </w:r>
      <w:r w:rsidR="00273400" w:rsidRPr="003A7660">
        <w:rPr>
          <w:rFonts w:ascii="Book Antiqua" w:hAnsi="Book Antiqua"/>
          <w:lang w:val="en-US"/>
        </w:rPr>
        <w:t>,</w:t>
      </w:r>
      <w:r w:rsidRPr="003A7660">
        <w:rPr>
          <w:rFonts w:ascii="Book Antiqua" w:hAnsi="Book Antiqua"/>
          <w:lang w:val="en-US"/>
        </w:rPr>
        <w:t xml:space="preserve"> we analyzed the histological response</w:t>
      </w:r>
      <w:r w:rsidR="00830919" w:rsidRPr="003A7660">
        <w:rPr>
          <w:rFonts w:ascii="Book Antiqua" w:hAnsi="Book Antiqua"/>
          <w:lang w:val="en-US"/>
        </w:rPr>
        <w:t>s</w:t>
      </w:r>
      <w:r w:rsidRPr="003A7660">
        <w:rPr>
          <w:rFonts w:ascii="Book Antiqua" w:hAnsi="Book Antiqua"/>
          <w:lang w:val="en-US"/>
        </w:rPr>
        <w:t xml:space="preserve"> of colorectal liver metastasis </w:t>
      </w:r>
      <w:r w:rsidR="00830919" w:rsidRPr="003A7660">
        <w:rPr>
          <w:rFonts w:ascii="Book Antiqua" w:hAnsi="Book Antiqua"/>
          <w:lang w:val="en-US"/>
        </w:rPr>
        <w:t>from</w:t>
      </w:r>
      <w:r w:rsidRPr="003A7660">
        <w:rPr>
          <w:rFonts w:ascii="Book Antiqua" w:hAnsi="Book Antiqua"/>
          <w:lang w:val="en-US"/>
        </w:rPr>
        <w:t xml:space="preserve"> 74 responders and 76 non-responders after neoadjuvant chemotherapy</w:t>
      </w:r>
      <w:r w:rsidR="00E456F0" w:rsidRPr="003A7660">
        <w:rPr>
          <w:rFonts w:ascii="Book Antiqua" w:hAnsi="Book Antiqua"/>
          <w:lang w:val="en-US"/>
        </w:rPr>
        <w:t>. We</w:t>
      </w:r>
      <w:r w:rsidRPr="003A7660">
        <w:rPr>
          <w:rFonts w:ascii="Book Antiqua" w:hAnsi="Book Antiqua"/>
          <w:lang w:val="en-US"/>
        </w:rPr>
        <w:t xml:space="preserve"> identified that the absence of a radiological response and extended neoadjuvant chemotherapy, comprising more than seven treatment sessions, are the </w:t>
      </w:r>
      <w:r w:rsidRPr="003A7660">
        <w:rPr>
          <w:rFonts w:ascii="Book Antiqua" w:hAnsi="Book Antiqua"/>
          <w:color w:val="000000"/>
          <w:lang w:val="en-US"/>
        </w:rPr>
        <w:t xml:space="preserve">two most pertinent predictive factors of non-histological response. </w:t>
      </w:r>
      <w:r w:rsidRPr="003A7660">
        <w:rPr>
          <w:rFonts w:ascii="Book Antiqua" w:hAnsi="Book Antiqua"/>
          <w:lang w:val="en-US"/>
        </w:rPr>
        <w:t xml:space="preserve">This study </w:t>
      </w:r>
      <w:r w:rsidR="00C628A6" w:rsidRPr="003A7660">
        <w:rPr>
          <w:rFonts w:ascii="Book Antiqua" w:hAnsi="Book Antiqua"/>
          <w:lang w:val="en-US"/>
        </w:rPr>
        <w:t>also</w:t>
      </w:r>
      <w:r w:rsidRPr="003A7660">
        <w:rPr>
          <w:rFonts w:ascii="Book Antiqua" w:hAnsi="Book Antiqua"/>
          <w:lang w:val="en-US"/>
        </w:rPr>
        <w:t xml:space="preserve"> confirmed that the histological response of colorectal liver metastases after neoadjuvant chemotherapy has an influence on survival and</w:t>
      </w:r>
      <w:r w:rsidR="00877B57" w:rsidRPr="003A7660">
        <w:rPr>
          <w:rFonts w:ascii="Book Antiqua" w:hAnsi="Book Antiqua"/>
          <w:lang w:val="en-US"/>
        </w:rPr>
        <w:t>,</w:t>
      </w:r>
      <w:r w:rsidRPr="003A7660">
        <w:rPr>
          <w:rFonts w:ascii="Book Antiqua" w:hAnsi="Book Antiqua"/>
          <w:lang w:val="en-US"/>
        </w:rPr>
        <w:t xml:space="preserve"> hence</w:t>
      </w:r>
      <w:r w:rsidR="00877B57" w:rsidRPr="003A7660">
        <w:rPr>
          <w:rFonts w:ascii="Book Antiqua" w:hAnsi="Book Antiqua"/>
          <w:lang w:val="en-US"/>
        </w:rPr>
        <w:t>,</w:t>
      </w:r>
      <w:r w:rsidRPr="003A7660">
        <w:rPr>
          <w:rFonts w:ascii="Book Antiqua" w:hAnsi="Book Antiqua"/>
          <w:lang w:val="en-US"/>
        </w:rPr>
        <w:t xml:space="preserve"> warrants </w:t>
      </w:r>
      <w:r w:rsidR="00877B57" w:rsidRPr="003A7660">
        <w:rPr>
          <w:rFonts w:ascii="Book Antiqua" w:hAnsi="Book Antiqua"/>
          <w:lang w:val="en-US"/>
        </w:rPr>
        <w:t>consideration</w:t>
      </w:r>
      <w:r w:rsidRPr="003A7660">
        <w:rPr>
          <w:rFonts w:ascii="Book Antiqua" w:hAnsi="Book Antiqua"/>
          <w:lang w:val="en-US"/>
        </w:rPr>
        <w:t>. However, this influence on overall survival was lacking in cases of particularly aggressive disease</w:t>
      </w:r>
      <w:r w:rsidR="00623C01" w:rsidRPr="003A7660">
        <w:rPr>
          <w:rFonts w:ascii="Book Antiqua" w:hAnsi="Book Antiqua"/>
          <w:lang w:val="en-US"/>
        </w:rPr>
        <w:t xml:space="preserve"> that revealed</w:t>
      </w:r>
      <w:r w:rsidRPr="003A7660">
        <w:rPr>
          <w:rFonts w:ascii="Book Antiqua" w:hAnsi="Book Antiqua"/>
          <w:lang w:val="en-US"/>
        </w:rPr>
        <w:t xml:space="preserve"> microscopic vascular invasion </w:t>
      </w:r>
      <w:r w:rsidR="004A3B6F" w:rsidRPr="003A7660">
        <w:rPr>
          <w:rFonts w:ascii="Book Antiqua" w:hAnsi="Book Antiqua"/>
          <w:lang w:val="en-US"/>
        </w:rPr>
        <w:t>in</w:t>
      </w:r>
      <w:r w:rsidRPr="003A7660">
        <w:rPr>
          <w:rFonts w:ascii="Book Antiqua" w:hAnsi="Book Antiqua"/>
          <w:lang w:val="en-US"/>
        </w:rPr>
        <w:t xml:space="preserve"> histological analys</w:t>
      </w:r>
      <w:r w:rsidR="004A3B6F" w:rsidRPr="003A7660">
        <w:rPr>
          <w:rFonts w:ascii="Book Antiqua" w:hAnsi="Book Antiqua"/>
          <w:lang w:val="en-US"/>
        </w:rPr>
        <w:t>e</w:t>
      </w:r>
      <w:r w:rsidRPr="003A7660">
        <w:rPr>
          <w:rFonts w:ascii="Book Antiqua" w:hAnsi="Book Antiqua"/>
          <w:lang w:val="en-US"/>
        </w:rPr>
        <w:t>s.</w:t>
      </w:r>
    </w:p>
    <w:p w:rsidR="000A4B65" w:rsidRPr="003A7660" w:rsidRDefault="000A4B65" w:rsidP="00384F14">
      <w:pPr>
        <w:snapToGrid w:val="0"/>
        <w:spacing w:line="360" w:lineRule="auto"/>
        <w:jc w:val="both"/>
        <w:rPr>
          <w:rFonts w:ascii="Book Antiqua" w:eastAsia="宋体" w:hAnsi="Book Antiqua"/>
          <w:b/>
          <w:lang w:val="en-US" w:eastAsia="zh-CN"/>
        </w:rPr>
      </w:pPr>
    </w:p>
    <w:p w:rsidR="00B370FA" w:rsidRPr="003A7660" w:rsidRDefault="00B370FA" w:rsidP="00B370FA">
      <w:pPr>
        <w:snapToGrid w:val="0"/>
        <w:spacing w:line="360" w:lineRule="auto"/>
        <w:jc w:val="both"/>
        <w:rPr>
          <w:rFonts w:ascii="Book Antiqua" w:eastAsia="宋体" w:hAnsi="Book Antiqua"/>
          <w:bCs/>
          <w:iCs/>
          <w:lang w:val="en-US" w:eastAsia="zh-CN"/>
        </w:rPr>
      </w:pPr>
      <w:r w:rsidRPr="003A7660">
        <w:rPr>
          <w:rFonts w:ascii="Book Antiqua" w:hAnsi="Book Antiqua"/>
          <w:b/>
          <w:lang w:val="en-US"/>
        </w:rPr>
        <w:t xml:space="preserve">Citation: </w:t>
      </w:r>
      <w:r w:rsidR="00E15DFD" w:rsidRPr="003A7660">
        <w:rPr>
          <w:rFonts w:ascii="Book Antiqua" w:hAnsi="Book Antiqua"/>
          <w:lang w:val="en-US"/>
        </w:rPr>
        <w:t>Serayssol</w:t>
      </w:r>
      <w:r w:rsidR="00E15DFD" w:rsidRPr="003A7660">
        <w:rPr>
          <w:rFonts w:ascii="Book Antiqua" w:eastAsia="宋体" w:hAnsi="Book Antiqua"/>
          <w:lang w:val="en-US" w:eastAsia="zh-CN"/>
        </w:rPr>
        <w:t xml:space="preserve"> C</w:t>
      </w:r>
      <w:r w:rsidR="00E15DFD" w:rsidRPr="003A7660">
        <w:rPr>
          <w:rFonts w:ascii="Book Antiqua" w:hAnsi="Book Antiqua"/>
          <w:lang w:val="en-US"/>
        </w:rPr>
        <w:t>, Maulat</w:t>
      </w:r>
      <w:r w:rsidR="00E15DFD" w:rsidRPr="003A7660">
        <w:rPr>
          <w:rFonts w:ascii="Book Antiqua" w:eastAsia="宋体" w:hAnsi="Book Antiqua"/>
          <w:lang w:val="en-US" w:eastAsia="zh-CN"/>
        </w:rPr>
        <w:t xml:space="preserve"> C</w:t>
      </w:r>
      <w:r w:rsidR="00E15DFD" w:rsidRPr="003A7660">
        <w:rPr>
          <w:rFonts w:ascii="Book Antiqua" w:hAnsi="Book Antiqua"/>
          <w:lang w:val="en-US"/>
        </w:rPr>
        <w:t>, Breibach</w:t>
      </w:r>
      <w:r w:rsidR="00E15DFD" w:rsidRPr="003A7660">
        <w:rPr>
          <w:rFonts w:ascii="Book Antiqua" w:eastAsia="宋体" w:hAnsi="Book Antiqua"/>
          <w:lang w:val="en-US" w:eastAsia="zh-CN"/>
        </w:rPr>
        <w:t xml:space="preserve"> F</w:t>
      </w:r>
      <w:r w:rsidR="00E15DFD" w:rsidRPr="003A7660">
        <w:rPr>
          <w:rFonts w:ascii="Book Antiqua" w:hAnsi="Book Antiqua"/>
          <w:lang w:val="en-US"/>
        </w:rPr>
        <w:t>, Mokrane</w:t>
      </w:r>
      <w:r w:rsidR="00E15DFD" w:rsidRPr="003A7660">
        <w:rPr>
          <w:rFonts w:ascii="Book Antiqua" w:eastAsia="宋体" w:hAnsi="Book Antiqua"/>
          <w:lang w:val="en-US" w:eastAsia="zh-CN"/>
        </w:rPr>
        <w:t xml:space="preserve"> FZ</w:t>
      </w:r>
      <w:r w:rsidR="00E15DFD" w:rsidRPr="003A7660">
        <w:rPr>
          <w:rFonts w:ascii="Book Antiqua" w:hAnsi="Book Antiqua"/>
          <w:lang w:val="en-US"/>
        </w:rPr>
        <w:t>, Selves</w:t>
      </w:r>
      <w:r w:rsidR="00E15DFD" w:rsidRPr="003A7660">
        <w:rPr>
          <w:rFonts w:ascii="Book Antiqua" w:eastAsia="宋体" w:hAnsi="Book Antiqua"/>
          <w:lang w:val="en-US" w:eastAsia="zh-CN"/>
        </w:rPr>
        <w:t xml:space="preserve"> J</w:t>
      </w:r>
      <w:r w:rsidR="00E15DFD" w:rsidRPr="003A7660">
        <w:rPr>
          <w:rFonts w:ascii="Book Antiqua" w:hAnsi="Book Antiqua"/>
          <w:lang w:val="en-US"/>
        </w:rPr>
        <w:t>, Guimbaud</w:t>
      </w:r>
      <w:r w:rsidR="00E15DFD" w:rsidRPr="003A7660">
        <w:rPr>
          <w:rFonts w:ascii="Book Antiqua" w:eastAsia="宋体" w:hAnsi="Book Antiqua"/>
          <w:lang w:val="en-US" w:eastAsia="zh-CN"/>
        </w:rPr>
        <w:t xml:space="preserve"> R</w:t>
      </w:r>
      <w:r w:rsidR="00E15DFD" w:rsidRPr="003A7660">
        <w:rPr>
          <w:rFonts w:ascii="Book Antiqua" w:hAnsi="Book Antiqua"/>
          <w:lang w:val="en-US"/>
        </w:rPr>
        <w:t>, Otal</w:t>
      </w:r>
      <w:r w:rsidR="001723EF" w:rsidRPr="003A7660">
        <w:rPr>
          <w:rFonts w:ascii="Book Antiqua" w:eastAsia="宋体" w:hAnsi="Book Antiqua"/>
          <w:lang w:val="en-US" w:eastAsia="zh-CN"/>
        </w:rPr>
        <w:t xml:space="preserve"> P</w:t>
      </w:r>
      <w:r w:rsidR="00E15DFD" w:rsidRPr="003A7660">
        <w:rPr>
          <w:rFonts w:ascii="Book Antiqua" w:hAnsi="Book Antiqua"/>
          <w:lang w:val="en-US"/>
        </w:rPr>
        <w:t>, Suc</w:t>
      </w:r>
      <w:r w:rsidR="001723EF" w:rsidRPr="003A7660">
        <w:rPr>
          <w:rFonts w:ascii="Book Antiqua" w:eastAsia="宋体" w:hAnsi="Book Antiqua"/>
          <w:lang w:val="en-US" w:eastAsia="zh-CN"/>
        </w:rPr>
        <w:t xml:space="preserve"> B</w:t>
      </w:r>
      <w:r w:rsidR="00E15DFD" w:rsidRPr="003A7660">
        <w:rPr>
          <w:rFonts w:ascii="Book Antiqua" w:hAnsi="Book Antiqua"/>
          <w:lang w:val="en-US"/>
        </w:rPr>
        <w:t>, Berard</w:t>
      </w:r>
      <w:r w:rsidR="001723EF" w:rsidRPr="003A7660">
        <w:rPr>
          <w:rFonts w:ascii="Book Antiqua" w:eastAsia="宋体" w:hAnsi="Book Antiqua"/>
          <w:lang w:val="en-US" w:eastAsia="zh-CN"/>
        </w:rPr>
        <w:t xml:space="preserve"> E</w:t>
      </w:r>
      <w:r w:rsidR="00E15DFD" w:rsidRPr="003A7660">
        <w:rPr>
          <w:rFonts w:ascii="Book Antiqua" w:eastAsia="宋体" w:hAnsi="Book Antiqua"/>
          <w:lang w:val="en-US" w:eastAsia="zh-CN"/>
        </w:rPr>
        <w:t>,</w:t>
      </w:r>
      <w:r w:rsidR="00E15DFD" w:rsidRPr="003A7660">
        <w:rPr>
          <w:rFonts w:ascii="Book Antiqua" w:hAnsi="Book Antiqua"/>
          <w:lang w:val="en-US"/>
        </w:rPr>
        <w:t xml:space="preserve"> Muscari </w:t>
      </w:r>
      <w:r w:rsidR="001723EF" w:rsidRPr="003A7660">
        <w:rPr>
          <w:rFonts w:ascii="Book Antiqua" w:eastAsia="宋体" w:hAnsi="Book Antiqua"/>
          <w:lang w:val="en-US" w:eastAsia="zh-CN"/>
        </w:rPr>
        <w:t xml:space="preserve">F. </w:t>
      </w:r>
      <w:r w:rsidR="00E15DFD" w:rsidRPr="003A7660">
        <w:rPr>
          <w:rFonts w:ascii="Book Antiqua" w:hAnsi="Book Antiqua"/>
          <w:bCs/>
          <w:lang w:val="en-US"/>
        </w:rPr>
        <w:t>Predictive factors of histological response of colorectal liver metastases after neoadjuvant chemotherapy</w:t>
      </w:r>
      <w:r w:rsidR="001723EF" w:rsidRPr="003A7660">
        <w:rPr>
          <w:rFonts w:ascii="Book Antiqua" w:eastAsia="宋体" w:hAnsi="Book Antiqua"/>
          <w:bCs/>
          <w:lang w:val="en-US" w:eastAsia="zh-CN"/>
        </w:rPr>
        <w:t xml:space="preserve">. </w:t>
      </w:r>
      <w:r w:rsidR="001723EF" w:rsidRPr="003A7660">
        <w:rPr>
          <w:rFonts w:ascii="Book Antiqua" w:eastAsia="宋体" w:hAnsi="Book Antiqua"/>
          <w:bCs/>
          <w:i/>
          <w:iCs/>
          <w:lang w:val="en-US" w:eastAsia="zh-CN"/>
        </w:rPr>
        <w:t xml:space="preserve">World J Gastrointest Oncol </w:t>
      </w:r>
      <w:r w:rsidRPr="003A7660">
        <w:rPr>
          <w:rFonts w:ascii="Book Antiqua" w:eastAsia="宋体" w:hAnsi="Book Antiqua"/>
          <w:bCs/>
          <w:iCs/>
          <w:lang w:val="en-US" w:eastAsia="zh-CN"/>
        </w:rPr>
        <w:t xml:space="preserve">2019; 11(4): </w:t>
      </w:r>
      <w:r w:rsidRPr="003A7660">
        <w:rPr>
          <w:rFonts w:ascii="Book Antiqua" w:eastAsia="宋体" w:hAnsi="Book Antiqua" w:hint="eastAsia"/>
          <w:bCs/>
          <w:iCs/>
          <w:lang w:val="en-US" w:eastAsia="zh-CN"/>
        </w:rPr>
        <w:t>295-309</w:t>
      </w:r>
    </w:p>
    <w:p w:rsidR="00B370FA" w:rsidRPr="003A7660" w:rsidRDefault="00B370FA" w:rsidP="00B370FA">
      <w:pPr>
        <w:snapToGrid w:val="0"/>
        <w:spacing w:line="360" w:lineRule="auto"/>
        <w:jc w:val="both"/>
        <w:rPr>
          <w:rFonts w:ascii="Book Antiqua" w:eastAsia="宋体" w:hAnsi="Book Antiqua"/>
          <w:bCs/>
          <w:iCs/>
          <w:lang w:val="en-US" w:eastAsia="zh-CN"/>
        </w:rPr>
      </w:pPr>
      <w:r w:rsidRPr="003A7660">
        <w:rPr>
          <w:rFonts w:ascii="Book Antiqua" w:eastAsia="宋体" w:hAnsi="Book Antiqua"/>
          <w:b/>
          <w:bCs/>
          <w:iCs/>
          <w:lang w:val="en-US" w:eastAsia="zh-CN"/>
        </w:rPr>
        <w:lastRenderedPageBreak/>
        <w:t>URL:</w:t>
      </w:r>
      <w:r w:rsidRPr="003A7660">
        <w:rPr>
          <w:rFonts w:ascii="Book Antiqua" w:eastAsia="宋体" w:hAnsi="Book Antiqua"/>
          <w:bCs/>
          <w:iCs/>
          <w:lang w:val="en-US" w:eastAsia="zh-CN"/>
        </w:rPr>
        <w:t xml:space="preserve"> https://www.wjgnet.com/1948-5204/full/v11/i4/295.htm  </w:t>
      </w:r>
    </w:p>
    <w:p w:rsidR="00E15DFD" w:rsidRPr="003A7660" w:rsidRDefault="00B370FA" w:rsidP="00B370FA">
      <w:pPr>
        <w:snapToGrid w:val="0"/>
        <w:spacing w:line="360" w:lineRule="auto"/>
        <w:jc w:val="both"/>
        <w:rPr>
          <w:rFonts w:ascii="Book Antiqua" w:eastAsia="宋体" w:hAnsi="Book Antiqua"/>
          <w:lang w:val="en-US" w:eastAsia="zh-CN"/>
        </w:rPr>
      </w:pPr>
      <w:r w:rsidRPr="003A7660">
        <w:rPr>
          <w:rFonts w:ascii="Book Antiqua" w:eastAsia="宋体" w:hAnsi="Book Antiqua"/>
          <w:b/>
          <w:bCs/>
          <w:iCs/>
          <w:lang w:val="en-US" w:eastAsia="zh-CN"/>
        </w:rPr>
        <w:t>DOI:</w:t>
      </w:r>
      <w:r w:rsidRPr="003A7660">
        <w:rPr>
          <w:rFonts w:ascii="Book Antiqua" w:eastAsia="宋体" w:hAnsi="Book Antiqua"/>
          <w:bCs/>
          <w:iCs/>
          <w:lang w:val="en-US" w:eastAsia="zh-CN"/>
        </w:rPr>
        <w:t xml:space="preserve"> https://dx.doi.org/10.4251/wjgo.v11.i4.295</w:t>
      </w:r>
    </w:p>
    <w:p w:rsidR="00F74797" w:rsidRPr="003A7660" w:rsidRDefault="001723EF" w:rsidP="00384F14">
      <w:pPr>
        <w:snapToGrid w:val="0"/>
        <w:spacing w:line="360" w:lineRule="auto"/>
        <w:jc w:val="both"/>
        <w:rPr>
          <w:rFonts w:ascii="Book Antiqua" w:hAnsi="Book Antiqua"/>
          <w:lang w:val="en-US"/>
        </w:rPr>
      </w:pPr>
      <w:r w:rsidRPr="003A7660">
        <w:rPr>
          <w:rFonts w:ascii="Book Antiqua" w:eastAsia="宋体" w:hAnsi="Book Antiqua"/>
          <w:lang w:val="en-US" w:eastAsia="zh-CN"/>
        </w:rPr>
        <w:br w:type="page"/>
      </w:r>
      <w:r w:rsidR="00F74797" w:rsidRPr="003A7660">
        <w:rPr>
          <w:rFonts w:ascii="Book Antiqua" w:hAnsi="Book Antiqua"/>
          <w:b/>
          <w:lang w:val="en-US"/>
        </w:rPr>
        <w:lastRenderedPageBreak/>
        <w:t>INTRODUCTION</w:t>
      </w:r>
    </w:p>
    <w:p w:rsidR="00F74797" w:rsidRPr="003A7660" w:rsidRDefault="00F74797" w:rsidP="00384F14">
      <w:pPr>
        <w:pStyle w:val="a3"/>
        <w:snapToGrid w:val="0"/>
        <w:spacing w:line="360" w:lineRule="auto"/>
        <w:jc w:val="both"/>
        <w:rPr>
          <w:rFonts w:ascii="Book Antiqua" w:hAnsi="Book Antiqua" w:cs="Arial"/>
          <w:sz w:val="24"/>
          <w:szCs w:val="24"/>
          <w:lang w:val="en-US"/>
        </w:rPr>
      </w:pPr>
      <w:r w:rsidRPr="003A7660">
        <w:rPr>
          <w:rFonts w:ascii="Book Antiqua" w:hAnsi="Book Antiqua" w:cs="Arial"/>
          <w:sz w:val="24"/>
          <w:szCs w:val="24"/>
          <w:lang w:val="en-US"/>
        </w:rPr>
        <w:t>Colorectal cancer is the third most common cancer in men and the second</w:t>
      </w:r>
      <w:r w:rsidR="001723EF" w:rsidRPr="003A7660">
        <w:rPr>
          <w:rFonts w:ascii="Book Antiqua" w:hAnsi="Book Antiqua" w:cs="Arial"/>
          <w:sz w:val="24"/>
          <w:szCs w:val="24"/>
          <w:lang w:val="en-US"/>
        </w:rPr>
        <w:t xml:space="preserve"> most common in women worldwide</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{"citationID":"a2b1h7scqi4","properties":{"formattedCitation":"\\super [1\\uc0\\u8211{}6]\\nosupersub{}","plainCitation":"[1–6]","noteIndex":0},"citationItems":[{"id":"jK7A4ffc/Vasba4La","uris":["http://zotero.org/users/local/CKZ8Mlfw/items/H82KIHSP"],"uri":["http://zotero.org/users/local/CKZ8Mlfw/items/H82KIHSP"],"itemData":{"id":"rrKMrFGe/TgVdpQZP","type":"article-journal","title":"Cancer incidence and mortality patterns in Europe: Estimates for 40 countries in 2012","container-title":"European Journal of Cancer","page":"1374-1403","volume":"49","issue":"6","source":"ScienceDirect","abstract":"Cancer incidence and mortality estimates for 25 cancers are presented for the 40 countries in the four United Nations-defined areas of Europe and for the European Union (EU-27) for 2012. We used statistical models to estimate national incidence and mortality rates in 2012 from recently-published data, predicting incidence and mortality rates for the year 2012 from recent trends, wherever possible. The estimated rates in 2012 were applied to the corresponding population estimates to obtain the estimated numbers of new cancer cases and deaths in Europe in 2012. There were an estimated 3.45 million new cases of cancer (excluding non-melanoma skin cancer) and 1.75 million deaths from cancer in Europe in 2012. The most common cancer sites were cancers of the female breast (464,000 cases), followed by colorectal (447,000), prostate (417,000) and lung (410,000). These four cancers represent half of the overall burden of cancer in Europe. The most common causes of death from cancer were cancers of the lung (353,000 deaths), colorectal (215,000), breast (131,000) and stomach (107,000). In the European Union, the estimated numbers of new cases of cancer were approximately 1.4 million in males and 1.2 million in females, and around 707,000 men and 555,000 women died from cancer in the same year. These up-to-date estimates of the cancer burden in Europe alongside the description of the varying distribution of common cancers at both the regional and country level provide a basis for establishing priorities to cancer control actions in Europe. The important role of cancer registries in disease surveillance and in planning and evaluating national cancer plans is becoming increasingly recognised, but needs to be further advocated. The estimates and software tools for further analysis (EUCAN 2012) are available online as part of the European Cancer Observatory (ECO) (http://eco.iarc.fr).","DOI":"10.1016/j.ejca.2012.12.027","ISSN":"0959-8049","shortTitle":"Cancer incidence and mortality patterns in Europe","journalAbbreviation":"European Journal of Cancer","author":[{"family":"Ferlay","given":"J."},{"family":"Steliarova-Foucher","given":"E."},{"family":"Lortet-Tieulent","given":"J."},{"family":"Rosso","given":"S."},{"family":"Coebergh","given":"J. W. W."},{"family":"Comber","given":"H."},{"family":"Forman","given":"D."},{"family":"Bray","given":"F."}],"issued":{"date-parts":[["2013",4,1]]}}},{"id":"jK7A4ffc/jxh4lxtK","uris":["http://zotero.org/users/local/CKZ8Mlfw/items/EV52B5ZN"],"uri":["http://zotero.org/users/local/CKZ8Mlfw/items/EV52B5ZN"],"itemData":{"id":"rrKMrFGe/7sWqvnI2","type":"article-journal","title":"Epidemiology and management of liver metastases from colorectal cancer","container-title":"Annals of Surgery","page":"254-259","volume":"244","issue":"2","source":"PubMed","abstract":"OBJECTIVE/BACKGROUND: Little is known about the epidemiology and the management of liver metastases from colorectal cancer at a population level. The aim of this population-based study was to report on the incidence, treatment, and prognosis of synchronous and metachronous liver metastases.\nMETHODS: Data were obtained from the population-based cancer registry of Burgundy (France).\nRESULTS: The proportion of patients with synchronous liver metastases was 14.5%. Age-standardized incidence rates were 7.6 per 100,000 in males, 3.7 per 100,000 in females. The 5-year cumulative metachronous liver metastasis rate was 14.5%. It was 3.7% for TNM stage I tumors, 13.3% for stage II, and 30.4% for stage III (P &lt; 0.001). The risk of liver metastasis was also associated to gross features. Resection for cure was performed in 6.3% of synchronous liver metastases and 16.9% of metachronous liver metastases. Age, presence of another site of recurrence, and period of diagnosis were independent factors associated with the performance of a resection for cure. The 1- and 5-year survival rates were 34.8% and 3.3% for synchronous liver metastases. Their corresponding rates were, respectively, 37.6% and 6.1% for metachronous liver metastases.\nCONCLUSION: Liver metastases from colorectal cancer remain a substantial problem. More effective treatments and mass screening represent promising approaches to decrease this problem.","DOI":"10.1097/01.sla.0000217629.94941.cf","ISSN":"0003-4932","note":"PMID: 16858188\nPMCID: PMC1602156","journalAbbreviation":"Ann. Surg.","language":"eng","author":[{"family":"Manfredi","given":"Sylvain"},{"family":"Lepage","given":"Côme"},{"family":"Hatem","given":"Cyril"},{"family":"Coatmeur","given":"Olivier"},{"family":"Faivre","given":"Jean"},{"family":"Bouvier","given":"Anne-Marie"}],"issued":{"date-parts":[["2006",8]]}}},{"id":"jK7A4ffc/wQMi9kNj","uris":["http://zotero.org/users/local/CKZ8Mlfw/items/4VTKIWQT"],"uri":["http://zotero.org/users/local/CKZ8Mlfw/items/4VTKIWQT"],"itemData":{"id":"rrKMrFGe/FjDe4sYS","type":"article-journal","title":"Cancer incidence and mortality in France over the 1980-2012 period: solid tumors","container-title":"Revue D'epidemiologie Et De Sante Publique","page":"95-108","volume":"62","issue":"2","source":"PubMed","abstract":"BACKGROUND: Cancer incidence and mortality estimates for 19 cancers (among solid tumors) are presented for France between 1980 and 2012.\nMETHODS: Incidence data were collected from 21 local registries and correspond to invasive cancers diagnosed between 1975 and 2009. Mortality data for the same period were provided by the Institut national de la santé et de la recherche médicale. The national incidence estimates were based on the use of mortality as a correlate of incidence. The observed incidence and mortality data were modeled using an age-period-cohort model. The numbers of incident cases and deaths for 2010-2012 are the result of short-term projections.\nRESULTS: In 2012, the study estimated that 355,000 new cases of cancer (excluding non-melanoma skin cancer) and 148,000 deaths from cancer occurred in France. The incidence trend was not linear over the study period. After a constant increase from 1980 onwards, the incidence of cancer in men declined between 2005 and 2012. This recent decrease is largely related to the reduction in the incidence of prostate cancer. In women, the rates stabilized, mainly due to a change in breast cancer incidence. Mortality from most cancer types declined over the study period. A combined analysis of incidence and mortality by cancer site distinguished cancers with declining incidence and mortality (e.g., stomach) and cancers with increasing incidence and mortality (e.g., lung cancer in women). Some other cancers had rising incidence but declining mortality (e.g., thyroid).\nCONCLUSION: This study reveals recent changes in cancer incidence trends, particularly regarding breast and prostate cancers.","DOI":"10.1016/j.respe.2013.11.073","ISSN":"0398-7620","note":"PMID: 24613140","shortTitle":"Cancer incidence and mortality in France over the 1980-2012 period","journalAbbreviation":"Rev Epidemiol Sante Publique","language":"eng","author":[{"family":"Binder-Foucard","given":"F."},{"family":"Bossard","given":"N."},{"family":"Delafosse","given":"P."},{"family":"Belot","given":"A."},{"family":"Woronoff","given":"A.-S."},{"family":"Remontet","given":"L."},{"literal":"French network of cancer registries (Francim)"}],"issued":{"date-parts":[["2014",4]]}}},{"id":"jK7A4ffc/4uMC1haC","uris":["http://zotero.org/users/local/CKZ8Mlfw/items/WKZZ55Z9"],"uri":["http://zotero.org/users/local/CKZ8Mlfw/items/WKZZ55Z9"],"itemData":{"id":"rrKMrFGe/RVWL7GGm","type":"article-journal","title":"Colorectal cancer statistics, 2017","container-title":"CA: a cancer journal for clinicians","page":"177-193","volume":"67","issue":"3","source":"PubMed","abstract":"Colorectal cancer (CRC) is one of the most common malignancies in the United States. Every 3 years, the American Cancer Society provides an update of CRC incidence, survival, and mortality rates and trends. Incidence data through 2013 were provided by the Surveillance, Epidemiology, and End Results program, the National Program of Cancer Registries, and the North American Association of Central Cancer Registries. Mortality data through 2014 were provided by the National Center for Health Statistics. CRC incidence rates are highest in Alaska Natives and blacks and lowest in Asian/Pacific Islanders, and they are 30% to 40% higher in men than in women. Recent temporal patterns are generally similar by race and sex, but differ by age. Between 2000 and 2013, incidence rates in adults aged ≥50 years declined by 32%, with the drop largest for distal tumors in people aged ≥65 years (incidence rate ratio [IRR], 0.50; 95% confidence interval [95% CI], 0.48-0.52) and smallest for rectal tumors in ages 50 to 64 years (male IRR, 0.91; 95% CI, 0.85-0.96; female IRR, 1.00; 95% CI, 0.93-1.08). Overall CRC incidence in individuals ages ≥50 years declined from 2009 to 2013 in every state except Arkansas, with the decrease exceeding 5% annually in 7 states; however, rectal tumor incidence in those ages 50 to 64 years was stable in most states. Among adults aged &lt;50 years, CRC incidence rates increased by 22% from 2000 to 2013, driven solely by tumors in the distal colon (IRR, 1.24; 95% CI, 1.13-1.35) and rectum (IRR, 1.22; 95% CI, 1.13-1.31). Similar to incidence patterns, CRC death rates decreased by 34% among individuals aged ≥50 years during 2000 through 2014, but increased by 13% in those aged &lt;50 years. Progress against CRC can be accelerated by increasing initiation of screening at age 50 years (average risk) or earlier (eg, family history of CRC/advanced adenomas) and eliminating disparities in high-quality treatment. In addition, research is needed to elucidate causes for increasing CRC in young adults. CA Cancer J Clin 2017. © 2017 American Cancer Society. CA Cancer J Clin 2017;67:177-193. © 2017 American Cancer Society.","DOI":"10.3322/caac.21395","ISSN":"1542-4863","note":"PMID: 28248415","journalAbbreviation":"CA Cancer J Clin","language":"eng","author":[{"family":"Siegel","given":"Rebecca L."},{"family":"Miller","given":"Kimberly D."},{"family":"Fedewa","given":"Stacey A."},{"family":"Ahnen","given":"Dennis J."},{"family":"Meester","given":"Reinier G. S."},{"family":"Barzi","given":"Afsaneh"},{"family":"Jemal","given":"Ahmedin"}],"issued":{"date-parts":[["2017",5,6]]}}},{"id":"jK7A4ffc/bSJembAm","uris":["http://zotero.org/users/local/CKZ8Mlfw/items/3PITEZWA"],"uri":["http://zotero.org/users/local/CKZ8Mlfw/items/3PITEZWA"],"itemData":{"id":"rrKMrFGe/sVWsxlFS","type":"article-journal","title":"Global patterns and trends in colorectal cancer incidence and mortality","container-title":"Gut","page":"683-691","volume":"66","issue":"4","source":"PubMed","abstract":"OBJECTIVE: The global burden of colorectal cancer (CRC) is expected to increase by 60% to more than 2.2</w:instrText>
      </w:r>
      <w:r w:rsidRPr="003A7660">
        <w:rPr>
          <w:sz w:val="24"/>
          <w:szCs w:val="24"/>
          <w:lang w:val="en-US"/>
        </w:rPr>
        <w:instrText> </w:instrText>
      </w:r>
      <w:r w:rsidRPr="003A7660">
        <w:rPr>
          <w:rFonts w:ascii="Book Antiqua" w:hAnsi="Book Antiqua" w:cs="Arial"/>
          <w:sz w:val="24"/>
          <w:szCs w:val="24"/>
          <w:lang w:val="en-US"/>
        </w:rPr>
        <w:instrText>million new cases and 1.1</w:instrText>
      </w:r>
      <w:r w:rsidRPr="003A7660">
        <w:rPr>
          <w:sz w:val="24"/>
          <w:szCs w:val="24"/>
          <w:lang w:val="en-US"/>
        </w:rPr>
        <w:instrText> </w:instrText>
      </w:r>
      <w:r w:rsidRPr="003A7660">
        <w:rPr>
          <w:rFonts w:ascii="Book Antiqua" w:hAnsi="Book Antiqua" w:cs="Arial"/>
          <w:sz w:val="24"/>
          <w:szCs w:val="24"/>
          <w:lang w:val="en-US"/>
        </w:rPr>
        <w:instrText xml:space="preserve">million deaths by 2030. In this study, we aim to describe the recent CRC incidence and mortality patterns and trends linking the findings to the prospects of reducing the burden through cancer prevention and care.\nDESIGN: Estimates of sex-specific CRC incidence and mortality rates in 2012 were extracted from the GLOBOCAN database. Temporal patterns were assessed for 37 countries using data from Cancer Incidence in Five Continents (CI5) volumes I-X and the WHO mortality database. Trends were assessed via the annual percentage change using joinpoint regression and discussed in relation to human development levels.\nRESULTS: CRC incidence and mortality rates vary up to 10-fold worldwide, with distinct gradients across human development levels, pointing towards widening disparities and an increasing burden in countries in transition. Generally, CRC incidence and mortality rates are still rising rapidly in many low-income and middle-income countries; stabilising or decreasing trends tend to be seen in highly developed countries where rates remain among the highest in the world.\nCONCLUSIONS: Patterns and trends in CRC incidence and mortality correlate with present human development levels and their incremental changes might reflect the adoption of more western lifestyles. Targeted resource-dependent interventions, including primary prevention in low-income, supplemented with early detection in high-income settings, are needed to reduce the number of patients with CRC in future decades.","DOI":"10.1136/gutjnl-2015-310912","ISSN":"1468-3288","note":"PMID: 26818619","journalAbbreviation":"Gut","language":"eng","author":[{"family":"Arnold","given":"Melina"},{"family":"Sierra","given":"Mónica S."},{"family":"Laversanne","given":"Mathieu"},{"family":"Soerjomataram","given":"Isabelle"},{"family":"Jemal","given":"Ahmedin"},{"family":"Bray","given":"Freddie"}],"issued":{"date-parts":[["2017",4]]}}},{"id":"jK7A4ffc/kLHmCcca","uris":["http://zotero.org/users/local/CKZ8Mlfw/items/KQKFETJQ"],"uri":["http://zotero.org/users/local/CKZ8Mlfw/items/KQKFETJQ"],"itemData":{"id":"rrKMrFGe/GdFsy7au","type":"article-journal","title":"Survival of solid cancer patients in France, 1989-2013: a population-based study","container-title":"European journal of cancer prevention: the official journal of the European Cancer Prevention Organisation (ECP)","source":"PubMed","abstract":"This study provides updates of net survival (NS) estimates at 5, 10, and 15 years as well as survival trends for 35 solid cancers in France using data from 19 population-based cancer registries. The study considered all cases of solid cancer diagnosed between 1989 and 2010 in patients older than 15 years of age who were actively followed up until 30 June 2013. NS was estimated using the Pohar-Perme method. The age-standardized NS used the international cancer survival standard weights. The 5-year age-standardized NSs ranged from 4% (pleural mesothelioma) to 93% (prostate) in men and from 10% (pancreas) to 97% (thyroid) in women. The 10-year age-standardized NSs ranged from 2% (pleural mesothelioma) in both sexes to 95% (testis) in men and 91% (thyroid) in women. The most frequent cancers (namely, breast and prostate cancers) had the highest NSs: 87 and 93% at 5 years and 78 and 84% at 10 years, respectively. Several cancers (especially lung, pancreas, and liver cancer) had very poor prognoses (5-year NSs under 20%). Fifteen-year NSs remained high for testis cancer. In most cancers, 5- and 10-year age-standardized NSs increased between 1989 and 2010. Advanced age was associated with a poor prognosis and little improvement in survival. The increases in cancer survival are probably related to earlier diagnosis and therapeutic advances over the last decade. However, poor prognoses are still found in some alcohol-related and tobacco-related cancers and in elderly patients, highlighting the need for more prevention, diagnosis, and treatment efforts.","ISSN":"1473-5709","note":"PMID: 28598889","shortTitle":"Survival of solid cancer patients in France, 1989-2013","journalAbbreviation":"Eur. J. Cancer Prev.","language":"eng","author":[{"family":"Cowppli-Bony","given":"Anne"},{"family":"Uhry","given":"Zoé"},{"family":"Remontet","given":"Laurent"},{"family":"Voirin","given":"Nicolas"},{"family":"Guizard","given":"Anne-Valérie"},{"family":"Trétarre","given":"Brigitte"},{"family":"Bouvier","given":"Anne-Marie"},{"family":"Colonna","given":"Marc"},{"family":"Bossard","given":"Nadine"},{"family":"Woronoff","given":"Anne-Sophie"},{"family":"Grosclaude","given":"Pascale"},{"literal":"French Network of Cancer Registries (FRANCIM)"}],"issued":{"date-parts":[["2017",6,8]]}}}],"schema":"https://github.com/citation-style-language/schema/raw/master/csl-citation.json"} </w:instrText>
      </w:r>
      <w:r w:rsidRPr="003A7660">
        <w:rPr>
          <w:rFonts w:ascii="Book Antiqua" w:hAnsi="Book Antiqua" w:cs="Arial"/>
          <w:sz w:val="24"/>
          <w:szCs w:val="24"/>
          <w:lang w:val="en-US"/>
        </w:rPr>
        <w:fldChar w:fldCharType="separate"/>
      </w:r>
      <w:r w:rsidR="001723EF" w:rsidRPr="003A7660">
        <w:rPr>
          <w:rFonts w:ascii="Book Antiqua" w:hAnsi="Book Antiqua" w:cs="Arial"/>
          <w:sz w:val="24"/>
          <w:szCs w:val="24"/>
          <w:vertAlign w:val="superscript"/>
          <w:lang w:val="en-US"/>
        </w:rPr>
        <w:t>[1</w:t>
      </w:r>
      <w:r w:rsidR="001723EF" w:rsidRPr="003A7660">
        <w:rPr>
          <w:rFonts w:ascii="Book Antiqua" w:eastAsia="宋体" w:hAnsi="Book Antiqua" w:cs="Arial"/>
          <w:sz w:val="24"/>
          <w:szCs w:val="24"/>
          <w:vertAlign w:val="superscript"/>
          <w:lang w:val="en-US" w:eastAsia="zh-CN"/>
        </w:rPr>
        <w:t>-</w:t>
      </w:r>
      <w:r w:rsidRPr="003A7660">
        <w:rPr>
          <w:rFonts w:ascii="Book Antiqua" w:hAnsi="Book Antiqua" w:cs="Arial"/>
          <w:sz w:val="24"/>
          <w:szCs w:val="24"/>
          <w:vertAlign w:val="superscript"/>
          <w:lang w:val="en-US"/>
        </w:rPr>
        <w:t>6]</w: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w:t>
      </w:r>
      <w:r w:rsidR="001723EF" w:rsidRPr="003A7660">
        <w:rPr>
          <w:rFonts w:ascii="Book Antiqua" w:eastAsia="宋体" w:hAnsi="Book Antiqua" w:cs="Arial"/>
          <w:sz w:val="24"/>
          <w:szCs w:val="24"/>
          <w:lang w:val="en-US" w:eastAsia="zh-CN"/>
        </w:rPr>
        <w:t xml:space="preserve"> </w:t>
      </w:r>
      <w:r w:rsidRPr="003A7660">
        <w:rPr>
          <w:rFonts w:ascii="Book Antiqua" w:hAnsi="Book Antiqua" w:cs="Arial"/>
          <w:sz w:val="24"/>
          <w:szCs w:val="24"/>
          <w:lang w:val="en-US"/>
        </w:rPr>
        <w:t xml:space="preserve">Almost a third of the patients have or will develop </w:t>
      </w:r>
      <w:r w:rsidR="001723EF" w:rsidRPr="003A7660">
        <w:rPr>
          <w:rFonts w:ascii="Book Antiqua" w:hAnsi="Book Antiqua" w:cs="Arial"/>
          <w:sz w:val="24"/>
          <w:szCs w:val="24"/>
          <w:lang w:val="en-US"/>
        </w:rPr>
        <w:t>colorectal liver metastases (CRLMs)</w:t>
      </w:r>
      <w:r w:rsidR="001723EF" w:rsidRPr="003A7660">
        <w:rPr>
          <w:rFonts w:ascii="Book Antiqua" w:hAnsi="Book Antiqua" w:cs="Arial"/>
          <w:sz w:val="24"/>
          <w:szCs w:val="24"/>
          <w:vertAlign w:val="superscript"/>
          <w:lang w:val="en-US"/>
        </w:rPr>
        <w:t>[2,7,</w:t>
      </w:r>
      <w:r w:rsidRPr="003A7660">
        <w:rPr>
          <w:rFonts w:ascii="Book Antiqua" w:hAnsi="Book Antiqua" w:cs="Arial"/>
          <w:sz w:val="24"/>
          <w:szCs w:val="24"/>
          <w:vertAlign w:val="superscript"/>
          <w:lang w:val="en-US"/>
        </w:rPr>
        <w:t>8]</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{"citationID":"IYjUkQ7P","properties":{"formattedCitation":"\\super [2,7,8]\\nosupersub{}","plainCitation":"","noteIndex":0},"citationItems":[{"id":"jK7A4ffc/ISwsI0wG","uris":["http://zotero.org/users/local/CKZ8Mlfw/items/B84N6GA7"],"uri":["http://zotero.org/users/local/CKZ8Mlfw/items/B84N6GA7"],"itemData":{"id":71,"type":"article-journal","title":"Treatment of colorectal liver metastases","container-title":"World Journal of Surgical Oncology","page":"154","volume":"9","source":"PubMed","abstract":"Colorectal cancer (CRC) is the third most common cancer in the word. Liver metastasis is the most common site of colorectal metastases. The prognosis of resectable colorectal liver metastases (CRLM) was improved in the recent years with the consideration of chemotherapy and surgical resection as part of the multidisciplinary management of the disease; the current 5-year survival rates after resection of liver metastases are 25% to 40%. Resectable synchronous or metachronous liver metastases should be treated with perioperative chemotherapy based on three months of FOLFOX4 (5-fluorouracil [5FU], folinic acid [LV], and oxaliplatin) chemotherapy before surgery and three months after surgery. In the case of primary surgery, pseudo-adjuvant chemotherapy for 6 months, based on 5FU/LV, FOLFOX4, XELOX (capecitabine and oxaliplatin) or FOLFIRI (5FU/LV and irinotecan), should be indicated. In potentially resectable disease, primary chemotherapy based on more intensive regimens such as FOLFIRINOX (5FU/LV, irinotecan and oxaliplatin) should be considered to enhance the chance of cure. The palliative chemotherapy based on FOLFIRI, or FOLFOX4/XELOX with or without targeted therapies, is the mainstay treatment of unresectable disease. This review would provide additional insight into the problem of optimal integration of chemotherapy and surgery in the management of CRLM.","DOI":"10.1186/1477-7819-9-154","ISSN":"1477-7819","note":"PMID: 22115124\nPMCID: PMC3251538","journalAbbreviation":"World J Surg Oncol","language":"eng","author":[{"family":"Ismaili","given":"Nabil"}],"issued":{"date-parts":[["2011",11,24]]}},"label":"page"},{"id":"jK7A4ffc/jxh4lxtK","uris":["http://zotero.org/users/local/CKZ8Mlfw/items/EV52B5ZN"],"uri":["http://zotero.org/users/local/CKZ8Mlfw/items/EV52B5ZN"],"itemData":{"id":100,"type":"article-journal","title":"Epidemiology and management of liver metastases from colorectal cancer","container-title":"Annals of Surgery","page":"254-259","volume":"244","issue":"2","source":"PubMed","abstract":"OBJECTIVE/BACKGROUND: Little is known about the epidemiology and the management of liver metastases from colorectal cancer at a population level. The aim of this population-based study was to report on the incidence, treatment, and prognosis of synchronous and metachronous liver metastases.\nMETHODS: Data were obtained from the population-based cancer registry of Burgundy (France).\nRESULTS: The proportion of patients with synchronous liver metastases was 14.5%. Age-standardized incidence rates were 7.6 per 100,000 in males, 3.7 per 100,000 in females. The 5-year cumulative metachronous liver metastasis rate was 14.5%. It was 3.7% for TNM stage I tumors, 13.3% for stage II, and 30.4% for stage III (P &lt; 0.001). The risk of liver metastasis was also associated to gross features. Resection for cure was performed in 6.3% of synchronous liver metastases and 16.9% of metachronous liver metastases. Age, presence of another site of recurrence, and period of diagnosis were independent factors associated with the performance of a resection for cure. The 1- and 5-year survival rates were 34.8% and 3.3% for synchronous liver metastases. Their corresponding rates were, respectively, 37.6% and 6.1% for metachronous liver metastases.\nCONCLUSION: Liver metastases from colorectal cancer remain a substantial problem. More effective treatments and mass screening represent promising approaches to decrease this problem.","DOI":"10.1097/01.sla.0000217629.94941.cf","ISSN":"0003-4932","note":"PMID: 16858188\nPMCID: PMC1602156","journalAbbreviation":"Ann. Surg.","language":"eng","author":[{"family":"Manfredi","given":"Sylvain"},{"family":"Lepage","given":"Côme"},{"family":"Hatem","given":"Cyril"},{"family":"Coatmeur","given":"Olivier"},{"family":"Faivre","given":"Jean"},{"family":"Bouvier","given":"Anne-Marie"}],"issued":{"date-parts":[["2006",8]]}},"label":"page"},{"id":"jK7A4ffc/inGP5OBE","uris":["http://zotero.org/users/local/CKZ8Mlfw/items/UFVNTX6C"],"uri":["http://zotero.org/users/local/CKZ8Mlfw/items/UFVNTX6C"],"itemData":{"id":313,"type":"article-journal","title":"A population-based study of the incidence, management and prognosis of hepatic metastases from colorectal cancer","container-title":"The British Journal of Surgery","page":"465-474","volume":"93","issue":"4","source":"PubMed","abstract":"BACKGROUND: The aim of this population-based study was to evaluate the incidence, management and prognosis of patients with hepatic metastases related to colorectal cancer using data from the Digestive Cancer Registry of Calvados, France.\nMETHODS: Of 1325 patients with colorectal cancer registered between January 1994 and December 1999, 358 developed hepatic metastases. Logistic regression was used to analyse prognostic factors. Survival analysis was carried out with Cox's proportional hazards model.\nRESULTS: Some 18.8 per cent of patients had synchronous metastases, while 29.3 per cent developed metastases at 3 years. Of patients with hepatic metastases, 17.3 per cent had a surgical resection, 40.2 per cent were treated with palliative chemotherapy and 42.5 per cent had symptomatic treatment. Factors associated with receiving symptomatic treatment only were age over 75 years and more than one metastasis, but not place of treatment. Median survival after a diagnosis of hepatic metastases was 10.7 (range 4.6-23.1) months. Significant adverse prognostic factors were: age over 75 years (P = 0.001), lymph node invasion of primary tumour (P = 0.024), bilateral distribution of metastases (P = 0.001), other metastases (P = 0.004) and symptomatic treatment only (P = 0.041).\nCONCLUSION: Despite improvement in treatment for hepatic metastases, age and extent of disease remain limiting factors for surgical resection and palliative chemotherapy.","DOI":"10.1002/bjs.5278","ISSN":"0007-1323","note":"PMID: 16523446","journalAbbreviation":"Br J Surg","language":"eng","author":[{"family":"Leporrier","given":"J."},{"family":"Maurel","given":"J."},{"family":"Chiche","given":"L."},{"family":"Bara","given":"S."},{"family":"Segol","given":"P."},{"family":"Launoy","given":"G."}],"issued":{"date-parts":[["2006",4]]}},"label":"page"}],"schema":"https://github.com/citation-style-language/schema/raw/master/csl-citation.json"} </w:instrTex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 Only 20% of these patients are amenable to curative treatment by liver r</w:t>
      </w:r>
      <w:r w:rsidR="001723EF" w:rsidRPr="003A7660">
        <w:rPr>
          <w:rFonts w:ascii="Book Antiqua" w:hAnsi="Book Antiqua" w:cs="Arial"/>
          <w:sz w:val="24"/>
          <w:szCs w:val="24"/>
          <w:lang w:val="en-US"/>
        </w:rPr>
        <w:t>esection and/or thermo-ablation</w:t>
      </w:r>
      <w:r w:rsidR="001723EF" w:rsidRPr="003A7660">
        <w:rPr>
          <w:rFonts w:ascii="Book Antiqua" w:hAnsi="Book Antiqua" w:cs="Arial"/>
          <w:sz w:val="24"/>
          <w:szCs w:val="24"/>
          <w:vertAlign w:val="superscript"/>
          <w:lang w:val="en-US"/>
        </w:rPr>
        <w:t>[7,9,</w:t>
      </w:r>
      <w:r w:rsidRPr="003A7660">
        <w:rPr>
          <w:rFonts w:ascii="Book Antiqua" w:hAnsi="Book Antiqua" w:cs="Arial"/>
          <w:sz w:val="24"/>
          <w:szCs w:val="24"/>
          <w:vertAlign w:val="superscript"/>
          <w:lang w:val="en-US"/>
        </w:rPr>
        <w:t>10]</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{"citationID":"5wdvQKkb","properties":{"formattedCitation":"\\super [7,9,10]\\nosupersub{}","plainCitation":"","noteIndex":0},"citationItems":[{"id":"jK7A4ffc/ISwsI0wG","uris":["http://zotero.org/users/local/CKZ8Mlfw/items/B84N6GA7"],"uri":["http://zotero.org/users/local/CKZ8Mlfw/items/B84N6GA7"],"itemData":{"id":71,"type":"article-journal","title":"Treatment of colorectal liver metastases","container-title":"World Journal of Surgical Oncology","page":"154","volume":"9","source":"PubMed","abstract":"Colorectal cancer (CRC) is the third most common cancer in the word. Liver metastasis is the most common site of colorectal metastases. The prognosis of resectable colorectal liver metastases (CRLM) was improved in the recent years with the consideration of chemotherapy and surgical resection as part of the multidisciplinary management of the disease; the current 5-year survival rates after resection of liver metastases are 25% to 40%. Resectable synchronous or metachronous liver metastases should be treated with perioperative chemotherapy based on three months of FOLFOX4 (5-fluorouracil [5FU], folinic acid [LV], and oxaliplatin) chemotherapy before surgery and three months after surgery. In the case of primary surgery, pseudo-adjuvant chemotherapy for 6 months, based on 5FU/LV, FOLFOX4, XELOX (capecitabine and oxaliplatin) or FOLFIRI (5FU/LV and irinotecan), should be indicated. In potentially resectable disease, primary chemotherapy based on more intensive regimens such as FOLFIRINOX (5FU/LV, irinotecan and oxaliplatin) should be considered to enhance the chance of cure. The palliative chemotherapy based on FOLFIRI, or FOLFOX4/XELOX with or without targeted therapies, is the mainstay treatment of unresectable disease. This review would provide additional insight into the problem of optimal integration of chemotherapy and surgery in the management of CRLM.","DOI":"10.1186/1477-7819-9-154","ISSN":"1477-7819","note":"PMID: 22115124\nPMCID: PMC3251538","journalAbbreviation":"World J Surg Oncol","language":"eng","author":[{"family":"Ismaili","given":"Nabil"}],"issued":{"date-parts":[["2011",11,24]]}},"label":"page"},{"id":"jK7A4ffc/F3CqhqfU","uris":["http://zotero.org/users/local/CKZ8Mlfw/items/96SVWF49"],"uri":["http://zotero.org/users/local/CKZ8Mlfw/items/96SVWF49"],"itemData":{"id":136,"type":"article-journal","title":"Synchronous colorectal liver metastasis: a network meta-analysis review comparing classical, combined, and liver-first surgical strategies","container-title":"Journal of Surgical Oncology","page":"341-351","volume":"111","issue":"3","source":"PubMed","abstract":"BACKGROUND: In recent years, the management of synchronous colorectal liver metastasis has changed significantly. Alternative surgical strategies to the classical colorectal-first approach have been proposed. These include the liver-first and combined resections approaches. The objectives of this review were to compare the short- and long-term outcomes for all three approaches.\nMETHODS: A systematic review of comparative studies was performed. Evaluated endpoints included surgical outcomes (5-year overall survival, 30-day mortality, and post-operative complications). Pair-wise and network meta-analysis (NMA) were performed to compare survival outcomes.\nRESULTS: Eighteen studies were included in this review, reporting on 3,605 patients. NMA and pair-wise meta-analysis of the 5-year overall survival did not show significant difference between the three surgical approaches: combined versus colorectal-first, mean odds ratio (OR) 1.02 (95% CI 0.8-1.28, P</w:instrText>
      </w:r>
      <w:r w:rsidRPr="003A7660">
        <w:rPr>
          <w:sz w:val="24"/>
          <w:szCs w:val="24"/>
          <w:lang w:val="en-US"/>
        </w:rPr>
        <w:instrText> </w:instrText>
      </w:r>
      <w:r w:rsidRPr="003A7660">
        <w:rPr>
          <w:rFonts w:ascii="Book Antiqua" w:hAnsi="Book Antiqua" w:cs="Arial"/>
          <w:sz w:val="24"/>
          <w:szCs w:val="24"/>
          <w:lang w:val="en-US"/>
        </w:rPr>
        <w:instrText>=</w:instrText>
      </w:r>
      <w:r w:rsidRPr="003A7660">
        <w:rPr>
          <w:sz w:val="24"/>
          <w:szCs w:val="24"/>
          <w:lang w:val="en-US"/>
        </w:rPr>
        <w:instrText> </w:instrText>
      </w:r>
      <w:r w:rsidRPr="003A7660">
        <w:rPr>
          <w:rFonts w:ascii="Book Antiqua" w:hAnsi="Book Antiqua" w:cs="Arial"/>
          <w:sz w:val="24"/>
          <w:szCs w:val="24"/>
          <w:lang w:val="en-US"/>
        </w:rPr>
        <w:instrText>0.93); liver-first versus colorectal-first, mean OR 0.81 (95% CI 0.53-1.26, P</w:instrText>
      </w:r>
      <w:r w:rsidRPr="003A7660">
        <w:rPr>
          <w:sz w:val="24"/>
          <w:szCs w:val="24"/>
          <w:lang w:val="en-US"/>
        </w:rPr>
        <w:instrText> </w:instrText>
      </w:r>
      <w:r w:rsidRPr="003A7660">
        <w:rPr>
          <w:rFonts w:ascii="Book Antiqua" w:hAnsi="Book Antiqua" w:cs="Arial"/>
          <w:sz w:val="24"/>
          <w:szCs w:val="24"/>
          <w:lang w:val="en-US"/>
        </w:rPr>
        <w:instrText>=</w:instrText>
      </w:r>
      <w:r w:rsidRPr="003A7660">
        <w:rPr>
          <w:sz w:val="24"/>
          <w:szCs w:val="24"/>
          <w:lang w:val="en-US"/>
        </w:rPr>
        <w:instrText> </w:instrText>
      </w:r>
      <w:r w:rsidRPr="003A7660">
        <w:rPr>
          <w:rFonts w:ascii="Book Antiqua" w:hAnsi="Book Antiqua" w:cs="Arial"/>
          <w:sz w:val="24"/>
          <w:szCs w:val="24"/>
          <w:lang w:val="en-US"/>
        </w:rPr>
        <w:instrText>0.37); liver-first versus combined, mean OR 0.80 (95% CI 0.52-1.24, P</w:instrText>
      </w:r>
      <w:r w:rsidRPr="003A7660">
        <w:rPr>
          <w:sz w:val="24"/>
          <w:szCs w:val="24"/>
          <w:lang w:val="en-US"/>
        </w:rPr>
        <w:instrText> </w:instrText>
      </w:r>
      <w:r w:rsidRPr="003A7660">
        <w:rPr>
          <w:rFonts w:ascii="Book Antiqua" w:hAnsi="Book Antiqua" w:cs="Arial"/>
          <w:sz w:val="24"/>
          <w:szCs w:val="24"/>
          <w:lang w:val="en-US"/>
        </w:rPr>
        <w:instrText>=</w:instrText>
      </w:r>
      <w:r w:rsidRPr="003A7660">
        <w:rPr>
          <w:sz w:val="24"/>
          <w:szCs w:val="24"/>
          <w:lang w:val="en-US"/>
        </w:rPr>
        <w:instrText> </w:instrText>
      </w:r>
      <w:r w:rsidRPr="003A7660">
        <w:rPr>
          <w:rFonts w:ascii="Book Antiqua" w:hAnsi="Book Antiqua" w:cs="Arial"/>
          <w:sz w:val="24"/>
          <w:szCs w:val="24"/>
          <w:lang w:val="en-US"/>
        </w:rPr>
        <w:instrText>0.41). In addition NMA of the 30-day mortality among the three approaches also did not observe statistical difference. Analysis of variance showed that mean post-operative complications of all approaches were comparable (P</w:instrText>
      </w:r>
      <w:r w:rsidRPr="003A7660">
        <w:rPr>
          <w:sz w:val="24"/>
          <w:szCs w:val="24"/>
          <w:lang w:val="en-US"/>
        </w:rPr>
        <w:instrText> </w:instrText>
      </w:r>
      <w:r w:rsidRPr="003A7660">
        <w:rPr>
          <w:rFonts w:ascii="Book Antiqua" w:hAnsi="Book Antiqua" w:cs="Arial"/>
          <w:sz w:val="24"/>
          <w:szCs w:val="24"/>
          <w:lang w:val="en-US"/>
        </w:rPr>
        <w:instrText>=</w:instrText>
      </w:r>
      <w:r w:rsidRPr="003A7660">
        <w:rPr>
          <w:sz w:val="24"/>
          <w:szCs w:val="24"/>
          <w:lang w:val="en-US"/>
        </w:rPr>
        <w:instrText> </w:instrText>
      </w:r>
      <w:r w:rsidRPr="003A7660">
        <w:rPr>
          <w:rFonts w:ascii="Book Antiqua" w:hAnsi="Book Antiqua" w:cs="Arial"/>
          <w:sz w:val="24"/>
          <w:szCs w:val="24"/>
          <w:lang w:val="en-US"/>
        </w:rPr>
        <w:instrText xml:space="preserve">0.51).\nCONCLUSION: There are considerable differences in the peri-operative management of synchronous CLM patients. This meta-analysis demonstrated no clear statistical surgical outcome or survival advantage towards any of the three approaches.","DOI":"10.1002/jso.23819","ISSN":"1096-9098","note":"PMID: 25363294","shortTitle":"Synchronous colorectal liver metastasis","journalAbbreviation":"J Surg Oncol","language":"eng","author":[{"family":"Kelly","given":"M. E."},{"family":"Spolverato","given":"G."},{"family":"Lê","given":"G. N."},{"family":"Mavros","given":"M. N."},{"family":"Doyle","given":"F."},{"family":"Pawlik","given":"T. M."},{"family":"Winter","given":"D. C."}],"issued":{"date-parts":[["2015",3]]}},"label":"page"},{"id":"jK7A4ffc/gWLCUQWt","uris":["http://zotero.org/users/local/CKZ8Mlfw/items/AUJDK8NM"],"uri":["http://zotero.org/users/local/CKZ8Mlfw/items/AUJDK8NM"],"itemData":{"id":42,"type":"article-journal","title":"Adjuvant chemotherapy after potentially curative resection of metastases from colorectal cancer: a pooled analysis of two randomized trials","container-title":"Journal of Clinical Oncology: Official Journal of the American Society of Clinical Oncology","page":"4906-4911","volume":"26","issue":"30","source":"PubMed","abstract":"PURPOSE: Adjuvant systemic chemotherapy administered after surgical resection of colorectal cancer metastases may reduce the risk of recurrence and improve survival, but its benefit has never been demonstrated. Two phase III trials (Fédération Francophone de Cancérologie Digestive [FFCD] Trial 9002 and the European Organisation for Research and Treatment of Cancer/National Cancer Institute of Canada Clinical Trials Group/Gruppo Italiano di Valutazione Interventi in Oncologia [ENG] trial) used a similar design and showed a trend favoring adjuvant chemotherapy, but both had to close prematurely because of slow accrual, thus lacking the statistical power to demonstrate the predefined difference in survival. We report here a pooled analysis based on individual data from these two trials.\nPATIENTS AND METHODS: After complete resection of colorectal liver or lung metastases, patients were randomly assigned to chemotherapy (CT arm; fluorouracil [FU] 400 mg/m(2) administered intravenously [IV] once daily plus dl-leucovorin 200 mg/m(2) [FFCD] x 5 days or FU 370 mg/m(2) plus l-leucovorin 100 mg/m(2) IV x 5 days [ENG] for six cycles at 28-day intervals) or to surgery alone (S arm).\nRESULTS: A total of 278 patients (CT, n = 138; S, n = 140) were included in the pooled analysis. Median progression-free survival was 27.9 months in the CT arm as compared with 18.8 months in the S arm (hazard ratio = 1.32; 95% CI, 1.00 to 1.76; P = .058). Median overall survival was 62.2 months in the CT arm compared with 47.3 months in the S arm (hazard ratio = 1.32; 95% CI, 0.95 to 1.82; P = .095). Adjuvant chemotherapy was independently associated with both progression-free survival and overall survival in multivariable analysis.\nCONCLUSION: This pooled analysis shows a marginal statistical significance in favor of adjuvant chemotherapy with an FU bolus-based regimen after complete resection of colorectal cancer metastases.","DOI":"10.1200/JCO.2008.17.3781","ISSN":"1527-7755","note":"PMID: 18794541","shortTitle":"Adjuvant chemotherapy after potentially curative resection of metastases from colorectal cancer","journalAbbreviation":"J. Clin. Oncol.","language":"eng","author":[{"family":"Mitry","given":"Emmanuel"},{"family":"Fields","given":"Anthony L. A."},{"family":"Bleiberg","given":"Harry"},{"family":"Labianca","given":"Roberto"},{"family":"Portier","given":"Guillaume"},{"family":"Tu","given":"Dongsheng"},{"family":"Nitti","given":"Donato"},{"family":"Torri","given":"Valter"},{"family":"Elias","given":"Dominique"},{"family":"O'Callaghan","given":"Chris"},{"family":"Langer","given":"Bernard"},{"family":"Martignoni","given":"Giancarlo"},{"family":"Bouché","given":"Olivier"},{"family":"Lazorthes","given":"Franck"},{"family":"Van Cutsem","given":"Eric"},{"family":"Bedenne","given":"Laurent"},{"family":"Moore","given":"Malcolm J."},{"family":"Rougier","given":"Philippe"}],"issued":{"date-parts":[["2008",10,20]]}},"label":"page"}],"schema":"https://github.com/citation-style-language/schema/raw/master/csl-citation.json"} </w:instrTex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 According to the most recent series, when combined with chemotherapy, this can result in a 5-</w:t>
      </w:r>
      <w:r w:rsidR="001723EF" w:rsidRPr="003A7660">
        <w:rPr>
          <w:rFonts w:ascii="Book Antiqua" w:hAnsi="Book Antiqua" w:cs="Arial"/>
          <w:sz w:val="24"/>
          <w:szCs w:val="24"/>
          <w:lang w:val="en-US"/>
        </w:rPr>
        <w:t>year survival rate of up to 60%</w:t>
      </w:r>
      <w:r w:rsidR="001723EF" w:rsidRPr="003A7660">
        <w:rPr>
          <w:rFonts w:ascii="Book Antiqua" w:hAnsi="Book Antiqua" w:cs="Arial"/>
          <w:sz w:val="24"/>
          <w:szCs w:val="24"/>
          <w:vertAlign w:val="superscript"/>
          <w:lang w:val="en-US"/>
        </w:rPr>
        <w:t>[6,</w:t>
      </w:r>
      <w:r w:rsidRPr="003A7660">
        <w:rPr>
          <w:rFonts w:ascii="Book Antiqua" w:hAnsi="Book Antiqua" w:cs="Arial"/>
          <w:sz w:val="24"/>
          <w:szCs w:val="24"/>
          <w:vertAlign w:val="superscript"/>
          <w:lang w:val="en-US"/>
        </w:rPr>
        <w:t>11</w:t>
      </w:r>
      <w:r w:rsidR="001723EF" w:rsidRPr="003A7660">
        <w:rPr>
          <w:rFonts w:ascii="Book Antiqua" w:eastAsia="宋体" w:hAnsi="Book Antiqua" w:cs="Arial"/>
          <w:sz w:val="24"/>
          <w:szCs w:val="24"/>
          <w:vertAlign w:val="superscript"/>
          <w:lang w:val="en-US" w:eastAsia="zh-CN"/>
        </w:rPr>
        <w:t>-</w:t>
      </w:r>
      <w:r w:rsidRPr="003A7660">
        <w:rPr>
          <w:rFonts w:ascii="Book Antiqua" w:hAnsi="Book Antiqua" w:cs="Arial"/>
          <w:sz w:val="24"/>
          <w:szCs w:val="24"/>
          <w:vertAlign w:val="superscript"/>
          <w:lang w:val="en-US"/>
        </w:rPr>
        <w:t>13]</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{"citationID":"a17e70tu0e0","properties":{"formattedCitation":"\\super [6,11\\uc0\\u8211{}13]\\nosupersub{}","plainCitation":"","noteIndex":0},"citationItems":[{"id":"jK7A4ffc/MkIN3vwA","uris":["http://zotero.org/users/local/CKZ8Mlfw/items/UXAQE49K"],"uri":["http://zotero.org/users/local/CKZ8Mlfw/items/UXAQE49K"],"itemData":{"id":34,"type":"article-journal","title":"Trends in long-term survival following liver resection for hepatic colorectal metastases","container-title":"Annals of Surgery","page":"759-766","volume":"235","issue":"6","source":"PubMed","abstract":"OBJECTIVE: To examine trends in outcomes of patients undergoing resection at a single tertiary care referral center over a 16-year period.\nSUMMARY BACKGROUND DATA: Hepatic resection is considered the treatment of choice in selected patients with colorectal metastasis confined to the liver. Although a variety of retrospective studies have demonstrated improvements in short-term outcomes in recent years, changes in long-term survival over time are less well-established.\nMETHODS: Data from 226 consecutive patients undergoing potentially curative liver resection for colorectal metastases between 1984 and 1999 were analyzed. Actuarial survival rates related to prognostic determinants were analyzed using the log-rank test.\nRESULTS: The median survival for the entire cohort was 46 months, with 5- and 10-year survival rates of 40% and 26% respectively. Ninety-three patients operated on between 1984 and 1992 were found to have an overall survival of 31% at 5 years, compared to 58% for the 133 patients operated on during the more recent period (1993-1999). Both overall and disease-free survival were significantly better in the recent time period compared with the earlier period on both univariate and multivariate analyses. Other independent factors associated with improved survival included number of metastatic tumors &lt; or = 3, negative resection margin, and CEA &lt; 100. Comparisons were made between time periods for a variety of patient, tumor and treatment-related factors. Among all parameters studied, only resection type (anatomical versus nonanatomical), use of intraoperative ultrasonography, and perioperative chemotherapy administration differed between the early and recent time periods.\nCONCLUSIONS: Long-term survival following liver resection for colorectal metastases has improved significantly in recent years at our institution. Although the reasons for this survival trend are not clear, contributing factors may include the use of newer preoperative and intraoperative imaging, increased use of chemotherapy, and salvage surgical therapy.","ISSN":"0003-4932","note":"PMID: 12035031\nPMCID: PMC1422504","journalAbbreviation":"Ann. Surg.","language":"eng","author":[{"family":"Choti","given":"Michael A."},{"family":"Sitzmann","given":"James V."},{"family":"Tiburi","given":"Marcelo F."},{"family":"Sumetchotimetha","given":"Wuthi"},{"family":"Rangsin","given":"Ram"},{"family":"Schulick","given":"Richard D."},{"family":"Lillemoe","given":"Keith D."},{"family":"Yeo","given":"Charles J."},{"family":"Cameron","given":"John L."}],"issued":{"date-parts":[["2002",6]]}},"label":"page"},{"id":"jK7A4ffc/J7eQbLX0","uris":["http://zotero.org/users/local/CKZ8Mlfw/items/4ERPKPVV"],"uri":["http://zotero.org/users/local/CKZ8Mlfw/items/4ERPKPVV"],"itemData":{"id":138,"type":"article-journal","title":"Short term and long term results of patients with colorectal liver metastases undergoing surgery with or without radiofrequency ablation","container-title":"European Journal of Surgical Oncology: The Journal of the European Society of Surgical Oncology and the British Association of Surgical Oncology","page":"523-530","volume":"42","issue":"4","source":"PubMed","abstract":"PURPOSE: The combination of resection and radiofrequency ablation (RFA) may provide an alternative treatment for patients with unresectable colorectal liver metastases (CRLM). Although the results in literature look promising, uncertainty exists with regard to complication risks and survival for this therapy.\nMETHODS: From January 2000 to May 2013, patients were included in a prospective multicenter database when treated for CRLM. Exclusion criteria were: two-staged treatment, synchronous resection of liver metastases and primary tumor, loss to follow-up or extrahepatic metastases. Patients were divided in a resection-only group (ROG) and combination group (CG). Outcome variables were retrospectively analyzed.\nRESULTS: In CG, 98 patients were included versus 534 patients in ROG. There were no differences in general patient characteristics. Patients in CG had a higher Fong clinical risk score (CRS; P = 0.001), better ASA classification (P = 0.04) and received more neoadjuvant chemotherapy (P = 0.001). There was no difference in postoperative morbidity or 90-day mortality. The 5-year disease-free survival (DFS) for CG and ROG was 25% and 36.1% (P = 0.03), respectively. For the 5-year overall survival (OS) this was respectively 42% and 62.2% (P = 0.001). On multivariate analysis, Fong CRS was a significant predictor for DFS. For OS, Fong CRS, ASA class IV and the combination therapy were significant predictors.\nCONCLUSION: The combination of hepatic resection and intraoperative RFA is a safe procedure, without increase in postoperative morbidity or mortality. Combining RFA and resection in one session is a valid treatment option for patients who would otherwise be inoperable.","DOI":"10.1016/j.ejso.2016.01.013","ISSN":"1532-2157","note":"PMID: 26856957","journalAbbreviation":"Eur J Surg Oncol","language":"eng","author":[{"family":"Amerongen","given":"M. J.","non-dropping-particle":"van"},{"family":"Stok","given":"E. P.","non-dropping-particle":"van der"},{"family":"Fütterer","given":"J. J."},{"family":"Jenniskens","given":"S. F. M."},{"family":"Moelker","given":"A."},{"family":"Grünhagen","given":"D. J."},{"family":"Verhoef","given":"C."},{"family":"Wilt","given":"J. H. W.","non-dropping-particle":"de"}],"issued":{"date-parts":[["2016",4]]}},"label":"page"},{"id":"jK7A4ffc/5gdkHt5Q","uris":["http://zotero.org/users/local/CKZ8Mlfw/items/7Q2PP35Z"],"uri":["http://zotero.org/users/local/CKZ8Mlfw/items/7Q2PP35Z"],"itemData":{"id":6,"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label":"page"},{"id":"jK7A4ffc/kLHmCcca","uris":["http://zotero.org/users/local/CKZ8Mlfw/items/KQKFETJQ"],"uri":["http://zotero.org/users/local/CKZ8Mlfw/items/KQKFETJQ"],"itemData":{"id":311,"type":"article-journal","title":"Survival of solid cancer patients in France, 1989-2013: a population-based study","container-title":"European journal of cancer prevention: the official journal of the European Cancer Prevention Organisation (ECP)","source":"PubMed","abstract":"This study provides updates of net survival (NS) estimates at 5, 10, and 15 years as well as survival trends for 35 solid cancers in France using data from 19 population-based cancer registries. The study considered all cases of solid cancer diagnosed between 1989 and 2010 in patients older than 15 years of age who were actively followed up until 30 June 2013. NS was estimated using the Pohar-Perme method. The age-standardized NS used the international cancer survival standard weights. The 5-year age-standardized NSs ranged from 4% (pleural mesothelioma) to 93% (prostate) in men and from 10% (pancreas) to 97% (thyroid) in women. The 10-year age-standardized NSs ranged from 2% (pleural mesothelioma) in both sexes to 95% (testis) in men and 91% (thyroid) in women. The most frequent cancers (namely, breast and prostate cancers) had the highest NSs: 87 and 93% at 5 years and 78 and 84% at 10 years, respectively. Several cancers (especially lung, pancreas, and liver cancer) had very poor prognoses (5-year NSs under 20%). Fifteen-year NSs remained high for testis cancer. In most cancers, 5- and 10-year age-standardized NSs increased between 1989 and 2010. Advanced age was associated with a poor prognosis and little improvement in survival. The increases in cancer survival are probably related to earlier diagnosis and therapeutic advances over the last decade. However, poor prognoses are still found in some alcohol-related and tobacco-related cancers and in elderly patients, highlighting the need for more prevention, diagnosis, and treatment efforts.","ISSN":"1473-5709","note":"PMID: 28598889","shortTitle":"Survival of solid cancer patients in France, 1989-2013","journalAbbreviation":"Eur. J. Cancer Prev.","language":"eng","author":[{"family":"Cowppli-Bony","given":"Anne"},{"family":"Uhry","given":"Zoé"},{"family":"Remontet","given":"Laurent"},{"family":"Voirin","given":"Nicolas"},{"family":"Guizard","given":"Anne-Valérie"},{"family":"Trétarre","given":"Brigitte"},{"family":"Bouvier","given":"Anne-Marie"},{"family":"Colonna","given":"Marc"},{"family":"Bossard","given":"Nadine"},{"family":"Woronoff","given":"Anne-Sophie"},{"family":"Grosclaude","given":"Pascale"},{"literal":"French Network of Cancer Registries (FRANCIM)"}],"issued":{"date-parts":[["2017",6,8]]}},"label":"page"}],"schema":"https://github.com/citation-style-language/schema/raw/master/csl-citation.json"} </w:instrTex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 xml:space="preserve">. </w:t>
      </w:r>
    </w:p>
    <w:p w:rsidR="00F74797" w:rsidRPr="003A7660" w:rsidRDefault="00F74797" w:rsidP="00384F14">
      <w:pPr>
        <w:pStyle w:val="a3"/>
        <w:snapToGrid w:val="0"/>
        <w:spacing w:line="360" w:lineRule="auto"/>
        <w:ind w:firstLineChars="100" w:firstLine="240"/>
        <w:jc w:val="both"/>
        <w:rPr>
          <w:rFonts w:ascii="Book Antiqua" w:hAnsi="Book Antiqua" w:cs="Arial"/>
          <w:sz w:val="24"/>
          <w:szCs w:val="24"/>
          <w:lang w:val="en-US"/>
        </w:rPr>
      </w:pPr>
      <w:r w:rsidRPr="003A7660">
        <w:rPr>
          <w:rFonts w:ascii="Book Antiqua" w:hAnsi="Book Antiqua" w:cs="Arial"/>
          <w:sz w:val="24"/>
          <w:szCs w:val="24"/>
          <w:lang w:val="en-US"/>
        </w:rPr>
        <w:t xml:space="preserve">Neoadjuvant chemotherapy (NAC) has recently become nearly systematic prior </w:t>
      </w:r>
      <w:r w:rsidR="001723EF" w:rsidRPr="003A7660">
        <w:rPr>
          <w:rFonts w:ascii="Book Antiqua" w:hAnsi="Book Antiqua" w:cs="Arial"/>
          <w:sz w:val="24"/>
          <w:szCs w:val="24"/>
          <w:lang w:val="en-US"/>
        </w:rPr>
        <w:t>to surgical management of CRLMs</w:t>
      </w:r>
      <w:r w:rsidR="001723EF" w:rsidRPr="003A7660">
        <w:rPr>
          <w:rFonts w:ascii="Book Antiqua" w:hAnsi="Book Antiqua" w:cs="Arial"/>
          <w:sz w:val="24"/>
          <w:szCs w:val="24"/>
          <w:vertAlign w:val="superscript"/>
          <w:lang w:val="en-US"/>
        </w:rPr>
        <w:t>[7,</w:t>
      </w:r>
      <w:r w:rsidRPr="003A7660">
        <w:rPr>
          <w:rFonts w:ascii="Book Antiqua" w:hAnsi="Book Antiqua" w:cs="Arial"/>
          <w:sz w:val="24"/>
          <w:szCs w:val="24"/>
          <w:vertAlign w:val="superscript"/>
          <w:lang w:val="en-US"/>
        </w:rPr>
        <w:t>14</w:t>
      </w:r>
      <w:r w:rsidR="001723EF" w:rsidRPr="003A7660">
        <w:rPr>
          <w:rFonts w:ascii="Book Antiqua" w:eastAsia="宋体" w:hAnsi="Book Antiqua" w:cs="Arial"/>
          <w:sz w:val="24"/>
          <w:szCs w:val="24"/>
          <w:vertAlign w:val="superscript"/>
          <w:lang w:val="en-US" w:eastAsia="zh-CN"/>
        </w:rPr>
        <w:t>-</w:t>
      </w:r>
      <w:r w:rsidRPr="003A7660">
        <w:rPr>
          <w:rFonts w:ascii="Book Antiqua" w:hAnsi="Book Antiqua" w:cs="Arial"/>
          <w:sz w:val="24"/>
          <w:szCs w:val="24"/>
          <w:vertAlign w:val="superscript"/>
          <w:lang w:val="en-US"/>
        </w:rPr>
        <w:t>16]</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{"citationID":"MvTpH4ER","properties":{"formattedCitation":"\\super [7,14\\uc0\\u8211{}16]\\nosupersub{}","plainCitation":"","noteIndex":0},"citationItems":[{"id":"jK7A4ffc/x1sC74bk","uris":["http://zotero.org/users/local/CKZ8Mlfw/items/3FKS2N2K"],"uri":["http://zotero.org/users/local/CKZ8Mlfw/items/3FKS2N2K"],"itemData":{"id":73,"type":"article-journal","title":"Importance of response to neoadjuvant chemotherapy in potentially curable colorectal cancer liver metastases","container-title":"BMC cancer","page":"120","volume":"8","source":"PubMed","abstract":"BACKGROUND: Surgical resection of liver metastases arising from colorectal cancer is considered the only curative treatment option. However, many patients subsequently experience disease recurrence. We prospectively investigated whether neoadjuvant chemotherapy reduces the risk of recurrence following potentially curative liver resection. Special emphasis was directed to the importance of response.\nMETHODS: 50 patients with resectable liver metastases received neoadjuvant XELOX or FOLFOX4 for six cycles (3 months). Complete resection of liver metastases was intended thereafter. Assessments included response rate, postoperative morbidity and recurrence-free survival.\nRESULTS: An objective response was observed in 72% of all patients, including two complete responses. Chemotherapy was well tolerated and the majority of adverse events were mild to moderate (grade 1/2). Potentially curative R0 resection was performed in all patients and postoperative complications were observed in only 12%. The median recurrence-free survival was significantly influenced by tumor response with 24.7 months (95% CI: 4.50 to 44.97) in responding patients, 8.2 months (95% CI: 3.09 to 13.31) in patients with stable disease and 3.0 months (95% CI: 0 to 8.91) in patients with progressive disease.\nCONCLUSION: These data suggest that neoadjuvant Oxaliplatin based chemotherapy provides high response rates without increased risk of perioperative morbidity. Response to chemotherapy can lead to long-term recurrence-free survival. Neoadjuvant chemotherapy may identify best candidates for a potentially curative treatment approach.","DOI":"10.1186/1471-2407-8-120","ISSN":"1471-2407","note":"PMID: 18439246\nPMCID: PMC2386791","journalAbbreviation":"BMC Cancer","language":"eng","author":[{"family":"Gruenberger","given":"Birgit"},{"family":"Scheithauer","given":"Werner"},{"family":"Punzengruber","given":"Robert"},{"family":"Zielinski","given":"Christoph"},{"family":"Tamandl","given":"Dietmar"},{"family":"Gruenberger","given":"Thomas"}],"issued":{"date-parts":[["2008",4,25]]}},"label":"page"},{"id":"jK7A4ffc/oO5ff83K","uris":["http://zotero.org/users/local/CKZ8Mlfw/items/5KIBJTTH"],"uri":["http://zotero.org/users/local/CKZ8Mlfw/items/5KIBJTTH"],"itemData":{"id":120,"type":"article-journal","title":"ESMO consensus guidelines for the management of patients with metastatic colorectal cancer","container-title":"Annals of Oncology: Official Journal of the European Society for Medical Oncology","page":"1386-1422","volume":"27","issue":"8","source":"PubMed","abstract":"Colorectal cancer (CRC) is one of the most common malignancies in Western countries. Over the last 20 years, and the last decade in particular, the clinical outcome for patients with metastatic CRC (mCRC) has improved greatly due not only to an increase in the number of patients being referred for and undergoing surgical resection of their localised metastatic disease but also to a more strategic approach to the delivery of systemic therapy and an expansion in the use of ablative techniques. This reflects the increase in the number of patients that are being managed within a multidisciplinary team environment and specialist cancer centres, and the emergence over the same time period not only of improved imaging techniques but also prognostic and predictive molecular markers. Treatment decisions for patients with mCRC must be evidence-based. Thus, these ESMO consensus guidelines have been developed based on the current available evidence to provide a series of evidence-based recommendations to assist in the treatment and management of patients with mCRC in this rapidly evolving treatment setting.","DOI":"10.1093/annonc/mdw235","ISSN":"1569-8041","note":"PMID: 27380959","journalAbbreviation":"Ann. Oncol.","language":"eng","author":[{"family":"Van Cutsem","given":"E."},{"family":"Cervantes","given":"A."},{"family":"Adam","given":"R."},{"family":"Sobrero","given":"A."},{"family":"Van Krieken","given":"J. H."},{"family":"Aderka","given":"D."},{"family":"Aranda Aguilar","given":"E."},{"family":"Bardelli","given":"A."},{"family":"Benson","given":"A."},{"family":"Bodoky","given":"G."},{"family":"Ciardiello","given":"F."},{"family":"D'Hoore","given":"A."},{"family":"Diaz-Rubio","given":"E."},{"family":"Douillard","given":"J.-Y."},{"family":"Ducreux","given":"M."},{"family":"Falcone","given":"A."},{"family":"Grothey","given":"A."},{"family":"Gruenberger","given":"T."},{"family":"Haustermans","given":"K."},{"family":"Heinemann","given":"V."},{"family":"Hoff","given":"P."},{"family":"Köhne","given":"C.-H."},{"family":"Labianca","given":"R."},{"family":"Laurent-Puig","given":"P."},{"family":"Ma","given":"B."},{"family":"Maughan","given":"T."},{"family":"Muro","given":"K."},{"family":"Normanno","given":"N."},{"family":"Österlund","given":"P."},{"family":"Oyen","given":"W. J. G."},{"family":"Papamichael","given":"D."},{"family":"Pentheroudakis","given":"G."},{"family":"Pfeiffer","given":"P."},{"family":"Price","given":"T. J."},{"family":"Punt","given":"C."},{"family":"Ricke","given":"J."},{"family":"Roth","given":"A."},{"family":"Salazar","given":"R."},{"family":"Scheithauer","given":"W."},{"family":"Schmoll","given":"H. J."},{"family":"Tabernero","given":"J."},{"family":"Taïeb","given":"J."},{"family":"Tejpar","given":"S."},{"family":"Wasan","given":"H."},{"family":"Yoshino","given":"T."},{"family":"Zaanan","given":"A."},{"family":"Arnold","given":"D."}],"issued":{"date-parts":[["2016",8]]}},"label":"page"},{"id":"jK7A4ffc/ISwsI0wG","uris":["http://zotero.org/users/local/CKZ8Mlfw/items/B84N6GA7"],"uri":["http://zotero.org/users/local/CKZ8Mlfw/items/B84N6GA7"],"itemData":{"id":71,"type":"article-journal","title":"Treatment of colorectal liver metastases","container-title":"World Journal of Surgical Oncology","page":"154","volume":"9","source":"PubMed","abstract":"Colorectal cancer (CRC) is the third most common cancer in the word. Liver metastasis is the most common site of colorectal metastases. The prognosis of resectable colorectal liver metastases (CRLM) was improved in the recent years with the consideration of chemotherapy and surgical resection as part of the multidisciplinary management of the disease; the current 5-year survival rates after resection of liver metastases are 25% to 40%. Resectable synchronous or metachronous liver metastases should be treated with perioperative chemotherapy based on three months of FOLFOX4 (5-fluorouracil [5FU], folinic acid [LV], and oxaliplatin) chemotherapy before surgery and three months after surgery. In the case of primary surgery, pseudo-adjuvant chemotherapy for 6 months, based on 5FU/LV, FOLFOX4, XELOX (capecitabine and oxaliplatin) or FOLFIRI (5FU/LV and irinotecan), should be indicated. In potentially resectable disease, primary chemotherapy based on more intensive regimens such as FOLFIRINOX (5FU/LV, irinotecan and oxaliplatin) should be considered to enhance the chance of cure. The palliative chemotherapy based on FOLFIRI, or FOLFOX4/XELOX with or without targeted therapies, is the mainstay treatment of unresectable disease. This review would provide additional insight into the problem of optimal integration of chemotherapy and surgery in the management of CRLM.","DOI":"10.1186/1477-7819-9-154","ISSN":"1477-7819","note":"PMID: 22115124\nPMCID: PMC3251538","journalAbbreviation":"World J Surg Oncol","language":"eng","author":[{"family":"Ismaili","given":"Nabil"}],"issued":{"date-parts":[["2011",11,24]]}},"label":"page"},{"id":"jK7A4ffc/AJemKj6T","uris":["http://zotero.org/users/local/CKZ8Mlfw/items/J4VCB6MT"],"uri":["http://zotero.org/users/local/CKZ8Mlfw/items/J4VCB6MT"],"itemData":{"id":67,"type":"article-journal","title":"FOLFOX4 versus sequential dose-dense FOLFOX7 followed by FOLFIRI in patients with resectable metastatic colorectal cancer (MIROX): a pragmatic approach to chemotherapy timing with perioperative or postoperative chemotherapy from an open-label, randomized phase III trial","container-title":"Annals of Oncology: Official Journal of the European Society for Medical Oncology","page":"340-347","volume":"26","issue":"2","source":"PubMed","abstract":"BACKGROUND: Perioperative FOLFOX4 (oxaliplatin plus 5-fluorouracil/leucovorin) chemotherapy is the current standard in patients with resectable metastases from colorectal cancer (CRC). We aimed to determine whether a sequential chemotherapy with dose-dense oxaliplatin (FOLFOX7) and irinotecan (FOLFIRI; irinotecan plus 5-fluorouracil/leucovorin) is superior to FOLFOX4. The chemotherapy timing was not imposed, and was perioperative or postoperative.\nPATIENTS AND METHODS: In this open-label, phase III trial, patients with resectable or resected metastases were randomly assigned either to 12 cycles of FOLFOX4 (oxaliplatin 85 mg/m(2)) or 6 cycles of FOLFOX7 (oxaliplatin 130 mg/m(2)) followed by 6 cycles of FOLFIRI (irinotecan 180 mg/m(2)). Randomization was done centrally, with stratification by chemotherapy timing, type of local treatment (surgery versus radiofrequency ablation with/without surgery), and Fong's prognostic score. The primary end point was 2-year disease-free survival (DFS).\nRESULTS: A total of 284 patients were randomized, 142 in each treatment group. Chemotherapy was perioperative in 168 (59.2%) patients and postoperative in 116 (40.8%) patients. Perioperative chemotherapy was preferentially proposed for synchronous metastases, whereas postoperative chemotherapy was more frequently used for metachronous metastases. Two-year DFS was 48.5% in the FOLFOX4 group and 50.0% in the FOLFOX7-FOLFIRI group. In the multivariable analysis, more than one metastasis [hazard ratio (HR) = 2.15] and synchronous metastases (HR = 1.63) were independent prognostic factors for shorter DFS. Five-year overall survival (OS) rate was 69.5% with FOLFOX4 versus 66.6% with FOLFOX7-FOLFIRI.\nCONCLUSIONS: FOLFOX7-FOLFIRI is not superior to FOLFOX4 in patients with resectable metastatic CRC. Five-year OS rates observed in both groups are the highest ever reported in this setting, possibly reflecting the pragmatic approach to chemotherapy timing.\nCLINICAL TRIALS NUMBER: NCT00268398.","DOI":"10.1093/annonc/mdu539","ISSN":"1569-8041","note":"PMID: 25403578","shortTitle":"FOLFOX4 versus sequential dose-dense FOLFOX7 followed by FOLFIRI in patients with resectable metastatic colorectal cancer (MIROX)","journalAbbreviation":"Ann. Oncol.","language":"eng","author":[{"family":"Hebbar","given":"M."},{"family":"Chibaudel","given":"B."},{"family":"André","given":"T."},{"family":"Mineur","given":"L."},{"family":"Smith","given":"D."},{"family":"Louvet","given":"C."},{"family":"Dutel","given":"J. L."},{"family":"Ychou","given":"M."},{"family":"Legoux","given":"J. L."},{"family":"Mabro","given":"M."},{"family":"Faroux","given":"R."},{"family":"Auby","given":"D."},{"family":"Brusquant","given":"D."},{"family":"Khalil","given":"A."},{"family":"Truant","given":"S."},{"family":"Hadengue","given":"A."},{"family":"Dalban","given":"C."},{"family":"Gayet","given":"B."},{"family":"Paye","given":"F."},{"family":"Pruvot","given":"F. R."},{"family":"Bonnetain","given":"F."},{"family":"Taieb","given":"J."},{"family":"Brucker","given":"P."},{"family":"Landi","given":"B."},{"family":"Flesch","given":"M."},{"family":"Carola","given":"E."},{"family":"Martin","given":"P."},{"family":"Vaillant","given":"E."},{"family":"Gramont","given":"A.","non-dropping-particle":"de"},{"literal":"Group Coopérateur Multidisciplinaire en Oncologie (GERCOR) Group"}],"issued":{"date-parts":[["2015",2]]}},"label":"page"}],"schema":"https://github.com/citation-style-language/schema/raw/master/csl-citation.json"} </w:instrTex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 It can be administered to patients who are initially considered to be non-resectable, and to patients with liver disease that i</w:t>
      </w:r>
      <w:r w:rsidR="00213AC4" w:rsidRPr="003A7660">
        <w:rPr>
          <w:rFonts w:ascii="Book Antiqua" w:hAnsi="Book Antiqua" w:cs="Arial"/>
          <w:sz w:val="24"/>
          <w:szCs w:val="24"/>
          <w:lang w:val="en-US"/>
        </w:rPr>
        <w:t>s at the limit of resectability</w:t>
      </w:r>
      <w:r w:rsidR="00213AC4" w:rsidRPr="003A7660">
        <w:rPr>
          <w:rFonts w:ascii="Book Antiqua" w:hAnsi="Book Antiqua" w:cs="Arial"/>
          <w:sz w:val="24"/>
          <w:szCs w:val="24"/>
          <w:vertAlign w:val="superscript"/>
          <w:lang w:val="en-US"/>
        </w:rPr>
        <w:t>[14,</w:t>
      </w:r>
      <w:r w:rsidRPr="003A7660">
        <w:rPr>
          <w:rFonts w:ascii="Book Antiqua" w:hAnsi="Book Antiqua" w:cs="Arial"/>
          <w:sz w:val="24"/>
          <w:szCs w:val="24"/>
          <w:vertAlign w:val="superscript"/>
          <w:lang w:val="en-US"/>
        </w:rPr>
        <w:t>17</w:t>
      </w:r>
      <w:r w:rsidR="00213AC4" w:rsidRPr="003A7660">
        <w:rPr>
          <w:rFonts w:ascii="Book Antiqua" w:eastAsia="宋体" w:hAnsi="Book Antiqua" w:cs="Arial"/>
          <w:sz w:val="24"/>
          <w:szCs w:val="24"/>
          <w:vertAlign w:val="superscript"/>
          <w:lang w:val="en-US" w:eastAsia="zh-CN"/>
        </w:rPr>
        <w:t>-</w:t>
      </w:r>
      <w:r w:rsidRPr="003A7660">
        <w:rPr>
          <w:rFonts w:ascii="Book Antiqua" w:hAnsi="Book Antiqua" w:cs="Arial"/>
          <w:sz w:val="24"/>
          <w:szCs w:val="24"/>
          <w:vertAlign w:val="superscript"/>
          <w:lang w:val="en-US"/>
        </w:rPr>
        <w:t>19]</w:t>
      </w:r>
      <w:r w:rsidRPr="003A7660">
        <w:rPr>
          <w:rFonts w:ascii="Book Antiqua" w:hAnsi="Book Antiqua" w:cs="Arial"/>
          <w:sz w:val="24"/>
          <w:szCs w:val="24"/>
          <w:vertAlign w:val="superscript"/>
          <w:lang w:val="en-US"/>
        </w:rPr>
        <w:fldChar w:fldCharType="begin"/>
      </w:r>
      <w:r w:rsidRPr="003A7660">
        <w:rPr>
          <w:rFonts w:ascii="Book Antiqua" w:hAnsi="Book Antiqua" w:cs="Arial"/>
          <w:sz w:val="24"/>
          <w:szCs w:val="24"/>
          <w:vertAlign w:val="superscript"/>
          <w:lang w:val="en-US"/>
        </w:rPr>
        <w:instrText xml:space="preserve"> ADDIN ZOTERO_ITEM CSL_CITATION {"citationID":"fY67RxaQ","properties":{"formattedCitation":"\\super [14,17\\uc0\\u8211{}19]\\nosupersub{}","plainCitation":"","noteIndex":0},"citationItems":[{"id":"jK7A4ffc/x1sC74bk","uris":["http://zotero.org/users/local/CKZ8Mlfw/items/3FKS2N2K"],"uri":["http://zotero.org/users/local/CKZ8Mlfw/items/3FKS2N2K"],"itemData":{"id":73,"type":"article-journal","title":"Importance of response to neoadjuvant chemotherapy in potentially curable colorectal cancer liver metastases","container-title":"BMC cancer","page":"120","volume":"8","source":"PubMed","abstract":"BACKGROUND: Surgical resection of liver metastases arising from colorectal cancer is considered the only curative treatment option. However, many patients subsequently experience disease recurrence. We prospectively investigated whether neoadjuvant chemotherapy reduces the risk of recurrence following potentially curative liver resection. Special emphasis was directed to the importance of response.\nMETHODS: 50 patients with resectable liver metastases received neoadjuvant XELOX or FOLFOX4 for six cycles (3 months). Complete resection of liver metastases was intended thereafter. Assessments included response rate, postoperative morbidity and recurrence-free survival.\nRESULTS: An objective response was observed in 72% of all patients, including two complete responses. Chemotherapy was well tolerated and the majority of adverse events were mild to moderate (grade 1/2). Potentially curative R0 resection was performed in all patients and postoperative complications were observed in only 12%. The median recurrence-free survival was significantly influenced by tumor response with 24.7 months (95% CI: 4.50 to 44.97) in responding patients, 8.2 months (95% CI: 3.09 to 13.31) in patients with stable disease and 3.0 months (95% CI: 0 to 8.91) in patients with progressive disease.\nCONCLUSION: These data suggest that neoadjuvant Oxaliplatin based chemotherapy provides high response rates without increased risk of perioperative morbidity. Response to chemotherapy can lead to long-term recurrence-free survival. Neoadjuvant chemotherapy may identify best candidates for a potentially curative treatment approach.","DOI":"10.1186/1471-2407-8-120","ISSN":"1471-2407","note":"PMID: 18439246\nPMCID: PMC2386791","journalAbbreviation":"BMC Cancer","language":"eng","author":[{"family":"Gruenberger","given":"Birgit"},{"family":"Scheithauer","given":"Werner"},{"family":"Punzengruber","given":"Robert"},{"family":"Zielinski","given":"Christoph"},{"family":"Tamandl","given":"Dietmar"},{"family":"Gruenberger","given":"Thomas"}],"issued":{"date-parts":[["2008",4,25]]}},"label":"page"},{"id":"jK7A4ffc/CRtiGUEj","uris":["http://zotero.org/users/local/CKZ8Mlfw/items/6ZXWZR5I"],"uri":["http://zotero.org/users/local/CKZ8Mlfw/items/6ZXWZR5I"],"itemData":{"id":88,"type":"article-journal","title":"Impact of expanding criteria for resectability of colorectal metastases on short- and long-term outcomes after hepatic resection","container-title":"Annals of Surgery","page":"1069-1079","volume":"253","issue":"6","source":"PubMed","abstract":"BACKGROUND: An expansion of resectability criteria of colorectal liver metastases (CLM) is justified provided \"acceptable\" short-term and long-term outcomes. The aim of the present study was to ascertain this paradigm in an era of modern liver surgery.\nMETHODS: All consecutive patients who underwent hepatic resection for CLM at our institute between 1990 and 2010 were included in the study. Ninety-day mortality and morbidity rates were determined in the total study population and in 2 separate time periods (group I: 1990-2000; group II: 2000-2010). Similarly, overall and progression-free survival rates were determined. Independent predictors of postoperative morbidity were identified at multivariate analysis.\nRESULTS: Between 1990 and 2010, 1394 hepatectomies were performed in 1028 patients. Overall perioperative mortality and postoperative morbidity rates were 1.3% and 33%, respectively. Although patients in group II were older, had more often comorbid illnesses, and presented with more extensive liver disease, similar perioperative mortality rates were observed (1.1% in group I and 1.4% in group II; P = 0.53). A trend toward a higher morbidity rate was observed in group II (34% vs 31% in group I; P = 0.16). Independent predictors of postoperative morbidity were: treatment between 2000 and 2010, total hepatic ischemia time of 60 minutes or more, maximum size of CLM of 30 mm or more at histopathology, and presence of abnormalities in the nontumoral liver parenchyma. Although a trend toward lower overall survival was observed in patients with significant postoperative complications, no significant differences were observed in long-term outcomes between both treatment periods.\nCONCLUSION: After an aggressive multidisciplinary treatment of CLM, acceptable overall mortality and morbidity rates were observed. Perioperative mortality rates did not differ according to treatment period; however, more recently operated patients experienced more postoperative complications. These favorable short-term outcomes, without worsening of long-term outcomes, justify an expansion of the criteria for resectability in this patient category.","DOI":"10.1097/SLA.0b013e318217e898","ISSN":"1528-1140","note":"PMID: 21451388","journalAbbreviation":"Ann. Surg.","language":"eng","author":[{"family":"Haas","given":"Robbert J.","non-dropping-particle":"de"},{"family":"Wicherts","given":"Dennis A."},{"family":"Andreani","given":"Paola"},{"family":"Pascal","given":"Gérard"},{"family":"Saliba","given":"Faouzi"},{"family":"Ichai","given":"Philippe"},{"family":"Adam","given":"René"},{"family":"Castaing","given":"Denis"},{"family":"Azoulay","given":"Daniel"}],"issued":{"date-parts":[["2011",6]]}},"label":"page"},{"id":"jK7A4ffc/Uv5f5IsD","uris":["http://zotero.org/users/local/CKZ8Mlfw/items/ZGCMHFJM"],"uri":["http://zotero.org/users/local/CKZ8Mlfw/items/ZGCMHFJM"],"itemData":{"id":186,"type":"article-journal","title":"Surgery of Colorectal Liver Metastases: Pushing the Limits","container-title":"Liver Cancer","page":"80-89","volume":"6","issue":"1","source":"PubMed","abstract":"BACKGROUND: The recent advent of more effective chemotherapy and the development of surgical procedures have expanded the pool of resectable patients with colorectal liver metastases (CLM). Two-stage hepatectomy (TSH), associated liver partition and portal vein ligation for staged hepatectomy (ALPPS), and ultrasound-guided enhanced one-stage hepatectomy (e-OSH) are the surgical solutions proposed for these patients, but the range of indications for these procedures vary from institution to institution.\nSUMMARY: The advantages and disadvantages of each approach are herein discussed. Patients who drop out between the staged operations of TSH limit its success rate, although predictive scores may help with patient selection and thereby optimize the results. Safety and oncological suitability are concerns to be addressed when considering ALPPS. These concerns notwithstanding, ALPPS has introduced an innovative concept in surgery: the monosegmental remnant liver. Studies involving e-OSH have proven the oncological suitability of tumor exposure once the CLM is detached from major intrahepatic vessels. This finding could expand the indications for e-OSH, although the technical challenges that it entails limit its spread among the surgical community. The liver-first approach involves the clearance of tumors from the liver before the colorectal primary is tackled. This approach fully justifies the complexity of e-OSH.\nKEY MESSAGES: Predictive scores limiting the interstage dropout of TSH, partial and monosegmental ALPPS, and R1 vascular e-OSH justified by solid long-term results represent new insights that could help refne the patient assignment to each of these approaches. Additionally, liver transplantation is an emerging treatment for CLM that should be taken into account.","DOI":"10.1159/000449495","ISSN":"2235-1795","note":"PMID: 27995092\nPMCID: PMC5159716","shortTitle":"Surgery of Colorectal Liver Metastases","journalAbbreviation":"Liver Cancer","language":"eng","author":[{"family":"Torzilli","given":"Guido"},{"family":"Adam","given":"René"},{"family":"Viganò","given":"Luca"},{"family":"Imai","given":"Katsunori"},{"family":"Goransky","given":"Jeremias"},{"family":"Fontana","given":"Andrea"},{"family":"Toso","given":"Christian"},{"family":"Majno","given":"Pietro"},{"family":"Santibañes","given":"Eduardo","non-dropping-particle":"de"}],"issued":{"date-parts":[["2016",11]]}},"label":"page"},{"id":"jK7A4ffc/h65UnpOI","uris":["http://zotero.org/users/local/CKZ8Mlfw/items/WDZ28C6G"],"uri":["http://zotero.org/users/local/CKZ8Mlfw/items/WDZ28C6G"],"itemData":{"id":17,"type":"article-journal","title":"An update on chemotherapy of colorectal liver metastases","container-title":"World Journal of Gastroenterology","page":"25-33","volume":"18","issue":"1","source":"PubMed","abstract":"Surgical resection of liver metastases of colorectal cancer greatly improves the clinical outcome of patients with advanced disease. Developments in chemotherapeutic agents and strategies bring hope of a cure to patients with initially unresectable colorectal liver metastases (CLM). Perioperative chemotherapy significantly improves the survival time of patients who receive curative-intent hepatectomy. Even for unresectable CLM, recent studies demonstrated that active preoperative chemotherapy could achieve shrinkage of liver metastasis and thus render some for resection. Furthermore, an increase in tumor resection rate and prolonged survival time among patients with CLM has been observed following the application of monoclonal antibodies in recent years. However, the value of chemotherapy via hepatic arterial infusion is still unclear. More trials should be conducted in patients with CLM in order to improve survival.","DOI":"10.3748/wjg.v18.i1.25","ISSN":"2219-2840","note":"PMID: 22228967\nPMCID: PMC3251802","journalAbbreviation":"World J. Gastroenterol.","language":"eng","author":[{"family":"Wang","given":"Chen-Chen"},{"family":"Li","given":"Jin"}],"issued":{"date-parts":[["2012",1,7]]}},"label":"page"}],"schema":"https://github.com/citation-style-language/schema/raw/master/csl-citation.json"} </w:instrText>
      </w:r>
      <w:r w:rsidRPr="003A7660">
        <w:rPr>
          <w:rFonts w:ascii="Book Antiqua" w:hAnsi="Book Antiqua" w:cs="Arial"/>
          <w:sz w:val="24"/>
          <w:szCs w:val="24"/>
          <w:vertAlign w:val="superscript"/>
          <w:lang w:val="en-US"/>
        </w:rPr>
        <w:fldChar w:fldCharType="end"/>
      </w:r>
      <w:r w:rsidRPr="003A7660">
        <w:rPr>
          <w:rFonts w:ascii="Book Antiqua" w:hAnsi="Book Antiqua" w:cs="Arial"/>
          <w:sz w:val="24"/>
          <w:szCs w:val="24"/>
          <w:lang w:val="en-US"/>
        </w:rPr>
        <w:t>, while it is also used in case</w:t>
      </w:r>
      <w:r w:rsidR="00512570" w:rsidRPr="003A7660">
        <w:rPr>
          <w:rFonts w:ascii="Book Antiqua" w:hAnsi="Book Antiqua" w:cs="Arial"/>
          <w:sz w:val="24"/>
          <w:szCs w:val="24"/>
          <w:lang w:val="en-US"/>
        </w:rPr>
        <w:t>s</w:t>
      </w:r>
      <w:r w:rsidRPr="003A7660">
        <w:rPr>
          <w:rFonts w:ascii="Book Antiqua" w:hAnsi="Book Antiqua" w:cs="Arial"/>
          <w:sz w:val="24"/>
          <w:szCs w:val="24"/>
          <w:lang w:val="en-US"/>
        </w:rPr>
        <w:t xml:space="preserve"> of CRLM</w:t>
      </w:r>
      <w:r w:rsidR="00213AC4" w:rsidRPr="003A7660">
        <w:rPr>
          <w:rFonts w:ascii="Book Antiqua" w:hAnsi="Book Antiqua" w:cs="Arial"/>
          <w:sz w:val="24"/>
          <w:szCs w:val="24"/>
          <w:lang w:val="en-US"/>
        </w:rPr>
        <w:t>s that are initially resectable</w:t>
      </w:r>
      <w:r w:rsidR="00213AC4" w:rsidRPr="003A7660">
        <w:rPr>
          <w:rFonts w:ascii="Book Antiqua" w:hAnsi="Book Antiqua" w:cs="Arial"/>
          <w:sz w:val="24"/>
          <w:szCs w:val="24"/>
          <w:vertAlign w:val="superscript"/>
          <w:lang w:val="en-US"/>
        </w:rPr>
        <w:t>[20,</w:t>
      </w:r>
      <w:r w:rsidRPr="003A7660">
        <w:rPr>
          <w:rFonts w:ascii="Book Antiqua" w:hAnsi="Book Antiqua" w:cs="Arial"/>
          <w:sz w:val="24"/>
          <w:szCs w:val="24"/>
          <w:vertAlign w:val="superscript"/>
          <w:lang w:val="en-US"/>
        </w:rPr>
        <w:t>21]</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{"citationID":"sVtpgzpP","properties":{"formattedCitation":"\\super [20,21]\\nosupersub{}","plainCitation":"","noteIndex":0},"citationItems":[{"id":"jK7A4ffc/g1Z2UNhp","uris":["http://zotero.org/users/local/CKZ8Mlfw/items/VI25X5JC"],"uri":["http://zotero.org/users/local/CKZ8Mlfw/items/VI25X5JC"],"itemData":{"id":275,"type":"article-journal","title":"Perioperative chemotherapy with FOLFOX4 and surgery versus surgery alone for resectable liver metastases from colorectal cancer (EORTC Intergroup trial 40983): a randomised controlled trial","container-title":"Lancet (London, England)","page":"1007-1016","volume":"371","issue":"9617","source":"PubMed","abstract":"BACKGROUND: Surgical resection alone is regarded as the standard of care for patients with liver metastases from colorectal cancer, but relapse is common. We assessed the combination of perioperative chemotherapy and surgery compared with surgery alone for patients with initially resectable liver metastases from colorectal cancer.\nMETHODS: This parallel-group study reports the trial's final data for progression-free survival for a protocol unspecified interim time-point, while overall survival is still being monitored. 364 patients with histologically proven colorectal cancer and up to four liver metastases were randomly assigned to either six cycles of FOLFOX4 before and six cycles after surgery or to surgery alone (182 in perioperative chemotherapy group vs 182 in surgery group). Patients were centrally randomised by minimisation, adjusting for centre and risk score. The primary objective was to detect a hazard ratio (HR) of 0.71 or less for progression-free survival. Primary analysis was by intention to treat. Analyses were repeated for all eligible (171 vs 171) and resected patients (151 vs 152). This trial is registered with ClinicalTrials.gov, number NCT00006479.\nFINDINGS: In the perioperative chemotherapy group, 151 (83%) patients were resected after a median of six (range 1-6) preoperative cycles and 115 (63%) patients received a median six (1-8) postoperative cycles. 152 (84%) patients were resected in the surgery group. The absolute increase in rate of progression-free survival at 3 years was 7.3% (from 28.1% [95.66% CI 21.3-35.5] to 35.4% [28.1-42.7]; HR 0.79 [0.62-1.02]; p=0.058) in randomised patients; 8.1% (from 28.1% [21.2-36.6] to 36.2% [28.7-43.8]; HR 0.77 [0.60-1.00]; p=0.041) in eligible patients; and 9.2% (from 33.2% [25.3-41.2] to 42.4% [34.0-50.5]; HR 0.73 [0.55-0.97]; p=0.025) in patients undergoing resection. 139 patients died (64 in perioperative chemotherapy group vs 75 in surgery group). Reversible postoperative complications occurred more often after chemotherapy than after surgery (40/159 [25%] vs 27/170 [16%]; p=0.04). After surgery we recorded two deaths in the surgery alone group and one in the perioperative chemotherapy group.\nINTERPRETATION: Perioperative chemotherapy with FOLFOX4 is compatible with major liver surgery and reduces the risk of events of progression-free survival in eligible and resected patients.","DOI":"10.1016/S0140-6736(08)60455-9","ISSN":"1474-547X","note":"PMID: 18358928\nPMCID: PMC2277487","shortTitle":"Perioperative chemotherapy with FOLFOX4 and surgery versus surgery alone for resectable liver metastases from colorectal cancer (EORTC Intergroup trial 40983)","journalAbbreviation":"Lancet","language":"eng","author":[{"family":"Nordlinger","given":"Bernard"},{"family":"Sorbye","given":"Halfdan"},{"family":"Glimelius","given":"Bengt"},{"family":"Poston","given":"Graeme J."},{"family":"Schlag","given":"Peter M."},{"family":"Rougier","given":"Philippe"},{"family":"Bechstein","given":"Wolf O."},{"family":"Primrose","given":"John N."},{"family":"Walpole","given":"Euan T."},{"family":"Finch-Jones","given":"Meg"},{"family":"Jaeck","given":"Daniel"},{"family":"Mirza","given":"Darius"},{"family":"Parks","given":"Rowan W."},{"family":"Collette","given":"Laurence"},{"family":"Praet","given":"Michel"},{"family":"Bethe","given":"Ullrich"},{"family":"Van Cutsem","given":"Eric"},{"family":"Scheithauer","given":"Werner"},{"family":"Gruenberger","given":"Thomas"},{"literal":"EORTC Gastro-Intestinal Tract Cancer Group"},{"literal":"Cancer Research UK"},{"literal":"Arbeitsgruppe Lebermetastasen und-tumoren in der Chirurgischen Arbeitsgemeinschaft Onkologie (ALM-CAO)"},{"literal":"Australasian Gastro-Intestinal Trials Group (AGITG)"},{"literal":"Fédération Francophone de Cancérologie Digestive (FFCD)"}],"issued":{"date-parts":[["2008",3,22]]}},"label":"page"},{"id":"jK7A4ffc/6vMFiaIA","uris":["http://zotero.org/users/local/CKZ8Mlfw/items/PUI8PD2U"],"uri":["http://zotero.org/users/local/CKZ8Mlfw/items/PUI8PD2U"],"itemData":{"id":44,"type":"article-journal","title":"Perioperative FOLFOX4 chemotherapy and surgery versus surgery alone for resectable liver metastases from colorectal cancer (EORTC 40983): long-term results of a randomised, controlled, phase 3 trial","container-title":"The Lancet. Oncology","page":"1208-1215","volume":"14","issue":"12","source":"PubMed","abstract":"BACKGROUND: Previous results of the EORTC intergroup trial 40983 showed that perioperative chemotherapy with FOLFOX4 (folinic acid, fluorouracil, and oxaliplatin) increases progression-free survival (PFS) compared with surgery alone for patients with initially resectable liver metastases from colorectal cancer. Here we present overall survival data after long-term follow-up.\nMETHODS: This randomised, controlled, parallel-group, phase 3 study recruited patients from 78 hospitals across Europe, Australia, and Hong Kong. Eligible patients aged 18-80 years who had histologically proven colorectal cancer and up to four liver metastases were randomly assigned (1:1) to either perioperative FOLFOX4 or surgery alone. Perioperative FOLFOX4 consisted of six 14-day cycles of oxaliplatin 85mg/m(2), folinic acid 200 mg/m(2) (DL form) or 100 mg/m(2) (L form) on days 1-2 plus bolus, and fluorouracil 400 mg/m(2) (bolus) and 600 mg/m(2) (continuous 22 h infusion), before and after surgery. Patients were centrally randomised by minimisation, adjusting for centre and risk score and previous adjuvant chemotherapy to primary surgery for colorectal cancer, and the trial was open label. Analysis of overall survival was by intention to treat in all randomly assigned patients.\nFINDINGS: Between Oct 10, 2000, and July 5, 2004, 364 patients were randomly assigned to a treatment group (182 patients in each group, of which 171 per group were eligible and 152 per group underwent resection). At a median follow-up of 8·5 years (IQR 7·6-9·5), 107 (59%) patients in the perioperative chemotherapy group had died versus 114 (63%) in the surgery-only group (HR 0·88, 95% CI 0·68-1·14; p=0·34). In all randomly assigned patients, median overall survival was 61·3 months (95% CI 51·0-83·4) in the perioperative chemotherapy group and 54·3 months (41·9-79·4) in the surgery alone group. 5-year overall survival was 51·2% (95% CI 43·6-58·3) in the perioperative chemotherapy group versus 47·8% (40·3-55·0) in the surgery-only group. Two patients in the perioperative chemotherapy group and three in the surgery-only group died from complications of protocol surgery, and one patient in the perioperative chemotherapy group died possibly as a result of toxicity of protocol treatment.\nINTERPRETATION: We found no difference in overall survival with the addition of perioperative chemotherapy with FOLFOX4 compared with surgery alone for patients with resectable liver metastases from colorectal cancer. However, the previously observed benefit in PFS means that perioperative chemotherapy with FOLFOX4 should remain the reference treatment for this population of patients.\nFUNDING: Norwegian and Swedish Cancer Societies, Cancer Research UK, Ligue Nationale Contre Cancer, US National Cancer Institute, Sanofi-Aventis.","DOI":"10.1016/S1470-2045(13)70447-9","ISSN":"1474-5488","note":"PMID: 24120480","shortTitle":"Perioperative FOLFOX4 chemotherapy and surgery versus surgery alone for resectable liver metastases from colorectal cancer (EORTC 40983)","journalAbbreviation":"Lancet Oncol.","language":"eng","author":[{"family":"Nordlinger","given":"Bernard"},{"family":"Sorbye","given":"Halfdan"},{"family":"Glimelius","given":"Bengt"},{"family":"Poston","given":"Graeme J."},{"family":"Schlag","given":"Peter M."},{"family":"Rougier","given":"Philippe"},{"family":"Bechstein","given":"Wolf O."},{"family":"Primrose","given":"John N."},{"family":"Walpole","given":"Euan T."},{"family":"Finch-Jones","given":"Meg"},{"family":"Jaeck","given":"Daniel"},{"family":"Mirza","given":"Darius"},{"family":"Parks","given":"Rowan W."},{"family":"Mauer","given":"Murielle"},{"family":"Tanis","given":"Erik"},{"family":"Van Cutsem","given":"Eric"},{"family":"Scheithauer","given":"Werner"},{"family":"Gruenberger","given":"Thomas"},{"literal":"EORTC Gastro-Intestinal Tract Cancer Group"},{"literal":"Cancer Research UK"},{"literal":"Arbeitsgruppe Lebermetastasen und–tumoren in der Chirurgischen Arbeitsgemeinschaft Onkologie (ALM-CAO)"},{"literal":"Australasian Gastro-Intestinal Trials Group (AGITG)"},{"literal":"Fédération Francophone de Cancérologie Digestive (FFCD)"}],"issued":{"date-parts":[["2013",11]]}},"label":"page"}],"schema":"https://github.com/citation-style-language/schema/raw/master/csl-citation.json"} </w:instrTex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 The response to NAC is evaluated by radiological imaging</w:t>
      </w:r>
      <w:r w:rsidR="00512570" w:rsidRPr="003A7660">
        <w:rPr>
          <w:rFonts w:ascii="Book Antiqua" w:hAnsi="Book Antiqua" w:cs="Arial"/>
          <w:sz w:val="24"/>
          <w:szCs w:val="24"/>
          <w:lang w:val="en-US"/>
        </w:rPr>
        <w:t>,</w:t>
      </w:r>
      <w:r w:rsidRPr="003A7660">
        <w:rPr>
          <w:rFonts w:ascii="Book Antiqua" w:hAnsi="Book Antiqua" w:cs="Arial"/>
          <w:sz w:val="24"/>
          <w:szCs w:val="24"/>
          <w:lang w:val="en-US"/>
        </w:rPr>
        <w:t xml:space="preserve"> according to morphological criteria su</w:t>
      </w:r>
      <w:r w:rsidR="00213AC4" w:rsidRPr="003A7660">
        <w:rPr>
          <w:rFonts w:ascii="Book Antiqua" w:hAnsi="Book Antiqua" w:cs="Arial"/>
          <w:sz w:val="24"/>
          <w:szCs w:val="24"/>
          <w:lang w:val="en-US"/>
        </w:rPr>
        <w:t>ch as RECIST, mRECIST, and CHOI</w:t>
      </w:r>
      <w:r w:rsidRPr="003A7660">
        <w:rPr>
          <w:rFonts w:ascii="Book Antiqua" w:hAnsi="Book Antiqua" w:cs="Arial"/>
          <w:sz w:val="24"/>
          <w:szCs w:val="24"/>
          <w:vertAlign w:val="superscript"/>
          <w:lang w:val="en-US"/>
        </w:rPr>
        <w:t>[22</w:t>
      </w:r>
      <w:r w:rsidR="00213AC4" w:rsidRPr="003A7660">
        <w:rPr>
          <w:rFonts w:ascii="Book Antiqua" w:eastAsia="宋体" w:hAnsi="Book Antiqua" w:cs="Arial"/>
          <w:sz w:val="24"/>
          <w:szCs w:val="24"/>
          <w:vertAlign w:val="superscript"/>
          <w:lang w:val="en-US" w:eastAsia="zh-CN"/>
        </w:rPr>
        <w:t>-</w:t>
      </w:r>
      <w:r w:rsidRPr="003A7660">
        <w:rPr>
          <w:rFonts w:ascii="Book Antiqua" w:hAnsi="Book Antiqua" w:cs="Arial"/>
          <w:sz w:val="24"/>
          <w:szCs w:val="24"/>
          <w:vertAlign w:val="superscript"/>
          <w:lang w:val="en-US"/>
        </w:rPr>
        <w:t>28]</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{"citationID":"6bkUtmbG","properties":{"unsorted":true,"formattedCitation":"\\super [22\\uc0\\u8211{}28]\\nosupersub{}","plainCitation":"","noteIndex":0},"citationItems":[{"id":"jK7A4ffc/ikD1spfg","uris":["http://zotero.org/users/local/CKZ8Mlfw/items/UQEPRMFT"],"uri":["http://zotero.org/users/local/CKZ8Mlfw/items/UQEPRMFT"],"itemData":{"id":327,"type":"article-journal","title":"New guidelines to evaluate the response to treatment in solid tumors. European Organization for Research and Treatment of Cancer, National Cancer Institute of the United States, National Cancer Institute of Canada","container-title":"Journal of the National Cancer Institute","page":"205-216","volume":"92","issue":"3","source":"PubMed","abstract":"Anticancer cytotoxic agents go through a process by which their antitumor activity-on the basis of the amount of tumor shrinkage they could generate-has been investigated. In the late 1970s, the International Union Against Cancer and the World Health Organization introduced specific criteria for the codification of tumor response evaluation. In 1994, several organizations involved in clinical research combined forces to tackle the review of these criteria on the basis of the experience and knowledge acquired since then. After several years of intensive discussions, a new set of guidelines is ready that will supersede the former criteria. In parallel to this initiative, one of the participating groups developed a model by which response rates could be derived from unidimensional measurement of tumor lesions instead of the usual bidimensional approach. This new concept has been largely validated by the Response Evaluation Criteria in Solid Tumors Group and integrated into the present guidelines. This special article also provides some philosophic background to clarify the various purposes of response evaluation. It proposes a model by which a combined assessment of all existing lesions, characterized by target lesions (to be measured) and nontarget lesions, is used to extrapolate an overall response to treatment. Methods of assessing tumor lesions are better codified, briefly within the guidelines and in more detail in Appendix I. All other aspects of response evaluation have been discussed, reviewed, and amended whenever appropriate.","ISSN":"0027-8874","note":"PMID: 10655437","journalAbbreviation":"J. Natl. Cancer Inst.","language":"eng","author":[{"family":"Therasse","given":"P."},{"family":"Arbuck","given":"S. G."},{"family":"Eisenhauer","given":"E. A."},{"family":"Wanders","given":"J."},{"family":"Kaplan","given":"R. S."},{"family":"Rubinstein","given":"L."},{"family":"Verweij","given":"J."},{"family":"Van Glabbeke","given":"M."},{"family":"Oosterom","given":"A. T.","non-dropping-particle":"van"},{"family":"Christian","given":"M. C."},{"family":"Gwyther","given":"S. G."}],"issued":{"date-parts":[["2000",2,2]]}},"label":"page"},{"id":"jK7A4ffc/5XX90Ncl","uris":["http://zotero.org/users/local/CKZ8Mlfw/items/H5T6KURZ"],"uri":["http://zotero.org/users/local/CKZ8Mlfw/items/H5T6KURZ"],"itemData":{"id":325,"type":"article-journal","title":"Comparison of RECIST 1.0 and RECIST 1.1 on computed tomography in patients with metastatic colorectal cancer","container-title":"Oncology","page":"117-121","volume":"86","issue":"2","source":"PubMed","abstract":"OBJECTIVE: We conducted this study to compare tumor measurement by computed tomography (CT) and tumor response assessment between Response Evaluation Criteria In Solid Tumors (RECIST) 1.0 and RECIST 1.1 in patients with metastatic colorectal cancer (CRC).\nMETHODS: We reviewed the medical records of patients with metastatic CRC who received first-line chemotherapy between January 2004 and December 2012 and compared CT tumor measurement using two RECIST versions.\nRESULTS: A total of 58 patients who had target lesions according to RECIST 1.0 were included in the study. The number of target lesions recorded by RECIST 1.1 was significantly lower than that by RECIST 1.0, with a decrease experienced in 48 patients (82.7%). Six patients had no target lesions because of the new criteria of RECIST 1.1 for lymph node size. Out of 95 lymph nodes from 58 patients, only 40% were defined as target lesions according to RECIST 1.1. The overall response rate of first-line chemotherapy according to RECIST 1.0 and 1.1 was 41.5 and 40.4%, respectively. The best tumor responses showed almost perfect agreement between RECIST 1.1 and RECIST 1.0 (ĸ = 0.913). Three patients showed disagreement of the best responses between the two RECIST versions.\nCONCLUSION: RECIST 1.1 showed a highly concordant response assessment with RECIST 1.0 in metastatic CRC and its clinical impact on therapeutic decisions was minimal.","DOI":"10.1159/000357714","ISSN":"1423-0232","note":"PMID: 24480800","journalAbbreviation":"Oncology","language":"eng","author":[{"family":"Jang","given":"H. J."},{"family":"Kim","given":"B. C."},{"family":"Kim","given":"H. S."},{"family":"Kim","given":"J. H."},{"family":"Song","given":"H. H."},{"family":"Kim","given":"J. B."},{"family":"Park","given":"J. J."},{"family":"Yoon","given":"S. N."},{"family":"Woo","given":"J. Y."},{"family":"Zang","given":"D. Y."}],"issued":{"date-parts":[["2014"]]}},"label":"page"},{"id":"jK7A4ffc/JG08SJ25","uris":["http://zotero.org/users/local/CKZ8Mlfw/items/CQTNSEWG"],"uri":["http://zotero.org/users/local/CKZ8Mlfw/items/CQTNSEWG"],"itemData":{"id":176,"type":"article-journal","title":"CT findings of response and recurrence, independent of change in tumor size, in colorectal liver metastasis treated with bevacizumab","container-title":"AJR. American journal of roentgenology","page":"W1060-1066","volume":"197","issue":"6","source":"PubMed","abstract":"OBJECTIVE: The purpose of this article is to provide a practical review of newly established morphologic tumor response criteria for hepatic colorectal metastasis treated with bevacizumab-containing chemotherapy and a description of the patterns of early recurrence. We also discuss the respective value of these criteria and the Response Evaluation Criteria in Solid Tumors (RECIST).\nCONCLUSION: RECIST alone are not sufficient to assess response after bevacizumab-containing chemotherapy for hepatic colorectal metastasis. The combined use of RECIST and morphologic criteria is mandatory for optimal evaluation in this population.","DOI":"10.2214/AJR.11.6459","ISSN":"1546-3141","note":"PMID: 22109320","journalAbbreviation":"AJR Am J Roentgenol","language":"eng","author":[{"family":"Boonsirikamchai","given":"Piyaporn"},{"family":"Asran","given":"Mohamed Aly"},{"family":"Maru","given":"Dipen M."},{"family":"Vauthey","given":"Jean-Nicolas"},{"family":"Kaur","given":"Harmeet"},{"family":"Kopetz","given":"Scott"},{"family":"Loyer","given":"Evelyne M."}],"issued":{"date-parts":[["2011",12]]}},"label":"page"},{"id":"jK7A4ffc/psXsEN1p","uris":["http://zotero.org/users/local/CKZ8Mlfw/items/B9TQKNS2"],"uri":["http://zotero.org/users/local/CKZ8Mlfw/items/B9TQKNS2"],"itemData":{"id":168,"type":"article-journal","title":"Response evaluation in patients with colorectal liver metastases: RECIST version 1.1 versus modified CT criteria","container-title":"AJR. American journal of roentgenology","page":"809-815","volume":"199","issue":"4","source":"PubMed","abstract":"OBJECTIVE: Our retrospective study compared Response Evaluation Criteria in Solid Tumors (RECIST) version 1.1 with modified CT criteria to determine their respective utilities as a prognostic indicator. Using both sets of criteria, we compared treatment responses of patients with colorectal liver metastases treated with bevacizumab-containing chemotherapy with those of patients treated with chemotherapy alone.\nMATERIALS AND METHODS: Fifty-nine patients who received bevacizumab-containing chemotherapy (n=30, group 1) or chemotherapy alone (n=29, group 2) for the treatment of colorectal carcinoma underwent contrast-enhanced CT before treatment and 2 months after treatment. Two radiologists determined changes in tumor size and density between the pretreatment and 2-month follow-up CT images. RECIST 1.1 assesses responses on the basis of changes in tumor size, and the modified CT criteria assesses responses on the basis of changes in tumor density and size. Responses were correlated with time to tumor progression by log rank test.\nRESULTS: According to RECIST 1.1, nine of 30 patients (30%) in group 1 and 12 of 29 patients (41%) in group 2 were good responders. According to the modified CT criteria, 23 of 30 patients in group 1 (77%) and 23 of 29 patients in group 2 (79%) were good responders. As assessed by the modified CT criteria, good responders in both groups had significantly longer time to tumor progression than poor responders (p&lt;0.05). As assessed by RECIST 1.1, good responders in group 1 had significantly longer time to tumor progression than poor responders (p=0.0154), but there was no difference in group 2.\nCONCLUSION: Evaluating treatment response with tumor size and density changes on CT was a better predictor of time to tumor progression than changes in tumor size alone in both groups.","DOI":"10.2214/AJR.11.7910","ISSN":"1546-3141","note":"PMID: 22997372","shortTitle":"Response evaluation in patients with colorectal liver metastases","journalAbbreviation":"AJR Am J Roentgenol","language":"eng","author":[{"family":"Chung","given":"Woo-Suk"},{"family":"Park","given":"Mi-Suk"},{"family":"Shin","given":"Sang Joon"},{"family":"Baek","given":"Song-Ee"},{"family":"Kim","given":"Yeo-Eun"},{"family":"Choi","given":"Jin Young"},{"family":"Kim","given":"Myeong-Jin"}],"issued":{"date-parts":[["2012",10]]}},"label":"page"},{"id":"jK7A4ffc/um5dDQOO","uris":["http://zotero.org/users/local/CKZ8Mlfw/items/TRAHRVSI"],"uri":["http://zotero.org/users/local/CKZ8Mlfw/items/TRAHRVSI"],"itemData":{"id":166,"type":"article-journal","title":"New response evaluation criteria in solid tumours: revised RECIST guideline (version 1.1)","container-title":"European Journal of Cancer (Oxford, England: 1990)","page":"228-247","volume":"45","issue":"2","source":"PubMed","abstract":"BACKGROUND: Assessment of the change in tumour burden is an important feature of the clinical evaluation of cancer therapeutics: both tumour shrinkage (objective response) and disease progression are useful endpoints in clinical trials. Since RECIST was published in 2000, many investigators, cooperative groups, industry and government authorities have adopted these criteria in the assessment of treatment outcomes. However, a number of questions and issues have arisen which have led to the development of a revised RECIST guideline (version 1.1). Evidence for changes, summarised in separate papers in this special issue, has come from assessment of a large data warehouse (&gt;6500 patients), simulation studies and literature reviews. HIGHLIGHTS OF REVISED RECIST 1.1: Major changes include: Number of lesions to be assessed: based on evidence from numerous trial databases merged into a data warehouse for analysis purposes, the number of lesions required to assess tumour burden for response determination has been reduced from a maximum of 10 to a maximum of five total (and from five to two per organ, maximum). Assessment of pathological lymph nodes is now incorporated: nodes with a short axis of 15 mm are considered measurable and assessable as target lesions. The short axis measurement should be included in the sum of lesions in calculation of tumour response. Nodes that shrink to &lt;10mm short axis are considered normal. Confirmation of response is required for trials with response primary endpoint but is no longer required in randomised studies since the control arm serves as appropriate means of interpretation of data. Disease progression is clarified in several aspects: in addition to the previous definition of progression in target disease of 20% increase in sum, a 5mm absolute increase is now required as well to guard against over calling PD when the total sum is very small. Furthermore, there is guidance offered on what constitutes 'unequivocal progression' of non-measurable/non-target disease, a source of confusion in the original RECIST guideline. Finally, a section on detection of new lesions, including the interpretation of FDG-PET scan assessment is included. Imaging guidance: the revised RECIST includes a new imaging appendix with updated recommendations on the optimal anatomical assessment of lesions.\nFUTURE WORK: A key question considered by the RECIST Working Group in developing RECIST 1.1 was whether it was appropriate to move from anatomic unidimensional assessment of tumour burden to either volumetric anatomical assessment or to functional assessment with PET or MRI. It was concluded that, at present, there is not sufficient standardisation or evidence to abandon anatomical assessment of tumour burden. The only exception to this is in the use of FDG-PET imaging as an adjunct to determination of progression. As is detailed in the final paper in this special issue, the use of these promising newer approaches requires appropriate clinical validation studies.","DOI":"10.1016/j.ejca.2008.10.026","ISSN":"1879-0852","note":"PMID: 19097774","shortTitle":"New response evaluation criteria in solid tumours","journalAbbreviation":"Eur. J. Cancer","language":"eng","author":[{"family":"Eisenhauer","given":"E. A."},{"family":"Therasse","given":"P."},{"family":"Bogaerts","given":"J."},{"family":"Schwartz","given":"L. H."},{"family":"Sargent","given":"D."},{"family":"Ford","given":"R."},{"family":"Dancey","given":"J."},{"family":"Arbuck","given":"S."},{"family":"Gwyther","given":"S."},{"family":"Mooney","given":"M."},{"family":"Rubinstein","given":"L."},{"family":"Shankar","given":"L."},{"family":"Dodd","given":"L."},{"family":"Kaplan","given":"R."},{"family":"Lacombe","given":"D."},{"family":"Verweij","given":"J."}],"issued":{"date-parts":[["2009",1]]}},"label":"page"},{"id":"jK7A4ffc/ziTLRfAP","uris":["http://zotero.org/users/local/CKZ8Mlfw/items/WMA6W7X7"],"uri":["http://zotero.org/users/local/CKZ8Mlfw/items/WMA6W7X7"],"itemData":{"id":172,"type":"article-journal","title":"Optimal morphologic response to preoperative chemotherapy: an alternate outcome end point before resection of hepatic colorectal metastases","container-title":"Journal of Clinical Oncology: Official Journal of the American Society of Clinical Oncology","page":"4566-4572","volume":"30","issue":"36","source":"PubMed","abstract":"PURPOSE: The purposes of this study were to confirm the prognostic value of an optimal morphologic response to preoperative chemotherapy in patients undergoing chemotherapy with or without bevacizumab before resection of colorectal liver metastases (CLM) and to identify predictors of the optimal morphologic response.\nPATIENTS AND METHODS: The study included 209 patients who underwent resection of CLM after preoperative chemotherapy with oxaliplatin- or irinotecan-based regimens with or without bevacizumab. Radiologic responses were classified as optimal or suboptimal according to the morphologic response criteria. Overall survival (OS) was determined, and prognostic factors associated with an optimal response were identified in multivariate analysis.\nRESULTS: An optimal morphologic response was observed in 47% of patients treated with bevacizumab and 12% of patients treated without bevacizumab (P &lt; .001). The 3- and 5-year OS rates were higher in the optimal response group (82% and 74%, respectively) compared with the suboptimal response group (60% and 45%, respectively; P &lt; .001). On multivariate analysis, suboptimal morphologic response was an independent predictor of worse OS (hazard ratio, 2.09; P = .007). Receipt of bevacizumab (odds ratio, 6.71; P &lt; .001) and largest metastasis before chemotherapy of ≤ 3 cm (odds ratio, 2.12; P = .025) were significantly associated with optimal morphologic response. The morphologic response showed no specific correlation with conventional size-based RECIST criteria, and it was superior to RECIST in predicting major pathologic response.\nCONCLUSION: Independent of preoperative chemotherapy regimen, optimal morphologic response is sufficiently correlated with OS to be considered a surrogate therapeutic end point for patients with CLM.","DOI":"10.1200/JCO.2012.45.2854","ISSN":"1527-7755","note":"PMID: 23150701\nPMCID: PMC3518730","shortTitle":"Optimal morphologic response to preoperative chemotherapy","journalAbbreviation":"J. Clin. Oncol.","language":"eng","author":[{"family":"Shindoh","given":"Junichi"},{"family":"Loyer","given":"Evelyne M."},{"family":"Kopetz","given":"Scott"},{"family":"Boonsirikamchai","given":"Piyaporn"},{"family":"Maru","given":"Dipen M."},{"family":"Chun","given":"Yun Shin"},{"family":"Zimmitti","given":"Giuseppe"},{"family":"Curley","given":"Steven A."},{"family":"Charnsangavej","given":"Chusilp"},{"family":"Aloia","given":"Thomas A."},{"family":"Vauthey","given":"Jean-Nicolas"}],"issued":{"date-parts":[["2012",12,20]]}},"label":"page"},{"id":"jK7A4ffc/DB2HO4xO","uris":["http://zotero.org/users/local/CKZ8Mlfw/items/4W8WPDA3"],"uri":["http://zotero.org/users/local/CKZ8Mlfw/items/4W8WPDA3"],"itemData":{"id":162,"type":"article-journal","title":"Morphological response contributes to patient selection for rescue liver resection in chemotherapy patients with initially un-resectable colorectal liver metastasis","container-title":"Oncology Letters","page":"1491-1499","volume":"14","issue":"2","source":"PubMed","abstract":"Morphological response is considered an improved surrogate to the Response Evaluation Criteria in Solid Tumors (RECIST) model with regard to predicting the prognosis for patients with colorectal liver metastases. However, its use as a decision-making tool for surgical intervention has not been examined. The present study assessed the morphological response in 50 patients who underwent chemotherapy with or without bevacizumab for initially un-resectable colorectal liver metastases. Changes in tumor morphology between heterogeneous with uncertain borders and homogeneous with clear borders were defined as an optimal response (OR). Patients were also assessed as having an incomplete response (IR), and an absence of marked changes was assessed as no response (NR). No significant difference was observed in progression-free survival (PFS) between complete response/partial response (CR/PR) and stable disease/progressive disease (SD/PD), according to RECIST. By contrast, PFS for OR/IR patients was significantly improved compared with that for NR patients (13.2 vs. 8.7 months; P=0.0426). Exclusion of PD enhanced the difference in PFS between OR/IR and NR patients (15.1 vs. 9.3 months; P&lt;0.0001), whereas no difference was observed between CR/PR and SD. The rate of OR and IR in patients treated with bevacizumab was 47.4% (9/19), but only 19.4% (6/31) for patients that were not administered bevacizumab. Comparison of the survival curves between OR/IR and NR patients revealed similar survival rates at 6 months after chemotherapy, but the groups exhibited different survival rates subsequent to this period of time. Patients showing OR/IR within 6 months appeared to be oncologically stable and could be considered as candidates for surgical intervention, including rescue liver resection. Comparing the pathological and morphological features of the tumor with representative optimal response, living tumor cells were revealed to be distributed within the area of vascular reconstruction induced by bevacizumab, resulting in a predictive value for prognosis in the patients treated with bevacizumab. The present findings provided the evidence for physicians to consider patients with previously un-resectable metastatic colorectal cancer as candidates for surgical treatment. Morphological response is a useful decision-making tool for evaluating these patients for rescue liver resection following chemotherapy.","DOI":"10.3892/ol.2017.6338","ISSN":"1792-1074","note":"PMID: 28789370\nPMCID: PMC5529781","journalAbbreviation":"Oncol Lett","language":"eng","author":[{"family":"Suzuki","given":"Koichi"},{"family":"Muto","given":"Yuta"},{"family":"Ichida","given":"Kosuke"},{"family":"Fukui","given":"Taro"},{"family":"Takayama","given":"Yuji"},{"family":"Kakizawa","given":"Nao"},{"family":"Kato","given":"Takaharu"},{"family":"Hasegawa","given":"Fumi"},{"family":"Watanabe","given":"Fumiaki"},{"family":"Kaneda","given":"Yuji"},{"family":"Kikukawa","given":"Rina"},{"family":"Saito","given":"Masaaki"},{"family":"Tsujinaka","given":"Shingo"},{"family":"Futsuhara","given":"Kazushige"},{"family":"Takata","given":"Osamu"},{"family":"Noda","given":"Hiroshi"},{"family":"Miyakura","given":"Yasuyuki"},{"family":"Kiyozaki","given":"Hirokazu"},{"family":"Konishi","given":"Fumio"},{"family":"Rikiyama","given":"Toshiki"}],"issued":{"date-parts":[["2017",8]]}},"label":"page"}],"schema":"https://github.com/citation-style-language/schema/raw/master/csl-citation.json"} </w:instrTex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 xml:space="preserve">. Surgery is mostly indicated in </w:t>
      </w:r>
      <w:r w:rsidR="00512570" w:rsidRPr="003A7660">
        <w:rPr>
          <w:rFonts w:ascii="Book Antiqua" w:hAnsi="Book Antiqua" w:cs="Arial"/>
          <w:sz w:val="24"/>
          <w:szCs w:val="24"/>
          <w:lang w:val="en-US"/>
        </w:rPr>
        <w:t xml:space="preserve">the </w:t>
      </w:r>
      <w:r w:rsidRPr="003A7660">
        <w:rPr>
          <w:rFonts w:ascii="Book Antiqua" w:hAnsi="Book Antiqua" w:cs="Arial"/>
          <w:sz w:val="24"/>
          <w:szCs w:val="24"/>
          <w:lang w:val="en-US"/>
        </w:rPr>
        <w:t>case of liver lesions that are responsive to NAC, or for lesions that remain stable. Indeed, progression of the disease is a poor prognostic factor</w:t>
      </w:r>
      <w:r w:rsidR="00512570" w:rsidRPr="003A7660">
        <w:rPr>
          <w:rFonts w:ascii="Book Antiqua" w:hAnsi="Book Antiqua" w:cs="Arial"/>
          <w:sz w:val="24"/>
          <w:szCs w:val="24"/>
          <w:lang w:val="en-US"/>
        </w:rPr>
        <w:t>,</w:t>
      </w:r>
      <w:r w:rsidRPr="003A7660">
        <w:rPr>
          <w:rFonts w:ascii="Book Antiqua" w:hAnsi="Book Antiqua" w:cs="Arial"/>
          <w:sz w:val="24"/>
          <w:szCs w:val="24"/>
          <w:lang w:val="en-US"/>
        </w:rPr>
        <w:t xml:space="preserve"> and sometimes results in a temporary postpon</w:t>
      </w:r>
      <w:r w:rsidR="00213AC4" w:rsidRPr="003A7660">
        <w:rPr>
          <w:rFonts w:ascii="Book Antiqua" w:hAnsi="Book Antiqua" w:cs="Arial"/>
          <w:sz w:val="24"/>
          <w:szCs w:val="24"/>
          <w:lang w:val="en-US"/>
        </w:rPr>
        <w:t>ement of liver ablation surgery</w:t>
      </w:r>
      <w:r w:rsidR="00213AC4" w:rsidRPr="003A7660">
        <w:rPr>
          <w:rFonts w:ascii="Book Antiqua" w:hAnsi="Book Antiqua" w:cs="Arial"/>
          <w:sz w:val="24"/>
          <w:szCs w:val="24"/>
          <w:vertAlign w:val="superscript"/>
          <w:lang w:val="en-US"/>
        </w:rPr>
        <w:t>[15,28,</w:t>
      </w:r>
      <w:r w:rsidRPr="003A7660">
        <w:rPr>
          <w:rFonts w:ascii="Book Antiqua" w:hAnsi="Book Antiqua" w:cs="Arial"/>
          <w:sz w:val="24"/>
          <w:szCs w:val="24"/>
          <w:vertAlign w:val="superscript"/>
          <w:lang w:val="en-US"/>
        </w:rPr>
        <w:t>29]</w:t>
      </w:r>
      <w:r w:rsidRPr="003A7660">
        <w:rPr>
          <w:rFonts w:ascii="Book Antiqua" w:hAnsi="Book Antiqua" w:cs="Arial"/>
          <w:sz w:val="24"/>
          <w:szCs w:val="24"/>
          <w:lang w:val="en-US"/>
        </w:rPr>
        <w:fldChar w:fldCharType="begin"/>
      </w:r>
      <w:r w:rsidRPr="003A7660">
        <w:rPr>
          <w:rFonts w:ascii="Book Antiqua" w:hAnsi="Book Antiqua" w:cs="Arial"/>
          <w:sz w:val="24"/>
          <w:szCs w:val="24"/>
          <w:lang w:val="en-US"/>
        </w:rPr>
        <w:instrText xml:space="preserve"> ADDIN ZOTERO_ITEM CSL_CITATION {"citationID":"6cEk2fRf","properties":{"formattedCitation":"\\super [15,28,29]\\nosupersub{}","plainCitation":"","noteIndex":0},"citationItems":[{"id":"jK7A4ffc/oO5ff83K","uris":["http://zotero.org/users/local/CKZ8Mlfw/items/5KIBJTTH"],"uri":["http://zotero.org/users/local/CKZ8Mlfw/items/5KIBJTTH"],"itemData":{"id":120,"type":"article-journal","title":"ESMO consensus guidelines for the management of patients with metastatic colorectal cancer","container-title":"Annals of Oncology: Official Journal of the European Society for Medical Oncology","page":"1386-1422","volume":"27","issue":"8","source":"PubMed","abstract":"Colorectal cancer (CRC) is one of the most common malignancies in Western countries. Over the last 20 years, and the last decade in particular, the clinical outcome for patients with metastatic CRC (mCRC) has improved greatly due not only to an increase in the number of patients being referred for and undergoing surgical resection of their localised metastatic disease but also to a more strategic approach to the delivery of systemic therapy and an expansion in the use of ablative techniques. This reflects the increase in the number of patients that are being managed within a multidisciplinary team environment and specialist cancer centres, and the emergence over the same time period not only of improved imaging techniques but also prognostic and predictive molecular markers. Treatment decisions for patients with mCRC must be evidence-based. Thus, these ESMO consensus guidelines have been developed based on the current available evidence to provide a series of evidence-based recommendations to assist in the treatment and management of patients with mCRC in this rapidly evolving treatment setting.","DOI":"10.1093/annonc/mdw235","ISSN":"1569-8041","note":"PMID: 27380959","journalAbbreviation":"Ann. Oncol.","language":"eng","author":[{"family":"Van Cutsem","given":"E."},{"family":"Cervantes","given":"A."},{"family":"Adam","given":"R."},{"family":"Sobrero","given":"A."},{"family":"Van Krieken","given":"J. H."},{"family":"Aderka","given":"D."},{"family":"Aranda Aguilar","given":"E."},{"family":"Bardelli","given":"A."},{"family":"Benson","given":"A."},{"family":"Bodoky","given":"G."},{"family":"Ciardiello","given":"F."},{"family":"D'Hoore","given":"A."},{"family":"Diaz-Rubio","given":"E."},{"family":"Douillard","given":"J.-Y."},{"family":"Ducreux","given":"M."},{"family":"Falcone","given":"A."},{"family":"Grothey","given":"A."},{"family":"Gruenberger","given":"T."},{"family":"Haustermans","given":"K."},{"family":"Heinemann","given":"V."},{"family":"Hoff","given":"P."},{"family":"Köhne","given":"C.-H."},{"family":"Labianca","given":"R."},{"family":"Laurent-Puig","given":"P."},{"family":"Ma","given":"B."},{"family":"Maughan","given":"T."},{"family":"Muro","given":"K."},{"family":"Normanno","given":"N."},{"family":"Österlund","given":"P."},{"family":"Oyen","given":"W. J. G."},{"family":"Papamichael","given":"D."},{"family":"Pentheroudakis","given":"G."},{"family":"Pfeiffer","given":"P."},{"family":"Price","given":"T. J."},{"family":"Punt","given":"C."},{"family":"Ricke","given":"J."},{"family":"Roth","given":"A."},{"family":"Salazar","given":"R."},{"family":"Scheithauer","given":"W."},{"family":"Schmoll","given":"H. J."},{"family":"Tabernero","given":"J."},{"family":"Taïeb","given":"J."},{"family":"Tejpar","given":"S."},{"family":"Wasan","given":"H."},{"family":"Yoshino","given":"T."},{"family":"Zaanan","given":"A."},{"family":"Arnold","given":"D."}],"issued":{"date-parts":[["2016",8]]}},"label":"page"},{"id":"jK7A4ffc/DB2HO4xO","uris":["http://zotero.org/users/local/CKZ8Mlfw/items/4W8WPDA3"],"uri":["http://zotero.org/users/local/CKZ8Mlfw/items/4W8WPDA3"],"itemData":{"id":162,"type":"article-journal","title":"Morphological response contributes to patient selection for rescue liver resection in chemotherapy patients with initially un-resectable colorectal liver metastasis","container-title":"Oncology Letters","page":"1491-1499","volume":"14","issue":"2","source":"PubMed","abstract":"Morphological response is considered an improved surrogate to the Response Evaluation Criteria in Solid Tumors (RECIST) model with regard to predicting the prognosis for patients with colorectal liver metastases. However, its use as a decision-making tool for surgical intervention has not been examined. The present study assessed the morphological response in 50 patients who underwent chemotherapy with or without bevacizumab for initially un-resectable colorectal liver metastases. Changes in tumor morphology between heterogeneous with uncertain borders and homogeneous with clear borders were defined as an optimal response (OR). Patients were also assessed as having an incomplete response (IR), and an absence of marked changes was assessed as no response (NR). No significant difference was observed in progression-free survival (PFS) between complete response/partial response (CR/PR) and stable disease/progressive disease (SD/PD), according to RECIST. By contrast, PFS for OR/IR patients was significantly improved compared with that for NR patients (13.2 vs. 8.7 months; P=0.0426). Exclusion of PD enhanced the difference in PFS between OR/IR and NR patients (15.1 vs. 9.3 months; P&lt;0.0001), whereas no difference was observed between CR/PR and SD. The rate of OR and IR in patients treated with bevacizumab was 47.4% (9/19), but only 19.4% (6/31) for patients that were not administered bevacizumab. Comparison of the survival curves between OR/IR and NR patients revealed similar survival rates at 6 months after chemotherapy, but the groups exhibited different survival rates subsequent to this period of time. Patients showing OR/IR within 6 months appeared to be oncologically stable and could be considered as candidates for surgical intervention, including rescue liver resection. Comparing the pathological and morphological features of the tumor with representative optimal response, living tumor cells were revealed to be distributed within the area of vascular reconstruction induced by bevacizumab, resulting in a predictive value for prognosis in the patients treated with bevacizumab. The present findings provided the evidence for physicians to consider patients with previously un-resectable metastatic colorectal cancer as candidates for surgical treatment. Morphological response is a useful decision-making tool for evaluating these patients for rescue liver resection following chemotherapy.","DOI":"10.3892/ol.2017.6338","ISSN":"1792-1074","note":"PMID: 28789370\nPMCID: PMC5529781","journalAbbreviation":"Oncol Lett","language":"eng","author":[{"family":"Suzuki","given":"Koichi"},{"family":"Muto","given":"Yuta"},{"family":"Ichida","given":"Kosuke"},{"family":"Fukui","given":"Taro"},{"family":"Takayama","given":"Yuji"},{"family":"Kakizawa","given":"Nao"},{"family":"Kato","given":"Takaharu"},{"family":"Hasegawa","given":"Fumi"},{"family":"Watanabe","given":"Fumiaki"},{"family":"Kaneda","given":"Yuji"},{"family":"Kikukawa","given":"Rina"},{"family":"Saito","given":"Masaaki"},{"family":"Tsujinaka","given":"Shingo"},{"family":"Futsuhara","given":"Kazushige"},{"family":"Takata","given":"Osamu"},{"family":"Noda","given":"Hiroshi"},{"family":"Miyakura","given":"Yasuyuki"},{"family":"Kiyozaki","given":"Hirokazu"},{"family":"Konishi","given":"Fumio"},{"family":"Rikiyama","given":"Toshiki"}],"issued":{"date-parts":[["2017",8]]}},"label":"page"},{"id":"jK7A4ffc/9WBcoFs8","uris":["http://zotero.org/users/local/CKZ8Mlfw/items/W3VQ44HK"],"uri":["http://zotero.org/users/local/CKZ8Mlfw/items/W3VQ44HK"],"itemData":{"id":178,"type":"article-journal","title":"Hepatic resection after rescue cetuximab treatment for colorectal liver metastases previously refractory to conventional systemic therapy","container-title":"Journal of Clinical Oncology: Official Journal of the American Society of Clinical Oncology","page":"4593-4602","volume":"25","issue":"29","source":"PubMed","abstract":"PURPOSE: In patients with unresectable colorectal liver metastases (CLM) resistant to first-line chemotherapy, the impact of cetuximab therapy on resectability is unknown. This study was performed to determine the post-cetuximab resectability rate and to examine postoperative outcomes for these heavily pretreated patients.\nPATIENTS AND METHODS: From February 2004 to April 2006, we evaluated 151 patients with unresectable CLM resistant to initial chemotherapy and subsequently treated with systemic cetuximab. Resectability rates, patient outcomes, and tumoral and nontumoral liver pathology were assessed.\nRESULTS: A total of 27 patients underwent surgery after a median of six cycles of cetuximab + irinotecan (20 of 27), oxaliplatin (four of 27), or both (one of 27). Eighteen patients (67%) had experienced treatment failure after at least two lines of chemotherapy before cetuximab. Twenty-five of the 27 patients who had surgery underwent hepatectomy: nine of 133 patients who were treated completely at our institution (resectability rate, 7%) and 16 of 18 patients who were referred from other institutions after systemic cetuximab therapy. Postoperative mortality was 3.7% (one of 27), with a complication rate of 50%. Histopathologic liver abnormalities were found in nine patients (36%), without specific lesions attributable to cetuximab. After median follow-up of 16 months, 23 of 25 patients who underwent resection (92%) were alive, and 10 patients (40%) were disease free. Median overall (OS) and progression-free survival (PFS) from initiation of cetuximab therapy were 20 and 13 months, respectively.\nCONCLUSION: For CLM refractory to conventional chemotherapy, combination therapy with cetuximab increases resectability rates without increasing operative mortality or liver injury. The median OS and PFS of 20 and 13 months, respectively, suggest that this novel oncosurgical strategy benefits patients with previously refractory disease who respond subsequently to cetuximab.","DOI":"10.1200/JCO.2007.10.8126","ISSN":"1527-7755","note":"PMID: 17925554","journalAbbreviation":"J. Clin. Oncol.","language":"eng","author":[{"family":"Adam","given":"René"},{"family":"Aloia","given":"Thomas"},{"family":"Lévi","given":"Francis"},{"family":"Wicherts","given":"Dennis A."},{"family":"Haas","given":"Robbert J.","non-dropping-particle":"de"},{"family":"Paule","given":"Bernard"},{"family":"Bralet","given":"Marie-Pierre"},{"family":"Bouchahda","given":"Mohamed"},{"family":"Machover","given":"David"},{"family":"Ducreux","given":"Michel"},{"family":"Castagne","given":"Vincent"},{"family":"Azoulay","given":"Daniel"},{"family":"Castaing","given":"Denis"}],"issued":{"date-parts":[["2007",10,10]]}},"label":"page"}],"schema":"https://github.com/citation-style-language/schema/raw/master/csl-citation.json"} </w:instrText>
      </w:r>
      <w:r w:rsidRPr="003A7660">
        <w:rPr>
          <w:rFonts w:ascii="Book Antiqua" w:hAnsi="Book Antiqua" w:cs="Arial"/>
          <w:sz w:val="24"/>
          <w:szCs w:val="24"/>
          <w:lang w:val="en-US"/>
        </w:rPr>
        <w:fldChar w:fldCharType="end"/>
      </w:r>
      <w:r w:rsidRPr="003A7660">
        <w:rPr>
          <w:rFonts w:ascii="Book Antiqua" w:hAnsi="Book Antiqua" w:cs="Arial"/>
          <w:sz w:val="24"/>
          <w:szCs w:val="24"/>
          <w:lang w:val="en-US"/>
        </w:rPr>
        <w:t xml:space="preserve">. </w:t>
      </w:r>
      <w:r w:rsidRPr="003A7660">
        <w:rPr>
          <w:rFonts w:ascii="Book Antiqua" w:hAnsi="Book Antiqua"/>
          <w:sz w:val="24"/>
          <w:szCs w:val="24"/>
          <w:lang w:val="en-US"/>
        </w:rPr>
        <w:t>More recently, the response to NAC has also been evaluated based on histological criteria of the resected specimen. Rubbia-Brandt and Blazer scores indicate that histological regression correlates with the overall and disease-free survi</w:t>
      </w:r>
      <w:r w:rsidR="00213AC4" w:rsidRPr="003A7660">
        <w:rPr>
          <w:rFonts w:ascii="Book Antiqua" w:hAnsi="Book Antiqua"/>
          <w:sz w:val="24"/>
          <w:szCs w:val="24"/>
          <w:lang w:val="en-US"/>
        </w:rPr>
        <w:t>val</w:t>
      </w:r>
      <w:r w:rsidR="007D52B2" w:rsidRPr="003A7660">
        <w:rPr>
          <w:rFonts w:ascii="Book Antiqua" w:eastAsia="宋体" w:hAnsi="Book Antiqua"/>
          <w:sz w:val="24"/>
          <w:szCs w:val="24"/>
          <w:lang w:val="en-US" w:eastAsia="zh-CN"/>
        </w:rPr>
        <w:t xml:space="preserve"> (DFS)</w:t>
      </w:r>
      <w:r w:rsidR="00213AC4" w:rsidRPr="003A7660">
        <w:rPr>
          <w:rFonts w:ascii="Book Antiqua" w:hAnsi="Book Antiqua"/>
          <w:sz w:val="24"/>
          <w:szCs w:val="24"/>
          <w:lang w:val="en-US"/>
        </w:rPr>
        <w:t xml:space="preserve"> of patients after resection</w:t>
      </w:r>
      <w:r w:rsidR="00213AC4" w:rsidRPr="003A7660">
        <w:rPr>
          <w:rFonts w:ascii="Book Antiqua" w:hAnsi="Book Antiqua"/>
          <w:sz w:val="24"/>
          <w:szCs w:val="24"/>
          <w:vertAlign w:val="superscript"/>
          <w:lang w:val="en-US"/>
        </w:rPr>
        <w:t>[13,30,</w:t>
      </w:r>
      <w:r w:rsidRPr="003A7660">
        <w:rPr>
          <w:rFonts w:ascii="Book Antiqua" w:hAnsi="Book Antiqua"/>
          <w:sz w:val="24"/>
          <w:szCs w:val="24"/>
          <w:vertAlign w:val="superscript"/>
          <w:lang w:val="en-US"/>
        </w:rPr>
        <w:t>31]</w:t>
      </w:r>
      <w:r w:rsidRPr="003A7660">
        <w:rPr>
          <w:rFonts w:ascii="Book Antiqua" w:hAnsi="Book Antiqua"/>
          <w:sz w:val="24"/>
          <w:szCs w:val="24"/>
          <w:lang w:val="en-US"/>
        </w:rPr>
        <w:fldChar w:fldCharType="begin"/>
      </w:r>
      <w:r w:rsidRPr="003A7660">
        <w:rPr>
          <w:rFonts w:ascii="Book Antiqua" w:hAnsi="Book Antiqua"/>
          <w:sz w:val="24"/>
          <w:szCs w:val="24"/>
          <w:lang w:val="en-US"/>
        </w:rPr>
        <w:instrText xml:space="preserve"> ADDIN ZOTERO_ITEM CSL_CITATION {"citationID":"Jqzyg0Lb","properties":{"formattedCitation":"\\super [13,30,31]\\nosupersub{}","plainCitation":"","noteIndex":0},"citationItems":[{"id":"jK7A4ffc/evcPAnwy","uris":["http://zotero.org/users/local/CKZ8Mlfw/items/DAA5JAC2"],"uri":["http://zotero.org/users/local/CKZ8Mlfw/items/DAA5JAC2"],"itemData":{"id":125,"type":"article-journal","title":"Pathologic response to preoperative chemotherapy: a new outcome end point after resection of hepatic colorectal metastases","container-title":"Journal of Clinical Oncology: Official Journal of the American Society of Clinical Oncology","page":"5344-5351","volume":"26","issue":"33","source":"PubMed","abstract":"PURPOSE: The primary goal of this study was to evaluate whether pathologic response to chemotherapy predicts patient survival after preoperative chemotherapy and resection of colorectal liver metastases (CLM). The secondary goal of the study was to identify the clinical predictors of pathologic response.\nPATIENTS AND METHODS: A retrospective review was performed of 305 patients who underwent preoperative irinotecan- or oxaliplatin-based chemotherapy, followed by resection of CLM. Pathologic response was systematically evaluated and reported as the mean of the percentage of cancer cells remaining within each tumor. Univariate and multivariate analyses were performed to identify the predictors of pathologic response and survival.\nRESULTS: Cumulative 5-year overall survival rates by pathologic response status were as follows: 75% complete response (no residual cancer cells), 56% major response (1% to 49% residual cancer cells), and 33% minor response (&gt; or = 50% residual cancer cells; complete v major response, P = .037; major v minor response, P = .028). Multivariate analysis revealed that only surgical margin status (P = .050; hazard ratio [HR], 1.77) and pathologic response (major response: P = .034; HR, 4.80; minor response: P = .007; HR, 6.93) were independent predictors of survival. Multivariate analysis of the predictors of pathologic response revealed that carcinoembryonic antigen level &lt; or = 5 ng/mL, tumor size &lt; or = 3 cm, and chemotherapy with fluoropyrimidine plus oxaliplatin and bevacizumab were independent predictors of pathologic response.\nCONCLUSION: Pathologic response predicts survival after preoperative chemotherapy and resection of CLM. Degree of pathologic response represents a new outcome end point for prognosis after resection of CLM.","DOI":"10.1200/JCO.2008.17.5299","ISSN":"1527-7755","note":"PMID: 18936472","shortTitle":"Pathologic response to preoperative chemotherapy","journalAbbreviation":"J. Clin. Oncol.","language":"eng","author":[{"family":"Blazer","given":"Dan G."},{"family":"Kishi","given":"Yoji"},{"family":"Maru","given":"Dipen M."},{"family":"Kopetz","given":"Scott"},{"family":"Chun","given":"Yun Shin"},{"family":"Overman","given":"Michael J."},{"family":"Fogelman","given":"David"},{"family":"Eng","given":"Cathy"},{"family":"Chang","given":"David Z."},{"family":"Wang","given":"Huamin"},{"family":"Zorzi","given":"Daria"},{"family":"Ribero","given":"Dario"},{"family":"Ellis","given":"Lee M."},{"family":"Glover","given":"Katrina Y."},{"family":"Wolff","given":"Robert A."},{"family":"Curley","given":"Steven A."},{"family":"Abdalla","given":"Eddie K."},{"family":"Vauthey","given":"Jean-Nicolas"}],"issued":{"date-parts":[["2008",11,20]]}},"label":"page"},{"id":"jK7A4ffc/s2yWneGp","uris":["http://zotero.org/users/local/CKZ8Mlfw/items/CGIF8WQK"],"uri":["http://zotero.org/users/local/CKZ8Mlfw/items/CGIF8WQK"],"itemData":{"id":46,"type":"article-journal","title":"Importance of histological tumor response assessment in predicting the outcome in patients with colorectal liver metastases treated with neo-adjuvant chemotherapy followed by liver surgery","container-title":"Annals of Oncology: Official Journal of the European Society for Medical Oncology","page":"299-304","volume":"18","issue":"2","source":"PubMed","abstract":"BACKGROUND: The purpose of the study was to characterize histological response to chemotherapy of hepatic colorectal metastases (HCRM), evaluate efficacy of different chemotherapies on histological response, and determine whether tumor regression grading (TRG) of HCRM predicts clinical outcome.\nPATIENTS AND METHODS: TRG was evaluated on 525 HCRM surgically resected from 181 patients, 112 pretreated with chemotherapy. Disease-free survival (DFS) and overall survival (OS) were correlated to TRG.\nRESULTS: Tumor regression was characterized by fibrosis overgrowing on tumor cells, decreased necrosis, and tumor glands (if present) at the periphery of HCRM. With irinotecan/5-fluorouracil (5-FU), major (MjHR), partial (PHR), and no (NHR) histological tumor regression were observed in 17%, 13%, and 70% of patients, respectively. With oxaliplatin/5-FU, MjHR, PHR, and NHR were observed in 37%, 45%, and 18% of patients, respectively. Five patients, treated with oxaliplatin, had complete response in all their metastases. MjHR was associated with an improved 3-year DFS compared with PHR or NHR. MjHR and PHR were associated with an improved 5-year OS compared with NHR.\nCONCLUSION: Histological tumor regression of HCRM to chemotherapy corresponds to fibrosis overgrowth and not to increase of necrosis. TRG should be considered when evaluating efficacy of chemotherapy for HCRM. Histological tumor regression was most common among oxaliplatin-treated patients and associated with better clinical outcome.","DOI":"10.1093/annonc/mdl386","ISSN":"0923-7534","note":"PMID: 17060484","journalAbbreviation":"Ann. Oncol.","language":"eng","author":[{"family":"Rubbia-Brandt","given":"L."},{"family":"Giostra","given":"E."},{"family":"Brezault","given":"C."},{"family":"Roth","given":"A. D."},{"family":"Andres","given":"A."},{"family":"Audard","given":"V."},{"family":"Sartoretti","given":"P."},{"family":"Dousset","given":"B."},{"family":"Majno","given":"P. E."},{"family":"Soubrane","given":"O."},{"family":"Chaussade","given":"S."},{"family":"Mentha","given":"G."},{"family":"Terris","given":"B."}],"issued":{"date-parts":[["2007",2]]}},"label":"page"},{"id":"jK7A4ffc/5gdkHt5Q","uris":["http://zotero.org/users/local/CKZ8Mlfw/items/7Q2PP35Z"],"uri":["http://zotero.org/users/local/CKZ8Mlfw/items/7Q2PP35Z"],"itemData":{"id":6,"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Oulhaci"},{"family":"Mentha","given":"Gilles"},{"family":"Rubbia-Brandt","given":"Laura"}],"issued":{"date-parts":[["2013",11]]}},"label":"page"}],"schema":"https://github.com/citation-style-language/schema/raw/master/csl-citation.json"} </w:instrText>
      </w:r>
      <w:r w:rsidRPr="003A7660">
        <w:rPr>
          <w:rFonts w:ascii="Book Antiqua" w:hAnsi="Book Antiqua"/>
          <w:sz w:val="24"/>
          <w:szCs w:val="24"/>
          <w:lang w:val="en-US"/>
        </w:rPr>
        <w:fldChar w:fldCharType="end"/>
      </w:r>
      <w:r w:rsidRPr="003A7660">
        <w:rPr>
          <w:rFonts w:ascii="Book Antiqua" w:hAnsi="Book Antiqua"/>
          <w:sz w:val="24"/>
          <w:szCs w:val="24"/>
          <w:lang w:val="en-US"/>
        </w:rPr>
        <w:t xml:space="preserve">. The most </w:t>
      </w:r>
      <w:r w:rsidR="00512570" w:rsidRPr="003A7660">
        <w:rPr>
          <w:rFonts w:ascii="Book Antiqua" w:hAnsi="Book Antiqua"/>
          <w:sz w:val="24"/>
          <w:szCs w:val="24"/>
          <w:lang w:val="en-US"/>
        </w:rPr>
        <w:t xml:space="preserve">commonly </w:t>
      </w:r>
      <w:r w:rsidRPr="003A7660">
        <w:rPr>
          <w:rFonts w:ascii="Book Antiqua" w:hAnsi="Book Antiqua"/>
          <w:sz w:val="24"/>
          <w:szCs w:val="24"/>
          <w:lang w:val="en-US"/>
        </w:rPr>
        <w:t>used score in the world is the one establishe</w:t>
      </w:r>
      <w:r w:rsidR="00213AC4" w:rsidRPr="003A7660">
        <w:rPr>
          <w:rFonts w:ascii="Book Antiqua" w:hAnsi="Book Antiqua"/>
          <w:sz w:val="24"/>
          <w:szCs w:val="24"/>
          <w:lang w:val="en-US"/>
        </w:rPr>
        <w:t>d by Rubbia-Brandt and his team</w:t>
      </w:r>
      <w:r w:rsidRPr="003A7660">
        <w:rPr>
          <w:rFonts w:ascii="Book Antiqua" w:hAnsi="Book Antiqua"/>
          <w:sz w:val="24"/>
          <w:szCs w:val="24"/>
          <w:vertAlign w:val="superscript"/>
          <w:lang w:val="en-US"/>
        </w:rPr>
        <w:t>[31]</w:t>
      </w:r>
      <w:r w:rsidRPr="003A7660">
        <w:rPr>
          <w:rFonts w:ascii="Book Antiqua" w:hAnsi="Book Antiqua"/>
          <w:sz w:val="24"/>
          <w:szCs w:val="24"/>
          <w:lang w:val="en-US"/>
        </w:rPr>
        <w:fldChar w:fldCharType="begin"/>
      </w:r>
      <w:r w:rsidRPr="003A7660">
        <w:rPr>
          <w:rFonts w:ascii="Book Antiqua" w:hAnsi="Book Antiqua"/>
          <w:sz w:val="24"/>
          <w:szCs w:val="24"/>
          <w:lang w:val="en-US"/>
        </w:rPr>
        <w:instrText xml:space="preserve"> ADDIN ZOTERO_ITEM CSL_CITATION {"citationID":"Azl4fGHx","properties":{"formattedCitation":"\\super [31]\\nosupersub{}","plainCitation":"","noteIndex":0},"citationItems":[{"id":"jK7A4ffc/s2yWneGp","uris":["http://zotero.org/users/local/CKZ8Mlfw/items/CGIF8WQK"],"uri":["http://zotero.org/users/local/CKZ8Mlfw/items/CGIF8WQK"],"itemData":{"id":46,"type":"article-journal","title":"Importance of histological tumor response assessment in predicting the outcome in patients with colorectal liver metastases treated with neo-adjuvant chemotherapy followed by liver surgery","container-title":"Annals of Oncology: Official Journal of the European Society for Medical Oncology","page":"299-304","volume":"18","issue":"2","source":"PubMed","abstract":"BACKGROUND: The purpose of the study was to characterize histological response to chemotherapy of hepatic colorectal metastases (HCRM), evaluate efficacy of different chemotherapies on histological response, and determine whether tumor regression grading (TRG) of HCRM predicts clinical outcome.\nPATIENTS AND METHODS: TRG was evaluated on 525 HCRM surgically resected from 181 patients, 112 pretreated with chemotherapy. Disease-free survival (DFS) and overall survival (OS) were correlated to TRG.\nRESULTS: Tumor regression was characterized by fibrosis overgrowing on tumor cells, decreased necrosis, and tumor glands (if present) at the periphery of HCRM. With irinotecan/5-fluorouracil (5-FU), major (MjHR), partial (PHR), and no (NHR) histological tumor regression were observed in 17%, 13%, and 70% of patients, respectively. With oxaliplatin/5-FU, MjHR, PHR, and NHR were observed in 37%, 45%, and 18% of patients, respectively. Five patients, treated with oxaliplatin, had complete response in all their metastases. MjHR was associated with an improved 3-year DFS compared with PHR or NHR. MjHR and PHR were associated with an improved 5-year OS compared with NHR.\nCONCLUSION: Histological tumor regression of HCRM to chemotherapy corresponds to fibrosis overgrowth and not to increase of necrosis. TRG should be considered when evaluating efficacy of chemotherapy for HCRM. Histological tumor regression was most common among oxaliplatin-treated patients and associated with better clinical outcome.","DOI":"10.1093/annonc/mdl386","ISSN":"0923-7534","note":"PMID: 17060484","journalAbbreviation":"Ann. Oncol.","language":"eng","author":[{"family":"Rubbia-Brandt","given":"L."},{"family":"Giostra","given":"E."},{"family":"Brezault","given":"C."},{"family":"Roth","given":"A. D."},{"family":"Andres","given":"A."},{"family":"Audard","given":"V."},{"family":"Sartoretti","given":"P."},{"family":"Dousset","given":"B."},{"family":"Majno","given":"P. E."},{"family":"Soubrane","given":"O."},{"family":"Chaussade","given":"S."},{"family":"Mentha","given":"G."},{"family":"Terris","given":"B."}],"issued":{"date-parts":[["2007",2]]}}}],"schema":"https://github.com/citation-style-language/schema/raw/master/csl-citation.json"} </w:instrText>
      </w:r>
      <w:r w:rsidRPr="003A7660">
        <w:rPr>
          <w:rFonts w:ascii="Book Antiqua" w:hAnsi="Book Antiqua"/>
          <w:sz w:val="24"/>
          <w:szCs w:val="24"/>
          <w:lang w:val="en-US"/>
        </w:rPr>
        <w:fldChar w:fldCharType="end"/>
      </w:r>
      <w:r w:rsidRPr="003A7660">
        <w:rPr>
          <w:rFonts w:ascii="Book Antiqua" w:hAnsi="Book Antiqua"/>
          <w:sz w:val="24"/>
          <w:szCs w:val="24"/>
          <w:lang w:val="en-US"/>
        </w:rPr>
        <w:t xml:space="preserve">. It reflects the </w:t>
      </w:r>
      <w:r w:rsidR="00213AC4" w:rsidRPr="003A7660">
        <w:rPr>
          <w:rFonts w:ascii="Book Antiqua" w:hAnsi="Book Antiqua"/>
          <w:sz w:val="24"/>
          <w:szCs w:val="24"/>
          <w:lang w:val="en-US"/>
        </w:rPr>
        <w:t xml:space="preserve">tumor regression grade </w:t>
      </w:r>
      <w:r w:rsidR="00213AC4" w:rsidRPr="003A7660">
        <w:rPr>
          <w:rFonts w:ascii="Book Antiqua" w:eastAsia="宋体" w:hAnsi="Book Antiqua"/>
          <w:sz w:val="24"/>
          <w:szCs w:val="24"/>
          <w:lang w:val="en-US" w:eastAsia="zh-CN"/>
        </w:rPr>
        <w:t>(</w:t>
      </w:r>
      <w:r w:rsidRPr="003A7660">
        <w:rPr>
          <w:rFonts w:ascii="Book Antiqua" w:hAnsi="Book Antiqua"/>
          <w:sz w:val="24"/>
          <w:szCs w:val="24"/>
          <w:lang w:val="en-US"/>
        </w:rPr>
        <w:t>TRG</w:t>
      </w:r>
      <w:r w:rsidR="00213AC4" w:rsidRPr="003A7660">
        <w:rPr>
          <w:rFonts w:ascii="Book Antiqua" w:eastAsia="宋体" w:hAnsi="Book Antiqua"/>
          <w:sz w:val="24"/>
          <w:szCs w:val="24"/>
          <w:lang w:val="en-US" w:eastAsia="zh-CN"/>
        </w:rPr>
        <w:t>)</w:t>
      </w:r>
      <w:r w:rsidRPr="003A7660">
        <w:rPr>
          <w:rFonts w:ascii="Book Antiqua" w:hAnsi="Book Antiqua"/>
          <w:sz w:val="24"/>
          <w:szCs w:val="24"/>
          <w:lang w:val="en-US"/>
        </w:rPr>
        <w:t>, which takes into account the level of necrosis and fibrosis, as well as the number of viable tumor cells. Few studies to date have documented the influence of TRG on patient survival, and the</w:t>
      </w:r>
      <w:r w:rsidR="00512570" w:rsidRPr="003A7660">
        <w:rPr>
          <w:rFonts w:ascii="Book Antiqua" w:hAnsi="Book Antiqua"/>
          <w:sz w:val="24"/>
          <w:szCs w:val="24"/>
          <w:lang w:val="en-US"/>
        </w:rPr>
        <w:t>se</w:t>
      </w:r>
      <w:r w:rsidRPr="003A7660">
        <w:rPr>
          <w:rFonts w:ascii="Book Antiqua" w:hAnsi="Book Antiqua"/>
          <w:sz w:val="24"/>
          <w:szCs w:val="24"/>
          <w:lang w:val="en-US"/>
        </w:rPr>
        <w:t xml:space="preserve"> were mostly published by the authors of the scoring systems. This explains why the histological regression score of CRLM specimens is rarely u</w:t>
      </w:r>
      <w:r w:rsidR="00213AC4" w:rsidRPr="003A7660">
        <w:rPr>
          <w:rFonts w:ascii="Book Antiqua" w:hAnsi="Book Antiqua"/>
          <w:sz w:val="24"/>
          <w:szCs w:val="24"/>
          <w:lang w:val="en-US"/>
        </w:rPr>
        <w:t>sed in current practice</w:t>
      </w:r>
      <w:r w:rsidR="00213AC4" w:rsidRPr="003A7660">
        <w:rPr>
          <w:rFonts w:ascii="Book Antiqua" w:hAnsi="Book Antiqua"/>
          <w:sz w:val="24"/>
          <w:szCs w:val="24"/>
          <w:vertAlign w:val="superscript"/>
          <w:lang w:val="en-US"/>
        </w:rPr>
        <w:t>[15,</w:t>
      </w:r>
      <w:r w:rsidRPr="003A7660">
        <w:rPr>
          <w:rFonts w:ascii="Book Antiqua" w:hAnsi="Book Antiqua"/>
          <w:sz w:val="24"/>
          <w:szCs w:val="24"/>
          <w:vertAlign w:val="superscript"/>
          <w:lang w:val="en-US"/>
        </w:rPr>
        <w:t>32]</w:t>
      </w:r>
      <w:r w:rsidRPr="003A7660">
        <w:rPr>
          <w:rFonts w:ascii="Book Antiqua" w:hAnsi="Book Antiqua"/>
          <w:sz w:val="24"/>
          <w:szCs w:val="24"/>
          <w:lang w:val="en-US"/>
        </w:rPr>
        <w:fldChar w:fldCharType="begin"/>
      </w:r>
      <w:r w:rsidRPr="003A7660">
        <w:rPr>
          <w:rFonts w:ascii="Book Antiqua" w:hAnsi="Book Antiqua"/>
          <w:sz w:val="24"/>
          <w:szCs w:val="24"/>
          <w:lang w:val="en-US"/>
        </w:rPr>
        <w:instrText xml:space="preserve"> ADDIN ZOTERO_ITEM CSL_CITATION {"citationID":"giXHRvpN","properties":{"formattedCitation":"\\super [15,32]\\nosupersub{}","plainCitation":"","noteIndex":0},"citationItems":[{"id":"jK7A4ffc/Wxt62eLS","uris":["http://zotero.org/users/local/CKZ8Mlfw/items/8PGCPB5V"],"uri":["http://zotero.org/users/local/CKZ8Mlfw/items/8PGCPB5V"],"itemData":{"id":283,"type":"article-journal","title":"Histopathological evaluation of resected colorectal cancer liver metastases: what should be done?","container-title":"Histopathology","page":"149-156","volume":"63","issue":"2","source":"PubMed","abstract":"Histological reporting of hepatic resections of colorectal liver metastases (CRLMs) is limited to confirmation of diagnosis and evaluation of resection margins. More exhaustive diagnostic reporting might be warranted. Here, we critically and systematically review the potentially important histological prognostic factors in CRLM. Histological features such as intrahepatic spread, resection margins, and tumour response to neoadjuvant chemotherapy have been defined. Intrahepatic spread (venous, lymphatic, bile duct and perineural invasion) was evaluated in a number of studies. Meta-analysis demonstrated a clear correlation between 5-year overall survival and both portal vein invasion (RR 1.8, 95% CI 1.3-2.5) and lymphatic invasion (RR 1.7, 95% CI 1.4-2.0). The impact of hepatic vein invasion and bile duct invasion on outcome is not clear. Perineural invasion was linked to survival in one study. Resection margin is an important prognostic factor; however, the significance of the width of negative margins remains controversial. Various studies have evaluated tumour response to neoadjuvant chemotherapy, but different grading systems were used, and definite recommendations cannot be made. In conclusion, with the high incidence of CRLM and the increase in the number of hepatic resections, we need well-defined prognostic factors, studied in homogeneous patient populations, to optimize diagnostic work-up. This review identifies several of these factors.","DOI":"10.1111/his.12124","ISSN":"1365-2559","note":"PMID: 23763641","shortTitle":"Histopathological evaluation of resected colorectal cancer liver metastases","journalAbbreviation":"Histopathology","language":"eng","author":[{"family":"Knijn","given":"Nikki"},{"family":"Ridder","given":"Jannemarie A. M.","non-dropping-particle":"de"},{"family":"Punt","given":"Cornelis J. A."},{"family":"Wilt","given":"Johannes H. W.","non-dropping-particle":"de"},{"family":"Nagtegaal","given":"Iris D."}],"issued":{"date-parts":[["2013",8]]}},"label":"page"},{"id":"jK7A4ffc/oO5ff83K","uris":["http://zotero.org/users/local/CKZ8Mlfw/items/5KIBJTTH"],"uri":["http://zotero.org/users/local/CKZ8Mlfw/items/5KIBJTTH"],"itemData":{"id":120,"type":"article-journal","title":"ESMO consensus guidelines for the management of patients with metastatic colorectal cancer","container-title":"Annals of Oncology: Official Journal of the European Society for Medical Oncology","page":"1386-1422","volume":"27","issue":"8","source":"PubMed","abstract":"Colorectal cancer (CRC) is one of the most common malignancies in Western countries. Over the last 20 years, and the last decade in particular, the clinical outcome for patients with metastatic CRC (mCRC) has improved greatly due not only to an increase in the number of patients being referred for and undergoing surgical resection of their localised metastatic disease but also to a more strategic approach to the delivery of systemic therapy and an expansion in the use of ablative techniques. This reflects the increase in the number of patients that are being managed within a multidisciplinary team environment and specialist cancer centres, and the emergence over the same time period not only of improved imaging techniques but also prognostic and predictive molecular markers. Treatment decisions for patients with mCRC must be evidence-based. Thus, these ESMO consensus guidelines have been developed based on the current available evidence to provide a series of evidence-based recommendations to assist in the treatment and management of patients with mCRC in this rapidly evolving treatment setting.","DOI":"10.1093/annonc/mdw235","ISSN":"1569-8041","note":"PMID: 27380959","journalAbbreviation":"Ann. Oncol.","language":"eng","author":[{"family":"Van Cutsem","given":"E."},{"family":"Cervantes","given":"A."},{"family":"Adam","given":"R."},{"family":"Sobrero","given":"A."},{"family":"Van Krieken","given":"J. H."},{"family":"Aderka","given":"D."},{"family":"Aranda Aguilar","given":"E."},{"family":"Bardelli","given":"A."},{"family":"Benson","given":"A."},{"family":"Bodoky","given":"G."},{"family":"Ciardiello","given":"F."},{"family":"D'Hoore","given":"A."},{"family":"Diaz-Rubio","given":"E."},{"family":"Douillard","given":"J.-Y."},{"family":"Ducreux","given":"M."},{"family":"Falcone","given":"A."},{"family":"Grothey","given":"A."},{"family":"Gruenberger","given":"T."},{"family":"Haustermans","given":"K."},{"family":"Heinemann","given":"V."},{"family":"Hoff","given":"P."},{"family":"Köhne","given":"C.-H."},{"family":"Labianca","given":"R."},{"family":"Laurent-Puig","given":"P."},{"family":"Ma","given":"B."},{"family":"Maughan","given":"T."},{"family":"Muro","given":"K."},{"family":"Normanno","given":"N."},{"family":"Österlund","given":"P."},{"family":"Oyen","given":"W. J. G."},{"family":"Papamichael","given":"D."},{"family":"Pentheroudakis","given":"G."},{"family":"Pfeiffer","given":"P."},{"family":"Price","given":"T. J."},{"family":"Punt","given":"C."},{"family":"Ricke","given":"J."},{"family":"Roth","given":"A."},{"family":"Salazar","given":"R."},{"family":"Scheithauer","given":"W."},{"family":"Schmoll","given":"H. J."},{"family":"Tabernero","given":"J."},{"family":"Taïeb","given":"J."},{"family":"Tejpar","given":"S."},{"family":"Wasan","given":"H."},{"family":"Yoshino","given":"T."},{"family":"Zaanan","given":"A."},{"family":"Arnold","given":"D."}],"issued":{"date-parts":[["2016",8]]}},"label":"page"}],"schema":"https://github.com/citation-style-language/schema/raw/master/csl-citation.json"} </w:instrText>
      </w:r>
      <w:r w:rsidRPr="003A7660">
        <w:rPr>
          <w:rFonts w:ascii="Book Antiqua" w:hAnsi="Book Antiqua"/>
          <w:sz w:val="24"/>
          <w:szCs w:val="24"/>
          <w:lang w:val="en-US"/>
        </w:rPr>
        <w:fldChar w:fldCharType="end"/>
      </w:r>
      <w:r w:rsidRPr="003A7660">
        <w:rPr>
          <w:rFonts w:ascii="Book Antiqua" w:hAnsi="Book Antiqua"/>
          <w:sz w:val="24"/>
          <w:szCs w:val="24"/>
          <w:lang w:val="en-US"/>
        </w:rPr>
        <w:t xml:space="preserve">. Therefore, at present, analysis of the histological response </w:t>
      </w:r>
      <w:r w:rsidR="00DA45CA" w:rsidRPr="003A7660">
        <w:rPr>
          <w:rFonts w:ascii="Book Antiqua" w:eastAsia="宋体" w:hAnsi="Book Antiqua"/>
          <w:sz w:val="24"/>
          <w:szCs w:val="24"/>
          <w:lang w:val="en-US" w:eastAsia="zh-CN"/>
        </w:rPr>
        <w:t xml:space="preserve">(HR) </w:t>
      </w:r>
      <w:r w:rsidRPr="003A7660">
        <w:rPr>
          <w:rFonts w:ascii="Book Antiqua" w:hAnsi="Book Antiqua"/>
          <w:sz w:val="24"/>
          <w:szCs w:val="24"/>
          <w:lang w:val="en-US"/>
        </w:rPr>
        <w:t xml:space="preserve">by the TRG has no influence on whether or not adjuvant chemotherapy is administered. To our knowledge, no study has attempted to identify the predictive factors of </w:t>
      </w:r>
      <w:r w:rsidR="00DA45CA" w:rsidRPr="003A7660">
        <w:rPr>
          <w:rFonts w:ascii="Book Antiqua" w:eastAsia="宋体" w:hAnsi="Book Antiqua"/>
          <w:sz w:val="24"/>
          <w:szCs w:val="24"/>
          <w:lang w:val="en-US" w:eastAsia="zh-CN"/>
        </w:rPr>
        <w:t>HR</w:t>
      </w:r>
      <w:r w:rsidRPr="003A7660">
        <w:rPr>
          <w:rFonts w:ascii="Book Antiqua" w:hAnsi="Book Antiqua"/>
          <w:sz w:val="24"/>
          <w:szCs w:val="24"/>
          <w:lang w:val="en-US"/>
        </w:rPr>
        <w:t xml:space="preserve"> after NAC.</w:t>
      </w:r>
    </w:p>
    <w:p w:rsidR="00F74797" w:rsidRPr="003A7660" w:rsidRDefault="00512570" w:rsidP="00384F14">
      <w:pPr>
        <w:snapToGrid w:val="0"/>
        <w:spacing w:line="360" w:lineRule="auto"/>
        <w:ind w:firstLineChars="100" w:firstLine="240"/>
        <w:jc w:val="both"/>
        <w:rPr>
          <w:rFonts w:ascii="Book Antiqua" w:hAnsi="Book Antiqua"/>
          <w:bCs/>
          <w:lang w:val="en-US"/>
        </w:rPr>
      </w:pPr>
      <w:r w:rsidRPr="003A7660">
        <w:rPr>
          <w:rFonts w:ascii="Book Antiqua" w:hAnsi="Book Antiqua"/>
          <w:lang w:val="en-US"/>
        </w:rPr>
        <w:t>This study</w:t>
      </w:r>
      <w:r w:rsidR="00F74797" w:rsidRPr="003A7660">
        <w:rPr>
          <w:rFonts w:ascii="Book Antiqua" w:hAnsi="Book Antiqua"/>
          <w:lang w:val="en-US"/>
        </w:rPr>
        <w:t xml:space="preserve"> aimed to analyze the </w:t>
      </w:r>
      <w:r w:rsidR="00DA45CA" w:rsidRPr="003A7660">
        <w:rPr>
          <w:rFonts w:ascii="Book Antiqua" w:eastAsia="宋体" w:hAnsi="Book Antiqua"/>
          <w:lang w:val="en-US" w:eastAsia="zh-CN"/>
        </w:rPr>
        <w:t>HR</w:t>
      </w:r>
      <w:r w:rsidR="00F74797" w:rsidRPr="003A7660">
        <w:rPr>
          <w:rFonts w:ascii="Book Antiqua" w:hAnsi="Book Antiqua"/>
          <w:lang w:val="en-US"/>
        </w:rPr>
        <w:t xml:space="preserve">, according to the Rubbia-Brandt TRG, on CRLM surgery performed after </w:t>
      </w:r>
      <w:r w:rsidR="001723EF" w:rsidRPr="003A7660">
        <w:rPr>
          <w:rFonts w:ascii="Book Antiqua" w:eastAsia="宋体" w:hAnsi="Book Antiqua"/>
          <w:lang w:val="en-US" w:eastAsia="zh-CN"/>
        </w:rPr>
        <w:t>NAC</w:t>
      </w:r>
      <w:r w:rsidR="00F74797" w:rsidRPr="003A7660">
        <w:rPr>
          <w:rFonts w:ascii="Book Antiqua" w:hAnsi="Book Antiqua"/>
          <w:lang w:val="en-US"/>
        </w:rPr>
        <w:t xml:space="preserve">. It also sought to identify independent </w:t>
      </w:r>
      <w:r w:rsidR="00F74797" w:rsidRPr="003A7660">
        <w:rPr>
          <w:rFonts w:ascii="Book Antiqua" w:hAnsi="Book Antiqua"/>
          <w:lang w:val="en-US"/>
        </w:rPr>
        <w:lastRenderedPageBreak/>
        <w:t>predictive factors of a good response</w:t>
      </w:r>
      <w:r w:rsidRPr="003A7660">
        <w:rPr>
          <w:rFonts w:ascii="Book Antiqua" w:hAnsi="Book Antiqua"/>
          <w:lang w:val="en-US"/>
        </w:rPr>
        <w:t>,</w:t>
      </w:r>
      <w:r w:rsidR="00F74797" w:rsidRPr="003A7660">
        <w:rPr>
          <w:rFonts w:ascii="Book Antiqua" w:hAnsi="Book Antiqua"/>
          <w:lang w:val="en-US"/>
        </w:rPr>
        <w:t xml:space="preserve"> and to analyze the influence of this response </w:t>
      </w:r>
      <w:r w:rsidR="0065317C" w:rsidRPr="003A7660">
        <w:rPr>
          <w:rFonts w:ascii="Book Antiqua" w:hAnsi="Book Antiqua"/>
          <w:lang w:val="en-US"/>
        </w:rPr>
        <w:t>on</w:t>
      </w:r>
      <w:r w:rsidR="00F74797" w:rsidRPr="003A7660">
        <w:rPr>
          <w:rFonts w:ascii="Book Antiqua" w:hAnsi="Book Antiqua"/>
          <w:lang w:val="en-US"/>
        </w:rPr>
        <w:t xml:space="preserve"> </w:t>
      </w:r>
      <w:r w:rsidR="007D52B2" w:rsidRPr="003A7660">
        <w:rPr>
          <w:rFonts w:ascii="Book Antiqua" w:eastAsia="宋体" w:hAnsi="Book Antiqua"/>
          <w:lang w:val="en-US" w:eastAsia="zh-CN"/>
        </w:rPr>
        <w:t>DFS</w:t>
      </w:r>
      <w:r w:rsidR="0065317C" w:rsidRPr="003A7660">
        <w:rPr>
          <w:rFonts w:ascii="Book Antiqua" w:eastAsia="宋体" w:hAnsi="Book Antiqua"/>
          <w:lang w:val="en-US" w:eastAsia="zh-CN"/>
        </w:rPr>
        <w:t xml:space="preserve"> and overall</w:t>
      </w:r>
      <w:r w:rsidR="00F74797" w:rsidRPr="003A7660">
        <w:rPr>
          <w:rFonts w:ascii="Book Antiqua" w:hAnsi="Book Antiqua"/>
          <w:lang w:val="en-US"/>
        </w:rPr>
        <w:t>.</w:t>
      </w:r>
    </w:p>
    <w:p w:rsidR="00F74797" w:rsidRPr="003A7660" w:rsidRDefault="00F74797" w:rsidP="00384F14">
      <w:pPr>
        <w:snapToGrid w:val="0"/>
        <w:spacing w:line="360" w:lineRule="auto"/>
        <w:jc w:val="both"/>
        <w:rPr>
          <w:rFonts w:ascii="Book Antiqua" w:hAnsi="Book Antiqua"/>
          <w:bCs/>
          <w:lang w:val="en-US"/>
        </w:rPr>
      </w:pPr>
    </w:p>
    <w:p w:rsidR="00E30018" w:rsidRPr="003A7660" w:rsidRDefault="00213AC4" w:rsidP="00384F14">
      <w:pPr>
        <w:snapToGrid w:val="0"/>
        <w:spacing w:line="360" w:lineRule="auto"/>
        <w:jc w:val="both"/>
        <w:rPr>
          <w:rFonts w:ascii="Book Antiqua" w:eastAsia="宋体" w:hAnsi="Book Antiqua"/>
          <w:b/>
          <w:lang w:val="en-US" w:eastAsia="zh-CN"/>
        </w:rPr>
      </w:pPr>
      <w:r w:rsidRPr="003A7660">
        <w:rPr>
          <w:rFonts w:ascii="Book Antiqua" w:hAnsi="Book Antiqua"/>
          <w:b/>
          <w:lang w:val="en-US"/>
        </w:rPr>
        <w:t>MATERIALS AND METHODS</w:t>
      </w:r>
    </w:p>
    <w:p w:rsidR="00F74797" w:rsidRPr="003A7660" w:rsidRDefault="00F74797" w:rsidP="00384F14">
      <w:pPr>
        <w:snapToGrid w:val="0"/>
        <w:spacing w:line="360" w:lineRule="auto"/>
        <w:jc w:val="both"/>
        <w:rPr>
          <w:rFonts w:ascii="Book Antiqua" w:hAnsi="Book Antiqua"/>
          <w:b/>
          <w:i/>
          <w:lang w:val="en-US"/>
        </w:rPr>
      </w:pPr>
      <w:r w:rsidRPr="003A7660">
        <w:rPr>
          <w:rFonts w:ascii="Book Antiqua" w:hAnsi="Book Antiqua"/>
          <w:b/>
          <w:i/>
          <w:lang w:val="en-US"/>
        </w:rPr>
        <w:t>Patient</w:t>
      </w:r>
      <w:r w:rsidR="00E30018" w:rsidRPr="003A7660">
        <w:rPr>
          <w:rFonts w:ascii="Book Antiqua" w:hAnsi="Book Antiqua"/>
          <w:b/>
          <w:i/>
          <w:lang w:val="en-US"/>
        </w:rPr>
        <w:t xml:space="preserve"> inclusion</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From January 2006 to December 2013, patients who </w:t>
      </w:r>
      <w:r w:rsidR="00004CC1" w:rsidRPr="003A7660">
        <w:rPr>
          <w:rFonts w:ascii="Book Antiqua" w:hAnsi="Book Antiqua"/>
          <w:lang w:val="en-US"/>
        </w:rPr>
        <w:t xml:space="preserve">underwent </w:t>
      </w:r>
      <w:r w:rsidRPr="003A7660">
        <w:rPr>
          <w:rFonts w:ascii="Book Antiqua" w:hAnsi="Book Antiqua"/>
          <w:lang w:val="en-US"/>
        </w:rPr>
        <w:t>surgery for CRLMs after NAC in our department were included</w:t>
      </w:r>
      <w:r w:rsidR="00E30018" w:rsidRPr="003A7660">
        <w:rPr>
          <w:rFonts w:ascii="Book Antiqua" w:hAnsi="Book Antiqua"/>
          <w:lang w:val="en-US"/>
        </w:rPr>
        <w:t xml:space="preserve">. They were retrospectively analyzed with regard to their pre-treatment characteristics. </w:t>
      </w:r>
      <w:r w:rsidRPr="003A7660">
        <w:rPr>
          <w:rFonts w:ascii="Book Antiqua" w:hAnsi="Book Antiqua"/>
          <w:lang w:val="en-US"/>
        </w:rPr>
        <w:t xml:space="preserve">Patients for whom the primary tumor was resected or who had chemotherapy at another center were also included. </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Patient groups</w:t>
      </w:r>
    </w:p>
    <w:p w:rsidR="00F74797" w:rsidRPr="003A7660" w:rsidRDefault="00F74797" w:rsidP="00384F14">
      <w:pPr>
        <w:snapToGrid w:val="0"/>
        <w:spacing w:line="360" w:lineRule="auto"/>
        <w:jc w:val="both"/>
        <w:rPr>
          <w:rFonts w:ascii="Book Antiqua" w:hAnsi="Book Antiqua"/>
          <w:b/>
          <w:bCs/>
          <w:lang w:val="en-US"/>
        </w:rPr>
      </w:pPr>
      <w:r w:rsidRPr="003A7660">
        <w:rPr>
          <w:rFonts w:ascii="Book Antiqua" w:hAnsi="Book Antiqua"/>
          <w:lang w:val="en-US"/>
        </w:rPr>
        <w:t>The patients were separated in</w:t>
      </w:r>
      <w:r w:rsidR="00004CC1" w:rsidRPr="003A7660">
        <w:rPr>
          <w:rFonts w:ascii="Book Antiqua" w:hAnsi="Book Antiqua"/>
          <w:lang w:val="en-US"/>
        </w:rPr>
        <w:t>to</w:t>
      </w:r>
      <w:r w:rsidRPr="003A7660">
        <w:rPr>
          <w:rFonts w:ascii="Book Antiqua" w:hAnsi="Book Antiqua"/>
          <w:lang w:val="en-US"/>
        </w:rPr>
        <w:t xml:space="preserve"> two groups based on their </w:t>
      </w:r>
      <w:r w:rsidR="00DA45CA" w:rsidRPr="003A7660">
        <w:rPr>
          <w:rFonts w:ascii="Book Antiqua" w:eastAsia="宋体" w:hAnsi="Book Antiqua"/>
          <w:lang w:val="en-US" w:eastAsia="zh-CN"/>
        </w:rPr>
        <w:t>HR</w:t>
      </w:r>
      <w:r w:rsidR="00004CC1" w:rsidRPr="003A7660">
        <w:rPr>
          <w:rFonts w:ascii="Book Antiqua" w:eastAsia="宋体" w:hAnsi="Book Antiqua"/>
          <w:lang w:val="en-US" w:eastAsia="zh-CN"/>
        </w:rPr>
        <w:t>,</w:t>
      </w:r>
      <w:r w:rsidRPr="003A7660">
        <w:rPr>
          <w:rFonts w:ascii="Book Antiqua" w:hAnsi="Book Antiqua"/>
          <w:lang w:val="en-US"/>
        </w:rPr>
        <w:t xml:space="preserve"> according to Rubbia-Brandt TRG. Based on their TRG, each patient was either assigned to the responder (R) group (TRG 1, 2, and 3) or to the non-responder (NR) group (TRG 4 and 5).</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 xml:space="preserve">Data collected </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For each patient, the following </w:t>
      </w:r>
      <w:r w:rsidR="00004CC1" w:rsidRPr="003A7660">
        <w:rPr>
          <w:rFonts w:ascii="Book Antiqua" w:hAnsi="Book Antiqua"/>
          <w:lang w:val="en-US"/>
        </w:rPr>
        <w:t xml:space="preserve">preoperative </w:t>
      </w:r>
      <w:r w:rsidRPr="003A7660">
        <w:rPr>
          <w:rFonts w:ascii="Book Antiqua" w:hAnsi="Book Antiqua"/>
          <w:lang w:val="en-US"/>
        </w:rPr>
        <w:t xml:space="preserve">parameters were included prospectively: </w:t>
      </w:r>
      <w:r w:rsidR="00004CC1" w:rsidRPr="003A7660">
        <w:rPr>
          <w:rFonts w:ascii="Book Antiqua" w:hAnsi="Book Antiqua"/>
          <w:lang w:val="en-US"/>
        </w:rPr>
        <w:t>a</w:t>
      </w:r>
      <w:r w:rsidRPr="003A7660">
        <w:rPr>
          <w:rFonts w:ascii="Book Antiqua" w:hAnsi="Book Antiqua"/>
          <w:lang w:val="en-US"/>
        </w:rPr>
        <w:t xml:space="preserve">ge, </w:t>
      </w:r>
      <w:r w:rsidR="00937C45" w:rsidRPr="003A7660">
        <w:rPr>
          <w:rFonts w:ascii="Book Antiqua" w:hAnsi="Book Antiqua"/>
          <w:lang w:val="en-US"/>
        </w:rPr>
        <w:t>body mass index</w:t>
      </w:r>
      <w:r w:rsidRPr="003A7660">
        <w:rPr>
          <w:rFonts w:ascii="Book Antiqua" w:hAnsi="Book Antiqua"/>
          <w:lang w:val="en-US"/>
        </w:rPr>
        <w:t xml:space="preserve">, </w:t>
      </w:r>
      <w:r w:rsidR="00302619" w:rsidRPr="003A7660">
        <w:rPr>
          <w:rStyle w:val="ilfuvd"/>
          <w:rFonts w:ascii="Book Antiqua" w:hAnsi="Book Antiqua"/>
          <w:lang w:val="en-US"/>
        </w:rPr>
        <w:t>American Soci</w:t>
      </w:r>
      <w:r w:rsidR="00937C45" w:rsidRPr="003A7660">
        <w:rPr>
          <w:rStyle w:val="ilfuvd"/>
          <w:rFonts w:ascii="Book Antiqua" w:hAnsi="Book Antiqua"/>
          <w:lang w:val="en-US"/>
        </w:rPr>
        <w:t>ety of Anesthesiologists’ score</w:t>
      </w:r>
      <w:r w:rsidRPr="003A7660">
        <w:rPr>
          <w:rFonts w:ascii="Book Antiqua" w:hAnsi="Book Antiqua"/>
          <w:lang w:val="en-US"/>
        </w:rPr>
        <w:t>, history of liver surgery or a liver procedure (</w:t>
      </w:r>
      <w:r w:rsidRPr="003A7660">
        <w:rPr>
          <w:rFonts w:ascii="Book Antiqua" w:hAnsi="Book Antiqua"/>
          <w:i/>
          <w:lang w:val="en-US"/>
        </w:rPr>
        <w:t>e.g</w:t>
      </w:r>
      <w:r w:rsidRPr="003A7660">
        <w:rPr>
          <w:rFonts w:ascii="Book Antiqua" w:hAnsi="Book Antiqua"/>
          <w:lang w:val="en-US"/>
        </w:rPr>
        <w:t xml:space="preserve">., portal vein embolization or drainage), date when the metastases were discovered, the existence of extra-hepatic metastases, </w:t>
      </w:r>
      <w:r w:rsidR="001723EF" w:rsidRPr="003A7660">
        <w:rPr>
          <w:rFonts w:ascii="Book Antiqua" w:eastAsia="宋体" w:hAnsi="Book Antiqua"/>
          <w:lang w:val="en-US" w:eastAsia="zh-CN"/>
        </w:rPr>
        <w:t>NAC</w:t>
      </w:r>
      <w:r w:rsidRPr="003A7660">
        <w:rPr>
          <w:rFonts w:ascii="Book Antiqua" w:hAnsi="Book Antiqua"/>
          <w:lang w:val="en-US"/>
        </w:rPr>
        <w:t xml:space="preserve"> (</w:t>
      </w:r>
      <w:r w:rsidRPr="003A7660">
        <w:rPr>
          <w:rFonts w:ascii="Book Antiqua" w:hAnsi="Book Antiqua"/>
          <w:i/>
          <w:lang w:val="en-US"/>
        </w:rPr>
        <w:t>e.g</w:t>
      </w:r>
      <w:r w:rsidRPr="003A7660">
        <w:rPr>
          <w:rFonts w:ascii="Book Antiqua" w:hAnsi="Book Antiqua"/>
          <w:lang w:val="en-US"/>
        </w:rPr>
        <w:t>., the number of treatment sessions and the types of chemotherapy), associated targeted therapy and type, radiological evaluation (</w:t>
      </w:r>
      <w:r w:rsidRPr="003A7660">
        <w:rPr>
          <w:rFonts w:ascii="Book Antiqua" w:hAnsi="Book Antiqua"/>
          <w:i/>
          <w:lang w:val="en-US"/>
        </w:rPr>
        <w:t>e.g</w:t>
      </w:r>
      <w:r w:rsidRPr="003A7660">
        <w:rPr>
          <w:rFonts w:ascii="Book Antiqua" w:hAnsi="Book Antiqua"/>
          <w:lang w:val="en-US"/>
        </w:rPr>
        <w:t xml:space="preserve">., </w:t>
      </w:r>
      <w:r w:rsidR="00B74FC1" w:rsidRPr="003A7660">
        <w:rPr>
          <w:rFonts w:ascii="Book Antiqua" w:hAnsi="Book Antiqua"/>
          <w:lang w:val="en-US"/>
        </w:rPr>
        <w:t>the</w:t>
      </w:r>
      <w:r w:rsidRPr="003A7660">
        <w:rPr>
          <w:rFonts w:ascii="Book Antiqua" w:hAnsi="Book Antiqua"/>
          <w:lang w:val="en-US"/>
        </w:rPr>
        <w:t xml:space="preserve"> </w:t>
      </w:r>
      <w:r w:rsidR="00F773C3" w:rsidRPr="003A7660">
        <w:rPr>
          <w:rFonts w:ascii="Book Antiqua" w:hAnsi="Book Antiqua"/>
          <w:color w:val="000000"/>
          <w:lang w:val="en-US"/>
        </w:rPr>
        <w:t>morphological criteria of the response to NAC according to R</w:t>
      </w:r>
      <w:r w:rsidR="00937C45" w:rsidRPr="003A7660">
        <w:rPr>
          <w:rFonts w:ascii="Book Antiqua" w:hAnsi="Book Antiqua"/>
          <w:color w:val="000000"/>
          <w:lang w:val="en-US"/>
        </w:rPr>
        <w:t>ECIST, mRECIST or CHOI criteria</w:t>
      </w:r>
      <w:r w:rsidR="00F773C3" w:rsidRPr="003A7660">
        <w:rPr>
          <w:rFonts w:ascii="Book Antiqua" w:hAnsi="Book Antiqua"/>
          <w:vertAlign w:val="superscript"/>
          <w:lang w:val="en-US"/>
        </w:rPr>
        <w:t>[22</w:t>
      </w:r>
      <w:r w:rsidR="00937C45" w:rsidRPr="003A7660">
        <w:rPr>
          <w:rFonts w:ascii="Book Antiqua" w:eastAsia="宋体" w:hAnsi="Book Antiqua"/>
          <w:vertAlign w:val="superscript"/>
          <w:lang w:val="en-US" w:eastAsia="zh-CN"/>
        </w:rPr>
        <w:t>-</w:t>
      </w:r>
      <w:r w:rsidR="00F773C3" w:rsidRPr="003A7660">
        <w:rPr>
          <w:rFonts w:ascii="Book Antiqua" w:hAnsi="Book Antiqua"/>
          <w:vertAlign w:val="superscript"/>
          <w:lang w:val="en-US"/>
        </w:rPr>
        <w:t>28]</w:t>
      </w:r>
      <w:r w:rsidRPr="003A7660">
        <w:rPr>
          <w:rFonts w:ascii="Book Antiqua" w:hAnsi="Book Antiqua"/>
          <w:lang w:val="en-US"/>
        </w:rPr>
        <w:t xml:space="preserve">), two-stage hepatectomy, the surgical strategy proposed by the multidisciplinary team meeting, the location of the primary, the treatment date, and the lymphatic status of the primary tumor. </w:t>
      </w:r>
      <w:r w:rsidR="009A5760" w:rsidRPr="003A7660">
        <w:rPr>
          <w:rFonts w:ascii="Book Antiqua" w:hAnsi="Book Antiqua"/>
          <w:lang w:val="en-US"/>
        </w:rPr>
        <w:t>P</w:t>
      </w:r>
      <w:r w:rsidRPr="003A7660">
        <w:rPr>
          <w:rFonts w:ascii="Book Antiqua" w:hAnsi="Book Antiqua"/>
          <w:lang w:val="en-US"/>
        </w:rPr>
        <w:t>erioperative parameters included: the types of procedures and number of segments resected. The postoperative parameters included: the length of</w:t>
      </w:r>
      <w:r w:rsidR="009A5760" w:rsidRPr="003A7660">
        <w:rPr>
          <w:rFonts w:ascii="Book Antiqua" w:hAnsi="Book Antiqua"/>
          <w:lang w:val="en-US"/>
        </w:rPr>
        <w:t xml:space="preserve"> </w:t>
      </w:r>
      <w:r w:rsidRPr="003A7660">
        <w:rPr>
          <w:rFonts w:ascii="Book Antiqua" w:hAnsi="Book Antiqua"/>
          <w:lang w:val="en-US"/>
        </w:rPr>
        <w:t xml:space="preserve">hospitalization, occurrence of a severe or mild (according to the Clavien-Dindo classification) medical or surgical complication, mortality at 30 d, repeat procedures, initiation of postoperative chemotherapy, and the type of chemotherapy. The histological data comprised: the TRG, number of lesions on the resected specimens, </w:t>
      </w:r>
      <w:r w:rsidRPr="003A7660">
        <w:rPr>
          <w:rFonts w:ascii="Book Antiqua" w:hAnsi="Book Antiqua"/>
          <w:lang w:val="en-US"/>
        </w:rPr>
        <w:lastRenderedPageBreak/>
        <w:t>resection margins (a resection was considered to be R0 when the smallest microscopic margin was more than or equal to 1 mm), presence of emboli, tumor differentiation grade, and size of the largest metastasis. The follow-up data comprised: the most recent update and status, date of death (if applicable), date of recurrence (if any) and its location.</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Multidisciplinary team meeting</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The patients’ records were assessed at a multidisciplinary team meeting that included at least one radiologist, one liver surgeon, one digestive oncologist and one pathologist. </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iCs/>
          <w:lang w:val="en-US"/>
        </w:rPr>
      </w:pPr>
      <w:r w:rsidRPr="003A7660">
        <w:rPr>
          <w:rFonts w:ascii="Book Antiqua" w:hAnsi="Book Antiqua"/>
          <w:b/>
          <w:i/>
          <w:lang w:val="en-US"/>
        </w:rPr>
        <w:t>Surgical treatment</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The minimal time period between the end of </w:t>
      </w:r>
      <w:r w:rsidR="001723EF" w:rsidRPr="003A7660">
        <w:rPr>
          <w:rFonts w:ascii="Book Antiqua" w:eastAsia="宋体" w:hAnsi="Book Antiqua"/>
          <w:lang w:val="en-US" w:eastAsia="zh-CN"/>
        </w:rPr>
        <w:t>NAC</w:t>
      </w:r>
      <w:r w:rsidRPr="003A7660">
        <w:rPr>
          <w:rFonts w:ascii="Book Antiqua" w:hAnsi="Book Antiqua"/>
          <w:lang w:val="en-US"/>
        </w:rPr>
        <w:t xml:space="preserve"> and the surgery was 4 to 6 w</w:t>
      </w:r>
      <w:r w:rsidR="00937C45" w:rsidRPr="003A7660">
        <w:rPr>
          <w:rFonts w:ascii="Book Antiqua" w:hAnsi="Book Antiqua"/>
          <w:lang w:val="en-US"/>
        </w:rPr>
        <w:t>k</w:t>
      </w:r>
      <w:r w:rsidRPr="003A7660">
        <w:rPr>
          <w:rFonts w:ascii="Book Antiqua" w:hAnsi="Book Antiqua"/>
          <w:lang w:val="en-US"/>
        </w:rPr>
        <w:t xml:space="preserve">. Surgical resections were anatomical or non-anatomical (atypical resections), </w:t>
      </w:r>
      <w:r w:rsidR="009A5760" w:rsidRPr="003A7660">
        <w:rPr>
          <w:rFonts w:ascii="Book Antiqua" w:hAnsi="Book Antiqua"/>
          <w:lang w:val="en-US"/>
        </w:rPr>
        <w:t xml:space="preserve">and </w:t>
      </w:r>
      <w:r w:rsidRPr="003A7660">
        <w:rPr>
          <w:rFonts w:ascii="Book Antiqua" w:hAnsi="Book Antiqua"/>
          <w:lang w:val="en-US"/>
        </w:rPr>
        <w:t>combined or not combined with perioperative radiofrequency ablation (RFA) according to the rules regarding size and localization for this method. Surgical resections were performed in one or two steps irrespective of the strategy chosen (</w:t>
      </w:r>
      <w:r w:rsidRPr="003A7660">
        <w:rPr>
          <w:rFonts w:ascii="Book Antiqua" w:hAnsi="Book Antiqua"/>
          <w:i/>
          <w:lang w:val="en-US"/>
        </w:rPr>
        <w:t>i.e</w:t>
      </w:r>
      <w:r w:rsidRPr="003A7660">
        <w:rPr>
          <w:rFonts w:ascii="Book Antiqua" w:hAnsi="Book Antiqua"/>
          <w:lang w:val="en-US"/>
        </w:rPr>
        <w:t xml:space="preserve">. conventional, liver-first, or combined). Surgical resections were most often performed by laparotomy, and occasionally by laparoscopy if the anatomical and oncological conditions suited this approach. A perioperative ultrasound scan was systematically carried out to explore the liver disease, and it was used to guide the identification of the hepatectomy cuts in order to obtain an adequate margin. In </w:t>
      </w:r>
      <w:r w:rsidR="009A5760" w:rsidRPr="003A7660">
        <w:rPr>
          <w:rFonts w:ascii="Book Antiqua" w:hAnsi="Book Antiqua"/>
          <w:lang w:val="en-US"/>
        </w:rPr>
        <w:t xml:space="preserve">the </w:t>
      </w:r>
      <w:r w:rsidRPr="003A7660">
        <w:rPr>
          <w:rFonts w:ascii="Book Antiqua" w:hAnsi="Book Antiqua"/>
          <w:lang w:val="en-US"/>
        </w:rPr>
        <w:t>case of RFA, this was done perioperatively by two of our hospital's experienced radiologists. Ultrasound with a contrast agent (SonoVue) was sometimes used in case of difficulty viewing the anatomical area.</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iCs/>
          <w:lang w:val="en-US"/>
        </w:rPr>
      </w:pPr>
      <w:r w:rsidRPr="003A7660">
        <w:rPr>
          <w:rFonts w:ascii="Book Antiqua" w:hAnsi="Book Antiqua"/>
          <w:b/>
          <w:i/>
          <w:lang w:val="en-US"/>
        </w:rPr>
        <w:t>Histological analysis</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All of the histology slides were re-evaluated in a blind manner by the same specialized pathologist. The slides had already been fixed, embedded in paraffin, cut, spread, and colored according to standard pathology methods. These slides were microscopically analyzed according to the Rubbia-Brandt TRG score. For the resected </w:t>
      </w:r>
      <w:r w:rsidRPr="003A7660">
        <w:rPr>
          <w:rFonts w:ascii="Book Antiqua" w:hAnsi="Book Antiqua"/>
          <w:lang w:val="en-US"/>
        </w:rPr>
        <w:lastRenderedPageBreak/>
        <w:t>specimens that had several tumors, and in case of a dissociated response, the worst TRG was taken into account.</w:t>
      </w:r>
      <w:r w:rsidR="00937C45" w:rsidRPr="003A7660">
        <w:rPr>
          <w:rFonts w:ascii="Book Antiqua" w:eastAsia="宋体" w:hAnsi="Book Antiqua"/>
          <w:bCs/>
          <w:lang w:val="en-US" w:eastAsia="zh-CN"/>
        </w:rPr>
        <w:t xml:space="preserve"> </w:t>
      </w:r>
      <w:r w:rsidRPr="003A7660">
        <w:rPr>
          <w:rFonts w:ascii="Book Antiqua" w:hAnsi="Book Antiqua"/>
          <w:lang w:val="en-US"/>
        </w:rPr>
        <w:t xml:space="preserve">The following criteria were also analyzed: </w:t>
      </w:r>
      <w:r w:rsidR="00995B5E" w:rsidRPr="003A7660">
        <w:rPr>
          <w:rFonts w:ascii="Book Antiqua" w:hAnsi="Book Antiqua"/>
          <w:lang w:val="en-US"/>
        </w:rPr>
        <w:t>t</w:t>
      </w:r>
      <w:r w:rsidRPr="003A7660">
        <w:rPr>
          <w:rFonts w:ascii="Book Antiqua" w:hAnsi="Book Antiqua"/>
          <w:lang w:val="en-US"/>
        </w:rPr>
        <w:t>he existence of a “dangerous halo”, thickness of the invasive front, ablation margin, degree of tumor differentiation, and presence of vascular emboli.</w:t>
      </w:r>
    </w:p>
    <w:p w:rsidR="0056356B" w:rsidRPr="003A7660" w:rsidRDefault="0056356B" w:rsidP="00384F14">
      <w:pPr>
        <w:snapToGrid w:val="0"/>
        <w:spacing w:line="360" w:lineRule="auto"/>
        <w:jc w:val="both"/>
        <w:rPr>
          <w:rFonts w:ascii="Book Antiqua" w:hAnsi="Book Antiqua"/>
          <w:color w:val="000000"/>
          <w:lang w:val="en-US"/>
        </w:rPr>
      </w:pPr>
    </w:p>
    <w:p w:rsidR="00DA45CA" w:rsidRPr="003A7660" w:rsidRDefault="00DA45CA" w:rsidP="00384F14">
      <w:pPr>
        <w:autoSpaceDE w:val="0"/>
        <w:autoSpaceDN w:val="0"/>
        <w:adjustRightInd w:val="0"/>
        <w:snapToGrid w:val="0"/>
        <w:spacing w:line="360" w:lineRule="auto"/>
        <w:jc w:val="both"/>
        <w:rPr>
          <w:rFonts w:ascii="Book Antiqua" w:eastAsia="宋体" w:hAnsi="Book Antiqua"/>
          <w:b/>
          <w:i/>
          <w:lang w:val="en-US" w:eastAsia="zh-CN"/>
        </w:rPr>
      </w:pPr>
      <w:r w:rsidRPr="003A7660">
        <w:rPr>
          <w:rFonts w:ascii="Book Antiqua" w:hAnsi="Book Antiqua"/>
          <w:b/>
          <w:i/>
          <w:lang w:val="en-US"/>
        </w:rPr>
        <w:t>Ethics statement</w:t>
      </w:r>
    </w:p>
    <w:p w:rsidR="00F74797" w:rsidRPr="003A7660" w:rsidRDefault="00F74797" w:rsidP="00384F14">
      <w:pPr>
        <w:autoSpaceDE w:val="0"/>
        <w:autoSpaceDN w:val="0"/>
        <w:adjustRightInd w:val="0"/>
        <w:snapToGrid w:val="0"/>
        <w:spacing w:line="360" w:lineRule="auto"/>
        <w:jc w:val="both"/>
        <w:rPr>
          <w:rFonts w:ascii="Book Antiqua" w:hAnsi="Book Antiqua"/>
          <w:b/>
          <w:bCs/>
          <w:iCs/>
          <w:lang w:val="en-US"/>
        </w:rPr>
      </w:pPr>
      <w:r w:rsidRPr="003A7660">
        <w:rPr>
          <w:rStyle w:val="a7"/>
          <w:rFonts w:ascii="Book Antiqua" w:hAnsi="Book Antiqua"/>
          <w:sz w:val="24"/>
          <w:szCs w:val="24"/>
          <w:lang w:val="en-US"/>
        </w:rPr>
        <w:t>P</w:t>
      </w:r>
      <w:r w:rsidRPr="003A7660">
        <w:rPr>
          <w:rFonts w:ascii="Book Antiqua" w:hAnsi="Book Antiqua"/>
          <w:lang w:val="en-US"/>
        </w:rPr>
        <w:t>atients were not required to give informed consent to the study because the analysis used anonymous clinical data that were obtained after each patient agreed to treatment by written consent.</w:t>
      </w:r>
    </w:p>
    <w:p w:rsidR="00F74797" w:rsidRPr="003A7660" w:rsidRDefault="00F74797" w:rsidP="00384F14">
      <w:pPr>
        <w:snapToGrid w:val="0"/>
        <w:spacing w:line="360" w:lineRule="auto"/>
        <w:jc w:val="both"/>
        <w:rPr>
          <w:rFonts w:ascii="Book Antiqua" w:hAnsi="Book Antiqua"/>
          <w:b/>
          <w:bCs/>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Statistical analysis</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The search for factors predictive of the response rate was based on percentage comparis</w:t>
      </w:r>
      <w:r w:rsidR="00DA45CA" w:rsidRPr="003A7660">
        <w:rPr>
          <w:rFonts w:ascii="Book Antiqua" w:hAnsi="Book Antiqua"/>
          <w:lang w:val="en-US"/>
        </w:rPr>
        <w:t>on tests (chi-squared or Fisher</w:t>
      </w:r>
      <w:r w:rsidR="00DA45CA" w:rsidRPr="003A7660">
        <w:rPr>
          <w:rFonts w:ascii="Book Antiqua" w:eastAsia="宋体" w:hAnsi="Book Antiqua"/>
          <w:lang w:val="en-US" w:eastAsia="zh-CN"/>
        </w:rPr>
        <w:t>’</w:t>
      </w:r>
      <w:r w:rsidRPr="003A7660">
        <w:rPr>
          <w:rFonts w:ascii="Book Antiqua" w:hAnsi="Book Antiqua"/>
          <w:lang w:val="en-US"/>
        </w:rPr>
        <w:t>s exact tests</w:t>
      </w:r>
      <w:r w:rsidR="00995B5E" w:rsidRPr="003A7660">
        <w:rPr>
          <w:rFonts w:ascii="Book Antiqua" w:hAnsi="Book Antiqua"/>
          <w:lang w:val="en-US"/>
        </w:rPr>
        <w:t>,</w:t>
      </w:r>
      <w:r w:rsidRPr="003A7660">
        <w:rPr>
          <w:rFonts w:ascii="Book Antiqua" w:hAnsi="Book Antiqua"/>
          <w:lang w:val="en-US"/>
        </w:rPr>
        <w:t xml:space="preserve"> according to the theoretical sizes) for the qualitative variables, and </w:t>
      </w:r>
      <w:r w:rsidR="00DA45CA" w:rsidRPr="003A7660">
        <w:rPr>
          <w:rFonts w:ascii="Book Antiqua" w:hAnsi="Book Antiqua"/>
          <w:lang w:val="en-US"/>
        </w:rPr>
        <w:t>on comparison of means (Student</w:t>
      </w:r>
      <w:r w:rsidR="00DA45CA" w:rsidRPr="003A7660">
        <w:rPr>
          <w:rFonts w:ascii="Book Antiqua" w:eastAsia="宋体" w:hAnsi="Book Antiqua"/>
          <w:lang w:val="en-US" w:eastAsia="zh-CN"/>
        </w:rPr>
        <w:t>’</w:t>
      </w:r>
      <w:r w:rsidRPr="003A7660">
        <w:rPr>
          <w:rFonts w:ascii="Book Antiqua" w:hAnsi="Book Antiqua"/>
          <w:lang w:val="en-US"/>
        </w:rPr>
        <w:t xml:space="preserve">s </w:t>
      </w:r>
      <w:r w:rsidRPr="003A7660">
        <w:rPr>
          <w:rFonts w:ascii="Book Antiqua" w:hAnsi="Book Antiqua"/>
          <w:i/>
          <w:lang w:val="en-US"/>
        </w:rPr>
        <w:t>t</w:t>
      </w:r>
      <w:r w:rsidRPr="003A7660">
        <w:rPr>
          <w:rFonts w:ascii="Book Antiqua" w:hAnsi="Book Antiqua"/>
          <w:lang w:val="en-US"/>
        </w:rPr>
        <w:t xml:space="preserve">-test, in case of normalcy and equality of the variances) or distribution tests (the Mann-Whitney non-parametric test) for the quantitative variables. The predictive factors associated with the response at a threshold of 20% in the univariate analysis were introduced in this logistic regression model. The final model including the variables that were significantly and independently associated with the response rate was obtained by stepwise regression. The intermediate nested models were compared using the likelihood ratio test. The interactions between the independent variables of the final model were identified (they were all non-significant). The adequacy of the model for the data was tested. The degree of significance was set as </w:t>
      </w:r>
      <w:r w:rsidR="00DA45CA" w:rsidRPr="003A7660">
        <w:rPr>
          <w:rFonts w:ascii="Book Antiqua" w:hAnsi="Book Antiqua"/>
          <w:i/>
          <w:lang w:val="en-US"/>
        </w:rPr>
        <w:t>P</w:t>
      </w:r>
      <w:r w:rsidR="00DA45CA" w:rsidRPr="003A7660">
        <w:rPr>
          <w:rFonts w:ascii="Book Antiqua" w:eastAsia="宋体" w:hAnsi="Book Antiqua"/>
          <w:lang w:val="en-US" w:eastAsia="zh-CN"/>
        </w:rPr>
        <w:t xml:space="preserve"> </w:t>
      </w:r>
      <w:r w:rsidRPr="003A7660">
        <w:rPr>
          <w:rFonts w:ascii="Book Antiqua" w:hAnsi="Book Antiqua"/>
          <w:lang w:val="en-US"/>
        </w:rPr>
        <w:t>&lt;</w:t>
      </w:r>
      <w:r w:rsidR="00DA45CA" w:rsidRPr="003A7660">
        <w:rPr>
          <w:rFonts w:ascii="Book Antiqua" w:eastAsia="宋体" w:hAnsi="Book Antiqua"/>
          <w:lang w:val="en-US" w:eastAsia="zh-CN"/>
        </w:rPr>
        <w:t xml:space="preserve"> </w:t>
      </w:r>
      <w:r w:rsidRPr="003A7660">
        <w:rPr>
          <w:rFonts w:ascii="Book Antiqua" w:hAnsi="Book Antiqua"/>
          <w:lang w:val="en-US"/>
        </w:rPr>
        <w:t xml:space="preserve">0.05. Firstly, the analysis of </w:t>
      </w:r>
      <w:r w:rsidR="00995B5E" w:rsidRPr="003A7660">
        <w:rPr>
          <w:rFonts w:ascii="Book Antiqua" w:hAnsi="Book Antiqua"/>
          <w:lang w:val="en-US"/>
        </w:rPr>
        <w:t xml:space="preserve">TRG </w:t>
      </w:r>
      <w:r w:rsidRPr="003A7660">
        <w:rPr>
          <w:rFonts w:ascii="Book Antiqua" w:hAnsi="Book Antiqua"/>
          <w:lang w:val="en-US"/>
        </w:rPr>
        <w:t xml:space="preserve">impact on </w:t>
      </w:r>
      <w:r w:rsidR="007D52B2" w:rsidRPr="003A7660">
        <w:rPr>
          <w:rFonts w:ascii="Book Antiqua" w:hAnsi="Book Antiqua"/>
          <w:lang w:val="en-US"/>
        </w:rPr>
        <w:t xml:space="preserve">overall survival </w:t>
      </w:r>
      <w:r w:rsidR="007D52B2" w:rsidRPr="003A7660">
        <w:rPr>
          <w:rFonts w:ascii="Book Antiqua" w:eastAsia="宋体" w:hAnsi="Book Antiqua"/>
          <w:lang w:val="en-US" w:eastAsia="zh-CN"/>
        </w:rPr>
        <w:t>(</w:t>
      </w:r>
      <w:r w:rsidRPr="003A7660">
        <w:rPr>
          <w:rFonts w:ascii="Book Antiqua" w:hAnsi="Book Antiqua"/>
          <w:lang w:val="en-US"/>
        </w:rPr>
        <w:t>OS</w:t>
      </w:r>
      <w:r w:rsidR="007D52B2" w:rsidRPr="003A7660">
        <w:rPr>
          <w:rFonts w:ascii="Book Antiqua" w:eastAsia="宋体" w:hAnsi="Book Antiqua"/>
          <w:lang w:val="en-US" w:eastAsia="zh-CN"/>
        </w:rPr>
        <w:t>)</w:t>
      </w:r>
      <w:r w:rsidRPr="003A7660">
        <w:rPr>
          <w:rFonts w:ascii="Book Antiqua" w:hAnsi="Book Antiqua"/>
          <w:lang w:val="en-US"/>
        </w:rPr>
        <w:t xml:space="preserve"> was based on a bivariate comparison of Kaplan-Meier survival curves using the log-rank test. The survival curves were described with the use of the survival median (and the interquartile range) and </w:t>
      </w:r>
      <w:r w:rsidR="00DA45CA" w:rsidRPr="003A7660">
        <w:rPr>
          <w:rFonts w:ascii="Book Antiqua" w:hAnsi="Book Antiqua"/>
          <w:lang w:val="en-US"/>
        </w:rPr>
        <w:t>hazard ratio</w:t>
      </w:r>
      <w:r w:rsidRPr="003A7660">
        <w:rPr>
          <w:rFonts w:ascii="Book Antiqua" w:hAnsi="Book Antiqua"/>
          <w:lang w:val="en-US"/>
        </w:rPr>
        <w:t xml:space="preserve"> (confidence interval at 95%) based on a Cox model. Secondly, the analysis of the independent influence of TRG on OS was based on a Cox model adjusted according to other predictive factors. The predictive factors (excluding recurrence) associated with OS at the threshold of 20% in the univariate analysis were jointly introduced with the TRG in this Cox model. The final model, including </w:t>
      </w:r>
      <w:r w:rsidRPr="003A7660">
        <w:rPr>
          <w:rFonts w:ascii="Book Antiqua" w:hAnsi="Book Antiqua"/>
          <w:lang w:val="en-US"/>
        </w:rPr>
        <w:lastRenderedPageBreak/>
        <w:t>the variables that were significantly and independently associated with OS, was obtained by the stepwise regression method. The intermediate nested models were compared using the likelihood ratio test. The interactions between the TRG and the independent variables of the final model were identified (in particular, the interaction between the TRG and postoperative chemotherapy was identified and, if necessary, this was done during the stepwise regression procedure). The level of significance was set at 5% (</w:t>
      </w:r>
      <w:r w:rsidR="00DA45CA" w:rsidRPr="003A7660">
        <w:rPr>
          <w:rFonts w:ascii="Book Antiqua" w:hAnsi="Book Antiqua"/>
          <w:i/>
          <w:lang w:val="en-US"/>
        </w:rPr>
        <w:t>P</w:t>
      </w:r>
      <w:r w:rsidR="00DA45CA" w:rsidRPr="003A7660">
        <w:rPr>
          <w:rFonts w:ascii="Book Antiqua" w:eastAsia="宋体" w:hAnsi="Book Antiqua"/>
          <w:lang w:val="en-US" w:eastAsia="zh-CN"/>
        </w:rPr>
        <w:t xml:space="preserve"> </w:t>
      </w:r>
      <w:r w:rsidRPr="003A7660">
        <w:rPr>
          <w:rFonts w:ascii="Book Antiqua" w:hAnsi="Book Antiqua"/>
          <w:lang w:val="en-US"/>
        </w:rPr>
        <w:t>&lt;</w:t>
      </w:r>
      <w:r w:rsidR="00DA45CA" w:rsidRPr="003A7660">
        <w:rPr>
          <w:rFonts w:ascii="Book Antiqua" w:eastAsia="宋体" w:hAnsi="Book Antiqua"/>
          <w:lang w:val="en-US" w:eastAsia="zh-CN"/>
        </w:rPr>
        <w:t xml:space="preserve"> </w:t>
      </w:r>
      <w:r w:rsidRPr="003A7660">
        <w:rPr>
          <w:rFonts w:ascii="Book Antiqua" w:hAnsi="Book Antiqua"/>
          <w:lang w:val="en-US"/>
        </w:rPr>
        <w:t>0.05). The conditions for application (log-linearity and proportional risks) of the Cox model were verified. The quantitative variables were dichotomized by the median.</w:t>
      </w:r>
    </w:p>
    <w:p w:rsidR="00F74797" w:rsidRPr="003A7660" w:rsidRDefault="00F74797" w:rsidP="00384F14">
      <w:pPr>
        <w:snapToGrid w:val="0"/>
        <w:spacing w:line="360" w:lineRule="auto"/>
        <w:jc w:val="both"/>
        <w:rPr>
          <w:rFonts w:ascii="Book Antiqua" w:hAnsi="Book Antiqua"/>
          <w:bCs/>
          <w:lang w:val="en-US"/>
        </w:rPr>
      </w:pPr>
    </w:p>
    <w:p w:rsidR="00F74797" w:rsidRPr="003A7660" w:rsidRDefault="00F74797" w:rsidP="00384F14">
      <w:pPr>
        <w:snapToGrid w:val="0"/>
        <w:spacing w:line="360" w:lineRule="auto"/>
        <w:jc w:val="both"/>
        <w:rPr>
          <w:rFonts w:ascii="Book Antiqua" w:hAnsi="Book Antiqua"/>
          <w:b/>
          <w:lang w:val="en-US"/>
        </w:rPr>
      </w:pPr>
      <w:r w:rsidRPr="003A7660">
        <w:rPr>
          <w:rFonts w:ascii="Book Antiqua" w:hAnsi="Book Antiqua"/>
          <w:b/>
          <w:lang w:val="en-US"/>
        </w:rPr>
        <w:t>RESULTS</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Between January 2006 and December 2013, 521 liver resections for CLRM were carried out in our department. During this period, 150 patients underwent a liver resection for synchronous colon or rectal cancer liver metastases after </w:t>
      </w:r>
      <w:r w:rsidR="001723EF" w:rsidRPr="003A7660">
        <w:rPr>
          <w:rFonts w:ascii="Book Antiqua" w:eastAsia="宋体" w:hAnsi="Book Antiqua"/>
          <w:lang w:val="en-US" w:eastAsia="zh-CN"/>
        </w:rPr>
        <w:t>NAC</w:t>
      </w:r>
      <w:r w:rsidRPr="003A7660">
        <w:rPr>
          <w:rFonts w:ascii="Book Antiqua" w:hAnsi="Book Antiqua"/>
          <w:lang w:val="en-US"/>
        </w:rPr>
        <w:t>. Of these 150 patients</w:t>
      </w:r>
      <w:r w:rsidR="00534988" w:rsidRPr="003A7660">
        <w:rPr>
          <w:rFonts w:ascii="Book Antiqua" w:hAnsi="Book Antiqua"/>
          <w:lang w:val="en-US"/>
        </w:rPr>
        <w:t xml:space="preserve">, </w:t>
      </w:r>
      <w:r w:rsidRPr="003A7660">
        <w:rPr>
          <w:rFonts w:ascii="Book Antiqua" w:hAnsi="Book Antiqua"/>
          <w:lang w:val="en-US"/>
        </w:rPr>
        <w:t>74 (49%) were responders (R) and 76 (51%) were non-responders (NR) based on the resected specimen.</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93115C" w:rsidP="00384F14">
      <w:pPr>
        <w:snapToGrid w:val="0"/>
        <w:spacing w:line="360" w:lineRule="auto"/>
        <w:jc w:val="both"/>
        <w:rPr>
          <w:rFonts w:ascii="Book Antiqua" w:eastAsia="宋体" w:hAnsi="Book Antiqua"/>
          <w:bCs/>
          <w:i/>
          <w:lang w:val="en-US" w:eastAsia="zh-CN"/>
        </w:rPr>
      </w:pPr>
      <w:r w:rsidRPr="003A7660">
        <w:rPr>
          <w:rFonts w:ascii="Book Antiqua" w:hAnsi="Book Antiqua"/>
          <w:b/>
          <w:i/>
          <w:lang w:val="en-US"/>
        </w:rPr>
        <w:t>Preoperative characteristics</w:t>
      </w:r>
    </w:p>
    <w:p w:rsidR="00F74797" w:rsidRPr="003A7660" w:rsidRDefault="0093115C" w:rsidP="00384F14">
      <w:pPr>
        <w:snapToGrid w:val="0"/>
        <w:spacing w:line="360" w:lineRule="auto"/>
        <w:jc w:val="both"/>
        <w:rPr>
          <w:rFonts w:ascii="Book Antiqua" w:hAnsi="Book Antiqua"/>
          <w:bCs/>
          <w:lang w:val="en-US"/>
        </w:rPr>
      </w:pPr>
      <w:r w:rsidRPr="003A7660">
        <w:rPr>
          <w:rFonts w:ascii="Book Antiqua" w:eastAsia="宋体" w:hAnsi="Book Antiqua"/>
          <w:lang w:val="en-US" w:eastAsia="zh-CN"/>
        </w:rPr>
        <w:t xml:space="preserve">As shown in Table 1, </w:t>
      </w:r>
      <w:r w:rsidR="002F0185" w:rsidRPr="003A7660">
        <w:rPr>
          <w:rFonts w:ascii="Book Antiqua" w:hAnsi="Book Antiqua"/>
          <w:lang w:val="en-US"/>
        </w:rPr>
        <w:t>75%</w:t>
      </w:r>
      <w:r w:rsidR="00F74797" w:rsidRPr="003A7660">
        <w:rPr>
          <w:rFonts w:ascii="Book Antiqua" w:hAnsi="Book Antiqua"/>
          <w:lang w:val="en-US"/>
        </w:rPr>
        <w:t xml:space="preserve"> of the patients had synchronous liver metastases. Sixty-three percent of the patients had a bilobar distribution of the lesions, with an average of 4 ± 3 lesions. The location of the primary tumor had a significant influence on the </w:t>
      </w:r>
      <w:r w:rsidR="00DA45CA" w:rsidRPr="003A7660">
        <w:rPr>
          <w:rFonts w:ascii="Book Antiqua" w:hAnsi="Book Antiqua"/>
          <w:lang w:val="en-US"/>
        </w:rPr>
        <w:t>HR</w:t>
      </w:r>
      <w:r w:rsidR="00F74797" w:rsidRPr="003A7660">
        <w:rPr>
          <w:rFonts w:ascii="Book Antiqua" w:hAnsi="Book Antiqua"/>
          <w:lang w:val="en-US"/>
        </w:rPr>
        <w:t>, which was better for the tu</w:t>
      </w:r>
      <w:r w:rsidR="00DA45CA" w:rsidRPr="003A7660">
        <w:rPr>
          <w:rFonts w:ascii="Book Antiqua" w:hAnsi="Book Antiqua"/>
          <w:lang w:val="en-US"/>
        </w:rPr>
        <w:t xml:space="preserve">mors of rectal origin: 47.3% </w:t>
      </w:r>
      <w:r w:rsidR="00DA45CA" w:rsidRPr="003A7660">
        <w:rPr>
          <w:rFonts w:ascii="Book Antiqua" w:hAnsi="Book Antiqua"/>
          <w:i/>
          <w:lang w:val="en-US"/>
        </w:rPr>
        <w:t>v</w:t>
      </w:r>
      <w:r w:rsidR="005B6982" w:rsidRPr="003A7660">
        <w:rPr>
          <w:rFonts w:ascii="Book Antiqua" w:hAnsi="Book Antiqua"/>
          <w:i/>
          <w:lang w:val="en-US"/>
        </w:rPr>
        <w:t>ersu</w:t>
      </w:r>
      <w:r w:rsidR="00DA45CA" w:rsidRPr="003A7660">
        <w:rPr>
          <w:rFonts w:ascii="Book Antiqua" w:hAnsi="Book Antiqua"/>
          <w:i/>
          <w:lang w:val="en-US"/>
        </w:rPr>
        <w:t>s</w:t>
      </w:r>
      <w:r w:rsidR="00F74797" w:rsidRPr="003A7660">
        <w:rPr>
          <w:rFonts w:ascii="Book Antiqua" w:hAnsi="Book Antiqua"/>
          <w:lang w:val="en-US"/>
        </w:rPr>
        <w:t xml:space="preserve"> 25%. The presence of a radiological response to NAC was significantly associated with a good </w:t>
      </w:r>
      <w:r w:rsidR="00DA45CA" w:rsidRPr="003A7660">
        <w:rPr>
          <w:rFonts w:ascii="Book Antiqua" w:eastAsia="宋体" w:hAnsi="Book Antiqua"/>
          <w:lang w:val="en-US" w:eastAsia="zh-CN"/>
        </w:rPr>
        <w:t>HR</w:t>
      </w:r>
      <w:r w:rsidR="00F74797" w:rsidRPr="003A7660">
        <w:rPr>
          <w:rFonts w:ascii="Book Antiqua" w:hAnsi="Book Antiqua"/>
          <w:lang w:val="en-US"/>
        </w:rPr>
        <w:t>.</w:t>
      </w:r>
      <w:r w:rsidR="00DA45CA" w:rsidRPr="003A7660">
        <w:rPr>
          <w:rFonts w:ascii="Book Antiqua" w:eastAsia="宋体" w:hAnsi="Book Antiqua"/>
          <w:bCs/>
          <w:lang w:val="en-US" w:eastAsia="zh-CN"/>
        </w:rPr>
        <w:t xml:space="preserve"> </w:t>
      </w:r>
      <w:r w:rsidR="00F74797" w:rsidRPr="003A7660">
        <w:rPr>
          <w:rFonts w:ascii="Book Antiqua" w:hAnsi="Book Antiqua"/>
          <w:lang w:val="en-US"/>
        </w:rPr>
        <w:t xml:space="preserve">In 94% of the cases, NAC included 5-fluorouracil, in 72% it included irinotecan, and for 43% of the patients it included oxaliplatin. In the majority of cases (69%), chemotherapy was combined with a targeted therapy, without this having any statistically significant effect on the </w:t>
      </w:r>
      <w:r w:rsidR="00DA45CA" w:rsidRPr="003A7660">
        <w:rPr>
          <w:rFonts w:ascii="Book Antiqua" w:eastAsia="宋体" w:hAnsi="Book Antiqua"/>
          <w:lang w:val="en-US" w:eastAsia="zh-CN"/>
        </w:rPr>
        <w:t>HR</w:t>
      </w:r>
      <w:r w:rsidR="00F74797" w:rsidRPr="003A7660">
        <w:rPr>
          <w:rFonts w:ascii="Book Antiqua" w:hAnsi="Book Antiqua"/>
          <w:lang w:val="en-US"/>
        </w:rPr>
        <w:t xml:space="preserve">. However, when the type of targeted therapy was examined, it was noted that the use of bevacizumab led to a greater </w:t>
      </w:r>
      <w:r w:rsidR="00DA45CA" w:rsidRPr="003A7660">
        <w:rPr>
          <w:rFonts w:ascii="Book Antiqua" w:eastAsia="宋体" w:hAnsi="Book Antiqua"/>
          <w:lang w:val="en-US" w:eastAsia="zh-CN"/>
        </w:rPr>
        <w:t>HR</w:t>
      </w:r>
      <w:r w:rsidR="00DA45CA" w:rsidRPr="003A7660">
        <w:rPr>
          <w:rFonts w:ascii="Book Antiqua" w:hAnsi="Book Antiqua"/>
          <w:lang w:val="en-US"/>
        </w:rPr>
        <w:t xml:space="preserve">: 58% </w:t>
      </w:r>
      <w:r w:rsidR="00DA45CA" w:rsidRPr="003A7660">
        <w:rPr>
          <w:rFonts w:ascii="Book Antiqua" w:hAnsi="Book Antiqua"/>
          <w:i/>
          <w:lang w:val="en-US"/>
        </w:rPr>
        <w:t>v</w:t>
      </w:r>
      <w:r w:rsidR="005B6982" w:rsidRPr="003A7660">
        <w:rPr>
          <w:rFonts w:ascii="Book Antiqua" w:hAnsi="Book Antiqua"/>
          <w:i/>
          <w:lang w:val="en-US"/>
        </w:rPr>
        <w:t>ersu</w:t>
      </w:r>
      <w:r w:rsidR="00DA45CA" w:rsidRPr="003A7660">
        <w:rPr>
          <w:rFonts w:ascii="Book Antiqua" w:hAnsi="Book Antiqua"/>
          <w:i/>
          <w:lang w:val="en-US"/>
        </w:rPr>
        <w:t>s</w:t>
      </w:r>
      <w:r w:rsidR="00F74797" w:rsidRPr="003A7660">
        <w:rPr>
          <w:rFonts w:ascii="Book Antiqua" w:hAnsi="Book Antiqua"/>
          <w:lang w:val="en-US"/>
        </w:rPr>
        <w:t xml:space="preserve"> 43%. The number of NAC treatment sessions was significantly related to the HR, and the patients who were classified as R had a median number of </w:t>
      </w:r>
      <w:r w:rsidR="002F0185" w:rsidRPr="003A7660">
        <w:rPr>
          <w:rFonts w:ascii="Book Antiqua" w:hAnsi="Book Antiqua"/>
          <w:lang w:val="en-US"/>
        </w:rPr>
        <w:t>six</w:t>
      </w:r>
      <w:r w:rsidR="00F74797" w:rsidRPr="003A7660">
        <w:rPr>
          <w:rFonts w:ascii="Book Antiqua" w:hAnsi="Book Antiqua"/>
          <w:lang w:val="en-US"/>
        </w:rPr>
        <w:t xml:space="preserve"> treatment sessions, which is fewer than for the NR patients.</w:t>
      </w:r>
      <w:r w:rsidR="00DA45CA" w:rsidRPr="003A7660">
        <w:rPr>
          <w:rFonts w:ascii="Book Antiqua" w:eastAsia="宋体" w:hAnsi="Book Antiqua"/>
          <w:bCs/>
          <w:lang w:val="en-US" w:eastAsia="zh-CN"/>
        </w:rPr>
        <w:t xml:space="preserve"> </w:t>
      </w:r>
      <w:r w:rsidR="00F74797" w:rsidRPr="003A7660">
        <w:rPr>
          <w:rFonts w:ascii="Book Antiqua" w:hAnsi="Book Antiqua"/>
          <w:lang w:val="en-US"/>
        </w:rPr>
        <w:t xml:space="preserve">The patients for whom the treatment </w:t>
      </w:r>
      <w:r w:rsidR="00F74797" w:rsidRPr="003A7660">
        <w:rPr>
          <w:rFonts w:ascii="Book Antiqua" w:hAnsi="Book Antiqua"/>
          <w:lang w:val="en-US"/>
        </w:rPr>
        <w:lastRenderedPageBreak/>
        <w:t>strategy comprised a liver-first procedure (</w:t>
      </w:r>
      <w:r w:rsidR="00F74797" w:rsidRPr="003A7660">
        <w:rPr>
          <w:rFonts w:ascii="Book Antiqua" w:hAnsi="Book Antiqua"/>
          <w:i/>
          <w:lang w:val="en-US"/>
        </w:rPr>
        <w:t>i.e</w:t>
      </w:r>
      <w:r w:rsidR="00F74797" w:rsidRPr="003A7660">
        <w:rPr>
          <w:rFonts w:ascii="Book Antiqua" w:hAnsi="Book Antiqua"/>
          <w:lang w:val="en-US"/>
        </w:rPr>
        <w:t xml:space="preserve">. the liver resected first in case of synchronous liver metastases with the primary tumor left in place) had a significantly better </w:t>
      </w:r>
      <w:r w:rsidR="00DA45CA" w:rsidRPr="003A7660">
        <w:rPr>
          <w:rFonts w:ascii="Book Antiqua" w:eastAsia="宋体" w:hAnsi="Book Antiqua"/>
          <w:lang w:val="en-US" w:eastAsia="zh-CN"/>
        </w:rPr>
        <w:t>HR</w:t>
      </w:r>
      <w:r w:rsidR="00F74797" w:rsidRPr="003A7660">
        <w:rPr>
          <w:rFonts w:ascii="Book Antiqua" w:hAnsi="Book Antiqua"/>
          <w:lang w:val="en-US"/>
        </w:rPr>
        <w:t xml:space="preserve"> rate. However, the patients who underwent repeat liver resections were more often histologically non-responsive.</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 xml:space="preserve">Pathological characteristics </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The median number of lesions found o</w:t>
      </w:r>
      <w:r w:rsidR="00DA45CA" w:rsidRPr="003A7660">
        <w:rPr>
          <w:rFonts w:ascii="Book Antiqua" w:hAnsi="Book Antiqua"/>
          <w:lang w:val="en-US"/>
        </w:rPr>
        <w:t xml:space="preserve">n the resected specimens was </w:t>
      </w:r>
      <w:r w:rsidR="002F0185" w:rsidRPr="003A7660">
        <w:rPr>
          <w:rFonts w:ascii="Book Antiqua" w:hAnsi="Book Antiqua"/>
          <w:lang w:val="en-US"/>
        </w:rPr>
        <w:t>three</w:t>
      </w:r>
      <w:r w:rsidR="00DA45CA" w:rsidRPr="003A7660">
        <w:rPr>
          <w:rFonts w:ascii="Book Antiqua" w:hAnsi="Book Antiqua"/>
          <w:lang w:val="en-US"/>
        </w:rPr>
        <w:t xml:space="preserve"> </w:t>
      </w:r>
      <w:r w:rsidR="00DA45CA" w:rsidRPr="003A7660">
        <w:rPr>
          <w:rFonts w:ascii="Book Antiqua" w:eastAsia="宋体" w:hAnsi="Book Antiqua"/>
          <w:lang w:val="en-US" w:eastAsia="zh-CN"/>
        </w:rPr>
        <w:t>(</w:t>
      </w:r>
      <w:r w:rsidRPr="003A7660">
        <w:rPr>
          <w:rFonts w:ascii="Book Antiqua" w:hAnsi="Book Antiqua"/>
          <w:lang w:val="en-US"/>
        </w:rPr>
        <w:t>1.0</w:t>
      </w:r>
      <w:r w:rsidRPr="003A7660">
        <w:rPr>
          <w:rFonts w:ascii="Book Antiqua" w:hAnsi="Book Antiqua"/>
          <w:cs/>
          <w:lang w:val="en-US"/>
        </w:rPr>
        <w:t>–</w:t>
      </w:r>
      <w:r w:rsidRPr="003A7660">
        <w:rPr>
          <w:rFonts w:ascii="Book Antiqua" w:hAnsi="Book Antiqua"/>
          <w:lang w:val="en-US"/>
        </w:rPr>
        <w:t>4</w:t>
      </w:r>
      <w:r w:rsidR="00DA45CA" w:rsidRPr="003A7660">
        <w:rPr>
          <w:rFonts w:ascii="Book Antiqua" w:hAnsi="Book Antiqua"/>
          <w:lang w:val="en-US"/>
        </w:rPr>
        <w:t>.0</w:t>
      </w:r>
      <w:r w:rsidR="00DA45CA" w:rsidRPr="003A7660">
        <w:rPr>
          <w:rFonts w:ascii="Book Antiqua" w:eastAsia="宋体" w:hAnsi="Book Antiqua"/>
          <w:lang w:val="en-US" w:eastAsia="zh-CN"/>
        </w:rPr>
        <w:t>)</w:t>
      </w:r>
      <w:r w:rsidRPr="003A7660">
        <w:rPr>
          <w:rFonts w:ascii="Book Antiqua" w:hAnsi="Book Antiqua"/>
          <w:lang w:val="en-US"/>
        </w:rPr>
        <w:t xml:space="preserve">. The rate of resection with healthy margins (R0) was 78%. There were multiple lesions in 72% of the cases. In the group of patients classified as R, there were significantly more homogeneous </w:t>
      </w:r>
      <w:r w:rsidR="00DA45CA" w:rsidRPr="003A7660">
        <w:rPr>
          <w:rFonts w:ascii="Book Antiqua" w:eastAsia="宋体" w:hAnsi="Book Antiqua"/>
          <w:lang w:val="en-US" w:eastAsia="zh-CN"/>
        </w:rPr>
        <w:t>HR</w:t>
      </w:r>
      <w:r w:rsidRPr="003A7660">
        <w:rPr>
          <w:rFonts w:ascii="Book Antiqua" w:hAnsi="Book Antiqua"/>
          <w:lang w:val="en-US"/>
        </w:rPr>
        <w:t>, fewer R1 resections, and fewer vascular neoplastic microemboli (VNME)</w:t>
      </w:r>
      <w:r w:rsidR="0093115C" w:rsidRPr="003A7660">
        <w:rPr>
          <w:rFonts w:ascii="Book Antiqua" w:eastAsia="宋体" w:hAnsi="Book Antiqua"/>
          <w:lang w:val="en-US" w:eastAsia="zh-CN"/>
        </w:rPr>
        <w:t xml:space="preserve"> </w:t>
      </w:r>
      <w:r w:rsidR="0093115C" w:rsidRPr="003A7660">
        <w:rPr>
          <w:rFonts w:ascii="Book Antiqua" w:hAnsi="Book Antiqua"/>
          <w:lang w:val="en-US"/>
        </w:rPr>
        <w:t>(Table 2)</w:t>
      </w:r>
      <w:r w:rsidRPr="003A7660">
        <w:rPr>
          <w:rFonts w:ascii="Book Antiqua" w:hAnsi="Book Antiqua"/>
          <w:lang w:val="en-US"/>
        </w:rPr>
        <w:t>.</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 xml:space="preserve">Postoperative characteristics </w:t>
      </w:r>
    </w:p>
    <w:p w:rsidR="00F74797" w:rsidRPr="003A7660" w:rsidRDefault="00F74797" w:rsidP="00384F14">
      <w:pPr>
        <w:snapToGrid w:val="0"/>
        <w:spacing w:line="360" w:lineRule="auto"/>
        <w:jc w:val="both"/>
        <w:rPr>
          <w:rFonts w:ascii="Book Antiqua" w:hAnsi="Book Antiqua"/>
          <w:lang w:val="en-US"/>
        </w:rPr>
      </w:pPr>
      <w:r w:rsidRPr="003A7660">
        <w:rPr>
          <w:rFonts w:ascii="Book Antiqua" w:hAnsi="Book Antiqua"/>
          <w:lang w:val="en-US"/>
        </w:rPr>
        <w:t>The postoperative mortality was 0.7% (one patient died of hepatocellular insufficiency), with a complication rate of 38%</w:t>
      </w:r>
      <w:r w:rsidR="0093115C" w:rsidRPr="003A7660">
        <w:rPr>
          <w:rFonts w:ascii="Book Antiqua" w:eastAsia="宋体" w:hAnsi="Book Antiqua"/>
          <w:lang w:val="en-US" w:eastAsia="zh-CN"/>
        </w:rPr>
        <w:t xml:space="preserve"> </w:t>
      </w:r>
      <w:r w:rsidR="0093115C" w:rsidRPr="003A7660">
        <w:rPr>
          <w:rFonts w:ascii="Book Antiqua" w:hAnsi="Book Antiqua"/>
          <w:lang w:val="en-US"/>
        </w:rPr>
        <w:t>(Table 3)</w:t>
      </w:r>
      <w:r w:rsidRPr="003A7660">
        <w:rPr>
          <w:rFonts w:ascii="Book Antiqua" w:hAnsi="Book Antiqua"/>
          <w:lang w:val="en-US"/>
        </w:rPr>
        <w:t>. The average length of the hospital stay was 12.5 ± 7 d.</w:t>
      </w:r>
      <w:r w:rsidR="00DA45CA" w:rsidRPr="003A7660">
        <w:rPr>
          <w:rFonts w:ascii="Book Antiqua" w:hAnsi="Book Antiqua"/>
          <w:lang w:val="en-US"/>
        </w:rPr>
        <w:t xml:space="preserve"> </w:t>
      </w:r>
      <w:r w:rsidRPr="003A7660">
        <w:rPr>
          <w:rFonts w:ascii="Book Antiqua" w:hAnsi="Book Antiqua"/>
          <w:lang w:val="en-US"/>
        </w:rPr>
        <w:t>Postoperative chemotherapy was administered to 55% of the patients, and in 83% of these cases</w:t>
      </w:r>
      <w:r w:rsidR="002F0185" w:rsidRPr="003A7660">
        <w:rPr>
          <w:rFonts w:ascii="Book Antiqua" w:hAnsi="Book Antiqua"/>
          <w:lang w:val="en-US"/>
        </w:rPr>
        <w:t>,</w:t>
      </w:r>
      <w:r w:rsidRPr="003A7660">
        <w:rPr>
          <w:rFonts w:ascii="Book Antiqua" w:hAnsi="Book Antiqua"/>
          <w:lang w:val="en-US"/>
        </w:rPr>
        <w:t xml:space="preserve"> the chemotherapy protocol was similar to the one administered preoperatively. There was no significant difference between the R group and the NR group in terms of the choice of chemotherapy type.</w:t>
      </w:r>
      <w:r w:rsidR="00DA45CA" w:rsidRPr="003A7660">
        <w:rPr>
          <w:rFonts w:ascii="Book Antiqua" w:eastAsia="宋体" w:hAnsi="Book Antiqua"/>
          <w:lang w:val="en-US" w:eastAsia="zh-CN"/>
        </w:rPr>
        <w:t xml:space="preserve"> </w:t>
      </w:r>
      <w:r w:rsidRPr="003A7660">
        <w:rPr>
          <w:rFonts w:ascii="Book Antiqua" w:hAnsi="Book Antiqua"/>
          <w:lang w:val="en-US"/>
        </w:rPr>
        <w:t xml:space="preserve">Regardless of the location, the tumor recurred in 89% of the cases. NR patients had significantly more recurrences </w:t>
      </w:r>
      <w:r w:rsidR="002F0185" w:rsidRPr="003A7660">
        <w:rPr>
          <w:rFonts w:ascii="Book Antiqua" w:hAnsi="Book Antiqua"/>
          <w:lang w:val="en-US"/>
        </w:rPr>
        <w:t>i</w:t>
      </w:r>
      <w:r w:rsidRPr="003A7660">
        <w:rPr>
          <w:rFonts w:ascii="Book Antiqua" w:hAnsi="Book Antiqua"/>
          <w:lang w:val="en-US"/>
        </w:rPr>
        <w:t xml:space="preserve">n the liver. </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 xml:space="preserve">Predictive factors of the histological response </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The multivariate analysis identified five predictive factors of HR. Three were predictive of non-response (NR): </w:t>
      </w:r>
      <w:r w:rsidR="002F0185" w:rsidRPr="003A7660">
        <w:rPr>
          <w:rFonts w:ascii="Book Antiqua" w:hAnsi="Book Antiqua"/>
          <w:lang w:val="en-US"/>
        </w:rPr>
        <w:t>m</w:t>
      </w:r>
      <w:r w:rsidRPr="003A7660">
        <w:rPr>
          <w:rFonts w:ascii="Book Antiqua" w:hAnsi="Book Antiqua"/>
          <w:lang w:val="en-US"/>
        </w:rPr>
        <w:t xml:space="preserve">ore than </w:t>
      </w:r>
      <w:r w:rsidR="002F0185" w:rsidRPr="003A7660">
        <w:rPr>
          <w:rFonts w:ascii="Book Antiqua" w:hAnsi="Book Antiqua"/>
          <w:lang w:val="en-US"/>
        </w:rPr>
        <w:t>seven</w:t>
      </w:r>
      <w:r w:rsidRPr="003A7660">
        <w:rPr>
          <w:rFonts w:ascii="Book Antiqua" w:hAnsi="Book Antiqua"/>
          <w:lang w:val="en-US"/>
        </w:rPr>
        <w:t xml:space="preserve"> NAC sessions, the absence of a radiological response after NAC, and a repeat hepatectomy. Two were predictive of a good response (R): rectal origin of the primary tumor and liver-first strategy</w:t>
      </w:r>
      <w:r w:rsidR="0093115C" w:rsidRPr="003A7660">
        <w:rPr>
          <w:rFonts w:ascii="Book Antiqua" w:eastAsia="宋体" w:hAnsi="Book Antiqua"/>
          <w:lang w:val="en-US" w:eastAsia="zh-CN"/>
        </w:rPr>
        <w:t xml:space="preserve"> </w:t>
      </w:r>
      <w:r w:rsidR="0093115C" w:rsidRPr="003A7660">
        <w:rPr>
          <w:rFonts w:ascii="Book Antiqua" w:hAnsi="Book Antiqua"/>
          <w:lang w:val="en-US"/>
        </w:rPr>
        <w:t>(Table 4)</w:t>
      </w:r>
      <w:r w:rsidRPr="003A7660">
        <w:rPr>
          <w:rFonts w:ascii="Book Antiqua" w:hAnsi="Book Antiqua"/>
          <w:lang w:val="en-US"/>
        </w:rPr>
        <w:t>.</w:t>
      </w:r>
    </w:p>
    <w:p w:rsidR="00E30018" w:rsidRPr="003A7660" w:rsidRDefault="00E30018" w:rsidP="00384F14">
      <w:pPr>
        <w:snapToGrid w:val="0"/>
        <w:spacing w:line="360" w:lineRule="auto"/>
        <w:jc w:val="both"/>
        <w:rPr>
          <w:rFonts w:ascii="Book Antiqua" w:hAnsi="Book Antiqua"/>
          <w:b/>
          <w:lang w:val="en-US"/>
        </w:rPr>
      </w:pPr>
    </w:p>
    <w:p w:rsidR="00F74797" w:rsidRPr="003A7660" w:rsidRDefault="00F74797" w:rsidP="00384F14">
      <w:pPr>
        <w:snapToGrid w:val="0"/>
        <w:spacing w:line="360" w:lineRule="auto"/>
        <w:jc w:val="both"/>
        <w:rPr>
          <w:rFonts w:ascii="Book Antiqua" w:hAnsi="Book Antiqua"/>
          <w:b/>
          <w:bCs/>
          <w:i/>
          <w:lang w:val="en-US"/>
        </w:rPr>
      </w:pPr>
      <w:r w:rsidRPr="003A7660">
        <w:rPr>
          <w:rFonts w:ascii="Book Antiqua" w:hAnsi="Book Antiqua"/>
          <w:b/>
          <w:i/>
          <w:lang w:val="en-US"/>
        </w:rPr>
        <w:t>Survival and prognostic factors</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The median survival of the patients was 6 yrs (ranging from 4–7.5 yrs).</w:t>
      </w:r>
    </w:p>
    <w:p w:rsidR="007D52B2" w:rsidRPr="003A7660" w:rsidRDefault="007D52B2" w:rsidP="00384F14">
      <w:pPr>
        <w:snapToGrid w:val="0"/>
        <w:spacing w:line="360" w:lineRule="auto"/>
        <w:jc w:val="both"/>
        <w:rPr>
          <w:rFonts w:ascii="Book Antiqua" w:eastAsia="宋体" w:hAnsi="Book Antiqua"/>
          <w:i/>
          <w:lang w:val="en-US" w:eastAsia="zh-CN"/>
        </w:rPr>
      </w:pPr>
    </w:p>
    <w:p w:rsidR="00F74797" w:rsidRPr="003A7660" w:rsidRDefault="00F74797" w:rsidP="00384F14">
      <w:pPr>
        <w:snapToGrid w:val="0"/>
        <w:spacing w:line="360" w:lineRule="auto"/>
        <w:jc w:val="both"/>
        <w:rPr>
          <w:rFonts w:ascii="Book Antiqua" w:hAnsi="Book Antiqua"/>
          <w:b/>
          <w:bCs/>
          <w:lang w:val="en-US"/>
        </w:rPr>
      </w:pPr>
      <w:r w:rsidRPr="003A7660">
        <w:rPr>
          <w:rFonts w:ascii="Book Antiqua" w:hAnsi="Book Antiqua"/>
          <w:b/>
          <w:lang w:val="en-US"/>
        </w:rPr>
        <w:lastRenderedPageBreak/>
        <w:t>Overall survival</w:t>
      </w:r>
      <w:r w:rsidR="009B7FD1" w:rsidRPr="003A7660">
        <w:rPr>
          <w:rFonts w:ascii="Book Antiqua" w:hAnsi="Book Antiqua"/>
          <w:b/>
          <w:lang w:val="en-US"/>
        </w:rPr>
        <w:t xml:space="preserve">: </w:t>
      </w:r>
      <w:r w:rsidRPr="003A7660">
        <w:rPr>
          <w:rFonts w:ascii="Book Antiqua" w:hAnsi="Book Antiqua"/>
          <w:lang w:val="en-US"/>
        </w:rPr>
        <w:t xml:space="preserve">The </w:t>
      </w:r>
      <w:r w:rsidR="007D52B2" w:rsidRPr="003A7660">
        <w:rPr>
          <w:rFonts w:ascii="Book Antiqua" w:hAnsi="Book Antiqua"/>
          <w:lang w:val="en-US"/>
        </w:rPr>
        <w:t>OS</w:t>
      </w:r>
      <w:r w:rsidRPr="003A7660">
        <w:rPr>
          <w:rFonts w:ascii="Book Antiqua" w:hAnsi="Book Antiqua"/>
          <w:lang w:val="en-US"/>
        </w:rPr>
        <w:t xml:space="preserve"> rates at 3 y</w:t>
      </w:r>
      <w:r w:rsidR="007D52B2" w:rsidRPr="003A7660">
        <w:rPr>
          <w:rFonts w:ascii="Book Antiqua" w:hAnsi="Book Antiqua"/>
          <w:lang w:val="en-US"/>
        </w:rPr>
        <w:t>r</w:t>
      </w:r>
      <w:r w:rsidRPr="003A7660">
        <w:rPr>
          <w:rFonts w:ascii="Book Antiqua" w:hAnsi="Book Antiqua"/>
          <w:lang w:val="en-US"/>
        </w:rPr>
        <w:t xml:space="preserve"> and 5 y</w:t>
      </w:r>
      <w:r w:rsidR="007D52B2" w:rsidRPr="003A7660">
        <w:rPr>
          <w:rFonts w:ascii="Book Antiqua" w:hAnsi="Book Antiqua"/>
          <w:lang w:val="en-US"/>
        </w:rPr>
        <w:t>r</w:t>
      </w:r>
      <w:r w:rsidRPr="003A7660">
        <w:rPr>
          <w:rFonts w:ascii="Book Antiqua" w:hAnsi="Book Antiqua"/>
          <w:lang w:val="en-US"/>
        </w:rPr>
        <w:t xml:space="preserve"> were 57% and 36%, respectively. These OS rates were significantly better for patients with a</w:t>
      </w:r>
      <w:r w:rsidR="002F0185" w:rsidRPr="003A7660">
        <w:rPr>
          <w:rFonts w:ascii="Book Antiqua" w:hAnsi="Book Antiqua"/>
          <w:lang w:val="en-US"/>
        </w:rPr>
        <w:t>n</w:t>
      </w:r>
      <w:r w:rsidRPr="003A7660">
        <w:rPr>
          <w:rFonts w:ascii="Book Antiqua" w:hAnsi="Book Antiqua"/>
          <w:lang w:val="en-US"/>
        </w:rPr>
        <w:t xml:space="preserve"> </w:t>
      </w:r>
      <w:r w:rsidR="00DA45CA" w:rsidRPr="003A7660">
        <w:rPr>
          <w:rFonts w:ascii="Book Antiqua" w:eastAsia="宋体" w:hAnsi="Book Antiqua"/>
          <w:lang w:val="en-US" w:eastAsia="zh-CN"/>
        </w:rPr>
        <w:t>HR</w:t>
      </w:r>
      <w:r w:rsidRPr="003A7660">
        <w:rPr>
          <w:rFonts w:ascii="Book Antiqua" w:hAnsi="Book Antiqua"/>
          <w:lang w:val="en-US"/>
        </w:rPr>
        <w:t xml:space="preserve"> (the R group)</w:t>
      </w:r>
      <w:r w:rsidR="007D52B2" w:rsidRPr="003A7660">
        <w:rPr>
          <w:rFonts w:ascii="Book Antiqua" w:hAnsi="Book Antiqua"/>
          <w:lang w:val="en-US"/>
        </w:rPr>
        <w:t xml:space="preserve">: 65% and 45%, respectively, </w:t>
      </w:r>
      <w:r w:rsidR="007D52B2" w:rsidRPr="003A7660">
        <w:rPr>
          <w:rFonts w:ascii="Book Antiqua" w:hAnsi="Book Antiqua"/>
          <w:i/>
          <w:lang w:val="en-US"/>
        </w:rPr>
        <w:t>v</w:t>
      </w:r>
      <w:r w:rsidR="005B6982" w:rsidRPr="003A7660">
        <w:rPr>
          <w:rFonts w:ascii="Book Antiqua" w:hAnsi="Book Antiqua"/>
          <w:i/>
          <w:lang w:val="en-US"/>
        </w:rPr>
        <w:t>ersu</w:t>
      </w:r>
      <w:r w:rsidR="007D52B2" w:rsidRPr="003A7660">
        <w:rPr>
          <w:rFonts w:ascii="Book Antiqua" w:hAnsi="Book Antiqua"/>
          <w:i/>
          <w:lang w:val="en-US"/>
        </w:rPr>
        <w:t>s</w:t>
      </w:r>
      <w:r w:rsidRPr="003A7660">
        <w:rPr>
          <w:rFonts w:ascii="Book Antiqua" w:hAnsi="Book Antiqua"/>
          <w:lang w:val="en-US"/>
        </w:rPr>
        <w:t xml:space="preserve"> 47% and 26%, respectively, for the NR group (Figure 1). The identification of independent prognostic factors of OS (Table 5) revealed that the effect of HR was dependent on the presence or absence of VNME. In patients without VNME, HR was an independent prognostic factor of OS, while this was no longer the case in </w:t>
      </w:r>
      <w:r w:rsidR="002F0185" w:rsidRPr="003A7660">
        <w:rPr>
          <w:rFonts w:ascii="Book Antiqua" w:hAnsi="Book Antiqua"/>
          <w:lang w:val="en-US"/>
        </w:rPr>
        <w:t xml:space="preserve">the </w:t>
      </w:r>
      <w:r w:rsidRPr="003A7660">
        <w:rPr>
          <w:rFonts w:ascii="Book Antiqua" w:hAnsi="Book Antiqua"/>
          <w:lang w:val="en-US"/>
        </w:rPr>
        <w:t xml:space="preserve">presence of VNME </w:t>
      </w:r>
      <w:r w:rsidR="002F0185" w:rsidRPr="003A7660">
        <w:rPr>
          <w:rFonts w:ascii="Book Antiqua" w:hAnsi="Book Antiqua"/>
          <w:lang w:val="en-US"/>
        </w:rPr>
        <w:t>upon</w:t>
      </w:r>
      <w:r w:rsidRPr="003A7660">
        <w:rPr>
          <w:rFonts w:ascii="Book Antiqua" w:hAnsi="Book Antiqua"/>
          <w:lang w:val="en-US"/>
        </w:rPr>
        <w:t xml:space="preserve"> analysis of the ablated specimen. </w:t>
      </w:r>
      <w:r w:rsidR="00403270" w:rsidRPr="003A7660">
        <w:rPr>
          <w:rFonts w:ascii="Book Antiqua" w:hAnsi="Book Antiqua"/>
          <w:lang w:val="en-US"/>
        </w:rPr>
        <w:t>O</w:t>
      </w:r>
      <w:r w:rsidRPr="003A7660">
        <w:rPr>
          <w:rFonts w:ascii="Book Antiqua" w:hAnsi="Book Antiqua"/>
          <w:lang w:val="en-US"/>
        </w:rPr>
        <w:t xml:space="preserve">ther factors that were prognostic of poor OS were: </w:t>
      </w:r>
      <w:r w:rsidR="00403270" w:rsidRPr="003A7660">
        <w:rPr>
          <w:rFonts w:ascii="Book Antiqua" w:hAnsi="Book Antiqua"/>
          <w:lang w:val="en-US"/>
        </w:rPr>
        <w:t>m</w:t>
      </w:r>
      <w:r w:rsidRPr="003A7660">
        <w:rPr>
          <w:rFonts w:ascii="Book Antiqua" w:hAnsi="Book Antiqua"/>
          <w:lang w:val="en-US"/>
        </w:rPr>
        <w:t>ale gender, preoperative targeted therapy, a two-stage hepatectomy protocol, and a N+ status of the primary tumor.</w:t>
      </w:r>
    </w:p>
    <w:p w:rsidR="007D52B2" w:rsidRPr="003A7660" w:rsidRDefault="007D52B2" w:rsidP="00384F14">
      <w:pPr>
        <w:snapToGrid w:val="0"/>
        <w:spacing w:line="360" w:lineRule="auto"/>
        <w:jc w:val="both"/>
        <w:rPr>
          <w:rFonts w:ascii="Book Antiqua" w:eastAsia="宋体" w:hAnsi="Book Antiqua"/>
          <w:i/>
          <w:lang w:val="en-US" w:eastAsia="zh-CN"/>
        </w:rPr>
      </w:pPr>
    </w:p>
    <w:p w:rsidR="00F74797" w:rsidRPr="003A7660" w:rsidRDefault="009B7FD1" w:rsidP="00384F14">
      <w:pPr>
        <w:snapToGrid w:val="0"/>
        <w:spacing w:line="360" w:lineRule="auto"/>
        <w:jc w:val="both"/>
        <w:rPr>
          <w:rFonts w:ascii="Book Antiqua" w:hAnsi="Book Antiqua"/>
          <w:bCs/>
          <w:lang w:val="en-US"/>
        </w:rPr>
      </w:pPr>
      <w:r w:rsidRPr="003A7660">
        <w:rPr>
          <w:rFonts w:ascii="Book Antiqua" w:hAnsi="Book Antiqua"/>
          <w:b/>
          <w:lang w:val="en-US"/>
        </w:rPr>
        <w:t>DFS:</w:t>
      </w:r>
      <w:r w:rsidRPr="003A7660">
        <w:rPr>
          <w:rFonts w:ascii="Book Antiqua" w:hAnsi="Book Antiqua"/>
          <w:lang w:val="en-US"/>
        </w:rPr>
        <w:t xml:space="preserve"> </w:t>
      </w:r>
      <w:r w:rsidR="00F74797" w:rsidRPr="003A7660">
        <w:rPr>
          <w:rFonts w:ascii="Book Antiqua" w:hAnsi="Book Antiqua"/>
          <w:lang w:val="en-US"/>
        </w:rPr>
        <w:t xml:space="preserve">The </w:t>
      </w:r>
      <w:r w:rsidR="007D52B2" w:rsidRPr="003A7660">
        <w:rPr>
          <w:rFonts w:ascii="Book Antiqua" w:hAnsi="Book Antiqua"/>
          <w:lang w:val="en-US"/>
        </w:rPr>
        <w:t>DFS</w:t>
      </w:r>
      <w:r w:rsidR="00F74797" w:rsidRPr="003A7660">
        <w:rPr>
          <w:rFonts w:ascii="Book Antiqua" w:hAnsi="Book Antiqua"/>
          <w:lang w:val="en-US"/>
        </w:rPr>
        <w:t xml:space="preserve"> rates at 3 y</w:t>
      </w:r>
      <w:r w:rsidR="007D52B2" w:rsidRPr="003A7660">
        <w:rPr>
          <w:rFonts w:ascii="Book Antiqua" w:hAnsi="Book Antiqua"/>
          <w:lang w:val="en-US"/>
        </w:rPr>
        <w:t>r</w:t>
      </w:r>
      <w:r w:rsidR="00F74797" w:rsidRPr="003A7660">
        <w:rPr>
          <w:rFonts w:ascii="Book Antiqua" w:hAnsi="Book Antiqua"/>
          <w:lang w:val="en-US"/>
        </w:rPr>
        <w:t xml:space="preserve"> and 5 yr were 14% and 11%, respectively. These DFS survival rates were significantly better for patients with </w:t>
      </w:r>
      <w:r w:rsidR="00DA45CA" w:rsidRPr="003A7660">
        <w:rPr>
          <w:rFonts w:ascii="Book Antiqua" w:eastAsia="宋体" w:hAnsi="Book Antiqua"/>
          <w:lang w:val="en-US" w:eastAsia="zh-CN"/>
        </w:rPr>
        <w:t>HR</w:t>
      </w:r>
      <w:r w:rsidR="00F74797" w:rsidRPr="003A7660">
        <w:rPr>
          <w:rFonts w:ascii="Book Antiqua" w:hAnsi="Book Antiqua"/>
          <w:lang w:val="en-US"/>
        </w:rPr>
        <w:t xml:space="preserve"> (the R group)</w:t>
      </w:r>
      <w:r w:rsidR="007D52B2" w:rsidRPr="003A7660">
        <w:rPr>
          <w:rFonts w:ascii="Book Antiqua" w:hAnsi="Book Antiqua"/>
          <w:lang w:val="en-US"/>
        </w:rPr>
        <w:t xml:space="preserve">: 19% and 11%, respectively, </w:t>
      </w:r>
      <w:r w:rsidR="007D52B2" w:rsidRPr="003A7660">
        <w:rPr>
          <w:rFonts w:ascii="Book Antiqua" w:hAnsi="Book Antiqua"/>
          <w:i/>
          <w:lang w:val="en-US"/>
        </w:rPr>
        <w:t>v</w:t>
      </w:r>
      <w:r w:rsidR="005B6982" w:rsidRPr="003A7660">
        <w:rPr>
          <w:rFonts w:ascii="Book Antiqua" w:hAnsi="Book Antiqua"/>
          <w:i/>
          <w:lang w:val="en-US"/>
        </w:rPr>
        <w:t>ersu</w:t>
      </w:r>
      <w:r w:rsidR="007D52B2" w:rsidRPr="003A7660">
        <w:rPr>
          <w:rFonts w:ascii="Book Antiqua" w:hAnsi="Book Antiqua"/>
          <w:i/>
          <w:lang w:val="en-US"/>
        </w:rPr>
        <w:t>s</w:t>
      </w:r>
      <w:r w:rsidR="00F74797" w:rsidRPr="003A7660">
        <w:rPr>
          <w:rFonts w:ascii="Book Antiqua" w:hAnsi="Book Antiqua"/>
          <w:lang w:val="en-US"/>
        </w:rPr>
        <w:t xml:space="preserve"> 9% and 5%, respectively, for the NR patients (Figure 2). The search for independent prognostic factors of DFS identified one good prognostic factor, which was the presence of </w:t>
      </w:r>
      <w:r w:rsidR="00DA45CA" w:rsidRPr="003A7660">
        <w:rPr>
          <w:rFonts w:ascii="Book Antiqua" w:eastAsia="宋体" w:hAnsi="Book Antiqua"/>
          <w:lang w:val="en-US" w:eastAsia="zh-CN"/>
        </w:rPr>
        <w:t>HR</w:t>
      </w:r>
      <w:r w:rsidR="00F74797" w:rsidRPr="003A7660">
        <w:rPr>
          <w:rFonts w:ascii="Book Antiqua" w:hAnsi="Book Antiqua"/>
          <w:lang w:val="en-US"/>
        </w:rPr>
        <w:t xml:space="preserve"> with NAC (the R group</w:t>
      </w:r>
      <w:r w:rsidR="00DD7352" w:rsidRPr="003A7660">
        <w:rPr>
          <w:rFonts w:ascii="Book Antiqua" w:hAnsi="Book Antiqua"/>
          <w:lang w:val="en-US"/>
        </w:rPr>
        <w:t xml:space="preserve">, </w:t>
      </w:r>
      <w:r w:rsidR="007D52B2" w:rsidRPr="003A7660">
        <w:rPr>
          <w:rFonts w:ascii="Book Antiqua" w:hAnsi="Book Antiqua"/>
          <w:i/>
          <w:lang w:val="en-US"/>
        </w:rPr>
        <w:t>P</w:t>
      </w:r>
      <w:r w:rsidR="007D52B2" w:rsidRPr="003A7660">
        <w:rPr>
          <w:rFonts w:ascii="Book Antiqua" w:eastAsia="宋体" w:hAnsi="Book Antiqua"/>
          <w:lang w:val="en-US" w:eastAsia="zh-CN"/>
        </w:rPr>
        <w:t xml:space="preserve"> </w:t>
      </w:r>
      <w:r w:rsidR="00DD7352" w:rsidRPr="003A7660">
        <w:rPr>
          <w:rFonts w:ascii="Book Antiqua" w:hAnsi="Book Antiqua"/>
          <w:lang w:val="en-US"/>
        </w:rPr>
        <w:t>=</w:t>
      </w:r>
      <w:r w:rsidR="007D52B2" w:rsidRPr="003A7660">
        <w:rPr>
          <w:rFonts w:ascii="Book Antiqua" w:eastAsia="宋体" w:hAnsi="Book Antiqua"/>
          <w:lang w:val="en-US" w:eastAsia="zh-CN"/>
        </w:rPr>
        <w:t xml:space="preserve"> </w:t>
      </w:r>
      <w:r w:rsidR="00DD7352" w:rsidRPr="003A7660">
        <w:rPr>
          <w:rFonts w:ascii="Book Antiqua" w:hAnsi="Book Antiqua"/>
          <w:lang w:val="en-US"/>
        </w:rPr>
        <w:t>0.013</w:t>
      </w:r>
      <w:r w:rsidR="00F74797" w:rsidRPr="003A7660">
        <w:rPr>
          <w:rFonts w:ascii="Book Antiqua" w:hAnsi="Book Antiqua"/>
          <w:lang w:val="en-US"/>
        </w:rPr>
        <w:t xml:space="preserve">), and </w:t>
      </w:r>
      <w:r w:rsidR="00403270" w:rsidRPr="003A7660">
        <w:rPr>
          <w:rFonts w:ascii="Book Antiqua" w:hAnsi="Book Antiqua"/>
          <w:lang w:val="en-US"/>
        </w:rPr>
        <w:t>four</w:t>
      </w:r>
      <w:r w:rsidR="00F74797" w:rsidRPr="003A7660">
        <w:rPr>
          <w:rFonts w:ascii="Book Antiqua" w:hAnsi="Book Antiqua"/>
          <w:lang w:val="en-US"/>
        </w:rPr>
        <w:t xml:space="preserve"> poor prognostic factors: NAC with targeted therapy</w:t>
      </w:r>
      <w:r w:rsidR="00DD7352" w:rsidRPr="003A7660">
        <w:rPr>
          <w:rFonts w:ascii="Book Antiqua" w:hAnsi="Book Antiqua"/>
          <w:lang w:val="en-US"/>
        </w:rPr>
        <w:t xml:space="preserve"> (</w:t>
      </w:r>
      <w:r w:rsidR="007D52B2" w:rsidRPr="003A7660">
        <w:rPr>
          <w:rFonts w:ascii="Book Antiqua" w:hAnsi="Book Antiqua"/>
          <w:i/>
          <w:lang w:val="en-US"/>
        </w:rPr>
        <w:t>P</w:t>
      </w:r>
      <w:r w:rsidR="007D52B2" w:rsidRPr="003A7660">
        <w:rPr>
          <w:rFonts w:ascii="Book Antiqua" w:eastAsia="宋体" w:hAnsi="Book Antiqua"/>
          <w:lang w:val="en-US" w:eastAsia="zh-CN"/>
        </w:rPr>
        <w:t xml:space="preserve"> </w:t>
      </w:r>
      <w:r w:rsidR="00DD7352" w:rsidRPr="003A7660">
        <w:rPr>
          <w:rFonts w:ascii="Book Antiqua" w:hAnsi="Book Antiqua"/>
          <w:lang w:val="en-US"/>
        </w:rPr>
        <w:t>=</w:t>
      </w:r>
      <w:r w:rsidR="007D52B2" w:rsidRPr="003A7660">
        <w:rPr>
          <w:rFonts w:ascii="Book Antiqua" w:eastAsia="宋体" w:hAnsi="Book Antiqua"/>
          <w:lang w:val="en-US" w:eastAsia="zh-CN"/>
        </w:rPr>
        <w:t xml:space="preserve"> </w:t>
      </w:r>
      <w:r w:rsidR="00DD7352" w:rsidRPr="003A7660">
        <w:rPr>
          <w:rFonts w:ascii="Book Antiqua" w:hAnsi="Book Antiqua"/>
          <w:lang w:val="en-US"/>
        </w:rPr>
        <w:t>0.004)</w:t>
      </w:r>
      <w:r w:rsidR="00F74797" w:rsidRPr="003A7660">
        <w:rPr>
          <w:rFonts w:ascii="Book Antiqua" w:hAnsi="Book Antiqua"/>
          <w:lang w:val="en-US"/>
        </w:rPr>
        <w:t xml:space="preserve">, more than </w:t>
      </w:r>
      <w:r w:rsidR="00403270" w:rsidRPr="003A7660">
        <w:rPr>
          <w:rFonts w:ascii="Book Antiqua" w:hAnsi="Book Antiqua"/>
          <w:lang w:val="en-US"/>
        </w:rPr>
        <w:t>three</w:t>
      </w:r>
      <w:r w:rsidR="00F74797" w:rsidRPr="003A7660">
        <w:rPr>
          <w:rFonts w:ascii="Book Antiqua" w:hAnsi="Book Antiqua"/>
          <w:lang w:val="en-US"/>
        </w:rPr>
        <w:t xml:space="preserve"> preoperative metastases</w:t>
      </w:r>
      <w:r w:rsidR="00DD7352" w:rsidRPr="003A7660">
        <w:rPr>
          <w:rFonts w:ascii="Book Antiqua" w:hAnsi="Book Antiqua"/>
          <w:lang w:val="en-US"/>
        </w:rPr>
        <w:t xml:space="preserve"> (</w:t>
      </w:r>
      <w:r w:rsidR="007D52B2" w:rsidRPr="003A7660">
        <w:rPr>
          <w:rFonts w:ascii="Book Antiqua" w:hAnsi="Book Antiqua"/>
          <w:i/>
          <w:lang w:val="en-US"/>
        </w:rPr>
        <w:t>P</w:t>
      </w:r>
      <w:r w:rsidR="007D52B2" w:rsidRPr="003A7660">
        <w:rPr>
          <w:rFonts w:ascii="Book Antiqua" w:eastAsia="宋体" w:hAnsi="Book Antiqua"/>
          <w:lang w:val="en-US" w:eastAsia="zh-CN"/>
        </w:rPr>
        <w:t xml:space="preserve"> </w:t>
      </w:r>
      <w:r w:rsidR="00DD7352" w:rsidRPr="003A7660">
        <w:rPr>
          <w:rFonts w:ascii="Book Antiqua" w:hAnsi="Book Antiqua"/>
          <w:lang w:val="en-US"/>
        </w:rPr>
        <w:t>=</w:t>
      </w:r>
      <w:r w:rsidR="007D52B2" w:rsidRPr="003A7660">
        <w:rPr>
          <w:rFonts w:ascii="Book Antiqua" w:eastAsia="宋体" w:hAnsi="Book Antiqua"/>
          <w:lang w:val="en-US" w:eastAsia="zh-CN"/>
        </w:rPr>
        <w:t xml:space="preserve"> </w:t>
      </w:r>
      <w:r w:rsidR="00DD7352" w:rsidRPr="003A7660">
        <w:rPr>
          <w:rFonts w:ascii="Book Antiqua" w:hAnsi="Book Antiqua"/>
          <w:lang w:val="en-US"/>
        </w:rPr>
        <w:t>0.001)</w:t>
      </w:r>
      <w:r w:rsidR="00F74797" w:rsidRPr="003A7660">
        <w:rPr>
          <w:rFonts w:ascii="Book Antiqua" w:hAnsi="Book Antiqua"/>
          <w:lang w:val="en-US"/>
        </w:rPr>
        <w:t>, R1 resection</w:t>
      </w:r>
      <w:r w:rsidR="00DD7352" w:rsidRPr="003A7660">
        <w:rPr>
          <w:rFonts w:ascii="Book Antiqua" w:hAnsi="Book Antiqua"/>
          <w:lang w:val="en-US"/>
        </w:rPr>
        <w:t xml:space="preserve"> (</w:t>
      </w:r>
      <w:r w:rsidR="007D52B2" w:rsidRPr="003A7660">
        <w:rPr>
          <w:rFonts w:ascii="Book Antiqua" w:hAnsi="Book Antiqua"/>
          <w:i/>
          <w:lang w:val="en-US"/>
        </w:rPr>
        <w:t>P</w:t>
      </w:r>
      <w:r w:rsidR="007D52B2" w:rsidRPr="003A7660">
        <w:rPr>
          <w:rFonts w:ascii="Book Antiqua" w:hAnsi="Book Antiqua"/>
          <w:lang w:val="en-US"/>
        </w:rPr>
        <w:t xml:space="preserve"> </w:t>
      </w:r>
      <w:r w:rsidR="00DD7352" w:rsidRPr="003A7660">
        <w:rPr>
          <w:rFonts w:ascii="Book Antiqua" w:hAnsi="Book Antiqua"/>
          <w:lang w:val="en-US"/>
        </w:rPr>
        <w:t>=</w:t>
      </w:r>
      <w:r w:rsidR="007D52B2" w:rsidRPr="003A7660">
        <w:rPr>
          <w:rFonts w:ascii="Book Antiqua" w:eastAsia="宋体" w:hAnsi="Book Antiqua"/>
          <w:lang w:val="en-US" w:eastAsia="zh-CN"/>
        </w:rPr>
        <w:t xml:space="preserve"> </w:t>
      </w:r>
      <w:r w:rsidR="00DD7352" w:rsidRPr="003A7660">
        <w:rPr>
          <w:rFonts w:ascii="Book Antiqua" w:hAnsi="Book Antiqua"/>
          <w:lang w:val="en-US"/>
        </w:rPr>
        <w:t>0.022)</w:t>
      </w:r>
      <w:r w:rsidR="00F74797" w:rsidRPr="003A7660">
        <w:rPr>
          <w:rFonts w:ascii="Book Antiqua" w:hAnsi="Book Antiqua"/>
          <w:lang w:val="en-US"/>
        </w:rPr>
        <w:t>, and a size greater than 3 cm for the largest metastasis</w:t>
      </w:r>
      <w:r w:rsidR="00DD7352" w:rsidRPr="003A7660">
        <w:rPr>
          <w:rFonts w:ascii="Book Antiqua" w:hAnsi="Book Antiqua"/>
          <w:lang w:val="en-US"/>
        </w:rPr>
        <w:t xml:space="preserve"> (</w:t>
      </w:r>
      <w:r w:rsidR="007D52B2" w:rsidRPr="003A7660">
        <w:rPr>
          <w:rFonts w:ascii="Book Antiqua" w:hAnsi="Book Antiqua"/>
          <w:i/>
          <w:lang w:val="en-US"/>
        </w:rPr>
        <w:t>P</w:t>
      </w:r>
      <w:r w:rsidR="007D52B2" w:rsidRPr="003A7660">
        <w:rPr>
          <w:rFonts w:ascii="Book Antiqua" w:eastAsia="宋体" w:hAnsi="Book Antiqua"/>
          <w:lang w:val="en-US" w:eastAsia="zh-CN"/>
        </w:rPr>
        <w:t xml:space="preserve"> </w:t>
      </w:r>
      <w:r w:rsidR="00DD7352" w:rsidRPr="003A7660">
        <w:rPr>
          <w:rFonts w:ascii="Book Antiqua" w:hAnsi="Book Antiqua"/>
          <w:lang w:val="en-US"/>
        </w:rPr>
        <w:t>=</w:t>
      </w:r>
      <w:r w:rsidR="007D52B2" w:rsidRPr="003A7660">
        <w:rPr>
          <w:rFonts w:ascii="Book Antiqua" w:eastAsia="宋体" w:hAnsi="Book Antiqua"/>
          <w:lang w:val="en-US" w:eastAsia="zh-CN"/>
        </w:rPr>
        <w:t xml:space="preserve"> </w:t>
      </w:r>
      <w:r w:rsidR="00DD7352" w:rsidRPr="003A7660">
        <w:rPr>
          <w:rFonts w:ascii="Book Antiqua" w:hAnsi="Book Antiqua"/>
          <w:lang w:val="en-US"/>
        </w:rPr>
        <w:t>0.011)</w:t>
      </w:r>
      <w:r w:rsidR="00F74797" w:rsidRPr="003A7660">
        <w:rPr>
          <w:rFonts w:ascii="Book Antiqua" w:hAnsi="Book Antiqua"/>
          <w:lang w:val="en-US"/>
        </w:rPr>
        <w:t xml:space="preserve">. </w:t>
      </w:r>
    </w:p>
    <w:p w:rsidR="00F74797" w:rsidRPr="003A7660" w:rsidRDefault="00F74797" w:rsidP="00384F14">
      <w:pPr>
        <w:snapToGrid w:val="0"/>
        <w:spacing w:line="360" w:lineRule="auto"/>
        <w:jc w:val="both"/>
        <w:rPr>
          <w:rFonts w:ascii="Book Antiqua" w:hAnsi="Book Antiqua"/>
          <w:bCs/>
          <w:lang w:val="en-US"/>
        </w:rPr>
      </w:pPr>
    </w:p>
    <w:p w:rsidR="00F74797" w:rsidRPr="003A7660" w:rsidRDefault="00F74797" w:rsidP="00384F14">
      <w:pPr>
        <w:snapToGrid w:val="0"/>
        <w:spacing w:line="360" w:lineRule="auto"/>
        <w:jc w:val="both"/>
        <w:rPr>
          <w:rFonts w:ascii="Book Antiqua" w:hAnsi="Book Antiqua"/>
          <w:b/>
          <w:lang w:val="en-US"/>
        </w:rPr>
      </w:pPr>
      <w:r w:rsidRPr="003A7660">
        <w:rPr>
          <w:rFonts w:ascii="Book Antiqua" w:hAnsi="Book Antiqua"/>
          <w:b/>
          <w:lang w:val="en-US"/>
        </w:rPr>
        <w:t>DISCUSSION</w:t>
      </w:r>
    </w:p>
    <w:p w:rsidR="00F74797" w:rsidRPr="003A7660" w:rsidRDefault="00F74797" w:rsidP="00384F14">
      <w:pPr>
        <w:snapToGrid w:val="0"/>
        <w:spacing w:line="360" w:lineRule="auto"/>
        <w:jc w:val="both"/>
        <w:rPr>
          <w:rFonts w:ascii="Book Antiqua" w:hAnsi="Book Antiqua"/>
          <w:bCs/>
          <w:lang w:val="en-US"/>
        </w:rPr>
      </w:pPr>
      <w:r w:rsidRPr="003A7660">
        <w:rPr>
          <w:rFonts w:ascii="Book Antiqua" w:hAnsi="Book Antiqua"/>
          <w:lang w:val="en-US"/>
        </w:rPr>
        <w:t xml:space="preserve">Our work demonstrates that the </w:t>
      </w:r>
      <w:r w:rsidR="00DA45CA" w:rsidRPr="003A7660">
        <w:rPr>
          <w:rFonts w:ascii="Book Antiqua" w:eastAsia="宋体" w:hAnsi="Book Antiqua"/>
          <w:lang w:val="en-US" w:eastAsia="zh-CN"/>
        </w:rPr>
        <w:t>HR</w:t>
      </w:r>
      <w:r w:rsidRPr="003A7660">
        <w:rPr>
          <w:rFonts w:ascii="Book Antiqua" w:hAnsi="Book Antiqua"/>
          <w:lang w:val="en-US"/>
        </w:rPr>
        <w:t xml:space="preserve"> of CRLMs operated on after NAC has a significant influence on OS and DFS, as evaluated by the Rubbia-Brandt score.</w:t>
      </w:r>
      <w:r w:rsidR="007D52B2" w:rsidRPr="003A7660">
        <w:rPr>
          <w:rFonts w:ascii="Book Antiqua" w:eastAsia="宋体" w:hAnsi="Book Antiqua"/>
          <w:bCs/>
          <w:lang w:val="en-US" w:eastAsia="zh-CN"/>
        </w:rPr>
        <w:t xml:space="preserve"> </w:t>
      </w:r>
      <w:r w:rsidRPr="003A7660">
        <w:rPr>
          <w:rFonts w:ascii="Book Antiqua" w:hAnsi="Book Antiqua"/>
          <w:lang w:val="en-US"/>
        </w:rPr>
        <w:t>In this population, the OS rate at 5 y</w:t>
      </w:r>
      <w:r w:rsidR="007D52B2" w:rsidRPr="003A7660">
        <w:rPr>
          <w:rFonts w:ascii="Book Antiqua" w:hAnsi="Book Antiqua"/>
          <w:lang w:val="en-US"/>
        </w:rPr>
        <w:t>r</w:t>
      </w:r>
      <w:r w:rsidRPr="003A7660">
        <w:rPr>
          <w:rFonts w:ascii="Book Antiqua" w:hAnsi="Book Antiqua"/>
          <w:lang w:val="en-US"/>
        </w:rPr>
        <w:t xml:space="preserve"> was equivalent to that </w:t>
      </w:r>
      <w:r w:rsidR="00403270" w:rsidRPr="003A7660">
        <w:rPr>
          <w:rFonts w:ascii="Book Antiqua" w:hAnsi="Book Antiqua"/>
          <w:lang w:val="en-US"/>
        </w:rPr>
        <w:t xml:space="preserve">stated </w:t>
      </w:r>
      <w:r w:rsidRPr="003A7660">
        <w:rPr>
          <w:rFonts w:ascii="Book Antiqua" w:hAnsi="Book Antiqua"/>
          <w:lang w:val="en-US"/>
        </w:rPr>
        <w:t>in the literature, whi</w:t>
      </w:r>
      <w:r w:rsidR="007D52B2" w:rsidRPr="003A7660">
        <w:rPr>
          <w:rFonts w:ascii="Book Antiqua" w:hAnsi="Book Antiqua"/>
          <w:lang w:val="en-US"/>
        </w:rPr>
        <w:t>ch varies from 18</w:t>
      </w:r>
      <w:r w:rsidR="005B6982" w:rsidRPr="003A7660">
        <w:rPr>
          <w:rFonts w:ascii="Book Antiqua" w:hAnsi="Book Antiqua"/>
          <w:lang w:val="en-US"/>
        </w:rPr>
        <w:t>%</w:t>
      </w:r>
      <w:r w:rsidR="005B040C" w:rsidRPr="003A7660">
        <w:rPr>
          <w:rFonts w:ascii="Book Antiqua" w:hAnsi="Book Antiqua"/>
          <w:lang w:val="en-US"/>
        </w:rPr>
        <w:t>-</w:t>
      </w:r>
      <w:r w:rsidR="007D52B2" w:rsidRPr="003A7660">
        <w:rPr>
          <w:rFonts w:ascii="Book Antiqua" w:hAnsi="Book Antiqua"/>
          <w:lang w:val="en-US"/>
        </w:rPr>
        <w:t>58</w:t>
      </w:r>
      <w:r w:rsidR="005B040C" w:rsidRPr="003A7660">
        <w:rPr>
          <w:rFonts w:ascii="Book Antiqua" w:hAnsi="Book Antiqua"/>
          <w:lang w:val="en-US"/>
        </w:rPr>
        <w:t>%</w:t>
      </w:r>
      <w:r w:rsidR="007D52B2" w:rsidRPr="003A7660">
        <w:rPr>
          <w:rFonts w:ascii="Book Antiqua" w:hAnsi="Book Antiqua"/>
          <w:vertAlign w:val="superscript"/>
          <w:lang w:val="en-US"/>
        </w:rPr>
        <w:t>[8,</w:t>
      </w:r>
      <w:r w:rsidRPr="003A7660">
        <w:rPr>
          <w:rFonts w:ascii="Book Antiqua" w:hAnsi="Book Antiqua"/>
          <w:vertAlign w:val="superscript"/>
          <w:lang w:val="en-US"/>
        </w:rPr>
        <w:t>10</w:t>
      </w:r>
      <w:r w:rsidR="007D52B2" w:rsidRPr="003A7660">
        <w:rPr>
          <w:rFonts w:ascii="Book Antiqua" w:eastAsia="宋体" w:hAnsi="Book Antiqua"/>
          <w:vertAlign w:val="superscript"/>
          <w:lang w:val="en-US" w:eastAsia="zh-CN"/>
        </w:rPr>
        <w:t>-</w:t>
      </w:r>
      <w:r w:rsidR="007D52B2" w:rsidRPr="003A7660">
        <w:rPr>
          <w:rFonts w:ascii="Book Antiqua" w:hAnsi="Book Antiqua"/>
          <w:vertAlign w:val="superscript"/>
          <w:lang w:val="en-US"/>
        </w:rPr>
        <w:t>13,</w:t>
      </w:r>
      <w:r w:rsidRPr="003A7660">
        <w:rPr>
          <w:rFonts w:ascii="Book Antiqua" w:hAnsi="Book Antiqua"/>
          <w:vertAlign w:val="superscript"/>
          <w:lang w:val="en-US"/>
        </w:rPr>
        <w:t>33</w:t>
      </w:r>
      <w:r w:rsidR="007D52B2" w:rsidRPr="003A7660">
        <w:rPr>
          <w:rFonts w:ascii="Book Antiqua" w:eastAsia="宋体" w:hAnsi="Book Antiqua"/>
          <w:vertAlign w:val="superscript"/>
          <w:lang w:val="en-US" w:eastAsia="zh-CN"/>
        </w:rPr>
        <w:t>-</w:t>
      </w:r>
      <w:r w:rsidRPr="003A7660">
        <w:rPr>
          <w:rFonts w:ascii="Book Antiqua" w:hAnsi="Book Antiqua"/>
          <w:vertAlign w:val="superscript"/>
          <w:lang w:val="en-US"/>
        </w:rPr>
        <w:t>40]</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{"citationID":"UXQVWJGu","properties":{"formattedCitation":"\\super [8,10\\uc0\\u8211{}13,33\\uc0\\u8211{}40]\\nosupersub{}","plainCitation":"","noteIndex":0},"citationItems":[{"id":"jK7A4ffc/inGP5OBE","uris":["http://zotero.org/users/local/CKZ8Mlfw/items/UFVNTX6C"],"uri":["http://zotero.org/users/local/CKZ8Mlfw/items/UFVNTX6C"],"itemData":{"id":313,"type":"article-journal","title":"A population-based study of the incidence, management and prognosis of hepatic metastases from colorectal cancer","container-title":"The British Journal of Surgery","page":"465-474","volume":"93","issue":"4","source":"PubMed","abstract":"BACKGROUND: The aim of this population-based study was to evaluate the incidence, management and prognosis of patients with hepatic metastases related to colorectal cancer using data from the Digestive Cancer Registry of Calvados, France.\nMETHODS: Of 1325 patients with colorectal cancer registered between January 1994 and December 1999, 358 developed hepatic metastases. Logistic regression was used to analyse prognostic factors. Survival analysis was carried out with Cox's proportional hazards model.\nRESULTS: Some 18.8 per cent of patients had synchronous metastases, while 29.3 per cent developed metastases at 3 years. Of patients with hepatic metastases, 17.3 per cent had a surgical resection, 40.2 per cent were treated with palliative chemotherapy and 42.5 per cent had symptomatic treatment. Factors associated with receiving symptomatic treatment only were age over 75 years and more than one metastasis, but not place of treatment. Median survival after a diagnosis of hepatic metastases was 10.7 (range 4.6-23.1) months. Significant adverse prognostic factors were: age over 75 years (P = 0.001), lymph node invasion of primary tumour (P = 0.024), bilateral distribution of metastases (P = 0.001), other metastases (P = 0.004) and symptomatic treatment only (P = 0.041).\nCONCLUSION: Despite improvement in treatment for hepatic metastases, age and extent of disease remain limiting factors for surgical resection and palliative chemotherapy.","DOI":"10.1002/bjs.5278","ISSN":"0007-1323","note":"PMID: 16523446","journalAbbreviation":"Br J Surg","language":"eng","author":[{"family":"Leporrier","given":"J."},{"family":"Maurel","given":"J."},{"family":"Chiche","given":"L."},{"family":"Bara","given":"S."},{"family":"Segol","given":"P."},{"family":"Launoy","given":"G."}],"issued":{"date-parts":[["2006",4]]}},"label":"page"},{"id":"jK7A4ffc/gWLCUQWt","uris":["http://zotero.org/users/local/CKZ8Mlfw/items/AUJDK8NM"],"uri":["http://zotero.org/users/local/CKZ8Mlfw/items/AUJDK8NM"],"itemData":{"id":42,"type":"article-journal","title":"Adjuvant chemotherapy after potentially curative resection of metastases from colorectal cancer: a pooled analysis of two randomized trials","container-title":"Journal of Clinical Oncology: Official Journal of the American Society of Clinical Oncology","page":"4906-4911","volume":"26","issue":"30","source":"PubMed","abstract":"PURPOSE: Adjuvant systemic chemotherapy administered after surgical resection of colorectal cancer metastases may reduce the risk of recurrence and improve survival, but its benefit has never been demonstrated. Two phase III trials (Fédération Francophone de Cancérologie Digestive [FFCD] Trial 9002 and the European Organisation for Research and Treatment of Cancer/National Cancer Institute of Canada Clinical Trials Group/Gruppo Italiano di Valutazione Interventi in Oncologia [ENG] trial) used a similar design and showed a trend favoring adjuvant chemotherapy, but both had to close prematurely because of slow accrual, thus lacking the statistical power to demonstrate the predefined difference in survival. We report here a pooled analysis based on individual data from these two trials.\nPATIENTS AND METHODS: After complete resection of colorectal liver or lung metastases, patients were randomly assigned to chemotherapy (CT arm; fluorouracil [FU] 400 mg/m(2) administered intravenously [IV] once daily plus dl-leucovorin 200 mg/m(2) [FFCD] x 5 days or FU 370 mg/m(2) plus l-leucovorin 100 mg/m(2) IV x 5 days [ENG] for six cycles at 28-day intervals) or to surgery alone (S arm).\nRESULTS: A total of 278 patients (CT, n = 138; S, n = 140) were included in the pooled analysis. Median progression-free survival was 27.9 months in the CT arm as compared with 18.8 months in the S arm (hazard ratio = 1.32; 95% CI, 1.00 to 1.76; P = .058). Median overall survival was 62.2 months in the CT arm compared with 47.3 months in the S arm (hazard ratio = 1.32; 95% CI, 0.95 to 1.82; P = .095). Adjuvant chemotherapy was independently associated with both progression-free survival and overall survival in multivariable analysis.\nCONCLUSION: This pooled analysis shows a marginal statistical significance in favor of adjuvant chemotherapy with an FU bolus-based regimen after complete resection of colorectal cancer metastases.","DOI":"10.1200/JCO.2008.17.3781","ISSN":"1527-7755","note":"PMID: 18794541","shortTitle":"Adjuvant chemotherapy after potentially curative resection of metastases from colorectal cancer","journalAbbreviation":"J. Clin. Oncol.","language":"eng","author":[{"family":"Mitry","given":"Emmanuel"},{"family":"Fields","given":"Anthony L. A."},{"family":"Bleiberg","given":"Harry"},{"family":"Labianca","given":"Roberto"},{"family":"Portier","given":"Guillaume"},{"family":"Tu","given":"Dongsheng"},{"family":"Nitti","given":"Donato"},{"family":"Torri","given":"Valter"},{"family":"Elias","given":"Dominique"},{"family":"O'Callaghan","given":"Chris"},{"family":"Langer","given":"Bernard"},{"family":"Martignoni","given":"Giancarlo"},{"family":"Bouché","given":"Olivier"},{"family":"Lazorthes","given":"Franck"},{"family":"Van Cutsem","given":"Eric"},{"family":"Bedenne","given":"Laurent"},{"family":"Moore","given":"Malcolm J."},{"family":"Rougier","given":"Philippe"}],"issued":{"date-parts":[["2008",10,20]]}},"label":"page"},{"id":"jK7A4ffc/J7eQbLX0","uris":["http://zotero.org/users/local/CKZ8Mlfw/items/4ERPKPVV"],"uri":["http://zotero.org/users/local/CKZ8Mlfw/items/4ERPKPVV"],"itemData":{"id":138,"type":"article-journal","title":"Short term and long term results of patients with colorectal liver metastases undergoing surgery with or without radiofrequency ablation","container-title":"European Journal of Surgical Oncology: The Journal of the European Society of Surgical Oncology and the British Association of Surgical Oncology","page":"523-530","volume":"42","issue":"4","source":"PubMed","abstract":"PURPOSE: The combination of resection and radiofrequency ablation (RFA) may provide an alternative treatment for patients with unresectable colorectal liver metastases (CRLM). Although the results in literature look promising, uncertainty exists with regard to complication risks and survival for this therapy.\nMETHODS: From January 2000 to May 2013, patients were included in a prospective multicenter database when treated for CRLM. Exclusion criteria were: two-staged treatment, synchronous resection of liver metastases and primary tumor, loss to follow-up or extrahepatic metastases. Patients were divided in a resection-only group (ROG) and combination group (CG). Outcome variables were retrospectively analyzed.\nRESULTS: In CG, 98 patients were included versus 534 patients in ROG. There were no differences in general patient characteristics. Patients in CG had a higher Fong clinical risk score (CRS; P = 0.001), better ASA classification (P = 0.04) and received more neoadjuvant chemotherapy (P = 0.001). There was no difference in postoperative morbidity or 90-day mortality. The 5-year disease-free survival (DFS) for CG and ROG was 25% and 36.1% (P = 0.03), respectively. For the 5-year overall survival (OS) this was respectively 42% and 62.2% (P = 0.001). On multivariate analysis, Fong CRS was a significant predictor for DFS. For OS, Fong CRS, ASA class IV and the combination therapy were significant predictors.\nCONCLUSION: The combination of hepatic resection and intraoperative RFA is a safe procedure, without increase in postoperative morbidity or mortality. Combining RFA and resection in one session is a valid treatment option for patients who would otherwise be inoperable.","DOI":"10.1016/j.ejso.2016.01.013","ISSN":"1532-2157","note":"PMID: 26856957","journalAbbreviation":"Eur J Surg Oncol","language":"eng","author":[{"family":"Amerongen","given":"M. J.","non-dropping-particle":"van"},{"family":"Stok","given":"E. P.","non-dropping-particle":"van der"},{"family":"Fütterer","given":"J. J."},{"family":"Jenniskens","given":"S. F. M."},{"family":"Moelker","given":"A."},{"family":"Grünhagen","given":"D. J."},{"family":"Verhoef","given":"C."},{"family":"Wilt","given":"J. H. W.","non-dropping-particle":"de"}],"issued":{"date-parts":[["2016",4]]}},"label":"page"},{"id":"jK7A4ffc/5gdkHt5Q","uris":["http://zotero.org/users/local/CKZ8Mlfw/items/7Q2PP35Z"],"uri":["http://zotero.org/users/local/CKZ8Mlfw/items/7Q2PP35Z"],"itemData":{"id":6,"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label":"page"},{"id":"jK7A4ffc/lTbVxXIe","uris":["http://zotero.org/users/local/CKZ8Mlfw/items/XXEZMN68"],"uri":["http://zotero.org/users/local/CKZ8Mlfw/items/XXEZMN68"],"itemData":{"id":19,"type":"article-journal","title":"Improved survival in metastatic colorectal cancer is associated with adoption of hepatic resection and improved chemotherapy","container-title":"Journal of Clinical Oncology: Official Journal of the American Society of Clinical Oncology","page":"3677-3683","volume":"27","issue":"22","source":"PubMed","abstract":"PURPOSE: Fluorouracil/leucovorin as the sole therapy for metastatic colorectal cancer (CRC) provides an overall survival of 8 to 12 months. With an increase in surgical resections of metastatic disease and development of new chemotherapies, indirect evidence suggests that outcomes for patients are improving in the general population, although the incremental gain has not yet been quantified.\nMETHODS: We performed a retrospective review of patients newly diagnosed with metastatic CRC treated at two academic centers from 1990 through 2006. Landmark analysis evaluated the association of diagnosis year and liver resection with overall survival. Additional survival analysis of the Surveillance Epidemiology and End Results (SEER) database evaluated a similar population from 1990 through 2005.\nRESULTS: Two thousand four hundred seventy patients with metastatic CRC at diagnosis received their primary treatment at the two institutions during this time period. Median overall survival for those patients diagnosed from 1990 to 1997 was 14.2 months, which increased to 18.0, 18.6, and 29.3 months for patients diagnosed in 1998 to 2000, 2001 to 2003, and 2004 to 2006, respectively. Likewise, 5-year overall survival increased from 9.1% in the earliest time period to 19.2% in 2001 to 2003. Improved outcomes from 1998 to 2004 were a result of an increase in hepatic resection, which was performed in 20% of the patients. Improvements from 2004 to 2006 were temporally associated with increased utilization of new chemotherapeutics. In the SEER registry, overall survival for the 49,459 identified patients also increased in the most recent time period.\nCONCLUSION: Profound improvements in outcome in metastatic CRC seem to be associated with the sequential increase in the use of hepatic resection in selected patients (1998 to 2006) and advancements in medical therapy (2004 to 2006).","DOI":"10.1200/JCO.2008.20.5278","ISSN":"1527-7755","note":"PMID: 19470929\nPMCID: PMC2720081","journalAbbreviation":"J. Clin. Oncol.","language":"eng","author":[{"family":"Kopetz","given":"Scott"},{"family":"Chang","given":"George J."},{"family":"Overman","given":"Michael J."},{"family":"Eng","given":"Cathy"},{"family":"Sargent","given":"Daniel J."},{"family":"Larson","given":"David W."},{"family":"Grothey","given":"Axel"},{"family":"Vauthey","given":"Jean-Nicolas"},{"family":"Nagorney","given":"David M."},{"family":"McWilliams","given":"Robert R."}],"issued":{"date-parts":[["2009",8,1]]}},"label":"page"},{"id":"jK7A4ffc/BbdeVxJN","uris":["http://zotero.org/users/local/CKZ8Mlfw/items/NU3CBSN8"],"uri":["http://zotero.org/users/local/CKZ8Mlfw/items/NU3CBSN8"],"itemData":{"id":208,"type":"article-journal","title":"Prognostic Factors after Liver Resection for Colorectal Liver Metastasis","container-title":"Acta Medica Portuguesa","page":"357-369","volume":"28","issue":"3","source":"PubMed","abstract":"INTRODUCTION: Surgery is the only potentially curative treatment for patients with colorectal liver metastases, resulting in 5-year survival rates of 36 -€“ 58. Although many studies have been performed to determine prognostic factors for tumor recurrence and survival after resection of colorectal liver metastases, there are few prognostic scoring systems stratifying patients undergoing surgery for colorectal liver metastases into risk group models.\nOBJECTIVES: To identify, evaluate and compare the existing prognostic scores for survival after surgery for resection of colorectal liver metastases.\nMATERIAL AND METHODS: Electronic search in PubMed, Cochrane and Embase from 1990 to 2013 using the terms '€˜hepatic resection', '€˜colorectal cancer'€™, 'liver metastasis', '€˜hepatectomy', '€˜prognostic'€™, and '€˜score'€˜. Only studies proposing a prognostic model or risk stratification based on clinical and/or pathological variables were included.\nRESULTS: From 1996 to June 2013, 19 scoring systems were identified, including one nomogram. Thirty prognostic factors were identified although none of the factors was common to all prognostic models. The 4 factors most often included were: number of liver metastases, regional lymph node metastization of primary tumor, preoperative CEA level and maximum size of metastases. The median study sample size was 305 patients (81-1 568 patients) and median follow-up was 33 months (16-54 months). All studies were retrospective and used the Cox proportional hazards model for multi-variable analysis.\nCONCLUSION: Several factors have been constantly reported as having prognostic value after liver resection of colorectal livermetastases, although there is no consensus on the ideal scoring system.","ISSN":"1646-0758","note":"PMID: 26421789","journalAbbreviation":"Acta Med Port","language":"eng","author":[{"family":"Matias","given":"Margarida"},{"family":"Casa-Nova","given":"Mafalda"},{"family":"Faria","given":"Mariana"},{"family":"Pires","given":"Ricardo"},{"family":"Tato-Costa","given":"Joana"},{"family":"Ribeiro","given":"Leonor"},{"family":"Costa","given":"Luís"}],"issued":{"date-parts":[["2015",6]]}},"label":"page"},{"id":"jK7A4ffc/wgtuFENj","uris":["http://zotero.org/users/local/CKZ8Mlfw/items/KESWNWCP"],"uri":["http://zotero.org/users/local/CKZ8Mlfw/items/KESWNWCP"],"itemData":{"id":329,"type":"article-journal","title":"Early Recurrence After Hepatectomy for Colorectal Liver Metastases: What Optimal Definition and What Predictive Factors?","container-title":"The Oncologist","page":"887-894","volume":"21","issue":"7","source":"PubMed","abstract":"BACKGROUND: The purpose of this study was to determine the optimal definition and elucidate the predictive factors of early recurrence after surgery for colorectal liver metastases (CRLM).\nMETHODS: Among 987 patients who underwent curative surgery for CRLM from 1990 to 2012, 846 with a minimum follow-up period of 24 months were eligible for this study. The minimum p value approach of survival after initial recurrence was used to determine the optimal cutoff for the definition of early recurrence. The predictive factors of early recurrence and prognostic factors of survival were analyzed.\nRESULTS: For 667 patients (79%) who developed recurrence, the optimal cutoff point of early recurrence was determined to be 8 months after surgery. The impact of early recurrence on survival was demonstrated mainly in patients who received preoperative chemotherapy. Among the 691 patients who received preoperative chemotherapy, recurrence was observed in 562 (81%), and survival in patients with early recurrence was significantly worse than in those with late recurrence (5-year survival 18.5% vs. 53.4%, p &lt; .0001). Multivariate logistic analysis identified age ≤57 years (p = .0022), &gt;1 chemotherapy line (p = .03), disease progression during last-line chemotherapy (p = .024), &gt;3 tumors (p = .0014), and carbohydrate antigen 19-9 &gt;60 U/mL (p = .0003) as independent predictors of early recurrence. Salvage surgery for recurrence significantly improved survival, even in patients with early recurrence.\nCONCLUSION: The optimal cutoff point of early recurrence was determined to be 8 months. The preoperative prediction of early recurrence is possible and crucial for designing effective perioperative chemotherapy regimens.\nIMPLICATIONS FOR PRACTICE: In this study, the optimal cutoff point of early recurrence was determined to be 8 months after surgery based on the minimum p value approach, and its prognostic impact was demonstrated mainly in patients who received preoperative chemotherapy. Five factors, including age, number of preoperative chemotherapy lines, response to last-line chemotherapy, number of tumors, and carbohydrate antigen 19-9 concentrations, were identified as predictors of early recurrence. Salvage surgery for recurrence significantly improved survival, even in patients with early recurrence. For better selection of patients who could truly benefit from surgery and should also receive strong postoperative chemotherapy, the accurate preoperative prediction of early recurrence is crucial.","DOI":"10.1634/theoncologist.2015-0468","ISSN":"1549-490X","note":"PMID: 27125753\nPMCID: PMC4943389","shortTitle":"Early Recurrence After Hepatectomy for Colorectal Liver Metastases","journalAbbreviation":"Oncologist","language":"eng","author":[{"family":"Imai","given":"Katsunori"},{"family":"Allard","given":"Marc-Antoine"},{"family":"Benitez","given":"Carlos Castro"},{"family":"Vibert","given":"Eric"},{"family":"Sa Cunha","given":"Antonio"},{"family":"Cherqui","given":"Daniel"},{"family":"Castaing","given":"Denis"},{"family":"Bismuth","given":"Henri"},{"family":"Baba","given":"Hideo"},{"family":"Adam","given":"René"}],"issued":{"date-parts":[["2016",7]]}},"label":"page"},{"id":"jK7A4ffc/IxrH4boe","uris":["http://zotero.org/users/local/CKZ8Mlfw/items/CZKF8I3H"],"uri":["http://zotero.org/users/local/CKZ8Mlfw/items/CZKF8I3H"],"itemData":{"id":184,"type":"article-journal","title":"Factors influencing recurrence following initial hepatectomy for colorectal liver metastases","container-title":"The British Journal of Surgery","page":"1366-1376","volume":"103","issue":"10","source":"PubMed","abstract":"BACKGROUND: Data on recurrence patterns following hepatectomy for colorectal liver metastases (CRLMs) and their impact on long-term outcomes are limited in the setting of modern multimodal management. This study sought to characterize the patterns of, factors associated with, and survival impact of recurrence following initial hepatectomy for CRLMs.\nMETHODS: A retrospective cohort study of patients undergoing initial hepatectomy for CRLMs at 39 institutions (2006-2013) was conducted. Kaplan-Meier methods were used for survival analyses. Overall survival landmark analysis at 12 months after hepatectomy was performed to compare groups based on recurrence. Multivariable Cox and regression models were used to determine factors associated with recurrence.\nRESULTS: Among 2320 patients, tumours recurred in 47·4 per cent at median of 10·1 (range 0-88) months; 89·1 per cent of recurrences developed within 3 years. Recurrence was intrahepatic in 46·2 per cent, extrahepatic in 31·8 per cent and combined intra/extrahepatic in 22·0 per cent. The 5-year overall survival rate decreased from 74·3 (95 per cent c.i. 72·2 to 76·4) per cent without recurrence to 57·5 (55·0 to 60·0) per cent with recurrence (adjusted hazard ratio (HR) 3·08, 95 per cent c.i. 2·31 to 4·09). After adjusting for clinicopathological variables, prehepatectomy factors associated with increased risk of recurrence were node-positive primary tumour (HR 1·27, 1·09 to 1·49), more than three liver metastases (HR 1·27, 1·06 to 1·52) and largest metastasis greater than 4</w:instrText>
      </w:r>
      <w:r w:rsidRPr="003A7660">
        <w:rPr>
          <w:lang w:val="en-US"/>
        </w:rPr>
        <w:instrText> </w:instrText>
      </w:r>
      <w:r w:rsidRPr="003A7660">
        <w:rPr>
          <w:rFonts w:ascii="Book Antiqua" w:hAnsi="Book Antiqua"/>
          <w:lang w:val="en-US"/>
        </w:rPr>
        <w:instrText>cm (HR 1·19; 1·01 to 1·43).\nCONCLUSION: Recurrence after CRLM resection remains common. Although overall survival is inferior with recurrence, excellent survival rates can still be achieved.","DOI":"10.1002/bjs.10191","ISSN":"1365-2168","note":"PMID: 27306949","journalAbbreviation":"Br J Surg","language":"eng","author":[{"family":"Hallet","given":"J."},{"family":"Sa Cunha","given":"A."},{"family":"Adam","given":"R."},{"family":"Goéré","given":"D."},{"family":"Bachellier","given":"P."},{"family":"Azoulay","given":"D."},{"family":"Ayav","given":"A."},{"family":"Grégoire","given":"E."},{"family":"Navarro","given":"F."},{"family":"Pessaux","given":"P."},{"literal":"French Colorectal Liver Metastases Working Group, Association Française de Chirurgie (AFC)"}],"issued":{"date-parts":[["2016",9]]}},"label":"page"},{"id":"jK7A4ffc/ikEKQXFz","uris":["http://zotero.org/users/local/CKZ8Mlfw/items/Q5ZH8MI8"],"uri":["http://zotero.org/users/local/CKZ8Mlfw/items/Q5ZH8MI8"],"itemData":{"id":180,"type":"article-journal","title":"Is hepatic resection justified after chemotherapy in patients with colorectal liver metastases and lymph node involvement?","container-title":"Journal of Clinical Oncology: Official Journal of the American Society of Clinical Oncology","page":"3672-3680","volume":"26","issue":"22","source":"PubMed","abstract":"PURPOSE: For patients with colorectal liver metastases (CLM), regional lymph node (RLN) involvement is one of the worst prognostic factors. The objective of this study was to evaluate the ability of a multidisciplinary approach, including preoperative chemotherapy and hepatectomy, to improve patient outcomes.\nPATIENTS AND METHODS: Outcomes for a consecutively treated group of patients with CLM and simultaneous RLN involvement were compared with a cohort of patients without RLN involvement. Univariate and multivariate analysis of clinical variables was used to identify prognostic factors in this high-risk group. Results Of the 763 patients who underwent resection at our institution for CLM between 1992 and 2006, 47 patients (6%) were treated with hepatectomy and simultaneous lymphadenectomy. All patients had received preoperative chemotherapy. Five-year overall survival (OS) for patients with and without RLN involvement were 18% and 53%, respectively (P &lt; .001). Five-year disease-free survival rates were 11% and 23%, respectively (P = .004). When diagnosed preoperatively, RLN involvement had an increased 5-year OS compared with intraoperative detection, although the difference was not significant (35% v 10%; P = .18). Location of metastatic RLN strongly influenced survival, with observed 5-year OS of 25% for pedicular, 0% for celiac, and 0% for para-aortic RLN (P = .001). At multivariate analysis, celiac RLN involvement and age &gt;or= 40 years were identified as independent poor prognostic factors.\nCONCLUSION: Combined liver resection and pedicular lymphadenectomy is justified when RLN metastases respond to or are stabilized by preoperative chemotherapy, particularly in young patients. In contrast, this approach does not benefit patients with celiac and/or para-aortic RLN involvement, even when patients' disease is responding to preoperative chemotherapy.","DOI":"10.1200/JCO.2007.15.7297","ISSN":"1527-7755","note":"PMID: 18669451","journalAbbreviation":"J. Clin. Oncol.","language":"eng","author":[{"family":"Adam","given":"René"},{"family":"Haas","given":"Robbert J.","non-dropping-particle":"de"},{"family":"Wicherts","given":"Dennis A."},{"family":"Aloia","given":"Thomas A."},{"family":"Delvart","given":"Valérie"},{"family":"Azoulay","given":"Daniel"},{"family":"Bismuth","given":"Henri"},{"family":"Castaing","given":"Denis"}],"issued":{"date-parts":[["2008",8,1]]}},"label":"page"},{"id":"jK7A4ffc/f6RfDiXD","uris":["http://zotero.org/users/local/CKZ8Mlfw/items/EBNQMXMW"],"uri":["http://zotero.org/users/local/CKZ8Mlfw/items/EBNQMXMW"],"itemData":{"id":211,"type":"article-journal","title":"Predictive factors for time to recurrence, treatment and post-recurrence survival in patients with initially resected colorectal liver metastases","container-title":"World Journal of Surgical Oncology","page":"328","volume":"13","source":"PubMed","abstract":"BACKGROUND: Despite progress in resection for colorectal liver metastases (CLM), the majority of patients experience recurrence. We aimed to evaluate factors influencing time to recurrence (TTR), treatment and post-recurrence survival (PRS) related to site of recurrence.\nMETHODS: This is a retrospective population-based cohort study (1998-2012) of consecutive patients without extrahepatic disease treated with resection for CLM in a referral centre.\nRESULTS: A total of 311 patients underwent resection for CLM. After a median follow-up of 4.2 years (range 1.2-15.2), 209 (67.4 %) patients developed recurrence, hepatic 90, extrahepatic 59 and both 60. Median TTR was 14.0 months, and 5-year recurrence-free status was 25.7 %. Five- and 10-year overall survival (OS) was 38.8 and 22.0 %, respectively. Median OS was 45 months. A multivariate analysis displayed synchronous disease (hazard ratio (HR) 1.50), American Society of Anaesthesiologists (ASA) score (HR 1.40), increasing number (HR 1.24) and size of metastases (HR 1.08) to shorten TTR (all p</w:instrText>
      </w:r>
      <w:r w:rsidRPr="003A7660">
        <w:rPr>
          <w:lang w:val="en-US"/>
        </w:rPr>
        <w:instrText> </w:instrText>
      </w:r>
      <w:r w:rsidRPr="003A7660">
        <w:rPr>
          <w:rFonts w:ascii="Book Antiqua" w:hAnsi="Book Antiqua"/>
          <w:lang w:val="en-US"/>
        </w:rPr>
        <w:instrText>&lt;</w:instrText>
      </w:r>
      <w:r w:rsidRPr="003A7660">
        <w:rPr>
          <w:lang w:val="en-US"/>
        </w:rPr>
        <w:instrText> </w:instrText>
      </w:r>
      <w:r w:rsidRPr="003A7660">
        <w:rPr>
          <w:rFonts w:ascii="Book Antiqua" w:hAnsi="Book Antiqua"/>
          <w:lang w:val="en-US"/>
        </w:rPr>
        <w:instrText>0.05). Perioperative chemotherapy (n</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59) increased overall TTR (HR 0.63) and overall survival (OS; HR 0.55). Hepatic TTR was correlated to synchronous disease (HR 2.07), number of lesions (HR 1.20), R1 resection (HR 2.00) and ASA score (HR 1.69), whereas extrahepatic TTR was correlated to N stage of the primary (HR 1.79), number (HR 1.27) and size of metastases (HR 1.16). Single-site recurrence was most common (135 of 209, 64.5 %), while 58 patients had double- and 16 triple-site relapses. Median PRS was 24.3 months. There was a difference in median PRS (months) according to site of relapse: liver 30.5, lung 32.3, abdominal 22.0, liver and lung 14.3, others 14.8 (p</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0.002). Repeated liver resections were performed in n</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 xml:space="preserve">57 patients resulting in 40.6 months median OS and 36.8 % 5-year OS.\nCONCLUSIONS: An adverse overall TTR was correlated to number and size of metastases, ASA score and synchronous disease. Perioperative chemotherapy increased TTR and OS after surgery for CLM. Patients with solitary post-resection relapse in the liver or lungs had the potential for longevity due to multimodal treatment.","DOI":"10.1186/s12957-015-0738-8","ISSN":"1477-7819","note":"PMID: 26631156\nPMCID: PMC4668655","journalAbbreviation":"World J Surg Oncol","language":"eng","author":[{"family":"Angelsen","given":"Jon-Helge"},{"family":"Viste","given":"Asgaut"},{"family":"Løes","given":"Inger Marie"},{"family":"Eide","given":"Geir Egil"},{"family":"Hoem","given":"Dag"},{"family":"Sorbye","given":"Halfdan"},{"family":"Horn","given":"Arild"}],"issued":{"date-parts":[["2015",12,3]]}},"label":"page"},{"id":"jK7A4ffc/l1hY9JTd","uris":["http://zotero.org/users/local/CKZ8Mlfw/items/K35S6CK4"],"uri":["http://zotero.org/users/local/CKZ8Mlfw/items/K35S6CK4"],"itemData":{"id":32,"type":"article-journal","title":"Long-term outcomes after hepatic resection for colorectal metastases in young patients","container-title":"Cancer","page":"647-658","volume":"116","issue":"3","source":"PubMed","abstract":"BACKGROUND: Long-term outcomes after hepatectomy for colorectal liver metastases in relatively young patients are still unknown. The aim of the current study was to evaluate long-term outcomes in patients &lt; or = 40 years old, and to compare them with patients &gt;40 years old.\nMETHODS: All consecutive patients who underwent hepatectomy for colorectal liver metastases at the authors' hospital between 1990 and 2006 were included in the study. Patients &lt; or = 40 years old were compared with all other patients treated during the same period. Overall survival (OS), progression-free survival (PFS), and disease-free survival (DFS) rates were determined, and prognostic factors were identified.\nRESULTS: In total, 806 patients underwent hepatectomy for colorectal liver metastases, of whom 56 (7%) were aged &lt; or = 40 years. Among the young patients, more colorectal liver metastases were present at diagnosis, and they were more often diagnosed synchronous with the primary tumor. Five-year OS was 33% in young patients, compared with 51% in older patients (P = .12). Five-year PFS was 2% in young patients, compared with 16% in older patients (P &lt; .001). DFS rates were comparable between the groups (17% vs 23%, P = .10). At multivariate analysis, age &lt; or = 40 years was identified as an independent predictor of poor PFS.\nCONCLUSIONS: In young patients, colorectal liver metastases seem to be more aggressive, with a trend toward lower OS, more disease recurrences, and a significantly shorter PFS after hepatectomy. However, DFS rates were comparable between young and older patients, owing to an aggressive multimodality treatment approach, consisting of chemotherapy and repeat surgery. Therefore, physicians should recognize the poor outcome of colorectal liver metastases in young patients and should consider an aggressive approach to diagnosis and early treatment.","DOI":"10.1002/cncr.24721","ISSN":"0008-543X","note":"PMID: 19998351","journalAbbreviation":"Cancer","language":"eng","author":[{"family":"Haas","given":"Robbert J.","non-dropping-particle":"de"},{"family":"Wicherts","given":"Dennis A."},{"family":"Salloum","given":"Chadi"},{"family":"Andreani","given":"Paola"},{"family":"Sotirov","given":"Dobromir"},{"family":"Adam","given":"René"},{"family":"Castaing","given":"Denis"},{"family":"Azoulay","given":"Daniel"}],"issued":{"date-parts":[["2010",2,1]]}},"label":"page"},{"id":"jK7A4ffc/MkIN3vwA","uris":["http://zotero.org/users/local/CKZ8Mlfw/items/UXAQE49K"],"uri":["http://zotero.org/users/local/CKZ8Mlfw/items/UXAQE49K"],"itemData":{"id":34,"type":"article-journal","title":"Trends in long-term survival following liver resection for hepatic colorectal metastases","container-title":"Annals of Surgery","page":"759-766","volume":"235","issue":"6","source":"PubMed","abstract":"OBJECTIVE: To examine trends in outcomes of patients undergoing resection at a single tertiary care referral center over a 16-year period.\nSUMMARY BACKGROUND DATA: Hepatic resection is considered the treatment of choice in selected patients with colorectal metastasis confined to the liver. Although a variety of retrospective studies have demonstrated improvements in short-term outcomes in recent years, changes in long-term survival over time are less well-established.\nMETHODS: Data from 226 consecutive patients undergoing potentially curative liver resection for colorectal metastases between 1984 and 1999 were analyzed. Actuarial survival rates related to prognostic determinants were analyzed using the log-rank test.\nRESULTS: The median survival for the entire cohort was 46 months, with 5- and 10-year survival rates of 40% and 26% respectively. Ninety-three patients operated on between 1984 and 1992 were found to have an overall survival of 31% at 5 years, compared to 58% for the 133 patients operated on during the more recent period (1993-1999). Both overall and disease-free survival were significantly better in the recent time period compared with the earlier period on both univariate and multivariate analyses. Other independent factors associated with improved survival included number of metastatic tumors &lt; or = 3, negative resection margin, and CEA &lt; 100. Comparisons were made between time periods for a variety of patient, tumor and treatment-related factors. Among all parameters studied, only resection type (anatomical versus nonanatomical), use of intraoperative ultrasonography, and perioperative chemotherapy administration differed between the early and recent time periods.\nCONCLUSIONS: Long-term survival following liver resection for colorectal metastases has improved significantly in recent years at our institution. Although the reasons for this survival trend are not clear, contributing factors may include the use of newer preoperative and intraoperative imaging, increased use of chemotherapy, and salvage surgical therapy.","ISSN":"0003-4932","note":"PMID: 12035031\nPMCID: PMC1422504","journalAbbreviation":"Ann. Surg.","language":"eng","author":[{"family":"Choti","given":"Michael A."},{"family":"Sitzmann","given":"James V."},{"family":"Tiburi","given":"Marcelo F."},{"family":"Sumetchotimetha","given":"Wuthi"},{"family":"Rangsin","given":"Ram"},{"family":"Schulick","given":"Richard D."},{"family":"Lillemoe","given":"Keith D."},{"family":"Yeo","given":"Charles J."},{"family":"Cameron","given":"John L."}],"issued":{"date-parts":[["2002",6]]}},"label":"page"},{"id":"jK7A4ffc/mSZw2A1h","uris":["http://zotero.org/users/local/CKZ8Mlfw/items/JKZ96FTK"],"uri":["http://zotero.org/users/local/CKZ8Mlfw/items/JKZ96FTK"],"itemData":{"id":21,"type":"article-journal","title":"Survival after hepatic resection in metastatic colorectal cancer: a population-based study","container-title":"Cancer","page":"718-726","volume":"109","issue":"4","source":"PubMed","abstract":"BACKGROUND: Hepatectomy is the standard of care for patients with colorectal cancer who have isolated hepatic metastases; however, the long-term survival benefits of hepatectomy in this population have not been characterized well outside of case series. For the current study, a population-based database was used to compare the survival of patients with liver metastases from colorectal cancer who did and did not undergo hepatectomy.\nMETHODS: Patients aged &gt;or=65 years with incident colorectal cancer who were diagnosed from 1991 to 2001 were identified from the linked Surveillance, Epidemiology, and End Results (SEER)-Medicare database. Liver metastasis diagnoses, colorectal resections, and hepatectomies were identified from hospital, outpatient, and physician-supplier claims. Patients who did not undergo colorectal resection were excluded. Five-year survival from the time of cancer diagnosis was determined by the Kaplan-Meier method. Cox proportional hazards models were used to evaluate survival.\nRESULTS: Among 13,599 patients who were identified with incident colorectal cancer and liver metastases, 7673 patients (56.4%) presented with stage IV disease, and the remaining patients presented with earlier stage disease and developed subsequent metastases. Only 833 patients (6.1%) in the cohort underwent hepatic resection, and their 30-day mortality rate was 4.3%. The 5-year survival was 32.8% among patients who underwent hepatic resection, compared with 10.5% among patients who did not undergo hepatic resection (P &lt; .0001), and better survival was observed in the subset of patients who presented initially with disease in stages I through III. In a Cox model, which was controlled for age, sex, race, comorbidities, and stage at presentation, lack of hepatic resection was associated with a 2.78-fold increased risk of death.\nCONCLUSIONS: Although hepatectomy rates among patients with colorectal cancer were low, hepatic resection was associated with improved survival.","DOI":"10.1002/cncr.22448","ISSN":"0008-543X","note":"PMID: 17238180","shortTitle":"Survival after hepatic resection in metastatic colorectal cancer","journalAbbreviation":"Cancer","language":"eng","author":[{"family":"Cummings","given":"Linda C."},{"family":"Payes","given":"Jonathan D."},{"family":"Cooper","given":"Gregory S."}],"issued":{"date-parts":[["2007",2,15]]}},"label":"page"}],"schema":"https://github.com/citation-style-language/schema/raw/master/csl-citation.json"}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However, the DFS in this population was at the lower limit of that reported in the literature, whi</w:t>
      </w:r>
      <w:r w:rsidR="007D52B2" w:rsidRPr="003A7660">
        <w:rPr>
          <w:rFonts w:ascii="Book Antiqua" w:hAnsi="Book Antiqua"/>
          <w:lang w:val="en-US"/>
        </w:rPr>
        <w:t>ch varies from 11</w:t>
      </w:r>
      <w:r w:rsidR="005B6982" w:rsidRPr="003A7660">
        <w:rPr>
          <w:rFonts w:ascii="Book Antiqua" w:hAnsi="Book Antiqua"/>
          <w:lang w:val="en-US"/>
        </w:rPr>
        <w:t>%</w:t>
      </w:r>
      <w:r w:rsidR="005B040C" w:rsidRPr="003A7660">
        <w:rPr>
          <w:rFonts w:ascii="Book Antiqua" w:hAnsi="Book Antiqua"/>
          <w:lang w:val="en-US"/>
        </w:rPr>
        <w:t>-</w:t>
      </w:r>
      <w:r w:rsidR="007D52B2" w:rsidRPr="003A7660">
        <w:rPr>
          <w:rFonts w:ascii="Book Antiqua" w:hAnsi="Book Antiqua"/>
          <w:lang w:val="en-US"/>
        </w:rPr>
        <w:t>37</w:t>
      </w:r>
      <w:r w:rsidR="005B040C" w:rsidRPr="003A7660">
        <w:rPr>
          <w:rFonts w:ascii="Book Antiqua" w:hAnsi="Book Antiqua"/>
          <w:lang w:val="en-US"/>
        </w:rPr>
        <w:t>%</w:t>
      </w:r>
      <w:r w:rsidR="007D52B2" w:rsidRPr="003A7660">
        <w:rPr>
          <w:rFonts w:ascii="Book Antiqua" w:hAnsi="Book Antiqua"/>
          <w:vertAlign w:val="superscript"/>
          <w:lang w:val="en-US"/>
        </w:rPr>
        <w:t>[10,</w:t>
      </w:r>
      <w:r w:rsidRPr="003A7660">
        <w:rPr>
          <w:rFonts w:ascii="Book Antiqua" w:hAnsi="Book Antiqua"/>
          <w:vertAlign w:val="superscript"/>
          <w:lang w:val="en-US"/>
        </w:rPr>
        <w:t>35</w:t>
      </w:r>
      <w:r w:rsidR="007D52B2" w:rsidRPr="003A7660">
        <w:rPr>
          <w:rFonts w:ascii="Book Antiqua" w:eastAsia="宋体" w:hAnsi="Book Antiqua"/>
          <w:vertAlign w:val="superscript"/>
          <w:lang w:val="en-US" w:eastAsia="zh-CN"/>
        </w:rPr>
        <w:t>-</w:t>
      </w:r>
      <w:r w:rsidRPr="003A7660">
        <w:rPr>
          <w:rFonts w:ascii="Book Antiqua" w:hAnsi="Book Antiqua"/>
          <w:vertAlign w:val="superscript"/>
          <w:lang w:val="en-US"/>
        </w:rPr>
        <w:t>39]</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{"citationID":"aru987p85k","properties":{"formattedCitation":"\\super [10,35\\uc0\\u8211{}39]\\nosupersub{}","plainCitation":"","noteIndex":0},"citationItems":[{"id":"jK7A4ffc/l1hY9JTd","uris":["http://zotero.org/users/local/CKZ8Mlfw/items/K35S6CK4"],"uri":["http://zotero.org/users/local/CKZ8Mlfw/items/K35S6CK4"],"itemData":{"id":32,"type":"article-journal","title":"Long-term outcomes after hepatic resection for colorectal metastases in young patients","container-title":"Cancer","page":"647-658","volume":"116","issue":"3","source":"PubMed","abstract":"BACKGROUND: Long-term outcomes after hepatectomy for colorectal liver metastases in relatively young patients are still unknown. The aim of the current study was to evaluate long-term outcomes in patients &lt; or = 40 years old, and to compare them with patients &gt;40 years old.\nMETHODS: All consecutive patients who underwent hepatectomy for colorectal liver metastases at the authors' hospital between 1990 and 2006 were included in the study. Patients &lt; or = 40 years old were compared with all other patients treated during the same period. Overall survival (OS), progression-free survival (PFS), and disease-free survival (DFS) rates were determined, and prognostic factors were identified.\nRESULTS: In total, 806 patients underwent hepatectomy for colorectal liver metastases, of whom 56 (7%) were aged &lt; or = 40 years. Among the young patients, more colorectal liver metastases were present at diagnosis, and they were more often diagnosed synchronous with the primary tumor. Five-year OS was 33% in young patients, compared with 51% in older patients (P = .12). Five-year PFS was 2% in young patients, compared with 16% in older patients (P &lt; .001). DFS rates were comparable between the groups (17% vs 23%, P = .10). At multivariate analysis, age &lt; or = 40 years was identified as an independent predictor of poor PFS.\nCONCLUSIONS: In young patients, colorectal liver metastases seem to be more aggressive, with a trend toward lower OS, more disease recurrences, and a significantly shorter PFS after hepatectomy. However, DFS rates were comparable between young and older patients, owing to an aggressive multimodality treatment approach, consisting of chemotherapy and repeat surgery. Therefore, physicians should recognize the poor outcome of colorectal liver metastases in young patients and should consider an aggressive approach to diagnosis and early treatment.","DOI":"10.1002/cncr.24721","ISSN":"0008-543X","note":"PMID: 19998351","journalAbbreviation":"Cancer","language":"eng","author":[{"family":"Haas","given":"Robbert J.","non-dropping-particle":"de"},{"family":"Wicherts","given":"Dennis A."},{"family":"Salloum","given":"Chadi"},{"family":"Andreani","given":"Paola"},{"family":"Sotirov","given":"Dobromir"},{"family":"Adam","given":"René"},{"family":"Castaing","given":"Denis"},{"family":"Azoulay","given":"Daniel"}],"issued":{"date-parts":[["2010",2,1]]}},"label":"page"},{"id":"jK7A4ffc/gWLCUQWt","uris":["http://zotero.org/users/local/CKZ8Mlfw/items/AUJDK8NM"],"uri":["http://zotero.org/users/local/CKZ8Mlfw/items/AUJDK8NM"],"itemData":{"id":42,"type":"article-journal","title":"Adjuvant chemotherapy after potentially curative resection of metastases from colorectal cancer: a pooled analysis of two randomized trials","container-title":"Journal of Clinical Oncology: Official Journal of the American Society of Clinical Oncology","page":"4906-4911","volume":"26","issue":"30","source":"PubMed","abstract":"PURPOSE: Adjuvant systemic chemotherapy administered after surgical resection of colorectal cancer metastases may reduce the risk of recurrence and improve survival, but its benefit has never been demonstrated. Two phase III trials (Fédération Francophone de Cancérologie Digestive [FFCD] Trial 9002 and the European Organisation for Research and Treatment of Cancer/National Cancer Institute of Canada Clinical Trials Group/Gruppo Italiano di Valutazione Interventi in Oncologia [ENG] trial) used a similar design and showed a trend favoring adjuvant chemotherapy, but both had to close prematurely because of slow accrual, thus lacking the statistical power to demonstrate the predefined difference in survival. We report here a pooled analysis based on individual data from these two trials.\nPATIENTS AND METHODS: After complete resection of colorectal liver or lung metastases, patients were randomly assigned to chemotherapy (CT arm; fluorouracil [FU] 400 mg/m(2) administered intravenously [IV] once daily plus dl-leucovorin 200 mg/m(2) [FFCD] x 5 days or FU 370 mg/m(2) plus l-leucovorin 100 mg/m(2) IV x 5 days [ENG] for six cycles at 28-day intervals) or to surgery alone (S arm).\nRESULTS: A total of 278 patients (CT, n = 138; S, n = 140) were included in the pooled analysis. Median progression-free survival was 27.9 months in the CT arm as compared with 18.8 months in the S arm (hazard ratio = 1.32; 95% CI, 1.00 to 1.76; P = .058). Median overall survival was 62.2 months in the CT arm compared with 47.3 months in the S arm (hazard ratio = 1.32; 95% CI, 0.95 to 1.82; P = .095). Adjuvant chemotherapy was independently associated with both progression-free survival and overall survival in multivariable analysis.\nCONCLUSION: This pooled analysis shows a marginal statistical significance in favor of adjuvant chemotherapy with an FU bolus-based regimen after complete resection of colorectal cancer metastases.","DOI":"10.1200/JCO.2008.17.3781","ISSN":"1527-7755","note":"PMID: 18794541","shortTitle":"Adjuvant chemotherapy after potentially curative resection of metastases from colorectal cancer","journalAbbreviation":"J. Clin. Oncol.","language":"eng","author":[{"family":"Mitry","given":"Emmanuel"},{"family":"Fields","given":"Anthony L. A."},{"family":"Bleiberg","given":"Harry"},{"family":"Labianca","given":"Roberto"},{"family":"Portier","given":"Guillaume"},{"family":"Tu","given":"Dongsheng"},{"family":"Nitti","given":"Donato"},{"family":"Torri","given":"Valter"},{"family":"Elias","given":"Dominique"},{"family":"O'Callaghan","given":"Chris"},{"family":"Langer","given":"Bernard"},{"family":"Martignoni","given":"Giancarlo"},{"family":"Bouché","given":"Olivier"},{"family":"Lazorthes","given":"Franck"},{"family":"Van Cutsem","given":"Eric"},{"family":"Bedenne","given":"Laurent"},{"family":"Moore","given":"Malcolm J."},{"family":"Rougier","given":"Philippe"}],"issued":{"date-parts":[["2008",10,20]]}},"label":"page"},{"id":"jK7A4ffc/wgtuFENj","uris":["http://zotero.org/users/local/CKZ8Mlfw/items/KESWNWCP"],"uri":["http://zotero.org/users/local/CKZ8Mlfw/items/KESWNWCP"],"itemData":{"id":329,"type":"article-journal","title":"Early Recurrence After Hepatectomy for Colorectal Liver Metastases: What Optimal Definition and What Predictive Factors?","container-title":"The Oncologist","page":"887-894","volume":"21","issue":"7","source":"PubMed","abstract":"BACKGROUND: The purpose of this study was to determine the optimal definition and elucidate the predictive factors of early recurrence after surgery for colorectal liver metastases (CRLM).\nMETHODS: Among 987 patients who underwent curative surgery for CRLM from 1990 to 2012, 846 with a minimum follow-up period of 24 months were eligible for this study. The minimum p value approach of survival after initial recurrence was used to determine the optimal cutoff for the definition of early recurrence. The predictive factors of early recurrence and prognostic factors of survival were analyzed.\nRESULTS: For 667 patients (79%) who developed recurrence, the optimal cutoff point of early recurrence was determined to be 8 months after surgery. The impact of early recurrence on survival was demonstrated mainly in patients who received preoperative chemotherapy. Among the 691 patients who received preoperative chemotherapy, recurrence was observed in 562 (81%), and survival in patients with early recurrence was significantly worse than in those with late recurrence (5-year survival 18.5% vs. 53.4%, p &lt; .0001). Multivariate logistic analysis identified age ≤57 years (p = .0022), &gt;1 chemotherapy line (p = .03), disease progression during last-line chemotherapy (p = .024), &gt;3 tumors (p = .0014), and carbohydrate antigen 19-9 &gt;60 U/mL (p = .0003) as independent predictors of early recurrence. Salvage surgery for recurrence significantly improved survival, even in patients with early recurrence.\nCONCLUSION: The optimal cutoff point of early recurrence was determined to be 8 months. The preoperative prediction of early recurrence is possible and crucial for designing effective perioperative chemotherapy regimens.\nIMPLICATIONS FOR PRACTICE: In this study, the optimal cutoff point of early recurrence was determined to be 8 months after surgery based on the minimum p value approach, and its prognostic impact was demonstrated mainly in patients who received preoperative chemotherapy. Five factors, including age, number of preoperative chemotherapy lines, response to last-line chemotherapy, number of tumors, and carbohydrate antigen 19-9 concentrations, were identified as predictors of early recurrence. Salvage surgery for recurrence significantly improved survival, even in patients with early recurrence. For better selection of patients who could truly benefit from surgery and should also receive strong postoperative chemotherapy, the accurate preoperative prediction of early recurrence is crucial.","DOI":"10.1634/theoncologist.2015-0468","ISSN":"1549-490X","note":"PMID: 27125753\nPMCID: PMC4943389","shortTitle":"Early Recurrence After Hepatectomy for Colorectal Liver Metastases","journalAbbreviation":"Oncologist","language":"eng","author":[{"family":"Imai","given":"Katsunori"},{"family":"Allard","given":"Marc-Antoine"},{"family":"Benitez","given":"Carlos Castro"},{"family":"Vibert","given":"Eric"},{"family":"Sa Cunha","given":"Antonio"},{"family":"Cherqui","given":"Daniel"},{"family":"Castaing","given":"Denis"},{"family":"Bismuth","given":"Henri"},{"family":"Baba","given":"Hideo"},{"family":"Adam","given":"René"}],"issued":{"date-parts":[["2016",7]]}},"label":"page"},{"id":"jK7A4ffc/IxrH4boe","uris":["http://zotero.org/users/local/CKZ8Mlfw/items/CZKF8I3H"],"uri":["http://zotero.org/users/local/CKZ8Mlfw/items/CZKF8I3H"],"itemData":{"id":184,"type":"article-journal","title":"Factors influencing recurrence following initial hepatectomy for colorectal liver metastases","container-title":"The British Journal of Surgery","page":"1366-1376","volume":"103","issue":"10","source":"PubMed","abstract":"BACKGROUND: Data on recurrence patterns following hepatectomy for colorectal liver metastases (CRLMs) and their impact on long-term outcomes are limited in the setting of modern multimodal management. This study sought to characterize the patterns of, factors associated with, and survival impact of recurrence following initial hepatectomy for CRLMs.\nMETHODS: A retrospective cohort study of patients undergoing initial hepatectomy for CRLMs at 39 institutions (2006-2013) was conducted. Kaplan-Meier methods were used for survival analyses. Overall survival landmark analysis at 12 months after hepatectomy was performed to compare groups based on recurrence. Multivariable Cox and regression models were used to determine factors associated with recurrence.\nRESULTS: Among 2320 patients, tumours recurred in 47·4 per cent at median of 10·1 (range 0-88) months; 89·1 per cent of recurrences developed within 3 years. Recurrence was intrahepatic in 46·2 per cent, extrahepatic in 31·8 per cent and combined intra/extrahepatic in 22·0 per cent. The 5-year overall survival rate decreased from 74·3 (95 per cent c.i. 72·2 to 76·4) per cent without recurrence to 57·5 (55·0 to 60·0) per cent with recurrence (adjusted hazard ratio (HR) 3·08, 95 per cent c.i. 2·31 to 4·09). After adjusting for clinicopathological variables, prehepatectomy factors associated with increased risk of recurrence were node-positive primary tumour (HR 1·27, 1·09 to 1·49), more than three liver metastases (HR 1·27, 1·06 to 1·52) and largest metastasis greater than 4</w:instrText>
      </w:r>
      <w:r w:rsidRPr="003A7660">
        <w:rPr>
          <w:lang w:val="en-US"/>
        </w:rPr>
        <w:instrText> </w:instrText>
      </w:r>
      <w:r w:rsidRPr="003A7660">
        <w:rPr>
          <w:rFonts w:ascii="Book Antiqua" w:hAnsi="Book Antiqua"/>
          <w:lang w:val="en-US"/>
        </w:rPr>
        <w:instrText>cm (HR 1·19; 1·01 to 1·43).\nCONCLUSION: Recurrence after CRLM resection remains common. Although overall survival is inferior with recurrence, excellent survival rates can still be achieved.","DOI":"10.1002/bjs.10191","ISSN":"1365-2168","note":"PMID: 27306949","journalAbbreviation":"Br J Surg","language":"eng","author":[{"family":"Hallet","given":"J."},{"family":"Sa Cunha","given":"A."},{"family":"Adam","given":"R."},{"family":"Goéré","given":"D."},{"family":"Bachellier","given":"P."},{"family":"Azoulay","given":"D."},{"family":"Ayav","given":"A."},{"family":"Grégoire","given":"E."},{"family":"Navarro","given":"F."},{"family":"Pessaux","given":"P."},{"literal":"French Colorectal Liver Metastases Working Group, Association Française de Chirurgie (AFC)"}],"issued":{"date-parts":[["2016",9]]}},"label":"page"},{"id":"jK7A4ffc/ikEKQXFz","uris":["http://zotero.org/users/local/CKZ8Mlfw/items/Q5ZH8MI8"],"uri":["http://zotero.org/users/local/CKZ8Mlfw/items/Q5ZH8MI8"],"itemData":{"id":180,"type":"article-journal","title":"Is hepatic resection justified after chemotherapy in patients with colorectal liver metastases and lymph node involvement?","container-title":"Journal of Clinical Oncology: Official Journal of the American Society of Clinical Oncology","page":"3672-3680","volume":"26","issue":"22","source":"PubMed","abstract":"PURPOSE: For patients with colorectal liver metastases (CLM), regional lymph node (RLN) involvement is one of the worst prognostic factors. The objective of this study was to evaluate the ability of a multidisciplinary approach, including preoperative chemotherapy and hepatectomy, to improve patient outcomes.\nPATIENTS AND METHODS: Outcomes for a consecutively treated group of patients with CLM and simultaneous RLN involvement were compared with a cohort of patients without RLN involvement. Univariate and multivariate analysis of clinical variables was used to identify prognostic factors in this high-risk group. Results Of the 763 patients who underwent resection at our institution for CLM between 1992 and 2006, 47 patients (6%) were treated with hepatectomy and simultaneous lymphadenectomy. All patients had received preoperative chemotherapy. Five-year overall survival (OS) for patients with and without RLN involvement were 18% and 53%, respectively (P &lt; .001). Five-year disease-free survival rates were 11% and 23%, respectively (P = .004). When diagnosed preoperatively, RLN involvement had an increased 5-year OS compared with intraoperative detection, although the difference was not significant (35% v 10%; P = .18). Location of metastatic RLN strongly influenced survival, with observed 5-year OS of 25% for pedicular, 0% for celiac, and 0% for para-aortic RLN (P = .001). At multivariate analysis, celiac RLN involvement and age &gt;or= 40 years were identified as independent poor prognostic factors.\nCONCLUSION: Combined liver resection and pedicular lymphadenectomy is justified when RLN metastases respond to or are stabilized by preoperative chemotherapy, particularly in young patients. In contrast, this approach does not benefit patients with celiac and/or para-aortic RLN involvement, even when patients' disease is responding to preoperative chemotherapy.","DOI":"10.1200/JCO.2007.15.7297","ISSN":"1527-7755","note":"PMID: 18669451","journalAbbreviation":"J. Clin. Oncol.","language":"eng","author":[{"family":"Adam","given":"René"},{"family":"Haas","given":"Robbert J.","non-dropping-particle":"de"},{"family":"Wicherts","given":"Dennis A."},{"family":"Aloia","given":"Thomas A."},{"family":"Delvart","given":"Valérie"},{"family":"Azoulay","given":"Daniel"},{"family":"Bismuth","given":"Henri"},{"family":"Castaing","given":"Denis"}],"issued":{"date-parts":[["2008",8,1]]}},"label":"page"},{"id":"jK7A4ffc/f6RfDiXD","uris":["http://zotero.org/users/local/CKZ8Mlfw/items/EBNQMXMW"],"uri":["http://zotero.org/users/local/CKZ8Mlfw/items/EBNQMXMW"],"itemData":{"id":211,"type":"article-journal","title":"Predictive factors for time to recurrence, treatment and post-recurrence survival in patients with initially resected colorectal liver metastases","container-title":"World Journal of Surgical Oncology","page":"328","volume":"13","source":"PubMed","abstract":"BACKGROUND: Despite progress in resection for colorectal liver metastases (CLM), the majority of patients experience recurrence. We aimed to evaluate factors influencing time to recurrence (TTR), treatment and post-recurrence survival (PRS) related to site of recurrence.\nMETHODS: This is a retrospective population-based cohort study (1998-2012) of consecutive patients without extrahepatic disease treated with resection for CLM in a referral centre.\nRESULTS: A total of 311 patients underwent resection for CLM. After a median follow-up of 4.2 years (range 1.2-15.2), 209 (67.4 %) patients developed recurrence, hepatic 90, extrahepatic 59 and both 60. Median TTR was 14.0 months, and 5-year recurrence-free status was 25.7 %. Five- and 10-year overall survival (OS) was 38.8 and 22.0 %, respectively. Median OS was 45 months. A multivariate analysis displayed synchronous disease (hazard ratio (HR) 1.50), American Society of Anaesthesiologists (ASA) score (HR 1.40), increasing number (HR 1.24) and size of metastases (HR 1.08) to shorten TTR (all p</w:instrText>
      </w:r>
      <w:r w:rsidRPr="003A7660">
        <w:rPr>
          <w:lang w:val="en-US"/>
        </w:rPr>
        <w:instrText> </w:instrText>
      </w:r>
      <w:r w:rsidRPr="003A7660">
        <w:rPr>
          <w:rFonts w:ascii="Book Antiqua" w:hAnsi="Book Antiqua"/>
          <w:lang w:val="en-US"/>
        </w:rPr>
        <w:instrText>&lt;</w:instrText>
      </w:r>
      <w:r w:rsidRPr="003A7660">
        <w:rPr>
          <w:lang w:val="en-US"/>
        </w:rPr>
        <w:instrText> </w:instrText>
      </w:r>
      <w:r w:rsidRPr="003A7660">
        <w:rPr>
          <w:rFonts w:ascii="Book Antiqua" w:hAnsi="Book Antiqua"/>
          <w:lang w:val="en-US"/>
        </w:rPr>
        <w:instrText>0.05). Perioperative chemotherapy (n</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59) increased overall TTR (HR 0.63) and overall survival (OS; HR 0.55). Hepatic TTR was correlated to synchronous disease (HR 2.07), number of lesions (HR 1.20), R1 resection (HR 2.00) and ASA score (HR 1.69), whereas extrahepatic TTR was correlated to N stage of the primary (HR 1.79), number (HR 1.27) and size of metastases (HR 1.16). Single-site recurrence was most common (135 of 209, 64.5 %), while 58 patients had double- and 16 triple-site relapses. Median PRS was 24.3 months. There was a difference in median PRS (months) according to site of relapse: liver 30.5, lung 32.3, abdominal 22.0, liver and lung 14.3, others 14.8 (p</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0.002). Repeated liver resections were performed in n</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 xml:space="preserve">57 patients resulting in 40.6 months median OS and 36.8 % 5-year OS.\nCONCLUSIONS: An adverse overall TTR was correlated to number and size of metastases, ASA score and synchronous disease. Perioperative chemotherapy increased TTR and OS after surgery for CLM. Patients with solitary post-resection relapse in the liver or lungs had the potential for longevity due to multimodal treatment.","DOI":"10.1186/s12957-015-0738-8","ISSN":"1477-7819","note":"PMID: 26631156\nPMCID: PMC4668655","journalAbbreviation":"World J Surg Oncol","language":"eng","author":[{"family":"Angelsen","given":"Jon-Helge"},{"family":"Viste","given":"Asgaut"},{"family":"Løes","given":"Inger Marie"},{"family":"Eide","given":"Geir Egil"},{"family":"Hoem","given":"Dag"},{"family":"Sorbye","given":"Halfdan"},{"family":"Horn","given":"Arild"}],"issued":{"date-parts":[["2015",12,3]]}},"label":"page"}],"schema":"https://github.com/citation-style-language/schema/raw/master/csl-citation.json"}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xml:space="preserve">. This can </w:t>
      </w:r>
      <w:r w:rsidR="00B614A3" w:rsidRPr="003A7660">
        <w:rPr>
          <w:rFonts w:ascii="Book Antiqua" w:hAnsi="Book Antiqua"/>
          <w:lang w:val="en-US"/>
        </w:rPr>
        <w:t xml:space="preserve">likely </w:t>
      </w:r>
      <w:r w:rsidRPr="003A7660">
        <w:rPr>
          <w:rFonts w:ascii="Book Antiqua" w:hAnsi="Book Antiqua"/>
          <w:lang w:val="en-US"/>
        </w:rPr>
        <w:t>be explained by the particularly severe liver disease in our population of selected patients. Indeed, 75% of our patients had synchronous metastases, while in the literature this ra</w:t>
      </w:r>
      <w:r w:rsidR="007D52B2" w:rsidRPr="003A7660">
        <w:rPr>
          <w:rFonts w:ascii="Book Antiqua" w:hAnsi="Book Antiqua"/>
          <w:lang w:val="en-US"/>
        </w:rPr>
        <w:t>te varies from 15</w:t>
      </w:r>
      <w:r w:rsidR="005B6982" w:rsidRPr="003A7660">
        <w:rPr>
          <w:rFonts w:ascii="Book Antiqua" w:hAnsi="Book Antiqua"/>
          <w:lang w:val="en-US"/>
        </w:rPr>
        <w:t>%</w:t>
      </w:r>
      <w:r w:rsidR="0043613C" w:rsidRPr="003A7660">
        <w:rPr>
          <w:rFonts w:ascii="Book Antiqua" w:hAnsi="Book Antiqua"/>
          <w:lang w:val="en-US"/>
        </w:rPr>
        <w:t>-</w:t>
      </w:r>
      <w:r w:rsidR="007D52B2" w:rsidRPr="003A7660">
        <w:rPr>
          <w:rFonts w:ascii="Book Antiqua" w:hAnsi="Book Antiqua"/>
          <w:lang w:val="en-US"/>
        </w:rPr>
        <w:t>50</w:t>
      </w:r>
      <w:r w:rsidR="0043613C" w:rsidRPr="003A7660">
        <w:rPr>
          <w:rFonts w:ascii="Book Antiqua" w:hAnsi="Book Antiqua"/>
          <w:lang w:val="en-US"/>
        </w:rPr>
        <w:t>%</w:t>
      </w:r>
      <w:r w:rsidR="007D52B2" w:rsidRPr="003A7660">
        <w:rPr>
          <w:rFonts w:ascii="Book Antiqua" w:hAnsi="Book Antiqua"/>
          <w:vertAlign w:val="superscript"/>
          <w:lang w:val="en-US"/>
        </w:rPr>
        <w:t>[2,7,8,</w:t>
      </w:r>
      <w:r w:rsidRPr="003A7660">
        <w:rPr>
          <w:rFonts w:ascii="Book Antiqua" w:hAnsi="Book Antiqua"/>
          <w:vertAlign w:val="superscript"/>
          <w:lang w:val="en-US"/>
        </w:rPr>
        <w:t>38]</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{"citationID":"a2bmk9t5144","properties":{"formattedCitation":"\\super [2,7,8,38]\\nosupersub{}","plainCitation":"","noteIndex":0},"citationItems":[{"id":"jK7A4ffc/ISwsI0wG","uris":["http://zotero.org/users/local/CKZ8Mlfw/items/B84N6GA7"],"uri":["http://zotero.org/users/local/CKZ8Mlfw/items/B84N6GA7"],"itemData":{"id":71,"type":"article-journal","title":"Treatment of colorectal liver metastases","container-title":"World Journal of Surgical Oncology","page":"154","volume":"9","source":"PubMed","abstract":"Colorectal cancer (CRC) is the third most common cancer in the word. Liver metastasis is the most common site of colorectal metastases. The prognosis of resectable colorectal liver metastases (CRLM) was improved in the recent years with the consideration of chemotherapy and surgical resection as part of the multidisciplinary management of the disease; the current 5-year survival rates after resection of liver metastases are 25% to 40%. Resectable synchronous or metachronous liver metastases should be treated with perioperative chemotherapy based on three months of FOLFOX4 (5-fluorouracil [5FU], folinic acid [LV], and oxaliplatin) chemotherapy before surgery and three months after surgery. In the case of primary surgery, pseudo-adjuvant chemotherapy for 6 months, based on 5FU/LV, FOLFOX4, XELOX (capecitabine and oxaliplatin) or FOLFIRI (5FU/LV and irinotecan), should be indicated. In potentially resectable disease, primary chemotherapy based on more intensive regimens such as FOLFIRINOX (5FU/LV, irinotecan and oxaliplatin) should be considered to enhance the chance of cure. The palliative chemotherapy based on FOLFIRI, or FOLFOX4/XELOX with or without targeted therapies, is the mainstay treatment of unresectable disease. This review would provide additional insight into the problem of optimal integration of chemotherapy and surgery in the management of CRLM.","DOI":"10.1186/1477-7819-9-154","ISSN":"1477-7819","note":"PMID: 22115124\nPMCID: PMC3251538","journalAbbreviation":"World J Surg Oncol","language":"eng","author":[{"family":"Ismaili","given":"Nabil"}],"issued":{"date-parts":[["2011",11,24]]}},"label":"page"},{"id":"jK7A4ffc/jxh4lxtK","uris":["http://zotero.org/users/local/CKZ8Mlfw/items/EV52B5ZN"],"uri":["http://zotero.org/users/local/CKZ8Mlfw/items/EV52B5ZN"],"itemData":{"id":100,"type":"article-journal","title":"Epidemiology and management of liver metastases from colorectal cancer","container-title":"Annals of Surgery","page":"254-259","volume":"244","issue":"2","source":"PubMed","abstract":"OBJECTIVE/BACKGROUND: Little is known about the epidemiology and the management of liver metastases from colorectal cancer at a population level. The aim of this population-based study was to report on the incidence, treatment, and prognosis of synchronous and metachronous liver metastases.\nMETHODS: Data were obtained from the population-based cancer registry of Burgundy (France).\nRESULTS: The proportion of patients with synchronous liver metastases was 14.5%. Age-standardized incidence rates were 7.6 per 100,000 in males, 3.7 per 100,000 in females. The 5-year cumulative metachronous liver metastasis rate was 14.5%. It was 3.7% for TNM stage I tumors, 13.3% for stage II, and 30.4% for stage III (P &lt; 0.001). The risk of liver metastasis was also associated to gross features. Resection for cure was performed in 6.3% of synchronous liver metastases and 16.9% of metachronous liver metastases. Age, presence of another site of recurrence, and period of diagnosis were independent factors associated with the performance of a resection for cure. The 1- and 5-year survival rates were 34.8% and 3.3% for synchronous liver metastases. Their corresponding rates were, respectively, 37.6% and 6.1% for metachronous liver metastases.\nCONCLUSION: Liver metastases from colorectal cancer remain a substantial problem. More effective treatments and mass screening represent promising approaches to decrease this problem.","DOI":"10.1097/01.sla.0000217629.94941.cf","ISSN":"0003-4932","note":"PMID: 16858188\nPMCID: PMC1602156","journalAbbreviation":"Ann. Surg.","language":"eng","author":[{"family":"Manfredi","given":"Sylvain"},{"family":"Lepage","given":"Côme"},{"family":"Hatem","given":"Cyril"},{"family":"Coatmeur","given":"Olivier"},{"family":"Faivre","given":"Jean"},{"family":"Bouvier","given":"Anne-Marie"}],"issued":{"date-parts":[["2006",8]]}},"label":"page"},{"id":"jK7A4ffc/inGP5OBE","uris":["http://zotero.org/users/local/CKZ8Mlfw/items/UFVNTX6C"],"uri":["http://zotero.org/users/local/CKZ8Mlfw/items/UFVNTX6C"],"itemData":{"id":313,"type":"article-journal","title":"A population-based study of the incidence, management and prognosis of hepatic metastases from colorectal cancer","container-title":"The British Journal of Surgery","page":"465-474","volume":"93","issue":"4","source":"PubMed","abstract":"BACKGROUND: The aim of this population-based study was to evaluate the incidence, management and prognosis of patients with hepatic metastases related to colorectal cancer using data from the Digestive Cancer Registry of Calvados, France.\nMETHODS: Of 1325 patients with colorectal cancer registered between January 1994 and December 1999, 358 developed hepatic metastases. Logistic regression was used to analyse prognostic factors. Survival analysis was carried out with Cox's proportional hazards model.\nRESULTS: Some 18.8 per cent of patients had synchronous metastases, while 29.3 per cent developed metastases at 3 years. Of patients with hepatic metastases, 17.3 per cent had a surgical resection, 40.2 per cent were treated with palliative chemotherapy and 42.5 per cent had symptomatic treatment. Factors associated with receiving symptomatic treatment only were age over 75 years and more than one metastasis, but not place of treatment. Median survival after a diagnosis of hepatic metastases was 10.7 (range 4.6-23.1) months. Significant adverse prognostic factors were: age over 75 years (P = 0.001), lymph node invasion of primary tumour (P = 0.024), bilateral distribution of metastases (P = 0.001), other metastases (P = 0.004) and symptomatic treatment only (P = 0.041).\nCONCLUSION: Despite improvement in treatment for hepatic metastases, age and extent of disease remain limiting factors for surgical resection and palliative chemotherapy.","DOI":"10.1002/bjs.5278","ISSN":"0007-1323","note":"PMID: 16523446","journalAbbreviation":"Br J Surg","language":"eng","author":[{"family":"Leporrier","given":"J."},{"family":"Maurel","given":"J."},{"family":"Chiche","given":"L."},{"family":"Bara","given":"S."},{"family":"Segol","given":"P."},{"family":"Launoy","given":"G."}],"issued":{"date-parts":[["2006",4]]}},"label":"page"},{"id":"jK7A4ffc/f6RfDiXD","uris":["http://zotero.org/users/local/CKZ8Mlfw/items/EBNQMXMW"],"uri":["http://zotero.org/users/local/CKZ8Mlfw/items/EBNQMXMW"],"itemData":{"id":211,"type":"article-journal","title":"Predictive factors for time to recurrence, treatment and post-recurrence survival in patients with initially resected colorectal liver metastases","container-title":"World Journal of Surgical Oncology","page":"328","volume":"13","source":"PubMed","abstract":"BACKGROUND: Despite progress in resection for colorectal liver metastases (CLM), the majority of patients experience recurrence. We aimed to evaluate factors influencing time to recurrence (TTR), treatment and post-recurrence survival (PRS) related to site of recurrence.\nMETHODS: This is a retrospective population-based cohort study (1998-2012) of consecutive patients without extrahepatic disease treated with resection for CLM in a referral centre.\nRESULTS: A total of 311 patients underwent resection for CLM. After a median follow-up of 4.2 years (range 1.2-15.2), 209 (67.4 %) patients developed recurrence, hepatic 90, extrahepatic 59 and both 60. Median TTR was 14.0 months, and 5-year recurrence-free status was 25.7 %. Five- and 10-year overall survival (OS) was 38.8 and 22.0 %, respectively. Median OS was 45 months. A multivariate analysis displayed synchronous disease (hazard ratio (HR) 1.50), American Society of Anaesthesiologists (ASA) score (HR 1.40), increasing number (HR 1.24) and size of metastases (HR 1.08) to shorten TTR (all p</w:instrText>
      </w:r>
      <w:r w:rsidRPr="003A7660">
        <w:rPr>
          <w:lang w:val="en-US"/>
        </w:rPr>
        <w:instrText> </w:instrText>
      </w:r>
      <w:r w:rsidRPr="003A7660">
        <w:rPr>
          <w:rFonts w:ascii="Book Antiqua" w:hAnsi="Book Antiqua"/>
          <w:lang w:val="en-US"/>
        </w:rPr>
        <w:instrText>&lt;</w:instrText>
      </w:r>
      <w:r w:rsidRPr="003A7660">
        <w:rPr>
          <w:lang w:val="en-US"/>
        </w:rPr>
        <w:instrText> </w:instrText>
      </w:r>
      <w:r w:rsidRPr="003A7660">
        <w:rPr>
          <w:rFonts w:ascii="Book Antiqua" w:hAnsi="Book Antiqua"/>
          <w:lang w:val="en-US"/>
        </w:rPr>
        <w:instrText>0.05). Perioperative chemotherapy (n</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59) increased overall TTR (HR 0.63) and overall survival (OS; HR 0.55). Hepatic TTR was correlated to synchronous disease (HR 2.07), number of lesions (HR 1.20), R1 resection (HR 2.00) and ASA score (HR 1.69), whereas extrahepatic TTR was correlated to N stage of the primary (HR 1.79), number (HR 1.27) and size of metastases (HR 1.16). Single-site recurrence was most common (135 of 209, 64.5 %), while 58 patients had double- and 16 triple-site relapses. Median PRS was 24.3 months. There was a difference in median PRS (months) according to site of relapse: liver 30.5, lung 32.3, abdominal 22.0, liver and lung 14.3, others 14.8 (p</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0.002). Repeated liver resections were performed in n</w:instrText>
      </w:r>
      <w:r w:rsidRPr="003A7660">
        <w:rPr>
          <w:lang w:val="en-US"/>
        </w:rPr>
        <w:instrText> </w:instrText>
      </w:r>
      <w:r w:rsidRPr="003A7660">
        <w:rPr>
          <w:rFonts w:ascii="Book Antiqua" w:hAnsi="Book Antiqua"/>
          <w:lang w:val="en-US"/>
        </w:rPr>
        <w:instrText>=</w:instrText>
      </w:r>
      <w:r w:rsidRPr="003A7660">
        <w:rPr>
          <w:lang w:val="en-US"/>
        </w:rPr>
        <w:instrText> </w:instrText>
      </w:r>
      <w:r w:rsidRPr="003A7660">
        <w:rPr>
          <w:rFonts w:ascii="Book Antiqua" w:hAnsi="Book Antiqua"/>
          <w:lang w:val="en-US"/>
        </w:rPr>
        <w:instrText xml:space="preserve">57 patients resulting in 40.6 months median OS and 36.8 % 5-year OS.\nCONCLUSIONS: An adverse overall TTR was correlated to number and size of metastases, ASA score and synchronous disease. Perioperative chemotherapy increased TTR and OS after surgery for CLM. Patients with solitary post-resection relapse in the liver or lungs had the potential for longevity due to multimodal treatment.","DOI":"10.1186/s12957-015-0738-8","ISSN":"1477-7819","note":"PMID: 26631156\nPMCID: PMC4668655","journalAbbreviation":"World J Surg Oncol","language":"eng","author":[{"family":"Angelsen","given":"Jon-Helge"},{"family":"Viste","given":"Asgaut"},{"family":"Løes","given":"Inger Marie"},{"family":"Eide","given":"Geir Egil"},{"family":"Hoem","given":"Dag"},{"family":"Sorbye","given":"Halfdan"},{"family":"Horn","given":"Arild"}],"issued":{"date-parts":[["2015",12,3]]}},"label":"page"}],"schema":"https://github.com/citation-style-language/schema/raw/master/csl-citation.json"}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xml:space="preserve">. We noted </w:t>
      </w:r>
      <w:r w:rsidR="00DA45CA" w:rsidRPr="003A7660">
        <w:rPr>
          <w:rFonts w:ascii="Book Antiqua" w:eastAsia="宋体" w:hAnsi="Book Antiqua"/>
          <w:lang w:val="en-US" w:eastAsia="zh-CN"/>
        </w:rPr>
        <w:t>HR</w:t>
      </w:r>
      <w:r w:rsidRPr="003A7660">
        <w:rPr>
          <w:rFonts w:ascii="Book Antiqua" w:hAnsi="Book Antiqua"/>
          <w:lang w:val="en-US"/>
        </w:rPr>
        <w:t xml:space="preserve"> in 49% of the patients (TRG 1 to 3), including </w:t>
      </w:r>
      <w:r w:rsidR="0043613C" w:rsidRPr="003A7660">
        <w:rPr>
          <w:rFonts w:ascii="Book Antiqua" w:hAnsi="Book Antiqua"/>
          <w:lang w:val="en-US"/>
        </w:rPr>
        <w:t>five</w:t>
      </w:r>
      <w:r w:rsidRPr="003A7660">
        <w:rPr>
          <w:rFonts w:ascii="Book Antiqua" w:hAnsi="Book Antiqua"/>
          <w:lang w:val="en-US"/>
        </w:rPr>
        <w:t xml:space="preserve"> patients (7%) with complete tumor regression (TRG1). In research published in 2007, the Rubbia-Brandt team found a good </w:t>
      </w:r>
      <w:r w:rsidR="00DA45CA" w:rsidRPr="003A7660">
        <w:rPr>
          <w:rFonts w:ascii="Book Antiqua" w:eastAsia="宋体" w:hAnsi="Book Antiqua"/>
          <w:lang w:val="en-US" w:eastAsia="zh-CN"/>
        </w:rPr>
        <w:t>HR</w:t>
      </w:r>
      <w:r w:rsidRPr="003A7660">
        <w:rPr>
          <w:rFonts w:ascii="Book Antiqua" w:hAnsi="Book Antiqua"/>
          <w:lang w:val="en-US"/>
        </w:rPr>
        <w:t xml:space="preserve"> rate of 2</w:t>
      </w:r>
      <w:r w:rsidR="0043613C" w:rsidRPr="003A7660">
        <w:rPr>
          <w:rFonts w:ascii="Book Antiqua" w:hAnsi="Book Antiqua"/>
          <w:lang w:val="en-US"/>
        </w:rPr>
        <w:t>7</w:t>
      </w:r>
      <w:r w:rsidR="005B6982" w:rsidRPr="003A7660">
        <w:rPr>
          <w:rFonts w:ascii="Book Antiqua" w:hAnsi="Book Antiqua"/>
          <w:lang w:val="en-US"/>
        </w:rPr>
        <w:t>%</w:t>
      </w:r>
      <w:r w:rsidR="0043613C" w:rsidRPr="003A7660">
        <w:rPr>
          <w:rFonts w:ascii="Book Antiqua" w:hAnsi="Book Antiqua"/>
          <w:lang w:val="en-US"/>
        </w:rPr>
        <w:t>-</w:t>
      </w:r>
      <w:r w:rsidRPr="003A7660">
        <w:rPr>
          <w:rFonts w:ascii="Book Antiqua" w:hAnsi="Book Antiqua"/>
          <w:lang w:val="en-US"/>
        </w:rPr>
        <w:t>82</w:t>
      </w:r>
      <w:r w:rsidR="0043613C" w:rsidRPr="003A7660">
        <w:rPr>
          <w:rFonts w:ascii="Book Antiqua" w:hAnsi="Book Antiqua"/>
          <w:lang w:val="en-US"/>
        </w:rPr>
        <w:t>%</w:t>
      </w:r>
      <w:r w:rsidRPr="003A7660">
        <w:rPr>
          <w:rFonts w:ascii="Book Antiqua" w:hAnsi="Book Antiqua"/>
          <w:lang w:val="en-US"/>
        </w:rPr>
        <w:t>, which varied accordi</w:t>
      </w:r>
      <w:r w:rsidR="007D52B2" w:rsidRPr="003A7660">
        <w:rPr>
          <w:rFonts w:ascii="Book Antiqua" w:hAnsi="Book Antiqua"/>
          <w:lang w:val="en-US"/>
        </w:rPr>
        <w:t>ng to the chemotherapy protocol</w:t>
      </w:r>
      <w:r w:rsidRPr="003A7660">
        <w:rPr>
          <w:rFonts w:ascii="Book Antiqua" w:hAnsi="Book Antiqua"/>
          <w:vertAlign w:val="superscript"/>
          <w:lang w:val="en-US"/>
        </w:rPr>
        <w:t>[31]</w:t>
      </w:r>
      <w:r w:rsidRPr="003A7660">
        <w:rPr>
          <w:rFonts w:ascii="Book Antiqua" w:hAnsi="Book Antiqua"/>
          <w:vertAlign w:val="superscript"/>
          <w:lang w:val="en-US"/>
        </w:rPr>
        <w:fldChar w:fldCharType="begin"/>
      </w:r>
      <w:r w:rsidRPr="003A7660">
        <w:rPr>
          <w:rFonts w:ascii="Book Antiqua" w:hAnsi="Book Antiqua"/>
          <w:vertAlign w:val="superscript"/>
          <w:lang w:val="en-US"/>
        </w:rPr>
        <w:instrText xml:space="preserve"> ADDIN ZOTERO_ITEM CSL_CITATION {"citationID":"1gEDRxFT","properties":{"formattedCitation":"\\super [31]\\nosupersub{}","plainCitation":"","noteIndex":0},"citationItems":[{"id":"jK7A4ffc/s2yWneGp","uris":["http://zotero.org/users/local/CKZ8Mlfw/items/CGIF8WQK"],"uri":["http://zotero.org/users/local/CKZ8Mlfw/items/CGIF8WQK"],"itemData":{"id":46,"type":"article-journal","title":"Importance of histological tumor response assessment in predicting the outcome in patients with colorectal liver metastases treated with neo-adjuvant chemotherapy followed by liver surgery","container-title":"Annals of Oncology: Official Journal of the European Society for Medical Oncology","page":"299-304","volume":"18","issue":"2","source":"PubMed","abstract":"BACKGROUND: The purpose of the study was to characterize histological response to chemotherapy of hepatic colorectal metastases (HCRM), evaluate efficacy of different chemotherapies on histological response, and determine whether tumor regression grading (TRG) of HCRM predicts clinical outcome.\nPATIENTS AND METHODS: TRG was evaluated on 525 HCRM surgically resected from 181 patients, 112 pretreated with chemotherapy. Disease-free survival (DFS) and overall survival (OS) were correlated to TRG.\nRESULTS: Tumor regression was characterized by fibrosis overgrowing on tumor cells, decreased necrosis, and tumor glands (if present) at the periphery of HCRM. With irinotecan/5-fluorouracil (5-FU), major (MjHR), partial (PHR), and no (NHR) histological tumor regression were observed in 17%, 13%, and 70% of patients, respectively. With oxaliplatin/5-FU, MjHR, PHR, and NHR were observed in 37%, 45%, and 18% of patients, respectively. Five patients, treated with oxaliplatin, had complete response in all their metastases. MjHR was associated with an improved 3-year DFS compared with PHR or NHR. MjHR and PHR were associated with an improved 5-year OS compared with NHR.\nCONCLUSION: Histological tumor regression of HCRM to chemotherapy corresponds to fibrosis overgrowth and not to increase of necrosis. TRG should be considered when evaluating efficacy of chemotherapy for HCRM. Histological tumor regression was most common among oxaliplatin-treated patients and associated with better clinical outcome.","DOI":"10.1093/annonc/mdl386","ISSN":"0923-7534","note":"PMID: 17060484","journalAbbreviation":"Ann. Oncol.","language":"eng","author":[{"family":"Rubbia-Brandt","given":"L."},{"family":"Giostra","given":"E."},{"family":"Brezault","given":"C."},{"family":"Roth","given":"A. D."},{"family":"Andres","given":"A."},{"family":"Audard","given":"V."},{"family":"Sartoretti","given":"P."},{"family":"Dousset","given":"B."},{"family":"Majno","given":"P. E."},{"family":"Soubrane","given":"O."},{"family":"Chaussade","given":"S."},{"family":"Mentha","given":"G."},{"family":"Terris","given":"B."}],"issued":{"date-parts":[["2007",2]]}}}],"schema":"https://github.com/citation-style-language/schema/raw/master/csl-citation.json"} </w:instrText>
      </w:r>
      <w:r w:rsidRPr="003A7660">
        <w:rPr>
          <w:rFonts w:ascii="Book Antiqua" w:hAnsi="Book Antiqua"/>
          <w:vertAlign w:val="superscript"/>
          <w:lang w:val="en-US"/>
        </w:rPr>
        <w:fldChar w:fldCharType="end"/>
      </w:r>
      <w:r w:rsidRPr="003A7660">
        <w:rPr>
          <w:rFonts w:ascii="Book Antiqua" w:hAnsi="Book Antiqua"/>
          <w:lang w:val="en-US"/>
        </w:rPr>
        <w:t xml:space="preserve">. </w:t>
      </w:r>
      <w:r w:rsidR="007D52B2" w:rsidRPr="003A7660">
        <w:rPr>
          <w:rFonts w:ascii="Book Antiqua" w:hAnsi="Book Antiqua"/>
          <w:lang w:val="en-US"/>
        </w:rPr>
        <w:t>Viganò</w:t>
      </w:r>
      <w:r w:rsidR="007D52B2" w:rsidRPr="003A7660">
        <w:rPr>
          <w:rFonts w:ascii="Book Antiqua" w:eastAsia="宋体" w:hAnsi="Book Antiqua"/>
          <w:b/>
          <w:lang w:val="en-US" w:eastAsia="zh-CN"/>
        </w:rPr>
        <w:t xml:space="preserve"> </w:t>
      </w:r>
      <w:r w:rsidRPr="003A7660">
        <w:rPr>
          <w:rFonts w:ascii="Book Antiqua" w:hAnsi="Book Antiqua"/>
          <w:i/>
          <w:lang w:val="en-US"/>
        </w:rPr>
        <w:t>et al</w:t>
      </w:r>
      <w:r w:rsidRPr="003A7660">
        <w:rPr>
          <w:rFonts w:ascii="Book Antiqua" w:hAnsi="Book Antiqua"/>
          <w:vertAlign w:val="superscript"/>
          <w:lang w:val="en-US"/>
        </w:rPr>
        <w:t>[13]</w:t>
      </w:r>
      <w:r w:rsidRPr="003A7660">
        <w:rPr>
          <w:rFonts w:ascii="Book Antiqua" w:hAnsi="Book Antiqua"/>
          <w:vertAlign w:val="superscript"/>
          <w:lang w:val="en-US"/>
        </w:rPr>
        <w:fldChar w:fldCharType="begin"/>
      </w:r>
      <w:r w:rsidRPr="003A7660">
        <w:rPr>
          <w:rFonts w:ascii="Book Antiqua" w:hAnsi="Book Antiqua"/>
          <w:vertAlign w:val="superscript"/>
          <w:lang w:val="en-US"/>
        </w:rPr>
        <w:instrText xml:space="preserve"> ADDIN ZOTERO_ITEM CSL_CITATION {"citationID":"J9i8MDlc","properties":{"formattedCitation":"\\super [13]\\nosupersub{}","plainCitation":"","noteIndex":0},"citationItems":[{"id":"jK7A4ffc/5gdkHt5Q","uris":["http://zotero.org/users/local/CKZ8Mlfw/items/7Q2PP35Z"],"uri":["http://zotero.org/users/local/CKZ8Mlfw/items/7Q2PP35Z"],"itemData":{"id":6,"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Oulhaci"},{"family":"Mentha","given":"Gilles"},{"family":"Rubbia-Brandt","given":"Laura"}],"issued":{"date-parts":[["2013",11]]}}}],"schema":"https://github.com/citation-style-language/schema/raw/master/csl-citation.json"} </w:instrText>
      </w:r>
      <w:r w:rsidRPr="003A7660">
        <w:rPr>
          <w:rFonts w:ascii="Book Antiqua" w:hAnsi="Book Antiqua"/>
          <w:vertAlign w:val="superscript"/>
          <w:lang w:val="en-US"/>
        </w:rPr>
        <w:fldChar w:fldCharType="end"/>
      </w:r>
      <w:r w:rsidRPr="003A7660">
        <w:rPr>
          <w:rFonts w:ascii="Book Antiqua" w:hAnsi="Book Antiqua"/>
          <w:vertAlign w:val="superscript"/>
          <w:lang w:val="en-US"/>
        </w:rPr>
        <w:t xml:space="preserve"> </w:t>
      </w:r>
      <w:r w:rsidRPr="003A7660">
        <w:rPr>
          <w:rFonts w:ascii="Book Antiqua" w:hAnsi="Book Antiqua"/>
          <w:lang w:val="en-US"/>
        </w:rPr>
        <w:lastRenderedPageBreak/>
        <w:t xml:space="preserve">had figures similar to ours, with a good </w:t>
      </w:r>
      <w:r w:rsidR="00DA45CA" w:rsidRPr="003A7660">
        <w:rPr>
          <w:rFonts w:ascii="Book Antiqua" w:eastAsia="宋体" w:hAnsi="Book Antiqua"/>
          <w:lang w:val="en-US" w:eastAsia="zh-CN"/>
        </w:rPr>
        <w:t>HR</w:t>
      </w:r>
      <w:r w:rsidRPr="003A7660">
        <w:rPr>
          <w:rFonts w:ascii="Book Antiqua" w:hAnsi="Book Antiqua"/>
          <w:lang w:val="en-US"/>
        </w:rPr>
        <w:t xml:space="preserve"> (TRG 1 to 3) for 44% of the patients and complete tumor regression (TRG1) for 8% of the patients, as was the case with the series reported by </w:t>
      </w:r>
      <w:r w:rsidR="007D52B2" w:rsidRPr="003A7660">
        <w:rPr>
          <w:rFonts w:ascii="Book Antiqua" w:hAnsi="Book Antiqua"/>
          <w:lang w:val="en-US"/>
        </w:rPr>
        <w:t>Loupakis</w:t>
      </w:r>
      <w:r w:rsidRPr="003A7660">
        <w:rPr>
          <w:rFonts w:ascii="Book Antiqua" w:hAnsi="Book Antiqua"/>
          <w:lang w:val="en-US"/>
        </w:rPr>
        <w:t xml:space="preserve"> </w:t>
      </w:r>
      <w:r w:rsidR="007D52B2" w:rsidRPr="003A7660">
        <w:rPr>
          <w:rFonts w:ascii="Book Antiqua" w:hAnsi="Book Antiqua"/>
          <w:i/>
          <w:lang w:val="en-US"/>
        </w:rPr>
        <w:t>et al</w:t>
      </w:r>
      <w:r w:rsidR="007D52B2" w:rsidRPr="003A7660">
        <w:rPr>
          <w:rFonts w:ascii="Book Antiqua" w:hAnsi="Book Antiqua"/>
          <w:vertAlign w:val="superscript"/>
          <w:lang w:val="en-US"/>
        </w:rPr>
        <w:t>[41]</w:t>
      </w:r>
      <w:r w:rsidRPr="003A7660">
        <w:rPr>
          <w:rFonts w:ascii="Book Antiqua" w:hAnsi="Book Antiqua"/>
          <w:lang w:val="en-US"/>
        </w:rPr>
        <w:t xml:space="preserve">, with </w:t>
      </w:r>
      <w:r w:rsidR="00DA45CA" w:rsidRPr="003A7660">
        <w:rPr>
          <w:rFonts w:ascii="Book Antiqua" w:eastAsia="宋体" w:hAnsi="Book Antiqua"/>
          <w:lang w:val="en-US" w:eastAsia="zh-CN"/>
        </w:rPr>
        <w:t>HR</w:t>
      </w:r>
      <w:r w:rsidRPr="003A7660">
        <w:rPr>
          <w:rFonts w:ascii="Book Antiqua" w:hAnsi="Book Antiqua"/>
          <w:lang w:val="en-US"/>
        </w:rPr>
        <w:t xml:space="preserve"> for 48% and complete tumor regression (TRG 1) for 14% of the patients</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{"citationID":"6bLk94Ee","properties":{"formattedCitation":"\\super [41]\\nosupersub{}","plainCitation":"","noteIndex":0},"citationItems":[{"id":"jK7A4ffc/o6H5ttSN","uris":["http://zotero.org/users/local/CKZ8Mlfw/items/AEPBPS4I"],"uri":["http://zotero.org/users/local/CKZ8Mlfw/items/AEPBPS4I"],"itemData":{"id":108,"type":"article-journal","title":"Histopathologic evaluation of liver metastases from colorectal cancer in patients treated with FOLFOXIRI plus bevacizumab","container-title":"British Journal of Cancer","page":"2549-2556","volume":"108","issue":"12","source":"PubMed Central","abstract":"Background:\nThe FOLFOXIRI regimen produces a high rate of radiological and histopathological responses. Bevacizumab added to chemotherapy showed an improvement in pathological response and necrosis of colorectal liver metastases (CLMs). FOLFOXIRI plus bevacizumab produced promising early clinical results and is under investigation in several randomised trials, although no data are currently available on its effects on response of CLMs and on liver toxicities.\n\nMethods:\nStarting from 499 patients enrolled in first-line phase II/III trials, we selected on the basis of tissue sample availability 18 patients treated with FOLFOXIRI/XELOXIRI and 24 patients treated with FOLFOXIRI plus bevacizumab who underwent secondary resection of CLMs. The 28 untreated patients who underwent primary resection of CLMs were included as control group. Responses of CLMs and chemotherapy-induced toxicities were assessed.\n\nResults:\nAmong the patients, 63% of those treated with FOLFOXIRI plus bevacizumab, as compared with 28% of those treated with only FOLFOXIRI/XELOXIRI, showed a histopathological response (P=0.033). In the two groups, 52% and 12.5%, respectively, showed necrosis </w:instrText>
      </w:r>
      <w:r w:rsidRPr="003A7660">
        <w:rPr>
          <w:rFonts w:ascii="Cambria Math" w:hAnsi="Cambria Math" w:cs="Cambria Math"/>
          <w:lang w:val="en-US"/>
        </w:rPr>
        <w:instrText>⩾</w:instrText>
      </w:r>
      <w:r w:rsidRPr="003A7660">
        <w:rPr>
          <w:rFonts w:ascii="Book Antiqua" w:hAnsi="Book Antiqua"/>
          <w:lang w:val="en-US"/>
        </w:rPr>
        <w:instrText xml:space="preserve">50% (P=0.017). The incidence of liver toxicities was not significantly increased in patients treated with FOLFOXIRI plus bevacizumab.\n\nConclusion:\nThe addition of bevacizumab to FOLFOXIRI produces high rates of pathologic responses and necrosis of CLM without increasing liver toxicity.","DOI":"10.1038/bjc.2013.245","ISSN":"0007-0920","note":"PMID: 23703247\nPMCID: PMC3694238","journalAbbreviation":"Br J Cancer","author":[{"family":"Loupakis","given":"F"},{"family":"Schirripa","given":"M"},{"family":"Caparello","given":"C"},{"family":"Funel","given":"N"},{"family":"Pollina","given":"L"},{"family":"Vasile","given":"E"},{"family":"Cremolini","given":"C"},{"family":"Salvatore","given":"L"},{"family":"Morvillo","given":"M"},{"family":"Antoniotti","given":"C"},{"family":"Marmorino","given":"F"},{"family":"Masi","given":"G"},{"family":"Falcone","given":"A"}],"issued":{"date-parts":[["2013",6,25]]}}}],"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We used the Rubbia-Brandt score</w:t>
      </w:r>
      <w:r w:rsidR="0043613C" w:rsidRPr="003A7660">
        <w:rPr>
          <w:rFonts w:ascii="Book Antiqua" w:hAnsi="Book Antiqua"/>
          <w:lang w:val="en-US"/>
        </w:rPr>
        <w:t>,</w:t>
      </w:r>
      <w:r w:rsidRPr="003A7660">
        <w:rPr>
          <w:rFonts w:ascii="Book Antiqua" w:hAnsi="Book Antiqua"/>
          <w:lang w:val="en-US"/>
        </w:rPr>
        <w:t xml:space="preserve"> as it was the first to define standardized histological criteria of response to </w:t>
      </w:r>
      <w:r w:rsidR="001723EF" w:rsidRPr="003A7660">
        <w:rPr>
          <w:rFonts w:ascii="Book Antiqua" w:eastAsia="宋体" w:hAnsi="Book Antiqua"/>
          <w:lang w:val="en-US" w:eastAsia="zh-CN"/>
        </w:rPr>
        <w:t>NAC</w:t>
      </w:r>
      <w:r w:rsidRPr="003A7660">
        <w:rPr>
          <w:rFonts w:ascii="Book Antiqua" w:hAnsi="Book Antiqua"/>
          <w:lang w:val="en-US"/>
        </w:rPr>
        <w:t xml:space="preserve"> in cases of </w:t>
      </w:r>
      <w:r w:rsidR="001723EF" w:rsidRPr="003A7660">
        <w:rPr>
          <w:rFonts w:ascii="Book Antiqua" w:eastAsia="宋体" w:hAnsi="Book Antiqua"/>
          <w:lang w:val="en-US" w:eastAsia="zh-CN"/>
        </w:rPr>
        <w:t>CRLMs</w:t>
      </w:r>
      <w:r w:rsidR="0043613C" w:rsidRPr="003A7660">
        <w:rPr>
          <w:rFonts w:ascii="Book Antiqua" w:eastAsia="宋体" w:hAnsi="Book Antiqua"/>
          <w:lang w:val="en-US" w:eastAsia="zh-CN"/>
        </w:rPr>
        <w:t>,</w:t>
      </w:r>
      <w:r w:rsidR="001723EF" w:rsidRPr="003A7660">
        <w:rPr>
          <w:rFonts w:ascii="Book Antiqua" w:eastAsia="宋体" w:hAnsi="Book Antiqua"/>
          <w:lang w:val="en-US" w:eastAsia="zh-CN"/>
        </w:rPr>
        <w:t xml:space="preserve"> </w:t>
      </w:r>
      <w:r w:rsidRPr="003A7660">
        <w:rPr>
          <w:rFonts w:ascii="Book Antiqua" w:hAnsi="Book Antiqua"/>
          <w:lang w:val="en-US"/>
        </w:rPr>
        <w:t>and also because of its use in t</w:t>
      </w:r>
      <w:r w:rsidR="007D52B2" w:rsidRPr="003A7660">
        <w:rPr>
          <w:rFonts w:ascii="Book Antiqua" w:hAnsi="Book Antiqua"/>
          <w:lang w:val="en-US"/>
        </w:rPr>
        <w:t>he management of rectal cancers</w:t>
      </w:r>
      <w:r w:rsidRPr="003A7660">
        <w:rPr>
          <w:rFonts w:ascii="Book Antiqua" w:hAnsi="Book Antiqua"/>
          <w:vertAlign w:val="superscript"/>
          <w:lang w:val="en-US"/>
        </w:rPr>
        <w:t>[42]</w:t>
      </w:r>
      <w:r w:rsidRPr="003A7660">
        <w:rPr>
          <w:rFonts w:ascii="Book Antiqua" w:hAnsi="Book Antiqua"/>
          <w:vertAlign w:val="superscript"/>
          <w:lang w:val="en-US"/>
        </w:rPr>
        <w:fldChar w:fldCharType="begin"/>
      </w:r>
      <w:r w:rsidRPr="003A7660">
        <w:rPr>
          <w:rFonts w:ascii="Book Antiqua" w:hAnsi="Book Antiqua"/>
          <w:vertAlign w:val="superscript"/>
          <w:lang w:val="en-US"/>
        </w:rPr>
        <w:instrText xml:space="preserve"> ADDIN ZOTERO_ITEM CSL_CITATION {"citationID":"YfAVCp4j","properties":{"formattedCitation":"\\super [42]\\nosupersub{}","plainCitation":"","noteIndex":0},"citationItems":[{"id":"jK7A4ffc/npZs1kmH","uris":["http://zotero.org/users/local/CKZ8Mlfw/items/22MG4UBI"],"uri":["http://zotero.org/users/local/CKZ8Mlfw/items/22MG4UBI"],"itemData":{"id":48,"type":"article-journal","title":"The relationship of pathologic tumor regression grade (TRG) and outcomes after preoperative therapy in rectal cancer","container-title":"International Journal of Radiation Oncology, Biology, Physics","page":"752-760","volume":"62","issue":"3","source":"PubMed","abstract":"PURPOSE: To examine the relationship between tumor regression grade (TRG) and outcomes in patients with rectal cancer treated with preoperative therapy.\nMETHODS AND MATERIALS: Specimens from 144 patients with cT3,4 rectal cancer who had received preoperative radiation +/- chemotherapy and had a minimum follow-up of 3 years were retrospectively reviewed. TRG, which involves examining the residual neoplastic cells and scoring the degree of both cytological changes, including nuclear pyknosis or necrosis and/or eosinophilia, as well as stromal changes, including fibrosis (either dense or edematous) with or without inflammatory infiltrate and giant-cell granulomatosis around ghost cells and keratin, was quantified in five grades according to the Mandard score (Cancer 1994;73:2680-2686). The greater the response, the lower the TRG score. The median follow-up was 72 months (range, 40-143 months).\nRESULTS: Of the 144 patients, 19% were TRG1, 12% were TRG2, 21% were TRG3, 46% were TRG4, and 1% were TRG5. To simplify the analysis, TRG was combined into two groups: TRG1-2 and TRG3-5. By univariate analysis, none of the pretreatment factors examined, including age, circumference, length, distance from the anorectal ring, pretreatment T and N stage, and INDpre (defined as the pretreatment reference index size based on digital rectal examination), had an impact on 5-year outcomes, including local control, metastases-free survival, disease-free survival, and overall survival. Postoperative parameters, including pathologic T stage (pT), pathologic N stage (pN), and TRG, did significantly influence 5-year outcomes. These included local failure: pT0-2: 5% vs. pT3-4: 19%, p = 0.007; pN0: 7% vs. pN1-3: 26%, p = 0.002; TRG1-2: 2% vs. TRG3-5: 17%, p = 0.013; metastasis-free survival: pT0-2: 86% vs. pT3-4: 62%, p = 0.005; pN-: 86% vs. pN*: 42%, p &lt; 0.001; TRG1-2: 91% vs. TRG3-5: 66%, p = 0.004; disease-free survival: pT0-2: 83% vs. pT3-4: 54%, p = 0.001; pN0: 80% vs. pN1-3: 39%, p &lt; 0.001; TRG1-2: 91% vs. TRG3-5: 58%, p &lt; 0.001; and overall survival: pT0-2: 85% vs. pT3-4: 65%, p = 0.007; pN0: 86% vs. pN1-3: 45%, p &lt; 0.001; TRG1-2: 89% vs. TRG3-5: 68%, p = 0.004. By multivariate analysis combining all pre- and posttreatment parameters, only pN (p &lt; 0.001) and TRG (p = 0.005) significantly predicted disease-free survival. Furthermore, TRG predicted the incidence of pathologic nodal involvement (p &lt; 0.0001).\nCONCLUSIONS: By univariate analysis, TRG is a predictor for local failure, metastases-free survival, and overall survival. By multivariate analysis, it predicts improved disease-free survival. Given the ability of TRG to predict those patients with N* disease, it may be helpful, in combination with other clinicopathologic factors, in selecting patients for a more conservative procedure, such as local excision rather than radical surgery, after preoperative therapy.","DOI":"10.1016/j.ijrobp.2004.11.017","ISSN":"0360-3016","note":"PMID: 15936556","journalAbbreviation":"Int. J. Radiat. Oncol. Biol. Phys.","language":"eng","author":[{"family":"Vecchio","given":"Fabio Maria"},{"family":"Valentini","given":"Vincenzo"},{"family":"Minsky","given":"Bruce D."},{"family":"Padula","given":"Gilbert D. A."},{"family":"Venkatraman","given":"Ennapadam S."},{"family":"Balducci","given":"Mario"},{"family":"Miccichè","given":"Francesco"},{"family":"Ricci","given":"Riccardo"},{"family":"Morganti","given":"Alessio Giuseppe"},{"family":"Gambacorta","given":"Maria Antonietta"},{"family":"Maurizi","given":"Francesca"},{"family":"Coco","given":"Claudio"}],"issued":{"date-parts":[["2005",7,1]]}}}],"schema":"https://github.com/citation-style-language/schema/raw/master/csl-citation.json"} </w:instrText>
      </w:r>
      <w:r w:rsidRPr="003A7660">
        <w:rPr>
          <w:rFonts w:ascii="Book Antiqua" w:hAnsi="Book Antiqua"/>
          <w:vertAlign w:val="superscript"/>
          <w:lang w:val="en-US"/>
        </w:rPr>
        <w:fldChar w:fldCharType="end"/>
      </w:r>
      <w:r w:rsidRPr="003A7660">
        <w:rPr>
          <w:rFonts w:ascii="Book Antiqua" w:hAnsi="Book Antiqua"/>
          <w:lang w:val="en-US"/>
        </w:rPr>
        <w:t>.</w:t>
      </w:r>
    </w:p>
    <w:p w:rsidR="00F74797" w:rsidRPr="003A7660" w:rsidRDefault="00F74797" w:rsidP="00384F14">
      <w:pPr>
        <w:snapToGrid w:val="0"/>
        <w:spacing w:line="360" w:lineRule="auto"/>
        <w:ind w:firstLineChars="100" w:firstLine="240"/>
        <w:jc w:val="both"/>
        <w:rPr>
          <w:rFonts w:ascii="Book Antiqua" w:hAnsi="Book Antiqua"/>
          <w:lang w:val="en-US"/>
        </w:rPr>
      </w:pPr>
      <w:r w:rsidRPr="003A7660">
        <w:rPr>
          <w:rFonts w:ascii="Book Antiqua" w:hAnsi="Book Antiqua"/>
          <w:lang w:val="en-US"/>
        </w:rPr>
        <w:t xml:space="preserve">We identified five independent predictive factors of </w:t>
      </w:r>
      <w:r w:rsidR="00DA45CA" w:rsidRPr="003A7660">
        <w:rPr>
          <w:rFonts w:ascii="Book Antiqua" w:eastAsia="宋体" w:hAnsi="Book Antiqua"/>
          <w:lang w:val="en-US" w:eastAsia="zh-CN"/>
        </w:rPr>
        <w:t>HR</w:t>
      </w:r>
      <w:r w:rsidRPr="003A7660">
        <w:rPr>
          <w:rFonts w:ascii="Book Antiqua" w:hAnsi="Book Antiqua"/>
          <w:lang w:val="en-US"/>
        </w:rPr>
        <w:t xml:space="preserve"> after </w:t>
      </w:r>
      <w:r w:rsidR="001723EF" w:rsidRPr="003A7660">
        <w:rPr>
          <w:rFonts w:ascii="Book Antiqua" w:eastAsia="宋体" w:hAnsi="Book Antiqua"/>
          <w:lang w:val="en-US" w:eastAsia="zh-CN"/>
        </w:rPr>
        <w:t>NAC</w:t>
      </w:r>
      <w:r w:rsidRPr="003A7660">
        <w:rPr>
          <w:rFonts w:ascii="Book Antiqua" w:hAnsi="Book Antiqua"/>
          <w:lang w:val="en-US"/>
        </w:rPr>
        <w:t xml:space="preserve">. Three factors were predictive of the absence of </w:t>
      </w:r>
      <w:r w:rsidR="00DA45CA" w:rsidRPr="003A7660">
        <w:rPr>
          <w:rFonts w:ascii="Book Antiqua" w:eastAsia="宋体" w:hAnsi="Book Antiqua"/>
          <w:lang w:val="en-US" w:eastAsia="zh-CN"/>
        </w:rPr>
        <w:t>HR</w:t>
      </w:r>
      <w:r w:rsidR="00475C75" w:rsidRPr="003A7660">
        <w:rPr>
          <w:rFonts w:ascii="Book Antiqua" w:hAnsi="Book Antiqua"/>
          <w:lang w:val="en-US"/>
        </w:rPr>
        <w:t xml:space="preserve"> (</w:t>
      </w:r>
      <w:r w:rsidRPr="003A7660">
        <w:rPr>
          <w:rFonts w:ascii="Book Antiqua" w:hAnsi="Book Antiqua"/>
          <w:lang w:val="en-US"/>
        </w:rPr>
        <w:t xml:space="preserve">more than </w:t>
      </w:r>
      <w:r w:rsidR="0043613C" w:rsidRPr="003A7660">
        <w:rPr>
          <w:rFonts w:ascii="Book Antiqua" w:hAnsi="Book Antiqua"/>
          <w:lang w:val="en-US"/>
        </w:rPr>
        <w:t>seven</w:t>
      </w:r>
      <w:r w:rsidRPr="003A7660">
        <w:rPr>
          <w:rFonts w:ascii="Book Antiqua" w:hAnsi="Book Antiqua"/>
          <w:lang w:val="en-US"/>
        </w:rPr>
        <w:t xml:space="preserve"> NAC treatment sessions, the absence of a radiological response after NAC, and repeat hepatectomy</w:t>
      </w:r>
      <w:r w:rsidR="00475C75" w:rsidRPr="003A7660">
        <w:rPr>
          <w:rFonts w:ascii="Book Antiqua" w:hAnsi="Book Antiqua"/>
          <w:lang w:val="en-US"/>
        </w:rPr>
        <w:t>)</w:t>
      </w:r>
      <w:r w:rsidRPr="003A7660">
        <w:rPr>
          <w:rFonts w:ascii="Book Antiqua" w:hAnsi="Book Antiqua"/>
          <w:lang w:val="en-US"/>
        </w:rPr>
        <w:t xml:space="preserve">. The high number of NAC treatment sessions is probably a reflection of tumor chemotherapy resistance. This factor </w:t>
      </w:r>
      <w:r w:rsidR="0043613C" w:rsidRPr="003A7660">
        <w:rPr>
          <w:rFonts w:ascii="Book Antiqua" w:hAnsi="Book Antiqua"/>
          <w:lang w:val="en-US"/>
        </w:rPr>
        <w:t xml:space="preserve">likely </w:t>
      </w:r>
      <w:r w:rsidRPr="003A7660">
        <w:rPr>
          <w:rFonts w:ascii="Book Antiqua" w:hAnsi="Book Antiqua"/>
          <w:lang w:val="en-US"/>
        </w:rPr>
        <w:t>indicates that the earlier the response (evaluated radiologically) (</w:t>
      </w:r>
      <w:r w:rsidRPr="003A7660">
        <w:rPr>
          <w:rFonts w:ascii="Book Antiqua" w:hAnsi="Book Antiqua"/>
          <w:i/>
          <w:lang w:val="en-US"/>
        </w:rPr>
        <w:t>i.e</w:t>
      </w:r>
      <w:r w:rsidRPr="003A7660">
        <w:rPr>
          <w:rFonts w:ascii="Book Antiqua" w:hAnsi="Book Antiqua"/>
          <w:lang w:val="en-US"/>
        </w:rPr>
        <w:t xml:space="preserve">. before the first </w:t>
      </w:r>
      <w:r w:rsidR="00780536" w:rsidRPr="003A7660">
        <w:rPr>
          <w:rFonts w:ascii="Book Antiqua" w:hAnsi="Book Antiqua"/>
          <w:lang w:val="en-US"/>
        </w:rPr>
        <w:t xml:space="preserve">seven </w:t>
      </w:r>
      <w:r w:rsidRPr="003A7660">
        <w:rPr>
          <w:rFonts w:ascii="Book Antiqua" w:hAnsi="Book Antiqua"/>
          <w:lang w:val="en-US"/>
        </w:rPr>
        <w:t xml:space="preserve">treatment sessions), the greater the chances of a good associated </w:t>
      </w:r>
      <w:r w:rsidR="00DA45CA" w:rsidRPr="003A7660">
        <w:rPr>
          <w:rFonts w:ascii="Book Antiqua" w:eastAsia="宋体" w:hAnsi="Book Antiqua"/>
          <w:lang w:val="en-US" w:eastAsia="zh-CN"/>
        </w:rPr>
        <w:t>HR</w:t>
      </w:r>
      <w:r w:rsidRPr="003A7660">
        <w:rPr>
          <w:rFonts w:ascii="Book Antiqua" w:hAnsi="Book Antiqua"/>
          <w:lang w:val="en-US"/>
        </w:rPr>
        <w:t xml:space="preserve">. In the study by </w:t>
      </w:r>
      <w:r w:rsidR="00EA5CE6" w:rsidRPr="003A7660">
        <w:rPr>
          <w:rFonts w:ascii="Book Antiqua" w:hAnsi="Book Antiqua"/>
          <w:lang w:val="en-US"/>
        </w:rPr>
        <w:t>Viganò</w:t>
      </w:r>
      <w:r w:rsidR="00EA5CE6" w:rsidRPr="003A7660">
        <w:rPr>
          <w:rFonts w:ascii="Book Antiqua" w:eastAsia="宋体" w:hAnsi="Book Antiqua"/>
          <w:lang w:val="en-US" w:eastAsia="zh-CN"/>
        </w:rPr>
        <w:t xml:space="preserve"> </w:t>
      </w:r>
      <w:r w:rsidR="00EA5CE6" w:rsidRPr="003A7660">
        <w:rPr>
          <w:rFonts w:ascii="Book Antiqua" w:hAnsi="Book Antiqua"/>
          <w:i/>
          <w:lang w:val="en-US"/>
        </w:rPr>
        <w:t>et al</w:t>
      </w:r>
      <w:r w:rsidRPr="003A7660">
        <w:rPr>
          <w:rFonts w:ascii="Book Antiqua" w:hAnsi="Book Antiqua"/>
          <w:vertAlign w:val="superscript"/>
          <w:lang w:val="en-US"/>
        </w:rPr>
        <w:t>[13]</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{"citationID":"Va8ryemG","properties":{"formattedCitation":"\\super [13]\\nosupersub{}","plainCitation":"","noteIndex":0},"citationItems":[{"id":"jK7A4ffc/5gdkHt5Q","uris":["http://zotero.org/users/local/CKZ8Mlfw/items/7Q2PP35Z"],"uri":["http://zotero.org/users/local/CKZ8Mlfw/items/7Q2PP35Z"],"itemData":{"id":6,"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xml:space="preserve">, the number of treatment sessions also appeared to be a predictive factor of </w:t>
      </w:r>
      <w:r w:rsidR="00DA45CA" w:rsidRPr="003A7660">
        <w:rPr>
          <w:rFonts w:ascii="Book Antiqua" w:eastAsia="宋体" w:hAnsi="Book Antiqua"/>
          <w:lang w:val="en-US" w:eastAsia="zh-CN"/>
        </w:rPr>
        <w:t>HR</w:t>
      </w:r>
      <w:r w:rsidRPr="003A7660">
        <w:rPr>
          <w:rFonts w:ascii="Book Antiqua" w:hAnsi="Book Antiqua"/>
          <w:lang w:val="en-US"/>
        </w:rPr>
        <w:t xml:space="preserve"> based on multivariate analysis, with a better </w:t>
      </w:r>
      <w:r w:rsidR="00DA45CA" w:rsidRPr="003A7660">
        <w:rPr>
          <w:rFonts w:ascii="Book Antiqua" w:eastAsia="宋体" w:hAnsi="Book Antiqua"/>
          <w:lang w:val="en-US" w:eastAsia="zh-CN"/>
        </w:rPr>
        <w:t>HR</w:t>
      </w:r>
      <w:r w:rsidRPr="003A7660">
        <w:rPr>
          <w:rFonts w:ascii="Book Antiqua" w:hAnsi="Book Antiqua"/>
          <w:lang w:val="en-US"/>
        </w:rPr>
        <w:t xml:space="preserve"> when there were fewer than </w:t>
      </w:r>
      <w:r w:rsidR="00780536" w:rsidRPr="003A7660">
        <w:rPr>
          <w:rFonts w:ascii="Book Antiqua" w:hAnsi="Book Antiqua"/>
          <w:lang w:val="en-US"/>
        </w:rPr>
        <w:t>six</w:t>
      </w:r>
      <w:r w:rsidRPr="003A7660">
        <w:rPr>
          <w:rFonts w:ascii="Book Antiqua" w:hAnsi="Book Antiqua"/>
          <w:lang w:val="en-US"/>
        </w:rPr>
        <w:t xml:space="preserve"> chemotherapy treatment sessions. The absence of a radiological response (</w:t>
      </w:r>
      <w:r w:rsidRPr="003A7660">
        <w:rPr>
          <w:rFonts w:ascii="Book Antiqua" w:hAnsi="Book Antiqua"/>
          <w:i/>
          <w:lang w:val="en-US"/>
        </w:rPr>
        <w:t>i.e</w:t>
      </w:r>
      <w:r w:rsidRPr="003A7660">
        <w:rPr>
          <w:rFonts w:ascii="Book Antiqua" w:hAnsi="Book Antiqua"/>
          <w:lang w:val="en-US"/>
        </w:rPr>
        <w:t>. stability or progression) after NAC is recognized as a major factor for cancellin</w:t>
      </w:r>
      <w:r w:rsidR="00EA5CE6" w:rsidRPr="003A7660">
        <w:rPr>
          <w:rFonts w:ascii="Book Antiqua" w:hAnsi="Book Antiqua"/>
          <w:lang w:val="en-US"/>
        </w:rPr>
        <w:t>g or delaying surgery after NAC</w:t>
      </w:r>
      <w:r w:rsidR="00EA5CE6" w:rsidRPr="003A7660">
        <w:rPr>
          <w:rFonts w:ascii="Book Antiqua" w:hAnsi="Book Antiqua"/>
          <w:vertAlign w:val="superscript"/>
          <w:lang w:val="en-US"/>
        </w:rPr>
        <w:t>[20,</w:t>
      </w:r>
      <w:r w:rsidRPr="003A7660">
        <w:rPr>
          <w:rFonts w:ascii="Book Antiqua" w:hAnsi="Book Antiqua"/>
          <w:vertAlign w:val="superscript"/>
          <w:lang w:val="en-US"/>
        </w:rPr>
        <w:t>43</w:t>
      </w:r>
      <w:r w:rsidR="00EA5CE6" w:rsidRPr="003A7660">
        <w:rPr>
          <w:rFonts w:ascii="Book Antiqua" w:eastAsia="宋体" w:hAnsi="Book Antiqua"/>
          <w:vertAlign w:val="superscript"/>
          <w:lang w:val="en-US" w:eastAsia="zh-CN"/>
        </w:rPr>
        <w:t>-</w:t>
      </w:r>
      <w:r w:rsidRPr="003A7660">
        <w:rPr>
          <w:rFonts w:ascii="Book Antiqua" w:hAnsi="Book Antiqua"/>
          <w:vertAlign w:val="superscript"/>
          <w:lang w:val="en-US"/>
        </w:rPr>
        <w:t>45]</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{"citationID":"a2ds9aotpfg","properties":{"formattedCitation":"\\super [20,43\\uc0\\u8211{}45]\\nosupersub{}","plainCitation":"","noteIndex":0},"citationItems":[{"id":"jK7A4ffc/0eEBCcs7","uris":["http://zotero.org/users/local/CKZ8Mlfw/items/HSFSNNGE"],"uri":["http://zotero.org/users/local/CKZ8Mlfw/items/HSFSNNGE"],"itemData":{"id":277,"type":"article-journal","title":"Tumor progression while on chemotherapy: a contraindication to liver resection for multiple colorectal metastases?","container-title":"Annals of Surgery","page":"1052-1061; discussion 1061-1064","volume":"240","issue":"6","source":"PubMed","abstract":"OBJECTIVE: To evaluate the influence of the response to preoperative chemotherapy, especially tumor progression, on the outcome following resection of multiple colorectal liver metastases (CRM).\nSUMMARY BACKGROUND DATA: Hepatic resection is the only treatment that currently offers a chance of long-term survival, although it is associated with a poor outcome in patients with multinodular CRM. Because of its better efficacy, chemotherapy is increasingly proposed as neoadjuvant treatment in such patients to allow or to facilitate the radicality of resection. However, little is known of the efficacy of such a strategy and the influence of the response to chemotherapy on the outcome of hepatic resection.\nMETHODS: We retrospectively analyzed the course of 131 consecutive patients who underwent liver resection for multiple (&gt; or =4) CRM after systemic chemotherapy between 1993 and 2000, representing 30% of all liver resections performed for CRM in our institution during that period. Chemotherapy included mainly 5-fluorouracil, leucovorin, and either oxaliplatin or irinotecan for a mean of 9.8 courses (median, 9 courses). Patients were divided into 3 groups according to the type of response obtained to preoperative chemotherapy. All liver resections were performed with curative intent. We analyzed patient outcome in relation to response to preoperative chemotherapy.\nRESULTS: There were 58 patients (44%) who underwent hepatectomy after an objective tumor response (group 1), 39 (30%) after tumor stabilization (group 2), and 34 (26%) after tumor progression (group 3). At the time of diagnosis, mean tumor size and number of metastases were similar in the 3 groups. No differences were observed regarding patient demographics, characteristics of the primary tumor, type of liver resection, and postoperative course. First line treatments were different between groups with a higher proportion of oxaliplatin- and/or irinotecan-based treatments in group 1 (P &lt; 0.01). A higher number of lines of chemotherapy were used in group 2 (P = 0.002). Overall survival was 86%, 41%, and 28% at 1, 3, and 5 years, respectively. Five-year survival was much lower in group 3 compared with groups 1 and 2 (8% vs. 37% and 30%, respectively at 5 years, P &lt; 0.0001). Disease-free survival was 3% compared with 21% and 20%, respectively (P = 0.02). In a multivariate analysis, tumor progression on chemotherapy (P &lt; 0.0001), elevated preoperative serum CA 19-9 (P &lt; 0.0001), number of resected metastases (P &lt; 0.001), and the number of lines of chemotherapy (P &lt; 0.04), but not the type of first line treatment, were independently associated with decreased survival.\nCONCLUSIONS: Liver resection is able to offer long-term survival to patients with multiple colorectal metastases provided that the metastatic disease is controlled by chemotherapy prior to surgery. Tumor progression before surgery is associated with a poor outcome, even after potentially curative hepatectomy. Tumor control before surgery is crucial to offer a chance of prolonged remission in patients with multiple metastases.","ISSN":"0003-4932","note":"PMID: 15570210\nPMCID: PMC1356520","shortTitle":"Tumor progression while on chemotherapy","journalAbbreviation":"Ann. Surg.","language":"eng","author":[{"family":"Adam","given":"René"},{"family":"Pascal","given":"Gerard"},{"family":"Castaing","given":"Denis"},{"family":"Azoulay","given":"Daniel"},{"family":"Delvart","given":"Valerie"},{"family":"Paule","given":"Bernard"},{"family":"Levi","given":"Francis"},{"family":"Bismuth","given":"Henri"}],"issued":{"date-parts":[["2004",12]]}},"label":"page"},{"id":"jK7A4ffc/R5ZjPwFl","uris":["http://zotero.org/users/local/CKZ8Mlfw/items/EA439NG4"],"uri":["http://zotero.org/users/local/CKZ8Mlfw/items/EA439NG4"],"itemData":{"id":271,"type":"article-journal","title":"The timing of chemotherapy and surgery for the treatment of colorectal liver metastases","container-title":"Clinical Colorectal Cancer","page":"212-218","volume":"9","issue":"4","source":"PubMed","abstract":"Combining surgery and chemotherapy in the treatment of patients with colorectal hepatic metastases is increasingly becoming the standard of care. However, controversy remains regarding the juxtapositioning of chemotherapy and surgery, the duration of chemotherapy, and particularly, the use of preoperative chemotherapy in the treatment of patients with initially resectable metastases. The arguments for and against the different approaches presented are based on the data published in the medical literature and on the data presented at the most recent major oncology meetings, coupled with the personal experience of the authors. For patients with liver metastases that are resectable at presentation, perioperative chemotherapy has become the standard treatment in many institutions, with the recommendation that surgery is performed after a maximum of 6 cycles of systemic therapy. In the case of patients with initially unresectable liver metastases receiving preoperative systemic therapy, patients should be carefully monitored and surgery performed as soon as the metastases become resectable. All patients should, where possible, be treated by a multidisciplinary team. Going forward, it needs to be established whether more intensive treatment (ie, perioperative versus postoperative systemic therapy) is merited for the treatment of patients with initially resectable disease, and what the precise contribution of new therapeutic agents in these settings is, based on new prospective randomized trial data.","DOI":"10.3816/CCC.2010.n.031","ISSN":"1938-0674","note":"PMID: 20920992","journalAbbreviation":"Clin Colorectal Cancer","language":"eng","author":[{"family":"Nordlinger","given":"Bernard"},{"family":"Vauthey","given":"Jean-Nicolas"},{"family":"Poston","given":"Graeme"},{"family":"Benoist","given":"Stephane"},{"family":"Rougier","given":"Philippe"},{"family":"Van Cutsem","given":"Eric"}],"issued":{"date-parts":[["2010",10]]}},"label":"page"},{"id":"jK7A4ffc/zW5jX9BI","uris":["http://zotero.org/users/local/CKZ8Mlfw/items/3CR96TCI"],"uri":["http://zotero.org/users/local/CKZ8Mlfw/items/3CR96TCI"],"itemData":{"id":273,"type":"article-journal","title":"The oncosurgery approach to managing liver metastases from colorectal cancer: a multidisciplinary international consensus","container-title":"The Oncologist","page":"1225-1239","volume":"17","issue":"10","source":"PubMed","abstract":"An international panel of multidisciplinary experts convened to develop recommendations for the management of patients with liver metastases from colorectal cancer (CRC). The aim was to address the main issues facing the CRC hepatobiliary multidisciplinary team (MDT) when managing such patients and to standardize the treatment patients receive in different centers. Based on current evidence, the group agreed on a number of issues including the following: (a) the primary aim of treatment is achieving a long disease-free survival (DFS) interval following resection; (b) assessment of resectability should be performed with high-quality cross-sectional imaging, staging the liver with magnetic resonance imaging and/or abdominal computed tomography (CT), depending on local expertise, staging extrahepatic disease with thoracic and pelvic CT, and, in selected cases, fluorodeoxyglucose positron emission tomography with ultrasound (preferably contrast-enhanced ultrasound) for intraoperative staging; (c) optimal first-line chemotherapy-doublet or triplet chemotherapy regimens combined with targeted therapy-is advisable in potentially resectable patients; (d) in this situation, at least four courses of first-line chemotherapy should be given, with assessment of tumor response every 2 months; (e) response assessed by the Response Evaluation Criteria in Solid Tumors (conventional chemotherapy) or nonsize-based morphological changes (antiangiogenic agents) is clearly correlated with outcome; no imaging technique is currently able to accurately diagnose complete pathological response but high-quality imaging is crucial for patient management; (f) the duration of chemotherapy should be as short as possible and resection achieved as soon as technically possible in the absence of tumor progression; (g) the number of metastases or patient age should not be an absolute contraindication to surgery combined with chemotherapy; (h) for synchronous metastases, it is not advisable to undertake major hepatic surgery during surgery for removal of the primary CRC; the reverse surgical approach (liver first) produces as good an outcome as the conventional approach in selected cases; (i) for patients with resectable liver metastases from CRC, perioperative chemotherapy may be associated with a modestly better DFS outcome; and (j) whether initially resectable or unresectable, cure or at least a long survival duration is possible after complete resection of the metastases, and MDT treatment is essential for improving clinical and survival outcomes. The group proposed a new system to classify initial unresectability based on technical and oncological contraindications.","DOI":"10.1634/theoncologist.2012-0121","ISSN":"1549-490X","note":"PMID: 22962059\nPMCID: PMC3481888","shortTitle":"The oncosurgery approach to managing liver metastases from colorectal cancer","journalAbbreviation":"Oncologist","language":"eng","author":[{"family":"Adam","given":"René"},{"family":"De Gramont","given":"Aimery"},{"family":"Figueras","given":"Joan"},{"family":"Guthrie","given":"Ashley"},{"family":"Kokudo","given":"Norihiro"},{"family":"Kunstlinger","given":"Francis"},{"family":"Loyer","given":"Evelyne"},{"family":"Poston","given":"Graeme"},{"family":"Rougier","given":"Philippe"},{"family":"Rubbia-Brandt","given":"Laura"},{"family":"Sobrero","given":"Alberto"},{"family":"Tabernero","given":"Josep"},{"family":"Teh","given":"Catherine"},{"family":"Van Cutsem","given":"Eric"},{"literal":"Jean-Nicolas Vauthey of the EGOSLIM (Expert Group on OncoSurgery management of LIver Metastases) group"}],"issued":{"date-parts":[["2012"]]}},"label":"page"},{"id":"jK7A4ffc/g1Z2UNhp","uris":["http://zotero.org/users/local/CKZ8Mlfw/items/VI25X5JC"],"uri":["http://zotero.org/users/local/CKZ8Mlfw/items/VI25X5JC"],"itemData":{"id":275,"type":"article-journal","title":"Perioperative chemotherapy with FOLFOX4 and surgery versus surgery alone for resectable liver metastases from colorectal cancer (EORTC Intergroup trial 40983): a randomised controlled trial","container-title":"Lancet (London, England)","page":"1007-1016","volume":"371","issue":"9617","source":"PubMed","abstract":"BACKGROUND: Surgical resection alone is regarded as the standard of care for patients with liver metastases from colorectal cancer, but relapse is common. We assessed the combination of perioperative chemotherapy and surgery compared with surgery alone for patients with initially resectable liver metastases from colorectal cancer.\nMETHODS: This parallel-group study reports the trial's final data for progression-free survival for a protocol unspecified interim time-point, while overall survival is still being monitored. 364 patients with histologically proven colorectal cancer and up to four liver metastases were randomly assigned to either six cycles of FOLFOX4 before and six cycles after surgery or to surgery alone (182 in perioperative chemotherapy group vs 182 in surgery group). Patients were centrally randomised by minimisation, adjusting for centre and risk score. The primary objective was to detect a hazard ratio (HR) of 0.71 or less for progression-free survival. Primary analysis was by intention to treat. Analyses were repeated for all eligible (171 vs 171) and resected patients (151 vs 152). This trial is registered with ClinicalTrials.gov, number NCT00006479.\nFINDINGS: In the perioperative chemotherapy group, 151 (83%) patients were resected after a median of six (range 1-6) preoperative cycles and 115 (63%) patients received a median six (1-8) postoperative cycles. 152 (84%) patients were resected in the surgery group. The absolute increase in rate of progression-free survival at 3 years was 7.3% (from 28.1% [95.66% CI 21.3-35.5] to 35.4% [28.1-42.7]; HR 0.79 [0.62-1.02]; p=0.058) in randomised patients; 8.1% (from 28.1% [21.2-36.6] to 36.2% [28.7-43.8]; HR 0.77 [0.60-1.00]; p=0.041) in eligible patients; and 9.2% (from 33.2% [25.3-41.2] to 42.4% [34.0-50.5]; HR 0.73 [0.55-0.97]; p=0.025) in patients undergoing resection. 139 patients died (64 in perioperative chemotherapy group vs 75 in surgery group). Reversible postoperative complications occurred more often after chemotherapy than after surgery (40/159 [25%] vs 27/170 [16%]; p=0.04). After surgery we recorded two deaths in the surgery alone group and one in the perioperative chemotherapy group.\nINTERPRETATION: Perioperative chemotherapy with FOLFOX4 is compatible with major liver surgery and reduces the risk of events of progression-free survival in eligible and resected patients.","DOI":"10.1016/S0140-6736(08)60455-9","ISSN":"1474-547X","note":"PMID: 18358928\nPMCID: PMC2277487","shortTitle":"Perioperative chemotherapy with FOLFOX4 and surgery versus surgery alone for resectable liver metastases from colorectal cancer (EORTC Intergroup trial 40983)","journalAbbreviation":"Lancet","language":"eng","author":[{"family":"Nordlinger","given":"Bernard"},{"family":"Sorbye","given":"Halfdan"},{"family":"Glimelius","given":"Bengt"},{"family":"Poston","given":"Graeme J."},{"family":"Schlag","given":"Peter M."},{"family":"Rougier","given":"Philippe"},{"family":"Bechstein","given":"Wolf O."},{"family":"Primrose","given":"John N."},{"family":"Walpole","given":"Euan T."},{"family":"Finch-Jones","given":"Meg"},{"family":"Jaeck","given":"Daniel"},{"family":"Mirza","given":"Darius"},{"family":"Parks","given":"Rowan W."},{"family":"Collette","given":"Laurence"},{"family":"Praet","given":"Michel"},{"family":"Bethe","given":"Ullrich"},{"family":"Van Cutsem","given":"Eric"},{"family":"Scheithauer","given":"Werner"},{"family":"Gruenberger","given":"Thomas"},{"literal":"EORTC Gastro-Intestinal Tract Cancer Group"},{"literal":"Cancer Research UK"},{"literal":"Arbeitsgruppe Lebermetastasen und-tumoren in der Chirurgischen Arbeitsgemeinschaft Onkologie (ALM-CAO)"},{"literal":"Australasian Gastro-Intestinal Trials Group (AGITG)"},{"literal":"Fédération Francophone de Cancérologie Digestive (FFCD)"}],"issued":{"date-parts":[["2008",3,22]]}},"label":"page"}],"schema":"https://github.com/citation-style-language/schema/raw/master/csl-citation.json"}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xml:space="preserve">. The influence of a repeat hepatectomy on </w:t>
      </w:r>
      <w:r w:rsidR="00DA45CA" w:rsidRPr="003A7660">
        <w:rPr>
          <w:rFonts w:ascii="Book Antiqua" w:eastAsia="宋体" w:hAnsi="Book Antiqua"/>
          <w:lang w:val="en-US" w:eastAsia="zh-CN"/>
        </w:rPr>
        <w:t>HR</w:t>
      </w:r>
      <w:r w:rsidRPr="003A7660">
        <w:rPr>
          <w:rFonts w:ascii="Book Antiqua" w:hAnsi="Book Antiqua"/>
          <w:lang w:val="en-US"/>
        </w:rPr>
        <w:t xml:space="preserve"> has not been reported in the literature to date. One of the explanations, aside from the actual severity of a liver recurrence after the first hepatectomy, could be a change in the chemotherapy sensitivity of the recurring tumor. In our series, rectal origin of the primary tumor was associated with a three-fold greater probability of having a good </w:t>
      </w:r>
      <w:r w:rsidR="00DA45CA" w:rsidRPr="003A7660">
        <w:rPr>
          <w:rFonts w:ascii="Book Antiqua" w:eastAsia="宋体" w:hAnsi="Book Antiqua"/>
          <w:lang w:val="en-US" w:eastAsia="zh-CN"/>
        </w:rPr>
        <w:t>HR</w:t>
      </w:r>
      <w:r w:rsidRPr="003A7660">
        <w:rPr>
          <w:rFonts w:ascii="Book Antiqua" w:hAnsi="Book Antiqua"/>
          <w:lang w:val="en-US"/>
        </w:rPr>
        <w:t>. We found two studies in the literature for which this location of the primary tumor was a poor progno</w:t>
      </w:r>
      <w:r w:rsidR="00EA5CE6" w:rsidRPr="003A7660">
        <w:rPr>
          <w:rFonts w:ascii="Book Antiqua" w:hAnsi="Book Antiqua"/>
          <w:lang w:val="en-US"/>
        </w:rPr>
        <w:t xml:space="preserve">stic factor of </w:t>
      </w:r>
      <w:r w:rsidR="005A0012" w:rsidRPr="003A7660">
        <w:rPr>
          <w:rFonts w:ascii="Book Antiqua" w:eastAsia="宋体" w:hAnsi="Book Antiqua"/>
          <w:lang w:val="en-US" w:eastAsia="zh-CN"/>
        </w:rPr>
        <w:t>OS</w:t>
      </w:r>
      <w:r w:rsidR="00EA5CE6" w:rsidRPr="003A7660">
        <w:rPr>
          <w:rFonts w:ascii="Book Antiqua" w:hAnsi="Book Antiqua"/>
          <w:vertAlign w:val="superscript"/>
          <w:lang w:val="en-US"/>
        </w:rPr>
        <w:t>[46,</w:t>
      </w:r>
      <w:r w:rsidRPr="003A7660">
        <w:rPr>
          <w:rFonts w:ascii="Book Antiqua" w:hAnsi="Book Antiqua"/>
          <w:vertAlign w:val="superscript"/>
          <w:lang w:val="en-US"/>
        </w:rPr>
        <w:t>47]</w:t>
      </w:r>
      <w:r w:rsidRPr="003A7660">
        <w:rPr>
          <w:rFonts w:ascii="Book Antiqua" w:hAnsi="Book Antiqua"/>
          <w:vertAlign w:val="superscript"/>
          <w:lang w:val="en-US"/>
        </w:rPr>
        <w:fldChar w:fldCharType="begin"/>
      </w:r>
      <w:r w:rsidRPr="003A7660">
        <w:rPr>
          <w:rFonts w:ascii="Book Antiqua" w:hAnsi="Book Antiqua"/>
          <w:vertAlign w:val="superscript"/>
          <w:lang w:val="en-US"/>
        </w:rPr>
        <w:instrText xml:space="preserve"> ADDIN ZOTERO_ITEM CSL_CITATION {"citationID":"a290jethf4v","properties":{"formattedCitation":"\\super [46,47]\\nosupersub{}","plainCitation":"","noteIndex":0},"citationItems":[{"id":"jK7A4ffc/kryiyQrV","uris":["http://zotero.org/users/local/CKZ8Mlfw/items/4A88X29P"],"uri":["http://zotero.org/users/local/CKZ8Mlfw/items/4A88X29P"],"itemData":{"id":217,"type":"article-journal","title":"A Nomogram for Predicting Disease-specific Survival After Hepatic Resection for Metastatic Colorectal Cancer","container-title":"Annals of Surgery","page":"282-287","volume":"247","issue":"2","source":"insights.ovid.com","abstract":"To develop a tool for predicting survival after liver resection for patients with stage IV colorectal cancer. By using a nomogram we are trying to improve on the current practice of using prognostic scores for evaluating risks of therapeutic failure. All patients admitted to Memorial Sloan-Kettering Cancer Center (MSKCC) for curative intent for treatment of metastatic disease from colorectal cancer between January 1986 and December 1999 were included. A nomogram was developed as a graphical representation of a Cox proportional hazards regression model. The nomogram was verified for discrimination and calibration, both employing bootstrapping to obtain relatively unbiased estimates. Using nodal status of the primary tumor, disease-free interval, size of the largest metastatic tumor, preoperative carcinoembryonic antigen, bilateral resection, extensive resection (lobectomy or more), gender, number of hepatic tumors, primary cancer site (colon vs. rectum), and age, the nomogram achieved a concordance index of 0.61, statistically significantly greater than chance. The nomogram also had very good calibration. This nomogram is a predictive tool, upon external validation, that can routinely be used to counsel patients in making treatment decisions. The discriminatory ability of the nomogram indicates that this population should not be considered homogeneous with respect to risk of death.","DOI":"10.1097/SLA.0b013e31815ed67b","ISSN":"0003-4932","note":"PMID: 00000658-200802000-00012","language":"ENGLISH","author":[{"family":"Kattan","given":"Michael W."},{"family":"Gönen","given":"Mithat"},{"family":"Jarnagin","given":"William R."},{"family":"Dematteo","given":"Ronald"},{"family":"D'angelica","given":"Michael"},{"family":"Weiser","given":"Martin"},{"family":"Blumgart","given":"Leslie H."},{"family":"Fong","given":"Yuman"}],"issued":{"date-parts":[["2008",2,1]]}},"label":"page"},{"id":"jK7A4ffc/L3VXTKME","uris":["http://zotero.org/users/local/CKZ8Mlfw/items/GRH3FKI5"],"uri":["http://zotero.org/users/local/CKZ8Mlfw/items/GRH3FKI5"],"itemData":{"id":245,"type":"article-journal","title":"Surgical resection of colorectal carcinoma metastases to the liver. A prognostic scoring system to improve case selection, based on 1568 patients. Association Française de Chirurgie","container-title":"Cancer","page":"1254-1262","volume":"77","issue":"7","source":"PubMed","abstract":"BACKGROUND: Five-year survival rates after resection of liver metastases from colorectal carcinoma are close to 25%. Recurrences occur in two-thirds of the patients after surgery. Selection of patients likely to benefit from surgery remains controversial and subjective.\nMETHODS: Data from 1568 patients with resected liver metastases from colorectal carcinoma were collected. The prognostic value of different factors was studied through uni- and multivariate analyses. A scoring system was developed including the most relevant factors.\nRESULTS: Two- and 5-year survival rates were 64% and 28%, respectively, and were affected by: age; size of largest metastasis or CEA level; stage of the primary tumor; disease free interval; number of liver nodules; and resection margin. Giving one point to each factor, the population was divided into three risk groups three risk groups with different 2-year survival rates: 0-2 (79%), 3-4 (60%), 5-7 (43%).\nCONCLUSIONS: A simple prognostic scoring system was proposed to evaluate the chances for cure of patients after resection of liver metastases from colorectal carcinoma. The comparison between expected survival and estimated operative risk can help determine on an objective basis whether surgery is worthwhile. This system needs further prospective validation.","ISSN":"0008-543X","note":"PMID: 8608500","journalAbbreviation":"Cancer","language":"eng","author":[{"family":"Nordlinger","given":"B."},{"family":"Guiguet","given":"M."},{"family":"Vaillant","given":"J. C."},{"family":"Balladur","given":"P."},{"family":"Boudjema","given":"K."},{"family":"Bachellier","given":"P."},{"family":"Jaeck","given":"D."}],"issued":{"date-parts":[["1996",4,1]]}},"label":"page"}],"schema":"https://github.com/citation-style-language/schema/raw/master/csl-citation.json"} </w:instrText>
      </w:r>
      <w:r w:rsidRPr="003A7660">
        <w:rPr>
          <w:rFonts w:ascii="Book Antiqua" w:hAnsi="Book Antiqua"/>
          <w:vertAlign w:val="superscript"/>
          <w:lang w:val="en-US"/>
        </w:rPr>
        <w:fldChar w:fldCharType="end"/>
      </w:r>
      <w:r w:rsidRPr="003A7660">
        <w:rPr>
          <w:rFonts w:ascii="Book Antiqua" w:hAnsi="Book Antiqua"/>
          <w:lang w:val="en-US"/>
        </w:rPr>
        <w:t xml:space="preserve">. It has also been reported that a primary tumor that originated in the ascending colon is a poor prognostic </w:t>
      </w:r>
      <w:r w:rsidR="00EA5CE6" w:rsidRPr="003A7660">
        <w:rPr>
          <w:rFonts w:ascii="Book Antiqua" w:hAnsi="Book Antiqua"/>
          <w:lang w:val="en-US"/>
        </w:rPr>
        <w:t>factor</w:t>
      </w:r>
      <w:r w:rsidRPr="003A7660">
        <w:rPr>
          <w:rFonts w:ascii="Book Antiqua" w:hAnsi="Book Antiqua"/>
          <w:vertAlign w:val="superscript"/>
          <w:lang w:val="en-US"/>
        </w:rPr>
        <w:t>[48</w:t>
      </w:r>
      <w:r w:rsidR="00EA5CE6" w:rsidRPr="003A7660">
        <w:rPr>
          <w:rFonts w:ascii="Book Antiqua" w:eastAsia="宋体" w:hAnsi="Book Antiqua"/>
          <w:vertAlign w:val="superscript"/>
          <w:lang w:val="en-US" w:eastAsia="zh-CN"/>
        </w:rPr>
        <w:t>-</w:t>
      </w:r>
      <w:r w:rsidRPr="003A7660">
        <w:rPr>
          <w:rFonts w:ascii="Book Antiqua" w:hAnsi="Book Antiqua"/>
          <w:vertAlign w:val="superscript"/>
          <w:lang w:val="en-US"/>
        </w:rPr>
        <w:t>53]</w:t>
      </w:r>
      <w:r w:rsidRPr="003A7660">
        <w:rPr>
          <w:rFonts w:ascii="Book Antiqua" w:hAnsi="Book Antiqua"/>
          <w:vertAlign w:val="superscript"/>
          <w:lang w:val="en-US"/>
        </w:rPr>
        <w:fldChar w:fldCharType="begin"/>
      </w:r>
      <w:r w:rsidRPr="003A7660">
        <w:rPr>
          <w:rFonts w:ascii="Book Antiqua" w:hAnsi="Book Antiqua"/>
          <w:vertAlign w:val="superscript"/>
          <w:lang w:val="en-US"/>
        </w:rPr>
        <w:instrText xml:space="preserve"> ADDIN ZOTERO_ITEM CSL_CITATION {"citationID":"28d6au0gb","properties":{"formattedCitation":"\\super [48\\uc0\\u8211{}53]\\nosupersub{}","plainCitation":"","noteIndex":0},"citationItems":[{"id":3545,"uris":["http://zotero.org/users/2225494/items/5ZSP7TWF"],"uri":["http://zotero.org/users/2225494/items/5ZSP7TWF"],"itemData":{"id":3545,"type":"article-journal","title":"Prognostic and predictive value of primary tumour side in patients with RAS wild-type metastatic colorectal cancer treated with chemotherapy and EGFR directed antibodies in six randomized trials","container-title":"Annals of Oncology: Official Journal of the European Society for Medical Oncology","page":"1713-1729","volume":"28","issue":"8","source":"PubMed","abstract":"Background: There is increasing evidence that metastatic colorectal cancer (mCRC) is a genetically heterogeneous disease and that tumours arising from different sides of the colon (left versus right) have different clinical outcomes. Furthermore, previous analyses comparing the activity of different classes of targeted agents in patients with KRAS wild-type (wt) or RAS wt mCRC suggest that primary tumour location (side), might be both prognostic and predictive for clinical outcome.\nMethods: This retrospective analysis investigated the prognostic and predictive influence of the localization of the primary tumour in patients with unresectable RAS wt mCRC included in six randomized trials (CRYSTAL, FIRE-3, CALGB 80405, PRIME, PEAK and 20050181), comparing chemotherapy plus EGFR antibody therapy (experimental arm) with chemotherapy or chemotherapy and bevacizumab (control arms). Hazard ratios (HRs) and 95% confidence intervals (CIs) for overall survival (OS) and progression-free survival (PFS) for patients with left-sided versus right-sided tumours, and odds ratios (ORs) for objective response rate (ORR) were estimated by pooling individual study HRs/ORs. The predictive value was evaluated by pooling study interaction between treatment effect and tumour side.\nResults: Primary tumour location and RAS mutation status were available for 2159 of the 5760 patients (37.5%) randomized across the 6 trials, 515 right-sided and 1644 left-sided. A significantly worse prognosis was observed for patients with right-sided tumours compared with those with left-sided tumours in both the pooled control and experimental arms for OS [HRs</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2.03 (95% CI: 1.69-2.42) and 1.38 (1.17-1.63), respectively], PFS [HRs</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1.59 (1.34-1.88) and 1.25 (1.06-1.47)], and ORR [ORs</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0.38 (0.28-0.50) and 0.56 (0.43-0.73)]. In terms of a predictive effect, a significant benefit for chemotherapy plus EGFR antibody therapy was observed in patients with left-sided tumours [HRs</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0.75 (0.67-0.84) and 0.78 (0.70-0.87) for OS and PFS, respectively] compared with no significant benefit for those with right-sided tumours [HRs</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1.12 (0.87-1.45) and 1.12 (0.87-1.44) for OS and PFS, respectively; P value for interaction</w:instrText>
      </w:r>
      <w:r w:rsidRPr="003A7660">
        <w:rPr>
          <w:vertAlign w:val="superscript"/>
          <w:lang w:val="en-US"/>
        </w:rPr>
        <w:instrText> </w:instrText>
      </w:r>
      <w:r w:rsidRPr="003A7660">
        <w:rPr>
          <w:rFonts w:ascii="Book Antiqua" w:hAnsi="Book Antiqua"/>
          <w:vertAlign w:val="superscript"/>
          <w:lang w:val="en-US"/>
        </w:rPr>
        <w:instrText>&lt;0.001 and 0.002, respectively]. For ORR, there was a trend (P value for interaction</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0.07) towards a greater benefit for chemotherapy plus EGFR antibody therapy in the patients with left-sided tumours [OR</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2.12 (1.77-2.55)] compared with those with right-sided tumours [OR</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1.47 (0.94-2.29)]. Exclusion of the unique phase II trial or the unique second-line trial had no impact on the results. The predictive effect on PFS may depend of the type of EGFR antibody therapy and on the presence or absence of bevacizumab in the control arm.\nConclusion: This pooled analysis showed a worse prognosis for OS, PFS and ORR for patients with right-sided tumours compared with those with left-sided tumours in patients with RAS wt mCRC and a predictive effect of tumour side, with a greater effect of chemotherapy plus EGFR antibody therapy compared with chemotherapy or chemotherapy and bevacizumab, the effect being greatest in patients with left-sided tumours. These predictive results should be interpreted with caution due to the retrospective nature of the analysis, which was carried out on subpopulations of patients included in these trials, and because none of these studies contemplated a full treatment sequence strategy.","DOI":"10.1093/annonc/mdx175","ISSN":"1569-8041","note":"PMID: 28407110","journalAbbreviation":"Ann. Oncol.","language":"eng","author":[{"family":"Arnold","given":"D."},{"family":"Lueza","given":"B."},{"family":"Douillard","given":"J.-Y."},{"family":"Peeters","given":"M."},{"family":"Lenz","given":"H.-J."},{"family":"Venook","given":"A."},{"family":"Heinemann","given":"V."},{"family":"Van Cutsem","given":"E."},{"family":"Pignon","given":"J.-P."},{"family":"Tabernero","given":"J."},{"family":"Cervantes","given":"A."},{"family":"Ciardiello","given":"F."}],"issued":{"date-parts":[["2017",8,1]]}}},{"id":"jK7A4ffc/oAnFCRjn","uris":["http://zotero.org/users/local/CKZ8Mlfw/items/5US5D3P2"],"uri":["http://zotero.org/users/local/CKZ8Mlfw/items/5US5D3P2"],"itemData":{"id":"j27xaq8D/9wjYorip","type":"article-journal","title":"Concomitant extrahepatic disease in patients with colorectal liver metastases: when is there a place for surgery?","container-title":"Annals of Surgery","page":"349-359","volume":"253","issue":"2","source":"PubMed","abstract":"OBJECTIVE: To evaluate the impact of the location of extrahepatic disease (EHD) on survival and to determine patient outcome in a consecutive series of patients with both intrahepatic and extrahepatic colorectal metastases treated by an oncosurgical approach, combining repeat surgery and chemotherapy.\nBACKGROUND: Although recognized as poor prognostic factor, concomitant EHD is no more considered an absolute contraindication to surgery in patients with colorectal liver metastases (CLM). However, the impact of the location of EHD on survival and the benefit in patient outcome is still diversely appreciated.\nMETHODS: From 840 patients resected for CLM between 1990 and 2006, 186(22%) also had resectable EHD. Sequential surgery was routinely combined with perioperative chemotherapy. Survival was compared with that of patients without EHD, prognostic factors were identified, and a predictive model was designed to better select surgical candidates.\nRESULTS: Patients resected for CLM with concomitant EHD experienced a lower 5-year survival than those without EHD (28% vs 55%, P &lt; 0.001). Five poor prognostic factors were identified at multivariate analysis: EHD-location other than lung metastases (5-year survival: 23% vs 33%, P = 0.02), EHD concomitant to CLM recurrence (14% vs 34%, P &lt; 0.001), carcinoembryonic antigen level at least 10 ng/mL (16% vs 37%, P=0.02), at least 6 CLM(9% vs 32%, P = 0.02), and right colon cancer (P = 0.02). Five-year survival ranged from 64% (0 factors) to 0% (&gt;3 factors). In the EHD group, patients with an EHD-recurrence experienced better outcomes when resected than those treated by chemotherapy alone (5-year survival: 38% vs 21%, P = 0.05).\nCONCLUSION: Although sequential surgery is warranted for patients with 5 or less CLM with isolated lung metastases, low carcinoembryonic antigen levels,and no right colon primary tumor, it should be questioned in the presence of more than 3 of these prognostic factors.","DOI":"10.1097/SLA.0b013e318207bf2c","ISSN":"1528-1140","note":"PMID: 21178761","shortTitle":"Concomitant extrahepatic disease in patients with colorectal liver metastases","journalAbbreviation":"Ann. Surg.","language":"eng","author":[{"family":"Adam","given":"René"},{"family":"Haas","given":"Robbert J.","non-dropping-particle":"de"},{"family":"Wicherts","given":"Dennis A."},{"family":"Vibert","given":"Eric"},{"family":"Salloum","given":"Chadi"},{"family":"Azoulay","given":"Daniel"},{"family":"Castaing","given":"Denis"}],"issued":{"date-parts":[["2011",2]]}}},{"id":3553,"uris":["http://zotero.org/users/2225494/items/Z5BXDC8N"],"uri":["http://zotero.org/users/2225494/items/Z5BXDC8N"],"itemData":{"id":3553,"type":"article-journal","title":"Outcome of patients with metastatic colorectal cancer depends on the primary tumor site (midgut vs. hindgut): analysis of the FIRE1-trial (FuFIRI or mIROX as first-line treatment)","container-title":"Anti-Cancer Drugs","page":"212-218","volume":"25","issue":"2","source":"PubMed","abstract":"The aim of this study was to investigate the impact of midgut versus hindgut as the primary tumor site in patients with metastatic colorectal cancer (mCRC) receiving chemotherapy with FuFIRI or mIROX. We analyzed 423 patients from a phase III trial that randomized patients in a 1 : 1 fashion to either FuFIRI or mIROX. The cohort was grouped into midgut (n=82) and hindgut (n=341) primary tumors. The primary tumor site (midgut vs. hindgut) was correlated with parameters of treatment efficacy and survival. Our cohort comprised 82 patients presenting with primary midgut tumors and 341 with primary hindgut tumors. Tumors of midgut origin compared with hindgut origin were associated with inferior outcome. Objective response rate was 37 versus 43% (P=0.34), median progression-free survival was 6.0 versus 8.2 months (P=0.024, hazard ratio: 0.75), and median overall survival was 13.6 versus 21.8 months (P=0.001, hazard ratio: 0.65). Patients with midgut mCRC showed a clear trend toward inferior outcome in both study arms. However, the effect appeared less pronounced in the mIROX arm. Further datasets from large trials with various regimens are required as confirmation.","DOI":"10.1097/CAD.0000000000000041","ISSN":"1473-5741","note":"PMID: 24201305","shortTitle":"Outcome of patients with metastatic colorectal cancer depends on the primary tumor site (midgut vs. hindgut)","journalAbbreviation":"Anticancer Drugs","language":"eng","author":[{"family":"Modest","given":"Dominik P."},{"family":"Schulz","given":"Christoph"},{"family":"Weikersthal","given":"Ludwig F.","non-dropping-particle":"von"},{"family":"Quietzsch","given":"Detlef"},{"family":"Einem","given":"Jobst C.","non-dropping-particle":"von"},{"family":"Schalhorn","given":"Andreas"},{"family":"Vehling-Kaiser","given":"Ursula"},{"family":"Laubender","given":"Rüdiger P."},{"family":"Giessen","given":"Clemens"},{"family":"Stintzing","given":"Sebastian"},{"family":"Heinemann","given":"Volker"}],"issued":{"date-parts":[["2014",2]]}}},{"id":3555,"uris":["http://zotero.org/users/2225494/items/FU87VGM8"],"uri":["http://zotero.org/users/2225494/items/FU87VGM8"],"itemData":{"id":3555,"type":"article-journal","title":"Prognostic Survival Associated With Left-Sided vs Right-Sided Colon Cancer: A Systematic Review and Meta-analysis","container-title":"JAMA oncology","source":"PubMed","abstract":"Importance: Primary tumor location is emerging as an important prognostic factor owing to distinct biological features. However, the side of origin of colon cancer (CC) still does not represent a prognostic parameter when deciding for adjuvant or palliative chemotherapy.\nObjective: To determine the prognostic role of left vs right-sidedness of primary tumor location in patients with CC.\nData Sources: We searched PubMed, EMBASE, The Cochrane Library, Web of Science, LILACS, CINAHL, and SCOPUS for prospective or retrospective studies reporting data on overall survival for left-sided colon cancer (LCC) compared with right-sided colon cancer (RCC).\nStudy Selection: Studies were selected if: (1) side of CC was reported among variables entered into survival analysis, (2) survival information was available (overall survival [OS] was reported in the article as hazard ratio (HR) according to multivariate analysis, (3) articles were published in the English language.\nData Extraction and Synthesis: Data were pooled using HRs for OS of LCC vs RCC according to fixed or random-effects models. Subgroup analysis and multivariate random-effects model meta-regression was also implemented adjusting for stage distribution, sample size, race, year of publication, type and quality of studies, and adjuvant chemotherapy.\nMain Outcomes and Measures: HRs for OS (the primary outcome measure) were pooled to provide an aggregate value. In this analysis, all HRs with 95% CIs were pooled to obtain prognostic information on the location of the primary tumor (left vs right location site of CC) independent of other common clinicopathological covariates.\nResults: An analysis was made from the 66 studies conducted. It included 1</w:instrText>
      </w:r>
      <w:r w:rsidRPr="003A7660">
        <w:rPr>
          <w:vertAlign w:val="superscript"/>
          <w:lang w:val="en-US"/>
        </w:rPr>
        <w:instrText> </w:instrText>
      </w:r>
      <w:r w:rsidRPr="003A7660">
        <w:rPr>
          <w:rFonts w:ascii="Book Antiqua" w:hAnsi="Book Antiqua"/>
          <w:vertAlign w:val="superscript"/>
          <w:lang w:val="en-US"/>
        </w:rPr>
        <w:instrText>437</w:instrText>
      </w:r>
      <w:r w:rsidRPr="003A7660">
        <w:rPr>
          <w:vertAlign w:val="superscript"/>
          <w:lang w:val="en-US"/>
        </w:rPr>
        <w:instrText> </w:instrText>
      </w:r>
      <w:r w:rsidRPr="003A7660">
        <w:rPr>
          <w:rFonts w:ascii="Book Antiqua" w:hAnsi="Book Antiqua"/>
          <w:vertAlign w:val="superscript"/>
          <w:lang w:val="en-US"/>
        </w:rPr>
        <w:instrText>846 patients with a median follow-up of 65 months. Left sided primary tumor location was associated with a significantly reduced risk of death (HR, 0.82; 95% CI, 0.79-0.84; P</w:instrText>
      </w:r>
      <w:r w:rsidRPr="003A7660">
        <w:rPr>
          <w:vertAlign w:val="superscript"/>
          <w:lang w:val="en-US"/>
        </w:rPr>
        <w:instrText> </w:instrText>
      </w:r>
      <w:r w:rsidRPr="003A7660">
        <w:rPr>
          <w:rFonts w:ascii="Book Antiqua" w:hAnsi="Book Antiqua"/>
          <w:vertAlign w:val="superscript"/>
          <w:lang w:val="en-US"/>
        </w:rPr>
        <w:instrText>&lt;</w:instrText>
      </w:r>
      <w:r w:rsidRPr="003A7660">
        <w:rPr>
          <w:vertAlign w:val="superscript"/>
          <w:lang w:val="en-US"/>
        </w:rPr>
        <w:instrText> </w:instrText>
      </w:r>
      <w:r w:rsidRPr="003A7660">
        <w:rPr>
          <w:rFonts w:ascii="Book Antiqua" w:hAnsi="Book Antiqua"/>
          <w:vertAlign w:val="superscript"/>
          <w:lang w:val="en-US"/>
        </w:rPr>
        <w:instrText>.001) and this was independent of stage, race, adjuvant chemotherapy, year of study, number of participants, and quality of included studies.\nConclusions and Relevance: Based on these results, CC side should be acknowledged as a criterion for establishing prognosis in all stages of disease. It should be considered when deciding treatment intensity in metastatic settings, and should represent a stratification factor for future adjuvant studies.","DOI":"10.1001/jamaoncol.2016.4227","ISSN":"2374-2445","note":"PMID: 27787550","shortTitle":"Prognostic Survival Associated With Left-Sided vs Right-Sided Colon Cancer","journalAbbreviation":"JAMA Oncol","language":"eng","author":[{"family":"Petrelli","given":"Fausto"},{"family":"Tomasello","given":"Gianluca"},{"family":"Borgonovo","given":"Karen"},{"family":"Ghidini","given":"Michele"},{"family":"Turati","given":"Luca"},{"family":"Dallera","given":"Pierpaolo"},{"family":"Passalacqua","given":"Rodolfo"},{"family":"Sgroi","given":"Giovanni"},{"family":"Barni","given":"Sandro"}],"issued":{"date-parts":[["2016",10,27]]}}},{"id":3697,"uris":["http://zotero.org/users/2225494/items/5TWJUJ2F"],"uri":["http://zotero.org/users/2225494/items/5TWJUJ2F"],"itemData":{"id":3697,"type":"article-journal","title":"Fluorouracil modulation in colorectal cancer: lack of improvement with N -phosphonoacetyl- l -aspartic acid or oral leucovorin or interferon, but enhanced therapeutic index with weekly 24-hour infusion schedule--an Eastern Cooperative Oncology Group/Cancer and Leukemia Group B Study","container-title":"Journal of Clinical Oncology: Official Journal of the American Society of Clinical Oncology","page":"2413-2421","volume":"19","issue":"9","source":"PubMed","abstract":"PURPOSE: To investigate mechanism-directed regimens in maximizing the efficacy of fluorouracil (5-FU) in advanced colorected cancer.\nPATIENTS AND METHODS: Based on promising phase II data, a randomized comparison of various methods for the biochemical modulation of 5-FU was undertaken in patients with advanced colorectal cancer. The control group received single-agent 5-FU as a 24-hour infusion weekly. Patients (N = 1,120) with no prior chemotherapy for metastatic disease were randomized to one of the following arms: arm A, 5-FU 2,600 mg/m2 by 24-hour infusion, weekly; arm B, N-phosphonoacetyl-l-aspartic acid 250 mg/m2 day l, 5-FU 2,600 mg/m2 by 24-hour infusion day 2, weekly; arm C, 5-FU 600 mg/m2 with oral leucovorin (LV) 125 mg/m2 hourly for the preceding 4 hours, weekly; arm D, 5-FU 600 mg/m2 with intravenous (IV) LV 600 mg/m2, weekly; arm E, 5-FU 750 mg/m2/d IV by continuous infusion for 5 days, then 750 mg/m2 weekly, and recombinant interferon alfa-2a 9 million units subcutaneously three times weekly. Median follow-up was 4.8 years.\nRESULTS: Of the 1,098 assessable patients, 57% had measurable disease. The toxicity of all the regimens was tolerable. Grade 4 or worse toxicity occurred in 11%, 11%, 30%, 24%, and 22% on each arm, respectively; diarrhea was the most common adverse effect. These toxicity patterns favored significantly (P &lt;.001) the 24-hour infusion arms. Median survival (months) by arm was A, 14.8; B, 11.9; C, 13.5; D, 13.6; and E, 15.2. These survival durations did not differ significantly.\nCONCLUSION: We conclude that a weekly infusion regimen of 5-FU is significantly less toxic than and as effective as 5-FU bolus regimens modulated by either LV or interferon in patients with metastatic colorectal cancer.","DOI":"10.1200/JCO.2001.19.9.2413","ISSN":"0732-183X","note":"PMID: 11331320","shortTitle":"Fluorouracil modulation in colorectal cancer","journalAbbreviation":"J. Clin. Oncol.","language":"eng","author":[{"family":"O'Dwyer","given":"P. J."},{"family":"Manola","given":"J."},{"family":"Valone","given":"F. H."},{"family":"Ryan","given":"L. M."},{"family":"Hines","given":"J. D."},{"family":"Wadler","given":"S."},{"family":"Haller","given":"D. G."},{"family":"Arbuck","given":"S. G."},{"family":"Weiner","given":"L. M."},{"family":"Mayer","given":"R. J."},{"family":"Benson","given":"A. B."}],"issued":{"date-parts":[["2001",5,1]]}}},{"id":3699,"uris":["http://zotero.org/users/2225494/items/CTVF9NDT"],"uri":["http://zotero.org/users/2225494/items/CTVF9NDT"],"itemData":{"id":3699,"type":"article-journal","title":"Prognostic and Predictive Relevance of Primary Tumor Location in Patients With RAS Wild-Type Metastatic Colorectal Cancer: Retrospective Analyses of the CRYSTAL and FIRE-3 Trials","container-title":"JAMA oncology","source":"PubMed","abstract":"Importance: Metastatic colorectal cancer (mCRC) is heterogeneous, and primary tumors arising from different regions of the colon are clinically and molecularly distinct.\nObjective: To examine the prognostic and predictive value of primary tumor location in patients with RAS wild-type (wt) mCRC treated with first-line fluorouracil, leucovorin, and irinotecan (FOLFIRI) plus cetuximab in the Cetuximab Combined With Irinotecan in First-line Therapy for Metastatic Colorectal Cancer (CRYSTAL) trial and FOLFIRI Plus Cetuximab Versus FOLFIRI Plus Bevacizumab as First-Line Treatment For Patients With Metastatic Colorectal Cancer (FIRE-3) trial.\nDesign, Setting, and Participants: In this retrospective analysis patients with RAS wt metastatic colorectal cancer from the CRYSTAL and FIRE-3 trials were classified as having left-sided or right-sided mCRC, defined, respectively, as patients whose tumors originated in the splenic flexure, descending colon, sigmoid colon, or rectum vs appendix, cecum, ascending colon, hepatic flexure, or transverse colon.\nMain Outcomes and Measures: Progression-free survival (PFS), overall survival (OS), and objective response rate (ORR) were assessed according to tumor location and treatment arm.\nResults: In the RAS wt populations of the CRYSTAL and FIRE-3 trials, patients with left-sided tumors (n</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142 and n</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157, respectively) had markedly superior PFS, OS, and ORR compared with patients with right-sided tumors (n</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33 and n</w:instrText>
      </w:r>
      <w:r w:rsidRPr="003A7660">
        <w:rPr>
          <w:vertAlign w:val="superscript"/>
          <w:lang w:val="en-US"/>
        </w:rPr>
        <w:instrText> </w:instrText>
      </w:r>
      <w:r w:rsidRPr="003A7660">
        <w:rPr>
          <w:rFonts w:ascii="Book Antiqua" w:hAnsi="Book Antiqua"/>
          <w:vertAlign w:val="superscript"/>
          <w:lang w:val="en-US"/>
        </w:rPr>
        <w:instrText>=</w:instrText>
      </w:r>
      <w:r w:rsidRPr="003A7660">
        <w:rPr>
          <w:vertAlign w:val="superscript"/>
          <w:lang w:val="en-US"/>
        </w:rPr>
        <w:instrText> </w:instrText>
      </w:r>
      <w:r w:rsidRPr="003A7660">
        <w:rPr>
          <w:rFonts w:ascii="Book Antiqua" w:hAnsi="Book Antiqua"/>
          <w:vertAlign w:val="superscript"/>
          <w:lang w:val="en-US"/>
        </w:rPr>
        <w:instrText xml:space="preserve">38, respectively). Among CRYSTAL and FIRE-3 study patients with RAS wt left-sided tumors, FOLFIRI plus cetuximab significantly improved OS relative to the respective comparators (FOLFIRI and FOLFIRI plus bevacizumab); in contrast, in RAS wt patients with poor-prognosis right-sided tumors, limited efficacy benefits were observed upon the addition of cetuximab to FOLFIRI in CRYSTAL, and comparable outcomes were observed between the FOLFIRI plus cetuximab and FOLFIRI plus bevacizumab arms of FIRE-3. A significant interaction was observed between primary tumor location and treatment for OS (CRYSTAL: hazard ratio [HR], 1.95; 95% CI, 1.09-3.48 and FIRE-3: HR, 0.40; 95% CI, 0.23-0.70) within the RAS wt populations of both studies in multivariable models that also included sex, prior adjuvant therapy, and BRAF mutational status.\nConclusions and Relevance: In the RAS wt populations of CRYSTAL and FIRE-3, patients with left-sided tumors had a markedly better prognosis than those with right-sided tumors. First-line FOLFIRI plus cetuximab clearly benefitted patients with left-sided tumors (vs FOLFIRI or FOLFIRI plus bevacizumab, respectively), whereas patients with right-sided tumors derived limited benefit from standard treatments.\nTrial Registration: clinicaltrials.gov Identifiers: CRYSTAL, NCT00154102, and FIRE-3, NCT00433927.","DOI":"10.1001/jamaoncol.2016.3797","ISSN":"2374-2445","note":"PMID: 27722750","shortTitle":"Prognostic and Predictive Relevance of Primary Tumor Location in Patients With RAS Wild-Type Metastatic Colorectal Cancer","journalAbbreviation":"JAMA Oncol","language":"eng","author":[{"family":"Tejpar","given":"Sabine"},{"family":"Stintzing","given":"Sebastian"},{"family":"Ciardiello","given":"Fortunato"},{"family":"Tabernero","given":"Josep"},{"family":"Van Cutsem","given":"Eric"},{"family":"Beier","given":"Frank"},{"family":"Esser","given":"Regina"},{"family":"Lenz","given":"Heinz-Josef"},{"family":"Heinemann","given":"Volker"}],"issued":{"date-parts":[["2016",10,10]]}}}],"schema":"https://github.com/citation-style-language/schema/raw/master/csl-citation.json"} </w:instrText>
      </w:r>
      <w:r w:rsidRPr="003A7660">
        <w:rPr>
          <w:rFonts w:ascii="Book Antiqua" w:hAnsi="Book Antiqua"/>
          <w:vertAlign w:val="superscript"/>
          <w:lang w:val="en-US"/>
        </w:rPr>
        <w:fldChar w:fldCharType="end"/>
      </w:r>
      <w:r w:rsidRPr="003A7660">
        <w:rPr>
          <w:rFonts w:ascii="Book Antiqua" w:hAnsi="Book Antiqua"/>
          <w:lang w:val="en-US"/>
        </w:rPr>
        <w:t xml:space="preserve">. A liver-first strategy in case of synchronous CRLMs was a factor predictive of a good </w:t>
      </w:r>
      <w:r w:rsidR="00DA45CA" w:rsidRPr="003A7660">
        <w:rPr>
          <w:rFonts w:ascii="Book Antiqua" w:eastAsia="宋体" w:hAnsi="Book Antiqua"/>
          <w:lang w:val="en-US" w:eastAsia="zh-CN"/>
        </w:rPr>
        <w:t>HR</w:t>
      </w:r>
      <w:r w:rsidRPr="003A7660">
        <w:rPr>
          <w:rFonts w:ascii="Book Antiqua" w:hAnsi="Book Antiqua"/>
          <w:lang w:val="en-US"/>
        </w:rPr>
        <w:t xml:space="preserve">. This can probably be explained by the fact that only the patients who were radiological responders after NAC have access to this strategy. To our knowledge, only two studies in the literature, namely </w:t>
      </w:r>
      <w:r w:rsidR="00EA5CE6" w:rsidRPr="003A7660">
        <w:rPr>
          <w:rFonts w:ascii="Book Antiqua" w:hAnsi="Book Antiqua"/>
          <w:lang w:val="en-US"/>
        </w:rPr>
        <w:t>Viganò</w:t>
      </w:r>
      <w:r w:rsidR="00EA5CE6" w:rsidRPr="003A7660">
        <w:rPr>
          <w:rFonts w:ascii="Book Antiqua" w:eastAsia="宋体" w:hAnsi="Book Antiqua"/>
          <w:lang w:val="en-US" w:eastAsia="zh-CN"/>
        </w:rPr>
        <w:t xml:space="preserve"> </w:t>
      </w:r>
      <w:r w:rsidR="00EA5CE6" w:rsidRPr="003A7660">
        <w:rPr>
          <w:rFonts w:ascii="Book Antiqua" w:hAnsi="Book Antiqua"/>
          <w:i/>
          <w:lang w:val="en-US"/>
        </w:rPr>
        <w:t>et al</w:t>
      </w:r>
      <w:r w:rsidRPr="003A7660">
        <w:rPr>
          <w:rFonts w:ascii="Book Antiqua" w:hAnsi="Book Antiqua"/>
          <w:vertAlign w:val="superscript"/>
          <w:lang w:val="en-US"/>
        </w:rPr>
        <w:t>[13]</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{"citationID":"gDYrYO6H","properties":{"formattedCitation":"\\super [13]\\nosupersub{}","plainCitation":"","noteIndex":0},"citationItems":[{"id":"jK7A4ffc/5gdkHt5Q","uris":["http://zotero.org/users/local/CKZ8Mlfw/items/7Q2PP35Z"],"uri":["http://zotero.org/users/local/CKZ8Mlfw/items/7Q2PP35Z"],"itemData":{"id":6,"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xml:space="preserve"> and Pietrantonio </w:t>
      </w:r>
      <w:r w:rsidR="00EA5CE6" w:rsidRPr="003A7660">
        <w:rPr>
          <w:rFonts w:ascii="Book Antiqua" w:hAnsi="Book Antiqua"/>
          <w:i/>
          <w:lang w:val="en-US"/>
        </w:rPr>
        <w:t>et al</w:t>
      </w:r>
      <w:r w:rsidRPr="003A7660">
        <w:rPr>
          <w:rFonts w:ascii="Book Antiqua" w:hAnsi="Book Antiqua"/>
          <w:vertAlign w:val="superscript"/>
          <w:lang w:val="en-US"/>
        </w:rPr>
        <w:t>[54]</w:t>
      </w:r>
      <w:r w:rsidRPr="003A7660">
        <w:rPr>
          <w:rFonts w:ascii="Book Antiqua" w:hAnsi="Book Antiqua"/>
          <w:vertAlign w:val="superscript"/>
          <w:lang w:val="en-US"/>
        </w:rPr>
        <w:fldChar w:fldCharType="begin"/>
      </w:r>
      <w:r w:rsidRPr="003A7660">
        <w:rPr>
          <w:rFonts w:ascii="Book Antiqua" w:hAnsi="Book Antiqua"/>
          <w:vertAlign w:val="superscript"/>
          <w:lang w:val="en-US"/>
        </w:rPr>
        <w:instrText xml:space="preserve"> ADDIN ZOTERO_ITEM CSL_CITATION {"citationID":"1oaaa0gvhr","properties":{"formattedCitation":"\\super [54]\\nosupersub{}","plainCitation":"","noteIndex":0},"citationItems":[{"id":"jK7A4ffc/kleMahP5","uris":["http://zotero.org/users/local/CKZ8Mlfw/items/MHDZXAXS"],"uri":["http://zotero.org/users/local/CKZ8Mlfw/items/MHDZXAXS"],"itemData":{"id":"dCMJFIGW/yql7a35O","type":"article-journal","title":"Pathological response after neoadjuvant bevacizumab- or cetuximab-based chemotherapy in resected colorectal cancer liver metastases","container-title":"Medical Oncology (Northwood, London, England)","page":"182","volume":"32","issue":"7","source":"PubMed","abstract":"Neoadjuvant chemotherapy (NACT) prior to liver resection is advantageous for patients with colorectal cancer liver metastases (CLM). Bevacizumab- or cetuximab-based NACT may affect patient outcome and curative resection rate, but comparative studies on differential tumour regression grade (TRG) associated with distinct antibodies-associated regimens are lacking. Ninety-three consecutive patients received NACT plus bevacizumab (n = 46) or cetuximab (n = 47) followed by CLM resection. Pathological response was determined in each resected metastasis as TRG rated from 1 (complete) to 5 (no response). Except for KRAS mutations prevailing in bevacizumab versus cetuximab (57 vs. 21 %, p = 0.001), patients characteristics were well balanced. Median follow-up was 31 months (IQR 17-48). Bevacizumab induced significantly better pathological response rates (TRG1-3: 78 vs. 34 %, p &lt; 0.001) as well as complete responses (TRG1: 13 vs. 0 %, p = 0.012) with respect to cetuximab. Three-year progression-free survival (PFS) and overall survival (OS) were not significantly different in the two cohorts. At multivariable analysis, significant association with pathological response was found for number of resected metastases (p = 0.015) and bevacizumab allocation (p &lt; 0.001), while KRAS mutation showed only a trend. Significant association with poorer PFS and OS was found for low grades of pathological response (p = 0.009 and p &lt; 0.001, respectively), R2 resection or presence of extrahepatic disease (both p &lt; 0.001) and presence of KRAS mutation (p = 0.007 and p &lt; 0.001, respectively). Bevacizumab-based regimens, although influenced by the number of metastases and KRAS status, improve significantly pathological response if compared to cetuximab-based NACT. Possible differential impact among regimens on patient outcome has still to be elucidated.","DOI":"10.1007/s12032-015-0638-3","ISSN":"1559-131X","note":"PMID: 26003673","journalAbbreviation":"Med. Oncol.","language":"eng","author":[{"family":"Pietrantonio","given":"Filippo"},{"family":"Mazzaferro","given":"Vincenzo"},{"family":"Miceli","given":"Rosalba"},{"family":"Cotsoglou","given":"Christian"},{"family":"Melotti","given":"Flavia"},{"family":"Fanetti","given":"Giuseppe"},{"family":"Perrone","given":"Federica"},{"family":"Biondani","given":"Pamela"},{"family":"Muscarà","given":"Cecilia"},{"family":"Di Bartolomeo","given":"Maria"},{"family":"Coppa","given":"Jorgelina"},{"family":"Maggi","given":"Claudia"},{"family":"Milione","given":"Massimo"},{"family":"Tamborini","given":"Elena"},{"family":"Braud","given":"Filippo","non-dropping-particle":"de"}],"issued":{"date-parts":[["2015",7]]}}}],"schema":"https://github.com/citation-style-language/schema/raw/master/csl-citation.json"} </w:instrText>
      </w:r>
      <w:r w:rsidRPr="003A7660">
        <w:rPr>
          <w:rFonts w:ascii="Book Antiqua" w:hAnsi="Book Antiqua"/>
          <w:vertAlign w:val="superscript"/>
          <w:lang w:val="en-US"/>
        </w:rPr>
        <w:fldChar w:fldCharType="end"/>
      </w:r>
      <w:r w:rsidR="00780536" w:rsidRPr="003A7660">
        <w:rPr>
          <w:rFonts w:ascii="Book Antiqua" w:hAnsi="Book Antiqua"/>
          <w:lang w:val="en-US"/>
        </w:rPr>
        <w:t>,</w:t>
      </w:r>
      <w:r w:rsidR="00CB7728" w:rsidRPr="003A7660">
        <w:rPr>
          <w:rFonts w:ascii="Book Antiqua" w:hAnsi="Book Antiqua"/>
          <w:lang w:val="en-US"/>
        </w:rPr>
        <w:t xml:space="preserve"> </w:t>
      </w:r>
      <w:r w:rsidR="00780536" w:rsidRPr="003A7660">
        <w:rPr>
          <w:rFonts w:ascii="Book Antiqua" w:hAnsi="Book Antiqua"/>
          <w:lang w:val="en-US"/>
        </w:rPr>
        <w:t>h</w:t>
      </w:r>
      <w:r w:rsidRPr="003A7660">
        <w:rPr>
          <w:rFonts w:ascii="Book Antiqua" w:hAnsi="Book Antiqua"/>
          <w:lang w:val="en-US"/>
        </w:rPr>
        <w:t xml:space="preserve">ave examined the factors predictive of a </w:t>
      </w:r>
      <w:r w:rsidR="00DA45CA" w:rsidRPr="003A7660">
        <w:rPr>
          <w:rFonts w:ascii="Book Antiqua" w:eastAsia="宋体" w:hAnsi="Book Antiqua"/>
          <w:lang w:val="en-US" w:eastAsia="zh-CN"/>
        </w:rPr>
        <w:t>HR</w:t>
      </w:r>
      <w:r w:rsidRPr="003A7660">
        <w:rPr>
          <w:rFonts w:ascii="Book Antiqua" w:hAnsi="Book Antiqua"/>
          <w:lang w:val="en-US"/>
        </w:rPr>
        <w:t xml:space="preserve"> of CRLMs, based on multivariate analysis involving 323 and 93 patients, respectively. </w:t>
      </w:r>
      <w:r w:rsidR="00EA5CE6" w:rsidRPr="003A7660">
        <w:rPr>
          <w:rFonts w:ascii="Book Antiqua" w:hAnsi="Book Antiqua"/>
          <w:lang w:val="en-US"/>
        </w:rPr>
        <w:t>Viganò</w:t>
      </w:r>
      <w:r w:rsidR="00EA5CE6" w:rsidRPr="003A7660">
        <w:rPr>
          <w:rFonts w:ascii="Book Antiqua" w:eastAsia="宋体" w:hAnsi="Book Antiqua"/>
          <w:lang w:val="en-US" w:eastAsia="zh-CN"/>
        </w:rPr>
        <w:t xml:space="preserve"> </w:t>
      </w:r>
      <w:r w:rsidR="00EA5CE6" w:rsidRPr="003A7660">
        <w:rPr>
          <w:rFonts w:ascii="Book Antiqua" w:hAnsi="Book Antiqua"/>
          <w:i/>
          <w:lang w:val="en-US"/>
        </w:rPr>
        <w:t>et al</w:t>
      </w:r>
      <w:r w:rsidR="00EA5CE6" w:rsidRPr="003A7660">
        <w:rPr>
          <w:rFonts w:ascii="Book Antiqua" w:hAnsi="Book Antiqua"/>
          <w:vertAlign w:val="superscript"/>
          <w:lang w:val="en-US"/>
        </w:rPr>
        <w:t>[13]</w:t>
      </w:r>
      <w:r w:rsidR="00EA5CE6" w:rsidRPr="003A7660">
        <w:rPr>
          <w:rFonts w:ascii="Book Antiqua" w:eastAsia="宋体" w:hAnsi="Book Antiqua"/>
          <w:vertAlign w:val="superscript"/>
          <w:lang w:val="en-US" w:eastAsia="zh-CN"/>
        </w:rPr>
        <w:t xml:space="preserve"> </w:t>
      </w:r>
      <w:r w:rsidRPr="003A7660">
        <w:rPr>
          <w:rFonts w:ascii="Book Antiqua" w:hAnsi="Book Antiqua"/>
          <w:lang w:val="en-US"/>
        </w:rPr>
        <w:t xml:space="preserve">were able to identify four predictive factors of a </w:t>
      </w:r>
      <w:r w:rsidRPr="003A7660">
        <w:rPr>
          <w:rFonts w:ascii="Book Antiqua" w:hAnsi="Book Antiqua"/>
          <w:lang w:val="en-US"/>
        </w:rPr>
        <w:lastRenderedPageBreak/>
        <w:t xml:space="preserve">good response, which were the combination of oxaliplatin and irinotecan, the radiological response, the largest lesion </w:t>
      </w:r>
      <w:r w:rsidR="005A0012" w:rsidRPr="003A7660">
        <w:rPr>
          <w:rFonts w:ascii="Book Antiqua" w:hAnsi="Book Antiqua"/>
          <w:lang w:val="en-US"/>
        </w:rPr>
        <w:t>≤</w:t>
      </w:r>
      <w:r w:rsidR="005A0012" w:rsidRPr="003A7660">
        <w:rPr>
          <w:rFonts w:ascii="Book Antiqua" w:eastAsia="宋体" w:hAnsi="Book Antiqua"/>
          <w:lang w:val="en-US" w:eastAsia="zh-CN"/>
        </w:rPr>
        <w:t xml:space="preserve"> </w:t>
      </w:r>
      <w:r w:rsidRPr="003A7660">
        <w:rPr>
          <w:rFonts w:ascii="Book Antiqua" w:hAnsi="Book Antiqua"/>
          <w:lang w:val="en-US"/>
        </w:rPr>
        <w:t xml:space="preserve">5 cm, and a </w:t>
      </w:r>
      <w:r w:rsidR="005A0012" w:rsidRPr="003A7660">
        <w:rPr>
          <w:rFonts w:ascii="Book Antiqua" w:hAnsi="Book Antiqua"/>
          <w:lang w:val="en-US"/>
        </w:rPr>
        <w:t>carcinoembryonic antigen</w:t>
      </w:r>
      <w:r w:rsidR="005A0012" w:rsidRPr="003A7660">
        <w:rPr>
          <w:rFonts w:ascii="Book Antiqua" w:eastAsia="宋体" w:hAnsi="Book Antiqua"/>
          <w:lang w:val="en-US" w:eastAsia="zh-CN"/>
        </w:rPr>
        <w:t xml:space="preserve"> </w:t>
      </w:r>
      <w:r w:rsidRPr="003A7660">
        <w:rPr>
          <w:rFonts w:ascii="Book Antiqua" w:hAnsi="Book Antiqua"/>
          <w:lang w:val="en-US"/>
        </w:rPr>
        <w:t xml:space="preserve">level </w:t>
      </w:r>
      <w:r w:rsidR="005A0012" w:rsidRPr="003A7660">
        <w:rPr>
          <w:rFonts w:ascii="Book Antiqua" w:hAnsi="Book Antiqua"/>
          <w:lang w:val="en-US"/>
        </w:rPr>
        <w:t>≤</w:t>
      </w:r>
      <w:r w:rsidR="005A0012" w:rsidRPr="003A7660">
        <w:rPr>
          <w:rFonts w:ascii="Book Antiqua" w:eastAsia="宋体" w:hAnsi="Book Antiqua"/>
          <w:lang w:val="en-US" w:eastAsia="zh-CN"/>
        </w:rPr>
        <w:t xml:space="preserve"> </w:t>
      </w:r>
      <w:r w:rsidRPr="003A7660">
        <w:rPr>
          <w:rFonts w:ascii="Book Antiqua" w:hAnsi="Book Antiqua"/>
          <w:lang w:val="en-US"/>
        </w:rPr>
        <w:t>5 ng/m</w:t>
      </w:r>
      <w:r w:rsidR="005A0012" w:rsidRPr="003A7660">
        <w:rPr>
          <w:rFonts w:ascii="Book Antiqua" w:eastAsia="宋体" w:hAnsi="Book Antiqua"/>
          <w:lang w:val="en-US" w:eastAsia="zh-CN"/>
        </w:rPr>
        <w:t>L</w:t>
      </w:r>
      <w:r w:rsidRPr="003A7660">
        <w:rPr>
          <w:rFonts w:ascii="Book Antiqua" w:hAnsi="Book Antiqua"/>
          <w:lang w:val="en-US"/>
        </w:rPr>
        <w:t xml:space="preserve">. </w:t>
      </w:r>
    </w:p>
    <w:p w:rsidR="00F74797" w:rsidRPr="003A7660" w:rsidRDefault="005A0012" w:rsidP="00384F14">
      <w:pPr>
        <w:snapToGrid w:val="0"/>
        <w:spacing w:line="360" w:lineRule="auto"/>
        <w:ind w:firstLineChars="100" w:firstLine="240"/>
        <w:jc w:val="both"/>
        <w:rPr>
          <w:rFonts w:ascii="Book Antiqua" w:hAnsi="Book Antiqua"/>
          <w:bCs/>
          <w:lang w:val="en-US"/>
        </w:rPr>
      </w:pPr>
      <w:r w:rsidRPr="003A7660">
        <w:rPr>
          <w:rFonts w:ascii="Book Antiqua" w:eastAsia="宋体" w:hAnsi="Book Antiqua"/>
          <w:lang w:val="en-US" w:eastAsia="zh-CN"/>
        </w:rPr>
        <w:t>OS</w:t>
      </w:r>
      <w:r w:rsidR="00F74797" w:rsidRPr="003A7660">
        <w:rPr>
          <w:rFonts w:ascii="Book Antiqua" w:hAnsi="Book Antiqua"/>
          <w:lang w:val="en-US"/>
        </w:rPr>
        <w:t xml:space="preserve"> was influenced by the </w:t>
      </w:r>
      <w:r w:rsidR="00DA45CA" w:rsidRPr="003A7660">
        <w:rPr>
          <w:rFonts w:ascii="Book Antiqua" w:eastAsia="宋体" w:hAnsi="Book Antiqua"/>
          <w:lang w:val="en-US" w:eastAsia="zh-CN"/>
        </w:rPr>
        <w:t>HR</w:t>
      </w:r>
      <w:r w:rsidR="00F74797" w:rsidRPr="003A7660">
        <w:rPr>
          <w:rFonts w:ascii="Book Antiqua" w:hAnsi="Book Antiqua"/>
          <w:lang w:val="en-US"/>
        </w:rPr>
        <w:t xml:space="preserve"> according to whether or not there were </w:t>
      </w:r>
      <w:r w:rsidR="00DA45CA" w:rsidRPr="003A7660">
        <w:rPr>
          <w:rFonts w:ascii="Book Antiqua" w:eastAsia="宋体" w:hAnsi="Book Antiqua"/>
          <w:lang w:val="en-US" w:eastAsia="zh-CN"/>
        </w:rPr>
        <w:t>VNME</w:t>
      </w:r>
      <w:r w:rsidR="00F74797" w:rsidRPr="003A7660">
        <w:rPr>
          <w:rFonts w:ascii="Book Antiqua" w:hAnsi="Book Antiqua"/>
          <w:lang w:val="en-US"/>
        </w:rPr>
        <w:t xml:space="preserve"> on the resected specimen. In fact, in the absence of VNME, the </w:t>
      </w:r>
      <w:r w:rsidR="00DA45CA" w:rsidRPr="003A7660">
        <w:rPr>
          <w:rFonts w:ascii="Book Antiqua" w:eastAsia="宋体" w:hAnsi="Book Antiqua"/>
          <w:lang w:val="en-US" w:eastAsia="zh-CN"/>
        </w:rPr>
        <w:t>HR</w:t>
      </w:r>
      <w:r w:rsidR="00F74797" w:rsidRPr="003A7660">
        <w:rPr>
          <w:rFonts w:ascii="Book Antiqua" w:hAnsi="Book Antiqua"/>
          <w:lang w:val="en-US"/>
        </w:rPr>
        <w:t xml:space="preserve"> is an independent factor of a good prognosis for OS</w:t>
      </w:r>
      <w:r w:rsidR="00320B73" w:rsidRPr="003A7660">
        <w:rPr>
          <w:rFonts w:ascii="Book Antiqua" w:hAnsi="Book Antiqua"/>
          <w:lang w:val="en-US"/>
        </w:rPr>
        <w:t xml:space="preserve">. </w:t>
      </w:r>
      <w:r w:rsidR="00F74797" w:rsidRPr="003A7660">
        <w:rPr>
          <w:rFonts w:ascii="Book Antiqua" w:hAnsi="Book Antiqua"/>
          <w:lang w:val="en-US"/>
        </w:rPr>
        <w:t xml:space="preserve">Although the impact of the </w:t>
      </w:r>
      <w:r w:rsidR="00DA45CA" w:rsidRPr="003A7660">
        <w:rPr>
          <w:rFonts w:ascii="Book Antiqua" w:eastAsia="宋体" w:hAnsi="Book Antiqua"/>
          <w:lang w:val="en-US" w:eastAsia="zh-CN"/>
        </w:rPr>
        <w:t>HR</w:t>
      </w:r>
      <w:r w:rsidR="00F74797" w:rsidRPr="003A7660">
        <w:rPr>
          <w:rFonts w:ascii="Book Antiqua" w:hAnsi="Book Antiqua"/>
          <w:lang w:val="en-US"/>
        </w:rPr>
        <w:t xml:space="preserve"> on OS has already </w:t>
      </w:r>
      <w:r w:rsidR="006F78CB" w:rsidRPr="003A7660">
        <w:rPr>
          <w:rFonts w:ascii="Book Antiqua" w:hAnsi="Book Antiqua"/>
          <w:lang w:val="en-US"/>
        </w:rPr>
        <w:t>been reported in the literature</w:t>
      </w:r>
      <w:r w:rsidR="006F78CB" w:rsidRPr="003A7660">
        <w:rPr>
          <w:rFonts w:ascii="Book Antiqua" w:hAnsi="Book Antiqua"/>
          <w:vertAlign w:val="superscript"/>
          <w:lang w:val="en-US"/>
        </w:rPr>
        <w:t>[13,41,</w:t>
      </w:r>
      <w:r w:rsidR="00F74797" w:rsidRPr="003A7660">
        <w:rPr>
          <w:rFonts w:ascii="Book Antiqua" w:hAnsi="Book Antiqua"/>
          <w:vertAlign w:val="superscript"/>
          <w:lang w:val="en-US"/>
        </w:rPr>
        <w:t>54]</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{"citationID":"1ssgs7in36","properties":{"formattedCitation":"\\super [13,41,54]\\nosupersub{}","plainCitation":"","noteIndex":0},"citationItems":[{"id":"jK7A4ffc/kleMahP5","uris":["http://zotero.org/users/local/CKZ8Mlfw/items/MHDZXAXS"],"uri":["http://zotero.org/users/local/CKZ8Mlfw/items/MHDZXAXS"],"itemData":{"id":"dCMJFIGW/yql7a35O","type":"article-journal","title":"Pathological response after neoadjuvant bevacizumab- or cetuximab-based chemotherapy in resected colorectal cancer liver metastases","container-title":"Medical Oncology (Northwood, London, England)","page":"182","volume":"32","issue":"7","source":"PubMed","abstract":"Neoadjuvant chemotherapy (NACT) prior to liver resection is advantageous for patients with colorectal cancer liver metastases (CLM). Bevacizumab- or cetuximab-based NACT may affect patient outcome and curative resection rate, but comparative studies on differential tumour regression grade (TRG) associated with distinct antibodies-associated regimens are lacking. Ninety-three consecutive patients received NACT plus bevacizumab (n = 46) or cetuximab (n = 47) followed by CLM resection. Pathological response was determined in each resected metastasis as TRG rated from 1 (complete) to 5 (no response). Except for KRAS mutations prevailing in bevacizumab versus cetuximab (57 vs. 21 %, p = 0.001), patients characteristics were well balanced. Median follow-up was 31 months (IQR 17-48). Bevacizumab induced significantly better pathological response rates (TRG1-3: 78 vs. 34 %, p &lt; 0.001) as well as complete responses (TRG1: 13 vs. 0 %, p = 0.012) with respect to cetuximab. Three-year progression-free survival (PFS) and overall survival (OS) were not significantly different in the two cohorts. At multivariable analysis, significant association with pathological response was found for number of resected metastases (p = 0.015) and bevacizumab allocation (p &lt; 0.001), while KRAS mutation showed only a trend. Significant association with poorer PFS and OS was found for low grades of pathological response (p = 0.009 and p &lt; 0.001, respectively), R2 resection or presence of extrahepatic disease (both p &lt; 0.001) and presence of KRAS mutation (p = 0.007 and p &lt; 0.001, respectively). Bevacizumab-based regimens, although influenced by the number of metastases and KRAS status, improve significantly pathological response if compared to cetuximab-based NACT. Possible differential impact among regimens on patient outcome has still to be elucidated.","DOI":"10.1007/s12032-015-0638-3","ISSN":"1559-131X","note":"PMID: 26003673","journalAbbreviation":"Med. Oncol.","language":"eng","author":[{"family":"Pietrantonio","given":"Filippo"},{"family":"Mazzaferro","given":"Vincenzo"},{"family":"Miceli","given":"Rosalba"},{"family":"Cotsoglou","given":"Christian"},{"family":"Melotti","given":"Flavia"},{"family":"Fanetti","given":"Giuseppe"},{"family":"Perrone","given":"Federica"},{"family":"Biondani","given":"Pamela"},{"family":"Muscarà","given":"Cecilia"},{"family":"Di Bartolomeo","given":"Maria"},{"family":"Coppa","given":"Jorgelina"},{"family":"Maggi","given":"Claudia"},{"family":"Milione","given":"Massimo"},{"family":"Tamborini","given":"Elena"},{"family":"Braud","given":"Filippo","non-dropping-particle":"de"}],"issued":{"date-parts":[["2015",7]]}}},{"id":"jK7A4ffc/o6H5ttSN","uris":["http://zotero.org/users/local/CKZ8Mlfw/items/AEPBPS4I"],"uri":["http://zotero.org/users/local/CKZ8Mlfw/items/AEPBPS4I"],"itemData":{"id":"dCMJFIGW/zXl3gwIk","type":"article-journal","title":"Histopathologic evaluation of liver metastases from colorectal cancer in patients treated with FOLFOXIRI plus bevacizumab","container-title":"British Journal of Cancer","page":"2549-2556","volume":"108","issue":"12","source":"PubMed Central","abstract":"Background:\nThe FOLFOXIRI regimen produces a high rate of radiological and histopathological responses. Bevacizumab added to chemotherapy showed an improvement in pathological response and necrosis of colorectal liver metastases (CLMs). FOLFOXIRI plus bevacizumab produced promising early clinical results and is under investigation in several randomised trials, although no data are currently available on its effects on response of CLMs and on liver toxicities.\n\nMethods:\nStarting from 499 patients enrolled in first-line phase II/III trials, we selected on the basis of tissue sample availability 18 patients treated with FOLFOXIRI/XELOXIRI and 24 patients treated with FOLFOXIRI plus bevacizumab who underwent secondary resection of CLMs. The 28 untreated patients who underwent primary resection of CLMs were included as control group. Responses of CLMs and chemotherapy-induced toxicities were assessed.\n\nResults:\nAmong the patients, 63% of those treated with FOLFOXIRI plus bevacizumab, as compared with 28% of those treated with only FOLFOXIRI/XELOXIRI, showed a histopathological response (P=0.033). In the two groups, 52% and 12.5%, respectively, showed necrosis </w:instrText>
      </w:r>
      <w:r w:rsidR="00F74797" w:rsidRPr="003A7660">
        <w:rPr>
          <w:rFonts w:ascii="Cambria Math" w:hAnsi="Cambria Math" w:cs="Cambria Math"/>
          <w:lang w:val="en-US"/>
        </w:rPr>
        <w:instrText>⩾</w:instrText>
      </w:r>
      <w:r w:rsidR="00F74797" w:rsidRPr="003A7660">
        <w:rPr>
          <w:rFonts w:ascii="Book Antiqua" w:hAnsi="Book Antiqua"/>
          <w:lang w:val="en-US"/>
        </w:rPr>
        <w:instrText xml:space="preserve">50% (P=0.017). The incidence of liver toxicities was not significantly increased in patients treated with FOLFOXIRI plus bevacizumab.\n\nConclusion:\nThe addition of bevacizumab to FOLFOXIRI produces high rates of pathologic responses and necrosis of CLM without increasing liver toxicity.","DOI":"10.1038/bjc.2013.245","ISSN":"0007-0920","note":"PMID: 23703247\nPMCID: PMC3694238","journalAbbreviation":"Br J Cancer","author":[{"family":"Loupakis","given":"F"},{"family":"Schirripa","given":"M"},{"family":"Caparello","given":"C"},{"family":"Funel","given":"N"},{"family":"Pollina","given":"L"},{"family":"Vasile","given":"E"},{"family":"Cremolini","given":"C"},{"family":"Salvatore","given":"L"},{"family":"Morvillo","given":"M"},{"family":"Antoniotti","given":"C"},{"family":"Marmorino","given":"F"},{"family":"Masi","given":"G"},{"family":"Falcone","given":"A"}],"issued":{"date-parts":[["2013",6,25]]}}},{"id":"jK7A4ffc/5gdkHt5Q","uris":["http://zotero.org/users/local/CKZ8Mlfw/items/7Q2PP35Z"],"uri":["http://zotero.org/users/local/CKZ8Mlfw/items/7Q2PP35Z"],"itemData":{"id":"dCMJFIGW/pLi5t9Pm","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Oulhaci"},{"family":"Mentha","given":"Gilles"},{"family":"Rubbia-Brandt","given":"Laura"}],"issued":{"date-parts":[["2013",11]]}}}],"schema":"https://github.com/citation-style-language/schema/raw/master/csl-citation.json"} </w:instrText>
      </w:r>
      <w:r w:rsidR="00F74797" w:rsidRPr="003A7660">
        <w:rPr>
          <w:rFonts w:ascii="Book Antiqua" w:hAnsi="Book Antiqua"/>
          <w:lang w:val="en-US"/>
        </w:rPr>
        <w:fldChar w:fldCharType="end"/>
      </w:r>
      <w:r w:rsidR="00F74797" w:rsidRPr="003A7660">
        <w:rPr>
          <w:rFonts w:ascii="Book Antiqua" w:hAnsi="Book Antiqua"/>
          <w:lang w:val="en-US"/>
        </w:rPr>
        <w:t xml:space="preserve"> , this is the first time that it has been shown that its influence is abrogated by the presence of VNME on the resected specimen, which is a known factor of poor prognosis. Therefore, tumor aggressiveness as reflected by VNME appears to be a more significant determining factor than the </w:t>
      </w:r>
      <w:r w:rsidR="00DA45CA" w:rsidRPr="003A7660">
        <w:rPr>
          <w:rFonts w:ascii="Book Antiqua" w:eastAsia="宋体" w:hAnsi="Book Antiqua"/>
          <w:lang w:val="en-US" w:eastAsia="zh-CN"/>
        </w:rPr>
        <w:t>HR</w:t>
      </w:r>
      <w:r w:rsidR="00F74797" w:rsidRPr="003A7660">
        <w:rPr>
          <w:rFonts w:ascii="Book Antiqua" w:hAnsi="Book Antiqua"/>
          <w:lang w:val="en-US"/>
        </w:rPr>
        <w:t xml:space="preserve"> for the OS prognosis of patients. Four other independent factors of poor prognosis for OS were identified: </w:t>
      </w:r>
      <w:r w:rsidR="00CB7728" w:rsidRPr="003A7660">
        <w:rPr>
          <w:rFonts w:ascii="Book Antiqua" w:hAnsi="Book Antiqua"/>
          <w:lang w:val="en-US"/>
        </w:rPr>
        <w:t>m</w:t>
      </w:r>
      <w:r w:rsidR="00F74797" w:rsidRPr="003A7660">
        <w:rPr>
          <w:rFonts w:ascii="Book Antiqua" w:hAnsi="Book Antiqua"/>
          <w:lang w:val="en-US"/>
        </w:rPr>
        <w:t>ale gender, use of targeted therapy, two-stage hepatectomy, and N+ status of</w:t>
      </w:r>
      <w:r w:rsidR="006F78CB" w:rsidRPr="003A7660">
        <w:rPr>
          <w:rFonts w:ascii="Book Antiqua" w:hAnsi="Book Antiqua"/>
          <w:lang w:val="en-US"/>
        </w:rPr>
        <w:t xml:space="preserve"> the primary tumor. Male gender</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{"citationID":"a6evdskh0o","properties":{"formattedCitation":"\\super [40,46,47,55\\uc0\\u8211{}58]\\nosupersub{}","plainCitation":"[40,46,47,55–58]","noteIndex":0},"citationItems":[{"id":"jK7A4ffc/EkqUq678","uris":["http://zotero.org/users/local/CKZ8Mlfw/items/E4SJ23V7"],"uri":["http://zotero.org/users/local/CKZ8Mlfw/items/E4SJ23V7"],"itemData":{"id":233,"type":"article-journal","title":"Factors influencing survival of patients undergoing hepatectomy for colorectal metastases","container-title":"The British Journal of Surgery","page":"332-337","volume":"86","issue":"3","source":"PubMed","abstract":"BACKGROUND: The extent of surgical margin is still a matter of controversy with regard to outcome after liver resection for metastatic disease. The aim of this study was to clarify the significant prognostic factors after hepatectomy for colorectal metastases, with special reference to the surgical margin.\nMETHODS: Ninety-six patients who underwent initial hepatic resection for liver metastases from colorectal cancer between 1992 and 1994 were studied.\nRESULTS: Overall 1-, 3- and 5-year survival rates were 94, 61 and 51 per cent respectively. All of the independent factors associated with poor prognosis after hepatic resection were tumour-related factors, such as the number of tumours (four or more), presence of portal vein invasion, hepatic vein invasion and absence of a fibrous pseudocapsule. A positive resection margin was not an independent prognostic factor, because of its strong relationship with the number of tumours resected.\nCONCLUSION: A generous surgical margin is not essential for curative hepatic resection, although positive surgical margins should be avoided. New potential risk factors which affect survival, such as the presence of portal vein or hepatic vein invasion and the absence of a pseudocapsule, may be helpful for defining the indications for postoperative adjuvant treatment.","DOI":"10.1046/j.1365-2168.1999.01030.x","ISSN":"0007-1323","note":"PMID: 10201774","journalAbbreviation":"Br J Surg","language":"eng","author":[{"family":"Yamamoto","given":"J."},{"family":"Shimada","given":"K."},{"family":"Kosuge","given":"T."},{"family":"Yamasaki","given":"S."},{"family":"Sakamoto","given":"M."},{"family":"Fukuda","given":"H."}],"issued":{"date-parts":[["1999",3]]}},"label":"page"},{"id":"jK7A4ffc/QJ6bPNua","uris":["http://zotero.org/users/local/CKZ8Mlfw/items/MP44Q49M"],"uri":["http://zotero.org/users/local/CKZ8Mlfw/items/MP44Q49M"],"itemData":{"id":302,"type":"article-journal","title":"Pre- and postoperative carcinoembryonic antigen determinations in hepatic resection for colorectal metastases. Predictive value and implications for adjuvant treatment based on multivariate analysis","container-title":"Annals of Surgery","page":"135-143","volume":"219","issue":"2","source":"PubMed","abstract":"OBJECTIVE: The object of this study was to evaluate the prognostic significance of pre- and postoperative serum carcinoembryonic antigen (CEA) levels in the resectional treatment of colorectal hepatic metastases. The main question was whether postoperative CEA levels correlated with survival and the time to recurrence.\nSUMMARY BACKGROUND DATA: Despite numerous investigations on prognostic factors in colorectal cancer, only sparse data are available to estimate the patient's individual risk for tumor recurrence postoperatively. It is controversial whether preoperative CEA values are of prognostic significance, and after observing the kinetics of CEA decline, elevated CEA levels postoperatively were found to be an ominous sign. CEA therefore could indicate the presence of a tumor burden after resection.\nMETHODS: One hundred sixty-six patients undergoing hepatic resection for colorectal metastases with curative intent were prospectively documented and underwent multivariate analysis for indicators of prognosis.\nRESULTS: Abnormal preoperative CEA levels were not of prognostic significance compared with values within the normal range (survival, 36 vs. 30 months; p = 0.12; disease-free survival, 12 vs. 10 months; p = 0.82). The postoperative serum CEA level, however, was the most predictive factor with regard to survival and the disease-free interval. Patients in whom CEA levels were abnormal before surgery and returned into the normal range after resection had significantly better survival times (37 vs. 23 months, p = 0.0001) and disease-free survival times (12 vs. 6.2 months, p = 0.0001) compared with patients with persistently abnormal values.\nCONCLUSIONS: Pre- and postoperative determination of the serum CEA level is mandatory to judge whether a curative resection has been performed and whether tumor has been left behind after the operation. Postoperative CEA levels also should be used as a stratification criterion in adjuvant treatment studies after hepatic resection to indicate patients with a high risk of tumor recurrence.","ISSN":"0003-4932","note":"PMID: 8129484\nPMCID: PMC1243115","journalAbbreviation":"Ann. Surg.","language":"eng","author":[{"family":"Hohenberger","given":"P."},{"family":"Schlag","given":"P. M."},{"family":"Gerneth","given":"T."},{"family":"Herfarth","given":"C."}],"issued":{"date-parts":[["1994",2]]}},"label":"page"},{"id":"jK7A4ffc/B0TmigfM","uris":["http://zotero.org/users/local/CKZ8Mlfw/items/CE6837U6"],"uri":["http://zotero.org/users/local/CKZ8Mlfw/items/CE6837U6"],"itemData":{"id":241,"type":"article-journal","title":"Prognostic factors and survival after resection of colorectal liver metastasis in the era of preoperative chemotherapy: an 11-year single-centre study","container-title":"Digestive Surgery","page":"293-301","volume":"30","issue":"4-6","source":"PubMed","abstract":"INTRODUCTION: A variety of factors have been identified in the literature which influence survival following resection of colorectal liver metastases (CRLM). Much of this literature is historical, and its relevance to contemporary practice is not known. The aim of this study was to identify those factors which influence survival during the era of preoperative chemotherapy in patients undergoing resection of CRLM in a UK centre.\nMETHODS: All patients having liver resection for CRLM during an 11-year period up to 2011 were identified from a prospectively maintained database. Prognostic factors analysed included tumour size (≥5 or &lt;5 cm), lymph node status of the primary tumour, margin positivity (R1; &lt;1 mm), neo-adjuvant chemotherapy (for liver), tumour differentiation, number of liver metastases (≥4), preoperative carcinoembryonic antigen (CEA; ≥200 ng/ml) and whether metastases were synchronous (i.e. diagnosed within 12 months of colorectal resection) or metachronous to the primary tumour. Overall survival (OS) was compared using Kaplan-Meier plots and a log rank test for significance. Multivariate analysis was performed using a Cox regression model. Statistical analysis was performed in SPSS v19, and p &lt; 0.05 was considered to be significant.\nRESULTS: 432 patients underwent resection of CRLM during this period (67% male; mean age 64.5 years), and of these, 54 (13.5%) had re-resections. The overall 5-year survival in this series was 43% with an actuarial 10-year survival of 40%. A preoperative CEA ≥200 ng/ml was present in 10% of patients and was associated with a poorer 5-year OS (24 vs. 45%; p &lt; 0.001). A positive resection margin &lt;1 mm was present in 16% of patients, and this had a negative impact on 5-year OS (15 vs. 47%; p &lt; 0.001). Tumour differentiation, number, biliary or vascular invasion, size, relationship to primary disease, nodal status of the primary disease or the use of neo-adjuvant chemotherapy had no impact on OS. Multivariate analysis identified only the presence of a positive resection margin (OR 1.75; p &lt; 0.05) and a preoperative CEA ≥200 ng/ml (OR 1.88; p &lt; 0.01) as independent predictors of poor OS.\nCONCLUSION: Despite the wide variety of prognostic factors reported in the literature, this study was only able to identify a preoperative CEA ≥200 ng/ml and the presence of tumour within 1 mm of the resection margin as being of value in predicting survival. These variables are likely to identify patients who may benefit from intensive follow-up to enable early aggressive treatment of recurrent disease.","DOI":"10.1159/000354310","ISSN":"1421-9883","note":"PMID: 23969407","shortTitle":"Prognostic factors and survival after resection of colorectal liver metastasis in the era of preoperative chemotherapy","journalAbbreviation":"Dig Surg","language":"eng","author":[{"family":"John","given":"S. K. P."},{"family":"Robinson","given":"S. M."},{"family":"Rehman","given":"S."},{"family":"Harrison","given":"B."},{"family":"Vallance","given":"A."},{"family":"French","given":"J. J."},{"family":"Jaques","given":"B. C."},{"family":"Charnley","given":"R. M."},{"family":"Manas","given":"D. M."},{"family":"White","given":"S. A."}],"issued":{"date-parts":[["2013"]]}},"label":"page"},{"id":"jK7A4ffc/zZq88vOT","uris":["http://zotero.org/users/local/CKZ8Mlfw/items/MDFXHJRX"],"uri":["http://zotero.org/users/local/CKZ8Mlfw/items/MDFXHJRX"],"itemData":{"id":249,"type":"article-journal","title":"Early recurrence after liver resection for colorectal metastases: risk factors, prognosis, and treatment. A LiverMetSurvey-based study of 6,025 patients","container-title":"Annals of Surgical Oncology","page":"1276-1286","volume":"21","issue":"4","source":"PubMed","abstract":"PURPOSE: The aims of this study were to assess the risk of early recurrence after liver resection for colorectal metastases (CRLM) and its prognostic value; identify early recurrence predictive factors; clarify the effect of perioperative chemotherapy on its occurrence; and elucidate the best early recurrence management.\nMETHODS: Patients of the LiverMetSurvey registry who underwent complete liver resection (R0/R1) between 1998 and 2009 were reviewed. Early recurrence was defined as any recurrence that occurred within 6 months after resection.\nRESULTS: A total of 6,025 patients were included; 2,734 (45.4 %) had recurrence, including 639 (10.6 %) early recurrences. Early recurrence was mainly hepatic (59.5 vs. 54.4 % for late recurrences; p = 0.023). Independent risk factors of early recurrence were: T3-4 primary tumor (p = 0.0002); synchronous CRLM (p = 0.0001); &gt;3 CRLM (p &lt; 0.0001); 0-mm margin liver resection (p = 0.003); and associated intraoperative radiofrequency ablation (p = 0.0005). Response to preoperative chemotherapy (complete/partial) and administration of adjuvant chemotherapy reduced early recurrence risk (p = 0.003 and p &lt; 0.0001, respectively). Intraoperative ultrasonography reduced hepatic early recurrence rate (p = 0.025). Early recurrence negatively affected prognosis: 5-year survival 26.9 versus 49.4 % for the late recurrence group (p &lt; 0.0001, median follow-up 34.4 months). Overall, 234 (36.6 %) patients with early recurrence underwent re-resection. These patients had survival rates higher than non-re-resected patients (5-year survival 47.2 vs. 8.9 %; p &lt; 0.0001) and similar to re-resected patients for late recurrence (48.7 %). Chemotherapy before early recurrence resection improved later survival (5-year survival 61.5 vs. 43.7 %; p = 0.028).\nCONCLUSIONS: Early recurrence risk is enhanced for extensive disease after poor preoperative disease control and inadequate surgical treatment, but is reduced after adjuvant chemotherapy. Although early recurrence negatively affects prognosis, re-resection may restore better survival. Chemotherapy before early recurrence resection is advocated.","DOI":"10.1245/s10434-013-3421-8","ISSN":"1534-4681","note":"PMID: 24346766","shortTitle":"Early recurrence after liver resection for colorectal metastases","journalAbbreviation":"Ann. Surg. Oncol.","language":"eng","author":[{"family":"Viganò","given":"Luca"},{"family":"Capussotti","given":"Lorenzo"},{"family":"Lapointe","given":"Réal"},{"family":"Barroso","given":"Eduardo"},{"family":"Hubert","given":"Catherine"},{"family":"Giuliante","given":"Felice"},{"family":"Ijzermans","given":"Jan N. M."},{"family":"Mirza","given":"Darius F."},{"family":"Elias","given":"Dominique"},{"family":"Adam","given":"René"}],"issued":{"date-parts":[["2014",4]]}},"label":"page"},{"id":"jK7A4ffc/L3VXTKME","uris":["http://zotero.org/users/local/CKZ8Mlfw/items/GRH3FKI5"],"uri":["http://zotero.org/users/local/CKZ8Mlfw/items/GRH3FKI5"],"itemData":{"id":245,"type":"article-journal","title":"Surgical resection of colorectal carcinoma metastases to the liver. A prognostic scoring system to improve case selection, based on 1568 patients. Association Française de Chirurgie","container-title":"Cancer","page":"1254-1262","volume":"77","issue":"7","source":"PubMed","abstract":"BACKGROUND: Five-year survival rates after resection of liver metastases from colorectal carcinoma are close to 25%. Recurrences occur in two-thirds of the patients after surgery. Selection of patients likely to benefit from surgery remains controversial and subjective.\nMETHODS: Data from 1568 patients with resected liver metastases from colorectal carcinoma were collected. The prognostic value of different factors was studied through uni- and multivariate analyses. A scoring system was developed including the most relevant factors.\nRESULTS: Two- and 5-year survival rates were 64% and 28%, respectively, and were affected by: age; size of largest metastasis or CEA level; stage of the primary tumor; disease free interval; number of liver nodules; and resection margin. Giving one point to each factor, the population was divided into three risk groups three risk groups with different 2-year survival rates: 0-2 (79%), 3-4 (60%), 5-7 (43%).\nCONCLUSIONS: A simple prognostic scoring system was proposed to evaluate the chances for cure of patients after resection of liver metastases from colorectal carcinoma. The comparison between expected survival and estimated operative risk can help determine on an objective basis whether surgery is worthwhile. This system needs further prospective validation.","ISSN":"0008-543X","note":"PMID: 8608500","journalAbbreviation":"Cancer","language":"eng","author":[{"family":"Nordlinger","given":"B."},{"family":"Guiguet","given":"M."},{"family":"Vaillant","given":"J. C."},{"family":"Balladur","given":"P."},{"family":"Boudjema","given":"K."},{"family":"Bachellier","given":"P."},{"family":"Jaeck","given":"D."}],"issued":{"date-parts":[["1996",4,1]]}},"label":"page"},{"id":"jK7A4ffc/kryiyQrV","uris":["http://zotero.org/users/local/CKZ8Mlfw/items/4A88X29P"],"uri":["http://zotero.org/users/local/CKZ8Mlfw/items/4A88X29P"],"itemData":{"id":217,"type":"article-journal","title":"A Nomogram for Predicting Disease-specific Survival After Hepatic Resection for Metastatic Colorectal Cancer","container-title":"Annals of Surgery","page":"282-287","volume":"247","issue":"2","source":"insights.ovid.com","abstract":"To develop a tool for predicting survival after liver resection for patients with stage IV colorectal cancer. By using a nomogram we are trying to improve on the current practice of using prognostic scores for evaluating risks of therapeutic failure. All patients admitted to Memorial Sloan-Kettering Cancer Center (MSKCC) for curative intent for treatment of metastatic disease from colorectal cancer between January 1986 and December 1999 were included. A nomogram was developed as a graphical representation of a Cox proportional hazards regression model. The nomogram was verified for discrimination and calibration, both employing bootstrapping to obtain relatively unbiased estimates. Using nodal status of the primary tumor, disease-free interval, size of the largest metastatic tumor, preoperative carcinoembryonic antigen, bilateral resection, extensive resection (lobectomy or more), gender, number of hepatic tumors, primary cancer site (colon vs. rectum), and age, the nomogram achieved a concordance index of 0.61, statistically significantly greater than chance. The nomogram also had very good calibration. This nomogram is a predictive tool, upon external validation, that can routinely be used to counsel patients in making treatment decisions. The discriminatory ability of the nomogram indicates that this population should not be considered homogeneous with respect to risk of death.","DOI":"10.1097/SLA.0b013e31815ed67b","ISSN":"0003-4932","note":"PMID: 00000658-200802000-00012","language":"ENGLISH","author":[{"family":"Kattan","given":"Michael W."},{"family":"Gönen","given":"Mithat"},{"family":"Jarnagin","given":"William R."},{"family":"Dematteo","given":"Ronald"},{"family":"D'angelica","given":"Michael"},{"family":"Weiser","given":"Martin"},{"family":"Blumgart","given":"Leslie H."},{"family":"Fong","given":"Yuman"}],"issued":{"date-parts":[["2008",2,1]]}},"label":"page"},{"id":"jK7A4ffc/mSZw2A1h","uris":["http://zotero.org/users/local/CKZ8Mlfw/items/JKZ96FTK"],"uri":["http://zotero.org/users/local/CKZ8Mlfw/items/JKZ96FTK"],"itemData":{"id":21,"type":"article-journal","title":"Survival after hepatic resection in metastatic colorectal cancer: a population-based study","container-title":"Cancer","page":"718-726","volume":"109","issue":"4","source":"PubMed","abstract":"BACKGROUND: Hepatectomy is the standard of care for patients with colorectal cancer who have isolated hepatic metastases; however, the long-term survival benefits of hepatectomy in this population have not been characterized well outside of case series. For the current study, a population-based database was used to compare the survival of patients with liver metastases from colorectal cancer who did and did not undergo hepatectomy.\nMETHODS: Patients aged &gt;or=65 years with incident colorectal cancer who were diagnosed from 1991 to 2001 were identified from the linked Surveillance, Epidemiology, and End Results (SEER)-Medicare database. Liver metastasis diagnoses, colorectal resections, and hepatectomies were identified from hospital, outpatient, and physician-supplier claims. Patients who did not undergo colorectal resection were excluded. Five-year survival from the time of cancer diagnosis was determined by the Kaplan-Meier method. Cox proportional hazards models were used to evaluate survival.\nRESULTS: Among 13,599 patients who were identified with incident colorectal cancer and liver metastases, 7673 patients (56.4%) presented with stage IV disease, and the remaining patients presented with earlier stage disease and developed subsequent metastases. Only 833 patients (6.1%) in the cohort underwent hepatic resection, and their 30-day mortality rate was 4.3%. The 5-year survival was 32.8% among patients who underwent hepatic resection, compared with 10.5% among patients who did not undergo hepatic resection (P &lt; .0001), and better survival was observed in the subset of patients who presented initially with disease in stages I through III. In a Cox model, which was controlled for age, sex, race, comorbidities, and stage at presentation, lack of hepatic resection was associated with a 2.78-fold increased risk of death.\nCONCLUSIONS: Although hepatectomy rates among patients with colorectal cancer were low, hepatic resection was associated with improved survival.","DOI":"10.1002/cncr.22448","ISSN":"0008-543X","note":"PMID: 17238180","shortTitle":"Survival after hepatic resection in metastatic colorectal cancer","journalAbbreviation":"Cancer","language":"eng","author":[{"family":"Cummings","given":"Linda C."},{"family":"Payes","given":"Jonathan D."},{"family":"Cooper","given":"Gregory S."}],"issued":{"date-parts":[["2007",2,15]]}},"label":"page"}],"schema":"https://github.com/citation-style-language/schema/raw/master/csl-citation.json"} </w:instrText>
      </w:r>
      <w:r w:rsidR="00F74797" w:rsidRPr="003A7660">
        <w:rPr>
          <w:rFonts w:ascii="Book Antiqua" w:hAnsi="Book Antiqua"/>
          <w:lang w:val="en-US"/>
        </w:rPr>
        <w:fldChar w:fldCharType="separate"/>
      </w:r>
      <w:r w:rsidR="006F78CB" w:rsidRPr="003A7660">
        <w:rPr>
          <w:rFonts w:ascii="Book Antiqua" w:hAnsi="Book Antiqua"/>
          <w:vertAlign w:val="superscript"/>
          <w:lang w:val="en-US"/>
        </w:rPr>
        <w:t>[40,46,47,55</w:t>
      </w:r>
      <w:r w:rsidR="006F78CB" w:rsidRPr="003A7660">
        <w:rPr>
          <w:rFonts w:ascii="Book Antiqua" w:eastAsia="宋体" w:hAnsi="Book Antiqua"/>
          <w:vertAlign w:val="superscript"/>
          <w:lang w:val="en-US" w:eastAsia="zh-CN"/>
        </w:rPr>
        <w:t>-</w:t>
      </w:r>
      <w:r w:rsidR="00F74797" w:rsidRPr="003A7660">
        <w:rPr>
          <w:rFonts w:ascii="Book Antiqua" w:hAnsi="Book Antiqua"/>
          <w:vertAlign w:val="superscript"/>
          <w:lang w:val="en-US"/>
        </w:rPr>
        <w:t>58]</w:t>
      </w:r>
      <w:r w:rsidR="00F74797" w:rsidRPr="003A7660">
        <w:rPr>
          <w:rFonts w:ascii="Book Antiqua" w:hAnsi="Book Antiqua"/>
          <w:lang w:val="en-US"/>
        </w:rPr>
        <w:fldChar w:fldCharType="end"/>
      </w:r>
      <w:r w:rsidR="00F74797" w:rsidRPr="003A7660">
        <w:rPr>
          <w:rFonts w:ascii="Book Antiqua" w:hAnsi="Book Antiqua"/>
          <w:lang w:val="en-US"/>
        </w:rPr>
        <w:t xml:space="preserve"> and a positive lympha</w:t>
      </w:r>
      <w:r w:rsidR="006F78CB" w:rsidRPr="003A7660">
        <w:rPr>
          <w:rFonts w:ascii="Book Antiqua" w:hAnsi="Book Antiqua"/>
          <w:lang w:val="en-US"/>
        </w:rPr>
        <w:t>tic status of the primary tumor</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{"citationID":"Bh0EhejS","properties":{"unsorted":true,"formattedCitation":"\\super [34,58\\uc0\\u8211{}61]\\nosupersub{}","plainCitation":"[34,58–61]","noteIndex":0},"citationItems":[{"id":"jK7A4ffc/BbdeVxJN","uris":["http://zotero.org/users/local/CKZ8Mlfw/items/NU3CBSN8"],"uri":["http://zotero.org/users/local/CKZ8Mlfw/items/NU3CBSN8"],"itemData":{"id":208,"type":"article-journal","title":"Prognostic Factors after Liver Resection for Colorectal Liver Metastasis","container-title":"Acta Medica Portuguesa","page":"357-369","volume":"28","issue":"3","source":"PubMed","abstract":"INTRODUCTION: Surgery is the only potentially curative treatment for patients with colorectal liver metastases, resulting in 5-year survival rates of 36 -€“ 58. Although many studies have been performed to determine prognostic factors for tumor recurrence and survival after resection of colorectal liver metastases, there are few prognostic scoring systems stratifying patients undergoing surgery for colorectal liver metastases into risk group models.\nOBJECTIVES: To identify, evaluate and compare the existing prognostic scores for survival after surgery for resection of colorectal liver metastases.\nMATERIAL AND METHODS: Electronic search in PubMed, Cochrane and Embase from 1990 to 2013 using the terms '€˜hepatic resection', '€˜colorectal cancer'€™, 'liver metastasis', '€˜hepatectomy', '€˜prognostic'€™, and '€˜score'€˜. Only studies proposing a prognostic model or risk stratification based on clinical and/or pathological variables were included.\nRESULTS: From 1996 to June 2013, 19 scoring systems were identified, including one nomogram. Thirty prognostic factors were identified although none of the factors was common to all prognostic models. The 4 factors most often included were: number of liver metastases, regional lymph node metastization of primary tumor, preoperative CEA level and maximum size of metastases. The median study sample size was 305 patients (81-1 568 patients) and median follow-up was 33 months (16-54 months). All studies were retrospective and used the Cox proportional hazards model for multi-variable analysis.\nCONCLUSION: Several factors have been constantly reported as having prognostic value after liver resection of colorectal livermetastases, although there is no consensus on the ideal scoring system.","ISSN":"1646-0758","note":"PMID: 26421789","journalAbbreviation":"Acta Med Port","language":"eng","author":[{"family":"Matias","given":"Margarida"},{"family":"Casa-Nova","given":"Mafalda"},{"family":"Faria","given":"Mariana"},{"family":"Pires","given":"Ricardo"},{"family":"Tato-Costa","given":"Joana"},{"family":"Ribeiro","given":"Leonor"},{"family":"Costa","given":"Luís"}],"issued":{"date-parts":[["2015",6]]}},"label":"page"},{"id":"jK7A4ffc/zZq88vOT","uris":["http://zotero.org/users/local/CKZ8Mlfw/items/MDFXHJRX"],"uri":["http://zotero.org/users/local/CKZ8Mlfw/items/MDFXHJRX"],"itemData":{"id":249,"type":"article-journal","title":"Early recurrence after liver resection for colorectal metastases: risk factors, prognosis, and treatment. A LiverMetSurvey-based study of 6,025 patients","container-title":"Annals of Surgical Oncology","page":"1276-1286","volume":"21","issue":"4","source":"PubMed","abstract":"PURPOSE: The aims of this study were to assess the risk of early recurrence after liver resection for colorectal metastases (CRLM) and its prognostic value; identify early recurrence predictive factors; clarify the effect of perioperative chemotherapy on its occurrence; and elucidate the best early recurrence management.\nMETHODS: Patients of the LiverMetSurvey registry who underwent complete liver resection (R0/R1) between 1998 and 2009 were reviewed. Early recurrence was defined as any recurrence that occurred within 6 months after resection.\nRESULTS: A total of 6,025 patients were included; 2,734 (45.4 %) had recurrence, including 639 (10.6 %) early recurrences. Early recurrence was mainly hepatic (59.5 vs. 54.4 % for late recurrences; p = 0.023). Independent risk factors of early recurrence were: T3-4 primary tumor (p = 0.0002); synchronous CRLM (p = 0.0001); &gt;3 CRLM (p &lt; 0.0001); 0-mm margin liver resection (p = 0.003); and associated intraoperative radiofrequency ablation (p = 0.0005). Response to preoperative chemotherapy (complete/partial) and administration of adjuvant chemotherapy reduced early recurrence risk (p = 0.003 and p &lt; 0.0001, respectively). Intraoperative ultrasonography reduced hepatic early recurrence rate (p = 0.025). Early recurrence negatively affected prognosis: 5-year survival 26.9 versus 49.4 % for the late recurrence group (p &lt; 0.0001, median follow-up 34.4 months). Overall, 234 (36.6 %) patients with early recurrence underwent re-resection. These patients had survival rates higher than non-re-resected patients (5-year survival 47.2 vs. 8.9 %; p &lt; 0.0001) and similar to re-resected patients for late recurrence (48.7 %). Chemotherapy before early recurrence resection improved later survival (5-year survival 61.5 vs. 43.7 %; p = 0.028).\nCONCLUSIONS: Early recurrence risk is enhanced for extensive disease after poor preoperative disease control and inadequate surgical treatment, but is reduced after adjuvant chemotherapy. Although early recurrence negatively affects prognosis, re-resection may restore better survival. Chemotherapy before early recurrence resection is advocated.","DOI":"10.1245/s10434-013-3421-8","ISSN":"1534-4681","note":"PMID: 24346766","shortTitle":"Early recurrence after liver resection for colorectal metastases","journalAbbreviation":"Ann. Surg. Oncol.","language":"eng","author":[{"family":"Viganò","given":"Luca"},{"family":"Capussotti","given":"Lorenzo"},{"family":"Lapointe","given":"Réal"},{"family":"Barroso","given":"Eduardo"},{"family":"Hubert","given":"Catherine"},{"family":"Giuliante","given":"Felice"},{"family":"Ijzermans","given":"Jan N. M."},{"family":"Mirza","given":"Darius F."},{"family":"Elias","given":"Dominique"},{"family":"Adam","given":"René"}],"issued":{"date-parts":[["2014",4]]}},"label":"page"},{"id":"jK7A4ffc/Lu1I2MOw","uris":["http://zotero.org/users/local/CKZ8Mlfw/items/NEVFDDPX"],"uri":["http://zotero.org/users/local/CKZ8Mlfw/items/NEVFDDPX"],"itemData":{"id":251,"type":"article-journal","title":"Prognostic factors after resection of colorectal liver metastases: from morphology to biology","container-title":"Future Oncology (London, England)","page":"45-57","volume":"9","issue":"1","source":"PubMed","abstract":"Despite improved overall survival rates after potentially curative liver resection (~50-58% at 5 years), almost half of patients experience disease recurrence highlighting the need for a precise definition of outcomes to stratify patients for clinical trials and to guide treatment decisions. In the past, several factors, such as an advanced primary T stage, the primary N+ status, a large tumor size, multiple tumors, a disease-free interval of &lt;12 months, an elevated carcinoembryonic antigen level, the presence of an extrahepatic disease, and the margin width (&lt;1 cm) and status (positive), have been recognized to predict poor outcomes, but most of them lack the sensitivity for accurate individual prognostication. Thus, in recent years, new factors, such as response to chemotherapy, either clinical or pathological, that more closely reflect tumor biology have been established and adopted in the clinical practice. Similarly, biomarkers of poor prognosis, especially mutations in KRAS and BRAF and the expression of thymidylate synthase, have been studied, yielding promising results. However, robust evidence of their prognostic utility awaits prospective validation.","DOI":"10.2217/fon.12.159","ISSN":"1744-8301","note":"PMID: 23252563","shortTitle":"Prognostic factors after resection of colorectal liver metastases","journalAbbreviation":"Future Oncol","language":"eng","author":[{"family":"Ribero","given":"Dario"},{"family":"Viganò","given":"Luca"},{"family":"Amisano","given":"Marco"},{"family":"Capussotti","given":"Lorenzo"}],"issued":{"date-parts":[["2013",1]]}},"label":"page"},{"id":"jK7A4ffc/rIZlT68g","uris":["http://zotero.org/users/local/CKZ8Mlfw/items/7TEBGVUE"],"uri":["http://zotero.org/users/local/CKZ8Mlfw/items/7TEBGVUE"],"itemData":{"id":247,"type":"article-journal","title":"Retrospective analysis of clinical and pathologic risk factors in liver resection for hepatic colorectal metastases","container-title":"Journal of Cancer Research and Therapeutics","page":"S178-182","volume":"9 Suppl","source":"PubMed","abstract":"OBJECTIVE: To analyze the clinical and pathologic risk factors of surgical treatment for liver metastases from colorectal cancer.\nMATERIALS AND METHODS: The data on 98 patients who underwent liver resection for hepatic colorectal metastases were collected and analyzed retrospectively.\nRESULTS: Overall 1-, 3-, and 5-year survival rates after hepatectomy for metastases were 94.6%, 45.0%, and 22.3%, respectively. Gender, pathologic primary tumor stage, histologic differentiation, size of metastatic tumor, and type of metastases were not statistically significant prognostic factors (P &gt; 0.05). The 5-year survival rate was significantly lower in patients with lymph node metastases from the primary site than that in patients without lymph node metastases (14.1% vs. 39.5%, P = 0.013); survival rate in patients with vascular invasion from the primary tumor was also significantly lower than in those without invasion (10.2% vs. 49.0%, P = 0.032). The survival rate in patients who had unilobar metastases was higher than that in patients who had bilobar metastases (25.3% vs. 0%, P = 0.012). The 5-year survival rates in solitary metastasis, two to three metastases, and with the transfer number ≥4 were 29.1%, 14.4%, and 0%, respectively (P = 0.019). Multivariate analysis revealed resection margin, distribution of metastases, and the number of metastases as the independent risk factors associated with the overall survival rates (P = 0.044, 0.037, and 0.005, respectively).\nCONCLUSIONS: Surgical resection may be the only treatment modality for the cure of colorectal liver metastases. Negative resection margin, metastases confined to unilobar type, and number of metastases ≤3 are associated with better prognosis.","DOI":"10.4103/0973-1482.122521","ISSN":"1998-4138","note":"PMID: 24516057","journalAbbreviation":"J Cancer Res Ther","language":"eng","author":[{"family":"Zhou","given":"Lei"},{"family":"Zhag","given":"Guochao"},{"family":"Tang","given":"Tao"},{"family":"Lian","given":"Rui"},{"family":"Wang","given":"Wenyue"}],"issued":{"date-parts":[["2013",11]]}},"label":"page"},{"id":"jK7A4ffc/7HdQEfIg","uris":["http://zotero.org/users/local/CKZ8Mlfw/items/62MC42EX"],"uri":["http://zotero.org/users/local/CKZ8Mlfw/items/62MC42EX"],"itemData":{"id":255,"type":"article-journal","title":"RAS Mutation Clinical Risk Score to Predict Survival After Resection of Colorectal Liver Metastases","container-title":"Annals of Surgery","source":"PubMed","abstract":"OBJECTIVE: To determine the impact of RAS mutation status on the traditional clinical score (t-CS) to predict survival after resection of colorectal liver metastases (CLM).\nBACKGROUND: The t-CS relies on the following factors: primary tumor nodal status, disease-free interval, number and size of CLM, and carcinoembryonic antigen level. We hypothesized that the addition of RAS mutation status could create a modified clinical score (m-CS) that would outperform the t-CS.\nMETHODS: Patients who underwent resection of CLM from 2005 through 2013 and had RAS mutation status and t-CS factors available were included. Multivariate analysis was used to identify prognostic factors to include in the m-CS. Log-rank survival analyses were used to compare the t-CS and the m-CS. The m-CS was validated in an international multicenter cohort of 608 patients.\nRESULTS: A total of 564 patients were eligible for analysis. RAS mutation was detected in 205 (36.3%) of patients. On multivariate analysis, RAS mutation was associated with poor overall survival, as were positive primary tumor lymph node status and diameter of the largest liver metastasis &gt;50</w:instrText>
      </w:r>
      <w:r w:rsidR="00F74797" w:rsidRPr="003A7660">
        <w:rPr>
          <w:lang w:val="en-US"/>
        </w:rPr>
        <w:instrText> </w:instrText>
      </w:r>
      <w:r w:rsidR="00F74797" w:rsidRPr="003A7660">
        <w:rPr>
          <w:rFonts w:ascii="Book Antiqua" w:hAnsi="Book Antiqua"/>
          <w:lang w:val="en-US"/>
        </w:rPr>
        <w:instrText xml:space="preserve">mm. Each factor was assigned 1 point to produce a m-CS. The m-CS accurately stratified patients by overall and recurrence-free survival in both the initial patient series and validation cohort, whereas the t-CS did not.\nCONCLUSIONS: Modifying the t-CS by replacing disease-free interval, number of metastases, and CEA level with RAS mutation status produced an m-CS that outperformed the t-CS. The m-CS is therefore a simple validated tool that predicts survival after resection of CLM.","DOI":"10.1097/SLA.0000000000002319","ISSN":"1528-1140","note":"PMID: 28549012","journalAbbreviation":"Ann. Surg.","language":"eng","author":[{"family":"Brudvik","given":"Kristoffer W."},{"family":"Jones","given":"Robert P."},{"family":"Giuliante","given":"Felice"},{"family":"Shindoh","given":"Junichi"},{"family":"Passot","given":"Guillaume"},{"family":"Chung","given":"Michael H."},{"family":"Song","given":"Juhee"},{"family":"Li","given":"Liang"},{"family":"Dagenborg","given":"Vegar J."},{"family":"Fretland","given":"Åsmund A."},{"family":"Røsok","given":"Bård"},{"family":"De Rose","given":"Agostino M."},{"family":"Ardito","given":"Francesco"},{"family":"Edwin","given":"Bjørn"},{"family":"Panettieri","given":"Elena"},{"family":"Larocca","given":"Luigi M."},{"family":"Yamashita","given":"Suguru"},{"family":"Conrad","given":"Claudius"},{"family":"Aloia","given":"Thomas A."},{"family":"Poston","given":"Graeme J."},{"family":"Bjørnbeth","given":"Bjørn A."},{"family":"Vauthey","given":"Jean-Nicolas"}],"issued":{"date-parts":[["2017",5,25]]}},"label":"page"}],"schema":"https://github.com/citation-style-language/schema/raw/master/csl-citation.json"} </w:instrText>
      </w:r>
      <w:r w:rsidR="00F74797" w:rsidRPr="003A7660">
        <w:rPr>
          <w:rFonts w:ascii="Book Antiqua" w:hAnsi="Book Antiqua"/>
          <w:lang w:val="en-US"/>
        </w:rPr>
        <w:fldChar w:fldCharType="separate"/>
      </w:r>
      <w:r w:rsidR="006F78CB" w:rsidRPr="003A7660">
        <w:rPr>
          <w:rFonts w:ascii="Book Antiqua" w:hAnsi="Book Antiqua"/>
          <w:vertAlign w:val="superscript"/>
          <w:lang w:val="en-US"/>
        </w:rPr>
        <w:t>[34,58</w:t>
      </w:r>
      <w:r w:rsidR="006F78CB" w:rsidRPr="003A7660">
        <w:rPr>
          <w:rFonts w:ascii="Book Antiqua" w:eastAsia="宋体" w:hAnsi="Book Antiqua"/>
          <w:vertAlign w:val="superscript"/>
          <w:lang w:val="en-US" w:eastAsia="zh-CN"/>
        </w:rPr>
        <w:t>-</w:t>
      </w:r>
      <w:r w:rsidR="00F74797" w:rsidRPr="003A7660">
        <w:rPr>
          <w:rFonts w:ascii="Book Antiqua" w:hAnsi="Book Antiqua"/>
          <w:vertAlign w:val="superscript"/>
          <w:lang w:val="en-US"/>
        </w:rPr>
        <w:t>61]</w:t>
      </w:r>
      <w:r w:rsidR="00F74797" w:rsidRPr="003A7660">
        <w:rPr>
          <w:rFonts w:ascii="Book Antiqua" w:hAnsi="Book Antiqua"/>
          <w:lang w:val="en-US"/>
        </w:rPr>
        <w:fldChar w:fldCharType="end"/>
      </w:r>
      <w:r w:rsidR="00F74797" w:rsidRPr="003A7660">
        <w:rPr>
          <w:rFonts w:ascii="Book Antiqua" w:hAnsi="Book Antiqua"/>
          <w:lang w:val="en-US"/>
        </w:rPr>
        <w:t xml:space="preserve"> are prognostic factors that have been reported in the literature. The administration of NAC with a targeted therapy, which was identified in our analysis, can be explained by the fact that bevacizumab was </w:t>
      </w:r>
      <w:r w:rsidR="00CB7728" w:rsidRPr="003A7660">
        <w:rPr>
          <w:rFonts w:ascii="Book Antiqua" w:hAnsi="Book Antiqua"/>
          <w:lang w:val="en-US"/>
        </w:rPr>
        <w:t xml:space="preserve">typically </w:t>
      </w:r>
      <w:r w:rsidR="00F74797" w:rsidRPr="003A7660">
        <w:rPr>
          <w:rFonts w:ascii="Book Antiqua" w:hAnsi="Book Antiqua"/>
          <w:lang w:val="en-US"/>
        </w:rPr>
        <w:t xml:space="preserve">used (74% of the targeted therapies). This is the treatment of choice for mutant RAS tumors, </w:t>
      </w:r>
      <w:r w:rsidR="006F78CB" w:rsidRPr="003A7660">
        <w:rPr>
          <w:rFonts w:ascii="Book Antiqua" w:hAnsi="Book Antiqua"/>
          <w:lang w:val="en-US"/>
        </w:rPr>
        <w:t xml:space="preserve">which </w:t>
      </w:r>
      <w:r w:rsidR="00CB7728" w:rsidRPr="003A7660">
        <w:rPr>
          <w:rFonts w:ascii="Book Antiqua" w:hAnsi="Book Antiqua"/>
          <w:lang w:val="en-US"/>
        </w:rPr>
        <w:t>carry</w:t>
      </w:r>
      <w:r w:rsidR="006F78CB" w:rsidRPr="003A7660">
        <w:rPr>
          <w:rFonts w:ascii="Book Antiqua" w:hAnsi="Book Antiqua"/>
          <w:lang w:val="en-US"/>
        </w:rPr>
        <w:t xml:space="preserve"> worse prognos</w:t>
      </w:r>
      <w:r w:rsidR="00CB7728" w:rsidRPr="003A7660">
        <w:rPr>
          <w:rFonts w:ascii="Book Antiqua" w:hAnsi="Book Antiqua"/>
          <w:lang w:val="en-US"/>
        </w:rPr>
        <w:t>e</w:t>
      </w:r>
      <w:r w:rsidR="006F78CB" w:rsidRPr="003A7660">
        <w:rPr>
          <w:rFonts w:ascii="Book Antiqua" w:hAnsi="Book Antiqua"/>
          <w:lang w:val="en-US"/>
        </w:rPr>
        <w:t>s</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{"citationID":"2kt3L47h","properties":{"formattedCitation":"\\super [59,61\\uc0\\u8211{}67]\\nosupersub{}","plainCitation":"[59,61–67]","noteIndex":0},"citationItems":[{"id":"jK7A4ffc/RHiXRH3T","uris":["http://zotero.org/users/local/CKZ8Mlfw/items/R5FKUE5K"],"uri":["http://zotero.org/users/local/CKZ8Mlfw/items/R5FKUE5K"],"itemData":{"id":133,"type":"article-journal","title":"RAS Mutation Is Associated with Decreased Survival in Patients Undergoing Repeat Hepatectomy for Colorectal Liver Metastases","container-title":"Journal of Gastrointestinal Surgery: Official Journal of the Society for Surgery of the Alimentary Tract","page":"68-77","volume":"21","issue":"1","source":"PubMed","abstract":"BACKGROUND: The relationship between RAS mutation status and outcome for patients undergoing repeat hepatectomy (RH) for recurrent colorectal liver metastases (CLM) has not been defined.\nOBJECTIVE: The objective of this study was to evaluate the relationship between RAS mutation status and outcome in patients undergoing RH for CLM.\nMETHODS: All patients who underwent RH for CLM with known RAS mutation status between January 2005 and November 2014 were identified, and the outcomes of patients with and without RAS mutations were compared.\nRESULTS: Ninety-eight patients underwent RH, of whom 34 (35 %) harbored a RAS mutation. Wild-type (WT) and mutant RAS groups had similar clinicopathologic characteristics. Median recurrence-free survival (RFS) for patients with WT and mutant RAS was 12.2 and 6.1 months, respectively (p</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0.03). Median overall survival (OS) for the WT and mutant RAS patients were 42.5 and 26.6 months, respectively (p</w:instrText>
      </w:r>
      <w:r w:rsidR="00F74797" w:rsidRPr="003A7660">
        <w:rPr>
          <w:lang w:val="en-US"/>
        </w:rPr>
        <w:instrText> </w:instrText>
      </w:r>
      <w:r w:rsidR="00F74797" w:rsidRPr="003A7660">
        <w:rPr>
          <w:rFonts w:ascii="Book Antiqua" w:hAnsi="Book Antiqua"/>
          <w:lang w:val="en-US"/>
        </w:rPr>
        <w:instrText>&lt;</w:instrText>
      </w:r>
      <w:r w:rsidR="00F74797" w:rsidRPr="003A7660">
        <w:rPr>
          <w:lang w:val="en-US"/>
        </w:rPr>
        <w:instrText> </w:instrText>
      </w:r>
      <w:r w:rsidR="00F74797" w:rsidRPr="003A7660">
        <w:rPr>
          <w:rFonts w:ascii="Book Antiqua" w:hAnsi="Book Antiqua"/>
          <w:lang w:val="en-US"/>
        </w:rPr>
        <w:instrText>0.01). On multivariate analysis, RAS mutations [hazard ratio (HR)</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1.69, p</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0.04] were associated with worse RFS, while multiple tumors (HR</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1.92, p</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0.045) and RAS mutations (HR</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2.11, p</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0.02) predicted worse OS.\nCONCLUSION: Patients with recurrent CLM that harbor RAS mutations have worse RFS and OS than patients with WT RAS, and RAS mutations are independently associated with worse RFS and OS. RAS mutation status should be determined prior to RH, as it may impact treatment decisions.","DOI":"10.1007/s11605-016-3189-9","ISSN":"1873-4626","note":"PMID: 27334313","journalAbbreviation":"J. Gastrointest. Surg.","language":"eng","author":[{"family":"Denbo","given":"Jason W."},{"family":"Yamashita","given":"Suguru"},{"family":"Passot","given":"Guillaume"},{"family":"Egger","given":"Michael"},{"family":"Chun","given":"Yun S."},{"family":"Kopetz","given":"Scott E."},{"family":"Maru","given":"Dipen"},{"family":"Brudvik","given":"Kristoffer Watten"},{"family":"Wei","given":"Steven H."},{"family":"Conrad","given":"Claudius"},{"family":"Vauthey","given":"Jean-Nicolas"},{"family":"Aloia","given":"Thomas A."}],"issued":{"date-parts":[["2017",1]]}},"label":"page"},{"id":"jK7A4ffc/Lu1I2MOw","uris":["http://zotero.org/users/local/CKZ8Mlfw/items/NEVFDDPX"],"uri":["http://zotero.org/users/local/CKZ8Mlfw/items/NEVFDDPX"],"itemData":{"id":251,"type":"article-journal","title":"Prognostic factors after resection of colorectal liver metastases: from morphology to biology","container-title":"Future Oncology (London, England)","page":"45-57","volume":"9","issue":"1","source":"PubMed","abstract":"Despite improved overall survival rates after potentially curative liver resection (~50-58% at 5 years), almost half of patients experience disease recurrence highlighting the need for a precise definition of outcomes to stratify patients for clinical trials and to guide treatment decisions. In the past, several factors, such as an advanced primary T stage, the primary N+ status, a large tumor size, multiple tumors, a disease-free interval of &lt;12 months, an elevated carcinoembryonic antigen level, the presence of an extrahepatic disease, and the margin width (&lt;1 cm) and status (positive), have been recognized to predict poor outcomes, but most of them lack the sensitivity for accurate individual prognostication. Thus, in recent years, new factors, such as response to chemotherapy, either clinical or pathological, that more closely reflect tumor biology have been established and adopted in the clinical practice. Similarly, biomarkers of poor prognosis, especially mutations in KRAS and BRAF and the expression of thymidylate synthase, have been studied, yielding promising results. However, robust evidence of their prognostic utility awaits prospective validation.","DOI":"10.2217/fon.12.159","ISSN":"1744-8301","note":"PMID: 23252563","shortTitle":"Prognostic factors after resection of colorectal liver metastases","journalAbbreviation":"Future Oncol","language":"eng","author":[{"family":"Ribero","given":"Dario"},{"family":"Viganò","given":"Luca"},{"family":"Amisano","given":"Marco"},{"family":"Capussotti","given":"Lorenzo"}],"issued":{"date-parts":[["2013",1]]}},"label":"page"},{"id":"jK7A4ffc/7HdQEfIg","uris":["http://zotero.org/users/local/CKZ8Mlfw/items/62MC42EX"],"uri":["http://zotero.org/users/local/CKZ8Mlfw/items/62MC42EX"],"itemData":{"id":255,"type":"article-journal","title":"RAS Mutation Clinical Risk Score to Predict Survival After Resection of Colorectal Liver Metastases","container-title":"Annals of Surgery","source":"PubMed","abstract":"OBJECTIVE: To determine the impact of RAS mutation status on the traditional clinical score (t-CS) to predict survival after resection of colorectal liver metastases (CLM).\nBACKGROUND: The t-CS relies on the following factors: primary tumor nodal status, disease-free interval, number and size of CLM, and carcinoembryonic antigen level. We hypothesized that the addition of RAS mutation status could create a modified clinical score (m-CS) that would outperform the t-CS.\nMETHODS: Patients who underwent resection of CLM from 2005 through 2013 and had RAS mutation status and t-CS factors available were included. Multivariate analysis was used to identify prognostic factors to include in the m-CS. Log-rank survival analyses were used to compare the t-CS and the m-CS. The m-CS was validated in an international multicenter cohort of 608 patients.\nRESULTS: A total of 564 patients were eligible for analysis. RAS mutation was detected in 205 (36.3%) of patients. On multivariate analysis, RAS mutation was associated with poor overall survival, as were positive primary tumor lymph node status and diameter of the largest liver metastasis &gt;50</w:instrText>
      </w:r>
      <w:r w:rsidR="00F74797" w:rsidRPr="003A7660">
        <w:rPr>
          <w:lang w:val="en-US"/>
        </w:rPr>
        <w:instrText> </w:instrText>
      </w:r>
      <w:r w:rsidR="00F74797" w:rsidRPr="003A7660">
        <w:rPr>
          <w:rFonts w:ascii="Book Antiqua" w:hAnsi="Book Antiqua"/>
          <w:lang w:val="en-US"/>
        </w:rPr>
        <w:instrText xml:space="preserve">mm. Each factor was assigned 1 point to produce a m-CS. The m-CS accurately stratified patients by overall and recurrence-free survival in both the initial patient series and validation cohort, whereas the t-CS did not.\nCONCLUSIONS: Modifying the t-CS by replacing disease-free interval, number of metastases, and CEA level with RAS mutation status produced an m-CS that outperformed the t-CS. The m-CS is therefore a simple validated tool that predicts survival after resection of CLM.","DOI":"10.1097/SLA.0000000000002319","ISSN":"1528-1140","note":"PMID: 28549012","journalAbbreviation":"Ann. Surg.","language":"eng","author":[{"family":"Brudvik","given":"Kristoffer W."},{"family":"Jones","given":"Robert P."},{"family":"Giuliante","given":"Felice"},{"family":"Shindoh","given":"Junichi"},{"family":"Passot","given":"Guillaume"},{"family":"Chung","given":"Michael H."},{"family":"Song","given":"Juhee"},{"family":"Li","given":"Liang"},{"family":"Dagenborg","given":"Vegar J."},{"family":"Fretland","given":"Åsmund A."},{"family":"Røsok","given":"Bård"},{"family":"De Rose","given":"Agostino M."},{"family":"Ardito","given":"Francesco"},{"family":"Edwin","given":"Bjørn"},{"family":"Panettieri","given":"Elena"},{"family":"Larocca","given":"Luigi M."},{"family":"Yamashita","given":"Suguru"},{"family":"Conrad","given":"Claudius"},{"family":"Aloia","given":"Thomas A."},{"family":"Poston","given":"Graeme J."},{"family":"Bjørnbeth","given":"Bjørn A."},{"family":"Vauthey","given":"Jean-Nicolas"}],"issued":{"date-parts":[["2017",5,25]]}},"label":"page"},{"id":"jK7A4ffc/ekKBC5hH","uris":["http://zotero.org/users/local/CKZ8Mlfw/items/7A6VEQE4"],"uri":["http://zotero.org/users/local/CKZ8Mlfw/items/7A6VEQE4"],"itemData":{"id":291,"type":"article-journal","title":"Incidence and prognostic impact of KRAS and BRAF mutation in patients undergoing liver surgery for colorectal metastases","container-title":"Cancer","page":"4137-4144","volume":"119","issue":"23","source":"PubMed","abstract":"BACKGROUND: Molecular biomarkers offer the potential for refining prognostic determinants in patients undergoing cancer surgery. Among patients with colorectal cancer, KRAS and BRAF are important biomarkers, but their role in patients undergoing surgical therapy for liver metastases is unknown. In this study, the incidence and prognostic significance of KRAS and BRAF mutations were determined in patients undergoing surgical therapy of colorectal liver metastases (CRLM).\nMETHODS: KRAS and BRAF analysis was performed on 202 patients undergoing surgery for CRLM between 2003 and 2008. Tumor samples were analyzed for somatic mutations using sequencing analysis (KRAS, codon12/13, BRAF, V600E). The frequency of mutations was ascertained, and their impact on outcome was determined relative to other clinicopathologic factors.\nRESULTS: KRAS gene mutations were detected in 58/202 patients (29%). In contrast, mutation in the BRAF gene was identified in very low frequency in this surgical cohort, found in only 4/202 (2%) patients. On multivariate analysis, KRAS mutation was associated with worse survival (hazard ratio [HR], 1.99; 95% confidence interval [CI], 1.21-3.26), as well as recurrence risk (HR, 1.68; 95% CI, 1.04-2.70). Although other clinicopathologic features, including tumor number, carcinoembryonic antigen, and primary stage were also associated with survival, KRAS status remained independently predictive of outcome. The low incidence of BRAF mutation limited assessment of its prognostic impact.\nCONCLUSION: Whereas KRAS mutations were found in approximately one third of patients, BFAF mutations were found in only 2% of patients undergoing surgery for CRLM. KRAS status was an independent predictor of overall and recurrence-free survival. Molecular biomarkers such as KRAS may help to refine our prognostic assessment of patients undergoing surgical therapy for CRLM.","DOI":"10.1002/cncr.28347","ISSN":"1097-0142","note":"PMID: 24104864\nPMCID: PMC3967132","journalAbbreviation":"Cancer","language":"eng","author":[{"family":"Karagkounis","given":"Georgios"},{"family":"Torbenson","given":"Michael S."},{"family":"Daniel","given":"Hubert D."},{"family":"Azad","given":"Nilofer S."},{"family":"Diaz","given":"Luis A."},{"family":"Donehower","given":"Ross C."},{"family":"Hirose","given":"Kenzo"},{"family":"Ahuja","given":"Nita"},{"family":"Pawlik","given":"Timothy M."},{"family":"Choti","given":"Michael A."}],"issued":{"date-parts":[["2013",12,1]]}},"label":"page"},{"id":"jK7A4ffc/kXfwDOjx","uris":["http://zotero.org/users/local/CKZ8Mlfw/items/JVMHQEPC"],"uri":["http://zotero.org/users/local/CKZ8Mlfw/items/JVMHQEPC"],"itemData":{"id":83,"type":"article-journal","title":"Combination of surgery and chemotherapy and the role of targeted agents in the treatment of patients with colorectal liver metastases: recommendations from an expert panel","container-title":"Annals of Oncology: Official Journal of the European Society for Medical Oncology","page":"985-992","volume":"20","issue":"6","source":"PubMed","abstract":"The past 5 years have seen the clear recognition that the administration of chemotherapy to patients with initially unresectable colorectal liver metastases can increase the number of patients who can undergo potentially curative secondary liver resection. Coupled with this, recent data have emerged that show that perioperative chemotherapy confers a disease-free survival advantage over surgery alone in colorectal cancer (CRC) patients with initially resectable liver disease. The purpose of this paper is to build on the existing knowledge and review the issues surrounding the use of chemotherapy +/- targeted agents combined with surgery in the treatment of CRC patients with liver metastases, with a view to providing clinical recommendations. An international panel of 21 experts in colorectal oncology comprising liver surgeons and medical oncologists reviewed the available evidence. In a major change to clinical practice, the panel's recommendation was that the majority of patients with CRC liver metastases should be treated up front with chemotherapy, irrespective of the initial resectability status of their metastases.","DOI":"10.1093/annonc/mdn735","ISSN":"1569-8041","note":"PMID: 19153115","shortTitle":"Combination of surgery and chemotherapy and the role of targeted agents in the treatment of patients with colorectal liver metastases","journalAbbreviation":"Ann. Oncol.","language":"eng","author":[{"family":"Nordlinger","given":"B."},{"family":"Van Cutsem","given":"E."},{"family":"Gruenberger","given":"T."},{"family":"Glimelius","given":"B."},{"family":"Poston","given":"G."},{"family":"Rougier","given":"P."},{"family":"Sobrero","given":"A."},{"family":"Ychou","given":"M."},{"literal":"European Colorectal Metastases Treatment Group"},{"literal":"Sixth International Colorectal Liver Metastases Workshop"}],"issued":{"date-parts":[["2009",6]]}},"label":"page"},{"id":"jK7A4ffc/Ld5BHGHy","uris":["http://zotero.org/users/local/CKZ8Mlfw/items/VEWXU76B"],"uri":["http://zotero.org/users/local/CKZ8Mlfw/items/VEWXU76B"],"itemData":{"id":261,"type":"article-journal","title":"RAS mutation status predicts survival and patterns of recurrence in patients undergoing hepatectomy for colorectal liver metastases","container-title":"Annals of Surgery","page":"619-626; discussion 626-627","volume":"258","issue":"4","source":"PubMed","abstract":"OBJECTIVE: To determine the impact of RAS mutation status on survival and patterns of recurrence in patients undergoing curative resection of colorectal liver metastases (CLM) after preoperative modern chemotherapy.\nBACKGROUND: RAS mutation has been reported to be associated with aggressive tumor biology. However, the effect of RAS mutation on survival and patterns of recurrence after resection of CLM remains unclear.\nMETHODS: Somatic mutations were analyzed using mass spectroscopy in 193 patients who underwent single-regimen modern chemotherapy before resection of CLM. The relationship between RAS mutation status and survival outcomes was investigated.\nRESULTS: Detected somatic mutations included RAS (KRAS/NRAS) in 34 (18%), PIK3CA in 13 (7%), and BRAF in 2 (1%) patients. At a median follow-up of 33 months, 3-year overall survival (OS) rates were 81% in patients with wild-type versus 52.2% in patients with mutant RAS (P = 0.002); 3-year recurrence-free survival (RFS) rates were 33.5% with wild-type versus 13.5% with mutant RAS (P = 0.001). Liver and lung recurrences were observed in 89 and 83 patients, respectively. Patients with RAS mutation had a lower 3-year lung RFS rate (34.6% vs 59.3%, P &lt; 0.001) but not a lower 3-year liver RFS rate (43.8% vs 50.2%, P = 0.181). In multivariate analyses, RAS mutation predicted worse OS [hazard ratio (HR) = 2.3, P = 0.002), overall RFS (HR = 1.9, P = 0.005), and lung RFS (HR = 2.0, P = 0.01), but not liver RFS (P = 0.181).\nCONCLUSIONS: RAS mutation predicts early lung recurrence and worse survival after curative resection of CLM. This information may be used to individualize systemic and local tumor-directed therapies and follow-up strategies.","DOI":"10.1097/SLA.0b013e3182a5025a","ISSN":"1528-1140","note":"PMID: 24018645\nPMCID: PMC3856211","journalAbbreviation":"Ann. Surg.","language":"eng","author":[{"family":"Vauthey","given":"Jean-Nicolas"},{"family":"Zimmitti","given":"Giuseppe"},{"family":"Kopetz","given":"Scott E."},{"family":"Shindoh","given":"Junichi"},{"family":"Chen","given":"Su S."},{"family":"Andreou","given":"Andreas"},{"family":"Curley","given":"Steven A."},{"family":"Aloia","given":"Thomas A."},{"family":"Maru","given":"Dipen M."}],"issued":{"date-parts":[["2013",10]]}},"label":"page"},{"id":"jK7A4ffc/OFrqa0r0","uris":["http://zotero.org/users/local/CKZ8Mlfw/items/ADWDBRPU"],"uri":["http://zotero.org/users/local/CKZ8Mlfw/items/ADWDBRPU"],"itemData":{"id":263,"type":"article-journal","title":"RAS mutations predict radiologic and pathologic response in patients treated with chemotherapy before resection of colorectal liver metastases","container-title":"Annals of Surgical Oncology","page":"834-842","volume":"22","issue":"3","source":"PubMed","abstract":"BACKGROUND: RAS mutations have been reported to be a potential prognostic factor in patients with colorectal liver metastases (CLM). However, the impact of RAS mutations on response to chemotherapy remains unclear. The purpose of this study was to investigate the correlation between RAS mutations and response to preoperative chemotherapy and their impact on survival in patients undergoing curative resection of CLM.\nMETHODS: RAS mutational status was assessed and its relation to morphologic response and pathologic response was investigated in 184 patients meeting inclusion criteria. Predictors of survival were assessed. The prognostic impact of RAS mutational status was then analyzed using two different multivariate models, including either radiologic morphologic response (model 1) or pathologic response (model 2).\nRESULTS: Optimal morphologic response and major pathologic response were more common in patients with wild-type RAS (32.9 and 58.9%, respectively) than in patients with RAS mutations (10.5 and 36.8%; P = 0.006 and 0.015, respectively). Multivariate analysis confirmed that wild-type RAS was a strong predictor of optimal morphologic response [odds ratio (OR), 4.38; 95% CI 1.45-13.15] and major pathologic response (OR, 2.61; 95% CI 1.17-5.80). RAS mutations were independently correlated with both overall survival and recurrence free-survival (hazard ratios, 3.57 and 2.30, respectively, in model 1, and 3.19 and 2.09, respectively, in model 2). Subanalysis revealed that RAS mutational status clearly stratified survival in patients with inadequate response to preoperative chemotherapy.\nCONCLUSIONS: RAS mutational status can be used to complement the current prognostic indicators for patients undergoing curative resection of CLM after preoperative modern chemotherapy.","DOI":"10.1245/s10434-014-4042-6","ISSN":"1534-4681","note":"PMID: 25227306\nPMCID: PMC4318708","journalAbbreviation":"Ann. Surg. Oncol.","language":"eng","author":[{"family":"Zimmitti","given":"Giuseppe"},{"family":"Shindoh","given":"Junichi"},{"family":"Mise","given":"Yoshihiro"},{"family":"Kopetz","given":"Scott"},{"family":"Loyer","given":"Evelyne M."},{"family":"Andreou","given":"Andreas"},{"family":"Cooper","given":"Amanda B."},{"family":"Kaur","given":"Harmeet"},{"family":"Aloia","given":"Thomas A."},{"family":"Maru","given":"Dipen M."},{"family":"Vauthey","given":"Jean-Nicolas"}],"issued":{"date-parts":[["2015",3]]}},"label":"page"},{"id":"jK7A4ffc/3IegKUV5","uris":["http://zotero.org/users/local/CKZ8Mlfw/items/GXCTQRAP"],"uri":["http://zotero.org/users/local/CKZ8Mlfw/items/GXCTQRAP"],"itemData":{"id":265,"type":"article-journal","title":"RAS Mutation Predicts Positive Resection Margins and Narrower Resection Margins in Patients Undergoing Resection of Colorectal Liver Metastases","container-title":"Annals of Surgical Oncology","page":"2635-2643","volume":"23","issue":"8","source":"PubMed","abstract":"BACKGROUND: In patients undergoing resection of colorectal liver metastases (CLM), resection margin status is a significant predictor of survival, particularly in patients with suboptimal response to preoperative therapy. RAS mutations have been linked to more invasive and migratory tumor biology and poor response to modern chemotherapy.\nOBJECTIVE: The aim of this study was to evaluate the relationship between RAS mutation and resection margin status in patients undergoing resection of CLM.\nMETHODS: Patients who underwent curative resection of CLM from 2005 to 2013 with known RAS mutation status were identified from a prospectively maintained database. A positive margin was defined as tumor cells &lt;1 mm from the parenchymal transection line.\nRESULTS: The study included 633 patients, of whom 229 (36.2 %) had mutant RAS. The positive margin rate was 11.4 % (26/229) for mutant RAS and 5.4 % (22/404) for wild-type RAS (p = 0.007). In multivariate analysis, the only factors associated with a positive margin were RAS mutation (hazard ratio [HR] 2.439; p = 0.005) and carcinoembryonic antigen level 4.5 ng/mL or greater (HR 2.060; p = 0.026). Among patients presenting with liver-first recurrence during follow-up, those with mutant RAS had narrower margins at initial CLM resection (median 4 mm vs. 7 mm; p = 0.031). A positive margin (HR 3.360; p &lt; 0.001) and RAS mutation (HR 1.629; p = 0.044) were independently associated with worse overall survival.\nCONCLUSION: RAS mutations are associated with positive margins in patients undergoing resection of CLM. Tumors with RAS mutation should prompt careful efforts to achieve negative resection margins.","DOI":"10.1245/s10434-016-5187-2","ISSN":"1534-4681","note":"PMID: 27016292\nPMCID: PMC5527830","journalAbbreviation":"Ann. Surg. Oncol.","language":"eng","author":[{"family":"Brudvik","given":"Kristoffer Watten"},{"family":"Mise","given":"Yoshihiro"},{"family":"Chung","given":"Michael Hsiang"},{"family":"Chun","given":"Yun Shin"},{"family":"Kopetz","given":"Scott E."},{"family":"Passot","given":"Guillaume"},{"family":"Conrad","given":"Claudius"},{"family":"Maru","given":"Dipen M."},{"family":"Aloia","given":"Thomas A."},{"family":"Vauthey","given":"Jean-Nicolas"}],"issued":{"date-parts":[["2016",8]]}},"label":"page"}],"schema":"https://github.com/citation-style-language/schema/raw/master/csl-citation.json"} </w:instrText>
      </w:r>
      <w:r w:rsidR="00F74797" w:rsidRPr="003A7660">
        <w:rPr>
          <w:rFonts w:ascii="Book Antiqua" w:hAnsi="Book Antiqua"/>
          <w:lang w:val="en-US"/>
        </w:rPr>
        <w:fldChar w:fldCharType="separate"/>
      </w:r>
      <w:r w:rsidR="006F78CB" w:rsidRPr="003A7660">
        <w:rPr>
          <w:rFonts w:ascii="Book Antiqua" w:hAnsi="Book Antiqua"/>
          <w:vertAlign w:val="superscript"/>
          <w:lang w:val="en-US"/>
        </w:rPr>
        <w:t>[59,61</w:t>
      </w:r>
      <w:r w:rsidR="006F78CB" w:rsidRPr="003A7660">
        <w:rPr>
          <w:rFonts w:ascii="Book Antiqua" w:eastAsia="宋体" w:hAnsi="Book Antiqua"/>
          <w:vertAlign w:val="superscript"/>
          <w:lang w:val="en-US" w:eastAsia="zh-CN"/>
        </w:rPr>
        <w:t>-</w:t>
      </w:r>
      <w:r w:rsidR="00F74797" w:rsidRPr="003A7660">
        <w:rPr>
          <w:rFonts w:ascii="Book Antiqua" w:hAnsi="Book Antiqua"/>
          <w:vertAlign w:val="superscript"/>
          <w:lang w:val="en-US"/>
        </w:rPr>
        <w:t>67]</w:t>
      </w:r>
      <w:r w:rsidR="00F74797" w:rsidRPr="003A7660">
        <w:rPr>
          <w:rFonts w:ascii="Book Antiqua" w:hAnsi="Book Antiqua"/>
          <w:lang w:val="en-US"/>
        </w:rPr>
        <w:fldChar w:fldCharType="end"/>
      </w:r>
      <w:r w:rsidR="00F74797" w:rsidRPr="003A7660">
        <w:rPr>
          <w:rFonts w:ascii="Book Antiqua" w:hAnsi="Book Antiqua"/>
          <w:lang w:val="en-US"/>
        </w:rPr>
        <w:t>. In terms of the two-stage hepatectomies, this can be explained by the fact that 13% of our patients did not undergo the second stage of surgery due to progression of the tumor after the first procedure. These figures are comparable to those presented in the litera</w:t>
      </w:r>
      <w:r w:rsidR="006F78CB" w:rsidRPr="003A7660">
        <w:rPr>
          <w:rFonts w:ascii="Book Antiqua" w:hAnsi="Book Antiqua"/>
          <w:lang w:val="en-US"/>
        </w:rPr>
        <w:t>ture, which vary from 15</w:t>
      </w:r>
      <w:r w:rsidR="004F356F" w:rsidRPr="003A7660">
        <w:rPr>
          <w:rFonts w:ascii="Book Antiqua" w:hAnsi="Book Antiqua"/>
          <w:lang w:val="en-US"/>
        </w:rPr>
        <w:t>%</w:t>
      </w:r>
      <w:r w:rsidR="00222BCE" w:rsidRPr="003A7660">
        <w:rPr>
          <w:rFonts w:ascii="Book Antiqua" w:eastAsia="宋体" w:hAnsi="Book Antiqua"/>
          <w:lang w:val="en-US" w:eastAsia="zh-CN"/>
        </w:rPr>
        <w:t>-</w:t>
      </w:r>
      <w:r w:rsidR="006F78CB" w:rsidRPr="003A7660">
        <w:rPr>
          <w:rFonts w:ascii="Book Antiqua" w:hAnsi="Book Antiqua"/>
          <w:lang w:val="en-US"/>
        </w:rPr>
        <w:t>31%</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{"citationID":"ga4rSJsA","properties":{"formattedCitation":"\\super [68\\uc0\\u8211{}73]\\nosupersub{}","plainCitation":"[68–73]","noteIndex":0},"citationItems":[{"id":"jK7A4ffc/MDmc1Bn0","uris":["http://zotero.org/users/local/CKZ8Mlfw/items/D6EWW27C"],"uri":["http://zotero.org/users/local/CKZ8Mlfw/items/D6EWW27C"],"itemData":{"id":305,"type":"article-journal","title":"Two-stage hepatectomy: A planned strategy to treat irresectable liver tumors","container-title":"Annals of Surgery","page":"777-785","volume":"232","issue":"6","source":"PubMed","abstract":"OBJECTIVE: To assess feasibility, risks, and patient outcomes in the treatment of colorectal metastases with two-stage hepatectomy.\nSUMMARY BACKGROUND DATA: Some patients with multiple hepatic colorectal metastases are not candidates for a complete resection by a single hepatectomy, even when downstaged by chemotherapy, after portal embolization, or combined with a locally destructive technique. In two-stage hepatectomy, the highest possible number of tumors is resected in a first, noncurative intervention, and the remaining tumors are resected after a period of liver regeneration. In selected patients with irresectable multiple metastases not amenable to a single hepatectomy procedure, two-stage hepatectomy might offer a chance of long-term remission.\nMETHODS: Of consecutive patients with conventionally irresectable colorectal metastases treated by chemotherapy, 16 of 398 (4%) became eligible for curative two-stage hepatectomy combined with chemotherapy and adjuvant nonsurgical interventions as indicated.\nRESULTS: Two-stage hepatectomy was feasible in 13 of 16 patients (81%). There were no surgical deaths. The postoperative death rate (2 months or less) was 0% for the first-stage procedure and 15% for the second-stage one. Postoperative complication rates were 31% and 45%, respectively, with only one complication leading to reoperation. The 3-year survival rate was 35%, with four patients (31%) disease-free at 7, 22, 36, and 54 months. Median survival was 31 months from the second hepatectomy and 44 months from the diagnosis of metastases.\nCONCLUSIONS: Two-stage hepatectomy combined with chemotherapy may allow a long-term remission in selected patients with irresectable multiple metastases and increases the proportion of patients with resectable disease.","ISSN":"0003-4932","note":"PMID: 11088072\nPMCID: PMC1421270","shortTitle":"Two-stage hepatectomy","journalAbbreviation":"Ann. Surg.","language":"eng","author":[{"family":"Adam","given":"R."},{"family":"Laurent","given":"A."},{"family":"Azoulay","given":"D."},{"family":"Castaing","given":"D."},{"family":"Bismuth","given":"H."}],"issued":{"date-parts":[["2000",12]]}},"label":"page"},{"id":"jK7A4ffc/Ys1gCZ98","uris":["http://zotero.org/users/local/CKZ8Mlfw/items/MJBGS2XE"],"uri":["http://zotero.org/users/local/CKZ8Mlfw/items/MJBGS2XE"],"itemData":{"id":154,"type":"article-journal","title":"A two-stage hepatectomy procedure combined with portal vein embolization to achieve curative resection for initially unresectable multiple and bilobar colorectal liver metastases","container-title":"Annals of Surgery","page":"1037-1049; discussion 1049-1051","volume":"240","issue":"6","source":"PubMed","abstract":"OBJECTIVE: To assess outcome after a 2-stage hepatectomy procedure (TSHP) combined with portal vein embolization (PVE) in the treatment of patients with unresectable multiple and bilobar colorectal liver metastases (MBCLM).\nBACKGROUND: Patients with MBCLM are often considered for palliative chemotherapy only, due to too small future remnant liver (FRL). Recently, right hepatectomy with simultaneous left liver wedge resections after previous right PVE has been reported in a curative intent. However, the growth of metastatic nodules in FRL after PVE can be more rapid than that of the nontumoral remnant hepatic parenchyma. Therefore, metastases located in the FRL should be ideally resected before PVE. Then, a right (or extended right) hepatectomy can be safely performed during a second-stage hepatectomy. Therefore, we analyzed our experience with the use of TSHP combined with PVE in treatment of MBCLM.\nPATIENTS AND METHODS: Between December 1996 and April 2003, 33 patients with unresectable MBCLM were selected for a TSHP. A right or an extended right hepatectomy was planned after treatment of left FRL metastases to achieve a curative resection. The first-stage hepatectomy consisted in a clearance of the left hemiliver by resection or radiofrequency destruction of metastases of the left FRL. Subsequently, a right PVE was performed to induce atrophy of the right hemiliver and hypertrophy of the left hemiliver. Finally, a second-stage hepatectomy was planned to resect the right liver metastases.\nRESULTS: There was no operative mortality. Post-PVE morbidity was 18.1%; postoperative morbidity was 15.1% and 56.0% after first- and second-stage hepatectomy, respectively. TSHP could be achieved in 25 of 33 patients (75.7%). The 1- and 3-year survival rates were 70.0% and 54.4%, respectively, in the 25 patients in whom the TSHP was completed.\nCONCLUSIONS: In selected patients with initially unresectable MBCLM, a TSHP combined with PVE can be achieved safely with long-term survival similar to that observed in patients with initially resectable liver metastases.","ISSN":"0003-4932","note":"PMID: 15570209\nPMCID: PMC1356519","journalAbbreviation":"Ann. Surg.","language":"eng","author":[{"family":"Jaeck","given":"Daniel"},{"family":"Oussoultzoglou","given":"Elie"},{"family":"Rosso","given":"Edoardo"},{"family":"Greget","given":"Michel"},{"family":"Weber","given":"Jean-Christophe"},{"family":"Bachellier","given":"Philippe"}],"issued":{"date-parts":[["2004",12]]}},"label":"page"},{"id":"jK7A4ffc/oY9kA9RA","uris":["http://zotero.org/users/local/CKZ8Mlfw/items/KTPQDANA"],"uri":["http://zotero.org/users/local/CKZ8Mlfw/items/KTPQDANA"],"itemData":{"id":158,"type":"article-journal","title":"Two-stage hepatectomy approach for initially unresectable colorectal hepatic metastases","container-title":"Surgical Oncology Clinics of North America","page":"525-536, viii","volume":"16","issue":"3","source":"PubMed","abstract":"Two-stage hepatectomy has been developed as a surgical strategy for extremely difficult cases of bilobar multinodular metastatic liver disease. This strategy is applied when it is impossible to resect all malignant lesions in a single procedure. The main principle of this approach is sequential resection by a two-staged hepatectomy. Its goal is to achieve a complete metastasectomy in those cases in which a complete resection with a single hepatectomy would have left a remnant postresection liver too small for patient survival. This article describes strategic surgical approaches to multinodular metastatic disease and provides decision guidelines for two-stage hepatectomies.","DOI":"10.1016/j.soc.2007.04.016","ISSN":"1055-3207","note":"PMID: 17606192","journalAbbreviation":"Surg. Oncol. Clin. N. Am.","language":"eng","author":[{"family":"Adam","given":"René"},{"family":"Miller","given":"Rafael"},{"family":"Pitombo","given":"Marcos"},{"family":"Wicherts","given":"Dennis A."},{"family":"Haas","given":"Robbert J.","non-dropping-particle":"de"},{"family":"Bitsakou","given":"Georgia"},{"family":"Aloia","given":"Thomas"}],"issued":{"date-parts":[["2007",7]]}},"label":"page"},{"id":"jK7A4ffc/PlCkS3Bx","uris":["http://zotero.org/users/local/CKZ8Mlfw/items/9626DUJF"],"uri":["http://zotero.org/users/local/CKZ8Mlfw/items/9626DUJF"],"itemData":{"id":156,"type":"article-journal","title":"Feasibility, safety and efficacy of two-stage hepatectomy for bilobar liver metastases of colorectal cancer: a LiverMetSurvey analysis","container-title":"HPB: the official journal of the International Hepato Pancreato Biliary Association","page":"396-405","volume":"19","issue":"5","source":"PubMed","abstract":"BACKGROUND: The combination of liver resection and chemotherapy has become the standard of care for colorectal liver metastases (LM). The objective of the present study was to evaluate the impact of two-stage hepatectomy (TSH) on the long-term survival of patients with bilobar LM.\nMETHODS: We included adult (over-18) patients from the LiverMetSurvey registry with confirmed multiple colorectal LM and having undergone either one-stage hepatectomy or TSH with curative intent. The \"TSH (2/2)\" group (n = 625) comprised patients having completed both stages of TSH; the \"TSH (1/2)\" group (n = 244) comprised patients having undergone only the first stage of TSH; the \"hepatectomy\" group. The primary outcome criterion was the overall survival (OS). The secondary outcomes were the morbidity and mortality rates.\nRESULTS: The 30- and 90-day mortality rates were respectively 3.8% and 9.3% in the TSH (2/2) group, 9.4% and 16.4% in the TSH (1/2) group, and 5.4% and 9.1% in the \"hepatectomy\" group. The three-year OS rate was 45% in the TSH (2/2) group, 30% in the TSH (1/2) group and 50.7% in the hepatectomy group.\nCONCLUSION: The LiverMetSurvey registry's data indicate that TSH is associated with rather good long-term survival and acceptable morbidity and mortality rates.","DOI":"10.1016/j.hpb.2017.01.008","ISSN":"1477-2574","note":"PMID: 28343889","shortTitle":"Feasibility, safety and efficacy of two-stage hepatectomy for bilobar liver metastases of colorectal cancer","journalAbbreviation":"HPB (Oxford)","language":"eng","author":[{"family":"Regimbeau","given":"Jean Marc"},{"family":"Cosse","given":"Cyril"},{"family":"Kaiser","given":"Gernot"},{"family":"Hubert","given":"Catherine"},{"family":"Laurent","given":"Christophe"},{"family":"Lapointe","given":"Real"},{"family":"Isoniemi","given":"Helen"},{"family":"Adam","given":"Rene"}],"issued":{"date-parts":[["2017",5]]}},"label":"page"},{"id":"jK7A4ffc/Zs7T5kAx","uris":["http://zotero.org/users/local/CKZ8Mlfw/items/HBHQRG2H"],"uri":["http://zotero.org/users/local/CKZ8Mlfw/items/HBHQRG2H"],"itemData":{"id":333,"type":"article-journal","title":"Comparison of simultaneous or delayed liver surgery for limited synchronous colorectal metastases","container-title":"The British Journal of Surgery","page":"1279-1289","volume":"97","issue":"8","source":"PubMed","abstract":"BACKGROUND: The optimal surgical strategy for patients with synchronous colorectal liver metastases (CLMs) is still unclear. The aim of this study was to compare simultaneous colorectal and hepatic resection with a delayed strategy in patients who had a limited hepatectomy (fewer than three segments).\nMETHODS: All patients with synchronous CLMs who underwent limited hepatectomy between 1990 and 2006 were included retrospectively. Short-term outcome, overall and progression-free survival were compared in patients having simultaneous colorectal and hepatic resection and those treated by delayed hepatectomy.\nRESULTS: Of 228 patients undergoing hepatectomy for synchronous CLMs, 55 (24.1 per cent) had a simultaneous colorectal resection and 173 (75.9 per cent) had delayed hepatectomy. The mortality rate following hepatectomy was similar in the two groups (0 versus 0.6 per cent respectively; P = 0.557), but cumulative morbidity was significantly lower in the simultaneous group (11 per cent versus 25.4 per cent in the delayed group; P = 0.015). Three-year overall and progression-free survival rates were 74 and 8 per cent respectively in the simultaneous group, compared with 70.3 and 26.1 per cent in the delayed group (overall survival: P = 0.871; progression-free survival: P = 0.005). Significantly more recurrences were observed in the simultaneous group at 3 years (85 versus 63.6 per cent; P = 0.002); a simultaneous strategy was an independent predictor of recurrence.\nCONCLUSION: Combining colorectal resection with a limited hepatectomy is safe in patients with synchronous CLMs and associated with less cumulative morbidity than a delayed procedure. However, the combined strategy has a negative impact on progression-free survival.","DOI":"10.1002/bjs.7106","ISSN":"1365-2168","note":"PMID: 20578183","journalAbbreviation":"Br J Surg","language":"eng","author":[{"family":"Haas","given":"R. J.","non-dropping-particle":"de"},{"family":"Adam","given":"R."},{"family":"Wicherts","given":"D. A."},{"family":"Azoulay","given":"D."},{"family":"Bismuth","given":"H."},{"family":"Vibert","given":"E."},{"family":"Salloum","given":"C."},{"family":"Perdigao","given":"F."},{"family":"Benkabbou","given":"A."},{"family":"Castaing","given":"D."}],"issued":{"date-parts":[["2010",8]]}},"label":"page"},{"id":"jK7A4ffc/ftNdh4Rj","uris":["http://zotero.org/users/local/CKZ8Mlfw/items/4DFHJF2D"],"uri":["http://zotero.org/users/local/CKZ8Mlfw/items/4DFHJF2D"],"itemData":{"id":335,"type":"article-journal","title":"Strategies for the treatment of synchronous liver metastasis","container-title":"European Journal of Surgical Oncology: The Journal of the European Society of Surgical Oncology and the British Association of Surgical Oncology","page":"735-740","volume":"33","issue":"6","source":"PubMed","abstract":"AIM: Observe the outcomes after complete simultaneous or delayed resection of synchronous liver metastasis (SLM) from colorectal cancer (CRC).\nMETHODS: From 1994 to 2005, 119 patients were diagnosed with CRC and SLM; 57 patients had simultaneous resection (group I) and 62 patients had staged resection (group II). Perioperative chemotherapy was considered completed if all expected cycle were administrated.\nRESULTS: Overall survival rates of group I-group II at 1, 3 and 5 years were respectively 91%-93% (p=0,3), 59%-57% (p=0,09) and 32%-25% (p=0,06). The median survival time of group I-group II were respectively 46 months-40 months (p=0,07). There was no statistical difference on survival regarding location of metastasis (p=0,09) or primary tumor location (p=0,2). Patients with simultaneous or staged resection receiving optimal treatment (R0 liver surgery and complete chemotherapy) were respectively 89% and 67% (p=0,04). Twenty three patients developed isolated liver recurrence with higher frequency in staged patients (26% vs 9% p=0,03) without impairment of survival.\nCONCLUSIONS: Because of postoperative morbidity and prolonged tiring treatment, many patients having staged resection were under treated. However we did not observe statistical difference on survival but we supported that simultaneous resection has to be prefer to achieve an optimal treatment. Lung and bone metastasis are the new challenge for oncologists.","DOI":"10.1016/j.ejso.2007.02.025","ISSN":"0748-7983","note":"PMID: 17400418","journalAbbreviation":"Eur J Surg Oncol","language":"eng","author":[{"family":"Turrini","given":"O."},{"family":"Viret","given":"F."},{"family":"Guiramand","given":"J."},{"family":"Lelong","given":"B."},{"family":"Bège","given":"T."},{"family":"Delpero","given":"J. R."}],"issued":{"date-parts":[["2007",8]]}},"label":"page"}],"schema":"https://github.com/citation-style-language/schema/raw/master/csl-citation.json"} </w:instrText>
      </w:r>
      <w:r w:rsidR="00F74797" w:rsidRPr="003A7660">
        <w:rPr>
          <w:rFonts w:ascii="Book Antiqua" w:hAnsi="Book Antiqua"/>
          <w:lang w:val="en-US"/>
        </w:rPr>
        <w:fldChar w:fldCharType="separate"/>
      </w:r>
      <w:r w:rsidR="006F78CB" w:rsidRPr="003A7660">
        <w:rPr>
          <w:rFonts w:ascii="Book Antiqua" w:hAnsi="Book Antiqua"/>
          <w:vertAlign w:val="superscript"/>
          <w:lang w:val="en-US"/>
        </w:rPr>
        <w:t>[68</w:t>
      </w:r>
      <w:r w:rsidR="006F78CB" w:rsidRPr="003A7660">
        <w:rPr>
          <w:rFonts w:ascii="Book Antiqua" w:eastAsia="宋体" w:hAnsi="Book Antiqua"/>
          <w:vertAlign w:val="superscript"/>
          <w:lang w:val="en-US" w:eastAsia="zh-CN"/>
        </w:rPr>
        <w:t>-</w:t>
      </w:r>
      <w:r w:rsidR="00F74797" w:rsidRPr="003A7660">
        <w:rPr>
          <w:rFonts w:ascii="Book Antiqua" w:hAnsi="Book Antiqua"/>
          <w:vertAlign w:val="superscript"/>
          <w:lang w:val="en-US"/>
        </w:rPr>
        <w:t>73]</w:t>
      </w:r>
      <w:r w:rsidR="00F74797" w:rsidRPr="003A7660">
        <w:rPr>
          <w:rFonts w:ascii="Book Antiqua" w:hAnsi="Book Antiqua"/>
          <w:lang w:val="en-US"/>
        </w:rPr>
        <w:fldChar w:fldCharType="end"/>
      </w:r>
      <w:r w:rsidR="00F74797" w:rsidRPr="003A7660">
        <w:rPr>
          <w:rFonts w:ascii="Book Antiqua" w:hAnsi="Book Antiqua"/>
          <w:lang w:val="en-US"/>
        </w:rPr>
        <w:t>.</w:t>
      </w:r>
    </w:p>
    <w:p w:rsidR="00F74797" w:rsidRPr="003A7660" w:rsidRDefault="007D52B2" w:rsidP="00384F14">
      <w:pPr>
        <w:snapToGrid w:val="0"/>
        <w:spacing w:line="360" w:lineRule="auto"/>
        <w:ind w:firstLineChars="100" w:firstLine="240"/>
        <w:jc w:val="both"/>
        <w:rPr>
          <w:rFonts w:ascii="Book Antiqua" w:hAnsi="Book Antiqua"/>
          <w:bCs/>
          <w:lang w:val="en-US"/>
        </w:rPr>
      </w:pPr>
      <w:r w:rsidRPr="003A7660">
        <w:rPr>
          <w:rFonts w:ascii="Book Antiqua" w:eastAsia="宋体" w:hAnsi="Book Antiqua"/>
          <w:lang w:val="en-US" w:eastAsia="zh-CN"/>
        </w:rPr>
        <w:t>DFS</w:t>
      </w:r>
      <w:r w:rsidR="00F74797" w:rsidRPr="003A7660">
        <w:rPr>
          <w:rFonts w:ascii="Book Antiqua" w:hAnsi="Book Antiqua"/>
          <w:lang w:val="en-US"/>
        </w:rPr>
        <w:t xml:space="preserve"> was significantly influenced by the </w:t>
      </w:r>
      <w:r w:rsidR="00DA45CA" w:rsidRPr="003A7660">
        <w:rPr>
          <w:rFonts w:ascii="Book Antiqua" w:eastAsia="宋体" w:hAnsi="Book Antiqua"/>
          <w:lang w:val="en-US" w:eastAsia="zh-CN"/>
        </w:rPr>
        <w:t>HR</w:t>
      </w:r>
      <w:r w:rsidR="006F78CB" w:rsidRPr="003A7660">
        <w:rPr>
          <w:rFonts w:ascii="Book Antiqua" w:hAnsi="Book Antiqua"/>
          <w:lang w:val="en-US"/>
        </w:rPr>
        <w:t>, with 17% survival at 5 yr</w:t>
      </w:r>
      <w:r w:rsidR="00F74797" w:rsidRPr="003A7660">
        <w:rPr>
          <w:rFonts w:ascii="Book Antiqua" w:hAnsi="Book Antiqua"/>
          <w:lang w:val="en-US"/>
        </w:rPr>
        <w:t xml:space="preserve"> for the responders compared to 5% for the non-responders. A similar difference in DFS was found in the study by Rubbia-Brandt </w:t>
      </w:r>
      <w:r w:rsidR="006F78CB" w:rsidRPr="003A7660">
        <w:rPr>
          <w:rFonts w:ascii="Book Antiqua" w:hAnsi="Book Antiqua"/>
          <w:i/>
          <w:lang w:val="en-US"/>
        </w:rPr>
        <w:t>et al</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{"citationID":"yo5VP9G6","properties":{"formattedCitation":"\\super [31]\\nosupersub{}","plainCitation":"[31]","noteIndex":0},"citationItems":[{"id":"jK7A4ffc/s2yWneGp","uris":["http://zotero.org/users/local/CKZ8Mlfw/items/CGIF8WQK"],"uri":["http://zotero.org/users/local/CKZ8Mlfw/items/CGIF8WQK"],"itemData":{"id":46,"type":"article-journal","title":"Importance of histological tumor response assessment in predicting the outcome in patients with colorectal liver metastases treated with neo-adjuvant chemotherapy followed by liver surgery","container-title":"Annals of Oncology: Official Journal of the European Society for Medical Oncology","page":"299-304","volume":"18","issue":"2","source":"PubMed","abstract":"BACKGROUND: The purpose of the study was to characterize histological response to chemotherapy of hepatic colorectal metastases (HCRM), evaluate efficacy of different chemotherapies on histological response, and determine whether tumor regression grading (TRG) of HCRM predicts clinical outcome.\nPATIENTS AND METHODS: TRG was evaluated on 525 HCRM surgically resected from 181 patients, 112 pretreated with chemotherapy. Disease-free survival (DFS) and overall survival (OS) were correlated to TRG.\nRESULTS: Tumor regression was characterized by fibrosis overgrowing on tumor cells, decreased necrosis, and tumor glands (if present) at the periphery of HCRM. With irinotecan/5-fluorouracil (5-FU), major (MjHR), partial (PHR), and no (NHR) histological tumor regression were observed in 17%, 13%, and 70% of patients, respectively. With oxaliplatin/5-FU, MjHR, PHR, and NHR were observed in 37%, 45%, and 18% of patients, respectively. Five patients, treated with oxaliplatin, had complete response in all their metastases. MjHR was associated with an improved 3-year DFS compared with PHR or NHR. MjHR and PHR were associated with an improved 5-year OS compared with NHR.\nCONCLUSION: Histological tumor regression of HCRM to chemotherapy corresponds to fibrosis overgrowth and not to increase of necrosis. TRG should be considered when evaluating efficacy of chemotherapy for HCRM. Histological tumor regression was most common among oxaliplatin-treated patients and associated with better clinical outcome.","DOI":"10.1093/annonc/mdl386","ISSN":"0923-7534","note":"PMID: 17060484","journalAbbreviation":"Ann. Oncol.","language":"eng","author":[{"family":"Rubbia-Brandt","given":"L."},{"family":"Giostra","given":"E."},{"family":"Brezault","given":"C."},{"family":"Roth","given":"A. D."},{"family":"Andres","given":"A."},{"family":"Audard","given":"V."},{"family":"Sartoretti","given":"P."},{"family":"Dousset","given":"B."},{"family":"Majno","given":"P. E."},{"family":"Soubrane","given":"O."},{"family":"Chaussade","given":"S."},{"family":"Mentha","given":"G."},{"family":"Terris","given":"B."}],"issued":{"date-parts":[["2007",2]]}}}],"schema":"https://github.com/citation-style-language/schema/raw/master/csl-citation.json"} </w:instrText>
      </w:r>
      <w:r w:rsidR="00F74797" w:rsidRPr="003A7660">
        <w:rPr>
          <w:rFonts w:ascii="Book Antiqua" w:hAnsi="Book Antiqua"/>
          <w:lang w:val="en-US"/>
        </w:rPr>
        <w:fldChar w:fldCharType="separate"/>
      </w:r>
      <w:r w:rsidR="00F74797" w:rsidRPr="003A7660">
        <w:rPr>
          <w:rFonts w:ascii="Book Antiqua" w:hAnsi="Book Antiqua"/>
          <w:vertAlign w:val="superscript"/>
          <w:lang w:val="en-US"/>
        </w:rPr>
        <w:t>[31]</w:t>
      </w:r>
      <w:r w:rsidR="00F74797" w:rsidRPr="003A7660">
        <w:rPr>
          <w:rFonts w:ascii="Book Antiqua" w:hAnsi="Book Antiqua"/>
          <w:lang w:val="en-US"/>
        </w:rPr>
        <w:fldChar w:fldCharType="end"/>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{"citationID":"YbuN5tbr","properties":{"formattedCitation":"\\super [31]\\nosupersub{}","plainCitation":"","noteIndex":0},"citationItems":[{"id":"jK7A4ffc/s2yWneGp","uris":["http://zotero.org/users/local/CKZ8Mlfw/items/CGIF8WQK"],"uri":["http://zotero.org/users/local/CKZ8Mlfw/items/CGIF8WQK"],"itemData":{"id":46,"type":"article-journal","title":"Importance of histological tumor response assessment in predicting the outcome in patients with colorectal liver metastases treated with neo-adjuvant chemotherapy followed by liver surgery","container-title":"Annals of Oncology: Official Journal of the European Society for Medical Oncology","page":"299-304","volume":"18","issue":"2","source":"PubMed","abstract":"BACKGROUND: The purpose of the study was to characterize histological response to chemotherapy of hepatic colorectal metastases (HCRM), evaluate efficacy of different chemotherapies on histological response, and determine whether tumor regression grading (TRG) of HCRM predicts clinical outcome.\nPATIENTS AND METHODS: TRG was evaluated on 525 HCRM surgically resected from 181 patients, 112 pretreated with chemotherapy. Disease-free survival (DFS) and overall survival (OS) were correlated to TRG.\nRESULTS: Tumor regression was characterized by fibrosis overgrowing on tumor cells, decreased necrosis, and tumor glands (if present) at the periphery of HCRM. With irinotecan/5-fluorouracil (5-FU), major (MjHR), partial (PHR), and no (NHR) histological tumor regression were observed in 17%, 13%, and 70% of patients, respectively. With oxaliplatin/5-FU, MjHR, PHR, and NHR were observed in 37%, 45%, and 18% of patients, respectively. Five patients, treated with oxaliplatin, had complete response in all their metastases. MjHR was associated with an improved 3-year DFS compared with PHR or NHR. MjHR and PHR were associated with an improved 5-year OS compared with NHR.\nCONCLUSION: Histological tumor regression of HCRM to chemotherapy corresponds to fibrosis overgrowth and not to increase of necrosis. TRG should be considered when evaluating efficacy of chemotherapy for HCRM. Histological tumor regression was most common among oxaliplatin-treated patients and associated with better clinical outcome.","DOI":"10.1093/annonc/mdl386","ISSN":"0923-7534","note":"PMID: 17060484","journalAbbreviation":"Ann. Oncol.","language":"eng","author":[{"family":"Rubbia-Brandt","given":"L."},{"family":"Giostra","given":"E."},{"family":"Brezault","given":"C."},{"family":"Roth","given":"A. D."},{"family":"Andres","given":"A."},{"family":"Audard","given":"V."},{"family":"Sartoretti","given":"P."},{"family":"Dousset","given":"B."},{"family":"Majno","given":"P. E."},{"family":"Soubrane","given":"O."},{"family":"Chaussade","given":"S."},{"family":"Mentha","given":"G."},{"family":"Terris","given":"B."}],"issued":{"date-parts":[["2007",2]]}}}],"schema":"https://github.com/citation-style-language/schema/raw/master/csl-citation.json"} </w:instrText>
      </w:r>
      <w:r w:rsidR="00F74797" w:rsidRPr="003A7660">
        <w:rPr>
          <w:rFonts w:ascii="Book Antiqua" w:hAnsi="Book Antiqua"/>
          <w:lang w:val="en-US"/>
        </w:rPr>
        <w:fldChar w:fldCharType="end"/>
      </w:r>
      <w:r w:rsidR="00222BCE" w:rsidRPr="003A7660">
        <w:rPr>
          <w:rFonts w:ascii="Book Antiqua" w:hAnsi="Book Antiqua"/>
          <w:lang w:val="en-US"/>
        </w:rPr>
        <w:t xml:space="preserve">, </w:t>
      </w:r>
      <w:r w:rsidR="00F74797" w:rsidRPr="003A7660">
        <w:rPr>
          <w:rFonts w:ascii="Book Antiqua" w:hAnsi="Book Antiqua"/>
          <w:lang w:val="en-US"/>
        </w:rPr>
        <w:t>with a three-fold better survival for the responders compared to the non-responders. Four independent factors of poor prognosis were identified: use of neoadjuvant targeted therapy, more than three preoperative lesions, metastasis with a size greater than 3 cm, and R1 resection. The nu</w:t>
      </w:r>
      <w:r w:rsidR="006F78CB" w:rsidRPr="003A7660">
        <w:rPr>
          <w:rFonts w:ascii="Book Antiqua" w:hAnsi="Book Antiqua"/>
          <w:lang w:val="en-US"/>
        </w:rPr>
        <w:t>mber and size of metastases</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{"citationID":"PzKQ19rk","properties":{"formattedCitation":"\\super [13,35,36,38,58,74]\\nosupersub{}","plainCitation":"[13,35,36,38,58,74]","noteIndex":0},"citationItems":[{"id":"jK7A4ffc/5gdkHt5Q","uris":["http://zotero.org/users/local/CKZ8Mlfw/items/7Q2PP35Z"],"uri":["http://zotero.org/users/local/CKZ8Mlfw/items/7Q2PP35Z"],"itemData":{"id":6,"type":"article-journal","title":"Liver resection for colorectal metastases after chemotherapy: impact of chemotherapy-related liver injuries, pathological tumor response, and micrometastases on long-term survival","container-title":"Annals of Surgery","page":"731-740; discussion 741-742","volume":"258","issue":"5","source":"PubMed","abstract":"OBJECTIVES: We analyzed the impact of chemotherapy-related liver injuries (CALI), pathological tumor regression grade (TRG), and micrometastases on long-term prognosis in patients undergoing liver resection for colorectal metastases after preoperative chemotherapy.\nBACKGROUND: CALI worsen the short-term outcomes of liver resection, but their impact on long-term prognosis is unknown. Recently, a prognostic role of TRG has been suggested. Micrometastases (microscopic vascular or biliary invasion) are reduced by preoperative chemotherapy, but their impact on survival is unclear.\nMETHODS: Patients undergoing liver resection for colorectal metastases between 1998 and 2011 and treated with oxaliplatin and/or irinotecan-based preoperative chemotherapy were eligible for the study. Patients with operative mortality or incomplete resection (R2) were excluded. All specimens were reviewed to assess CALI, TRG, and micrometastases.\nRESULTS: A total of 323 patients were included. Grade 2-3 sinusoidal obstruction syndrome (SOS) was present in 124 patients (38.4%), grade 2-3 steatosis in 73 (22.6%), and steatohepatitis in 30 (9.3%). Among all patients, 22.9% had TRG 1-2 (major response), whereas 55.7% had TRG 4-5 (no response). Microvascular invasion was detected in 37.8% of patients and microscopic biliary infiltration in 5.6%.The higher the SOS grade the lower the pathological response: TRG 1-2 occurred in 16.9% of patients with grade 2-3 SOS versus 26.6% of patients with grade 0-1 SOS (P = 0.032).After a median follow-up of 36.9 months, 5-year survival was 38.6%. CALI did not negatively impact survival. Multivariate analysis showed that grade 2-3 steatosis was associated with better survival than grade 0-1 steatosis (5-year survival rate of 52.5% vs 35.2%, P = 0.002). TRG better than the percentage of viable cells stratified patient prognosis: 5-year survival rate of 60.4% in TRG 1-2, 40.2% in TRG 3, and 29.8% in TRG 4-5 (P = 0.0001). Microscopic vascular and biliary invasion negatively impacted outcome (5-year survival rate of 23.3% vs 45.7% if absent, P = 0.017; 0% vs 42.3%, P = 0.032, respectively).\nCONCLUSIONS: TRG was confirmed to be a crucial prognostic determinant. CALI do not negatively impact long-term prognosis, but the tumor response is reduced in patients with grade 2-3 SOS. Steatosis was found to have a protective effect on survival. Micrometastases significantly impacted prognosis assessment.","DOI":"10.1097/SLA.0b013e3182a6183e","ISSN":"1528-1140","note":"PMID: 24045448","shortTitle":"Liver resection for colorectal metastases after chemotherapy","journalAbbreviation":"Ann. Surg.","language":"eng","author":[{"family":"Viganò","given":"Luca"},{"family":"Capussotti","given":"Lorenzo"},{"family":"De Rosa","given":"Giovanni"},{"family":"De Saussure","given":"Wassila Oulhaci"},{"family":"Mentha","given":"Gilles"},{"family":"Rubbia-Brandt","given":"Laura"}],"issued":{"date-parts":[["2013",11]]}},"label":"page"},{"id":"jK7A4ffc/wgtuFENj","uris":["http://zotero.org/users/local/CKZ8Mlfw/items/KESWNWCP"],"uri":["http://zotero.org/users/local/CKZ8Mlfw/items/KESWNWCP"],"itemData":{"id":329,"type":"article-journal","title":"Early Recurrence After Hepatectomy for Colorectal Liver Metastases: What Optimal Definition and What Predictive Factors?","container-title":"The Oncologist","page":"887-894","volume":"21","issue":"7","source":"PubMed","abstract":"BACKGROUND: The purpose of this study was to determine the optimal definition and elucidate the predictive factors of early recurrence after surgery for colorectal liver metastases (CRLM).\nMETHODS: Among 987 patients who underwent curative surgery for CRLM from 1990 to 2012, 846 with a minimum follow-up period of 24 months were eligible for this study. The minimum p value approach of survival after initial recurrence was used to determine the optimal cutoff for the definition of early recurrence. The predictive factors of early recurrence and prognostic factors of survival were analyzed.\nRESULTS: For 667 patients (79%) who developed recurrence, the optimal cutoff point of early recurrence was determined to be 8 months after surgery. The impact of early recurrence on survival was demonstrated mainly in patients who received preoperative chemotherapy. Among the 691 patients who received preoperative chemotherapy, recurrence was observed in 562 (81%), and survival in patients with early recurrence was significantly worse than in those with late recurrence (5-year survival 18.5% vs. 53.4%, p &lt; .0001). Multivariate logistic analysis identified age ≤57 years (p = .0022), &gt;1 chemotherapy line (p = .03), disease progression during last-line chemotherapy (p = .024), &gt;3 tumors (p = .0014), and carbohydrate antigen 19-9 &gt;60 U/mL (p = .0003) as independent predictors of early recurrence. Salvage surgery for recurrence significantly improved survival, even in patients with early recurrence.\nCONCLUSION: The optimal cutoff point of early recurrence was determined to be 8 months. The preoperative prediction of early recurrence is possible and crucial for designing effective perioperative chemotherapy regimens.\nIMPLICATIONS FOR PRACTICE: In this study, the optimal cutoff point of early recurrence was determined to be 8 months after surgery based on the minimum p value approach, and its prognostic impact was demonstrated mainly in patients who received preoperative chemotherapy. Five factors, including age, number of preoperative chemotherapy lines, response to last-line chemotherapy, number of tumors, and carbohydrate antigen 19-9 concentrations, were identified as predictors of early recurrence. Salvage surgery for recurrence significantly improved survival, even in patients with early recurrence. For better selection of patients who could truly benefit from surgery and should also receive strong postoperative chemotherapy, the accurate preoperative prediction of early recurrence is crucial.","DOI":"10.1634/theoncologist.2015-0468","ISSN":"1549-490X","note":"PMID: 27125753\nPMCID: PMC4943389","shortTitle":"Early Recurrence After Hepatectomy for Colorectal Liver Metastases","journalAbbreviation":"Oncologist","language":"eng","author":[{"family":"Imai","given":"Katsunori"},{"family":"Allard","given":"Marc-Antoine"},{"family":"Benitez","given":"Carlos Castro"},{"family":"Vibert","given":"Eric"},{"family":"Sa Cunha","given":"Antonio"},{"family":"Cherqui","given":"Daniel"},{"family":"Castaing","given":"Denis"},{"family":"Bismuth","given":"Henri"},{"family":"Baba","given":"Hideo"},{"family":"Adam","given":"René"}],"issued":{"date-parts":[["2016",7]]}},"label":"page"},{"id":"jK7A4ffc/IxrH4boe","uris":["http://zotero.org/users/local/CKZ8Mlfw/items/CZKF8I3H"],"uri":["http://zotero.org/users/local/CKZ8Mlfw/items/CZKF8I3H"],"itemData":{"id":184,"type":"article-journal","title":"Factors influencing recurrence following initial hepatectomy for colorectal liver metastases","container-title":"The British Journal of Surgery","page":"1366-1376","volume":"103","issue":"10","source":"PubMed","abstract":"BACKGROUND: Data on recurrence patterns following hepatectomy for colorectal liver metastases (CRLMs) and their impact on long-term outcomes are limited in the setting of modern multimodal management. This study sought to characterize the patterns of, factors associated with, and survival impact of recurrence following initial hepatectomy for CRLMs.\nMETHODS: A retrospective cohort study of patients undergoing initial hepatectomy for CRLMs at 39 institutions (2006-2013) was conducted. Kaplan-Meier methods were used for survival analyses. Overall survival landmark analysis at 12 months after hepatectomy was performed to compare groups based on recurrence. Multivariable Cox and regression models were used to determine factors associated with recurrence.\nRESULTS: Among 2320 patients, tumours recurred in 47·4 per cent at median of 10·1 (range 0-88) months; 89·1 per cent of recurrences developed within 3 years. Recurrence was intrahepatic in 46·2 per cent, extrahepatic in 31·8 per cent and combined intra/extrahepatic in 22·0 per cent. The 5-year overall survival rate decreased from 74·3 (95 per cent c.i. 72·2 to 76·4) per cent without recurrence to 57·5 (55·0 to 60·0) per cent with recurrence (adjusted hazard ratio (HR) 3·08, 95 per cent c.i. 2·31 to 4·09). After adjusting for clinicopathological variables, prehepatectomy factors associated with increased risk of recurrence were node-positive primary tumour (HR 1·27, 1·09 to 1·49), more than three liver metastases (HR 1·27, 1·06 to 1·52) and largest metastasis greater than 4</w:instrText>
      </w:r>
      <w:r w:rsidR="00F74797" w:rsidRPr="003A7660">
        <w:rPr>
          <w:lang w:val="en-US"/>
        </w:rPr>
        <w:instrText> </w:instrText>
      </w:r>
      <w:r w:rsidR="00F74797" w:rsidRPr="003A7660">
        <w:rPr>
          <w:rFonts w:ascii="Book Antiqua" w:hAnsi="Book Antiqua"/>
          <w:lang w:val="en-US"/>
        </w:rPr>
        <w:instrText>cm (HR 1·19; 1·01 to 1·43).\nCONCLUSION: Recurrence after CRLM resection remains common. Although overall survival is inferior with recurrence, excellent survival rates can still be achieved.","DOI":"10.1002/bjs.10191","ISSN":"1365-2168","note":"PMID: 27306949","journalAbbreviation":"Br J Surg","language":"eng","author":[{"family":"Hallet","given":"J."},{"family":"Sa Cunha","given":"A."},{"family":"Adam","given":"R."},{"family":"Goéré","given":"D."},{"family":"Bachellier","given":"P."},{"family":"Azoulay","given":"D."},{"family":"Ayav","given":"A."},{"family":"Grégoire","given":"E."},{"family":"Navarro","given":"F."},{"family":"Pessaux","given":"P."},{"literal":"French Colorectal Liver Metastases Working Group, Association Française de Chirurgie (AFC)"}],"issued":{"date-parts":[["2016",9]]}},"label":"page"},{"id":"jK7A4ffc/f6RfDiXD","uris":["http://zotero.org/users/local/CKZ8Mlfw/items/EBNQMXMW"],"uri":["http://zotero.org/users/local/CKZ8Mlfw/items/EBNQMXMW"],"itemData":{"id":211,"type":"article-journal","title":"Predictive factors for time to recurrence, treatment and post-recurrence survival in patients with initially resected colorectal liver metastases","container-title":"World Journal of Surgical Oncology","page":"328","volume":"13","source":"PubMed","abstract":"BACKGROUND: Despite progress in resection for colorectal liver metastases (CLM), the majority of patients experience recurrence. We aimed to evaluate factors influencing time to recurrence (TTR), treatment and post-recurrence survival (PRS) related to site of recurrence.\nMETHODS: This is a retrospective population-based cohort study (1998-2012) of consecutive patients without extrahepatic disease treated with resection for CLM in a referral centre.\nRESULTS: A total of 311 patients underwent resection for CLM. After a median follow-up of 4.2 years (range 1.2-15.2), 209 (67.4 %) patients developed recurrence, hepatic 90, extrahepatic 59 and both 60. Median TTR was 14.0 months, and 5-year recurrence-free status was 25.7 %. Five- and 10-year overall survival (OS) was 38.8 and 22.0 %, respectively. Median OS was 45 months. A multivariate analysis displayed synchronous disease (hazard ratio (HR) 1.50), American Society of Anaesthesiologists (ASA) score (HR 1.40), increasing number (HR 1.24) and size of metastases (HR 1.08) to shorten TTR (all p</w:instrText>
      </w:r>
      <w:r w:rsidR="00F74797" w:rsidRPr="003A7660">
        <w:rPr>
          <w:lang w:val="en-US"/>
        </w:rPr>
        <w:instrText> </w:instrText>
      </w:r>
      <w:r w:rsidR="00F74797" w:rsidRPr="003A7660">
        <w:rPr>
          <w:rFonts w:ascii="Book Antiqua" w:hAnsi="Book Antiqua"/>
          <w:lang w:val="en-US"/>
        </w:rPr>
        <w:instrText>&lt;</w:instrText>
      </w:r>
      <w:r w:rsidR="00F74797" w:rsidRPr="003A7660">
        <w:rPr>
          <w:lang w:val="en-US"/>
        </w:rPr>
        <w:instrText> </w:instrText>
      </w:r>
      <w:r w:rsidR="00F74797" w:rsidRPr="003A7660">
        <w:rPr>
          <w:rFonts w:ascii="Book Antiqua" w:hAnsi="Book Antiqua"/>
          <w:lang w:val="en-US"/>
        </w:rPr>
        <w:instrText>0.05). Perioperative chemotherapy (n</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59) increased overall TTR (HR 0.63) and overall survival (OS; HR 0.55). Hepatic TTR was correlated to synchronous disease (HR 2.07), number of lesions (HR 1.20), R1 resection (HR 2.00) and ASA score (HR 1.69), whereas extrahepatic TTR was correlated to N stage of the primary (HR 1.79), number (HR 1.27) and size of metastases (HR 1.16). Single-site recurrence was most common (135 of 209, 64.5 %), while 58 patients had double- and 16 triple-site relapses. Median PRS was 24.3 months. There was a difference in median PRS (months) according to site of relapse: liver 30.5, lung 32.3, abdominal 22.0, liver and lung 14.3, others 14.8 (p</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0.002). Repeated liver resections were performed in n</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 xml:space="preserve">57 patients resulting in 40.6 months median OS and 36.8 % 5-year OS.\nCONCLUSIONS: An adverse overall TTR was correlated to number and size of metastases, ASA score and synchronous disease. Perioperative chemotherapy increased TTR and OS after surgery for CLM. Patients with solitary post-resection relapse in the liver or lungs had the potential for longevity due to multimodal treatment.","DOI":"10.1186/s12957-015-0738-8","ISSN":"1477-7819","note":"PMID: 26631156\nPMCID: PMC4668655","journalAbbreviation":"World J Surg Oncol","language":"eng","author":[{"family":"Angelsen","given":"Jon-Helge"},{"family":"Viste","given":"Asgaut"},{"family":"Løes","given":"Inger Marie"},{"family":"Eide","given":"Geir Egil"},{"family":"Hoem","given":"Dag"},{"family":"Sorbye","given":"Halfdan"},{"family":"Horn","given":"Arild"}],"issued":{"date-parts":[["2015",12,3]]}},"label":"page"},{"id":"jK7A4ffc/zZq88vOT","uris":["http://zotero.org/users/local/CKZ8Mlfw/items/MDFXHJRX"],"uri":["http://zotero.org/users/local/CKZ8Mlfw/items/MDFXHJRX"],"itemData":{"id":249,"type":"article-journal","title":"Early recurrence after liver resection for colorectal metastases: risk factors, prognosis, and treatment. A LiverMetSurvey-based study of 6,025 patients","container-title":"Annals of Surgical Oncology","page":"1276-1286","volume":"21","issue":"4","source":"PubMed","abstract":"PURPOSE: The aims of this study were to assess the risk of early recurrence after liver resection for colorectal metastases (CRLM) and its prognostic value; identify early recurrence predictive factors; clarify the effect of perioperative chemotherapy on its occurrence; and elucidate the best early recurrence management.\nMETHODS: Patients of the LiverMetSurvey registry who underwent complete liver resection (R0/R1) between 1998 and 2009 were reviewed. Early recurrence was defined as any recurrence that occurred within 6 months after resection.\nRESULTS: A total of 6,025 patients were included; 2,734 (45.4 %) had recurrence, including 639 (10.6 %) early recurrences. Early recurrence was mainly hepatic (59.5 vs. 54.4 % for late recurrences; p = 0.023). Independent risk factors of early recurrence were: T3-4 primary tumor (p = 0.0002); synchronous CRLM (p = 0.0001); &gt;3 CRLM (p &lt; 0.0001); 0-mm margin liver resection (p = 0.003); and associated intraoperative radiofrequency ablation (p = 0.0005). Response to preoperative chemotherapy (complete/partial) and administration of adjuvant chemotherapy reduced early recurrence risk (p = 0.003 and p &lt; 0.0001, respectively). Intraoperative ultrasonography reduced hepatic early recurrence rate (p = 0.025). Early recurrence negatively affected prognosis: 5-year survival 26.9 versus 49.4 % for the late recurrence group (p &lt; 0.0001, median follow-up 34.4 months). Overall, 234 (36.6 %) patients with early recurrence underwent re-resection. These patients had survival rates higher than non-re-resected patients (5-year survival 47.2 vs. 8.9 %; p &lt; 0.0001) and similar to re-resected patients for late recurrence (48.7 %). Chemotherapy before early recurrence resection improved later survival (5-year survival 61.5 vs. 43.7 %; p = 0.028).\nCONCLUSIONS: Early recurrence risk is enhanced for extensive disease after poor preoperative disease control and inadequate surgical treatment, but is reduced after adjuvant chemotherapy. Although early recurrence negatively affects prognosis, re-resection may restore better survival. Chemotherapy before early recurrence resection is advocated.","DOI":"10.1245/s10434-013-3421-8","ISSN":"1534-4681","note":"PMID: 24346766","shortTitle":"Early recurrence after liver resection for colorectal metastases","journalAbbreviation":"Ann. Surg. Oncol.","language":"eng","author":[{"family":"Viganò","given":"Luca"},{"family":"Capussotti","given":"Lorenzo"},{"family":"Lapointe","given":"Réal"},{"family":"Barroso","given":"Eduardo"},{"family":"Hubert","given":"Catherine"},{"family":"Giuliante","given":"Felice"},{"family":"Ijzermans","given":"Jan N. M."},{"family":"Mirza","given":"Darius F."},{"family":"Elias","given":"Dominique"},{"family":"Adam","given":"René"}],"issued":{"date-parts":[["2014",4]]}},"label":"page"},{"id":"jK7A4ffc/xetAbrtq","uris":["http://zotero.org/users/local/CKZ8Mlfw/items/MXQCRU34"],"uri":["http://zotero.org/users/local/CKZ8Mlfw/items/MXQCRU34"],"itemData":{"id":243,"type":"article-journal","title":"Histopathologic factors affecting tumor recurrence after hepatic resection in colorectal liver metastases","container-title":"Annals of Surgical Treatment and Research","page":"14-21","volume":"87","issue":"1","source":"PubMed","abstract":"PURPOSE: Hepatic resection is a standard method of treatment for colorectal liver metastases (CRLM). However, the pathologic factors of metastatic lesions that affect tumor recurrence are less well defined in CRLM. The aim of this study was to evaluate the risk factors for recurrence of CRLM, focusing on histopathologic factors of metastatic lesions of the liver.\nMETHODS: From January 2003 to December 2008, 117 patients underwent curative hepatic resection for CRLM were reviewed. Tumor size and number, differentiation, tumor budding, angio-invasion, dedifferentiation and tumor infiltrating inflammation of metastatic lesions were investigated.\nRESULTS: The mean number of hepatic tumors was 2 (range, 1-8). The mean size of the largest tumor was 2.9 cm (range, 0.3-18.5 cm) in diameter. The moderate differentiation of the hepatic tumor was the most common in 86.3% of the patients. Tumor budding, angio-invasion, and dedifferentiation were observed in 81%, 34%, and 12.8% of patients. Inflammation infiltrating tumor was detected in 6.8% of patients. Recurrence after hepatic resection appeared in 69 out of 117 cases (58.9%). Recurrence-free survival at 1, 2 and 5 years were 62.4%, 43.6%, and 34.3%. The multivariate analysis showed the number of metastases ≥3 (P = 0.007), the tumor infiltrating inflammation (P = 0.047), and presence of dedifferentiation (P = 0.020) to be independent risk factors for tumor recurrence.\nCONCLUSION: Histopathological factors, i.e., dedifferentiation and tumor infiltrating inflammation of the metastatic lesion, could be one of the risk factors of aggressive behavior as well as the number of metastases even after curative resection for CRLM.","DOI":"10.4174/astr.2014.87.1.14","ISSN":"2288-6575","note":"PMID: 25025022\nPMCID: PMC4091444","journalAbbreviation":"Ann Surg Treat Res","language":"eng","author":[{"family":"Park","given":"Min-Su"},{"family":"Yi","given":"Nam-Joon"},{"family":"Son","given":"Sang-Yong"},{"family":"You","given":"Tae"},{"family":"Suh","given":"Suk-Won"},{"family":"Choi","given":"Young Rok"},{"family":"Kim","given":"Hyeyoung"},{"family":"Hong","given":"Geun"},{"family":"Lee","given":"Kyoung Bun"},{"family":"Lee","given":"Kwang-Woong"},{"family":"Jeong","given":"Seung-Yong"},{"family":"Park","given":"Kyu Joo"},{"family":"Suh","given":"Kyung-Suk"},{"family":"Park","given":"Jae-Gahb"}],"issued":{"date-parts":[["2014",7]]}},"label":"page"}],"schema":"https://github.com/citation-style-language/schema/raw/master/csl-citation.json"} </w:instrText>
      </w:r>
      <w:r w:rsidR="00F74797" w:rsidRPr="003A7660">
        <w:rPr>
          <w:rFonts w:ascii="Book Antiqua" w:hAnsi="Book Antiqua"/>
          <w:lang w:val="en-US"/>
        </w:rPr>
        <w:fldChar w:fldCharType="separate"/>
      </w:r>
      <w:r w:rsidR="00F74797" w:rsidRPr="003A7660">
        <w:rPr>
          <w:rFonts w:ascii="Book Antiqua" w:hAnsi="Book Antiqua"/>
          <w:vertAlign w:val="superscript"/>
          <w:lang w:val="en-US"/>
        </w:rPr>
        <w:t>[13,35,36,38,58,74]</w:t>
      </w:r>
      <w:r w:rsidR="00F74797" w:rsidRPr="003A7660">
        <w:rPr>
          <w:rFonts w:ascii="Book Antiqua" w:hAnsi="Book Antiqua"/>
          <w:lang w:val="en-US"/>
        </w:rPr>
        <w:fldChar w:fldCharType="end"/>
      </w:r>
      <w:r w:rsidR="006F78CB" w:rsidRPr="003A7660">
        <w:rPr>
          <w:rFonts w:ascii="Book Antiqua" w:hAnsi="Book Antiqua"/>
          <w:lang w:val="en-US"/>
        </w:rPr>
        <w:t>, and R1 resection</w:t>
      </w:r>
      <w:r w:rsidR="00F74797" w:rsidRPr="003A7660">
        <w:rPr>
          <w:rFonts w:ascii="Book Antiqua" w:hAnsi="Book Antiqua"/>
          <w:lang w:val="en-US"/>
        </w:rPr>
        <w:fldChar w:fldCharType="begin"/>
      </w:r>
      <w:r w:rsidR="00F74797" w:rsidRPr="003A7660">
        <w:rPr>
          <w:rFonts w:ascii="Book Antiqua" w:hAnsi="Book Antiqua"/>
          <w:lang w:val="en-US"/>
        </w:rPr>
        <w:instrText xml:space="preserve"> ADDIN ZOTERO_ITEM CSL_CITATION {"citationID":"a2bl3qgacvr","properties":{"formattedCitation":"\\super [35,36,38,75\\uc0\\u8211{}77]\\nosupersub{}","plainCitation":"[35,36,38,75–77]","noteIndex":0},"citationItems":[{"id":"jK7A4ffc/wgtuFENj","uris":["http://zotero.org/users/local/CKZ8Mlfw/items/KESWNWCP"],"uri":["http://zotero.org/users/local/CKZ8Mlfw/items/KESWNWCP"],"itemData":{"id":329,"type":"article-journal","title":"Early Recurrence After Hepatectomy for Colorectal Liver Metastases: What Optimal Definition and What Predictive Factors?","container-title":"The Oncologist","page":"887-894","volume":"21","issue":"7","source":"PubMed","abstract":"BACKGROUND: The purpose of this study was to determine the optimal definition and elucidate the predictive factors of early recurrence after surgery for colorectal liver metastases (CRLM).\nMETHODS: Among 987 patients who underwent curative surgery for CRLM from 1990 to 2012, 846 with a minimum follow-up period of 24 months were eligible for this study. The minimum p value approach of survival after initial recurrence was used to determine the optimal cutoff for the definition of early recurrence. The predictive factors of early recurrence and prognostic factors of survival were analyzed.\nRESULTS: For 667 patients (79%) who developed recurrence, the optimal cutoff point of early recurrence was determined to be 8 months after surgery. The impact of early recurrence on survival was demonstrated mainly in patients who received preoperative chemotherapy. Among the 691 patients who received preoperative chemotherapy, recurrence was observed in 562 (81%), and survival in patients with early recurrence was significantly worse than in those with late recurrence (5-year survival 18.5% vs. 53.4%, p &lt; .0001). Multivariate logistic analysis identified age ≤57 years (p = .0022), &gt;1 chemotherapy line (p = .03), disease progression during last-line chemotherapy (p = .024), &gt;3 tumors (p = .0014), and carbohydrate antigen 19-9 &gt;60 U/mL (p = .0003) as independent predictors of early recurrence. Salvage surgery for recurrence significantly improved survival, even in patients with early recurrence.\nCONCLUSION: The optimal cutoff point of early recurrence was determined to be 8 months. The preoperative prediction of early recurrence is possible and crucial for designing effective perioperative chemotherapy regimens.\nIMPLICATIONS FOR PRACTICE: In this study, the optimal cutoff point of early recurrence was determined to be 8 months after surgery based on the minimum p value approach, and its prognostic impact was demonstrated mainly in patients who received preoperative chemotherapy. Five factors, including age, number of preoperative chemotherapy lines, response to last-line chemotherapy, number of tumors, and carbohydrate antigen 19-9 concentrations, were identified as predictors of early recurrence. Salvage surgery for recurrence significantly improved survival, even in patients with early recurrence. For better selection of patients who could truly benefit from surgery and should also receive strong postoperative chemotherapy, the accurate preoperative prediction of early recurrence is crucial.","DOI":"10.1634/theoncologist.2015-0468","ISSN":"1549-490X","note":"PMID: 27125753\nPMCID: PMC4943389","shortTitle":"Early Recurrence After Hepatectomy for Colorectal Liver Metastases","journalAbbreviation":"Oncologist","language":"eng","author":[{"family":"Imai","given":"Katsunori"},{"family":"Allard","given":"Marc-Antoine"},{"family":"Benitez","given":"Carlos Castro"},{"family":"Vibert","given":"Eric"},{"family":"Sa Cunha","given":"Antonio"},{"family":"Cherqui","given":"Daniel"},{"family":"Castaing","given":"Denis"},{"family":"Bismuth","given":"Henri"},{"family":"Baba","given":"Hideo"},{"family":"Adam","given":"René"}],"issued":{"date-parts":[["2016",7]]}},"label":"page"},{"id":"jK7A4ffc/IxrH4boe","uris":["http://zotero.org/users/local/CKZ8Mlfw/items/CZKF8I3H"],"uri":["http://zotero.org/users/local/CKZ8Mlfw/items/CZKF8I3H"],"itemData":{"id":184,"type":"article-journal","title":"Factors influencing recurrence following initial hepatectomy for colorectal liver metastases","container-title":"The British Journal of Surgery","page":"1366-1376","volume":"103","issue":"10","source":"PubMed","abstract":"BACKGROUND: Data on recurrence patterns following hepatectomy for colorectal liver metastases (CRLMs) and their impact on long-term outcomes are limited in the setting of modern multimodal management. This study sought to characterize the patterns of, factors associated with, and survival impact of recurrence following initial hepatectomy for CRLMs.\nMETHODS: A retrospective cohort study of patients undergoing initial hepatectomy for CRLMs at 39 institutions (2006-2013) was conducted. Kaplan-Meier methods were used for survival analyses. Overall survival landmark analysis at 12 months after hepatectomy was performed to compare groups based on recurrence. Multivariable Cox and regression models were used to determine factors associated with recurrence.\nRESULTS: Among 2320 patients, tumours recurred in 47·4 per cent at median of 10·1 (range 0-88) months; 89·1 per cent of recurrences developed within 3 years. Recurrence was intrahepatic in 46·2 per cent, extrahepatic in 31·8 per cent and combined intra/extrahepatic in 22·0 per cent. The 5-year overall survival rate decreased from 74·3 (95 per cent c.i. 72·2 to 76·4) per cent without recurrence to 57·5 (55·0 to 60·0) per cent with recurrence (adjusted hazard ratio (HR) 3·08, 95 per cent c.i. 2·31 to 4·09). After adjusting for clinicopathological variables, prehepatectomy factors associated with increased risk of recurrence were node-positive primary tumour (HR 1·27, 1·09 to 1·49), more than three liver metastases (HR 1·27, 1·06 to 1·52) and largest metastasis greater than 4</w:instrText>
      </w:r>
      <w:r w:rsidR="00F74797" w:rsidRPr="003A7660">
        <w:rPr>
          <w:lang w:val="en-US"/>
        </w:rPr>
        <w:instrText> </w:instrText>
      </w:r>
      <w:r w:rsidR="00F74797" w:rsidRPr="003A7660">
        <w:rPr>
          <w:rFonts w:ascii="Book Antiqua" w:hAnsi="Book Antiqua"/>
          <w:lang w:val="en-US"/>
        </w:rPr>
        <w:instrText>cm (HR 1·19; 1·01 to 1·43).\nCONCLUSION: Recurrence after CRLM resection remains common. Although overall survival is inferior with recurrence, excellent survival rates can still be achieved.","DOI":"10.1002/bjs.10191","ISSN":"1365-2168","note":"PMID: 27306949","journalAbbreviation":"Br J Surg","language":"eng","author":[{"family":"Hallet","given":"J."},{"family":"Sa Cunha","given":"A."},{"family":"Adam","given":"R."},{"family":"Goéré","given":"D."},{"family":"Bachellier","given":"P."},{"family":"Azoulay","given":"D."},{"family":"Ayav","given":"A."},{"family":"Grégoire","given":"E."},{"family":"Navarro","given":"F."},{"family":"Pessaux","given":"P."},{"literal":"French Colorectal Liver Metastases Working Group, Association Française de Chirurgie (AFC)"}],"issued":{"date-parts":[["2016",9]]}},"label":"page"},{"id":"jK7A4ffc/f6RfDiXD","uris":["http://zotero.org/users/local/CKZ8Mlfw/items/EBNQMXMW"],"uri":["http://zotero.org/users/local/CKZ8Mlfw/items/EBNQMXMW"],"itemData":{"id":211,"type":"article-journal","title":"Predictive factors for time to recurrence, treatment and post-recurrence survival in patients with initially resected colorectal liver metastases","container-title":"World Journal of Surgical Oncology","page":"328","volume":"13","source":"PubMed","abstract":"BACKGROUND: Despite progress in resection for colorectal liver metastases (CLM), the majority of patients experience recurrence. We aimed to evaluate factors influencing time to recurrence (TTR), treatment and post-recurrence survival (PRS) related to site of recurrence.\nMETHODS: This is a retrospective population-based cohort study (1998-2012) of consecutive patients without extrahepatic disease treated with resection for CLM in a referral centre.\nRESULTS: A total of 311 patients underwent resection for CLM. After a median follow-up of 4.2 years (range 1.2-15.2), 209 (67.4 %) patients developed recurrence, hepatic 90, extrahepatic 59 and both 60. Median TTR was 14.0 months, and 5-year recurrence-free status was 25.7 %. Five- and 10-year overall survival (OS) was 38.8 and 22.0 %, respectively. Median OS was 45 months. A multivariate analysis displayed synchronous disease (hazard ratio (HR) 1.50), American Society of Anaesthesiologists (ASA) score (HR 1.40), increasing number (HR 1.24) and size of metastases (HR 1.08) to shorten TTR (all p</w:instrText>
      </w:r>
      <w:r w:rsidR="00F74797" w:rsidRPr="003A7660">
        <w:rPr>
          <w:lang w:val="en-US"/>
        </w:rPr>
        <w:instrText> </w:instrText>
      </w:r>
      <w:r w:rsidR="00F74797" w:rsidRPr="003A7660">
        <w:rPr>
          <w:rFonts w:ascii="Book Antiqua" w:hAnsi="Book Antiqua"/>
          <w:lang w:val="en-US"/>
        </w:rPr>
        <w:instrText>&lt;</w:instrText>
      </w:r>
      <w:r w:rsidR="00F74797" w:rsidRPr="003A7660">
        <w:rPr>
          <w:lang w:val="en-US"/>
        </w:rPr>
        <w:instrText> </w:instrText>
      </w:r>
      <w:r w:rsidR="00F74797" w:rsidRPr="003A7660">
        <w:rPr>
          <w:rFonts w:ascii="Book Antiqua" w:hAnsi="Book Antiqua"/>
          <w:lang w:val="en-US"/>
        </w:rPr>
        <w:instrText>0.05). Perioperative chemotherapy (n</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59) increased overall TTR (HR 0.63) and overall survival (OS; HR 0.55). Hepatic TTR was correlated to synchronous disease (HR 2.07), number of lesions (HR 1.20), R1 resection (HR 2.00) and ASA score (HR 1.69), whereas extrahepatic TTR was correlated to N stage of the primary (HR 1.79), number (HR 1.27) and size of metastases (HR 1.16). Single-site recurrence was most common (135 of 209, 64.5 %), while 58 patients had double- and 16 triple-site relapses. Median PRS was 24.3 months. There was a difference in median PRS (months) according to site of relapse: liver 30.5, lung 32.3, abdominal 22.0, liver and lung 14.3, others 14.8 (p</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0.002). Repeated liver resections were performed in n</w:instrText>
      </w:r>
      <w:r w:rsidR="00F74797" w:rsidRPr="003A7660">
        <w:rPr>
          <w:lang w:val="en-US"/>
        </w:rPr>
        <w:instrText> </w:instrText>
      </w:r>
      <w:r w:rsidR="00F74797" w:rsidRPr="003A7660">
        <w:rPr>
          <w:rFonts w:ascii="Book Antiqua" w:hAnsi="Book Antiqua"/>
          <w:lang w:val="en-US"/>
        </w:rPr>
        <w:instrText>=</w:instrText>
      </w:r>
      <w:r w:rsidR="00F74797" w:rsidRPr="003A7660">
        <w:rPr>
          <w:lang w:val="en-US"/>
        </w:rPr>
        <w:instrText> </w:instrText>
      </w:r>
      <w:r w:rsidR="00F74797" w:rsidRPr="003A7660">
        <w:rPr>
          <w:rFonts w:ascii="Book Antiqua" w:hAnsi="Book Antiqua"/>
          <w:lang w:val="en-US"/>
        </w:rPr>
        <w:instrText xml:space="preserve">57 patients resulting in 40.6 months median OS and 36.8 % 5-year OS.\nCONCLUSIONS: An adverse overall TTR was correlated to number and size of metastases, ASA score and synchronous disease. Perioperative chemotherapy increased TTR and OS after surgery for CLM. Patients with solitary post-resection relapse in the liver or lungs had the potential for longevity due to multimodal treatment.","DOI":"10.1186/s12957-015-0738-8","ISSN":"1477-7819","note":"PMID: 26631156\nPMCID: PMC4668655","journalAbbreviation":"World J Surg Oncol","language":"eng","author":[{"family":"Angelsen","given":"Jon-Helge"},{"family":"Viste","given":"Asgaut"},{"family":"Løes","given":"Inger Marie"},{"family":"Eide","given":"Geir Egil"},{"family":"Hoem","given":"Dag"},{"family":"Sorbye","given":"Halfdan"},{"family":"Horn","given":"Arild"}],"issued":{"date-parts":[["2015",12,3]]}},"label":"page"},{"id":"jK7A4ffc/Bc576kkK","uris":["http://zotero.org/users/local/CKZ8Mlfw/items/XBQV78K8"],"uri":["http://zotero.org/users/local/CKZ8Mlfw/items/XBQV78K8"],"itemData":{"id":297,"type":"article-journal","title":"Surgery for colorectal liver metastases: the impact of resection margins on recurrence and overall survival","container-title":"World Journal of Surgical Oncology","page":"127","volume":"12","source":"PubMed","abstract":"BACKGROUND: Several reports have presented conflicting results regarding the association between resection margins (RMs) and outcome after surgery for colorectal liver metastases (CLM), especially in the era of modern chemotherapy. The purpose of this study was to evaluate the impact of RMs on overall survival (OS), time to recurrence (TTR) and local recurrence (LR) status, particularly for patients treated with preoperative chemotherapy.\nMETHODS: A combined retrospective (1998 to 2008) and prospective (2008 to 2010) cohort study of consecutive patients with CLM without extrahepatic disease treated with primary resection at a medium volume centre.\nRESULTS: A total of 253 patients with known R status and 242 patients with defined margin width were included in the study. Patients were stratified according to margin width; A: R1, &lt;1 mm (n=48, 19%), B: 1 to 4 mm (n=77), C: 5 to 9 mm (n=46) and D: ≥10 mm (n=71). Median time to recurrence was 12.8 months, and after five years 21.5% had no recurrence. LR (inclusive combined recurrence in other hepatic sites or extrahepatic) occurred in 40 (16.5%) cases, most frequently seen with RMs below 5 mm. Five-year OS was 42.5% in R0 and 16.1% in R1 resections (P=0.011). Patients were also stratified according to preoperative chemotherapy (n=88), and the difference in five-year OS between R0 (45.1%) and R1 (14.7%) was maintained (P=0.037). By multiple Cox regression analysis R1 resections tended to an adverse outcome (P=0.067), also when adjusting for preoperative chemotherapy (P=0.081).\nCONCLUSIONS: R1 resections for colorectal liver metastases predict adverse outcome. RMs below 5 mm increased the risk for LR and shortened the time to recurrence. Preoperative chemotherapy did not alter an adverse outcome in R1 vs. R0 patients.","DOI":"10.1186/1477-7819-12-127","ISSN":"1477-7819","note":"PMID: 24767422\nPMCID: PMC4029814","shortTitle":"Surgery for colorectal liver metastases","journalAbbreviation":"World J Surg Oncol","language":"eng","author":[{"family":"Angelsen","given":"Jon-Helge"},{"family":"Horn","given":"Arild"},{"family":"Eide","given":"Geir Egil"},{"family":"Viste","given":"Asgaut"}],"issued":{"date-parts":[["2014",4,27]]}},"label":"page"},{"id":"jK7A4ffc/uOLrYlBp","uris":["http://zotero.org/users/local/CKZ8Mlfw/items/VSPHXJZF"],"uri":["http://zotero.org/users/local/CKZ8Mlfw/items/VSPHXJZF"],"itemData":{"id":267,"type":"article-journal","title":"Clinical score for predicting recurrence after hepatic resection for metastatic colorectal cancer: analysis of 1001 consecutive cases","container-title":"Annals of Surgery","page":"309-318; discussion 318-321","volume":"230","issue":"3","source":"PubMed","abstract":"OBJECTIVE: There is a need for clearly defined and widely applicable clinical criteria for the selection of patients who may benefit from hepatic resection for metastatic colorectal cancer. Such criteria would also be useful for stratification of patients in clinical trials for this disease.\nMETHODS: Clinical, pathologic, and outcome data for 1001 consecutive patients undergoing liver resection for metastatic colorectal cancer between July 1985 and October 1998 were examined. These resections included 237 trisegmentectomies, 394 lobectomies, and 370 resections encompassing less than a lobe. The surgical mortality rate was 2.8%.\nRESULTS: The 5-year survival rate was 37%, and the 10-year survival rate was 22%. Seven factors were found to be significant and independent predictors of poor long-term outcome by multivariate analysis: positive margin (p = 0.004), extrahepatic disease (p = 0.003), node-positive primary (p = 0.02), disease-free interval from primary to metastases &lt;12 months (p = 0.03), number of hepatic tumors &gt;1 (p = 0.0004), largest hepatic tumor &gt;5 cm (p = 0.01), and carcinoembryonic antigen level &gt;200 ng/ml (p = 0.01). When the last five of these criteria were used in a preoperative scoring system, assigning one point for each criterion, the total score was highly predictive of outcome (p &lt; 0.0001). No patient with a score of 5 was a long-term survivor.\nCONCLUSION: Resection of hepatic colorectal metastases may produce long-term survival and cure. Long-term outcome can be predicted from five criteria that are readily available for all patients considered for resection. Patients with up to two criteria can have a favorable outcome. Patients with three, four, or five criteria should be considered for experimental adjuvant trials. Studies of preoperative staging techniques or of adjuvant therapies should consider using such a score for stratification of patients.","ISSN":"0003-4932","note":"PMID: 10493478\nPMCID: PMC1420876","shortTitle":"Clinical score for predicting recurrence after hepatic resection for metastatic colorectal cancer","journalAbbreviation":"Ann. Surg.","language":"eng","author":[{"family":"Fong","given":"Y."},{"family":"Fortner","given":"J."},{"family":"Sun","given":"R. L."},{"family":"Brennan","given":"M. F."},{"family":"Blumgart","given":"L. H."}],"issued":{"date-parts":[["1999",9]]}},"label":"page"},{"id":"jK7A4ffc/OQzEHSre","uris":["http://zotero.org/users/local/CKZ8Mlfw/items/R5Z79I22"],"uri":["http://zotero.org/users/local/CKZ8Mlfw/items/R5Z79I22"],"itemData":{"id":299,"type":"article-journal","title":"Effect of surgical margin status on survival and site of recurrence after hepatic resection for colorectal metastases","container-title":"Annals of Surgery","page":"715-722, discussion 722-724","volume":"241","issue":"5","source":"PubMed","abstract":"OBJECTIVE: To evaluate the influence of surgical margin status on survival and site of recurrence in patients treated with hepatic resection for colorectal metastases.\nMETHODS: Using a multicenter database, 557 patients who underwent hepatic resection for colorectal metastases were identified. Demographics, operative data, pathologic margin status, site of recurrence (margin, other intrahepatic site, extrahepatic), and long-term survival data were collected and analyzed.\nRESULTS: On final pathologic analysis, margin status was positive in 45 patients, and negative by 1 to 4 mm in 129, 5 to 9 mm in 85, and &gt; or =1 cm in 298. At a median follow-up of 29 months, the 1-, 3-, and 5-year actuarial survival rates were 97%, 74%, and 58%; median survival was 74 months. Tumor size &gt; or =5 cm, &gt;3 tumor nodules, and carcinoembryonic antigen level &gt;200 ng/mL predicted poor survival (all P &lt; 0.05). Median survival was 49 months in patients with positive margins and not yet reached in patients with negative margins (P = 0.01). After hepatic resection, 225 (40.4%) patients had recurrence: 21 at the surgical margin, 56 at another intrahepatic site, 82 at an extrahepatic site, and 66 at both intrahepatic and extrahepatic sites. Patients with negative margins of 1 to 4 mm, 5 to 9 mm, and &gt; or =1 cm had similar overall recurrence rates (P &gt; 0.05). Patients with positive margins were more likely to have surgical margin recurrence (P = 0.003). Adverse preoperative biologic factors including tumor number greater than 3 (P = 0.01) and a preoperative CEA level greater than 200 ng/mL (P = 0.04) were associated with an increased risk of positive surgical margin.\nCONCLUSIONS: A positive margin after resection of hepatic colorectal metastases is associated with adverse biologic factors and increased risk of surgical-margin recurrence. The width of a negative surgical margin does not affect survival, recurrence risk, or site of recurrence. A predicted margin of &lt;1 cm after resection of hepatic colorectal metastases should not be used as an exclusion criterion for resection.","ISSN":"0003-4932","note":"PMID: 15849507\nPMCID: PMC1357126","journalAbbreviation":"Ann. Surg.","language":"eng","author":[{"family":"Pawlik","given":"Timothy M."},{"family":"Scoggins","given":"Charles R."},{"family":"Zorzi","given":"Daria"},{"family":"Abdalla","given":"Eddie K."},{"family":"Andres","given":"Axel"},{"family":"Eng","given":"Cathy"},{"family":"Curley","given":"Steven A."},{"family":"Loyer","given":"Evelyne M."},{"family":"Muratore","given":"Andrea"},{"family":"Mentha","given":"Gilles"},{"family":"Capussotti","given":"Lorenzo"},{"family":"Vauthey","given":"Jean-Nicolas"}],"issued":{"date-parts":[["2005",5]]}},"label":"page"}],"schema":"https://github.com/citation-style-language/schema/raw/master/csl-citation.json"} </w:instrText>
      </w:r>
      <w:r w:rsidR="00F74797" w:rsidRPr="003A7660">
        <w:rPr>
          <w:rFonts w:ascii="Book Antiqua" w:hAnsi="Book Antiqua"/>
          <w:lang w:val="en-US"/>
        </w:rPr>
        <w:fldChar w:fldCharType="separate"/>
      </w:r>
      <w:r w:rsidR="006F78CB" w:rsidRPr="003A7660">
        <w:rPr>
          <w:rFonts w:ascii="Book Antiqua" w:hAnsi="Book Antiqua"/>
          <w:vertAlign w:val="superscript"/>
          <w:lang w:val="en-US"/>
        </w:rPr>
        <w:t>[35,36,38,75</w:t>
      </w:r>
      <w:r w:rsidR="006F78CB" w:rsidRPr="003A7660">
        <w:rPr>
          <w:rFonts w:ascii="Book Antiqua" w:eastAsia="宋体" w:hAnsi="Book Antiqua"/>
          <w:vertAlign w:val="superscript"/>
          <w:lang w:val="en-US" w:eastAsia="zh-CN"/>
        </w:rPr>
        <w:t>-</w:t>
      </w:r>
      <w:r w:rsidR="00F74797" w:rsidRPr="003A7660">
        <w:rPr>
          <w:rFonts w:ascii="Book Antiqua" w:hAnsi="Book Antiqua"/>
          <w:vertAlign w:val="superscript"/>
          <w:lang w:val="en-US"/>
        </w:rPr>
        <w:t>77]</w:t>
      </w:r>
      <w:r w:rsidR="00F74797" w:rsidRPr="003A7660">
        <w:rPr>
          <w:rFonts w:ascii="Book Antiqua" w:hAnsi="Book Antiqua"/>
          <w:lang w:val="en-US"/>
        </w:rPr>
        <w:fldChar w:fldCharType="end"/>
      </w:r>
      <w:r w:rsidR="00F74797" w:rsidRPr="003A7660">
        <w:rPr>
          <w:rFonts w:ascii="Book Antiqua" w:hAnsi="Book Antiqua"/>
          <w:lang w:val="en-US"/>
        </w:rPr>
        <w:t xml:space="preserve"> are the typical factors of poor prognosis found in the literature. </w:t>
      </w:r>
    </w:p>
    <w:p w:rsidR="00F74797" w:rsidRPr="003A7660" w:rsidRDefault="006F78CB" w:rsidP="00384F14">
      <w:pPr>
        <w:snapToGrid w:val="0"/>
        <w:spacing w:line="360" w:lineRule="auto"/>
        <w:ind w:firstLineChars="100" w:firstLine="240"/>
        <w:jc w:val="both"/>
        <w:rPr>
          <w:rFonts w:ascii="Book Antiqua" w:hAnsi="Book Antiqua"/>
          <w:bCs/>
          <w:lang w:val="en-US"/>
        </w:rPr>
      </w:pPr>
      <w:r w:rsidRPr="003A7660">
        <w:rPr>
          <w:rFonts w:ascii="Book Antiqua" w:eastAsia="宋体" w:hAnsi="Book Antiqua"/>
          <w:bCs/>
          <w:lang w:val="en-US" w:eastAsia="zh-CN"/>
        </w:rPr>
        <w:lastRenderedPageBreak/>
        <w:t xml:space="preserve">In conclusion, </w:t>
      </w:r>
      <w:r w:rsidRPr="003A7660">
        <w:rPr>
          <w:rFonts w:ascii="Book Antiqua" w:hAnsi="Book Antiqua"/>
          <w:lang w:val="en-US"/>
        </w:rPr>
        <w:t>t</w:t>
      </w:r>
      <w:r w:rsidR="00F74797" w:rsidRPr="003A7660">
        <w:rPr>
          <w:rFonts w:ascii="Book Antiqua" w:hAnsi="Book Antiqua"/>
          <w:lang w:val="en-US"/>
        </w:rPr>
        <w:t xml:space="preserve">his study confirmed that the </w:t>
      </w:r>
      <w:r w:rsidR="00DA45CA" w:rsidRPr="003A7660">
        <w:rPr>
          <w:rFonts w:ascii="Book Antiqua" w:eastAsia="宋体" w:hAnsi="Book Antiqua"/>
          <w:lang w:val="en-US" w:eastAsia="zh-CN"/>
        </w:rPr>
        <w:t>HR</w:t>
      </w:r>
      <w:r w:rsidR="00F74797" w:rsidRPr="003A7660">
        <w:rPr>
          <w:rFonts w:ascii="Book Antiqua" w:hAnsi="Book Antiqua"/>
          <w:lang w:val="en-US"/>
        </w:rPr>
        <w:t xml:space="preserve"> of CRLMs after NAC has an influence on survival and</w:t>
      </w:r>
      <w:r w:rsidR="00222BCE" w:rsidRPr="003A7660">
        <w:rPr>
          <w:rFonts w:ascii="Book Antiqua" w:hAnsi="Book Antiqua"/>
          <w:lang w:val="en-US"/>
        </w:rPr>
        <w:t>,</w:t>
      </w:r>
      <w:r w:rsidR="00F74797" w:rsidRPr="003A7660">
        <w:rPr>
          <w:rFonts w:ascii="Book Antiqua" w:hAnsi="Book Antiqua"/>
          <w:lang w:val="en-US"/>
        </w:rPr>
        <w:t xml:space="preserve"> hence</w:t>
      </w:r>
      <w:r w:rsidR="00222BCE" w:rsidRPr="003A7660">
        <w:rPr>
          <w:rFonts w:ascii="Book Antiqua" w:hAnsi="Book Antiqua"/>
          <w:lang w:val="en-US"/>
        </w:rPr>
        <w:t>,</w:t>
      </w:r>
      <w:r w:rsidR="00F74797" w:rsidRPr="003A7660">
        <w:rPr>
          <w:rFonts w:ascii="Book Antiqua" w:hAnsi="Book Antiqua"/>
          <w:lang w:val="en-US"/>
        </w:rPr>
        <w:t xml:space="preserve"> warrants </w:t>
      </w:r>
      <w:r w:rsidR="00222BCE" w:rsidRPr="003A7660">
        <w:rPr>
          <w:rFonts w:ascii="Book Antiqua" w:hAnsi="Book Antiqua"/>
          <w:lang w:val="en-US"/>
        </w:rPr>
        <w:t>attention</w:t>
      </w:r>
      <w:r w:rsidR="00F74797" w:rsidRPr="003A7660">
        <w:rPr>
          <w:rFonts w:ascii="Book Antiqua" w:hAnsi="Book Antiqua"/>
          <w:lang w:val="en-US"/>
        </w:rPr>
        <w:t xml:space="preserve">. We found, however, that this influence on </w:t>
      </w:r>
      <w:r w:rsidR="005A0012" w:rsidRPr="003A7660">
        <w:rPr>
          <w:rFonts w:ascii="Book Antiqua" w:eastAsia="宋体" w:hAnsi="Book Antiqua"/>
          <w:lang w:val="en-US" w:eastAsia="zh-CN"/>
        </w:rPr>
        <w:t>OS</w:t>
      </w:r>
      <w:r w:rsidR="00F74797" w:rsidRPr="003A7660">
        <w:rPr>
          <w:rFonts w:ascii="Book Antiqua" w:hAnsi="Book Antiqua"/>
          <w:lang w:val="en-US"/>
        </w:rPr>
        <w:t xml:space="preserve"> was lacking in cases of particularly aggressive disease</w:t>
      </w:r>
      <w:r w:rsidR="000A5E45" w:rsidRPr="003A7660">
        <w:rPr>
          <w:rFonts w:ascii="Book Antiqua" w:hAnsi="Book Antiqua"/>
          <w:lang w:val="en-US"/>
        </w:rPr>
        <w:t>,</w:t>
      </w:r>
      <w:r w:rsidR="00F74797" w:rsidRPr="003A7660">
        <w:rPr>
          <w:rFonts w:ascii="Book Antiqua" w:hAnsi="Book Antiqua"/>
          <w:lang w:val="en-US"/>
        </w:rPr>
        <w:t xml:space="preserve"> with microscopic vascular invasion </w:t>
      </w:r>
      <w:r w:rsidR="000A5E45" w:rsidRPr="003A7660">
        <w:rPr>
          <w:rFonts w:ascii="Book Antiqua" w:hAnsi="Book Antiqua"/>
          <w:lang w:val="en-US"/>
        </w:rPr>
        <w:t>i</w:t>
      </w:r>
      <w:r w:rsidR="00F74797" w:rsidRPr="003A7660">
        <w:rPr>
          <w:rFonts w:ascii="Book Antiqua" w:hAnsi="Book Antiqua"/>
          <w:lang w:val="en-US"/>
        </w:rPr>
        <w:t xml:space="preserve">n the histological analysis. Two simple criteria enable the prediction of </w:t>
      </w:r>
      <w:r w:rsidR="00DA45CA" w:rsidRPr="003A7660">
        <w:rPr>
          <w:rFonts w:ascii="Book Antiqua" w:eastAsia="宋体" w:hAnsi="Book Antiqua"/>
          <w:lang w:val="en-US" w:eastAsia="zh-CN"/>
        </w:rPr>
        <w:t>HR</w:t>
      </w:r>
      <w:r w:rsidR="00F74797" w:rsidRPr="003A7660">
        <w:rPr>
          <w:rFonts w:ascii="Book Antiqua" w:hAnsi="Book Antiqua"/>
          <w:lang w:val="en-US"/>
        </w:rPr>
        <w:t xml:space="preserve"> after </w:t>
      </w:r>
      <w:r w:rsidR="001723EF" w:rsidRPr="003A7660">
        <w:rPr>
          <w:rFonts w:ascii="Book Antiqua" w:eastAsia="宋体" w:hAnsi="Book Antiqua"/>
          <w:lang w:val="en-US" w:eastAsia="zh-CN"/>
        </w:rPr>
        <w:t>NAC</w:t>
      </w:r>
      <w:r w:rsidR="00F74797" w:rsidRPr="003A7660">
        <w:rPr>
          <w:rFonts w:ascii="Book Antiqua" w:hAnsi="Book Antiqua"/>
          <w:lang w:val="en-US"/>
        </w:rPr>
        <w:t xml:space="preserve">: </w:t>
      </w:r>
      <w:r w:rsidR="004915D0" w:rsidRPr="003A7660">
        <w:rPr>
          <w:rFonts w:ascii="Book Antiqua" w:hAnsi="Book Antiqua"/>
          <w:lang w:val="en-US"/>
        </w:rPr>
        <w:t>mo</w:t>
      </w:r>
      <w:r w:rsidR="00F74797" w:rsidRPr="003A7660">
        <w:rPr>
          <w:rFonts w:ascii="Book Antiqua" w:hAnsi="Book Antiqua"/>
          <w:lang w:val="en-US"/>
        </w:rPr>
        <w:t xml:space="preserve">re than </w:t>
      </w:r>
      <w:r w:rsidR="004915D0" w:rsidRPr="003A7660">
        <w:rPr>
          <w:rFonts w:ascii="Book Antiqua" w:hAnsi="Book Antiqua"/>
          <w:lang w:val="en-US"/>
        </w:rPr>
        <w:t>seven</w:t>
      </w:r>
      <w:r w:rsidR="00F74797" w:rsidRPr="003A7660">
        <w:rPr>
          <w:rFonts w:ascii="Book Antiqua" w:hAnsi="Book Antiqua"/>
          <w:lang w:val="en-US"/>
        </w:rPr>
        <w:t xml:space="preserve"> treatment sessions and the absence of a radiological response.</w:t>
      </w:r>
    </w:p>
    <w:p w:rsidR="00507F2D" w:rsidRPr="003A7660" w:rsidRDefault="00507F2D" w:rsidP="00384F14">
      <w:pPr>
        <w:snapToGrid w:val="0"/>
        <w:spacing w:line="360" w:lineRule="auto"/>
        <w:jc w:val="both"/>
        <w:rPr>
          <w:rFonts w:ascii="Book Antiqua" w:hAnsi="Book Antiqua"/>
          <w:lang w:val="en-US"/>
        </w:rPr>
      </w:pPr>
    </w:p>
    <w:p w:rsidR="00507F2D" w:rsidRPr="003A7660" w:rsidRDefault="00507F2D" w:rsidP="00384F14">
      <w:pPr>
        <w:snapToGrid w:val="0"/>
        <w:spacing w:line="360" w:lineRule="auto"/>
        <w:jc w:val="both"/>
        <w:rPr>
          <w:rFonts w:ascii="Book Antiqua" w:hAnsi="Book Antiqua"/>
          <w:b/>
          <w:lang w:val="en-US"/>
        </w:rPr>
      </w:pPr>
      <w:r w:rsidRPr="003A7660">
        <w:rPr>
          <w:rFonts w:ascii="Book Antiqua" w:hAnsi="Book Antiqua"/>
          <w:b/>
          <w:lang w:val="en-US"/>
        </w:rPr>
        <w:t>ARTICLE HIGHLIGHTS</w:t>
      </w:r>
    </w:p>
    <w:p w:rsidR="00507F2D" w:rsidRPr="003A7660" w:rsidRDefault="006F78CB" w:rsidP="00384F14">
      <w:pPr>
        <w:snapToGrid w:val="0"/>
        <w:spacing w:line="360" w:lineRule="auto"/>
        <w:jc w:val="both"/>
        <w:rPr>
          <w:rFonts w:ascii="Book Antiqua" w:hAnsi="Book Antiqua"/>
          <w:b/>
          <w:i/>
          <w:color w:val="000000"/>
          <w:lang w:val="en-US"/>
        </w:rPr>
      </w:pPr>
      <w:r w:rsidRPr="003A7660">
        <w:rPr>
          <w:rFonts w:ascii="Book Antiqua" w:hAnsi="Book Antiqua"/>
          <w:b/>
          <w:i/>
          <w:color w:val="000000"/>
          <w:lang w:val="en-US"/>
        </w:rPr>
        <w:t>Research background</w:t>
      </w:r>
      <w:r w:rsidR="00507F2D" w:rsidRPr="003A7660">
        <w:rPr>
          <w:rFonts w:ascii="Book Antiqua" w:hAnsi="Book Antiqua"/>
          <w:b/>
          <w:i/>
          <w:color w:val="000000"/>
          <w:lang w:val="en-US"/>
        </w:rPr>
        <w:t xml:space="preserve"> </w:t>
      </w:r>
    </w:p>
    <w:p w:rsidR="00507F2D" w:rsidRPr="003A7660" w:rsidRDefault="00507F2D" w:rsidP="00384F14">
      <w:pPr>
        <w:snapToGrid w:val="0"/>
        <w:spacing w:line="360" w:lineRule="auto"/>
        <w:jc w:val="both"/>
        <w:rPr>
          <w:rFonts w:ascii="Book Antiqua" w:hAnsi="Book Antiqua"/>
          <w:lang w:val="en-US"/>
        </w:rPr>
      </w:pPr>
      <w:r w:rsidRPr="003A7660">
        <w:rPr>
          <w:rFonts w:ascii="Book Antiqua" w:hAnsi="Book Antiqua" w:cs="Arial"/>
          <w:lang w:val="en-US"/>
        </w:rPr>
        <w:t>Colorectal cancer is the third most common cancer in men and the second most common in women worldwide. Almost a third of the patients h</w:t>
      </w:r>
      <w:r w:rsidR="006F78CB" w:rsidRPr="003A7660">
        <w:rPr>
          <w:rFonts w:ascii="Book Antiqua" w:eastAsia="宋体" w:hAnsi="Book Antiqua" w:cs="Arial"/>
          <w:lang w:val="en-US" w:eastAsia="zh-CN"/>
        </w:rPr>
        <w:t>as</w:t>
      </w:r>
      <w:r w:rsidRPr="003A7660">
        <w:rPr>
          <w:rFonts w:ascii="Book Antiqua" w:hAnsi="Book Antiqua" w:cs="Arial"/>
          <w:lang w:val="en-US"/>
        </w:rPr>
        <w:t xml:space="preserve"> or will develop liver metastases. Neoadjuvant chemotherapy (NAC) has recently become nearly systematic prior to surgery of colorectal livers metastases (CRLMs). </w:t>
      </w:r>
      <w:r w:rsidRPr="003A7660">
        <w:rPr>
          <w:rFonts w:ascii="Book Antiqua" w:hAnsi="Book Antiqua"/>
          <w:lang w:val="en-US"/>
        </w:rPr>
        <w:t xml:space="preserve">The response to NAC is evaluated by radiological imaging according to morphological criteria. More recently, the response to NAC has been evaluated based on histological criteria of the resected specimen. The most often used score is the </w:t>
      </w:r>
      <w:r w:rsidR="006F78CB" w:rsidRPr="003A7660">
        <w:rPr>
          <w:rFonts w:ascii="Book Antiqua" w:hAnsi="Book Antiqua"/>
          <w:lang w:val="en-US"/>
        </w:rPr>
        <w:t xml:space="preserve">tumor regression grade </w:t>
      </w:r>
      <w:r w:rsidRPr="003A7660">
        <w:rPr>
          <w:rFonts w:ascii="Book Antiqua" w:hAnsi="Book Antiqua"/>
          <w:lang w:val="en-US"/>
        </w:rPr>
        <w:t xml:space="preserve">(TRG), which considers the necrosis, fibrosis, and number of viable tumor cells. </w:t>
      </w:r>
    </w:p>
    <w:p w:rsidR="007C571C" w:rsidRPr="003A7660" w:rsidRDefault="007C571C" w:rsidP="00384F14">
      <w:pPr>
        <w:snapToGrid w:val="0"/>
        <w:spacing w:line="360" w:lineRule="auto"/>
        <w:jc w:val="both"/>
        <w:rPr>
          <w:rFonts w:ascii="Book Antiqua" w:hAnsi="Book Antiqua"/>
          <w:lang w:val="en-US"/>
        </w:rPr>
      </w:pPr>
    </w:p>
    <w:p w:rsidR="007C571C" w:rsidRPr="003A7660" w:rsidRDefault="007C571C" w:rsidP="00384F14">
      <w:pPr>
        <w:snapToGrid w:val="0"/>
        <w:spacing w:line="360" w:lineRule="auto"/>
        <w:jc w:val="both"/>
        <w:rPr>
          <w:rFonts w:ascii="Book Antiqua" w:eastAsia="宋体" w:hAnsi="Book Antiqua"/>
          <w:b/>
          <w:i/>
          <w:color w:val="000000"/>
          <w:lang w:val="en-US" w:eastAsia="zh-CN"/>
        </w:rPr>
      </w:pPr>
      <w:r w:rsidRPr="003A7660">
        <w:rPr>
          <w:rFonts w:ascii="Book Antiqua" w:hAnsi="Book Antiqua"/>
          <w:b/>
          <w:i/>
          <w:color w:val="000000"/>
          <w:lang w:val="en-US"/>
        </w:rPr>
        <w:t>Re</w:t>
      </w:r>
      <w:r w:rsidR="006F78CB" w:rsidRPr="003A7660">
        <w:rPr>
          <w:rFonts w:ascii="Book Antiqua" w:hAnsi="Book Antiqua"/>
          <w:b/>
          <w:i/>
          <w:color w:val="000000"/>
          <w:lang w:val="en-US"/>
        </w:rPr>
        <w:t>search motivation</w:t>
      </w:r>
    </w:p>
    <w:p w:rsidR="00507F2D" w:rsidRPr="003A7660" w:rsidRDefault="00507F2D" w:rsidP="00384F14">
      <w:pPr>
        <w:snapToGrid w:val="0"/>
        <w:spacing w:line="360" w:lineRule="auto"/>
        <w:jc w:val="both"/>
        <w:rPr>
          <w:rFonts w:ascii="Book Antiqua" w:hAnsi="Book Antiqua"/>
          <w:bCs/>
          <w:lang w:val="en-US"/>
        </w:rPr>
      </w:pPr>
      <w:r w:rsidRPr="003A7660">
        <w:rPr>
          <w:rFonts w:ascii="Book Antiqua" w:hAnsi="Book Antiqua"/>
          <w:lang w:val="en-US"/>
        </w:rPr>
        <w:t>Few studies to date have documented the influence of TRG on patient survival, and they were mostly published by the authors of the scoring systems. This explains why the histological regression score of CRLM specimens is rarely use</w:t>
      </w:r>
      <w:r w:rsidR="006F78CB" w:rsidRPr="003A7660">
        <w:rPr>
          <w:rFonts w:ascii="Book Antiqua" w:hAnsi="Book Antiqua"/>
          <w:lang w:val="en-US"/>
        </w:rPr>
        <w:t>d in current practice</w:t>
      </w:r>
      <w:r w:rsidR="006F78CB" w:rsidRPr="003A7660">
        <w:rPr>
          <w:rFonts w:ascii="Book Antiqua" w:hAnsi="Book Antiqua"/>
          <w:vertAlign w:val="superscript"/>
          <w:lang w:val="en-US"/>
        </w:rPr>
        <w:t>[15,</w:t>
      </w:r>
      <w:r w:rsidRPr="003A7660">
        <w:rPr>
          <w:rFonts w:ascii="Book Antiqua" w:hAnsi="Book Antiqua"/>
          <w:vertAlign w:val="superscript"/>
          <w:lang w:val="en-US"/>
        </w:rPr>
        <w:t>32]</w:t>
      </w:r>
      <w:r w:rsidRPr="003A7660">
        <w:rPr>
          <w:rFonts w:ascii="Book Antiqua" w:hAnsi="Book Antiqua"/>
          <w:lang w:val="en-US"/>
        </w:rPr>
        <w:fldChar w:fldCharType="begin"/>
      </w:r>
      <w:r w:rsidRPr="003A7660">
        <w:rPr>
          <w:rFonts w:ascii="Book Antiqua" w:hAnsi="Book Antiqua"/>
          <w:lang w:val="en-US"/>
        </w:rPr>
        <w:instrText xml:space="preserve"> ADDIN ZOTERO_ITEM CSL_CITATION {"citationID":"giXHRvpN","properties":{"formattedCitation":"\\super [15,32]\\nosupersub{}","plainCitation":"","noteIndex":0},"citationItems":[{"id":"jK7A4ffc/Wxt62eLS","uris":["http://zotero.org/users/local/CKZ8Mlfw/items/8PGCPB5V"],"uri":["http://zotero.org/users/local/CKZ8Mlfw/items/8PGCPB5V"],"itemData":{"id":283,"type":"article-journal","title":"Histopathological evaluation of resected colorectal cancer liver metastases: what should be done?","container-title":"Histopathology","page":"149-156","volume":"63","issue":"2","source":"PubMed","abstract":"Histological reporting of hepatic resections of colorectal liver metastases (CRLMs) is limited to confirmation of diagnosis and evaluation of resection margins. More exhaustive diagnostic reporting might be warranted. Here, we critically and systematically review the potentially important histological prognostic factors in CRLM. Histological features such as intrahepatic spread, resection margins, and tumour response to neoadjuvant chemotherapy have been defined. Intrahepatic spread (venous, lymphatic, bile duct and perineural invasion) was evaluated in a number of studies. Meta-analysis demonstrated a clear correlation between 5-year overall survival and both portal vein invasion (RR 1.8, 95% CI 1.3-2.5) and lymphatic invasion (RR 1.7, 95% CI 1.4-2.0). The impact of hepatic vein invasion and bile duct invasion on outcome is not clear. Perineural invasion was linked to survival in one study. Resection margin is an important prognostic factor; however, the significance of the width of negative margins remains controversial. Various studies have evaluated tumour response to neoadjuvant chemotherapy, but different grading systems were used, and definite recommendations cannot be made. In conclusion, with the high incidence of CRLM and the increase in the number of hepatic resections, we need well-defined prognostic factors, studied in homogeneous patient populations, to optimize diagnostic work-up. This review identifies several of these factors.","DOI":"10.1111/his.12124","ISSN":"1365-2559","note":"PMID: 23763641","shortTitle":"Histopathological evaluation of resected colorectal cancer liver metastases","journalAbbreviation":"Histopathology","language":"eng","author":[{"family":"Knijn","given":"Nikki"},{"family":"Ridder","given":"Jannemarie A. M.","non-dropping-particle":"de"},{"family":"Punt","given":"Cornelis J. A."},{"family":"Wilt","given":"Johannes H. W.","non-dropping-particle":"de"},{"family":"Nagtegaal","given":"Iris D."}],"issued":{"date-parts":[["2013",8]]}},"label":"page"},{"id":"jK7A4ffc/oO5ff83K","uris":["http://zotero.org/users/local/CKZ8Mlfw/items/5KIBJTTH"],"uri":["http://zotero.org/users/local/CKZ8Mlfw/items/5KIBJTTH"],"itemData":{"id":120,"type":"article-journal","title":"ESMO consensus guidelines for the management of patients with metastatic colorectal cancer","container-title":"Annals of Oncology: Official Journal of the European Society for Medical Oncology","page":"1386-1422","volume":"27","issue":"8","source":"PubMed","abstract":"Colorectal cancer (CRC) is one of the most common malignancies in Western countries. Over the last 20 years, and the last decade in particular, the clinical outcome for patients with metastatic CRC (mCRC) has improved greatly due not only to an increase in the number of patients being referred for and undergoing surgical resection of their localised metastatic disease but also to a more strategic approach to the delivery of systemic therapy and an expansion in the use of ablative techniques. This reflects the increase in the number of patients that are being managed within a multidisciplinary team environment and specialist cancer centres, and the emergence over the same time period not only of improved imaging techniques but also prognostic and predictive molecular markers. Treatment decisions for patients with mCRC must be evidence-based. Thus, these ESMO consensus guidelines have been developed based on the current available evidence to provide a series of evidence-based recommendations to assist in the treatment and management of patients with mCRC in this rapidly evolving treatment setting.","DOI":"10.1093/annonc/mdw235","ISSN":"1569-8041","note":"PMID: 27380959","journalAbbreviation":"Ann. Oncol.","language":"eng","author":[{"family":"Van Cutsem","given":"E."},{"family":"Cervantes","given":"A."},{"family":"Adam","given":"R."},{"family":"Sobrero","given":"A."},{"family":"Van Krieken","given":"J. H."},{"family":"Aderka","given":"D."},{"family":"Aranda Aguilar","given":"E."},{"family":"Bardelli","given":"A."},{"family":"Benson","given":"A."},{"family":"Bodoky","given":"G."},{"family":"Ciardiello","given":"F."},{"family":"D'Hoore","given":"A."},{"family":"Diaz-Rubio","given":"E."},{"family":"Douillard","given":"J.-Y."},{"family":"Ducreux","given":"M."},{"family":"Falcone","given":"A."},{"family":"Grothey","given":"A."},{"family":"Gruenberger","given":"T."},{"family":"Haustermans","given":"K."},{"family":"Heinemann","given":"V."},{"family":"Hoff","given":"P."},{"family":"Köhne","given":"C.-H."},{"family":"Labianca","given":"R."},{"family":"Laurent-Puig","given":"P."},{"family":"Ma","given":"B."},{"family":"Maughan","given":"T."},{"family":"Muro","given":"K."},{"family":"Normanno","given":"N."},{"family":"Österlund","given":"P."},{"family":"Oyen","given":"W. J. G."},{"family":"Papamichael","given":"D."},{"family":"Pentheroudakis","given":"G."},{"family":"Pfeiffer","given":"P."},{"family":"Price","given":"T. J."},{"family":"Punt","given":"C."},{"family":"Ricke","given":"J."},{"family":"Roth","given":"A."},{"family":"Salazar","given":"R."},{"family":"Scheithauer","given":"W."},{"family":"Schmoll","given":"H. J."},{"family":"Tabernero","given":"J."},{"family":"Taïeb","given":"J."},{"family":"Tejpar","given":"S."},{"family":"Wasan","given":"H."},{"family":"Yoshino","given":"T."},{"family":"Zaanan","given":"A."},{"family":"Arnold","given":"D."}],"issued":{"date-parts":[["2016",8]]}},"label":"page"}],"schema":"https://github.com/citation-style-language/schema/raw/master/csl-citation.json"} </w:instrText>
      </w:r>
      <w:r w:rsidRPr="003A7660">
        <w:rPr>
          <w:rFonts w:ascii="Book Antiqua" w:hAnsi="Book Antiqua"/>
          <w:lang w:val="en-US"/>
        </w:rPr>
        <w:fldChar w:fldCharType="end"/>
      </w:r>
      <w:r w:rsidRPr="003A7660">
        <w:rPr>
          <w:rFonts w:ascii="Book Antiqua" w:hAnsi="Book Antiqua"/>
          <w:lang w:val="en-US"/>
        </w:rPr>
        <w:t>. Therefore, at present, analysis of the histological response by the TRG has no influence on whether or not adjuvant chemotherapy is administered. To our knowledge, no study has attempted to identify the predictive factors of histological response after NAC.</w:t>
      </w:r>
    </w:p>
    <w:p w:rsidR="006F78CB" w:rsidRPr="003A7660" w:rsidRDefault="006F78CB" w:rsidP="00384F14">
      <w:pPr>
        <w:snapToGrid w:val="0"/>
        <w:spacing w:line="360" w:lineRule="auto"/>
        <w:jc w:val="both"/>
        <w:rPr>
          <w:rFonts w:ascii="Book Antiqua" w:eastAsia="宋体" w:hAnsi="Book Antiqua"/>
          <w:b/>
          <w:color w:val="000000"/>
          <w:lang w:val="en-US" w:eastAsia="zh-CN"/>
        </w:rPr>
      </w:pPr>
    </w:p>
    <w:p w:rsidR="00507F2D" w:rsidRPr="003A7660" w:rsidRDefault="00507F2D" w:rsidP="00384F14">
      <w:pPr>
        <w:snapToGrid w:val="0"/>
        <w:spacing w:line="360" w:lineRule="auto"/>
        <w:jc w:val="both"/>
        <w:rPr>
          <w:rFonts w:ascii="Book Antiqua" w:eastAsia="宋体" w:hAnsi="Book Antiqua"/>
          <w:b/>
          <w:i/>
          <w:color w:val="000000"/>
          <w:lang w:val="en-US" w:eastAsia="zh-CN"/>
        </w:rPr>
      </w:pPr>
      <w:r w:rsidRPr="003A7660">
        <w:rPr>
          <w:rFonts w:ascii="Book Antiqua" w:hAnsi="Book Antiqua"/>
          <w:b/>
          <w:i/>
          <w:color w:val="000000"/>
          <w:lang w:val="en-US"/>
        </w:rPr>
        <w:t>Research objectives</w:t>
      </w:r>
    </w:p>
    <w:p w:rsidR="00507F2D" w:rsidRPr="003A7660" w:rsidRDefault="00507F2D" w:rsidP="00384F14">
      <w:pPr>
        <w:snapToGrid w:val="0"/>
        <w:spacing w:line="360" w:lineRule="auto"/>
        <w:jc w:val="both"/>
        <w:rPr>
          <w:rFonts w:ascii="Book Antiqua" w:hAnsi="Book Antiqua"/>
          <w:bCs/>
          <w:lang w:val="en-US"/>
        </w:rPr>
      </w:pPr>
      <w:r w:rsidRPr="003A7660">
        <w:rPr>
          <w:rFonts w:ascii="Book Antiqua" w:hAnsi="Book Antiqua"/>
          <w:lang w:val="en-US"/>
        </w:rPr>
        <w:t xml:space="preserve">Our research aimed to analyze the histological response, according to the Rubbia-Brandt TRG, on CRLM surgery performed after </w:t>
      </w:r>
      <w:r w:rsidR="006F78CB" w:rsidRPr="003A7660">
        <w:rPr>
          <w:rFonts w:ascii="Book Antiqua" w:hAnsi="Book Antiqua"/>
          <w:lang w:val="en-US"/>
        </w:rPr>
        <w:t>NAC</w:t>
      </w:r>
      <w:r w:rsidRPr="003A7660">
        <w:rPr>
          <w:rFonts w:ascii="Book Antiqua" w:hAnsi="Book Antiqua"/>
          <w:lang w:val="en-US"/>
        </w:rPr>
        <w:t xml:space="preserve">. It also sought to identify </w:t>
      </w:r>
      <w:r w:rsidRPr="003A7660">
        <w:rPr>
          <w:rFonts w:ascii="Book Antiqua" w:hAnsi="Book Antiqua"/>
          <w:lang w:val="en-US"/>
        </w:rPr>
        <w:lastRenderedPageBreak/>
        <w:t>independent predictive factors of a good response</w:t>
      </w:r>
      <w:r w:rsidR="00B26B8A" w:rsidRPr="003A7660">
        <w:rPr>
          <w:rFonts w:ascii="Book Antiqua" w:hAnsi="Book Antiqua"/>
          <w:lang w:val="en-US"/>
        </w:rPr>
        <w:t>,</w:t>
      </w:r>
      <w:r w:rsidRPr="003A7660">
        <w:rPr>
          <w:rFonts w:ascii="Book Antiqua" w:hAnsi="Book Antiqua"/>
          <w:lang w:val="en-US"/>
        </w:rPr>
        <w:t xml:space="preserve"> and to analyze the influence of this response on overall and disease-free survival.</w:t>
      </w:r>
    </w:p>
    <w:p w:rsidR="006F78CB" w:rsidRPr="003A7660" w:rsidRDefault="006F78CB" w:rsidP="00384F14">
      <w:pPr>
        <w:snapToGrid w:val="0"/>
        <w:spacing w:line="360" w:lineRule="auto"/>
        <w:jc w:val="both"/>
        <w:rPr>
          <w:rFonts w:ascii="Book Antiqua" w:eastAsia="宋体" w:hAnsi="Book Antiqua"/>
          <w:b/>
          <w:color w:val="000000"/>
          <w:lang w:val="en-US" w:eastAsia="zh-CN"/>
        </w:rPr>
      </w:pPr>
    </w:p>
    <w:p w:rsidR="00507F2D" w:rsidRPr="003A7660" w:rsidRDefault="00507F2D" w:rsidP="00384F14">
      <w:pPr>
        <w:snapToGrid w:val="0"/>
        <w:spacing w:line="360" w:lineRule="auto"/>
        <w:jc w:val="both"/>
        <w:rPr>
          <w:rFonts w:ascii="Book Antiqua" w:eastAsia="宋体" w:hAnsi="Book Antiqua"/>
          <w:b/>
          <w:i/>
          <w:color w:val="000000"/>
          <w:lang w:val="en-US" w:eastAsia="zh-CN"/>
        </w:rPr>
      </w:pPr>
      <w:r w:rsidRPr="003A7660">
        <w:rPr>
          <w:rFonts w:ascii="Book Antiqua" w:hAnsi="Book Antiqua"/>
          <w:b/>
          <w:i/>
          <w:color w:val="000000"/>
          <w:lang w:val="en-US"/>
        </w:rPr>
        <w:t>Research methods</w:t>
      </w:r>
    </w:p>
    <w:p w:rsidR="00E23F1F" w:rsidRPr="003A7660" w:rsidRDefault="00E23F1F" w:rsidP="00384F14">
      <w:pPr>
        <w:snapToGrid w:val="0"/>
        <w:spacing w:line="360" w:lineRule="auto"/>
        <w:jc w:val="both"/>
        <w:rPr>
          <w:rFonts w:ascii="Book Antiqua" w:hAnsi="Book Antiqua"/>
          <w:lang w:val="en-US"/>
        </w:rPr>
      </w:pPr>
      <w:r w:rsidRPr="003A7660">
        <w:rPr>
          <w:rFonts w:ascii="Book Antiqua" w:hAnsi="Book Antiqua"/>
          <w:lang w:val="en-US"/>
        </w:rPr>
        <w:t>From January 2006 to December 2013, 150 patients who had undergone surgery for CRLMs after NAC were included. The patients were separated in</w:t>
      </w:r>
      <w:r w:rsidR="00A42D57" w:rsidRPr="003A7660">
        <w:rPr>
          <w:rFonts w:ascii="Book Antiqua" w:hAnsi="Book Antiqua"/>
          <w:lang w:val="en-US"/>
        </w:rPr>
        <w:t>to</w:t>
      </w:r>
      <w:r w:rsidRPr="003A7660">
        <w:rPr>
          <w:rFonts w:ascii="Book Antiqua" w:hAnsi="Book Antiqua"/>
          <w:lang w:val="en-US"/>
        </w:rPr>
        <w:t xml:space="preserve"> two groups based on their histological response</w:t>
      </w:r>
      <w:r w:rsidR="00C2792D" w:rsidRPr="003A7660">
        <w:rPr>
          <w:rFonts w:ascii="Book Antiqua" w:hAnsi="Book Antiqua"/>
          <w:lang w:val="en-US"/>
        </w:rPr>
        <w:t>,</w:t>
      </w:r>
      <w:r w:rsidRPr="003A7660">
        <w:rPr>
          <w:rFonts w:ascii="Book Antiqua" w:hAnsi="Book Antiqua"/>
          <w:lang w:val="en-US"/>
        </w:rPr>
        <w:t xml:space="preserve"> according to Rubbia-Brandt </w:t>
      </w:r>
      <w:r w:rsidR="006F78CB" w:rsidRPr="003A7660">
        <w:rPr>
          <w:rFonts w:ascii="Book Antiqua" w:hAnsi="Book Antiqua"/>
          <w:lang w:val="en-US"/>
        </w:rPr>
        <w:t>TRG</w:t>
      </w:r>
      <w:r w:rsidRPr="003A7660">
        <w:rPr>
          <w:rFonts w:ascii="Book Antiqua" w:hAnsi="Book Antiqua"/>
          <w:lang w:val="en-US"/>
        </w:rPr>
        <w:t>. Based on their TRG, each patient was either assigned to the responder (R) group (TRG 1, 2, and 3) or to the non-responder (NR) group (TRG 4 and 5). All of the histology slides were re-evaluated in a blind manner by the same specialized pathologist.</w:t>
      </w:r>
      <w:r w:rsidRPr="003A7660">
        <w:rPr>
          <w:rFonts w:ascii="Book Antiqua" w:hAnsi="Book Antiqua"/>
          <w:b/>
          <w:bCs/>
          <w:lang w:val="en-US"/>
        </w:rPr>
        <w:t xml:space="preserve"> </w:t>
      </w:r>
      <w:r w:rsidRPr="003A7660">
        <w:rPr>
          <w:rFonts w:ascii="Book Antiqua" w:hAnsi="Book Antiqua"/>
          <w:color w:val="000000"/>
          <w:lang w:val="en-US"/>
        </w:rPr>
        <w:t>Univariate and multivariate analys</w:t>
      </w:r>
      <w:r w:rsidR="00C2792D" w:rsidRPr="003A7660">
        <w:rPr>
          <w:rFonts w:ascii="Book Antiqua" w:hAnsi="Book Antiqua"/>
          <w:color w:val="000000"/>
          <w:lang w:val="en-US"/>
        </w:rPr>
        <w:t>e</w:t>
      </w:r>
      <w:r w:rsidRPr="003A7660">
        <w:rPr>
          <w:rFonts w:ascii="Book Antiqua" w:hAnsi="Book Antiqua"/>
          <w:color w:val="000000"/>
          <w:lang w:val="en-US"/>
        </w:rPr>
        <w:t>s were performed.</w:t>
      </w:r>
    </w:p>
    <w:p w:rsidR="006F78CB" w:rsidRPr="003A7660" w:rsidRDefault="006F78CB" w:rsidP="00384F14">
      <w:pPr>
        <w:snapToGrid w:val="0"/>
        <w:spacing w:line="360" w:lineRule="auto"/>
        <w:jc w:val="both"/>
        <w:rPr>
          <w:rFonts w:ascii="Book Antiqua" w:eastAsia="宋体" w:hAnsi="Book Antiqua"/>
          <w:b/>
          <w:color w:val="000000"/>
          <w:lang w:val="en-US" w:eastAsia="zh-CN"/>
        </w:rPr>
      </w:pPr>
    </w:p>
    <w:p w:rsidR="00507F2D" w:rsidRPr="003A7660" w:rsidRDefault="00507F2D" w:rsidP="00384F14">
      <w:pPr>
        <w:snapToGrid w:val="0"/>
        <w:spacing w:line="360" w:lineRule="auto"/>
        <w:jc w:val="both"/>
        <w:rPr>
          <w:rFonts w:ascii="Book Antiqua" w:eastAsia="宋体" w:hAnsi="Book Antiqua"/>
          <w:b/>
          <w:i/>
          <w:color w:val="000000"/>
          <w:lang w:val="en-US" w:eastAsia="zh-CN"/>
        </w:rPr>
      </w:pPr>
      <w:r w:rsidRPr="003A7660">
        <w:rPr>
          <w:rFonts w:ascii="Book Antiqua" w:hAnsi="Book Antiqua"/>
          <w:b/>
          <w:i/>
          <w:color w:val="000000"/>
          <w:lang w:val="en-US"/>
        </w:rPr>
        <w:t>Research results</w:t>
      </w:r>
    </w:p>
    <w:p w:rsidR="00E23F1F" w:rsidRPr="003A7660" w:rsidRDefault="003F5FDA" w:rsidP="00384F14">
      <w:pPr>
        <w:snapToGrid w:val="0"/>
        <w:spacing w:line="360" w:lineRule="auto"/>
        <w:jc w:val="both"/>
        <w:rPr>
          <w:rFonts w:ascii="Book Antiqua" w:hAnsi="Book Antiqua"/>
          <w:lang w:val="en-US"/>
        </w:rPr>
      </w:pPr>
      <w:r w:rsidRPr="003A7660">
        <w:rPr>
          <w:rFonts w:ascii="Book Antiqua" w:hAnsi="Book Antiqua"/>
          <w:lang w:val="en-US"/>
        </w:rPr>
        <w:t xml:space="preserve">Seventy-four </w:t>
      </w:r>
      <w:r w:rsidR="00E23F1F" w:rsidRPr="003A7660">
        <w:rPr>
          <w:rFonts w:ascii="Book Antiqua" w:hAnsi="Book Antiqua"/>
          <w:lang w:val="en-US"/>
        </w:rPr>
        <w:t xml:space="preserve">patients were classified as responders and 76 as non-responders. The postoperative mortality </w:t>
      </w:r>
      <w:r w:rsidRPr="003A7660">
        <w:rPr>
          <w:rFonts w:ascii="Book Antiqua" w:hAnsi="Book Antiqua"/>
          <w:lang w:val="en-US"/>
        </w:rPr>
        <w:t xml:space="preserve">rate </w:t>
      </w:r>
      <w:r w:rsidR="00E23F1F" w:rsidRPr="003A7660">
        <w:rPr>
          <w:rFonts w:ascii="Book Antiqua" w:hAnsi="Book Antiqua"/>
          <w:lang w:val="en-US"/>
        </w:rPr>
        <w:t>was 0.7%, with a complication rate of 38%.</w:t>
      </w:r>
      <w:r w:rsidR="00E23F1F" w:rsidRPr="003A7660">
        <w:rPr>
          <w:rFonts w:ascii="Book Antiqua" w:hAnsi="Book Antiqua"/>
          <w:b/>
          <w:bCs/>
          <w:lang w:val="en-US"/>
        </w:rPr>
        <w:t xml:space="preserve"> </w:t>
      </w:r>
      <w:r w:rsidR="00DF79FC" w:rsidRPr="003A7660">
        <w:rPr>
          <w:rFonts w:ascii="Book Antiqua" w:hAnsi="Book Antiqua"/>
          <w:lang w:val="en-US"/>
        </w:rPr>
        <w:t>M</w:t>
      </w:r>
      <w:r w:rsidR="00E23F1F" w:rsidRPr="003A7660">
        <w:rPr>
          <w:rFonts w:ascii="Book Antiqua" w:hAnsi="Book Antiqua"/>
          <w:lang w:val="en-US"/>
        </w:rPr>
        <w:t xml:space="preserve">ultivariate analysis identified five predictive factors of histological response. Three were predictive of non-response (NR): </w:t>
      </w:r>
      <w:r w:rsidR="00DF79FC" w:rsidRPr="003A7660">
        <w:rPr>
          <w:rFonts w:ascii="Book Antiqua" w:hAnsi="Book Antiqua"/>
          <w:lang w:val="en-US"/>
        </w:rPr>
        <w:t>m</w:t>
      </w:r>
      <w:r w:rsidR="00E23F1F" w:rsidRPr="003A7660">
        <w:rPr>
          <w:rFonts w:ascii="Book Antiqua" w:hAnsi="Book Antiqua"/>
          <w:lang w:val="en-US"/>
        </w:rPr>
        <w:t xml:space="preserve">ore than </w:t>
      </w:r>
      <w:r w:rsidR="00DF79FC" w:rsidRPr="003A7660">
        <w:rPr>
          <w:rFonts w:ascii="Book Antiqua" w:hAnsi="Book Antiqua"/>
          <w:lang w:val="en-US"/>
        </w:rPr>
        <w:t xml:space="preserve">seven </w:t>
      </w:r>
      <w:r w:rsidR="00E23F1F" w:rsidRPr="003A7660">
        <w:rPr>
          <w:rFonts w:ascii="Book Antiqua" w:hAnsi="Book Antiqua"/>
          <w:lang w:val="en-US"/>
        </w:rPr>
        <w:t>NAC sessions, absence of a radiological response after NAC, and repeat hepatectomy (</w:t>
      </w:r>
      <w:r w:rsidR="006F78CB" w:rsidRPr="003A7660">
        <w:rPr>
          <w:rFonts w:ascii="Book Antiqua" w:hAnsi="Book Antiqua"/>
          <w:i/>
          <w:lang w:val="en-US"/>
        </w:rPr>
        <w:t>P</w:t>
      </w:r>
      <w:r w:rsidR="006F78CB" w:rsidRPr="003A7660">
        <w:rPr>
          <w:rFonts w:ascii="Book Antiqua" w:eastAsia="宋体" w:hAnsi="Book Antiqua"/>
          <w:lang w:val="en-US" w:eastAsia="zh-CN"/>
        </w:rPr>
        <w:t xml:space="preserve"> </w:t>
      </w:r>
      <w:r w:rsidR="00E23F1F" w:rsidRPr="003A7660">
        <w:rPr>
          <w:rFonts w:ascii="Book Antiqua" w:hAnsi="Book Antiqua"/>
          <w:lang w:val="en-US"/>
        </w:rPr>
        <w:t>&lt;</w:t>
      </w:r>
      <w:r w:rsidR="006F78CB" w:rsidRPr="003A7660">
        <w:rPr>
          <w:rFonts w:ascii="Book Antiqua" w:eastAsia="宋体" w:hAnsi="Book Antiqua"/>
          <w:lang w:val="en-US" w:eastAsia="zh-CN"/>
        </w:rPr>
        <w:t xml:space="preserve"> </w:t>
      </w:r>
      <w:r w:rsidR="00E23F1F" w:rsidRPr="003A7660">
        <w:rPr>
          <w:rFonts w:ascii="Book Antiqua" w:hAnsi="Book Antiqua"/>
          <w:lang w:val="en-US"/>
        </w:rPr>
        <w:t>0.005). Two were predictive of a good response (R): rectal origin of the primary tumor and a liver-first strategy (</w:t>
      </w:r>
      <w:r w:rsidR="006F78CB" w:rsidRPr="003A7660">
        <w:rPr>
          <w:rFonts w:ascii="Book Antiqua" w:hAnsi="Book Antiqua"/>
          <w:i/>
          <w:lang w:val="en-US"/>
        </w:rPr>
        <w:t>P</w:t>
      </w:r>
      <w:r w:rsidR="006F78CB" w:rsidRPr="003A7660">
        <w:rPr>
          <w:rFonts w:ascii="Book Antiqua" w:hAnsi="Book Antiqua"/>
          <w:lang w:val="en-US"/>
        </w:rPr>
        <w:t xml:space="preserve"> </w:t>
      </w:r>
      <w:r w:rsidR="00E23F1F" w:rsidRPr="003A7660">
        <w:rPr>
          <w:rFonts w:ascii="Book Antiqua" w:hAnsi="Book Antiqua"/>
          <w:lang w:val="en-US"/>
        </w:rPr>
        <w:t>&lt;</w:t>
      </w:r>
      <w:r w:rsidR="006F78CB" w:rsidRPr="003A7660">
        <w:rPr>
          <w:rFonts w:ascii="Book Antiqua" w:eastAsia="宋体" w:hAnsi="Book Antiqua"/>
          <w:lang w:val="en-US" w:eastAsia="zh-CN"/>
        </w:rPr>
        <w:t xml:space="preserve"> </w:t>
      </w:r>
      <w:r w:rsidR="00E23F1F" w:rsidRPr="003A7660">
        <w:rPr>
          <w:rFonts w:ascii="Book Antiqua" w:hAnsi="Book Antiqua"/>
          <w:lang w:val="en-US"/>
        </w:rPr>
        <w:t>0.005). The o</w:t>
      </w:r>
      <w:r w:rsidR="006F78CB" w:rsidRPr="003A7660">
        <w:rPr>
          <w:rFonts w:ascii="Book Antiqua" w:hAnsi="Book Antiqua"/>
          <w:lang w:val="en-US"/>
        </w:rPr>
        <w:t>verall survival was 57% at 3 yr and 36% at 5 yr</w:t>
      </w:r>
      <w:r w:rsidR="00E23F1F" w:rsidRPr="003A7660">
        <w:rPr>
          <w:rFonts w:ascii="Book Antiqua" w:hAnsi="Book Antiqua"/>
          <w:lang w:val="en-US"/>
        </w:rPr>
        <w:t>. The disease-free survival</w:t>
      </w:r>
      <w:r w:rsidR="00DF79FC" w:rsidRPr="003A7660">
        <w:rPr>
          <w:rFonts w:ascii="Book Antiqua" w:hAnsi="Book Antiqua"/>
          <w:lang w:val="en-US"/>
        </w:rPr>
        <w:t xml:space="preserve"> rates</w:t>
      </w:r>
      <w:r w:rsidR="00E23F1F" w:rsidRPr="003A7660">
        <w:rPr>
          <w:rFonts w:ascii="Book Antiqua" w:hAnsi="Book Antiqua"/>
          <w:lang w:val="en-US"/>
        </w:rPr>
        <w:t xml:space="preserve"> were 14% at </w:t>
      </w:r>
      <w:r w:rsidR="006F78CB" w:rsidRPr="003A7660">
        <w:rPr>
          <w:rFonts w:ascii="Book Antiqua" w:hAnsi="Book Antiqua"/>
          <w:lang w:val="en-US"/>
        </w:rPr>
        <w:t>3 yr and 11% at 5 yr</w:t>
      </w:r>
      <w:r w:rsidR="00E23F1F" w:rsidRPr="003A7660">
        <w:rPr>
          <w:rFonts w:ascii="Book Antiqua" w:hAnsi="Book Antiqua"/>
          <w:lang w:val="en-US"/>
        </w:rPr>
        <w:t xml:space="preserve">. </w:t>
      </w:r>
      <w:r w:rsidR="00DF79FC" w:rsidRPr="003A7660">
        <w:rPr>
          <w:rFonts w:ascii="Book Antiqua" w:hAnsi="Book Antiqua"/>
          <w:lang w:val="en-US"/>
        </w:rPr>
        <w:t>F</w:t>
      </w:r>
      <w:r w:rsidR="00E23F1F" w:rsidRPr="003A7660">
        <w:rPr>
          <w:rFonts w:ascii="Book Antiqua" w:hAnsi="Book Antiqua"/>
          <w:lang w:val="en-US"/>
        </w:rPr>
        <w:t xml:space="preserve">actors contributing to a poor prognosis for the DFS were: </w:t>
      </w:r>
      <w:r w:rsidR="00DF79FC" w:rsidRPr="003A7660">
        <w:rPr>
          <w:rFonts w:ascii="Book Antiqua" w:hAnsi="Book Antiqua"/>
          <w:lang w:val="en-US"/>
        </w:rPr>
        <w:t>n</w:t>
      </w:r>
      <w:r w:rsidR="00E23F1F" w:rsidRPr="003A7660">
        <w:rPr>
          <w:rFonts w:ascii="Book Antiqua" w:hAnsi="Book Antiqua"/>
          <w:lang w:val="en-US"/>
        </w:rPr>
        <w:t xml:space="preserve">o histological response after </w:t>
      </w:r>
      <w:r w:rsidR="006F78CB" w:rsidRPr="003A7660">
        <w:rPr>
          <w:rFonts w:ascii="Book Antiqua" w:hAnsi="Book Antiqua"/>
          <w:lang w:val="en-US"/>
        </w:rPr>
        <w:t>NAC</w:t>
      </w:r>
      <w:r w:rsidR="00E23F1F" w:rsidRPr="003A7660">
        <w:rPr>
          <w:rFonts w:ascii="Book Antiqua" w:hAnsi="Book Antiqua"/>
          <w:lang w:val="en-US"/>
        </w:rPr>
        <w:t xml:space="preserve">, largest metastasis &gt; 3 cm, more than </w:t>
      </w:r>
      <w:r w:rsidR="00DF79FC" w:rsidRPr="003A7660">
        <w:rPr>
          <w:rFonts w:ascii="Book Antiqua" w:hAnsi="Book Antiqua"/>
          <w:lang w:val="en-US"/>
        </w:rPr>
        <w:t>three</w:t>
      </w:r>
      <w:r w:rsidR="00E23F1F" w:rsidRPr="003A7660">
        <w:rPr>
          <w:rFonts w:ascii="Book Antiqua" w:hAnsi="Book Antiqua"/>
          <w:lang w:val="en-US"/>
        </w:rPr>
        <w:t xml:space="preserve"> preoperative metastases, R1 resection, and the use of a targeted therapy with </w:t>
      </w:r>
      <w:r w:rsidR="006F78CB" w:rsidRPr="003A7660">
        <w:rPr>
          <w:rFonts w:ascii="Book Antiqua" w:hAnsi="Book Antiqua"/>
          <w:lang w:val="en-US"/>
        </w:rPr>
        <w:t>NAC</w:t>
      </w:r>
      <w:r w:rsidR="00E23F1F" w:rsidRPr="003A7660">
        <w:rPr>
          <w:rFonts w:ascii="Book Antiqua" w:hAnsi="Book Antiqua"/>
          <w:lang w:val="en-US"/>
        </w:rPr>
        <w:t xml:space="preserve"> (</w:t>
      </w:r>
      <w:r w:rsidR="006F78CB" w:rsidRPr="003A7660">
        <w:rPr>
          <w:rFonts w:ascii="Book Antiqua" w:hAnsi="Book Antiqua"/>
          <w:i/>
          <w:lang w:val="en-US"/>
        </w:rPr>
        <w:t>P</w:t>
      </w:r>
      <w:r w:rsidR="006F78CB" w:rsidRPr="003A7660">
        <w:rPr>
          <w:rFonts w:ascii="Book Antiqua" w:hAnsi="Book Antiqua"/>
          <w:lang w:val="en-US"/>
        </w:rPr>
        <w:t xml:space="preserve"> </w:t>
      </w:r>
      <w:r w:rsidR="00E23F1F" w:rsidRPr="003A7660">
        <w:rPr>
          <w:rFonts w:ascii="Book Antiqua" w:hAnsi="Book Antiqua"/>
          <w:lang w:val="en-US"/>
        </w:rPr>
        <w:t>&lt;</w:t>
      </w:r>
      <w:r w:rsidR="006F78CB" w:rsidRPr="003A7660">
        <w:rPr>
          <w:rFonts w:ascii="Book Antiqua" w:eastAsia="宋体" w:hAnsi="Book Antiqua"/>
          <w:lang w:val="en-US" w:eastAsia="zh-CN"/>
        </w:rPr>
        <w:t xml:space="preserve"> </w:t>
      </w:r>
      <w:r w:rsidR="00E23F1F" w:rsidRPr="003A7660">
        <w:rPr>
          <w:rFonts w:ascii="Book Antiqua" w:hAnsi="Book Antiqua"/>
          <w:lang w:val="en-US"/>
        </w:rPr>
        <w:t>0.005).</w:t>
      </w:r>
    </w:p>
    <w:p w:rsidR="006F78CB" w:rsidRPr="003A7660" w:rsidRDefault="006F78CB" w:rsidP="00384F14">
      <w:pPr>
        <w:snapToGrid w:val="0"/>
        <w:spacing w:line="360" w:lineRule="auto"/>
        <w:jc w:val="both"/>
        <w:rPr>
          <w:rFonts w:ascii="Book Antiqua" w:eastAsia="宋体" w:hAnsi="Book Antiqua"/>
          <w:b/>
          <w:color w:val="000000"/>
          <w:lang w:val="en-US" w:eastAsia="zh-CN"/>
        </w:rPr>
      </w:pPr>
    </w:p>
    <w:p w:rsidR="00507F2D" w:rsidRPr="003A7660" w:rsidRDefault="00507F2D" w:rsidP="00384F14">
      <w:pPr>
        <w:snapToGrid w:val="0"/>
        <w:spacing w:line="360" w:lineRule="auto"/>
        <w:jc w:val="both"/>
        <w:rPr>
          <w:rFonts w:ascii="Book Antiqua" w:eastAsia="宋体" w:hAnsi="Book Antiqua" w:cs="Segoe UI"/>
          <w:b/>
          <w:i/>
          <w:color w:val="333333"/>
          <w:shd w:val="clear" w:color="auto" w:fill="FFFFFF"/>
          <w:lang w:val="en-US" w:eastAsia="zh-CN"/>
        </w:rPr>
      </w:pPr>
      <w:r w:rsidRPr="003A7660">
        <w:rPr>
          <w:rFonts w:ascii="Book Antiqua" w:hAnsi="Book Antiqua"/>
          <w:b/>
          <w:i/>
          <w:color w:val="000000"/>
          <w:lang w:val="en-US"/>
        </w:rPr>
        <w:t>Research conclusions</w:t>
      </w:r>
    </w:p>
    <w:p w:rsidR="00E23F1F" w:rsidRPr="003A7660" w:rsidRDefault="00E23F1F" w:rsidP="00384F14">
      <w:pPr>
        <w:snapToGrid w:val="0"/>
        <w:spacing w:line="360" w:lineRule="auto"/>
        <w:jc w:val="both"/>
        <w:rPr>
          <w:rFonts w:ascii="Book Antiqua" w:hAnsi="Book Antiqua"/>
          <w:bCs/>
          <w:lang w:val="en-US"/>
        </w:rPr>
      </w:pPr>
      <w:r w:rsidRPr="003A7660">
        <w:rPr>
          <w:rFonts w:ascii="Book Antiqua" w:hAnsi="Book Antiqua"/>
          <w:lang w:val="en-US"/>
        </w:rPr>
        <w:t>The histological response of CRLMs after NAC has an influence on survival</w:t>
      </w:r>
      <w:r w:rsidR="006F78CB" w:rsidRPr="003A7660">
        <w:rPr>
          <w:rFonts w:ascii="Book Antiqua" w:eastAsia="宋体" w:hAnsi="Book Antiqua"/>
          <w:lang w:val="en-US" w:eastAsia="zh-CN"/>
        </w:rPr>
        <w:t>,</w:t>
      </w:r>
      <w:r w:rsidRPr="003A7660">
        <w:rPr>
          <w:rFonts w:ascii="Book Antiqua" w:hAnsi="Book Antiqua"/>
          <w:lang w:val="en-US"/>
        </w:rPr>
        <w:t xml:space="preserve"> hence warrant</w:t>
      </w:r>
      <w:r w:rsidR="00801861" w:rsidRPr="003A7660">
        <w:rPr>
          <w:rFonts w:ascii="Book Antiqua" w:hAnsi="Book Antiqua"/>
          <w:lang w:val="en-US"/>
        </w:rPr>
        <w:t>ing</w:t>
      </w:r>
      <w:r w:rsidRPr="003A7660">
        <w:rPr>
          <w:rFonts w:ascii="Book Antiqua" w:hAnsi="Book Antiqua"/>
          <w:lang w:val="en-US"/>
        </w:rPr>
        <w:t xml:space="preserve"> </w:t>
      </w:r>
      <w:r w:rsidR="00E32983" w:rsidRPr="003A7660">
        <w:rPr>
          <w:rFonts w:ascii="Book Antiqua" w:hAnsi="Book Antiqua"/>
          <w:lang w:val="en-US"/>
        </w:rPr>
        <w:t>consideration</w:t>
      </w:r>
      <w:r w:rsidRPr="003A7660">
        <w:rPr>
          <w:rFonts w:ascii="Book Antiqua" w:hAnsi="Book Antiqua"/>
          <w:lang w:val="en-US"/>
        </w:rPr>
        <w:t>. We found, however, that this influence on overall survival was lacking in cases of particularly aggressive disease</w:t>
      </w:r>
      <w:r w:rsidR="00ED23FF" w:rsidRPr="003A7660">
        <w:rPr>
          <w:rFonts w:ascii="Book Antiqua" w:hAnsi="Book Antiqua"/>
          <w:lang w:val="en-US"/>
        </w:rPr>
        <w:t>,</w:t>
      </w:r>
      <w:r w:rsidRPr="003A7660">
        <w:rPr>
          <w:rFonts w:ascii="Book Antiqua" w:hAnsi="Book Antiqua"/>
          <w:lang w:val="en-US"/>
        </w:rPr>
        <w:t xml:space="preserve"> with microscopic vascular invasion </w:t>
      </w:r>
      <w:r w:rsidR="00ED23FF" w:rsidRPr="003A7660">
        <w:rPr>
          <w:rFonts w:ascii="Book Antiqua" w:hAnsi="Book Antiqua"/>
          <w:lang w:val="en-US"/>
        </w:rPr>
        <w:t>upon</w:t>
      </w:r>
      <w:r w:rsidRPr="003A7660">
        <w:rPr>
          <w:rFonts w:ascii="Book Antiqua" w:hAnsi="Book Antiqua"/>
          <w:lang w:val="en-US"/>
        </w:rPr>
        <w:t xml:space="preserve"> histological analysis. </w:t>
      </w:r>
    </w:p>
    <w:p w:rsidR="006F78CB" w:rsidRPr="003A7660" w:rsidRDefault="006F78CB" w:rsidP="00384F14">
      <w:pPr>
        <w:snapToGrid w:val="0"/>
        <w:spacing w:line="360" w:lineRule="auto"/>
        <w:jc w:val="both"/>
        <w:rPr>
          <w:rFonts w:ascii="Book Antiqua" w:eastAsia="宋体" w:hAnsi="Book Antiqua" w:cs="Segoe UI"/>
          <w:b/>
          <w:color w:val="000000"/>
          <w:shd w:val="clear" w:color="auto" w:fill="FFFFFF"/>
          <w:lang w:val="en-US" w:eastAsia="zh-CN"/>
        </w:rPr>
      </w:pPr>
    </w:p>
    <w:p w:rsidR="00507F2D" w:rsidRPr="003A7660" w:rsidRDefault="00507F2D" w:rsidP="00384F14">
      <w:pPr>
        <w:snapToGrid w:val="0"/>
        <w:spacing w:line="360" w:lineRule="auto"/>
        <w:jc w:val="both"/>
        <w:rPr>
          <w:rFonts w:ascii="Book Antiqua" w:eastAsia="宋体" w:hAnsi="Book Antiqua" w:cs="Segoe UI"/>
          <w:b/>
          <w:i/>
          <w:color w:val="000000"/>
          <w:shd w:val="clear" w:color="auto" w:fill="FFFFFF"/>
          <w:lang w:val="en-US" w:eastAsia="zh-CN"/>
        </w:rPr>
      </w:pPr>
      <w:r w:rsidRPr="003A7660">
        <w:rPr>
          <w:rFonts w:ascii="Book Antiqua" w:hAnsi="Book Antiqua" w:cs="Segoe UI"/>
          <w:b/>
          <w:i/>
          <w:color w:val="000000"/>
          <w:shd w:val="clear" w:color="auto" w:fill="FFFFFF"/>
          <w:lang w:val="en-US"/>
        </w:rPr>
        <w:lastRenderedPageBreak/>
        <w:t>Research perspectives</w:t>
      </w:r>
    </w:p>
    <w:p w:rsidR="00507F2D" w:rsidRPr="003A7660" w:rsidRDefault="00D92F8E" w:rsidP="00384F14">
      <w:pPr>
        <w:snapToGrid w:val="0"/>
        <w:spacing w:line="360" w:lineRule="auto"/>
        <w:jc w:val="both"/>
        <w:rPr>
          <w:rFonts w:ascii="Book Antiqua" w:hAnsi="Book Antiqua" w:cs="Segoe UI"/>
          <w:color w:val="000000"/>
          <w:shd w:val="clear" w:color="auto" w:fill="FFFFFF"/>
          <w:lang w:val="en-US"/>
        </w:rPr>
      </w:pPr>
      <w:r w:rsidRPr="003A7660">
        <w:rPr>
          <w:rFonts w:ascii="Book Antiqua" w:hAnsi="Book Antiqua"/>
          <w:lang w:val="en-US"/>
        </w:rPr>
        <w:t xml:space="preserve">Two simple criteria enable the prediction of a histological response after </w:t>
      </w:r>
      <w:r w:rsidR="006F78CB" w:rsidRPr="003A7660">
        <w:rPr>
          <w:rFonts w:ascii="Book Antiqua" w:hAnsi="Book Antiqua"/>
          <w:lang w:val="en-US"/>
        </w:rPr>
        <w:t>NAC</w:t>
      </w:r>
      <w:r w:rsidRPr="003A7660">
        <w:rPr>
          <w:rFonts w:ascii="Book Antiqua" w:hAnsi="Book Antiqua"/>
          <w:lang w:val="en-US"/>
        </w:rPr>
        <w:t xml:space="preserve">: </w:t>
      </w:r>
      <w:r w:rsidR="00ED23FF" w:rsidRPr="003A7660">
        <w:rPr>
          <w:rFonts w:ascii="Book Antiqua" w:hAnsi="Book Antiqua"/>
          <w:lang w:val="en-US"/>
        </w:rPr>
        <w:t>m</w:t>
      </w:r>
      <w:r w:rsidRPr="003A7660">
        <w:rPr>
          <w:rFonts w:ascii="Book Antiqua" w:hAnsi="Book Antiqua"/>
          <w:lang w:val="en-US"/>
        </w:rPr>
        <w:t xml:space="preserve">ore than </w:t>
      </w:r>
      <w:r w:rsidR="00ED23FF" w:rsidRPr="003A7660">
        <w:rPr>
          <w:rFonts w:ascii="Book Antiqua" w:hAnsi="Book Antiqua"/>
          <w:lang w:val="en-US"/>
        </w:rPr>
        <w:t>seven</w:t>
      </w:r>
      <w:r w:rsidRPr="003A7660">
        <w:rPr>
          <w:rFonts w:ascii="Book Antiqua" w:hAnsi="Book Antiqua"/>
          <w:lang w:val="en-US"/>
        </w:rPr>
        <w:t xml:space="preserve"> treatment sessions and absence of a radiological response.</w:t>
      </w:r>
    </w:p>
    <w:p w:rsidR="00507F2D" w:rsidRPr="003A7660" w:rsidRDefault="00507F2D" w:rsidP="00384F14">
      <w:pPr>
        <w:snapToGrid w:val="0"/>
        <w:spacing w:line="360" w:lineRule="auto"/>
        <w:jc w:val="both"/>
        <w:rPr>
          <w:rFonts w:ascii="Book Antiqua" w:eastAsia="宋体" w:hAnsi="Book Antiqua"/>
          <w:lang w:val="en-US" w:eastAsia="zh-CN"/>
        </w:rPr>
      </w:pPr>
    </w:p>
    <w:p w:rsidR="00F74797" w:rsidRPr="003A7660" w:rsidRDefault="009B7FD1" w:rsidP="00384F14">
      <w:pPr>
        <w:snapToGrid w:val="0"/>
        <w:spacing w:line="360" w:lineRule="auto"/>
        <w:jc w:val="both"/>
        <w:rPr>
          <w:rFonts w:ascii="Book Antiqua" w:eastAsia="宋体" w:hAnsi="Book Antiqua"/>
          <w:b/>
          <w:lang w:val="en-US" w:eastAsia="zh-CN"/>
        </w:rPr>
      </w:pPr>
      <w:r w:rsidRPr="003A7660">
        <w:rPr>
          <w:rFonts w:ascii="Book Antiqua" w:hAnsi="Book Antiqua"/>
          <w:b/>
          <w:lang w:val="en-US"/>
        </w:rPr>
        <w:br w:type="page"/>
      </w:r>
      <w:r w:rsidR="00F74797" w:rsidRPr="003A7660">
        <w:rPr>
          <w:rFonts w:ascii="Book Antiqua" w:hAnsi="Book Antiqua"/>
          <w:b/>
          <w:lang w:val="en-US"/>
        </w:rPr>
        <w:lastRenderedPageBreak/>
        <w:t>REFERENCES</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 </w:t>
      </w:r>
      <w:r w:rsidRPr="003A7660">
        <w:rPr>
          <w:rFonts w:ascii="Book Antiqua" w:eastAsia="宋体" w:hAnsi="Book Antiqua"/>
          <w:b/>
          <w:kern w:val="2"/>
          <w:lang w:val="en-US" w:eastAsia="zh-CN"/>
        </w:rPr>
        <w:t>Ferlay J</w:t>
      </w:r>
      <w:r w:rsidRPr="003A7660">
        <w:rPr>
          <w:rFonts w:ascii="Book Antiqua" w:eastAsia="宋体" w:hAnsi="Book Antiqua"/>
          <w:kern w:val="2"/>
          <w:lang w:val="en-US" w:eastAsia="zh-CN"/>
        </w:rPr>
        <w:t xml:space="preserve">, Steliarova-Foucher E, Lortet-Tieulent J, Rosso S, Coebergh JW, Comber H, Forman D, Bray F. Cancer incidence and mortality patterns in Europe: estimates for 40 countries in 2012. </w:t>
      </w:r>
      <w:r w:rsidRPr="003A7660">
        <w:rPr>
          <w:rFonts w:ascii="Book Antiqua" w:eastAsia="宋体" w:hAnsi="Book Antiqua"/>
          <w:i/>
          <w:kern w:val="2"/>
          <w:lang w:val="en-US" w:eastAsia="zh-CN"/>
        </w:rPr>
        <w:t>Eur J Cancer</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49</w:t>
      </w:r>
      <w:r w:rsidRPr="003A7660">
        <w:rPr>
          <w:rFonts w:ascii="Book Antiqua" w:eastAsia="宋体" w:hAnsi="Book Antiqua"/>
          <w:kern w:val="2"/>
          <w:lang w:val="en-US" w:eastAsia="zh-CN"/>
        </w:rPr>
        <w:t>: 1374-1403 [PMID: 23485231 DOI: 10.1016/j.ejca.2012.12.027]</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 </w:t>
      </w:r>
      <w:r w:rsidRPr="003A7660">
        <w:rPr>
          <w:rFonts w:ascii="Book Antiqua" w:eastAsia="宋体" w:hAnsi="Book Antiqua"/>
          <w:b/>
          <w:kern w:val="2"/>
          <w:lang w:val="en-US" w:eastAsia="zh-CN"/>
        </w:rPr>
        <w:t>Manfredi S</w:t>
      </w:r>
      <w:r w:rsidRPr="003A7660">
        <w:rPr>
          <w:rFonts w:ascii="Book Antiqua" w:eastAsia="宋体" w:hAnsi="Book Antiqua"/>
          <w:kern w:val="2"/>
          <w:lang w:val="en-US" w:eastAsia="zh-CN"/>
        </w:rPr>
        <w:t xml:space="preserve">, Lepage C, Hatem C, Coatmeur O, Faivre J, Bouvier AM. Epidemiology and management of liver metastases from colorectal cancer.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2006; </w:t>
      </w:r>
      <w:r w:rsidRPr="003A7660">
        <w:rPr>
          <w:rFonts w:ascii="Book Antiqua" w:eastAsia="宋体" w:hAnsi="Book Antiqua"/>
          <w:b/>
          <w:kern w:val="2"/>
          <w:lang w:val="en-US" w:eastAsia="zh-CN"/>
        </w:rPr>
        <w:t>244</w:t>
      </w:r>
      <w:r w:rsidRPr="003A7660">
        <w:rPr>
          <w:rFonts w:ascii="Book Antiqua" w:eastAsia="宋体" w:hAnsi="Book Antiqua"/>
          <w:kern w:val="2"/>
          <w:lang w:val="en-US" w:eastAsia="zh-CN"/>
        </w:rPr>
        <w:t>: 254-259 [PMID: 16858188 DOI: 10.1097/01.sla.0000217629.94941.cf]</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 </w:t>
      </w:r>
      <w:r w:rsidRPr="003A7660">
        <w:rPr>
          <w:rFonts w:ascii="Book Antiqua" w:eastAsia="宋体" w:hAnsi="Book Antiqua"/>
          <w:b/>
          <w:kern w:val="2"/>
          <w:lang w:val="en-US" w:eastAsia="zh-CN"/>
        </w:rPr>
        <w:t>Binder-Foucard F</w:t>
      </w:r>
      <w:r w:rsidRPr="003A7660">
        <w:rPr>
          <w:rFonts w:ascii="Book Antiqua" w:eastAsia="宋体" w:hAnsi="Book Antiqua"/>
          <w:kern w:val="2"/>
          <w:lang w:val="en-US" w:eastAsia="zh-CN"/>
        </w:rPr>
        <w:t xml:space="preserve">, Bossard N, Delafosse P, Belot A, Woronoff AS, Remontet L; French network of cancer registries (Francim). Cancer incidence and mortality in France over the 1980-2012 period: solid tumors. </w:t>
      </w:r>
      <w:r w:rsidRPr="003A7660">
        <w:rPr>
          <w:rFonts w:ascii="Book Antiqua" w:eastAsia="宋体" w:hAnsi="Book Antiqua"/>
          <w:i/>
          <w:kern w:val="2"/>
          <w:lang w:val="en-US" w:eastAsia="zh-CN"/>
        </w:rPr>
        <w:t>Rev Epidemiol Sante Publique</w:t>
      </w:r>
      <w:r w:rsidRPr="003A7660">
        <w:rPr>
          <w:rFonts w:ascii="Book Antiqua" w:eastAsia="宋体" w:hAnsi="Book Antiqua"/>
          <w:kern w:val="2"/>
          <w:lang w:val="en-US" w:eastAsia="zh-CN"/>
        </w:rPr>
        <w:t xml:space="preserve"> 2014; </w:t>
      </w:r>
      <w:r w:rsidRPr="003A7660">
        <w:rPr>
          <w:rFonts w:ascii="Book Antiqua" w:eastAsia="宋体" w:hAnsi="Book Antiqua"/>
          <w:b/>
          <w:kern w:val="2"/>
          <w:lang w:val="en-US" w:eastAsia="zh-CN"/>
        </w:rPr>
        <w:t>62</w:t>
      </w:r>
      <w:r w:rsidRPr="003A7660">
        <w:rPr>
          <w:rFonts w:ascii="Book Antiqua" w:eastAsia="宋体" w:hAnsi="Book Antiqua"/>
          <w:kern w:val="2"/>
          <w:lang w:val="en-US" w:eastAsia="zh-CN"/>
        </w:rPr>
        <w:t>: 95-108 [PMID: 24613140 DOI: 10.1016/j.respe.2013.11.073]</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 </w:t>
      </w:r>
      <w:r w:rsidRPr="003A7660">
        <w:rPr>
          <w:rFonts w:ascii="Book Antiqua" w:eastAsia="宋体" w:hAnsi="Book Antiqua"/>
          <w:b/>
          <w:kern w:val="2"/>
          <w:lang w:val="en-US" w:eastAsia="zh-CN"/>
        </w:rPr>
        <w:t>Siegel RL</w:t>
      </w:r>
      <w:r w:rsidRPr="003A7660">
        <w:rPr>
          <w:rFonts w:ascii="Book Antiqua" w:eastAsia="宋体" w:hAnsi="Book Antiqua"/>
          <w:kern w:val="2"/>
          <w:lang w:val="en-US" w:eastAsia="zh-CN"/>
        </w:rPr>
        <w:t xml:space="preserve">, Miller KD, Fedewa SA, Ahnen DJ, Meester RGS, Barzi A, Jemal A. Colorectal cancer statistics, 2017. </w:t>
      </w:r>
      <w:r w:rsidRPr="003A7660">
        <w:rPr>
          <w:rFonts w:ascii="Book Antiqua" w:eastAsia="宋体" w:hAnsi="Book Antiqua"/>
          <w:i/>
          <w:kern w:val="2"/>
          <w:lang w:val="en-US" w:eastAsia="zh-CN"/>
        </w:rPr>
        <w:t>CA Cancer J Clin</w:t>
      </w:r>
      <w:r w:rsidRPr="003A7660">
        <w:rPr>
          <w:rFonts w:ascii="Book Antiqua" w:eastAsia="宋体" w:hAnsi="Book Antiqua"/>
          <w:kern w:val="2"/>
          <w:lang w:val="en-US" w:eastAsia="zh-CN"/>
        </w:rPr>
        <w:t xml:space="preserve"> 2017; </w:t>
      </w:r>
      <w:r w:rsidRPr="003A7660">
        <w:rPr>
          <w:rFonts w:ascii="Book Antiqua" w:eastAsia="宋体" w:hAnsi="Book Antiqua"/>
          <w:b/>
          <w:kern w:val="2"/>
          <w:lang w:val="en-US" w:eastAsia="zh-CN"/>
        </w:rPr>
        <w:t>67</w:t>
      </w:r>
      <w:r w:rsidRPr="003A7660">
        <w:rPr>
          <w:rFonts w:ascii="Book Antiqua" w:eastAsia="宋体" w:hAnsi="Book Antiqua"/>
          <w:kern w:val="2"/>
          <w:lang w:val="en-US" w:eastAsia="zh-CN"/>
        </w:rPr>
        <w:t>: 177-193 [PMID: 28248415 DOI: 10.3322/caac.21395]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 </w:t>
      </w:r>
      <w:r w:rsidRPr="003A7660">
        <w:rPr>
          <w:rFonts w:ascii="Book Antiqua" w:eastAsia="宋体" w:hAnsi="Book Antiqua"/>
          <w:b/>
          <w:kern w:val="2"/>
          <w:lang w:val="en-US" w:eastAsia="zh-CN"/>
        </w:rPr>
        <w:t>Arnold M</w:t>
      </w:r>
      <w:r w:rsidRPr="003A7660">
        <w:rPr>
          <w:rFonts w:ascii="Book Antiqua" w:eastAsia="宋体" w:hAnsi="Book Antiqua"/>
          <w:kern w:val="2"/>
          <w:lang w:val="en-US" w:eastAsia="zh-CN"/>
        </w:rPr>
        <w:t xml:space="preserve">, Sierra MS, Laversanne M, Soerjomataram I, Jemal A, Bray F. Global patterns and trends in colorectal cancer incidence and mortality. </w:t>
      </w:r>
      <w:r w:rsidRPr="003A7660">
        <w:rPr>
          <w:rFonts w:ascii="Book Antiqua" w:eastAsia="宋体" w:hAnsi="Book Antiqua"/>
          <w:i/>
          <w:kern w:val="2"/>
          <w:lang w:val="en-US" w:eastAsia="zh-CN"/>
        </w:rPr>
        <w:t>Gut</w:t>
      </w:r>
      <w:r w:rsidRPr="003A7660">
        <w:rPr>
          <w:rFonts w:ascii="Book Antiqua" w:eastAsia="宋体" w:hAnsi="Book Antiqua"/>
          <w:kern w:val="2"/>
          <w:lang w:val="en-US" w:eastAsia="zh-CN"/>
        </w:rPr>
        <w:t xml:space="preserve"> 2017; </w:t>
      </w:r>
      <w:r w:rsidRPr="003A7660">
        <w:rPr>
          <w:rFonts w:ascii="Book Antiqua" w:eastAsia="宋体" w:hAnsi="Book Antiqua"/>
          <w:b/>
          <w:kern w:val="2"/>
          <w:lang w:val="en-US" w:eastAsia="zh-CN"/>
        </w:rPr>
        <w:t>66</w:t>
      </w:r>
      <w:r w:rsidRPr="003A7660">
        <w:rPr>
          <w:rFonts w:ascii="Book Antiqua" w:eastAsia="宋体" w:hAnsi="Book Antiqua"/>
          <w:kern w:val="2"/>
          <w:lang w:val="en-US" w:eastAsia="zh-CN"/>
        </w:rPr>
        <w:t>: 683-691 [PMID: 26818619 DOI: 10.1136/gutjnl-2015-310912]</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 </w:t>
      </w:r>
      <w:r w:rsidRPr="003A7660">
        <w:rPr>
          <w:rFonts w:ascii="Book Antiqua" w:eastAsia="宋体" w:hAnsi="Book Antiqua"/>
          <w:b/>
          <w:kern w:val="2"/>
          <w:lang w:val="en-US" w:eastAsia="zh-CN"/>
        </w:rPr>
        <w:t>Cowppli-Bony A</w:t>
      </w:r>
      <w:r w:rsidRPr="003A7660">
        <w:rPr>
          <w:rFonts w:ascii="Book Antiqua" w:eastAsia="宋体" w:hAnsi="Book Antiqua"/>
          <w:kern w:val="2"/>
          <w:lang w:val="en-US" w:eastAsia="zh-CN"/>
        </w:rPr>
        <w:t xml:space="preserve">, Uhry Z, Remontet L, Voirin N, Guizard AV, Trétarre B, Bouvier AM, Colonna M, Bossard N, Woronoff AS, Grosclaude P; French Network of Cancer Registries (FRANCIM). Survival of solid cancer patients in France, 1989-2013: a population-based study. </w:t>
      </w:r>
      <w:r w:rsidRPr="003A7660">
        <w:rPr>
          <w:rFonts w:ascii="Book Antiqua" w:eastAsia="宋体" w:hAnsi="Book Antiqua"/>
          <w:i/>
          <w:kern w:val="2"/>
          <w:lang w:val="en-US" w:eastAsia="zh-CN"/>
        </w:rPr>
        <w:t>Eur J Cancer Prev</w:t>
      </w:r>
      <w:r w:rsidRPr="003A7660">
        <w:rPr>
          <w:rFonts w:ascii="Book Antiqua" w:eastAsia="宋体" w:hAnsi="Book Antiqua"/>
          <w:kern w:val="2"/>
          <w:lang w:val="en-US" w:eastAsia="zh-CN"/>
        </w:rPr>
        <w:t xml:space="preserve"> 2017; </w:t>
      </w:r>
      <w:r w:rsidRPr="003A7660">
        <w:rPr>
          <w:rFonts w:ascii="Book Antiqua" w:eastAsia="宋体" w:hAnsi="Book Antiqua"/>
          <w:b/>
          <w:kern w:val="2"/>
          <w:lang w:val="en-US" w:eastAsia="zh-CN"/>
        </w:rPr>
        <w:t>26</w:t>
      </w:r>
      <w:r w:rsidRPr="003A7660">
        <w:rPr>
          <w:rFonts w:ascii="Book Antiqua" w:eastAsia="宋体" w:hAnsi="Book Antiqua"/>
          <w:kern w:val="2"/>
          <w:lang w:val="en-US" w:eastAsia="zh-CN"/>
        </w:rPr>
        <w:t>: 461-468 [PMID: 28598889 DOI: 10.1097/CEJ.0000000000000372]</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 </w:t>
      </w:r>
      <w:r w:rsidRPr="003A7660">
        <w:rPr>
          <w:rFonts w:ascii="Book Antiqua" w:eastAsia="宋体" w:hAnsi="Book Antiqua"/>
          <w:b/>
          <w:kern w:val="2"/>
          <w:lang w:val="en-US" w:eastAsia="zh-CN"/>
        </w:rPr>
        <w:t>Ismaili N</w:t>
      </w:r>
      <w:r w:rsidRPr="003A7660">
        <w:rPr>
          <w:rFonts w:ascii="Book Antiqua" w:eastAsia="宋体" w:hAnsi="Book Antiqua"/>
          <w:kern w:val="2"/>
          <w:lang w:val="en-US" w:eastAsia="zh-CN"/>
        </w:rPr>
        <w:t xml:space="preserve">. Treatment of colorectal liver metastases. </w:t>
      </w:r>
      <w:r w:rsidRPr="003A7660">
        <w:rPr>
          <w:rFonts w:ascii="Book Antiqua" w:eastAsia="宋体" w:hAnsi="Book Antiqua"/>
          <w:i/>
          <w:kern w:val="2"/>
          <w:lang w:val="en-US" w:eastAsia="zh-CN"/>
        </w:rPr>
        <w:t>World J Surg Oncol</w:t>
      </w:r>
      <w:r w:rsidRPr="003A7660">
        <w:rPr>
          <w:rFonts w:ascii="Book Antiqua" w:eastAsia="宋体" w:hAnsi="Book Antiqua"/>
          <w:kern w:val="2"/>
          <w:lang w:val="en-US" w:eastAsia="zh-CN"/>
        </w:rPr>
        <w:t xml:space="preserve"> 2011; </w:t>
      </w:r>
      <w:r w:rsidRPr="003A7660">
        <w:rPr>
          <w:rFonts w:ascii="Book Antiqua" w:eastAsia="宋体" w:hAnsi="Book Antiqua"/>
          <w:b/>
          <w:kern w:val="2"/>
          <w:lang w:val="en-US" w:eastAsia="zh-CN"/>
        </w:rPr>
        <w:t>9</w:t>
      </w:r>
      <w:r w:rsidRPr="003A7660">
        <w:rPr>
          <w:rFonts w:ascii="Book Antiqua" w:eastAsia="宋体" w:hAnsi="Book Antiqua"/>
          <w:kern w:val="2"/>
          <w:lang w:val="en-US" w:eastAsia="zh-CN"/>
        </w:rPr>
        <w:t>: 154 [PMID: 22115124 DOI: 10.1186/1477-7819-9-154]</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8 </w:t>
      </w:r>
      <w:r w:rsidRPr="003A7660">
        <w:rPr>
          <w:rFonts w:ascii="Book Antiqua" w:eastAsia="宋体" w:hAnsi="Book Antiqua"/>
          <w:b/>
          <w:kern w:val="2"/>
          <w:lang w:val="en-US" w:eastAsia="zh-CN"/>
        </w:rPr>
        <w:t>Leporrier J</w:t>
      </w:r>
      <w:r w:rsidRPr="003A7660">
        <w:rPr>
          <w:rFonts w:ascii="Book Antiqua" w:eastAsia="宋体" w:hAnsi="Book Antiqua"/>
          <w:kern w:val="2"/>
          <w:lang w:val="en-US" w:eastAsia="zh-CN"/>
        </w:rPr>
        <w:t xml:space="preserve">, Maurel J, Chiche L, Bara S, Segol P, Launoy G. A population-based study of the incidence, management and prognosis of hepatic metastases from colorectal cancer. </w:t>
      </w:r>
      <w:r w:rsidRPr="003A7660">
        <w:rPr>
          <w:rFonts w:ascii="Book Antiqua" w:eastAsia="宋体" w:hAnsi="Book Antiqua"/>
          <w:i/>
          <w:kern w:val="2"/>
          <w:lang w:val="en-US" w:eastAsia="zh-CN"/>
        </w:rPr>
        <w:t>Br J Surg</w:t>
      </w:r>
      <w:r w:rsidRPr="003A7660">
        <w:rPr>
          <w:rFonts w:ascii="Book Antiqua" w:eastAsia="宋体" w:hAnsi="Book Antiqua"/>
          <w:kern w:val="2"/>
          <w:lang w:val="en-US" w:eastAsia="zh-CN"/>
        </w:rPr>
        <w:t xml:space="preserve"> 2006; </w:t>
      </w:r>
      <w:r w:rsidRPr="003A7660">
        <w:rPr>
          <w:rFonts w:ascii="Book Antiqua" w:eastAsia="宋体" w:hAnsi="Book Antiqua"/>
          <w:b/>
          <w:kern w:val="2"/>
          <w:lang w:val="en-US" w:eastAsia="zh-CN"/>
        </w:rPr>
        <w:t>93</w:t>
      </w:r>
      <w:r w:rsidRPr="003A7660">
        <w:rPr>
          <w:rFonts w:ascii="Book Antiqua" w:eastAsia="宋体" w:hAnsi="Book Antiqua"/>
          <w:kern w:val="2"/>
          <w:lang w:val="en-US" w:eastAsia="zh-CN"/>
        </w:rPr>
        <w:t>: 465-474 [PMID: 16523446 DOI: 10.1002/bjs.5278]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9 </w:t>
      </w:r>
      <w:r w:rsidRPr="003A7660">
        <w:rPr>
          <w:rFonts w:ascii="Book Antiqua" w:eastAsia="宋体" w:hAnsi="Book Antiqua"/>
          <w:b/>
          <w:kern w:val="2"/>
          <w:lang w:val="en-US" w:eastAsia="zh-CN"/>
        </w:rPr>
        <w:t>Kelly ME</w:t>
      </w:r>
      <w:r w:rsidRPr="003A7660">
        <w:rPr>
          <w:rFonts w:ascii="Book Antiqua" w:eastAsia="宋体" w:hAnsi="Book Antiqua"/>
          <w:kern w:val="2"/>
          <w:lang w:val="en-US" w:eastAsia="zh-CN"/>
        </w:rPr>
        <w:t xml:space="preserve">, Spolverato G, Lê GN, Mavros MN, Doyle F, Pawlik TM, Winter DC. Synchronous colorectal liver metastasis: a network meta-analysis review comparing classical, combined, and liver-first surgical strategies. </w:t>
      </w:r>
      <w:r w:rsidRPr="003A7660">
        <w:rPr>
          <w:rFonts w:ascii="Book Antiqua" w:eastAsia="宋体" w:hAnsi="Book Antiqua"/>
          <w:i/>
          <w:kern w:val="2"/>
          <w:lang w:val="en-US" w:eastAsia="zh-CN"/>
        </w:rPr>
        <w:t>J Surg Oncol</w:t>
      </w:r>
      <w:r w:rsidRPr="003A7660">
        <w:rPr>
          <w:rFonts w:ascii="Book Antiqua" w:eastAsia="宋体" w:hAnsi="Book Antiqua"/>
          <w:kern w:val="2"/>
          <w:lang w:val="en-US" w:eastAsia="zh-CN"/>
        </w:rPr>
        <w:t xml:space="preserve"> 2015; </w:t>
      </w:r>
      <w:r w:rsidRPr="003A7660">
        <w:rPr>
          <w:rFonts w:ascii="Book Antiqua" w:eastAsia="宋体" w:hAnsi="Book Antiqua"/>
          <w:b/>
          <w:kern w:val="2"/>
          <w:lang w:val="en-US" w:eastAsia="zh-CN"/>
        </w:rPr>
        <w:t>111</w:t>
      </w:r>
      <w:r w:rsidRPr="003A7660">
        <w:rPr>
          <w:rFonts w:ascii="Book Antiqua" w:eastAsia="宋体" w:hAnsi="Book Antiqua"/>
          <w:kern w:val="2"/>
          <w:lang w:val="en-US" w:eastAsia="zh-CN"/>
        </w:rPr>
        <w:t xml:space="preserve">: 341-351 </w:t>
      </w:r>
      <w:r w:rsidRPr="003A7660">
        <w:rPr>
          <w:rFonts w:ascii="Book Antiqua" w:eastAsia="宋体" w:hAnsi="Book Antiqua"/>
          <w:kern w:val="2"/>
          <w:lang w:val="en-US" w:eastAsia="zh-CN"/>
        </w:rPr>
        <w:lastRenderedPageBreak/>
        <w:t>[PMID: 25363294 DOI: 10.1002/jso.23819]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10 </w:t>
      </w:r>
      <w:r w:rsidRPr="003A7660">
        <w:rPr>
          <w:rFonts w:ascii="Book Antiqua" w:eastAsia="宋体" w:hAnsi="Book Antiqua"/>
          <w:b/>
          <w:kern w:val="2"/>
          <w:lang w:val="en-US" w:eastAsia="zh-CN"/>
        </w:rPr>
        <w:t>Mitry E</w:t>
      </w:r>
      <w:r w:rsidRPr="003A7660">
        <w:rPr>
          <w:rFonts w:ascii="Book Antiqua" w:eastAsia="宋体" w:hAnsi="Book Antiqua"/>
          <w:kern w:val="2"/>
          <w:lang w:val="en-US" w:eastAsia="zh-CN"/>
        </w:rPr>
        <w:t xml:space="preserve">, Fields AL, Bleiberg H, Labianca R, Portier G, Tu D, Nitti D, Torri V, Elias D, O'Callaghan C, Langer B, Martignoni G, Bouché O, Lazorthes F, Van Cutsem E, Bedenne L, Moore MJ, Rougier P. Adjuvant chemotherapy after potentially curative resection of metastases from colorectal cancer: a pooled analysis of two randomized trials. </w:t>
      </w:r>
      <w:r w:rsidRPr="003A7660">
        <w:rPr>
          <w:rFonts w:ascii="Book Antiqua" w:eastAsia="宋体" w:hAnsi="Book Antiqua"/>
          <w:i/>
          <w:kern w:val="2"/>
          <w:lang w:val="en-US" w:eastAsia="zh-CN"/>
        </w:rPr>
        <w:t>J Clin Oncol</w:t>
      </w:r>
      <w:r w:rsidRPr="003A7660">
        <w:rPr>
          <w:rFonts w:ascii="Book Antiqua" w:eastAsia="宋体" w:hAnsi="Book Antiqua"/>
          <w:kern w:val="2"/>
          <w:lang w:val="en-US" w:eastAsia="zh-CN"/>
        </w:rPr>
        <w:t xml:space="preserve"> 2008; </w:t>
      </w:r>
      <w:r w:rsidRPr="003A7660">
        <w:rPr>
          <w:rFonts w:ascii="Book Antiqua" w:eastAsia="宋体" w:hAnsi="Book Antiqua"/>
          <w:b/>
          <w:kern w:val="2"/>
          <w:lang w:val="en-US" w:eastAsia="zh-CN"/>
        </w:rPr>
        <w:t>26</w:t>
      </w:r>
      <w:r w:rsidRPr="003A7660">
        <w:rPr>
          <w:rFonts w:ascii="Book Antiqua" w:eastAsia="宋体" w:hAnsi="Book Antiqua"/>
          <w:kern w:val="2"/>
          <w:lang w:val="en-US" w:eastAsia="zh-CN"/>
        </w:rPr>
        <w:t>: 4906-4911 [PMID: 18794541 DOI: 10.1200/JCO.2008.17.3781]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11 </w:t>
      </w:r>
      <w:r w:rsidRPr="003A7660">
        <w:rPr>
          <w:rFonts w:ascii="Book Antiqua" w:eastAsia="宋体" w:hAnsi="Book Antiqua"/>
          <w:b/>
          <w:kern w:val="2"/>
          <w:lang w:val="en-US" w:eastAsia="zh-CN"/>
        </w:rPr>
        <w:t>Choti MA</w:t>
      </w:r>
      <w:r w:rsidRPr="003A7660">
        <w:rPr>
          <w:rFonts w:ascii="Book Antiqua" w:eastAsia="宋体" w:hAnsi="Book Antiqua"/>
          <w:kern w:val="2"/>
          <w:lang w:val="en-US" w:eastAsia="zh-CN"/>
        </w:rPr>
        <w:t xml:space="preserve">, Sitzmann JV, Tiburi MF, Sumetchotimetha W, Rangsin R, Schulick RD, Lillemoe KD, Yeo CJ, Cameron JL. Trends in long-term survival following liver resection for hepatic colorectal metastases.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2002; </w:t>
      </w:r>
      <w:r w:rsidRPr="003A7660">
        <w:rPr>
          <w:rFonts w:ascii="Book Antiqua" w:eastAsia="宋体" w:hAnsi="Book Antiqua"/>
          <w:b/>
          <w:kern w:val="2"/>
          <w:lang w:val="en-US" w:eastAsia="zh-CN"/>
        </w:rPr>
        <w:t>235</w:t>
      </w:r>
      <w:r w:rsidRPr="003A7660">
        <w:rPr>
          <w:rFonts w:ascii="Book Antiqua" w:eastAsia="宋体" w:hAnsi="Book Antiqua"/>
          <w:kern w:val="2"/>
          <w:lang w:val="en-US" w:eastAsia="zh-CN"/>
        </w:rPr>
        <w:t>: 759-766 [PMID: 12035031 DOI: 10.1097/00000658-200206000-00002]</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12 </w:t>
      </w:r>
      <w:r w:rsidRPr="003A7660">
        <w:rPr>
          <w:rFonts w:ascii="Book Antiqua" w:eastAsia="宋体" w:hAnsi="Book Antiqua"/>
          <w:b/>
          <w:kern w:val="2"/>
          <w:lang w:val="en-US" w:eastAsia="zh-CN"/>
        </w:rPr>
        <w:t>van Amerongen MJ</w:t>
      </w:r>
      <w:r w:rsidRPr="003A7660">
        <w:rPr>
          <w:rFonts w:ascii="Book Antiqua" w:eastAsia="宋体" w:hAnsi="Book Antiqua"/>
          <w:kern w:val="2"/>
          <w:lang w:val="en-US" w:eastAsia="zh-CN"/>
        </w:rPr>
        <w:t xml:space="preserve">, van der Stok EP, Fütterer JJ, Jenniskens SF, Moelker A, Grünhagen DJ, Verhoef C, de Wilt JH. Short term and long term results of patients with colorectal liver metastases undergoing surgery with or without radiofrequency ablation. </w:t>
      </w:r>
      <w:r w:rsidRPr="003A7660">
        <w:rPr>
          <w:rFonts w:ascii="Book Antiqua" w:eastAsia="宋体" w:hAnsi="Book Antiqua"/>
          <w:i/>
          <w:kern w:val="2"/>
          <w:lang w:val="en-US" w:eastAsia="zh-CN"/>
        </w:rPr>
        <w:t>Eur J Surg Oncol</w:t>
      </w:r>
      <w:r w:rsidRPr="003A7660">
        <w:rPr>
          <w:rFonts w:ascii="Book Antiqua" w:eastAsia="宋体" w:hAnsi="Book Antiqua"/>
          <w:kern w:val="2"/>
          <w:lang w:val="en-US" w:eastAsia="zh-CN"/>
        </w:rPr>
        <w:t xml:space="preserve"> 2016; </w:t>
      </w:r>
      <w:r w:rsidRPr="003A7660">
        <w:rPr>
          <w:rFonts w:ascii="Book Antiqua" w:eastAsia="宋体" w:hAnsi="Book Antiqua"/>
          <w:b/>
          <w:kern w:val="2"/>
          <w:lang w:val="en-US" w:eastAsia="zh-CN"/>
        </w:rPr>
        <w:t>42</w:t>
      </w:r>
      <w:r w:rsidRPr="003A7660">
        <w:rPr>
          <w:rFonts w:ascii="Book Antiqua" w:eastAsia="宋体" w:hAnsi="Book Antiqua"/>
          <w:kern w:val="2"/>
          <w:lang w:val="en-US" w:eastAsia="zh-CN"/>
        </w:rPr>
        <w:t>: 523-530 [PMID: 26856957 DOI: 10.1016/j.ejso.2016.01.013]</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13 </w:t>
      </w:r>
      <w:r w:rsidRPr="003A7660">
        <w:rPr>
          <w:rFonts w:ascii="Book Antiqua" w:eastAsia="宋体" w:hAnsi="Book Antiqua"/>
          <w:b/>
          <w:kern w:val="2"/>
          <w:lang w:val="en-US" w:eastAsia="zh-CN"/>
        </w:rPr>
        <w:t>Viganò L</w:t>
      </w:r>
      <w:r w:rsidRPr="003A7660">
        <w:rPr>
          <w:rFonts w:ascii="Book Antiqua" w:eastAsia="宋体" w:hAnsi="Book Antiqua"/>
          <w:kern w:val="2"/>
          <w:lang w:val="en-US" w:eastAsia="zh-CN"/>
        </w:rPr>
        <w:t xml:space="preserve">, Capussotti L, De Rosa G, De Saussure WO, Mentha G, Rubbia-Brandt L. Liver resection for colorectal metastases after chemotherapy: impact of chemotherapy-related liver injuries, pathological tumor response, and micrometastases on long-term survival.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258</w:t>
      </w:r>
      <w:r w:rsidRPr="003A7660">
        <w:rPr>
          <w:rFonts w:ascii="Book Antiqua" w:eastAsia="宋体" w:hAnsi="Book Antiqua"/>
          <w:kern w:val="2"/>
          <w:lang w:val="en-US" w:eastAsia="zh-CN"/>
        </w:rPr>
        <w:t>: 731-40; discussion 741-2 [PMID: 24045448 DOI: 10.1097/SLA.0b013e3182a6183e]</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14 </w:t>
      </w:r>
      <w:r w:rsidRPr="003A7660">
        <w:rPr>
          <w:rFonts w:ascii="Book Antiqua" w:eastAsia="宋体" w:hAnsi="Book Antiqua"/>
          <w:b/>
          <w:kern w:val="2"/>
          <w:lang w:val="en-US" w:eastAsia="zh-CN"/>
        </w:rPr>
        <w:t>Gruenberger B</w:t>
      </w:r>
      <w:r w:rsidRPr="003A7660">
        <w:rPr>
          <w:rFonts w:ascii="Book Antiqua" w:eastAsia="宋体" w:hAnsi="Book Antiqua"/>
          <w:kern w:val="2"/>
          <w:lang w:val="en-US" w:eastAsia="zh-CN"/>
        </w:rPr>
        <w:t xml:space="preserve">, Scheithauer W, Punzengruber R, Zielinski C, Tamandl D, Gruenberger T. Importance of response to neoadjuvant chemotherapy in potentially curable colorectal cancer liver metastases. </w:t>
      </w:r>
      <w:r w:rsidRPr="003A7660">
        <w:rPr>
          <w:rFonts w:ascii="Book Antiqua" w:eastAsia="宋体" w:hAnsi="Book Antiqua"/>
          <w:i/>
          <w:kern w:val="2"/>
          <w:lang w:val="en-US" w:eastAsia="zh-CN"/>
        </w:rPr>
        <w:t>BMC Cancer</w:t>
      </w:r>
      <w:r w:rsidRPr="003A7660">
        <w:rPr>
          <w:rFonts w:ascii="Book Antiqua" w:eastAsia="宋体" w:hAnsi="Book Antiqua"/>
          <w:kern w:val="2"/>
          <w:lang w:val="en-US" w:eastAsia="zh-CN"/>
        </w:rPr>
        <w:t xml:space="preserve"> 2008; </w:t>
      </w:r>
      <w:r w:rsidRPr="003A7660">
        <w:rPr>
          <w:rFonts w:ascii="Book Antiqua" w:eastAsia="宋体" w:hAnsi="Book Antiqua"/>
          <w:b/>
          <w:kern w:val="2"/>
          <w:lang w:val="en-US" w:eastAsia="zh-CN"/>
        </w:rPr>
        <w:t>8</w:t>
      </w:r>
      <w:r w:rsidRPr="003A7660">
        <w:rPr>
          <w:rFonts w:ascii="Book Antiqua" w:eastAsia="宋体" w:hAnsi="Book Antiqua"/>
          <w:kern w:val="2"/>
          <w:lang w:val="en-US" w:eastAsia="zh-CN"/>
        </w:rPr>
        <w:t>: 120 [PMID: 18439246 DOI: 10.1186/1471-2407-8-120]</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15 </w:t>
      </w:r>
      <w:r w:rsidRPr="003A7660">
        <w:rPr>
          <w:rFonts w:ascii="Book Antiqua" w:eastAsia="宋体" w:hAnsi="Book Antiqua"/>
          <w:b/>
          <w:kern w:val="2"/>
          <w:lang w:val="en-US" w:eastAsia="zh-CN"/>
        </w:rPr>
        <w:t>Van Cutsem E</w:t>
      </w:r>
      <w:r w:rsidRPr="003A7660">
        <w:rPr>
          <w:rFonts w:ascii="Book Antiqua" w:eastAsia="宋体" w:hAnsi="Book Antiqua"/>
          <w:kern w:val="2"/>
          <w:lang w:val="en-US" w:eastAsia="zh-CN"/>
        </w:rPr>
        <w:t xml:space="preserve">,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t>
      </w:r>
      <w:r w:rsidRPr="003A7660">
        <w:rPr>
          <w:rFonts w:ascii="Book Antiqua" w:eastAsia="宋体" w:hAnsi="Book Antiqua"/>
          <w:kern w:val="2"/>
          <w:lang w:val="en-US" w:eastAsia="zh-CN"/>
        </w:rPr>
        <w:lastRenderedPageBreak/>
        <w:t xml:space="preserve">W, Schmoll HJ, Tabernero J, Taïeb J, Tejpar S, Wasan H, Yoshino T, Zaanan A, Arnold D. ESMO consensus guidelines for the management of patients with metastatic colorectal cancer. </w:t>
      </w:r>
      <w:r w:rsidRPr="003A7660">
        <w:rPr>
          <w:rFonts w:ascii="Book Antiqua" w:eastAsia="宋体" w:hAnsi="Book Antiqua"/>
          <w:i/>
          <w:kern w:val="2"/>
          <w:lang w:val="en-US" w:eastAsia="zh-CN"/>
        </w:rPr>
        <w:t>Ann Oncol</w:t>
      </w:r>
      <w:r w:rsidRPr="003A7660">
        <w:rPr>
          <w:rFonts w:ascii="Book Antiqua" w:eastAsia="宋体" w:hAnsi="Book Antiqua"/>
          <w:kern w:val="2"/>
          <w:lang w:val="en-US" w:eastAsia="zh-CN"/>
        </w:rPr>
        <w:t xml:space="preserve"> 2016; </w:t>
      </w:r>
      <w:r w:rsidRPr="003A7660">
        <w:rPr>
          <w:rFonts w:ascii="Book Antiqua" w:eastAsia="宋体" w:hAnsi="Book Antiqua"/>
          <w:b/>
          <w:kern w:val="2"/>
          <w:lang w:val="en-US" w:eastAsia="zh-CN"/>
        </w:rPr>
        <w:t>27</w:t>
      </w:r>
      <w:r w:rsidRPr="003A7660">
        <w:rPr>
          <w:rFonts w:ascii="Book Antiqua" w:eastAsia="宋体" w:hAnsi="Book Antiqua"/>
          <w:kern w:val="2"/>
          <w:lang w:val="en-US" w:eastAsia="zh-CN"/>
        </w:rPr>
        <w:t>: 1386-1422 [PMID: 27380959 DOI: 10.1093/annonc/mdw235]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16 </w:t>
      </w:r>
      <w:r w:rsidRPr="003A7660">
        <w:rPr>
          <w:rFonts w:ascii="Book Antiqua" w:eastAsia="宋体" w:hAnsi="Book Antiqua"/>
          <w:b/>
          <w:kern w:val="2"/>
          <w:lang w:val="en-US" w:eastAsia="zh-CN"/>
        </w:rPr>
        <w:t>Hebbar M</w:t>
      </w:r>
      <w:r w:rsidRPr="003A7660">
        <w:rPr>
          <w:rFonts w:ascii="Book Antiqua" w:eastAsia="宋体" w:hAnsi="Book Antiqua"/>
          <w:kern w:val="2"/>
          <w:lang w:val="en-US" w:eastAsia="zh-CN"/>
        </w:rPr>
        <w:t xml:space="preserve">, Chibaudel B, André T, Mineur L, Smith D, Louvet C, Dutel JL, Ychou M, Legoux JL, Mabro M, Faroux R, Auby D, Brusquant D, Khalil A, Truant S, Hadengue A, Dalban C, Gayet B, Paye F, Pruvot FR, Bonnetain F, Landi B, Flesch M, Carola E, Martin P, Vaillant E, de Gramont A; Group Coopérateur Multidisciplinaire en Oncologie (GERCOR) Group. FOLFOX4 versus sequential dose-dense FOLFOX7 followed by FOLFIRI in patients with resectable metastatic colorectal cancer (MIROX): a pragmatic approach to chemotherapy timing with perioperative or postoperative chemotherapy from an open-label, randomized phase III trial. </w:t>
      </w:r>
      <w:r w:rsidRPr="003A7660">
        <w:rPr>
          <w:rFonts w:ascii="Book Antiqua" w:eastAsia="宋体" w:hAnsi="Book Antiqua"/>
          <w:i/>
          <w:kern w:val="2"/>
          <w:lang w:val="en-US" w:eastAsia="zh-CN"/>
        </w:rPr>
        <w:t>Ann Oncol</w:t>
      </w:r>
      <w:r w:rsidRPr="003A7660">
        <w:rPr>
          <w:rFonts w:ascii="Book Antiqua" w:eastAsia="宋体" w:hAnsi="Book Antiqua"/>
          <w:kern w:val="2"/>
          <w:lang w:val="en-US" w:eastAsia="zh-CN"/>
        </w:rPr>
        <w:t xml:space="preserve"> 2015; </w:t>
      </w:r>
      <w:r w:rsidRPr="003A7660">
        <w:rPr>
          <w:rFonts w:ascii="Book Antiqua" w:eastAsia="宋体" w:hAnsi="Book Antiqua"/>
          <w:b/>
          <w:kern w:val="2"/>
          <w:lang w:val="en-US" w:eastAsia="zh-CN"/>
        </w:rPr>
        <w:t>26</w:t>
      </w:r>
      <w:r w:rsidRPr="003A7660">
        <w:rPr>
          <w:rFonts w:ascii="Book Antiqua" w:eastAsia="宋体" w:hAnsi="Book Antiqua"/>
          <w:kern w:val="2"/>
          <w:lang w:val="en-US" w:eastAsia="zh-CN"/>
        </w:rPr>
        <w:t>: 340-347 [PMID: 25403578 DOI: 10.1093/annonc/mdu539]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17 </w:t>
      </w:r>
      <w:r w:rsidRPr="003A7660">
        <w:rPr>
          <w:rFonts w:ascii="Book Antiqua" w:eastAsia="宋体" w:hAnsi="Book Antiqua"/>
          <w:b/>
          <w:kern w:val="2"/>
          <w:lang w:val="en-US" w:eastAsia="zh-CN"/>
        </w:rPr>
        <w:t>de Haas RJ</w:t>
      </w:r>
      <w:r w:rsidRPr="003A7660">
        <w:rPr>
          <w:rFonts w:ascii="Book Antiqua" w:eastAsia="宋体" w:hAnsi="Book Antiqua"/>
          <w:kern w:val="2"/>
          <w:lang w:val="en-US" w:eastAsia="zh-CN"/>
        </w:rPr>
        <w:t xml:space="preserve">, Wicherts DA, Andreani P, Pascal G, Saliba F, Ichai P, Adam R, Castaing D, Azoulay D. Impact of expanding criteria for resectability of colorectal metastases on short- and long-term outcomes after hepatic resection.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2011; </w:t>
      </w:r>
      <w:r w:rsidRPr="003A7660">
        <w:rPr>
          <w:rFonts w:ascii="Book Antiqua" w:eastAsia="宋体" w:hAnsi="Book Antiqua"/>
          <w:b/>
          <w:kern w:val="2"/>
          <w:lang w:val="en-US" w:eastAsia="zh-CN"/>
        </w:rPr>
        <w:t>253</w:t>
      </w:r>
      <w:r w:rsidRPr="003A7660">
        <w:rPr>
          <w:rFonts w:ascii="Book Antiqua" w:eastAsia="宋体" w:hAnsi="Book Antiqua"/>
          <w:kern w:val="2"/>
          <w:lang w:val="en-US" w:eastAsia="zh-CN"/>
        </w:rPr>
        <w:t>: 1069-1079 [PMID: 21451388 DOI: 10.1097/SLA.0b013e318217e898]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18 </w:t>
      </w:r>
      <w:r w:rsidRPr="003A7660">
        <w:rPr>
          <w:rFonts w:ascii="Book Antiqua" w:eastAsia="宋体" w:hAnsi="Book Antiqua"/>
          <w:b/>
          <w:kern w:val="2"/>
          <w:lang w:val="en-US" w:eastAsia="zh-CN"/>
        </w:rPr>
        <w:t>Torzilli G</w:t>
      </w:r>
      <w:r w:rsidRPr="003A7660">
        <w:rPr>
          <w:rFonts w:ascii="Book Antiqua" w:eastAsia="宋体" w:hAnsi="Book Antiqua"/>
          <w:kern w:val="2"/>
          <w:lang w:val="en-US" w:eastAsia="zh-CN"/>
        </w:rPr>
        <w:t xml:space="preserve">, Adam R, Viganò L, Imai K, Goransky J, Fontana A, Toso C, Majno P, de Santibañes E. Surgery of Colorectal Liver Metastases: Pushing the Limits. </w:t>
      </w:r>
      <w:r w:rsidRPr="003A7660">
        <w:rPr>
          <w:rFonts w:ascii="Book Antiqua" w:eastAsia="宋体" w:hAnsi="Book Antiqua"/>
          <w:i/>
          <w:kern w:val="2"/>
          <w:lang w:val="en-US" w:eastAsia="zh-CN"/>
        </w:rPr>
        <w:t>Liver Cancer</w:t>
      </w:r>
      <w:r w:rsidRPr="003A7660">
        <w:rPr>
          <w:rFonts w:ascii="Book Antiqua" w:eastAsia="宋体" w:hAnsi="Book Antiqua"/>
          <w:kern w:val="2"/>
          <w:lang w:val="en-US" w:eastAsia="zh-CN"/>
        </w:rPr>
        <w:t xml:space="preserve"> 2016; </w:t>
      </w:r>
      <w:r w:rsidRPr="003A7660">
        <w:rPr>
          <w:rFonts w:ascii="Book Antiqua" w:eastAsia="宋体" w:hAnsi="Book Antiqua"/>
          <w:b/>
          <w:kern w:val="2"/>
          <w:lang w:val="en-US" w:eastAsia="zh-CN"/>
        </w:rPr>
        <w:t>6</w:t>
      </w:r>
      <w:r w:rsidRPr="003A7660">
        <w:rPr>
          <w:rFonts w:ascii="Book Antiqua" w:eastAsia="宋体" w:hAnsi="Book Antiqua"/>
          <w:kern w:val="2"/>
          <w:lang w:val="en-US" w:eastAsia="zh-CN"/>
        </w:rPr>
        <w:t>: 80-89 [PMID: 27995092 DOI: 10.1159/000449495]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19 </w:t>
      </w:r>
      <w:r w:rsidRPr="003A7660">
        <w:rPr>
          <w:rFonts w:ascii="Book Antiqua" w:eastAsia="宋体" w:hAnsi="Book Antiqua"/>
          <w:b/>
          <w:kern w:val="2"/>
          <w:lang w:val="en-US" w:eastAsia="zh-CN"/>
        </w:rPr>
        <w:t>Wang CC</w:t>
      </w:r>
      <w:r w:rsidRPr="003A7660">
        <w:rPr>
          <w:rFonts w:ascii="Book Antiqua" w:eastAsia="宋体" w:hAnsi="Book Antiqua"/>
          <w:kern w:val="2"/>
          <w:lang w:val="en-US" w:eastAsia="zh-CN"/>
        </w:rPr>
        <w:t xml:space="preserve">, Li J. An update on chemotherapy of colorectal liver metastases. </w:t>
      </w:r>
      <w:r w:rsidRPr="003A7660">
        <w:rPr>
          <w:rFonts w:ascii="Book Antiqua" w:eastAsia="宋体" w:hAnsi="Book Antiqua"/>
          <w:i/>
          <w:kern w:val="2"/>
          <w:lang w:val="en-US" w:eastAsia="zh-CN"/>
        </w:rPr>
        <w:t>World J Gastroenterol</w:t>
      </w:r>
      <w:r w:rsidRPr="003A7660">
        <w:rPr>
          <w:rFonts w:ascii="Book Antiqua" w:eastAsia="宋体" w:hAnsi="Book Antiqua"/>
          <w:kern w:val="2"/>
          <w:lang w:val="en-US" w:eastAsia="zh-CN"/>
        </w:rPr>
        <w:t xml:space="preserve"> 2012; </w:t>
      </w:r>
      <w:r w:rsidRPr="003A7660">
        <w:rPr>
          <w:rFonts w:ascii="Book Antiqua" w:eastAsia="宋体" w:hAnsi="Book Antiqua"/>
          <w:b/>
          <w:kern w:val="2"/>
          <w:lang w:val="en-US" w:eastAsia="zh-CN"/>
        </w:rPr>
        <w:t>18</w:t>
      </w:r>
      <w:r w:rsidRPr="003A7660">
        <w:rPr>
          <w:rFonts w:ascii="Book Antiqua" w:eastAsia="宋体" w:hAnsi="Book Antiqua"/>
          <w:kern w:val="2"/>
          <w:lang w:val="en-US" w:eastAsia="zh-CN"/>
        </w:rPr>
        <w:t>: 25-33 [PMID: 22228967 DOI: 10.3748/wjg.v18.i1.25]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20 </w:t>
      </w:r>
      <w:r w:rsidRPr="003A7660">
        <w:rPr>
          <w:rFonts w:ascii="Book Antiqua" w:eastAsia="宋体" w:hAnsi="Book Antiqua"/>
          <w:b/>
          <w:kern w:val="2"/>
          <w:lang w:val="en-US" w:eastAsia="zh-CN"/>
        </w:rPr>
        <w:t>Nordlinger B</w:t>
      </w:r>
      <w:r w:rsidRPr="003A7660">
        <w:rPr>
          <w:rFonts w:ascii="Book Antiqua" w:eastAsia="宋体" w:hAnsi="Book Antiqua"/>
          <w:kern w:val="2"/>
          <w:lang w:val="en-US" w:eastAsia="zh-CN"/>
        </w:rPr>
        <w:t xml:space="preserve">, Sorbye H, Glimelius B, Poston GJ, Schlag PM, Rougier P, Bechstein WO, Primrose JN, Walpole ET, Finch-Jones M, Jaeck D, Mirza D, Parks RW, Collette L, Praet M, Bethe U,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chemotherapy with FOLFOX4 and surgery versus surgery alone for resectable liver metastases from colorectal cancer (EORTC Intergroup trial 40983): a randomised controlled trial. </w:t>
      </w:r>
      <w:r w:rsidRPr="003A7660">
        <w:rPr>
          <w:rFonts w:ascii="Book Antiqua" w:eastAsia="宋体" w:hAnsi="Book Antiqua"/>
          <w:i/>
          <w:kern w:val="2"/>
          <w:lang w:val="en-US" w:eastAsia="zh-CN"/>
        </w:rPr>
        <w:t>Lancet</w:t>
      </w:r>
      <w:r w:rsidRPr="003A7660">
        <w:rPr>
          <w:rFonts w:ascii="Book Antiqua" w:eastAsia="宋体" w:hAnsi="Book Antiqua"/>
          <w:kern w:val="2"/>
          <w:lang w:val="en-US" w:eastAsia="zh-CN"/>
        </w:rPr>
        <w:t xml:space="preserve"> 2008; </w:t>
      </w:r>
      <w:r w:rsidRPr="003A7660">
        <w:rPr>
          <w:rFonts w:ascii="Book Antiqua" w:eastAsia="宋体" w:hAnsi="Book Antiqua"/>
          <w:b/>
          <w:kern w:val="2"/>
          <w:lang w:val="en-US" w:eastAsia="zh-CN"/>
        </w:rPr>
        <w:t>371</w:t>
      </w:r>
      <w:r w:rsidRPr="003A7660">
        <w:rPr>
          <w:rFonts w:ascii="Book Antiqua" w:eastAsia="宋体" w:hAnsi="Book Antiqua"/>
          <w:kern w:val="2"/>
          <w:lang w:val="en-US" w:eastAsia="zh-CN"/>
        </w:rPr>
        <w:t>: 1007-</w:t>
      </w:r>
      <w:r w:rsidRPr="003A7660">
        <w:rPr>
          <w:rFonts w:ascii="Book Antiqua" w:eastAsia="宋体" w:hAnsi="Book Antiqua"/>
          <w:kern w:val="2"/>
          <w:lang w:val="en-US" w:eastAsia="zh-CN"/>
        </w:rPr>
        <w:lastRenderedPageBreak/>
        <w:t>1016 [PMID: 18358928 DOI: 10.1016/S0140-6736(08)60455-9]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21 </w:t>
      </w:r>
      <w:r w:rsidRPr="003A7660">
        <w:rPr>
          <w:rFonts w:ascii="Book Antiqua" w:eastAsia="宋体" w:hAnsi="Book Antiqua"/>
          <w:b/>
          <w:kern w:val="2"/>
          <w:lang w:val="en-US" w:eastAsia="zh-CN"/>
        </w:rPr>
        <w:t>Nordlinger B</w:t>
      </w:r>
      <w:r w:rsidRPr="003A7660">
        <w:rPr>
          <w:rFonts w:ascii="Book Antiqua" w:eastAsia="宋体" w:hAnsi="Book Antiqua"/>
          <w:kern w:val="2"/>
          <w:lang w:val="en-US" w:eastAsia="zh-CN"/>
        </w:rPr>
        <w:t xml:space="preserve">, Sorbye H, Glimelius B, Poston GJ, Schlag PM, Rougier P, Bechstein WO, Primrose JN, Walpole ET, Finch-Jones M, Jaeck D, Mirza D, Parks RW, Mauer M, Tanis E,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FOLFOX4 chemotherapy and surgery versus surgery alone for resectable liver metastases from colorectal cancer (EORTC 40983): long-term results of a randomised, controlled, phase 3 trial. </w:t>
      </w:r>
      <w:r w:rsidRPr="003A7660">
        <w:rPr>
          <w:rFonts w:ascii="Book Antiqua" w:eastAsia="宋体" w:hAnsi="Book Antiqua"/>
          <w:i/>
          <w:kern w:val="2"/>
          <w:lang w:val="en-US" w:eastAsia="zh-CN"/>
        </w:rPr>
        <w:t>Lancet Oncol</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14</w:t>
      </w:r>
      <w:r w:rsidRPr="003A7660">
        <w:rPr>
          <w:rFonts w:ascii="Book Antiqua" w:eastAsia="宋体" w:hAnsi="Book Antiqua"/>
          <w:kern w:val="2"/>
          <w:lang w:val="en-US" w:eastAsia="zh-CN"/>
        </w:rPr>
        <w:t>: 1208-1215 [PMID: 24120480 DOI: 10.1016/S1470-2045(13)70447-9]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22 </w:t>
      </w:r>
      <w:r w:rsidRPr="003A7660">
        <w:rPr>
          <w:rFonts w:ascii="Book Antiqua" w:eastAsia="宋体" w:hAnsi="Book Antiqua"/>
          <w:b/>
          <w:kern w:val="2"/>
          <w:lang w:val="en-US" w:eastAsia="zh-CN"/>
        </w:rPr>
        <w:t>Therasse P</w:t>
      </w:r>
      <w:r w:rsidRPr="003A7660">
        <w:rPr>
          <w:rFonts w:ascii="Book Antiqua" w:eastAsia="宋体" w:hAnsi="Book Antiqua"/>
          <w:kern w:val="2"/>
          <w:lang w:val="en-US" w:eastAsia="zh-CN"/>
        </w:rPr>
        <w:t xml:space="preserve">, Arbuck SG, Eisenhauer EA, Wanders J, Kaplan RS, Rubinstein L, Verweij J, Van Glabbeke M, van Oosterom AT, Christian MC, Gwyther SG. New guidelines to evaluate the response to treatment in solid tumors. European Organization for Research and Treatment of Cancer, National Cancer Institute of the United States, National Cancer Institute of Canada. </w:t>
      </w:r>
      <w:r w:rsidRPr="003A7660">
        <w:rPr>
          <w:rFonts w:ascii="Book Antiqua" w:eastAsia="宋体" w:hAnsi="Book Antiqua"/>
          <w:i/>
          <w:kern w:val="2"/>
          <w:lang w:val="en-US" w:eastAsia="zh-CN"/>
        </w:rPr>
        <w:t>J Natl Cancer Inst</w:t>
      </w:r>
      <w:r w:rsidRPr="003A7660">
        <w:rPr>
          <w:rFonts w:ascii="Book Antiqua" w:eastAsia="宋体" w:hAnsi="Book Antiqua"/>
          <w:kern w:val="2"/>
          <w:lang w:val="en-US" w:eastAsia="zh-CN"/>
        </w:rPr>
        <w:t xml:space="preserve"> 2000; </w:t>
      </w:r>
      <w:r w:rsidRPr="003A7660">
        <w:rPr>
          <w:rFonts w:ascii="Book Antiqua" w:eastAsia="宋体" w:hAnsi="Book Antiqua"/>
          <w:b/>
          <w:kern w:val="2"/>
          <w:lang w:val="en-US" w:eastAsia="zh-CN"/>
        </w:rPr>
        <w:t>92</w:t>
      </w:r>
      <w:r w:rsidRPr="003A7660">
        <w:rPr>
          <w:rFonts w:ascii="Book Antiqua" w:eastAsia="宋体" w:hAnsi="Book Antiqua"/>
          <w:kern w:val="2"/>
          <w:lang w:val="en-US" w:eastAsia="zh-CN"/>
        </w:rPr>
        <w:t>: 205-216 [PMID: 10655437 DOI: 10.1093/jnci/92.3.205]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23 </w:t>
      </w:r>
      <w:r w:rsidRPr="003A7660">
        <w:rPr>
          <w:rFonts w:ascii="Book Antiqua" w:eastAsia="宋体" w:hAnsi="Book Antiqua"/>
          <w:b/>
          <w:kern w:val="2"/>
          <w:lang w:val="en-US" w:eastAsia="zh-CN"/>
        </w:rPr>
        <w:t>Jang HJ</w:t>
      </w:r>
      <w:r w:rsidRPr="003A7660">
        <w:rPr>
          <w:rFonts w:ascii="Book Antiqua" w:eastAsia="宋体" w:hAnsi="Book Antiqua"/>
          <w:kern w:val="2"/>
          <w:lang w:val="en-US" w:eastAsia="zh-CN"/>
        </w:rPr>
        <w:t xml:space="preserve">, Kim BC, Kim HS, Kim JH, Song HH, Kim JB, Park JJ, Yoon SN, Woo JY, Zang DY. Comparison of RECIST 1.0 and RECIST 1.1 on computed tomography in patients with metastatic colorectal cancer. </w:t>
      </w:r>
      <w:r w:rsidRPr="003A7660">
        <w:rPr>
          <w:rFonts w:ascii="Book Antiqua" w:eastAsia="宋体" w:hAnsi="Book Antiqua"/>
          <w:i/>
          <w:kern w:val="2"/>
          <w:lang w:val="en-US" w:eastAsia="zh-CN"/>
        </w:rPr>
        <w:t>Oncology</w:t>
      </w:r>
      <w:r w:rsidRPr="003A7660">
        <w:rPr>
          <w:rFonts w:ascii="Book Antiqua" w:eastAsia="宋体" w:hAnsi="Book Antiqua"/>
          <w:kern w:val="2"/>
          <w:lang w:val="en-US" w:eastAsia="zh-CN"/>
        </w:rPr>
        <w:t xml:space="preserve"> 2014; </w:t>
      </w:r>
      <w:r w:rsidRPr="003A7660">
        <w:rPr>
          <w:rFonts w:ascii="Book Antiqua" w:eastAsia="宋体" w:hAnsi="Book Antiqua"/>
          <w:b/>
          <w:kern w:val="2"/>
          <w:lang w:val="en-US" w:eastAsia="zh-CN"/>
        </w:rPr>
        <w:t>86</w:t>
      </w:r>
      <w:r w:rsidRPr="003A7660">
        <w:rPr>
          <w:rFonts w:ascii="Book Antiqua" w:eastAsia="宋体" w:hAnsi="Book Antiqua"/>
          <w:kern w:val="2"/>
          <w:lang w:val="en-US" w:eastAsia="zh-CN"/>
        </w:rPr>
        <w:t>: 117-121 [PMID: 24480800 DOI: 10.1159/000357714]</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24 </w:t>
      </w:r>
      <w:r w:rsidRPr="003A7660">
        <w:rPr>
          <w:rFonts w:ascii="Book Antiqua" w:eastAsia="宋体" w:hAnsi="Book Antiqua"/>
          <w:b/>
          <w:kern w:val="2"/>
          <w:lang w:val="en-US" w:eastAsia="zh-CN"/>
        </w:rPr>
        <w:t>Boonsirikamchai P</w:t>
      </w:r>
      <w:r w:rsidRPr="003A7660">
        <w:rPr>
          <w:rFonts w:ascii="Book Antiqua" w:eastAsia="宋体" w:hAnsi="Book Antiqua"/>
          <w:kern w:val="2"/>
          <w:lang w:val="en-US" w:eastAsia="zh-CN"/>
        </w:rPr>
        <w:t xml:space="preserve">, Asran MA, Maru DM, Vauthey JN, Kaur H, Kopetz S, Loyer EM. CT findings of response and recurrence, independent of change in tumor size, in colorectal liver metastasis treated with bevacizumab. </w:t>
      </w:r>
      <w:r w:rsidRPr="003A7660">
        <w:rPr>
          <w:rFonts w:ascii="Book Antiqua" w:eastAsia="宋体" w:hAnsi="Book Antiqua"/>
          <w:i/>
          <w:kern w:val="2"/>
          <w:lang w:val="en-US" w:eastAsia="zh-CN"/>
        </w:rPr>
        <w:t>AJR Am J Roentgenol</w:t>
      </w:r>
      <w:r w:rsidRPr="003A7660">
        <w:rPr>
          <w:rFonts w:ascii="Book Antiqua" w:eastAsia="宋体" w:hAnsi="Book Antiqua"/>
          <w:kern w:val="2"/>
          <w:lang w:val="en-US" w:eastAsia="zh-CN"/>
        </w:rPr>
        <w:t xml:space="preserve"> 2011; </w:t>
      </w:r>
      <w:r w:rsidRPr="003A7660">
        <w:rPr>
          <w:rFonts w:ascii="Book Antiqua" w:eastAsia="宋体" w:hAnsi="Book Antiqua"/>
          <w:b/>
          <w:kern w:val="2"/>
          <w:lang w:val="en-US" w:eastAsia="zh-CN"/>
        </w:rPr>
        <w:t>197</w:t>
      </w:r>
      <w:r w:rsidRPr="003A7660">
        <w:rPr>
          <w:rFonts w:ascii="Book Antiqua" w:eastAsia="宋体" w:hAnsi="Book Antiqua"/>
          <w:kern w:val="2"/>
          <w:lang w:val="en-US" w:eastAsia="zh-CN"/>
        </w:rPr>
        <w:t>: W1060-W1066 [PMID: 22109320 DOI: 10.2214/AJR.11.6459]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25 </w:t>
      </w:r>
      <w:r w:rsidRPr="003A7660">
        <w:rPr>
          <w:rFonts w:ascii="Book Antiqua" w:eastAsia="宋体" w:hAnsi="Book Antiqua"/>
          <w:b/>
          <w:kern w:val="2"/>
          <w:lang w:val="en-US" w:eastAsia="zh-CN"/>
        </w:rPr>
        <w:t>Chung WS</w:t>
      </w:r>
      <w:r w:rsidRPr="003A7660">
        <w:rPr>
          <w:rFonts w:ascii="Book Antiqua" w:eastAsia="宋体" w:hAnsi="Book Antiqua"/>
          <w:kern w:val="2"/>
          <w:lang w:val="en-US" w:eastAsia="zh-CN"/>
        </w:rPr>
        <w:t xml:space="preserve">, Park MS, Shin SJ, Baek SE, Kim YE, Choi JY, Kim MJ. Response evaluation in patients with colorectal liver metastases: RECIST version 1.1 versus modified CT criteria. </w:t>
      </w:r>
      <w:r w:rsidRPr="003A7660">
        <w:rPr>
          <w:rFonts w:ascii="Book Antiqua" w:eastAsia="宋体" w:hAnsi="Book Antiqua"/>
          <w:i/>
          <w:kern w:val="2"/>
          <w:lang w:val="en-US" w:eastAsia="zh-CN"/>
        </w:rPr>
        <w:t>AJR Am J Roentgenol</w:t>
      </w:r>
      <w:r w:rsidRPr="003A7660">
        <w:rPr>
          <w:rFonts w:ascii="Book Antiqua" w:eastAsia="宋体" w:hAnsi="Book Antiqua"/>
          <w:kern w:val="2"/>
          <w:lang w:val="en-US" w:eastAsia="zh-CN"/>
        </w:rPr>
        <w:t xml:space="preserve"> 2012; </w:t>
      </w:r>
      <w:r w:rsidRPr="003A7660">
        <w:rPr>
          <w:rFonts w:ascii="Book Antiqua" w:eastAsia="宋体" w:hAnsi="Book Antiqua"/>
          <w:b/>
          <w:kern w:val="2"/>
          <w:lang w:val="en-US" w:eastAsia="zh-CN"/>
        </w:rPr>
        <w:t>199</w:t>
      </w:r>
      <w:r w:rsidRPr="003A7660">
        <w:rPr>
          <w:rFonts w:ascii="Book Antiqua" w:eastAsia="宋体" w:hAnsi="Book Antiqua"/>
          <w:kern w:val="2"/>
          <w:lang w:val="en-US" w:eastAsia="zh-CN"/>
        </w:rPr>
        <w:t>: 809-815 [PMID: 22997372 DOI: 10.2214/AJR.11.7910]</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26 </w:t>
      </w:r>
      <w:r w:rsidRPr="003A7660">
        <w:rPr>
          <w:rFonts w:ascii="Book Antiqua" w:eastAsia="宋体" w:hAnsi="Book Antiqua"/>
          <w:b/>
          <w:kern w:val="2"/>
          <w:lang w:val="en-US" w:eastAsia="zh-CN"/>
        </w:rPr>
        <w:t>Eisenhauer EA</w:t>
      </w:r>
      <w:r w:rsidRPr="003A7660">
        <w:rPr>
          <w:rFonts w:ascii="Book Antiqua" w:eastAsia="宋体" w:hAnsi="Book Antiqua"/>
          <w:kern w:val="2"/>
          <w:lang w:val="en-US" w:eastAsia="zh-CN"/>
        </w:rPr>
        <w:t xml:space="preserve">, Therasse P, Bogaerts J, Schwartz LH, Sargent D, Ford R, Dancey J, Arbuck S, Gwyther S, Mooney M, Rubinstein L, Shankar L, Dodd L, Kaplan R, </w:t>
      </w:r>
      <w:r w:rsidRPr="003A7660">
        <w:rPr>
          <w:rFonts w:ascii="Book Antiqua" w:eastAsia="宋体" w:hAnsi="Book Antiqua"/>
          <w:kern w:val="2"/>
          <w:lang w:val="en-US" w:eastAsia="zh-CN"/>
        </w:rPr>
        <w:lastRenderedPageBreak/>
        <w:t xml:space="preserve">Lacombe D, Verweij J. New response evaluation criteria in solid tumours: revised RECIST guideline (version 1.1). </w:t>
      </w:r>
      <w:r w:rsidRPr="003A7660">
        <w:rPr>
          <w:rFonts w:ascii="Book Antiqua" w:eastAsia="宋体" w:hAnsi="Book Antiqua"/>
          <w:i/>
          <w:kern w:val="2"/>
          <w:lang w:val="en-US" w:eastAsia="zh-CN"/>
        </w:rPr>
        <w:t>Eur J Cancer</w:t>
      </w:r>
      <w:r w:rsidRPr="003A7660">
        <w:rPr>
          <w:rFonts w:ascii="Book Antiqua" w:eastAsia="宋体" w:hAnsi="Book Antiqua"/>
          <w:kern w:val="2"/>
          <w:lang w:val="en-US" w:eastAsia="zh-CN"/>
        </w:rPr>
        <w:t xml:space="preserve"> 2009; </w:t>
      </w:r>
      <w:r w:rsidRPr="003A7660">
        <w:rPr>
          <w:rFonts w:ascii="Book Antiqua" w:eastAsia="宋体" w:hAnsi="Book Antiqua"/>
          <w:b/>
          <w:kern w:val="2"/>
          <w:lang w:val="en-US" w:eastAsia="zh-CN"/>
        </w:rPr>
        <w:t>45</w:t>
      </w:r>
      <w:r w:rsidRPr="003A7660">
        <w:rPr>
          <w:rFonts w:ascii="Book Antiqua" w:eastAsia="宋体" w:hAnsi="Book Antiqua"/>
          <w:kern w:val="2"/>
          <w:lang w:val="en-US" w:eastAsia="zh-CN"/>
        </w:rPr>
        <w:t>: 228-247 [PMID: 19097774 DOI: 10.1016/j.ejca.2008.10.026]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27 </w:t>
      </w:r>
      <w:r w:rsidRPr="003A7660">
        <w:rPr>
          <w:rFonts w:ascii="Book Antiqua" w:eastAsia="宋体" w:hAnsi="Book Antiqua"/>
          <w:b/>
          <w:kern w:val="2"/>
          <w:lang w:val="en-US" w:eastAsia="zh-CN"/>
        </w:rPr>
        <w:t>Shindoh J</w:t>
      </w:r>
      <w:r w:rsidRPr="003A7660">
        <w:rPr>
          <w:rFonts w:ascii="Book Antiqua" w:eastAsia="宋体" w:hAnsi="Book Antiqua"/>
          <w:kern w:val="2"/>
          <w:lang w:val="en-US" w:eastAsia="zh-CN"/>
        </w:rPr>
        <w:t xml:space="preserve">, Loyer EM, Kopetz S, Boonsirikamchai P, Maru DM, Chun YS, Zimmitti G, Curley SA, Charnsangavej C, Aloia TA, Vauthey JN. Optimal morphologic response to preoperative chemotherapy: an alternate outcome end point before resection of hepatic colorectal metastases. </w:t>
      </w:r>
      <w:r w:rsidRPr="003A7660">
        <w:rPr>
          <w:rFonts w:ascii="Book Antiqua" w:eastAsia="宋体" w:hAnsi="Book Antiqua"/>
          <w:i/>
          <w:kern w:val="2"/>
          <w:lang w:val="en-US" w:eastAsia="zh-CN"/>
        </w:rPr>
        <w:t>J Clin Oncol</w:t>
      </w:r>
      <w:r w:rsidRPr="003A7660">
        <w:rPr>
          <w:rFonts w:ascii="Book Antiqua" w:eastAsia="宋体" w:hAnsi="Book Antiqua"/>
          <w:kern w:val="2"/>
          <w:lang w:val="en-US" w:eastAsia="zh-CN"/>
        </w:rPr>
        <w:t xml:space="preserve"> 2012; </w:t>
      </w:r>
      <w:r w:rsidRPr="003A7660">
        <w:rPr>
          <w:rFonts w:ascii="Book Antiqua" w:eastAsia="宋体" w:hAnsi="Book Antiqua"/>
          <w:b/>
          <w:kern w:val="2"/>
          <w:lang w:val="en-US" w:eastAsia="zh-CN"/>
        </w:rPr>
        <w:t>30</w:t>
      </w:r>
      <w:r w:rsidRPr="003A7660">
        <w:rPr>
          <w:rFonts w:ascii="Book Antiqua" w:eastAsia="宋体" w:hAnsi="Book Antiqua"/>
          <w:kern w:val="2"/>
          <w:lang w:val="en-US" w:eastAsia="zh-CN"/>
        </w:rPr>
        <w:t>: 4566-4572 [PMID: 23150701 DOI: 10.1200/JCO.2012.45.2854]</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28 </w:t>
      </w:r>
      <w:r w:rsidRPr="003A7660">
        <w:rPr>
          <w:rFonts w:ascii="Book Antiqua" w:eastAsia="宋体" w:hAnsi="Book Antiqua"/>
          <w:b/>
          <w:kern w:val="2"/>
          <w:lang w:val="en-US" w:eastAsia="zh-CN"/>
        </w:rPr>
        <w:t>Suzuki K</w:t>
      </w:r>
      <w:r w:rsidRPr="003A7660">
        <w:rPr>
          <w:rFonts w:ascii="Book Antiqua" w:eastAsia="宋体" w:hAnsi="Book Antiqua"/>
          <w:kern w:val="2"/>
          <w:lang w:val="en-US" w:eastAsia="zh-CN"/>
        </w:rPr>
        <w:t xml:space="preserve">, Muto Y, Ichida K, Fukui T, Takayama Y, Kakizawa N, Kato T, Hasegawa F, Watanabe F, Kaneda Y, Kikukawa R, Saito M, Tsujinaka S, Futsuhara K, Takata O, Noda H, Miyakura Y, Kiyozaki H, Konishi F, Rikiyama T. Morphological response contributes to patient selection for rescue liver resection in chemotherapy patients with initially un-resectable colorectal liver metastasis. </w:t>
      </w:r>
      <w:r w:rsidRPr="003A7660">
        <w:rPr>
          <w:rFonts w:ascii="Book Antiqua" w:eastAsia="宋体" w:hAnsi="Book Antiqua"/>
          <w:i/>
          <w:kern w:val="2"/>
          <w:lang w:val="en-US" w:eastAsia="zh-CN"/>
        </w:rPr>
        <w:t>Oncol Lett</w:t>
      </w:r>
      <w:r w:rsidRPr="003A7660">
        <w:rPr>
          <w:rFonts w:ascii="Book Antiqua" w:eastAsia="宋体" w:hAnsi="Book Antiqua"/>
          <w:kern w:val="2"/>
          <w:lang w:val="en-US" w:eastAsia="zh-CN"/>
        </w:rPr>
        <w:t xml:space="preserve"> 2017; </w:t>
      </w:r>
      <w:r w:rsidRPr="003A7660">
        <w:rPr>
          <w:rFonts w:ascii="Book Antiqua" w:eastAsia="宋体" w:hAnsi="Book Antiqua"/>
          <w:b/>
          <w:kern w:val="2"/>
          <w:lang w:val="en-US" w:eastAsia="zh-CN"/>
        </w:rPr>
        <w:t>14</w:t>
      </w:r>
      <w:r w:rsidRPr="003A7660">
        <w:rPr>
          <w:rFonts w:ascii="Book Antiqua" w:eastAsia="宋体" w:hAnsi="Book Antiqua"/>
          <w:kern w:val="2"/>
          <w:lang w:val="en-US" w:eastAsia="zh-CN"/>
        </w:rPr>
        <w:t>: 1491-1499 [PMID: 28789370 DOI: 10.3892/ol.2017.6338]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29 </w:t>
      </w:r>
      <w:r w:rsidRPr="003A7660">
        <w:rPr>
          <w:rFonts w:ascii="Book Antiqua" w:eastAsia="宋体" w:hAnsi="Book Antiqua"/>
          <w:b/>
          <w:kern w:val="2"/>
          <w:lang w:val="en-US" w:eastAsia="zh-CN"/>
        </w:rPr>
        <w:t>Adam R</w:t>
      </w:r>
      <w:r w:rsidRPr="003A7660">
        <w:rPr>
          <w:rFonts w:ascii="Book Antiqua" w:eastAsia="宋体" w:hAnsi="Book Antiqua"/>
          <w:kern w:val="2"/>
          <w:lang w:val="en-US" w:eastAsia="zh-CN"/>
        </w:rPr>
        <w:t xml:space="preserve">, Aloia T, Lévi F, Wicherts DA, de Haas RJ, Paule B, Bralet MP, Bouchahda M, Machover D, Ducreux M, Castagne V, Azoulay D, Castaing D. Hepatic resection after rescue cetuximab treatment for colorectal liver metastases previously refractory to conventional systemic therapy. </w:t>
      </w:r>
      <w:r w:rsidRPr="003A7660">
        <w:rPr>
          <w:rFonts w:ascii="Book Antiqua" w:eastAsia="宋体" w:hAnsi="Book Antiqua"/>
          <w:i/>
          <w:kern w:val="2"/>
          <w:lang w:val="en-US" w:eastAsia="zh-CN"/>
        </w:rPr>
        <w:t>J Clin Oncol</w:t>
      </w:r>
      <w:r w:rsidRPr="003A7660">
        <w:rPr>
          <w:rFonts w:ascii="Book Antiqua" w:eastAsia="宋体" w:hAnsi="Book Antiqua"/>
          <w:kern w:val="2"/>
          <w:lang w:val="en-US" w:eastAsia="zh-CN"/>
        </w:rPr>
        <w:t xml:space="preserve"> 2007; </w:t>
      </w:r>
      <w:r w:rsidRPr="003A7660">
        <w:rPr>
          <w:rFonts w:ascii="Book Antiqua" w:eastAsia="宋体" w:hAnsi="Book Antiqua"/>
          <w:b/>
          <w:kern w:val="2"/>
          <w:lang w:val="en-US" w:eastAsia="zh-CN"/>
        </w:rPr>
        <w:t>25</w:t>
      </w:r>
      <w:r w:rsidRPr="003A7660">
        <w:rPr>
          <w:rFonts w:ascii="Book Antiqua" w:eastAsia="宋体" w:hAnsi="Book Antiqua"/>
          <w:kern w:val="2"/>
          <w:lang w:val="en-US" w:eastAsia="zh-CN"/>
        </w:rPr>
        <w:t>: 4593-4602 [PMID: 17925554 DOI: 10.1200/JCO.2007.10.8126]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30 </w:t>
      </w:r>
      <w:r w:rsidRPr="003A7660">
        <w:rPr>
          <w:rFonts w:ascii="Book Antiqua" w:eastAsia="宋体" w:hAnsi="Book Antiqua"/>
          <w:b/>
          <w:kern w:val="2"/>
          <w:lang w:val="en-US" w:eastAsia="zh-CN"/>
        </w:rPr>
        <w:t>Blazer DG 3rd</w:t>
      </w:r>
      <w:r w:rsidRPr="003A7660">
        <w:rPr>
          <w:rFonts w:ascii="Book Antiqua" w:eastAsia="宋体" w:hAnsi="Book Antiqua"/>
          <w:kern w:val="2"/>
          <w:lang w:val="en-US" w:eastAsia="zh-CN"/>
        </w:rPr>
        <w:t xml:space="preserve">, Kishi Y, Maru DM, Kopetz S, Chun YS, Overman MJ, Fogelman D, Eng C, Chang DZ, Wang H, Zorzi D, Ribero D, Ellis LM, Glover KY, Wolff RA, Curley SA, Abdalla EK, Vauthey JN. Pathologic response to preoperative chemotherapy: a new outcome end point after resection of hepatic colorectal metastases. </w:t>
      </w:r>
      <w:r w:rsidRPr="003A7660">
        <w:rPr>
          <w:rFonts w:ascii="Book Antiqua" w:eastAsia="宋体" w:hAnsi="Book Antiqua"/>
          <w:i/>
          <w:kern w:val="2"/>
          <w:lang w:val="en-US" w:eastAsia="zh-CN"/>
        </w:rPr>
        <w:t>J Clin Oncol</w:t>
      </w:r>
      <w:r w:rsidRPr="003A7660">
        <w:rPr>
          <w:rFonts w:ascii="Book Antiqua" w:eastAsia="宋体" w:hAnsi="Book Antiqua"/>
          <w:kern w:val="2"/>
          <w:lang w:val="en-US" w:eastAsia="zh-CN"/>
        </w:rPr>
        <w:t xml:space="preserve"> 2008; </w:t>
      </w:r>
      <w:r w:rsidRPr="003A7660">
        <w:rPr>
          <w:rFonts w:ascii="Book Antiqua" w:eastAsia="宋体" w:hAnsi="Book Antiqua"/>
          <w:b/>
          <w:kern w:val="2"/>
          <w:lang w:val="en-US" w:eastAsia="zh-CN"/>
        </w:rPr>
        <w:t>26</w:t>
      </w:r>
      <w:r w:rsidRPr="003A7660">
        <w:rPr>
          <w:rFonts w:ascii="Book Antiqua" w:eastAsia="宋体" w:hAnsi="Book Antiqua"/>
          <w:kern w:val="2"/>
          <w:lang w:val="en-US" w:eastAsia="zh-CN"/>
        </w:rPr>
        <w:t>: 5344-5351 [PMID: 18936472 DOI: 10.1200/JCO.2008.17.5299]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31 </w:t>
      </w:r>
      <w:r w:rsidRPr="003A7660">
        <w:rPr>
          <w:rFonts w:ascii="Book Antiqua" w:eastAsia="宋体" w:hAnsi="Book Antiqua"/>
          <w:b/>
          <w:kern w:val="2"/>
          <w:lang w:val="en-US" w:eastAsia="zh-CN"/>
        </w:rPr>
        <w:t>Rubbia-Brandt L</w:t>
      </w:r>
      <w:r w:rsidRPr="003A7660">
        <w:rPr>
          <w:rFonts w:ascii="Book Antiqua" w:eastAsia="宋体" w:hAnsi="Book Antiqua"/>
          <w:kern w:val="2"/>
          <w:lang w:val="en-US" w:eastAsia="zh-CN"/>
        </w:rPr>
        <w:t xml:space="preserve">, Giostra E, Brezault C, Roth AD, Andres A, Audard V, Sartoretti P, Dousset B, Majno PE, Soubrane O, Chaussade S, Mentha G, Terris B. Importance of histological tumor response assessment in predicting the outcome in patients with colorectal liver metastases treated with neo-adjuvant chemotherapy followed by liver surgery. </w:t>
      </w:r>
      <w:r w:rsidRPr="003A7660">
        <w:rPr>
          <w:rFonts w:ascii="Book Antiqua" w:eastAsia="宋体" w:hAnsi="Book Antiqua"/>
          <w:i/>
          <w:kern w:val="2"/>
          <w:lang w:val="en-US" w:eastAsia="zh-CN"/>
        </w:rPr>
        <w:t>Ann Oncol</w:t>
      </w:r>
      <w:r w:rsidRPr="003A7660">
        <w:rPr>
          <w:rFonts w:ascii="Book Antiqua" w:eastAsia="宋体" w:hAnsi="Book Antiqua"/>
          <w:kern w:val="2"/>
          <w:lang w:val="en-US" w:eastAsia="zh-CN"/>
        </w:rPr>
        <w:t xml:space="preserve"> 2007; </w:t>
      </w:r>
      <w:r w:rsidRPr="003A7660">
        <w:rPr>
          <w:rFonts w:ascii="Book Antiqua" w:eastAsia="宋体" w:hAnsi="Book Antiqua"/>
          <w:b/>
          <w:kern w:val="2"/>
          <w:lang w:val="en-US" w:eastAsia="zh-CN"/>
        </w:rPr>
        <w:t>18</w:t>
      </w:r>
      <w:r w:rsidRPr="003A7660">
        <w:rPr>
          <w:rFonts w:ascii="Book Antiqua" w:eastAsia="宋体" w:hAnsi="Book Antiqua"/>
          <w:kern w:val="2"/>
          <w:lang w:val="en-US" w:eastAsia="zh-CN"/>
        </w:rPr>
        <w:t>: 299-304 [PMID: 17060484 DOI: 10.1093/annonc/mdl386]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32 </w:t>
      </w:r>
      <w:r w:rsidRPr="003A7660">
        <w:rPr>
          <w:rFonts w:ascii="Book Antiqua" w:eastAsia="宋体" w:hAnsi="Book Antiqua"/>
          <w:b/>
          <w:kern w:val="2"/>
          <w:lang w:val="en-US" w:eastAsia="zh-CN"/>
        </w:rPr>
        <w:t>Knijn N</w:t>
      </w:r>
      <w:r w:rsidRPr="003A7660">
        <w:rPr>
          <w:rFonts w:ascii="Book Antiqua" w:eastAsia="宋体" w:hAnsi="Book Antiqua"/>
          <w:kern w:val="2"/>
          <w:lang w:val="en-US" w:eastAsia="zh-CN"/>
        </w:rPr>
        <w:t xml:space="preserve">, de Ridder JA, Punt CJ, de Wilt JH, Nagtegaal ID. Histopathological </w:t>
      </w:r>
      <w:r w:rsidRPr="003A7660">
        <w:rPr>
          <w:rFonts w:ascii="Book Antiqua" w:eastAsia="宋体" w:hAnsi="Book Antiqua"/>
          <w:kern w:val="2"/>
          <w:lang w:val="en-US" w:eastAsia="zh-CN"/>
        </w:rPr>
        <w:lastRenderedPageBreak/>
        <w:t xml:space="preserve">evaluation of resected colorectal cancer liver metastases: what should be done? </w:t>
      </w:r>
      <w:r w:rsidRPr="003A7660">
        <w:rPr>
          <w:rFonts w:ascii="Book Antiqua" w:eastAsia="宋体" w:hAnsi="Book Antiqua"/>
          <w:i/>
          <w:kern w:val="2"/>
          <w:lang w:val="en-US" w:eastAsia="zh-CN"/>
        </w:rPr>
        <w:t>Histopathology</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63</w:t>
      </w:r>
      <w:r w:rsidRPr="003A7660">
        <w:rPr>
          <w:rFonts w:ascii="Book Antiqua" w:eastAsia="宋体" w:hAnsi="Book Antiqua"/>
          <w:kern w:val="2"/>
          <w:lang w:val="en-US" w:eastAsia="zh-CN"/>
        </w:rPr>
        <w:t>: 149-156 [PMID: 23763641 DOI: 10.1111/his.12124]</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33 </w:t>
      </w:r>
      <w:r w:rsidRPr="003A7660">
        <w:rPr>
          <w:rFonts w:ascii="Book Antiqua" w:eastAsia="宋体" w:hAnsi="Book Antiqua"/>
          <w:b/>
          <w:kern w:val="2"/>
          <w:lang w:val="en-US" w:eastAsia="zh-CN"/>
        </w:rPr>
        <w:t>Kopetz S</w:t>
      </w:r>
      <w:r w:rsidRPr="003A7660">
        <w:rPr>
          <w:rFonts w:ascii="Book Antiqua" w:eastAsia="宋体" w:hAnsi="Book Antiqua"/>
          <w:kern w:val="2"/>
          <w:lang w:val="en-US" w:eastAsia="zh-CN"/>
        </w:rPr>
        <w:t xml:space="preserve">, Chang GJ, Overman MJ, Eng C, Sargent DJ, Larson DW, Grothey A, Vauthey JN, Nagorney DM, McWilliams RR. Improved survival in metastatic colorectal cancer is associated with adoption of hepatic resection and improved chemotherapy. </w:t>
      </w:r>
      <w:r w:rsidRPr="003A7660">
        <w:rPr>
          <w:rFonts w:ascii="Book Antiqua" w:eastAsia="宋体" w:hAnsi="Book Antiqua"/>
          <w:i/>
          <w:kern w:val="2"/>
          <w:lang w:val="en-US" w:eastAsia="zh-CN"/>
        </w:rPr>
        <w:t>J Clin Oncol</w:t>
      </w:r>
      <w:r w:rsidRPr="003A7660">
        <w:rPr>
          <w:rFonts w:ascii="Book Antiqua" w:eastAsia="宋体" w:hAnsi="Book Antiqua"/>
          <w:kern w:val="2"/>
          <w:lang w:val="en-US" w:eastAsia="zh-CN"/>
        </w:rPr>
        <w:t xml:space="preserve"> 2009; </w:t>
      </w:r>
      <w:r w:rsidRPr="003A7660">
        <w:rPr>
          <w:rFonts w:ascii="Book Antiqua" w:eastAsia="宋体" w:hAnsi="Book Antiqua"/>
          <w:b/>
          <w:kern w:val="2"/>
          <w:lang w:val="en-US" w:eastAsia="zh-CN"/>
        </w:rPr>
        <w:t>27</w:t>
      </w:r>
      <w:r w:rsidRPr="003A7660">
        <w:rPr>
          <w:rFonts w:ascii="Book Antiqua" w:eastAsia="宋体" w:hAnsi="Book Antiqua"/>
          <w:kern w:val="2"/>
          <w:lang w:val="en-US" w:eastAsia="zh-CN"/>
        </w:rPr>
        <w:t>: 3677-3683 [PMID: 19470929 DOI: 10.1200/JCO.2008.20.5278]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34 </w:t>
      </w:r>
      <w:r w:rsidRPr="003A7660">
        <w:rPr>
          <w:rFonts w:ascii="Book Antiqua" w:eastAsia="宋体" w:hAnsi="Book Antiqua"/>
          <w:b/>
          <w:kern w:val="2"/>
          <w:lang w:val="en-US" w:eastAsia="zh-CN"/>
        </w:rPr>
        <w:t>Matias M</w:t>
      </w:r>
      <w:r w:rsidRPr="003A7660">
        <w:rPr>
          <w:rFonts w:ascii="Book Antiqua" w:eastAsia="宋体" w:hAnsi="Book Antiqua"/>
          <w:kern w:val="2"/>
          <w:lang w:val="en-US" w:eastAsia="zh-CN"/>
        </w:rPr>
        <w:t xml:space="preserve">, Casa-Nova M, Faria M, Pires R, Tato-Costa J, Ribeiro L, Costa L. Prognostic Factors after Liver Resection for Colorectal Liver Metastasis. </w:t>
      </w:r>
      <w:r w:rsidRPr="003A7660">
        <w:rPr>
          <w:rFonts w:ascii="Book Antiqua" w:eastAsia="宋体" w:hAnsi="Book Antiqua"/>
          <w:i/>
          <w:kern w:val="2"/>
          <w:lang w:val="en-US" w:eastAsia="zh-CN"/>
        </w:rPr>
        <w:t>Acta Med Port</w:t>
      </w:r>
      <w:r w:rsidRPr="003A7660">
        <w:rPr>
          <w:rFonts w:ascii="Book Antiqua" w:eastAsia="宋体" w:hAnsi="Book Antiqua"/>
          <w:kern w:val="2"/>
          <w:lang w:val="en-US" w:eastAsia="zh-CN"/>
        </w:rPr>
        <w:t xml:space="preserve"> 2015; </w:t>
      </w:r>
      <w:r w:rsidRPr="003A7660">
        <w:rPr>
          <w:rFonts w:ascii="Book Antiqua" w:eastAsia="宋体" w:hAnsi="Book Antiqua"/>
          <w:b/>
          <w:kern w:val="2"/>
          <w:lang w:val="en-US" w:eastAsia="zh-CN"/>
        </w:rPr>
        <w:t>28</w:t>
      </w:r>
      <w:r w:rsidRPr="003A7660">
        <w:rPr>
          <w:rFonts w:ascii="Book Antiqua" w:eastAsia="宋体" w:hAnsi="Book Antiqua"/>
          <w:kern w:val="2"/>
          <w:lang w:val="en-US" w:eastAsia="zh-CN"/>
        </w:rPr>
        <w:t>: 357-369 [PMID: 26421789 DOI: 10.20344/amp.4816]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35 </w:t>
      </w:r>
      <w:r w:rsidRPr="003A7660">
        <w:rPr>
          <w:rFonts w:ascii="Book Antiqua" w:eastAsia="宋体" w:hAnsi="Book Antiqua"/>
          <w:b/>
          <w:kern w:val="2"/>
          <w:lang w:val="en-US" w:eastAsia="zh-CN"/>
        </w:rPr>
        <w:t>Imai K</w:t>
      </w:r>
      <w:r w:rsidRPr="003A7660">
        <w:rPr>
          <w:rFonts w:ascii="Book Antiqua" w:eastAsia="宋体" w:hAnsi="Book Antiqua"/>
          <w:kern w:val="2"/>
          <w:lang w:val="en-US" w:eastAsia="zh-CN"/>
        </w:rPr>
        <w:t xml:space="preserve">, Allard MA, Benitez CC, Vibert E, Sa Cunha A, Cherqui D, Castaing D, Bismuth H, Baba H, Adam R. Early Recurrence After Hepatectomy for Colorectal Liver Metastases: What Optimal Definition and What Predictive Factors? </w:t>
      </w:r>
      <w:r w:rsidRPr="003A7660">
        <w:rPr>
          <w:rFonts w:ascii="Book Antiqua" w:eastAsia="宋体" w:hAnsi="Book Antiqua"/>
          <w:i/>
          <w:kern w:val="2"/>
          <w:lang w:val="en-US" w:eastAsia="zh-CN"/>
        </w:rPr>
        <w:t>Oncologist</w:t>
      </w:r>
      <w:r w:rsidRPr="003A7660">
        <w:rPr>
          <w:rFonts w:ascii="Book Antiqua" w:eastAsia="宋体" w:hAnsi="Book Antiqua"/>
          <w:kern w:val="2"/>
          <w:lang w:val="en-US" w:eastAsia="zh-CN"/>
        </w:rPr>
        <w:t xml:space="preserve"> 2016; </w:t>
      </w:r>
      <w:r w:rsidRPr="003A7660">
        <w:rPr>
          <w:rFonts w:ascii="Book Antiqua" w:eastAsia="宋体" w:hAnsi="Book Antiqua"/>
          <w:b/>
          <w:kern w:val="2"/>
          <w:lang w:val="en-US" w:eastAsia="zh-CN"/>
        </w:rPr>
        <w:t>21</w:t>
      </w:r>
      <w:r w:rsidRPr="003A7660">
        <w:rPr>
          <w:rFonts w:ascii="Book Antiqua" w:eastAsia="宋体" w:hAnsi="Book Antiqua"/>
          <w:kern w:val="2"/>
          <w:lang w:val="en-US" w:eastAsia="zh-CN"/>
        </w:rPr>
        <w:t>: 887-894 [PMID: 27125753 DOI: 10.1634/theoncologist.2015-0468]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36 </w:t>
      </w:r>
      <w:r w:rsidRPr="003A7660">
        <w:rPr>
          <w:rFonts w:ascii="Book Antiqua" w:eastAsia="宋体" w:hAnsi="Book Antiqua"/>
          <w:b/>
          <w:kern w:val="2"/>
          <w:lang w:val="en-US" w:eastAsia="zh-CN"/>
        </w:rPr>
        <w:t>Hallet J</w:t>
      </w:r>
      <w:r w:rsidRPr="003A7660">
        <w:rPr>
          <w:rFonts w:ascii="Book Antiqua" w:eastAsia="宋体" w:hAnsi="Book Antiqua"/>
          <w:kern w:val="2"/>
          <w:lang w:val="en-US" w:eastAsia="zh-CN"/>
        </w:rPr>
        <w:t xml:space="preserve">, Sa Cunha A, Adam R, Goéré D, Bachellier P, Azoulay D, Ayav A, Grégoire E, Navarro F, Pessaux P; French Colorectal Liver Metastases Working Group, Association Française de Chirurgie (AFC). Factors influencing recurrence following initial hepatectomy for colorectal liver metastases. </w:t>
      </w:r>
      <w:r w:rsidRPr="003A7660">
        <w:rPr>
          <w:rFonts w:ascii="Book Antiqua" w:eastAsia="宋体" w:hAnsi="Book Antiqua"/>
          <w:i/>
          <w:kern w:val="2"/>
          <w:lang w:val="en-US" w:eastAsia="zh-CN"/>
        </w:rPr>
        <w:t>Br J Surg</w:t>
      </w:r>
      <w:r w:rsidRPr="003A7660">
        <w:rPr>
          <w:rFonts w:ascii="Book Antiqua" w:eastAsia="宋体" w:hAnsi="Book Antiqua"/>
          <w:kern w:val="2"/>
          <w:lang w:val="en-US" w:eastAsia="zh-CN"/>
        </w:rPr>
        <w:t xml:space="preserve"> 2016; </w:t>
      </w:r>
      <w:r w:rsidRPr="003A7660">
        <w:rPr>
          <w:rFonts w:ascii="Book Antiqua" w:eastAsia="宋体" w:hAnsi="Book Antiqua"/>
          <w:b/>
          <w:kern w:val="2"/>
          <w:lang w:val="en-US" w:eastAsia="zh-CN"/>
        </w:rPr>
        <w:t>103</w:t>
      </w:r>
      <w:r w:rsidRPr="003A7660">
        <w:rPr>
          <w:rFonts w:ascii="Book Antiqua" w:eastAsia="宋体" w:hAnsi="Book Antiqua"/>
          <w:kern w:val="2"/>
          <w:lang w:val="en-US" w:eastAsia="zh-CN"/>
        </w:rPr>
        <w:t>: 1366-1376 [PMID: 27306949 DOI: 10.1002/bjs.10191]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37 </w:t>
      </w:r>
      <w:r w:rsidRPr="003A7660">
        <w:rPr>
          <w:rFonts w:ascii="Book Antiqua" w:eastAsia="宋体" w:hAnsi="Book Antiqua"/>
          <w:b/>
          <w:kern w:val="2"/>
          <w:lang w:val="en-US" w:eastAsia="zh-CN"/>
        </w:rPr>
        <w:t>Adam R</w:t>
      </w:r>
      <w:r w:rsidRPr="003A7660">
        <w:rPr>
          <w:rFonts w:ascii="Book Antiqua" w:eastAsia="宋体" w:hAnsi="Book Antiqua"/>
          <w:kern w:val="2"/>
          <w:lang w:val="en-US" w:eastAsia="zh-CN"/>
        </w:rPr>
        <w:t xml:space="preserve">, de Haas RJ, Wicherts DA, Aloia TA, Delvart V, Azoulay D, Bismuth H, Castaing D. Is hepatic resection justified after chemotherapy in patients with colorectal liver metastases and lymph node involvement? </w:t>
      </w:r>
      <w:r w:rsidRPr="003A7660">
        <w:rPr>
          <w:rFonts w:ascii="Book Antiqua" w:eastAsia="宋体" w:hAnsi="Book Antiqua"/>
          <w:i/>
          <w:kern w:val="2"/>
          <w:lang w:val="en-US" w:eastAsia="zh-CN"/>
        </w:rPr>
        <w:t>J Clin Oncol</w:t>
      </w:r>
      <w:r w:rsidRPr="003A7660">
        <w:rPr>
          <w:rFonts w:ascii="Book Antiqua" w:eastAsia="宋体" w:hAnsi="Book Antiqua"/>
          <w:kern w:val="2"/>
          <w:lang w:val="en-US" w:eastAsia="zh-CN"/>
        </w:rPr>
        <w:t xml:space="preserve"> 2008; </w:t>
      </w:r>
      <w:r w:rsidRPr="003A7660">
        <w:rPr>
          <w:rFonts w:ascii="Book Antiqua" w:eastAsia="宋体" w:hAnsi="Book Antiqua"/>
          <w:b/>
          <w:kern w:val="2"/>
          <w:lang w:val="en-US" w:eastAsia="zh-CN"/>
        </w:rPr>
        <w:t>26</w:t>
      </w:r>
      <w:r w:rsidRPr="003A7660">
        <w:rPr>
          <w:rFonts w:ascii="Book Antiqua" w:eastAsia="宋体" w:hAnsi="Book Antiqua"/>
          <w:kern w:val="2"/>
          <w:lang w:val="en-US" w:eastAsia="zh-CN"/>
        </w:rPr>
        <w:t>: 3672-3680 [PMID: 18669451 DOI: 10.1200/JCO.2007.15.7297]</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38 </w:t>
      </w:r>
      <w:r w:rsidRPr="003A7660">
        <w:rPr>
          <w:rFonts w:ascii="Book Antiqua" w:eastAsia="宋体" w:hAnsi="Book Antiqua"/>
          <w:b/>
          <w:kern w:val="2"/>
          <w:lang w:val="en-US" w:eastAsia="zh-CN"/>
        </w:rPr>
        <w:t>Angelsen JH</w:t>
      </w:r>
      <w:r w:rsidRPr="003A7660">
        <w:rPr>
          <w:rFonts w:ascii="Book Antiqua" w:eastAsia="宋体" w:hAnsi="Book Antiqua"/>
          <w:kern w:val="2"/>
          <w:lang w:val="en-US" w:eastAsia="zh-CN"/>
        </w:rPr>
        <w:t xml:space="preserve">, Viste A, Løes IM, Eide GE, Hoem D, Sorbye H, Horn A. Predictive factors for time to recurrence, treatment and post-recurrence survival in patients with initially resected colorectal liver metastases. </w:t>
      </w:r>
      <w:r w:rsidRPr="003A7660">
        <w:rPr>
          <w:rFonts w:ascii="Book Antiqua" w:eastAsia="宋体" w:hAnsi="Book Antiqua"/>
          <w:i/>
          <w:kern w:val="2"/>
          <w:lang w:val="en-US" w:eastAsia="zh-CN"/>
        </w:rPr>
        <w:t>World J Surg Oncol</w:t>
      </w:r>
      <w:r w:rsidRPr="003A7660">
        <w:rPr>
          <w:rFonts w:ascii="Book Antiqua" w:eastAsia="宋体" w:hAnsi="Book Antiqua"/>
          <w:kern w:val="2"/>
          <w:lang w:val="en-US" w:eastAsia="zh-CN"/>
        </w:rPr>
        <w:t xml:space="preserve"> 2015; </w:t>
      </w:r>
      <w:r w:rsidRPr="003A7660">
        <w:rPr>
          <w:rFonts w:ascii="Book Antiqua" w:eastAsia="宋体" w:hAnsi="Book Antiqua"/>
          <w:b/>
          <w:kern w:val="2"/>
          <w:lang w:val="en-US" w:eastAsia="zh-CN"/>
        </w:rPr>
        <w:t>13</w:t>
      </w:r>
      <w:r w:rsidRPr="003A7660">
        <w:rPr>
          <w:rFonts w:ascii="Book Antiqua" w:eastAsia="宋体" w:hAnsi="Book Antiqua"/>
          <w:kern w:val="2"/>
          <w:lang w:val="en-US" w:eastAsia="zh-CN"/>
        </w:rPr>
        <w:t>: 328 [PMID: 26631156 DOI: 10.1186/s12957-015-0738-8]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39 </w:t>
      </w:r>
      <w:r w:rsidRPr="003A7660">
        <w:rPr>
          <w:rFonts w:ascii="Book Antiqua" w:eastAsia="宋体" w:hAnsi="Book Antiqua"/>
          <w:b/>
          <w:kern w:val="2"/>
          <w:lang w:val="en-US" w:eastAsia="zh-CN"/>
        </w:rPr>
        <w:t>de Haas RJ</w:t>
      </w:r>
      <w:r w:rsidRPr="003A7660">
        <w:rPr>
          <w:rFonts w:ascii="Book Antiqua" w:eastAsia="宋体" w:hAnsi="Book Antiqua"/>
          <w:kern w:val="2"/>
          <w:lang w:val="en-US" w:eastAsia="zh-CN"/>
        </w:rPr>
        <w:t xml:space="preserve">, Wicherts DA, Salloum C, Andreani P, Sotirov D, Adam R, Castaing D, Azoulay D. Long-term outcomes after hepatic resection for colorectal metastases in young patients. </w:t>
      </w:r>
      <w:r w:rsidRPr="003A7660">
        <w:rPr>
          <w:rFonts w:ascii="Book Antiqua" w:eastAsia="宋体" w:hAnsi="Book Antiqua"/>
          <w:i/>
          <w:kern w:val="2"/>
          <w:lang w:val="en-US" w:eastAsia="zh-CN"/>
        </w:rPr>
        <w:t>Cancer</w:t>
      </w:r>
      <w:r w:rsidRPr="003A7660">
        <w:rPr>
          <w:rFonts w:ascii="Book Antiqua" w:eastAsia="宋体" w:hAnsi="Book Antiqua"/>
          <w:kern w:val="2"/>
          <w:lang w:val="en-US" w:eastAsia="zh-CN"/>
        </w:rPr>
        <w:t xml:space="preserve"> 2010; </w:t>
      </w:r>
      <w:r w:rsidRPr="003A7660">
        <w:rPr>
          <w:rFonts w:ascii="Book Antiqua" w:eastAsia="宋体" w:hAnsi="Book Antiqua"/>
          <w:b/>
          <w:kern w:val="2"/>
          <w:lang w:val="en-US" w:eastAsia="zh-CN"/>
        </w:rPr>
        <w:t>116</w:t>
      </w:r>
      <w:r w:rsidRPr="003A7660">
        <w:rPr>
          <w:rFonts w:ascii="Book Antiqua" w:eastAsia="宋体" w:hAnsi="Book Antiqua"/>
          <w:kern w:val="2"/>
          <w:lang w:val="en-US" w:eastAsia="zh-CN"/>
        </w:rPr>
        <w:t>: 647-658 [PMID: 19998351 DOI: 10.1002/cncr.24721]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40 </w:t>
      </w:r>
      <w:r w:rsidRPr="003A7660">
        <w:rPr>
          <w:rFonts w:ascii="Book Antiqua" w:eastAsia="宋体" w:hAnsi="Book Antiqua"/>
          <w:b/>
          <w:kern w:val="2"/>
          <w:lang w:val="en-US" w:eastAsia="zh-CN"/>
        </w:rPr>
        <w:t>Cummings LC</w:t>
      </w:r>
      <w:r w:rsidRPr="003A7660">
        <w:rPr>
          <w:rFonts w:ascii="Book Antiqua" w:eastAsia="宋体" w:hAnsi="Book Antiqua"/>
          <w:kern w:val="2"/>
          <w:lang w:val="en-US" w:eastAsia="zh-CN"/>
        </w:rPr>
        <w:t xml:space="preserve">, Payes JD, Cooper GS. Survival after hepatic resection in metastatic </w:t>
      </w:r>
      <w:r w:rsidRPr="003A7660">
        <w:rPr>
          <w:rFonts w:ascii="Book Antiqua" w:eastAsia="宋体" w:hAnsi="Book Antiqua"/>
          <w:kern w:val="2"/>
          <w:lang w:val="en-US" w:eastAsia="zh-CN"/>
        </w:rPr>
        <w:lastRenderedPageBreak/>
        <w:t xml:space="preserve">colorectal cancer: a population-based study. </w:t>
      </w:r>
      <w:r w:rsidRPr="003A7660">
        <w:rPr>
          <w:rFonts w:ascii="Book Antiqua" w:eastAsia="宋体" w:hAnsi="Book Antiqua"/>
          <w:i/>
          <w:kern w:val="2"/>
          <w:lang w:val="en-US" w:eastAsia="zh-CN"/>
        </w:rPr>
        <w:t>Cancer</w:t>
      </w:r>
      <w:r w:rsidRPr="003A7660">
        <w:rPr>
          <w:rFonts w:ascii="Book Antiqua" w:eastAsia="宋体" w:hAnsi="Book Antiqua"/>
          <w:kern w:val="2"/>
          <w:lang w:val="en-US" w:eastAsia="zh-CN"/>
        </w:rPr>
        <w:t xml:space="preserve"> 2007; </w:t>
      </w:r>
      <w:r w:rsidRPr="003A7660">
        <w:rPr>
          <w:rFonts w:ascii="Book Antiqua" w:eastAsia="宋体" w:hAnsi="Book Antiqua"/>
          <w:b/>
          <w:kern w:val="2"/>
          <w:lang w:val="en-US" w:eastAsia="zh-CN"/>
        </w:rPr>
        <w:t>109</w:t>
      </w:r>
      <w:r w:rsidRPr="003A7660">
        <w:rPr>
          <w:rFonts w:ascii="Book Antiqua" w:eastAsia="宋体" w:hAnsi="Book Antiqua"/>
          <w:kern w:val="2"/>
          <w:lang w:val="en-US" w:eastAsia="zh-CN"/>
        </w:rPr>
        <w:t>: 718-726 [PMID: 17238180 DOI: 10.1002/cncr.22448]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41 </w:t>
      </w:r>
      <w:r w:rsidRPr="003A7660">
        <w:rPr>
          <w:rFonts w:ascii="Book Antiqua" w:eastAsia="宋体" w:hAnsi="Book Antiqua"/>
          <w:b/>
          <w:kern w:val="2"/>
          <w:lang w:val="en-US" w:eastAsia="zh-CN"/>
        </w:rPr>
        <w:t>Loupakis F</w:t>
      </w:r>
      <w:r w:rsidRPr="003A7660">
        <w:rPr>
          <w:rFonts w:ascii="Book Antiqua" w:eastAsia="宋体" w:hAnsi="Book Antiqua"/>
          <w:kern w:val="2"/>
          <w:lang w:val="en-US" w:eastAsia="zh-CN"/>
        </w:rPr>
        <w:t xml:space="preserve">, Schirripa M, Caparello C, Funel N, Pollina L, Vasile E, Cremolini C, Salvatore L, Morvillo M, Antoniotti C, Marmorino F, Masi G, Falcone A. Histopathologic evaluation of liver metastases from colorectal cancer in patients treated with FOLFOXIRI plus bevacizumab. </w:t>
      </w:r>
      <w:r w:rsidRPr="003A7660">
        <w:rPr>
          <w:rFonts w:ascii="Book Antiqua" w:eastAsia="宋体" w:hAnsi="Book Antiqua"/>
          <w:i/>
          <w:kern w:val="2"/>
          <w:lang w:val="en-US" w:eastAsia="zh-CN"/>
        </w:rPr>
        <w:t>Br J Cancer</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108</w:t>
      </w:r>
      <w:r w:rsidRPr="003A7660">
        <w:rPr>
          <w:rFonts w:ascii="Book Antiqua" w:eastAsia="宋体" w:hAnsi="Book Antiqua"/>
          <w:kern w:val="2"/>
          <w:lang w:val="en-US" w:eastAsia="zh-CN"/>
        </w:rPr>
        <w:t>: 2549-2556 [PMID: 23703247 DOI: 10.1038/bjc.2013.245]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42 </w:t>
      </w:r>
      <w:r w:rsidRPr="003A7660">
        <w:rPr>
          <w:rFonts w:ascii="Book Antiqua" w:eastAsia="宋体" w:hAnsi="Book Antiqua"/>
          <w:b/>
          <w:kern w:val="2"/>
          <w:lang w:val="en-US" w:eastAsia="zh-CN"/>
        </w:rPr>
        <w:t>Vecchio FM</w:t>
      </w:r>
      <w:r w:rsidRPr="003A7660">
        <w:rPr>
          <w:rFonts w:ascii="Book Antiqua" w:eastAsia="宋体" w:hAnsi="Book Antiqua"/>
          <w:kern w:val="2"/>
          <w:lang w:val="en-US" w:eastAsia="zh-CN"/>
        </w:rPr>
        <w:t xml:space="preserve">, Valentini V, Minsky BD, Padula GD, Venkatraman ES, Balducci M, Miccichè F, Ricci R, Morganti AG, Gambacorta MA, Maurizi F, Coco C. The relationship of pathologic tumor regression grade (TRG) and outcomes after preoperative therapy in rectal cancer. </w:t>
      </w:r>
      <w:r w:rsidRPr="003A7660">
        <w:rPr>
          <w:rFonts w:ascii="Book Antiqua" w:eastAsia="宋体" w:hAnsi="Book Antiqua"/>
          <w:i/>
          <w:kern w:val="2"/>
          <w:lang w:val="en-US" w:eastAsia="zh-CN"/>
        </w:rPr>
        <w:t>Int J Radiat Oncol Biol Phys</w:t>
      </w:r>
      <w:r w:rsidRPr="003A7660">
        <w:rPr>
          <w:rFonts w:ascii="Book Antiqua" w:eastAsia="宋体" w:hAnsi="Book Antiqua"/>
          <w:kern w:val="2"/>
          <w:lang w:val="en-US" w:eastAsia="zh-CN"/>
        </w:rPr>
        <w:t xml:space="preserve"> 2005; </w:t>
      </w:r>
      <w:r w:rsidRPr="003A7660">
        <w:rPr>
          <w:rFonts w:ascii="Book Antiqua" w:eastAsia="宋体" w:hAnsi="Book Antiqua"/>
          <w:b/>
          <w:kern w:val="2"/>
          <w:lang w:val="en-US" w:eastAsia="zh-CN"/>
        </w:rPr>
        <w:t>62</w:t>
      </w:r>
      <w:r w:rsidRPr="003A7660">
        <w:rPr>
          <w:rFonts w:ascii="Book Antiqua" w:eastAsia="宋体" w:hAnsi="Book Antiqua"/>
          <w:kern w:val="2"/>
          <w:lang w:val="en-US" w:eastAsia="zh-CN"/>
        </w:rPr>
        <w:t>: 752-760 [PMID: 15936556 DOI: 10.1016/j.ijrobp.2004.11.017]</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43 </w:t>
      </w:r>
      <w:r w:rsidRPr="003A7660">
        <w:rPr>
          <w:rFonts w:ascii="Book Antiqua" w:eastAsia="宋体" w:hAnsi="Book Antiqua"/>
          <w:b/>
          <w:kern w:val="2"/>
          <w:lang w:val="en-US" w:eastAsia="zh-CN"/>
        </w:rPr>
        <w:t>Adam R</w:t>
      </w:r>
      <w:r w:rsidRPr="003A7660">
        <w:rPr>
          <w:rFonts w:ascii="Book Antiqua" w:eastAsia="宋体" w:hAnsi="Book Antiqua"/>
          <w:kern w:val="2"/>
          <w:lang w:val="en-US" w:eastAsia="zh-CN"/>
        </w:rPr>
        <w:t xml:space="preserve">, Pascal G, Castaing D, Azoulay D, Delvart V, Paule B, Levi F, Bismuth H. Tumor progression while on chemotherapy: a contraindication to liver resection for multiple colorectal metastases?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2004; </w:t>
      </w:r>
      <w:r w:rsidRPr="003A7660">
        <w:rPr>
          <w:rFonts w:ascii="Book Antiqua" w:eastAsia="宋体" w:hAnsi="Book Antiqua"/>
          <w:b/>
          <w:kern w:val="2"/>
          <w:lang w:val="en-US" w:eastAsia="zh-CN"/>
        </w:rPr>
        <w:t>240</w:t>
      </w:r>
      <w:r w:rsidRPr="003A7660">
        <w:rPr>
          <w:rFonts w:ascii="Book Antiqua" w:eastAsia="宋体" w:hAnsi="Book Antiqua"/>
          <w:kern w:val="2"/>
          <w:lang w:val="en-US" w:eastAsia="zh-CN"/>
        </w:rPr>
        <w:t>: 1052-61; discussion 1061-4 [PMID: 15570210 DOI: 10.1097/01.sla.0000145964.08365.01]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44 </w:t>
      </w:r>
      <w:r w:rsidRPr="003A7660">
        <w:rPr>
          <w:rFonts w:ascii="Book Antiqua" w:eastAsia="宋体" w:hAnsi="Book Antiqua"/>
          <w:b/>
          <w:kern w:val="2"/>
          <w:lang w:val="en-US" w:eastAsia="zh-CN"/>
        </w:rPr>
        <w:t>Nordlinger B</w:t>
      </w:r>
      <w:r w:rsidRPr="003A7660">
        <w:rPr>
          <w:rFonts w:ascii="Book Antiqua" w:eastAsia="宋体" w:hAnsi="Book Antiqua"/>
          <w:kern w:val="2"/>
          <w:lang w:val="en-US" w:eastAsia="zh-CN"/>
        </w:rPr>
        <w:t xml:space="preserve">, Vauthey JN, Poston G, Benoist S, Rougier P, Van Cutsem E. The timing of chemotherapy and surgery for the treatment of colorectal liver metastases. </w:t>
      </w:r>
      <w:r w:rsidRPr="003A7660">
        <w:rPr>
          <w:rFonts w:ascii="Book Antiqua" w:eastAsia="宋体" w:hAnsi="Book Antiqua"/>
          <w:i/>
          <w:kern w:val="2"/>
          <w:lang w:val="en-US" w:eastAsia="zh-CN"/>
        </w:rPr>
        <w:t>Clin Colorectal Cancer</w:t>
      </w:r>
      <w:r w:rsidRPr="003A7660">
        <w:rPr>
          <w:rFonts w:ascii="Book Antiqua" w:eastAsia="宋体" w:hAnsi="Book Antiqua"/>
          <w:kern w:val="2"/>
          <w:lang w:val="en-US" w:eastAsia="zh-CN"/>
        </w:rPr>
        <w:t xml:space="preserve"> 2010; </w:t>
      </w:r>
      <w:r w:rsidRPr="003A7660">
        <w:rPr>
          <w:rFonts w:ascii="Book Antiqua" w:eastAsia="宋体" w:hAnsi="Book Antiqua"/>
          <w:b/>
          <w:kern w:val="2"/>
          <w:lang w:val="en-US" w:eastAsia="zh-CN"/>
        </w:rPr>
        <w:t>9</w:t>
      </w:r>
      <w:r w:rsidRPr="003A7660">
        <w:rPr>
          <w:rFonts w:ascii="Book Antiqua" w:eastAsia="宋体" w:hAnsi="Book Antiqua"/>
          <w:kern w:val="2"/>
          <w:lang w:val="en-US" w:eastAsia="zh-CN"/>
        </w:rPr>
        <w:t>: 212-218 [PMID: 20920992 DOI: 10.3816/CCC.2010.n.031]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45 </w:t>
      </w:r>
      <w:r w:rsidRPr="003A7660">
        <w:rPr>
          <w:rFonts w:ascii="Book Antiqua" w:eastAsia="宋体" w:hAnsi="Book Antiqua"/>
          <w:b/>
          <w:kern w:val="2"/>
          <w:lang w:val="en-US" w:eastAsia="zh-CN"/>
        </w:rPr>
        <w:t>Adam R</w:t>
      </w:r>
      <w:r w:rsidRPr="003A7660">
        <w:rPr>
          <w:rFonts w:ascii="Book Antiqua" w:eastAsia="宋体" w:hAnsi="Book Antiqua"/>
          <w:kern w:val="2"/>
          <w:lang w:val="en-US" w:eastAsia="zh-CN"/>
        </w:rPr>
        <w:t xml:space="preserve">, De Gramont A, Figueras J, Guthrie A, Kokudo N, Kunstlinger F, Loyer E, Poston G, Rougier P, Rubbia-Brandt L, Sobrero A, Tabernero J, Teh C, Van Cutsem E; Jean-Nicolas Vauthey of the EGOSLIM (Expert Group on OncoSurgery management of LIver Metastases) group. The oncosurgery approach to managing liver metastases from colorectal cancer: a multidisciplinary international consensus. </w:t>
      </w:r>
      <w:r w:rsidRPr="003A7660">
        <w:rPr>
          <w:rFonts w:ascii="Book Antiqua" w:eastAsia="宋体" w:hAnsi="Book Antiqua"/>
          <w:i/>
          <w:kern w:val="2"/>
          <w:lang w:val="en-US" w:eastAsia="zh-CN"/>
        </w:rPr>
        <w:t>Oncologist</w:t>
      </w:r>
      <w:r w:rsidRPr="003A7660">
        <w:rPr>
          <w:rFonts w:ascii="Book Antiqua" w:eastAsia="宋体" w:hAnsi="Book Antiqua"/>
          <w:kern w:val="2"/>
          <w:lang w:val="en-US" w:eastAsia="zh-CN"/>
        </w:rPr>
        <w:t xml:space="preserve"> 2012; </w:t>
      </w:r>
      <w:r w:rsidRPr="003A7660">
        <w:rPr>
          <w:rFonts w:ascii="Book Antiqua" w:eastAsia="宋体" w:hAnsi="Book Antiqua"/>
          <w:b/>
          <w:kern w:val="2"/>
          <w:lang w:val="en-US" w:eastAsia="zh-CN"/>
        </w:rPr>
        <w:t>17</w:t>
      </w:r>
      <w:r w:rsidRPr="003A7660">
        <w:rPr>
          <w:rFonts w:ascii="Book Antiqua" w:eastAsia="宋体" w:hAnsi="Book Antiqua"/>
          <w:kern w:val="2"/>
          <w:lang w:val="en-US" w:eastAsia="zh-CN"/>
        </w:rPr>
        <w:t>: 1225-1239 [PMID: 22962059 DOI: 10.1634/theoncologist.2012-0121]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46 </w:t>
      </w:r>
      <w:r w:rsidRPr="003A7660">
        <w:rPr>
          <w:rFonts w:ascii="Book Antiqua" w:eastAsia="宋体" w:hAnsi="Book Antiqua"/>
          <w:b/>
          <w:kern w:val="2"/>
          <w:lang w:val="en-US" w:eastAsia="zh-CN"/>
        </w:rPr>
        <w:t>Kattan MW</w:t>
      </w:r>
      <w:r w:rsidRPr="003A7660">
        <w:rPr>
          <w:rFonts w:ascii="Book Antiqua" w:eastAsia="宋体" w:hAnsi="Book Antiqua"/>
          <w:kern w:val="2"/>
          <w:lang w:val="en-US" w:eastAsia="zh-CN"/>
        </w:rPr>
        <w:t xml:space="preserve">, Gönen M, Jarnagin WR, DeMatteo R, D’Angelica M, Weiser M, Blumgart LH, Fong Y. A nomogram for predicting disease-specific survival after hepatic resection for metastatic colorectal cancer.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2008; </w:t>
      </w:r>
      <w:r w:rsidRPr="003A7660">
        <w:rPr>
          <w:rFonts w:ascii="Book Antiqua" w:eastAsia="宋体" w:hAnsi="Book Antiqua"/>
          <w:b/>
          <w:kern w:val="2"/>
          <w:lang w:val="en-US" w:eastAsia="zh-CN"/>
        </w:rPr>
        <w:t>247</w:t>
      </w:r>
      <w:r w:rsidRPr="003A7660">
        <w:rPr>
          <w:rFonts w:ascii="Book Antiqua" w:eastAsia="宋体" w:hAnsi="Book Antiqua"/>
          <w:kern w:val="2"/>
          <w:lang w:val="en-US" w:eastAsia="zh-CN"/>
        </w:rPr>
        <w:t>: 282-287 [PMID: 18216534 DOI: 10.1097/SLA.0b013e31815ed67b]</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47 </w:t>
      </w:r>
      <w:r w:rsidRPr="003A7660">
        <w:rPr>
          <w:rFonts w:ascii="Book Antiqua" w:eastAsia="宋体" w:hAnsi="Book Antiqua"/>
          <w:b/>
          <w:kern w:val="2"/>
          <w:lang w:val="en-US" w:eastAsia="zh-CN"/>
        </w:rPr>
        <w:t>Nordlinger B</w:t>
      </w:r>
      <w:r w:rsidRPr="003A7660">
        <w:rPr>
          <w:rFonts w:ascii="Book Antiqua" w:eastAsia="宋体" w:hAnsi="Book Antiqua"/>
          <w:kern w:val="2"/>
          <w:lang w:val="en-US" w:eastAsia="zh-CN"/>
        </w:rPr>
        <w:t xml:space="preserve">, Guiguet M, Vaillant JC, Balladur P, Boudjema K, Bachellier P, Jaeck D. Surgical resection of colorectal carcinoma metastases to the liver. A prognostic </w:t>
      </w:r>
      <w:r w:rsidRPr="003A7660">
        <w:rPr>
          <w:rFonts w:ascii="Book Antiqua" w:eastAsia="宋体" w:hAnsi="Book Antiqua"/>
          <w:kern w:val="2"/>
          <w:lang w:val="en-US" w:eastAsia="zh-CN"/>
        </w:rPr>
        <w:lastRenderedPageBreak/>
        <w:t xml:space="preserve">scoring system to improve case selection, based on 1568 patients. Association Française de Chirurgie. </w:t>
      </w:r>
      <w:r w:rsidRPr="003A7660">
        <w:rPr>
          <w:rFonts w:ascii="Book Antiqua" w:eastAsia="宋体" w:hAnsi="Book Antiqua"/>
          <w:i/>
          <w:kern w:val="2"/>
          <w:lang w:val="en-US" w:eastAsia="zh-CN"/>
        </w:rPr>
        <w:t>Cancer</w:t>
      </w:r>
      <w:r w:rsidRPr="003A7660">
        <w:rPr>
          <w:rFonts w:ascii="Book Antiqua" w:eastAsia="宋体" w:hAnsi="Book Antiqua"/>
          <w:kern w:val="2"/>
          <w:lang w:val="en-US" w:eastAsia="zh-CN"/>
        </w:rPr>
        <w:t xml:space="preserve"> 1996; </w:t>
      </w:r>
      <w:r w:rsidRPr="003A7660">
        <w:rPr>
          <w:rFonts w:ascii="Book Antiqua" w:eastAsia="宋体" w:hAnsi="Book Antiqua"/>
          <w:b/>
          <w:kern w:val="2"/>
          <w:lang w:val="en-US" w:eastAsia="zh-CN"/>
        </w:rPr>
        <w:t>77</w:t>
      </w:r>
      <w:r w:rsidRPr="003A7660">
        <w:rPr>
          <w:rFonts w:ascii="Book Antiqua" w:eastAsia="宋体" w:hAnsi="Book Antiqua"/>
          <w:kern w:val="2"/>
          <w:lang w:val="en-US" w:eastAsia="zh-CN"/>
        </w:rPr>
        <w:t>: 1254-1262 [PMID: 8608500 DOI: 10.1002/(SICI)1097-0142(19960401)77:73.3.CO;2-R]</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48 </w:t>
      </w:r>
      <w:r w:rsidRPr="003A7660">
        <w:rPr>
          <w:rFonts w:ascii="Book Antiqua" w:eastAsia="宋体" w:hAnsi="Book Antiqua"/>
          <w:b/>
          <w:kern w:val="2"/>
          <w:lang w:val="en-US" w:eastAsia="zh-CN"/>
        </w:rPr>
        <w:t>Arnold D</w:t>
      </w:r>
      <w:r w:rsidRPr="003A7660">
        <w:rPr>
          <w:rFonts w:ascii="Book Antiqua" w:eastAsia="宋体" w:hAnsi="Book Antiqua"/>
          <w:kern w:val="2"/>
          <w:lang w:val="en-US" w:eastAsia="zh-CN"/>
        </w:rPr>
        <w:t xml:space="preserve">, Lueza B, Douillard JY, Peeters M, Lenz HJ, Venook A, Heinemann V, Van Cutsem E, Pignon JP, Tabernero J, Cervantes A, Ciardiello F. Prognostic and predictive value of primary tumour side in patients with RAS wild-type metastatic colorectal cancer treated with chemotherapy and EGFR directed antibodies in six randomized trials. </w:t>
      </w:r>
      <w:r w:rsidRPr="003A7660">
        <w:rPr>
          <w:rFonts w:ascii="Book Antiqua" w:eastAsia="宋体" w:hAnsi="Book Antiqua"/>
          <w:i/>
          <w:kern w:val="2"/>
          <w:lang w:val="en-US" w:eastAsia="zh-CN"/>
        </w:rPr>
        <w:t>Ann Oncol</w:t>
      </w:r>
      <w:r w:rsidRPr="003A7660">
        <w:rPr>
          <w:rFonts w:ascii="Book Antiqua" w:eastAsia="宋体" w:hAnsi="Book Antiqua"/>
          <w:kern w:val="2"/>
          <w:lang w:val="en-US" w:eastAsia="zh-CN"/>
        </w:rPr>
        <w:t xml:space="preserve"> 2017; </w:t>
      </w:r>
      <w:r w:rsidRPr="003A7660">
        <w:rPr>
          <w:rFonts w:ascii="Book Antiqua" w:eastAsia="宋体" w:hAnsi="Book Antiqua"/>
          <w:b/>
          <w:kern w:val="2"/>
          <w:lang w:val="en-US" w:eastAsia="zh-CN"/>
        </w:rPr>
        <w:t>28</w:t>
      </w:r>
      <w:r w:rsidRPr="003A7660">
        <w:rPr>
          <w:rFonts w:ascii="Book Antiqua" w:eastAsia="宋体" w:hAnsi="Book Antiqua"/>
          <w:kern w:val="2"/>
          <w:lang w:val="en-US" w:eastAsia="zh-CN"/>
        </w:rPr>
        <w:t>: 1713-1729 [PMID: 28407110 DOI: 10.1093/annonc/mdx175]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49 </w:t>
      </w:r>
      <w:r w:rsidRPr="003A7660">
        <w:rPr>
          <w:rFonts w:ascii="Book Antiqua" w:eastAsia="宋体" w:hAnsi="Book Antiqua"/>
          <w:b/>
          <w:kern w:val="2"/>
          <w:lang w:val="en-US" w:eastAsia="zh-CN"/>
        </w:rPr>
        <w:t>Adam R</w:t>
      </w:r>
      <w:r w:rsidRPr="003A7660">
        <w:rPr>
          <w:rFonts w:ascii="Book Antiqua" w:eastAsia="宋体" w:hAnsi="Book Antiqua"/>
          <w:kern w:val="2"/>
          <w:lang w:val="en-US" w:eastAsia="zh-CN"/>
        </w:rPr>
        <w:t xml:space="preserve">, de Haas RJ, Wicherts DA, Vibert E, Salloum C, Azoulay D, Castaing D. Concomitant extrahepatic disease in patients with colorectal liver metastases: when is there a place for surgery?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2011; </w:t>
      </w:r>
      <w:r w:rsidRPr="003A7660">
        <w:rPr>
          <w:rFonts w:ascii="Book Antiqua" w:eastAsia="宋体" w:hAnsi="Book Antiqua"/>
          <w:b/>
          <w:kern w:val="2"/>
          <w:lang w:val="en-US" w:eastAsia="zh-CN"/>
        </w:rPr>
        <w:t>253</w:t>
      </w:r>
      <w:r w:rsidRPr="003A7660">
        <w:rPr>
          <w:rFonts w:ascii="Book Antiqua" w:eastAsia="宋体" w:hAnsi="Book Antiqua"/>
          <w:kern w:val="2"/>
          <w:lang w:val="en-US" w:eastAsia="zh-CN"/>
        </w:rPr>
        <w:t>: 349-359 [PMID: 21178761 DOI: 10.1097/SLA.0b013e318207bf2c]</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50 </w:t>
      </w:r>
      <w:r w:rsidRPr="003A7660">
        <w:rPr>
          <w:rFonts w:ascii="Book Antiqua" w:eastAsia="宋体" w:hAnsi="Book Antiqua"/>
          <w:b/>
          <w:kern w:val="2"/>
          <w:lang w:val="en-US" w:eastAsia="zh-CN"/>
        </w:rPr>
        <w:t>Modest DP</w:t>
      </w:r>
      <w:r w:rsidRPr="003A7660">
        <w:rPr>
          <w:rFonts w:ascii="Book Antiqua" w:eastAsia="宋体" w:hAnsi="Book Antiqua"/>
          <w:kern w:val="2"/>
          <w:lang w:val="en-US" w:eastAsia="zh-CN"/>
        </w:rPr>
        <w:t xml:space="preserve">, Schulz C, von Weikersthal LF, Quietzsch D, von Einem JC, Schalhorn A, Vehling-Kaiser U, Laubender RP, Giessen C, Stintzing S, Heinemann V. Outcome of patients with metastatic colorectal cancer depends on the primary tumor site (midgut vs. hindgut): analysis of the FIRE1-trial (FuFIRI or mIROX as first-line treatment). </w:t>
      </w:r>
      <w:r w:rsidRPr="003A7660">
        <w:rPr>
          <w:rFonts w:ascii="Book Antiqua" w:eastAsia="宋体" w:hAnsi="Book Antiqua"/>
          <w:i/>
          <w:kern w:val="2"/>
          <w:lang w:val="en-US" w:eastAsia="zh-CN"/>
        </w:rPr>
        <w:t>Anticancer Drugs</w:t>
      </w:r>
      <w:r w:rsidRPr="003A7660">
        <w:rPr>
          <w:rFonts w:ascii="Book Antiqua" w:eastAsia="宋体" w:hAnsi="Book Antiqua"/>
          <w:kern w:val="2"/>
          <w:lang w:val="en-US" w:eastAsia="zh-CN"/>
        </w:rPr>
        <w:t xml:space="preserve"> 2014; </w:t>
      </w:r>
      <w:r w:rsidRPr="003A7660">
        <w:rPr>
          <w:rFonts w:ascii="Book Antiqua" w:eastAsia="宋体" w:hAnsi="Book Antiqua"/>
          <w:b/>
          <w:kern w:val="2"/>
          <w:lang w:val="en-US" w:eastAsia="zh-CN"/>
        </w:rPr>
        <w:t>25</w:t>
      </w:r>
      <w:r w:rsidRPr="003A7660">
        <w:rPr>
          <w:rFonts w:ascii="Book Antiqua" w:eastAsia="宋体" w:hAnsi="Book Antiqua"/>
          <w:kern w:val="2"/>
          <w:lang w:val="en-US" w:eastAsia="zh-CN"/>
        </w:rPr>
        <w:t>: 212-218 [PMID: 24201305 DOI: 10.1097/CAD.0000000000000041]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51 </w:t>
      </w:r>
      <w:r w:rsidRPr="003A7660">
        <w:rPr>
          <w:rFonts w:ascii="Book Antiqua" w:eastAsia="宋体" w:hAnsi="Book Antiqua"/>
          <w:b/>
          <w:kern w:val="2"/>
          <w:lang w:val="en-US" w:eastAsia="zh-CN"/>
        </w:rPr>
        <w:t>Petrelli F</w:t>
      </w:r>
      <w:r w:rsidRPr="003A7660">
        <w:rPr>
          <w:rFonts w:ascii="Book Antiqua" w:eastAsia="宋体" w:hAnsi="Book Antiqua"/>
          <w:kern w:val="2"/>
          <w:lang w:val="en-US" w:eastAsia="zh-CN"/>
        </w:rPr>
        <w:t xml:space="preserve">, Tomasello G, Borgonovo K, Ghidini M, Turati L, Dallera P, Passalacqua R, Sgroi G, Barni S. Prognostic Survival Associated With Left-Sided vs Right-Sided Colon Cancer: A Systematic Review and Meta-analysis. </w:t>
      </w:r>
      <w:r w:rsidRPr="003A7660">
        <w:rPr>
          <w:rFonts w:ascii="Book Antiqua" w:eastAsia="宋体" w:hAnsi="Book Antiqua"/>
          <w:i/>
          <w:kern w:val="2"/>
          <w:lang w:val="en-US" w:eastAsia="zh-CN"/>
        </w:rPr>
        <w:t>JAMA Oncol</w:t>
      </w:r>
      <w:r w:rsidRPr="003A7660">
        <w:rPr>
          <w:rFonts w:ascii="Book Antiqua" w:eastAsia="宋体" w:hAnsi="Book Antiqua"/>
          <w:kern w:val="2"/>
          <w:lang w:val="en-US" w:eastAsia="zh-CN"/>
        </w:rPr>
        <w:t xml:space="preserve"> 2016 [PMID: </w:t>
      </w:r>
      <w:bookmarkStart w:id="12" w:name="OLE_LINK106"/>
      <w:bookmarkStart w:id="13" w:name="OLE_LINK107"/>
      <w:r w:rsidRPr="003A7660">
        <w:rPr>
          <w:rFonts w:ascii="Book Antiqua" w:eastAsia="宋体" w:hAnsi="Book Antiqua"/>
          <w:kern w:val="2"/>
          <w:lang w:val="en-US" w:eastAsia="zh-CN"/>
        </w:rPr>
        <w:t>27787550</w:t>
      </w:r>
      <w:bookmarkEnd w:id="12"/>
      <w:bookmarkEnd w:id="13"/>
      <w:r w:rsidRPr="003A7660">
        <w:rPr>
          <w:rFonts w:ascii="Book Antiqua" w:eastAsia="宋体" w:hAnsi="Book Antiqua"/>
          <w:kern w:val="2"/>
          <w:lang w:val="en-US" w:eastAsia="zh-CN"/>
        </w:rPr>
        <w:t xml:space="preserve"> DOI: 10.1001/jamaoncol.2016.4227]</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52 </w:t>
      </w:r>
      <w:r w:rsidRPr="003A7660">
        <w:rPr>
          <w:rFonts w:ascii="Book Antiqua" w:eastAsia="宋体" w:hAnsi="Book Antiqua"/>
          <w:b/>
          <w:kern w:val="2"/>
          <w:lang w:val="en-US" w:eastAsia="zh-CN"/>
        </w:rPr>
        <w:t>O'Dwyer PJ</w:t>
      </w:r>
      <w:r w:rsidRPr="003A7660">
        <w:rPr>
          <w:rFonts w:ascii="Book Antiqua" w:eastAsia="宋体" w:hAnsi="Book Antiqua"/>
          <w:kern w:val="2"/>
          <w:lang w:val="en-US" w:eastAsia="zh-CN"/>
        </w:rPr>
        <w:t xml:space="preserve">, Manola J, Valone FH, Ryan LM, Hines JD, Wadler S, Haller DG, Arbuck SG, Weiner LM, Mayer RJ, Benson AB 3rd. Fluorouracil modulation in colorectal cancer: lack of improvement with N -phosphonoacetyl- l -aspartic acid or oral leucovorin or interferon, but enhanced therapeutic index with weekly 24-hour infusion schedule--an Eastern Cooperative Oncology Group/Cancer and Leukemia Group B Study. </w:t>
      </w:r>
      <w:r w:rsidRPr="003A7660">
        <w:rPr>
          <w:rFonts w:ascii="Book Antiqua" w:eastAsia="宋体" w:hAnsi="Book Antiqua"/>
          <w:i/>
          <w:kern w:val="2"/>
          <w:lang w:val="en-US" w:eastAsia="zh-CN"/>
        </w:rPr>
        <w:t>J Clin Oncol</w:t>
      </w:r>
      <w:r w:rsidRPr="003A7660">
        <w:rPr>
          <w:rFonts w:ascii="Book Antiqua" w:eastAsia="宋体" w:hAnsi="Book Antiqua"/>
          <w:kern w:val="2"/>
          <w:lang w:val="en-US" w:eastAsia="zh-CN"/>
        </w:rPr>
        <w:t xml:space="preserve"> 2001; </w:t>
      </w:r>
      <w:r w:rsidRPr="003A7660">
        <w:rPr>
          <w:rFonts w:ascii="Book Antiqua" w:eastAsia="宋体" w:hAnsi="Book Antiqua"/>
          <w:b/>
          <w:kern w:val="2"/>
          <w:lang w:val="en-US" w:eastAsia="zh-CN"/>
        </w:rPr>
        <w:t>19</w:t>
      </w:r>
      <w:r w:rsidRPr="003A7660">
        <w:rPr>
          <w:rFonts w:ascii="Book Antiqua" w:eastAsia="宋体" w:hAnsi="Book Antiqua"/>
          <w:kern w:val="2"/>
          <w:lang w:val="en-US" w:eastAsia="zh-CN"/>
        </w:rPr>
        <w:t>: 2413-2421 [PMID: 11331320 DOI: 10.1200/JCO.2001.19.9.2413]</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53 </w:t>
      </w:r>
      <w:r w:rsidRPr="003A7660">
        <w:rPr>
          <w:rFonts w:ascii="Book Antiqua" w:eastAsia="宋体" w:hAnsi="Book Antiqua"/>
          <w:b/>
          <w:kern w:val="2"/>
          <w:lang w:val="en-US" w:eastAsia="zh-CN"/>
        </w:rPr>
        <w:t>Tejpar S</w:t>
      </w:r>
      <w:r w:rsidRPr="003A7660">
        <w:rPr>
          <w:rFonts w:ascii="Book Antiqua" w:eastAsia="宋体" w:hAnsi="Book Antiqua"/>
          <w:kern w:val="2"/>
          <w:lang w:val="en-US" w:eastAsia="zh-CN"/>
        </w:rPr>
        <w:t xml:space="preserve">, Stintzing S, Ciardiello F, Tabernero J, Van Cutsem E, Beier F, Esser R, </w:t>
      </w:r>
      <w:r w:rsidRPr="003A7660">
        <w:rPr>
          <w:rFonts w:ascii="Book Antiqua" w:eastAsia="宋体" w:hAnsi="Book Antiqua"/>
          <w:kern w:val="2"/>
          <w:lang w:val="en-US" w:eastAsia="zh-CN"/>
        </w:rPr>
        <w:lastRenderedPageBreak/>
        <w:t xml:space="preserve">Lenz HJ, Heinemann V. Prognostic and Predictive Relevance of Primary Tumor Location in Patients With RAS Wild-Type Metastatic Colorectal Cancer: Retrospective Analyses of the CRYSTAL and FIRE-3 Trials. </w:t>
      </w:r>
      <w:r w:rsidRPr="003A7660">
        <w:rPr>
          <w:rFonts w:ascii="Book Antiqua" w:eastAsia="宋体" w:hAnsi="Book Antiqua"/>
          <w:i/>
          <w:kern w:val="2"/>
          <w:lang w:val="en-US" w:eastAsia="zh-CN"/>
        </w:rPr>
        <w:t>JAMA Oncol</w:t>
      </w:r>
      <w:r w:rsidRPr="003A7660">
        <w:rPr>
          <w:rFonts w:ascii="Book Antiqua" w:eastAsia="宋体" w:hAnsi="Book Antiqua"/>
          <w:kern w:val="2"/>
          <w:lang w:val="en-US" w:eastAsia="zh-CN"/>
        </w:rPr>
        <w:t xml:space="preserve"> 2016 [PMID: </w:t>
      </w:r>
      <w:bookmarkStart w:id="14" w:name="OLE_LINK108"/>
      <w:r w:rsidRPr="003A7660">
        <w:rPr>
          <w:rFonts w:ascii="Book Antiqua" w:eastAsia="宋体" w:hAnsi="Book Antiqua"/>
          <w:kern w:val="2"/>
          <w:lang w:val="en-US" w:eastAsia="zh-CN"/>
        </w:rPr>
        <w:t>27722750</w:t>
      </w:r>
      <w:bookmarkEnd w:id="14"/>
      <w:r w:rsidRPr="003A7660">
        <w:rPr>
          <w:rFonts w:ascii="Book Antiqua" w:eastAsia="宋体" w:hAnsi="Book Antiqua"/>
          <w:kern w:val="2"/>
          <w:lang w:val="en-US" w:eastAsia="zh-CN"/>
        </w:rPr>
        <w:t xml:space="preserve"> DOI: 10.1001/jamaoncol.2016.3797]</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54 </w:t>
      </w:r>
      <w:r w:rsidRPr="003A7660">
        <w:rPr>
          <w:rFonts w:ascii="Book Antiqua" w:eastAsia="宋体" w:hAnsi="Book Antiqua"/>
          <w:b/>
          <w:kern w:val="2"/>
          <w:lang w:val="en-US" w:eastAsia="zh-CN"/>
        </w:rPr>
        <w:t>Pietrantonio F</w:t>
      </w:r>
      <w:r w:rsidRPr="003A7660">
        <w:rPr>
          <w:rFonts w:ascii="Book Antiqua" w:eastAsia="宋体" w:hAnsi="Book Antiqua"/>
          <w:kern w:val="2"/>
          <w:lang w:val="en-US" w:eastAsia="zh-CN"/>
        </w:rPr>
        <w:t xml:space="preserve">, Mazzaferro V, Miceli R, Cotsoglou C, Melotti F, Fanetti G, Perrone F, Biondani P, Muscarà C, Di Bartolomeo M, Coppa J, Maggi C, Milione M, Tamborini E, de Braud F. Pathological response after neoadjuvant bevacizumab- or cetuximab-based chemotherapy in resected colorectal cancer liver metastases. </w:t>
      </w:r>
      <w:r w:rsidRPr="003A7660">
        <w:rPr>
          <w:rFonts w:ascii="Book Antiqua" w:eastAsia="宋体" w:hAnsi="Book Antiqua"/>
          <w:i/>
          <w:kern w:val="2"/>
          <w:lang w:val="en-US" w:eastAsia="zh-CN"/>
        </w:rPr>
        <w:t>Med Oncol</w:t>
      </w:r>
      <w:r w:rsidRPr="003A7660">
        <w:rPr>
          <w:rFonts w:ascii="Book Antiqua" w:eastAsia="宋体" w:hAnsi="Book Antiqua"/>
          <w:kern w:val="2"/>
          <w:lang w:val="en-US" w:eastAsia="zh-CN"/>
        </w:rPr>
        <w:t xml:space="preserve"> 2015; </w:t>
      </w:r>
      <w:r w:rsidRPr="003A7660">
        <w:rPr>
          <w:rFonts w:ascii="Book Antiqua" w:eastAsia="宋体" w:hAnsi="Book Antiqua"/>
          <w:b/>
          <w:kern w:val="2"/>
          <w:lang w:val="en-US" w:eastAsia="zh-CN"/>
        </w:rPr>
        <w:t>32</w:t>
      </w:r>
      <w:r w:rsidRPr="003A7660">
        <w:rPr>
          <w:rFonts w:ascii="Book Antiqua" w:eastAsia="宋体" w:hAnsi="Book Antiqua"/>
          <w:kern w:val="2"/>
          <w:lang w:val="en-US" w:eastAsia="zh-CN"/>
        </w:rPr>
        <w:t>: 182 [PMID: 26003673 DOI: 10.1007/s12032-015-0638-3]</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55 </w:t>
      </w:r>
      <w:r w:rsidRPr="003A7660">
        <w:rPr>
          <w:rFonts w:ascii="Book Antiqua" w:eastAsia="宋体" w:hAnsi="Book Antiqua"/>
          <w:b/>
          <w:kern w:val="2"/>
          <w:lang w:val="en-US" w:eastAsia="zh-CN"/>
        </w:rPr>
        <w:t>Yamamoto J</w:t>
      </w:r>
      <w:r w:rsidRPr="003A7660">
        <w:rPr>
          <w:rFonts w:ascii="Book Antiqua" w:eastAsia="宋体" w:hAnsi="Book Antiqua"/>
          <w:kern w:val="2"/>
          <w:lang w:val="en-US" w:eastAsia="zh-CN"/>
        </w:rPr>
        <w:t xml:space="preserve">, Shimada K, Kosuge T, Yamasaki S, Sakamoto M, Fukuda H. Factors influencing survival of patients undergoing hepatectomy for colorectal metastases. </w:t>
      </w:r>
      <w:r w:rsidRPr="003A7660">
        <w:rPr>
          <w:rFonts w:ascii="Book Antiqua" w:eastAsia="宋体" w:hAnsi="Book Antiqua"/>
          <w:i/>
          <w:kern w:val="2"/>
          <w:lang w:val="en-US" w:eastAsia="zh-CN"/>
        </w:rPr>
        <w:t>Br J Surg</w:t>
      </w:r>
      <w:r w:rsidRPr="003A7660">
        <w:rPr>
          <w:rFonts w:ascii="Book Antiqua" w:eastAsia="宋体" w:hAnsi="Book Antiqua"/>
          <w:kern w:val="2"/>
          <w:lang w:val="en-US" w:eastAsia="zh-CN"/>
        </w:rPr>
        <w:t xml:space="preserve"> 1999; </w:t>
      </w:r>
      <w:r w:rsidRPr="003A7660">
        <w:rPr>
          <w:rFonts w:ascii="Book Antiqua" w:eastAsia="宋体" w:hAnsi="Book Antiqua"/>
          <w:b/>
          <w:kern w:val="2"/>
          <w:lang w:val="en-US" w:eastAsia="zh-CN"/>
        </w:rPr>
        <w:t>86</w:t>
      </w:r>
      <w:r w:rsidRPr="003A7660">
        <w:rPr>
          <w:rFonts w:ascii="Book Antiqua" w:eastAsia="宋体" w:hAnsi="Book Antiqua"/>
          <w:kern w:val="2"/>
          <w:lang w:val="en-US" w:eastAsia="zh-CN"/>
        </w:rPr>
        <w:t>: 332-337 [PMID: 10201774 DOI: 10.1046/j.1365-2168.1999.01030.x]</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56 </w:t>
      </w:r>
      <w:r w:rsidRPr="003A7660">
        <w:rPr>
          <w:rFonts w:ascii="Book Antiqua" w:eastAsia="宋体" w:hAnsi="Book Antiqua"/>
          <w:b/>
          <w:kern w:val="2"/>
          <w:lang w:val="en-US" w:eastAsia="zh-CN"/>
        </w:rPr>
        <w:t>Hohenberger P</w:t>
      </w:r>
      <w:r w:rsidRPr="003A7660">
        <w:rPr>
          <w:rFonts w:ascii="Book Antiqua" w:eastAsia="宋体" w:hAnsi="Book Antiqua"/>
          <w:kern w:val="2"/>
          <w:lang w:val="en-US" w:eastAsia="zh-CN"/>
        </w:rPr>
        <w:t xml:space="preserve">, Schlag PM, Gerneth T, Herfarth C. Pre- and postoperative carcinoembryonic antigen determinations in hepatic resection for colorectal metastases. Predictive value and implications for adjuvant treatment based on multivariate analysis.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1994; </w:t>
      </w:r>
      <w:r w:rsidRPr="003A7660">
        <w:rPr>
          <w:rFonts w:ascii="Book Antiqua" w:eastAsia="宋体" w:hAnsi="Book Antiqua"/>
          <w:b/>
          <w:kern w:val="2"/>
          <w:lang w:val="en-US" w:eastAsia="zh-CN"/>
        </w:rPr>
        <w:t>219</w:t>
      </w:r>
      <w:r w:rsidRPr="003A7660">
        <w:rPr>
          <w:rFonts w:ascii="Book Antiqua" w:eastAsia="宋体" w:hAnsi="Book Antiqua"/>
          <w:kern w:val="2"/>
          <w:lang w:val="en-US" w:eastAsia="zh-CN"/>
        </w:rPr>
        <w:t>: 135-143 [PMID: 8129484 DOI: 10.1097/00000658-199402000-00005]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57 </w:t>
      </w:r>
      <w:r w:rsidRPr="003A7660">
        <w:rPr>
          <w:rFonts w:ascii="Book Antiqua" w:eastAsia="宋体" w:hAnsi="Book Antiqua"/>
          <w:b/>
          <w:kern w:val="2"/>
          <w:lang w:val="en-US" w:eastAsia="zh-CN"/>
        </w:rPr>
        <w:t>John SK</w:t>
      </w:r>
      <w:r w:rsidRPr="003A7660">
        <w:rPr>
          <w:rFonts w:ascii="Book Antiqua" w:eastAsia="宋体" w:hAnsi="Book Antiqua"/>
          <w:kern w:val="2"/>
          <w:lang w:val="en-US" w:eastAsia="zh-CN"/>
        </w:rPr>
        <w:t xml:space="preserve">, Robinson SM, Rehman S, Harrison B, Vallance A, French JJ, Jaques BC, Charnley RM, Manas DM, White SA. Prognostic factors and survival after resection of colorectal liver metastasis in the era of preoperative chemotherapy: an 11-year single-centre study. </w:t>
      </w:r>
      <w:r w:rsidRPr="003A7660">
        <w:rPr>
          <w:rFonts w:ascii="Book Antiqua" w:eastAsia="宋体" w:hAnsi="Book Antiqua"/>
          <w:i/>
          <w:kern w:val="2"/>
          <w:lang w:val="en-US" w:eastAsia="zh-CN"/>
        </w:rPr>
        <w:t>Dig Surg</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30</w:t>
      </w:r>
      <w:r w:rsidRPr="003A7660">
        <w:rPr>
          <w:rFonts w:ascii="Book Antiqua" w:eastAsia="宋体" w:hAnsi="Book Antiqua"/>
          <w:kern w:val="2"/>
          <w:lang w:val="en-US" w:eastAsia="zh-CN"/>
        </w:rPr>
        <w:t>: 293-301 [PMID: 23969407 DOI: 10.1159/000354310]</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58 </w:t>
      </w:r>
      <w:r w:rsidRPr="003A7660">
        <w:rPr>
          <w:rFonts w:ascii="Book Antiqua" w:eastAsia="宋体" w:hAnsi="Book Antiqua"/>
          <w:b/>
          <w:kern w:val="2"/>
          <w:lang w:val="en-US" w:eastAsia="zh-CN"/>
        </w:rPr>
        <w:t>Viganò L</w:t>
      </w:r>
      <w:r w:rsidRPr="003A7660">
        <w:rPr>
          <w:rFonts w:ascii="Book Antiqua" w:eastAsia="宋体" w:hAnsi="Book Antiqua"/>
          <w:kern w:val="2"/>
          <w:lang w:val="en-US" w:eastAsia="zh-CN"/>
        </w:rPr>
        <w:t xml:space="preserve">, Capussotti L, Lapointe R, Barroso E, Hubert C, Giuliante F, Ijzermans JN, Mirza DF, Elias D, Adam R. Early recurrence after liver resection for colorectal metastases: risk factors, prognosis, and treatment. A LiverMetSurvey-based study of 6,025 patients. </w:t>
      </w:r>
      <w:r w:rsidRPr="003A7660">
        <w:rPr>
          <w:rFonts w:ascii="Book Antiqua" w:eastAsia="宋体" w:hAnsi="Book Antiqua"/>
          <w:i/>
          <w:kern w:val="2"/>
          <w:lang w:val="en-US" w:eastAsia="zh-CN"/>
        </w:rPr>
        <w:t>Ann Surg Oncol</w:t>
      </w:r>
      <w:r w:rsidRPr="003A7660">
        <w:rPr>
          <w:rFonts w:ascii="Book Antiqua" w:eastAsia="宋体" w:hAnsi="Book Antiqua"/>
          <w:kern w:val="2"/>
          <w:lang w:val="en-US" w:eastAsia="zh-CN"/>
        </w:rPr>
        <w:t xml:space="preserve"> 2014; </w:t>
      </w:r>
      <w:r w:rsidRPr="003A7660">
        <w:rPr>
          <w:rFonts w:ascii="Book Antiqua" w:eastAsia="宋体" w:hAnsi="Book Antiqua"/>
          <w:b/>
          <w:kern w:val="2"/>
          <w:lang w:val="en-US" w:eastAsia="zh-CN"/>
        </w:rPr>
        <w:t>21</w:t>
      </w:r>
      <w:r w:rsidRPr="003A7660">
        <w:rPr>
          <w:rFonts w:ascii="Book Antiqua" w:eastAsia="宋体" w:hAnsi="Book Antiqua"/>
          <w:kern w:val="2"/>
          <w:lang w:val="en-US" w:eastAsia="zh-CN"/>
        </w:rPr>
        <w:t>: 1276-1286 [PMID: 24346766 DOI: 10.1245/s10434-013-3421-8]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59 </w:t>
      </w:r>
      <w:r w:rsidRPr="003A7660">
        <w:rPr>
          <w:rFonts w:ascii="Book Antiqua" w:eastAsia="宋体" w:hAnsi="Book Antiqua"/>
          <w:b/>
          <w:kern w:val="2"/>
          <w:lang w:val="en-US" w:eastAsia="zh-CN"/>
        </w:rPr>
        <w:t>Ribero D</w:t>
      </w:r>
      <w:r w:rsidRPr="003A7660">
        <w:rPr>
          <w:rFonts w:ascii="Book Antiqua" w:eastAsia="宋体" w:hAnsi="Book Antiqua"/>
          <w:kern w:val="2"/>
          <w:lang w:val="en-US" w:eastAsia="zh-CN"/>
        </w:rPr>
        <w:t xml:space="preserve">, Viganò L, Amisano M, Capussotti L. Prognostic factors after resection of colorectal liver metastases: from morphology to biology. </w:t>
      </w:r>
      <w:r w:rsidRPr="003A7660">
        <w:rPr>
          <w:rFonts w:ascii="Book Antiqua" w:eastAsia="宋体" w:hAnsi="Book Antiqua"/>
          <w:i/>
          <w:kern w:val="2"/>
          <w:lang w:val="en-US" w:eastAsia="zh-CN"/>
        </w:rPr>
        <w:t>Future Oncol</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9</w:t>
      </w:r>
      <w:r w:rsidRPr="003A7660">
        <w:rPr>
          <w:rFonts w:ascii="Book Antiqua" w:eastAsia="宋体" w:hAnsi="Book Antiqua"/>
          <w:kern w:val="2"/>
          <w:lang w:val="en-US" w:eastAsia="zh-CN"/>
        </w:rPr>
        <w:t>: 45-57 [PMID: 23252563 DOI: 10.2217/fon.12.159]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60 </w:t>
      </w:r>
      <w:r w:rsidRPr="003A7660">
        <w:rPr>
          <w:rFonts w:ascii="Book Antiqua" w:eastAsia="宋体" w:hAnsi="Book Antiqua"/>
          <w:b/>
          <w:kern w:val="2"/>
          <w:lang w:val="en-US" w:eastAsia="zh-CN"/>
        </w:rPr>
        <w:t>Zhou L</w:t>
      </w:r>
      <w:r w:rsidRPr="003A7660">
        <w:rPr>
          <w:rFonts w:ascii="Book Antiqua" w:eastAsia="宋体" w:hAnsi="Book Antiqua"/>
          <w:kern w:val="2"/>
          <w:lang w:val="en-US" w:eastAsia="zh-CN"/>
        </w:rPr>
        <w:t xml:space="preserve">, Zhag G, Tang T, Lian R, Wang W. Retrospective analysis of clinical and </w:t>
      </w:r>
      <w:r w:rsidRPr="003A7660">
        <w:rPr>
          <w:rFonts w:ascii="Book Antiqua" w:eastAsia="宋体" w:hAnsi="Book Antiqua"/>
          <w:kern w:val="2"/>
          <w:lang w:val="en-US" w:eastAsia="zh-CN"/>
        </w:rPr>
        <w:lastRenderedPageBreak/>
        <w:t xml:space="preserve">pathologic risk factors in liver resection for hepatic colorectal metastases. </w:t>
      </w:r>
      <w:r w:rsidRPr="003A7660">
        <w:rPr>
          <w:rFonts w:ascii="Book Antiqua" w:eastAsia="宋体" w:hAnsi="Book Antiqua"/>
          <w:i/>
          <w:kern w:val="2"/>
          <w:lang w:val="en-US" w:eastAsia="zh-CN"/>
        </w:rPr>
        <w:t>J Cancer Res Ther</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9 Suppl</w:t>
      </w:r>
      <w:r w:rsidRPr="003A7660">
        <w:rPr>
          <w:rFonts w:ascii="Book Antiqua" w:eastAsia="宋体" w:hAnsi="Book Antiqua"/>
          <w:kern w:val="2"/>
          <w:lang w:val="en-US" w:eastAsia="zh-CN"/>
        </w:rPr>
        <w:t>: S178-S182 [PMID: 24516057 DOI: 10.4103/0973-1482.122521]</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61 </w:t>
      </w:r>
      <w:r w:rsidRPr="003A7660">
        <w:rPr>
          <w:rFonts w:ascii="Book Antiqua" w:eastAsia="宋体" w:hAnsi="Book Antiqua"/>
          <w:b/>
          <w:kern w:val="2"/>
          <w:lang w:val="en-US" w:eastAsia="zh-CN"/>
        </w:rPr>
        <w:t>Brudvik KW</w:t>
      </w:r>
      <w:r w:rsidRPr="003A7660">
        <w:rPr>
          <w:rFonts w:ascii="Book Antiqua" w:eastAsia="宋体" w:hAnsi="Book Antiqua"/>
          <w:kern w:val="2"/>
          <w:lang w:val="en-US" w:eastAsia="zh-CN"/>
        </w:rPr>
        <w:t xml:space="preserve">, Jones RP, Giuliante F, Shindoh J, Passot G, Chung MH, Song J, Li L, Dagenborg VJ, Fretland ÅA, Røsok B, De Rose AM, Ardito F, Edwin B, Panettieri E, Larocca LM, Yamashita S, Conrad C, Aloia TA, Poston GJ, Bjørnbeth BA, Vauthey JN. RAS Mutation Clinical Risk Score to Predict Survival After Resection of Colorectal Liver Metastases.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2019; </w:t>
      </w:r>
      <w:r w:rsidRPr="003A7660">
        <w:rPr>
          <w:rFonts w:ascii="Book Antiqua" w:eastAsia="宋体" w:hAnsi="Book Antiqua"/>
          <w:b/>
          <w:kern w:val="2"/>
          <w:lang w:val="en-US" w:eastAsia="zh-CN"/>
        </w:rPr>
        <w:t>269</w:t>
      </w:r>
      <w:r w:rsidRPr="003A7660">
        <w:rPr>
          <w:rFonts w:ascii="Book Antiqua" w:eastAsia="宋体" w:hAnsi="Book Antiqua"/>
          <w:kern w:val="2"/>
          <w:lang w:val="en-US" w:eastAsia="zh-CN"/>
        </w:rPr>
        <w:t>: 120-126 [PMID: 28549012 DOI: 10.1097/SLA.0000000000002319]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62 </w:t>
      </w:r>
      <w:r w:rsidRPr="003A7660">
        <w:rPr>
          <w:rFonts w:ascii="Book Antiqua" w:eastAsia="宋体" w:hAnsi="Book Antiqua"/>
          <w:b/>
          <w:kern w:val="2"/>
          <w:lang w:val="en-US" w:eastAsia="zh-CN"/>
        </w:rPr>
        <w:t>Denbo JW</w:t>
      </w:r>
      <w:r w:rsidRPr="003A7660">
        <w:rPr>
          <w:rFonts w:ascii="Book Antiqua" w:eastAsia="宋体" w:hAnsi="Book Antiqua"/>
          <w:kern w:val="2"/>
          <w:lang w:val="en-US" w:eastAsia="zh-CN"/>
        </w:rPr>
        <w:t xml:space="preserve">, Yamashita S, Passot G, Egger M, Chun YS, Kopetz SE, Maru D, Brudvik KW, Wei SH, Conrad C, Vauthey JN, Aloia TA. RAS Mutation Is Associated with Decreased Survival in Patients Undergoing Repeat Hepatectomy for Colorectal Liver Metastases. </w:t>
      </w:r>
      <w:r w:rsidRPr="003A7660">
        <w:rPr>
          <w:rFonts w:ascii="Book Antiqua" w:eastAsia="宋体" w:hAnsi="Book Antiqua"/>
          <w:i/>
          <w:kern w:val="2"/>
          <w:lang w:val="en-US" w:eastAsia="zh-CN"/>
        </w:rPr>
        <w:t>J Gastrointest Surg</w:t>
      </w:r>
      <w:r w:rsidRPr="003A7660">
        <w:rPr>
          <w:rFonts w:ascii="Book Antiqua" w:eastAsia="宋体" w:hAnsi="Book Antiqua"/>
          <w:kern w:val="2"/>
          <w:lang w:val="en-US" w:eastAsia="zh-CN"/>
        </w:rPr>
        <w:t xml:space="preserve"> 2017; </w:t>
      </w:r>
      <w:r w:rsidRPr="003A7660">
        <w:rPr>
          <w:rFonts w:ascii="Book Antiqua" w:eastAsia="宋体" w:hAnsi="Book Antiqua"/>
          <w:b/>
          <w:kern w:val="2"/>
          <w:lang w:val="en-US" w:eastAsia="zh-CN"/>
        </w:rPr>
        <w:t>21</w:t>
      </w:r>
      <w:r w:rsidRPr="003A7660">
        <w:rPr>
          <w:rFonts w:ascii="Book Antiqua" w:eastAsia="宋体" w:hAnsi="Book Antiqua"/>
          <w:kern w:val="2"/>
          <w:lang w:val="en-US" w:eastAsia="zh-CN"/>
        </w:rPr>
        <w:t>: 68-77 [PMID: 27334313 DOI: 10.1007/s11605-016-3189-9]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63 </w:t>
      </w:r>
      <w:r w:rsidRPr="003A7660">
        <w:rPr>
          <w:rFonts w:ascii="Book Antiqua" w:eastAsia="宋体" w:hAnsi="Book Antiqua"/>
          <w:b/>
          <w:kern w:val="2"/>
          <w:lang w:val="en-US" w:eastAsia="zh-CN"/>
        </w:rPr>
        <w:t>Karagkounis G</w:t>
      </w:r>
      <w:r w:rsidRPr="003A7660">
        <w:rPr>
          <w:rFonts w:ascii="Book Antiqua" w:eastAsia="宋体" w:hAnsi="Book Antiqua"/>
          <w:kern w:val="2"/>
          <w:lang w:val="en-US" w:eastAsia="zh-CN"/>
        </w:rPr>
        <w:t xml:space="preserve">, Torbenson MS, Daniel HD, Azad NS, Diaz LA Jr, Donehower RC, Hirose K, Ahuja N, Pawlik TM, Choti MA. Incidence and prognostic impact of KRAS and BRAF mutation in patients undergoing liver surgery for colorectal metastases. </w:t>
      </w:r>
      <w:r w:rsidRPr="003A7660">
        <w:rPr>
          <w:rFonts w:ascii="Book Antiqua" w:eastAsia="宋体" w:hAnsi="Book Antiqua"/>
          <w:i/>
          <w:kern w:val="2"/>
          <w:lang w:val="en-US" w:eastAsia="zh-CN"/>
        </w:rPr>
        <w:t>Cancer</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119</w:t>
      </w:r>
      <w:r w:rsidRPr="003A7660">
        <w:rPr>
          <w:rFonts w:ascii="Book Antiqua" w:eastAsia="宋体" w:hAnsi="Book Antiqua"/>
          <w:kern w:val="2"/>
          <w:lang w:val="en-US" w:eastAsia="zh-CN"/>
        </w:rPr>
        <w:t>: 4137-4144 [PMID: 24104864 DOI: 10.1002/cncr.28347]</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64 </w:t>
      </w:r>
      <w:r w:rsidRPr="003A7660">
        <w:rPr>
          <w:rFonts w:ascii="Book Antiqua" w:eastAsia="宋体" w:hAnsi="Book Antiqua"/>
          <w:b/>
          <w:kern w:val="2"/>
          <w:lang w:val="en-US" w:eastAsia="zh-CN"/>
        </w:rPr>
        <w:t>Nordlinger B</w:t>
      </w:r>
      <w:r w:rsidRPr="003A7660">
        <w:rPr>
          <w:rFonts w:ascii="Book Antiqua" w:eastAsia="宋体" w:hAnsi="Book Antiqua"/>
          <w:kern w:val="2"/>
          <w:lang w:val="en-US" w:eastAsia="zh-CN"/>
        </w:rPr>
        <w:t xml:space="preserve">, Van Cutsem E, Gruenberger T, Glimelius B, Poston G, Rougier P, Sobrero A, Ychou M; European Colorectal Metastases Treatment Group; Sixth International Colorectal Liver Metastases Workshop. Combination of surgery and chemotherapy and the role of targeted agents in the treatment of patients with colorectal liver metastases: recommendations from an expert panel. </w:t>
      </w:r>
      <w:r w:rsidRPr="003A7660">
        <w:rPr>
          <w:rFonts w:ascii="Book Antiqua" w:eastAsia="宋体" w:hAnsi="Book Antiqua"/>
          <w:i/>
          <w:kern w:val="2"/>
          <w:lang w:val="en-US" w:eastAsia="zh-CN"/>
        </w:rPr>
        <w:t>Ann Oncol</w:t>
      </w:r>
      <w:r w:rsidRPr="003A7660">
        <w:rPr>
          <w:rFonts w:ascii="Book Antiqua" w:eastAsia="宋体" w:hAnsi="Book Antiqua"/>
          <w:kern w:val="2"/>
          <w:lang w:val="en-US" w:eastAsia="zh-CN"/>
        </w:rPr>
        <w:t xml:space="preserve"> 2009; </w:t>
      </w:r>
      <w:r w:rsidRPr="003A7660">
        <w:rPr>
          <w:rFonts w:ascii="Book Antiqua" w:eastAsia="宋体" w:hAnsi="Book Antiqua"/>
          <w:b/>
          <w:kern w:val="2"/>
          <w:lang w:val="en-US" w:eastAsia="zh-CN"/>
        </w:rPr>
        <w:t>20</w:t>
      </w:r>
      <w:r w:rsidRPr="003A7660">
        <w:rPr>
          <w:rFonts w:ascii="Book Antiqua" w:eastAsia="宋体" w:hAnsi="Book Antiqua"/>
          <w:kern w:val="2"/>
          <w:lang w:val="en-US" w:eastAsia="zh-CN"/>
        </w:rPr>
        <w:t>: 985-992 [PMID: 19153115 DOI: 10.1093/annonc/mdn735]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65 </w:t>
      </w:r>
      <w:r w:rsidRPr="003A7660">
        <w:rPr>
          <w:rFonts w:ascii="Book Antiqua" w:eastAsia="宋体" w:hAnsi="Book Antiqua"/>
          <w:b/>
          <w:kern w:val="2"/>
          <w:lang w:val="en-US" w:eastAsia="zh-CN"/>
        </w:rPr>
        <w:t>Vauthey JN</w:t>
      </w:r>
      <w:r w:rsidRPr="003A7660">
        <w:rPr>
          <w:rFonts w:ascii="Book Antiqua" w:eastAsia="宋体" w:hAnsi="Book Antiqua"/>
          <w:kern w:val="2"/>
          <w:lang w:val="en-US" w:eastAsia="zh-CN"/>
        </w:rPr>
        <w:t xml:space="preserve">, Zimmitti G, Kopetz SE, Shindoh J, Chen SS, Andreou A, Curley SA, Aloia TA, Maru DM. RAS mutation status predicts survival and patterns of recurrence in patients undergoing hepatectomy for colorectal liver metastases.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2013; </w:t>
      </w:r>
      <w:r w:rsidRPr="003A7660">
        <w:rPr>
          <w:rFonts w:ascii="Book Antiqua" w:eastAsia="宋体" w:hAnsi="Book Antiqua"/>
          <w:b/>
          <w:kern w:val="2"/>
          <w:lang w:val="en-US" w:eastAsia="zh-CN"/>
        </w:rPr>
        <w:t>258</w:t>
      </w:r>
      <w:r w:rsidRPr="003A7660">
        <w:rPr>
          <w:rFonts w:ascii="Book Antiqua" w:eastAsia="宋体" w:hAnsi="Book Antiqua"/>
          <w:kern w:val="2"/>
          <w:lang w:val="en-US" w:eastAsia="zh-CN"/>
        </w:rPr>
        <w:t>: 619-26; discussion 626-7 [PMID: 24018645 DOI: 10.1097/SLA.0b013e3182a5025a]</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66 </w:t>
      </w:r>
      <w:r w:rsidRPr="003A7660">
        <w:rPr>
          <w:rFonts w:ascii="Book Antiqua" w:eastAsia="宋体" w:hAnsi="Book Antiqua"/>
          <w:b/>
          <w:kern w:val="2"/>
          <w:lang w:val="en-US" w:eastAsia="zh-CN"/>
        </w:rPr>
        <w:t>Zimmitti G</w:t>
      </w:r>
      <w:r w:rsidRPr="003A7660">
        <w:rPr>
          <w:rFonts w:ascii="Book Antiqua" w:eastAsia="宋体" w:hAnsi="Book Antiqua"/>
          <w:kern w:val="2"/>
          <w:lang w:val="en-US" w:eastAsia="zh-CN"/>
        </w:rPr>
        <w:t xml:space="preserve">, Shindoh J, Mise Y, Kopetz S, Loyer EM, Andreou A, Cooper AB, Kaur H, Aloia TA, Maru DM, Vauthey JN. RAS mutations predict radiologic and pathologic response in patients treated with chemotherapy before resection of </w:t>
      </w:r>
      <w:r w:rsidRPr="003A7660">
        <w:rPr>
          <w:rFonts w:ascii="Book Antiqua" w:eastAsia="宋体" w:hAnsi="Book Antiqua"/>
          <w:kern w:val="2"/>
          <w:lang w:val="en-US" w:eastAsia="zh-CN"/>
        </w:rPr>
        <w:lastRenderedPageBreak/>
        <w:t xml:space="preserve">colorectal liver metastases. </w:t>
      </w:r>
      <w:r w:rsidRPr="003A7660">
        <w:rPr>
          <w:rFonts w:ascii="Book Antiqua" w:eastAsia="宋体" w:hAnsi="Book Antiqua"/>
          <w:i/>
          <w:kern w:val="2"/>
          <w:lang w:val="en-US" w:eastAsia="zh-CN"/>
        </w:rPr>
        <w:t>Ann Surg Oncol</w:t>
      </w:r>
      <w:r w:rsidRPr="003A7660">
        <w:rPr>
          <w:rFonts w:ascii="Book Antiqua" w:eastAsia="宋体" w:hAnsi="Book Antiqua"/>
          <w:kern w:val="2"/>
          <w:lang w:val="en-US" w:eastAsia="zh-CN"/>
        </w:rPr>
        <w:t xml:space="preserve"> 2015; </w:t>
      </w:r>
      <w:r w:rsidRPr="003A7660">
        <w:rPr>
          <w:rFonts w:ascii="Book Antiqua" w:eastAsia="宋体" w:hAnsi="Book Antiqua"/>
          <w:b/>
          <w:kern w:val="2"/>
          <w:lang w:val="en-US" w:eastAsia="zh-CN"/>
        </w:rPr>
        <w:t>22</w:t>
      </w:r>
      <w:r w:rsidRPr="003A7660">
        <w:rPr>
          <w:rFonts w:ascii="Book Antiqua" w:eastAsia="宋体" w:hAnsi="Book Antiqua"/>
          <w:kern w:val="2"/>
          <w:lang w:val="en-US" w:eastAsia="zh-CN"/>
        </w:rPr>
        <w:t>: 834-842 [PMID: 25227306 DOI: 10.1245/s10434-014-4042-6]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67 </w:t>
      </w:r>
      <w:r w:rsidRPr="003A7660">
        <w:rPr>
          <w:rFonts w:ascii="Book Antiqua" w:eastAsia="宋体" w:hAnsi="Book Antiqua"/>
          <w:b/>
          <w:kern w:val="2"/>
          <w:lang w:val="en-US" w:eastAsia="zh-CN"/>
        </w:rPr>
        <w:t>Brudvik KW</w:t>
      </w:r>
      <w:r w:rsidRPr="003A7660">
        <w:rPr>
          <w:rFonts w:ascii="Book Antiqua" w:eastAsia="宋体" w:hAnsi="Book Antiqua"/>
          <w:kern w:val="2"/>
          <w:lang w:val="en-US" w:eastAsia="zh-CN"/>
        </w:rPr>
        <w:t xml:space="preserve">, Mise Y, Chung MH, Chun YS, Kopetz SE, Passot G, Conrad C, Maru DM, Aloia TA, Vauthey JN. RAS Mutation Predicts Positive Resection Margins and Narrower Resection Margins in Patients Undergoing Resection of Colorectal Liver Metastases. </w:t>
      </w:r>
      <w:r w:rsidRPr="003A7660">
        <w:rPr>
          <w:rFonts w:ascii="Book Antiqua" w:eastAsia="宋体" w:hAnsi="Book Antiqua"/>
          <w:i/>
          <w:kern w:val="2"/>
          <w:lang w:val="en-US" w:eastAsia="zh-CN"/>
        </w:rPr>
        <w:t>Ann Surg Oncol</w:t>
      </w:r>
      <w:r w:rsidRPr="003A7660">
        <w:rPr>
          <w:rFonts w:ascii="Book Antiqua" w:eastAsia="宋体" w:hAnsi="Book Antiqua"/>
          <w:kern w:val="2"/>
          <w:lang w:val="en-US" w:eastAsia="zh-CN"/>
        </w:rPr>
        <w:t xml:space="preserve"> 2016; </w:t>
      </w:r>
      <w:r w:rsidRPr="003A7660">
        <w:rPr>
          <w:rFonts w:ascii="Book Antiqua" w:eastAsia="宋体" w:hAnsi="Book Antiqua"/>
          <w:b/>
          <w:kern w:val="2"/>
          <w:lang w:val="en-US" w:eastAsia="zh-CN"/>
        </w:rPr>
        <w:t>23</w:t>
      </w:r>
      <w:r w:rsidRPr="003A7660">
        <w:rPr>
          <w:rFonts w:ascii="Book Antiqua" w:eastAsia="宋体" w:hAnsi="Book Antiqua"/>
          <w:kern w:val="2"/>
          <w:lang w:val="en-US" w:eastAsia="zh-CN"/>
        </w:rPr>
        <w:t>: 2635-2643 [PMID: 27016292 DOI: 10.1245/s10434-016-5187-2]</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68 </w:t>
      </w:r>
      <w:r w:rsidRPr="003A7660">
        <w:rPr>
          <w:rFonts w:ascii="Book Antiqua" w:eastAsia="宋体" w:hAnsi="Book Antiqua"/>
          <w:b/>
          <w:kern w:val="2"/>
          <w:lang w:val="en-US" w:eastAsia="zh-CN"/>
        </w:rPr>
        <w:t>Adam R</w:t>
      </w:r>
      <w:r w:rsidRPr="003A7660">
        <w:rPr>
          <w:rFonts w:ascii="Book Antiqua" w:eastAsia="宋体" w:hAnsi="Book Antiqua"/>
          <w:kern w:val="2"/>
          <w:lang w:val="en-US" w:eastAsia="zh-CN"/>
        </w:rPr>
        <w:t xml:space="preserve">, Laurent A, Azoulay D, Castaing D, Bismuth H. Two-stage hepatectomy: A planned strategy to treat irresectable liver tumors.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2000; </w:t>
      </w:r>
      <w:r w:rsidRPr="003A7660">
        <w:rPr>
          <w:rFonts w:ascii="Book Antiqua" w:eastAsia="宋体" w:hAnsi="Book Antiqua"/>
          <w:b/>
          <w:kern w:val="2"/>
          <w:lang w:val="en-US" w:eastAsia="zh-CN"/>
        </w:rPr>
        <w:t>232</w:t>
      </w:r>
      <w:r w:rsidRPr="003A7660">
        <w:rPr>
          <w:rFonts w:ascii="Book Antiqua" w:eastAsia="宋体" w:hAnsi="Book Antiqua"/>
          <w:kern w:val="2"/>
          <w:lang w:val="en-US" w:eastAsia="zh-CN"/>
        </w:rPr>
        <w:t>: 777-785 [PMID: 11088072 DOI: 10.1097/00000658-200012000-00006]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69 </w:t>
      </w:r>
      <w:r w:rsidRPr="003A7660">
        <w:rPr>
          <w:rFonts w:ascii="Book Antiqua" w:eastAsia="宋体" w:hAnsi="Book Antiqua"/>
          <w:b/>
          <w:kern w:val="2"/>
          <w:lang w:val="en-US" w:eastAsia="zh-CN"/>
        </w:rPr>
        <w:t>Jaeck D</w:t>
      </w:r>
      <w:r w:rsidRPr="003A7660">
        <w:rPr>
          <w:rFonts w:ascii="Book Antiqua" w:eastAsia="宋体" w:hAnsi="Book Antiqua"/>
          <w:kern w:val="2"/>
          <w:lang w:val="en-US" w:eastAsia="zh-CN"/>
        </w:rPr>
        <w:t xml:space="preserve">, Oussoultzoglou E, Rosso E, Greget M, Weber JC, Bachellier P. A two-stage hepatectomy procedure combined with portal vein embolization to achieve curative resection for initially unresectable multiple and bilobar colorectal liver metastases.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2004; </w:t>
      </w:r>
      <w:r w:rsidRPr="003A7660">
        <w:rPr>
          <w:rFonts w:ascii="Book Antiqua" w:eastAsia="宋体" w:hAnsi="Book Antiqua"/>
          <w:b/>
          <w:kern w:val="2"/>
          <w:lang w:val="en-US" w:eastAsia="zh-CN"/>
        </w:rPr>
        <w:t>240</w:t>
      </w:r>
      <w:r w:rsidRPr="003A7660">
        <w:rPr>
          <w:rFonts w:ascii="Book Antiqua" w:eastAsia="宋体" w:hAnsi="Book Antiqua"/>
          <w:kern w:val="2"/>
          <w:lang w:val="en-US" w:eastAsia="zh-CN"/>
        </w:rPr>
        <w:t>: 1037-49; discussion 1049-51 [PMID: 15570209 DOI: 10.1097/01.sla.0000145965.86383.89]</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70 </w:t>
      </w:r>
      <w:r w:rsidRPr="003A7660">
        <w:rPr>
          <w:rFonts w:ascii="Book Antiqua" w:eastAsia="宋体" w:hAnsi="Book Antiqua"/>
          <w:b/>
          <w:kern w:val="2"/>
          <w:lang w:val="en-US" w:eastAsia="zh-CN"/>
        </w:rPr>
        <w:t>Adam R</w:t>
      </w:r>
      <w:r w:rsidRPr="003A7660">
        <w:rPr>
          <w:rFonts w:ascii="Book Antiqua" w:eastAsia="宋体" w:hAnsi="Book Antiqua"/>
          <w:kern w:val="2"/>
          <w:lang w:val="en-US" w:eastAsia="zh-CN"/>
        </w:rPr>
        <w:t xml:space="preserve">, Miller R, Pitombo M, Wicherts DA, de Haas RJ, Bitsakou G, Aloia T. Two-stage hepatectomy approach for initially unresectable colorectal hepatic metastases. </w:t>
      </w:r>
      <w:r w:rsidRPr="003A7660">
        <w:rPr>
          <w:rFonts w:ascii="Book Antiqua" w:eastAsia="宋体" w:hAnsi="Book Antiqua"/>
          <w:i/>
          <w:kern w:val="2"/>
          <w:lang w:val="en-US" w:eastAsia="zh-CN"/>
        </w:rPr>
        <w:t>Surg Oncol Clin N Am</w:t>
      </w:r>
      <w:r w:rsidRPr="003A7660">
        <w:rPr>
          <w:rFonts w:ascii="Book Antiqua" w:eastAsia="宋体" w:hAnsi="Book Antiqua"/>
          <w:kern w:val="2"/>
          <w:lang w:val="en-US" w:eastAsia="zh-CN"/>
        </w:rPr>
        <w:t xml:space="preserve"> 2007; </w:t>
      </w:r>
      <w:r w:rsidRPr="003A7660">
        <w:rPr>
          <w:rFonts w:ascii="Book Antiqua" w:eastAsia="宋体" w:hAnsi="Book Antiqua"/>
          <w:b/>
          <w:kern w:val="2"/>
          <w:lang w:val="en-US" w:eastAsia="zh-CN"/>
        </w:rPr>
        <w:t>16</w:t>
      </w:r>
      <w:r w:rsidRPr="003A7660">
        <w:rPr>
          <w:rFonts w:ascii="Book Antiqua" w:eastAsia="宋体" w:hAnsi="Book Antiqua"/>
          <w:kern w:val="2"/>
          <w:lang w:val="en-US" w:eastAsia="zh-CN"/>
        </w:rPr>
        <w:t>: 525-536, viii [PMID: 17606192 DOI: 10.1016/j.soc.2007.04.016]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71 </w:t>
      </w:r>
      <w:r w:rsidRPr="003A7660">
        <w:rPr>
          <w:rFonts w:ascii="Book Antiqua" w:eastAsia="宋体" w:hAnsi="Book Antiqua"/>
          <w:b/>
          <w:kern w:val="2"/>
          <w:lang w:val="en-US" w:eastAsia="zh-CN"/>
        </w:rPr>
        <w:t>Regimbeau JM</w:t>
      </w:r>
      <w:r w:rsidRPr="003A7660">
        <w:rPr>
          <w:rFonts w:ascii="Book Antiqua" w:eastAsia="宋体" w:hAnsi="Book Antiqua"/>
          <w:kern w:val="2"/>
          <w:lang w:val="en-US" w:eastAsia="zh-CN"/>
        </w:rPr>
        <w:t xml:space="preserve">, Cosse C, Kaiser G, Hubert C, Laurent C, Lapointe R, Isoniemi H, Adam R. Feasibility, safety and efficacy of two-stage hepatectomy for bilobar liver metastases of colorectal cancer: a LiverMetSurvey analysis. </w:t>
      </w:r>
      <w:r w:rsidRPr="003A7660">
        <w:rPr>
          <w:rFonts w:ascii="Book Antiqua" w:eastAsia="宋体" w:hAnsi="Book Antiqua"/>
          <w:i/>
          <w:kern w:val="2"/>
          <w:lang w:val="en-US" w:eastAsia="zh-CN"/>
        </w:rPr>
        <w:t>HPB (Oxford)</w:t>
      </w:r>
      <w:r w:rsidRPr="003A7660">
        <w:rPr>
          <w:rFonts w:ascii="Book Antiqua" w:eastAsia="宋体" w:hAnsi="Book Antiqua"/>
          <w:kern w:val="2"/>
          <w:lang w:val="en-US" w:eastAsia="zh-CN"/>
        </w:rPr>
        <w:t xml:space="preserve"> 2017; </w:t>
      </w:r>
      <w:r w:rsidRPr="003A7660">
        <w:rPr>
          <w:rFonts w:ascii="Book Antiqua" w:eastAsia="宋体" w:hAnsi="Book Antiqua"/>
          <w:b/>
          <w:kern w:val="2"/>
          <w:lang w:val="en-US" w:eastAsia="zh-CN"/>
        </w:rPr>
        <w:t>19</w:t>
      </w:r>
      <w:r w:rsidRPr="003A7660">
        <w:rPr>
          <w:rFonts w:ascii="Book Antiqua" w:eastAsia="宋体" w:hAnsi="Book Antiqua"/>
          <w:kern w:val="2"/>
          <w:lang w:val="en-US" w:eastAsia="zh-CN"/>
        </w:rPr>
        <w:t>: 396-405 [PMID: 28343889 DOI: 10.1016/j.hpb.2017.01.008]</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72 </w:t>
      </w:r>
      <w:r w:rsidRPr="003A7660">
        <w:rPr>
          <w:rFonts w:ascii="Book Antiqua" w:eastAsia="宋体" w:hAnsi="Book Antiqua"/>
          <w:b/>
          <w:kern w:val="2"/>
          <w:lang w:val="en-US" w:eastAsia="zh-CN"/>
        </w:rPr>
        <w:t>de Haas RJ</w:t>
      </w:r>
      <w:r w:rsidRPr="003A7660">
        <w:rPr>
          <w:rFonts w:ascii="Book Antiqua" w:eastAsia="宋体" w:hAnsi="Book Antiqua"/>
          <w:kern w:val="2"/>
          <w:lang w:val="en-US" w:eastAsia="zh-CN"/>
        </w:rPr>
        <w:t xml:space="preserve">, Adam R, Wicherts DA, Azoulay D, Bismuth H, Vibert E, Salloum C, Perdigao F, Benkabbou A, Castaing D. Comparison of simultaneous or delayed liver surgery for limited synchronous colorectal metastases. </w:t>
      </w:r>
      <w:r w:rsidRPr="003A7660">
        <w:rPr>
          <w:rFonts w:ascii="Book Antiqua" w:eastAsia="宋体" w:hAnsi="Book Antiqua"/>
          <w:i/>
          <w:kern w:val="2"/>
          <w:lang w:val="en-US" w:eastAsia="zh-CN"/>
        </w:rPr>
        <w:t>Br J Surg</w:t>
      </w:r>
      <w:r w:rsidRPr="003A7660">
        <w:rPr>
          <w:rFonts w:ascii="Book Antiqua" w:eastAsia="宋体" w:hAnsi="Book Antiqua"/>
          <w:kern w:val="2"/>
          <w:lang w:val="en-US" w:eastAsia="zh-CN"/>
        </w:rPr>
        <w:t xml:space="preserve"> 2010; </w:t>
      </w:r>
      <w:r w:rsidRPr="003A7660">
        <w:rPr>
          <w:rFonts w:ascii="Book Antiqua" w:eastAsia="宋体" w:hAnsi="Book Antiqua"/>
          <w:b/>
          <w:kern w:val="2"/>
          <w:lang w:val="en-US" w:eastAsia="zh-CN"/>
        </w:rPr>
        <w:t>97</w:t>
      </w:r>
      <w:r w:rsidRPr="003A7660">
        <w:rPr>
          <w:rFonts w:ascii="Book Antiqua" w:eastAsia="宋体" w:hAnsi="Book Antiqua"/>
          <w:kern w:val="2"/>
          <w:lang w:val="en-US" w:eastAsia="zh-CN"/>
        </w:rPr>
        <w:t>: 1279-1289 [PMID: 20578183 DOI: 10.1002/bjs.7106]</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73 </w:t>
      </w:r>
      <w:r w:rsidRPr="003A7660">
        <w:rPr>
          <w:rFonts w:ascii="Book Antiqua" w:eastAsia="宋体" w:hAnsi="Book Antiqua"/>
          <w:b/>
          <w:kern w:val="2"/>
          <w:lang w:val="en-US" w:eastAsia="zh-CN"/>
        </w:rPr>
        <w:t>Turrini O</w:t>
      </w:r>
      <w:r w:rsidRPr="003A7660">
        <w:rPr>
          <w:rFonts w:ascii="Book Antiqua" w:eastAsia="宋体" w:hAnsi="Book Antiqua"/>
          <w:kern w:val="2"/>
          <w:lang w:val="en-US" w:eastAsia="zh-CN"/>
        </w:rPr>
        <w:t xml:space="preserve">, Viret F, Guiramand J, Lelong B, Bège T, Delpero JR. Strategies for the treatment of synchronous liver metastasis. </w:t>
      </w:r>
      <w:r w:rsidRPr="003A7660">
        <w:rPr>
          <w:rFonts w:ascii="Book Antiqua" w:eastAsia="宋体" w:hAnsi="Book Antiqua"/>
          <w:i/>
          <w:kern w:val="2"/>
          <w:lang w:val="en-US" w:eastAsia="zh-CN"/>
        </w:rPr>
        <w:t>Eur J Surg Oncol</w:t>
      </w:r>
      <w:r w:rsidRPr="003A7660">
        <w:rPr>
          <w:rFonts w:ascii="Book Antiqua" w:eastAsia="宋体" w:hAnsi="Book Antiqua"/>
          <w:kern w:val="2"/>
          <w:lang w:val="en-US" w:eastAsia="zh-CN"/>
        </w:rPr>
        <w:t xml:space="preserve"> 2007; </w:t>
      </w:r>
      <w:r w:rsidRPr="003A7660">
        <w:rPr>
          <w:rFonts w:ascii="Book Antiqua" w:eastAsia="宋体" w:hAnsi="Book Antiqua"/>
          <w:b/>
          <w:kern w:val="2"/>
          <w:lang w:val="en-US" w:eastAsia="zh-CN"/>
        </w:rPr>
        <w:t>33</w:t>
      </w:r>
      <w:r w:rsidRPr="003A7660">
        <w:rPr>
          <w:rFonts w:ascii="Book Antiqua" w:eastAsia="宋体" w:hAnsi="Book Antiqua"/>
          <w:kern w:val="2"/>
          <w:lang w:val="en-US" w:eastAsia="zh-CN"/>
        </w:rPr>
        <w:t>: 735-740 [PMID: 17400418 DOI: 10.1016/j.ejso.2007.02.025]</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74 </w:t>
      </w:r>
      <w:r w:rsidRPr="003A7660">
        <w:rPr>
          <w:rFonts w:ascii="Book Antiqua" w:eastAsia="宋体" w:hAnsi="Book Antiqua"/>
          <w:b/>
          <w:kern w:val="2"/>
          <w:lang w:val="en-US" w:eastAsia="zh-CN"/>
        </w:rPr>
        <w:t>Park MS</w:t>
      </w:r>
      <w:r w:rsidRPr="003A7660">
        <w:rPr>
          <w:rFonts w:ascii="Book Antiqua" w:eastAsia="宋体" w:hAnsi="Book Antiqua"/>
          <w:kern w:val="2"/>
          <w:lang w:val="en-US" w:eastAsia="zh-CN"/>
        </w:rPr>
        <w:t xml:space="preserve">, Yi NJ, Son SY, You T, Suh SW, Choi YR, Kim H, Hong G, Lee KB, Lee </w:t>
      </w:r>
      <w:r w:rsidRPr="003A7660">
        <w:rPr>
          <w:rFonts w:ascii="Book Antiqua" w:eastAsia="宋体" w:hAnsi="Book Antiqua"/>
          <w:kern w:val="2"/>
          <w:lang w:val="en-US" w:eastAsia="zh-CN"/>
        </w:rPr>
        <w:lastRenderedPageBreak/>
        <w:t xml:space="preserve">KW, Jeong SY, Park KJ, Suh KS, Park JG. Histopathologic factors affecting tumor recurrence after hepatic resection in colorectal liver metastases. </w:t>
      </w:r>
      <w:r w:rsidRPr="003A7660">
        <w:rPr>
          <w:rFonts w:ascii="Book Antiqua" w:eastAsia="宋体" w:hAnsi="Book Antiqua"/>
          <w:i/>
          <w:kern w:val="2"/>
          <w:lang w:val="en-US" w:eastAsia="zh-CN"/>
        </w:rPr>
        <w:t>Ann Surg Treat Res</w:t>
      </w:r>
      <w:r w:rsidRPr="003A7660">
        <w:rPr>
          <w:rFonts w:ascii="Book Antiqua" w:eastAsia="宋体" w:hAnsi="Book Antiqua"/>
          <w:kern w:val="2"/>
          <w:lang w:val="en-US" w:eastAsia="zh-CN"/>
        </w:rPr>
        <w:t xml:space="preserve"> 2014; </w:t>
      </w:r>
      <w:r w:rsidRPr="003A7660">
        <w:rPr>
          <w:rFonts w:ascii="Book Antiqua" w:eastAsia="宋体" w:hAnsi="Book Antiqua"/>
          <w:b/>
          <w:kern w:val="2"/>
          <w:lang w:val="en-US" w:eastAsia="zh-CN"/>
        </w:rPr>
        <w:t>87</w:t>
      </w:r>
      <w:r w:rsidRPr="003A7660">
        <w:rPr>
          <w:rFonts w:ascii="Book Antiqua" w:eastAsia="宋体" w:hAnsi="Book Antiqua"/>
          <w:kern w:val="2"/>
          <w:lang w:val="en-US" w:eastAsia="zh-CN"/>
        </w:rPr>
        <w:t>: 14-21 [PMID: 25025022 DOI: 10.4174/astr.2014.87.1.14]</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75 </w:t>
      </w:r>
      <w:r w:rsidRPr="003A7660">
        <w:rPr>
          <w:rFonts w:ascii="Book Antiqua" w:eastAsia="宋体" w:hAnsi="Book Antiqua"/>
          <w:b/>
          <w:kern w:val="2"/>
          <w:lang w:val="en-US" w:eastAsia="zh-CN"/>
        </w:rPr>
        <w:t>Angelsen JH</w:t>
      </w:r>
      <w:r w:rsidRPr="003A7660">
        <w:rPr>
          <w:rFonts w:ascii="Book Antiqua" w:eastAsia="宋体" w:hAnsi="Book Antiqua"/>
          <w:kern w:val="2"/>
          <w:lang w:val="en-US" w:eastAsia="zh-CN"/>
        </w:rPr>
        <w:t xml:space="preserve">, Horn A, Eide GE, Viste A. Surgery for colorectal liver metastases: the impact of resection margins on recurrence and overall survival. </w:t>
      </w:r>
      <w:r w:rsidRPr="003A7660">
        <w:rPr>
          <w:rFonts w:ascii="Book Antiqua" w:eastAsia="宋体" w:hAnsi="Book Antiqua"/>
          <w:i/>
          <w:kern w:val="2"/>
          <w:lang w:val="en-US" w:eastAsia="zh-CN"/>
        </w:rPr>
        <w:t>World J Surg Oncol</w:t>
      </w:r>
      <w:r w:rsidRPr="003A7660">
        <w:rPr>
          <w:rFonts w:ascii="Book Antiqua" w:eastAsia="宋体" w:hAnsi="Book Antiqua"/>
          <w:kern w:val="2"/>
          <w:lang w:val="en-US" w:eastAsia="zh-CN"/>
        </w:rPr>
        <w:t xml:space="preserve"> 2014; </w:t>
      </w:r>
      <w:r w:rsidRPr="003A7660">
        <w:rPr>
          <w:rFonts w:ascii="Book Antiqua" w:eastAsia="宋体" w:hAnsi="Book Antiqua"/>
          <w:b/>
          <w:kern w:val="2"/>
          <w:lang w:val="en-US" w:eastAsia="zh-CN"/>
        </w:rPr>
        <w:t>12</w:t>
      </w:r>
      <w:r w:rsidRPr="003A7660">
        <w:rPr>
          <w:rFonts w:ascii="Book Antiqua" w:eastAsia="宋体" w:hAnsi="Book Antiqua"/>
          <w:kern w:val="2"/>
          <w:lang w:val="en-US" w:eastAsia="zh-CN"/>
        </w:rPr>
        <w:t>: 127 [PMID: 24767422 DOI: 10.1186/1477-7819-12-127]</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76 </w:t>
      </w:r>
      <w:r w:rsidRPr="003A7660">
        <w:rPr>
          <w:rFonts w:ascii="Book Antiqua" w:eastAsia="宋体" w:hAnsi="Book Antiqua"/>
          <w:b/>
          <w:kern w:val="2"/>
          <w:lang w:val="en-US" w:eastAsia="zh-CN"/>
        </w:rPr>
        <w:t>Fong Y</w:t>
      </w:r>
      <w:r w:rsidRPr="003A7660">
        <w:rPr>
          <w:rFonts w:ascii="Book Antiqua" w:eastAsia="宋体" w:hAnsi="Book Antiqua"/>
          <w:kern w:val="2"/>
          <w:lang w:val="en-US" w:eastAsia="zh-CN"/>
        </w:rPr>
        <w:t xml:space="preserve">, Fortner J, Sun RL, Brennan MF, Blumgart LH. Clinical score for predicting recurrence after hepatic resection for metastatic colorectal cancer: analysis of 1001 consecutive cases.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1999; </w:t>
      </w:r>
      <w:r w:rsidRPr="003A7660">
        <w:rPr>
          <w:rFonts w:ascii="Book Antiqua" w:eastAsia="宋体" w:hAnsi="Book Antiqua"/>
          <w:b/>
          <w:kern w:val="2"/>
          <w:lang w:val="en-US" w:eastAsia="zh-CN"/>
        </w:rPr>
        <w:t>230</w:t>
      </w:r>
      <w:r w:rsidRPr="003A7660">
        <w:rPr>
          <w:rFonts w:ascii="Book Antiqua" w:eastAsia="宋体" w:hAnsi="Book Antiqua"/>
          <w:kern w:val="2"/>
          <w:lang w:val="en-US" w:eastAsia="zh-CN"/>
        </w:rPr>
        <w:t>: 309-318; discussion 318-21 [PMID: 10493478 DOI: 10.1097/00000658-199909000-00004]</w:t>
      </w:r>
    </w:p>
    <w:p w:rsidR="00962FFD" w:rsidRPr="003A7660" w:rsidRDefault="00962FFD" w:rsidP="00384F14">
      <w:pPr>
        <w:widowControl w:val="0"/>
        <w:snapToGrid w:val="0"/>
        <w:spacing w:line="360" w:lineRule="auto"/>
        <w:jc w:val="both"/>
        <w:rPr>
          <w:rFonts w:ascii="Book Antiqua" w:eastAsia="宋体" w:hAnsi="Book Antiqua"/>
          <w:kern w:val="2"/>
          <w:lang w:val="en-US" w:eastAsia="zh-CN"/>
        </w:rPr>
      </w:pPr>
      <w:r w:rsidRPr="003A7660">
        <w:rPr>
          <w:rFonts w:ascii="Book Antiqua" w:eastAsia="宋体" w:hAnsi="Book Antiqua"/>
          <w:kern w:val="2"/>
          <w:lang w:val="en-US" w:eastAsia="zh-CN"/>
        </w:rPr>
        <w:t xml:space="preserve">77 </w:t>
      </w:r>
      <w:r w:rsidRPr="003A7660">
        <w:rPr>
          <w:rFonts w:ascii="Book Antiqua" w:eastAsia="宋体" w:hAnsi="Book Antiqua"/>
          <w:b/>
          <w:kern w:val="2"/>
          <w:lang w:val="en-US" w:eastAsia="zh-CN"/>
        </w:rPr>
        <w:t>Pawlik TM</w:t>
      </w:r>
      <w:r w:rsidRPr="003A7660">
        <w:rPr>
          <w:rFonts w:ascii="Book Antiqua" w:eastAsia="宋体" w:hAnsi="Book Antiqua"/>
          <w:kern w:val="2"/>
          <w:lang w:val="en-US" w:eastAsia="zh-CN"/>
        </w:rPr>
        <w:t xml:space="preserve">, Scoggins CR, Zorzi D, Abdalla EK, Andres A, Eng C, Curley SA, Loyer EM, Muratore A, Mentha G, Capussotti L, Vauthey JN. Effect of surgical margin status on survival and site of recurrence after hepatic resection for colorectal metastases. </w:t>
      </w:r>
      <w:r w:rsidRPr="003A7660">
        <w:rPr>
          <w:rFonts w:ascii="Book Antiqua" w:eastAsia="宋体" w:hAnsi="Book Antiqua"/>
          <w:i/>
          <w:kern w:val="2"/>
          <w:lang w:val="en-US" w:eastAsia="zh-CN"/>
        </w:rPr>
        <w:t>Ann Surg</w:t>
      </w:r>
      <w:r w:rsidRPr="003A7660">
        <w:rPr>
          <w:rFonts w:ascii="Book Antiqua" w:eastAsia="宋体" w:hAnsi="Book Antiqua"/>
          <w:kern w:val="2"/>
          <w:lang w:val="en-US" w:eastAsia="zh-CN"/>
        </w:rPr>
        <w:t xml:space="preserve"> 2005; </w:t>
      </w:r>
      <w:r w:rsidRPr="003A7660">
        <w:rPr>
          <w:rFonts w:ascii="Book Antiqua" w:eastAsia="宋体" w:hAnsi="Book Antiqua"/>
          <w:b/>
          <w:kern w:val="2"/>
          <w:lang w:val="en-US" w:eastAsia="zh-CN"/>
        </w:rPr>
        <w:t>241</w:t>
      </w:r>
      <w:r w:rsidRPr="003A7660">
        <w:rPr>
          <w:rFonts w:ascii="Book Antiqua" w:eastAsia="宋体" w:hAnsi="Book Antiqua"/>
          <w:kern w:val="2"/>
          <w:lang w:val="en-US" w:eastAsia="zh-CN"/>
        </w:rPr>
        <w:t>: 715-722, discussion 722-discussion 724 [PMID: 15849507 DOI: 10.1097/01.sla.0000160703.75808.7d]</w:t>
      </w:r>
    </w:p>
    <w:p w:rsidR="00CF4F30" w:rsidRPr="003A7660" w:rsidRDefault="00CF4F30" w:rsidP="00384F14">
      <w:pPr>
        <w:widowControl w:val="0"/>
        <w:snapToGrid w:val="0"/>
        <w:spacing w:line="360" w:lineRule="auto"/>
        <w:jc w:val="both"/>
        <w:rPr>
          <w:rFonts w:ascii="Book Antiqua" w:eastAsia="宋体" w:hAnsi="Book Antiqua"/>
          <w:kern w:val="2"/>
          <w:lang w:val="en-US" w:eastAsia="zh-CN"/>
        </w:rPr>
      </w:pPr>
    </w:p>
    <w:p w:rsidR="00CF4F30" w:rsidRPr="003A7660" w:rsidRDefault="00CF4F30" w:rsidP="00384F14">
      <w:pPr>
        <w:adjustRightInd w:val="0"/>
        <w:snapToGrid w:val="0"/>
        <w:spacing w:line="360" w:lineRule="auto"/>
        <w:jc w:val="right"/>
        <w:rPr>
          <w:rFonts w:ascii="Book Antiqua" w:eastAsia="宋体" w:hAnsi="Book Antiqua"/>
          <w:color w:val="000000"/>
          <w:lang w:val="en-US" w:eastAsia="zh-CN"/>
        </w:rPr>
      </w:pPr>
      <w:bookmarkStart w:id="15" w:name="OLE_LINK287"/>
      <w:bookmarkStart w:id="16" w:name="OLE_LINK288"/>
      <w:bookmarkStart w:id="17" w:name="OLE_LINK70"/>
      <w:bookmarkStart w:id="18" w:name="OLE_LINK110"/>
      <w:r w:rsidRPr="003A7660">
        <w:rPr>
          <w:rFonts w:ascii="Book Antiqua" w:hAnsi="Book Antiqua"/>
          <w:b/>
          <w:bCs/>
          <w:color w:val="000000"/>
          <w:lang w:val="en-US"/>
        </w:rPr>
        <w:t>P-Reviewer:</w:t>
      </w:r>
      <w:r w:rsidRPr="003A7660">
        <w:rPr>
          <w:rFonts w:ascii="Book Antiqua" w:hAnsi="Book Antiqua"/>
          <w:bCs/>
          <w:color w:val="000000"/>
          <w:lang w:val="en-US"/>
        </w:rPr>
        <w:t xml:space="preserve"> Hori</w:t>
      </w:r>
      <w:r w:rsidRPr="003A7660">
        <w:rPr>
          <w:rFonts w:ascii="Book Antiqua" w:eastAsia="宋体" w:hAnsi="Book Antiqua"/>
          <w:bCs/>
          <w:color w:val="000000"/>
          <w:lang w:val="en-US" w:eastAsia="zh-CN"/>
        </w:rPr>
        <w:t xml:space="preserve"> T, Marin JJG, Muhammad JS, Shibata</w:t>
      </w:r>
      <w:r w:rsidRPr="003A7660">
        <w:rPr>
          <w:rFonts w:ascii="Book Antiqua" w:eastAsia="宋体" w:hAnsi="Book Antiqua"/>
          <w:b/>
          <w:bCs/>
          <w:color w:val="000000"/>
          <w:lang w:val="en-US" w:eastAsia="zh-CN"/>
        </w:rPr>
        <w:t xml:space="preserve"> </w:t>
      </w:r>
      <w:r w:rsidRPr="003A7660">
        <w:rPr>
          <w:rFonts w:ascii="Book Antiqua" w:eastAsia="宋体" w:hAnsi="Book Antiqua"/>
          <w:bCs/>
          <w:color w:val="000000"/>
          <w:lang w:val="en-US" w:eastAsia="zh-CN"/>
        </w:rPr>
        <w:t xml:space="preserve">T, Wang YF </w:t>
      </w:r>
      <w:r w:rsidRPr="003A7660">
        <w:rPr>
          <w:rFonts w:ascii="Book Antiqua" w:hAnsi="Book Antiqua"/>
          <w:b/>
          <w:bCs/>
          <w:color w:val="000000"/>
          <w:lang w:val="en-US"/>
        </w:rPr>
        <w:t>S-Editor:</w:t>
      </w:r>
      <w:r w:rsidRPr="003A7660">
        <w:rPr>
          <w:rFonts w:ascii="Book Antiqua" w:hAnsi="Book Antiqua"/>
          <w:color w:val="000000"/>
          <w:lang w:val="en-US"/>
        </w:rPr>
        <w:t xml:space="preserve"> </w:t>
      </w:r>
      <w:r w:rsidRPr="003A7660">
        <w:rPr>
          <w:rFonts w:ascii="Book Antiqua" w:eastAsia="宋体" w:hAnsi="Book Antiqua"/>
          <w:color w:val="000000"/>
          <w:lang w:val="en-US" w:eastAsia="zh-CN"/>
        </w:rPr>
        <w:t>Yan JP</w:t>
      </w:r>
    </w:p>
    <w:p w:rsidR="00CF4F30" w:rsidRPr="003A7660" w:rsidRDefault="00CF4F30" w:rsidP="003A7660">
      <w:pPr>
        <w:wordWrap w:val="0"/>
        <w:adjustRightInd w:val="0"/>
        <w:snapToGrid w:val="0"/>
        <w:spacing w:line="360" w:lineRule="auto"/>
        <w:jc w:val="right"/>
        <w:rPr>
          <w:rFonts w:ascii="Book Antiqua" w:eastAsiaTheme="minorEastAsia" w:hAnsi="Book Antiqua" w:hint="eastAsia"/>
          <w:bCs/>
          <w:color w:val="000000"/>
          <w:lang w:val="en-US" w:eastAsia="zh-CN"/>
        </w:rPr>
      </w:pPr>
      <w:r w:rsidRPr="003A7660">
        <w:rPr>
          <w:rFonts w:ascii="Book Antiqua" w:hAnsi="Book Antiqua"/>
          <w:b/>
          <w:bCs/>
          <w:color w:val="000000"/>
          <w:lang w:val="en-US"/>
        </w:rPr>
        <w:t>L-Editor:</w:t>
      </w:r>
      <w:r w:rsidRPr="003A7660">
        <w:rPr>
          <w:rFonts w:ascii="Book Antiqua" w:hAnsi="Book Antiqua"/>
          <w:color w:val="000000"/>
          <w:lang w:val="en-US"/>
        </w:rPr>
        <w:t xml:space="preserve"> </w:t>
      </w:r>
      <w:r w:rsidR="00F47D05" w:rsidRPr="003A7660">
        <w:rPr>
          <w:rFonts w:ascii="Book Antiqua" w:hAnsi="Book Antiqua"/>
          <w:color w:val="000000"/>
          <w:lang w:val="en-US"/>
        </w:rPr>
        <w:t xml:space="preserve">Filipodia </w:t>
      </w:r>
      <w:r w:rsidRPr="003A7660">
        <w:rPr>
          <w:rFonts w:ascii="Book Antiqua" w:hAnsi="Book Antiqua"/>
          <w:b/>
          <w:bCs/>
          <w:color w:val="000000"/>
          <w:lang w:val="en-US"/>
        </w:rPr>
        <w:t>E-Editor:</w:t>
      </w:r>
      <w:r w:rsidR="003A7660">
        <w:rPr>
          <w:rFonts w:ascii="Book Antiqua" w:eastAsiaTheme="minorEastAsia" w:hAnsi="Book Antiqua" w:hint="eastAsia"/>
          <w:b/>
          <w:bCs/>
          <w:color w:val="000000"/>
          <w:lang w:val="en-US" w:eastAsia="zh-CN"/>
        </w:rPr>
        <w:t xml:space="preserve"> </w:t>
      </w:r>
      <w:r w:rsidR="003A7660">
        <w:rPr>
          <w:rFonts w:ascii="Book Antiqua" w:eastAsiaTheme="minorEastAsia" w:hAnsi="Book Antiqua" w:hint="eastAsia"/>
          <w:bCs/>
          <w:color w:val="000000"/>
          <w:lang w:val="en-US" w:eastAsia="zh-CN"/>
        </w:rPr>
        <w:t>Wu YXJ</w:t>
      </w:r>
      <w:bookmarkStart w:id="19" w:name="_GoBack"/>
      <w:bookmarkEnd w:id="19"/>
    </w:p>
    <w:p w:rsidR="00CF4F30" w:rsidRPr="003A7660" w:rsidRDefault="00CF4F30" w:rsidP="00384F14">
      <w:pPr>
        <w:adjustRightInd w:val="0"/>
        <w:snapToGrid w:val="0"/>
        <w:spacing w:line="360" w:lineRule="auto"/>
        <w:rPr>
          <w:rFonts w:ascii="Book Antiqua" w:hAnsi="Book Antiqua"/>
          <w:color w:val="000000"/>
          <w:lang w:val="en-US"/>
        </w:rPr>
      </w:pPr>
    </w:p>
    <w:p w:rsidR="00CF4F30" w:rsidRPr="003A7660" w:rsidRDefault="00CF4F30" w:rsidP="00384F14">
      <w:pPr>
        <w:snapToGrid w:val="0"/>
        <w:spacing w:line="360" w:lineRule="auto"/>
        <w:rPr>
          <w:rFonts w:ascii="Book Antiqua" w:hAnsi="Book Antiqua" w:cs="宋体"/>
          <w:lang w:val="en-US"/>
        </w:rPr>
      </w:pPr>
      <w:r w:rsidRPr="003A7660">
        <w:rPr>
          <w:rFonts w:ascii="Book Antiqua" w:hAnsi="Book Antiqua" w:cs="宋体"/>
          <w:b/>
          <w:lang w:val="en-US"/>
        </w:rPr>
        <w:t xml:space="preserve">Specialty type: </w:t>
      </w:r>
      <w:r w:rsidRPr="003A7660">
        <w:rPr>
          <w:rFonts w:ascii="Book Antiqua" w:eastAsia="微软雅黑" w:hAnsi="Book Antiqua" w:cs="宋体"/>
          <w:lang w:val="en-US"/>
        </w:rPr>
        <w:t>Oncology</w:t>
      </w:r>
      <w:r w:rsidRPr="003A7660">
        <w:rPr>
          <w:rFonts w:ascii="Book Antiqua" w:hAnsi="Book Antiqua" w:cs="宋体"/>
          <w:lang w:val="en-US"/>
        </w:rPr>
        <w:t xml:space="preserve"> </w:t>
      </w:r>
      <w:r w:rsidRPr="003A7660">
        <w:rPr>
          <w:rFonts w:ascii="Book Antiqua" w:hAnsi="Book Antiqua" w:cs="宋体"/>
          <w:lang w:val="en-US"/>
        </w:rPr>
        <w:br/>
      </w:r>
      <w:r w:rsidRPr="003A7660">
        <w:rPr>
          <w:rFonts w:ascii="Book Antiqua" w:hAnsi="Book Antiqua" w:cs="宋体"/>
          <w:b/>
          <w:lang w:val="en-US"/>
        </w:rPr>
        <w:t xml:space="preserve">Country of origin: </w:t>
      </w:r>
      <w:r w:rsidRPr="003A7660">
        <w:rPr>
          <w:rFonts w:ascii="Book Antiqua" w:hAnsi="Book Antiqua" w:cs="宋体"/>
          <w:lang w:val="en-US"/>
        </w:rPr>
        <w:t xml:space="preserve">France </w:t>
      </w:r>
      <w:r w:rsidRPr="003A7660">
        <w:rPr>
          <w:rFonts w:ascii="Book Antiqua" w:hAnsi="Book Antiqua" w:cs="宋体"/>
          <w:lang w:val="en-US"/>
        </w:rPr>
        <w:br/>
      </w:r>
      <w:r w:rsidRPr="003A7660">
        <w:rPr>
          <w:rFonts w:ascii="Book Antiqua" w:hAnsi="Book Antiqua" w:cs="宋体"/>
          <w:b/>
          <w:lang w:val="en-US"/>
        </w:rPr>
        <w:t>Peer-review report classification</w:t>
      </w:r>
      <w:r w:rsidRPr="003A7660">
        <w:rPr>
          <w:rFonts w:ascii="Book Antiqua" w:hAnsi="Book Antiqua" w:cs="宋体"/>
          <w:lang w:val="en-US"/>
        </w:rPr>
        <w:br/>
      </w:r>
      <w:r w:rsidRPr="003A7660">
        <w:rPr>
          <w:rFonts w:ascii="Book Antiqua" w:hAnsi="Book Antiqua" w:cs="宋体"/>
          <w:b/>
          <w:lang w:val="en-US"/>
        </w:rPr>
        <w:t xml:space="preserve">Grade A (Excellent): </w:t>
      </w:r>
      <w:r w:rsidRPr="003A7660">
        <w:rPr>
          <w:rFonts w:ascii="Book Antiqua" w:eastAsia="宋体" w:hAnsi="Book Antiqua" w:cs="宋体"/>
          <w:lang w:val="en-US" w:eastAsia="zh-CN"/>
        </w:rPr>
        <w:t>0</w:t>
      </w:r>
      <w:r w:rsidRPr="003A7660">
        <w:rPr>
          <w:rFonts w:ascii="Book Antiqua" w:hAnsi="Book Antiqua" w:cs="宋体"/>
          <w:lang w:val="en-US"/>
        </w:rPr>
        <w:br/>
      </w:r>
      <w:r w:rsidRPr="003A7660">
        <w:rPr>
          <w:rFonts w:ascii="Book Antiqua" w:hAnsi="Book Antiqua" w:cs="宋体"/>
          <w:b/>
          <w:lang w:val="en-US"/>
        </w:rPr>
        <w:t xml:space="preserve">Grade B (Very good): </w:t>
      </w:r>
      <w:r w:rsidRPr="003A7660">
        <w:rPr>
          <w:rFonts w:ascii="Book Antiqua" w:hAnsi="Book Antiqua" w:cs="宋体"/>
          <w:lang w:val="en-US"/>
        </w:rPr>
        <w:t>B</w:t>
      </w:r>
      <w:r w:rsidRPr="003A7660">
        <w:rPr>
          <w:rFonts w:ascii="Book Antiqua" w:hAnsi="Book Antiqua" w:cs="宋体"/>
          <w:lang w:val="en-US"/>
        </w:rPr>
        <w:br/>
      </w:r>
      <w:r w:rsidRPr="003A7660">
        <w:rPr>
          <w:rFonts w:ascii="Book Antiqua" w:hAnsi="Book Antiqua" w:cs="宋体"/>
          <w:b/>
          <w:lang w:val="en-US"/>
        </w:rPr>
        <w:t xml:space="preserve">Grade C (Good): </w:t>
      </w:r>
      <w:r w:rsidRPr="003A7660">
        <w:rPr>
          <w:rFonts w:ascii="Book Antiqua" w:eastAsia="宋体" w:hAnsi="Book Antiqua" w:cs="宋体"/>
          <w:lang w:val="en-US" w:eastAsia="zh-CN"/>
        </w:rPr>
        <w:t>C, C, C</w:t>
      </w:r>
      <w:r w:rsidRPr="003A7660">
        <w:rPr>
          <w:rFonts w:ascii="Book Antiqua" w:hAnsi="Book Antiqua" w:cs="宋体"/>
          <w:lang w:val="en-US"/>
        </w:rPr>
        <w:br/>
      </w:r>
      <w:r w:rsidRPr="003A7660">
        <w:rPr>
          <w:rFonts w:ascii="Book Antiqua" w:hAnsi="Book Antiqua" w:cs="宋体"/>
          <w:b/>
          <w:lang w:val="en-US"/>
        </w:rPr>
        <w:t xml:space="preserve">Grade D (Fair): </w:t>
      </w:r>
      <w:r w:rsidRPr="003A7660">
        <w:rPr>
          <w:rFonts w:ascii="Book Antiqua" w:eastAsia="宋体" w:hAnsi="Book Antiqua" w:cs="宋体"/>
          <w:lang w:val="en-US" w:eastAsia="zh-CN"/>
        </w:rPr>
        <w:t>D</w:t>
      </w:r>
      <w:r w:rsidRPr="003A7660">
        <w:rPr>
          <w:rFonts w:ascii="Book Antiqua" w:hAnsi="Book Antiqua" w:cs="宋体"/>
          <w:b/>
          <w:lang w:val="en-US"/>
        </w:rPr>
        <w:br/>
        <w:t xml:space="preserve">Grade E (Poor): </w:t>
      </w:r>
      <w:r w:rsidRPr="003A7660">
        <w:rPr>
          <w:rFonts w:ascii="Book Antiqua" w:hAnsi="Book Antiqua" w:cs="宋体"/>
          <w:lang w:val="en-US"/>
        </w:rPr>
        <w:t>0</w:t>
      </w:r>
    </w:p>
    <w:bookmarkEnd w:id="15"/>
    <w:bookmarkEnd w:id="16"/>
    <w:bookmarkEnd w:id="17"/>
    <w:bookmarkEnd w:id="18"/>
    <w:p w:rsidR="00CF4F30" w:rsidRPr="003A7660" w:rsidRDefault="00CF4F30" w:rsidP="00384F14">
      <w:pPr>
        <w:widowControl w:val="0"/>
        <w:snapToGrid w:val="0"/>
        <w:spacing w:line="360" w:lineRule="auto"/>
        <w:jc w:val="both"/>
        <w:rPr>
          <w:rFonts w:ascii="Book Antiqua" w:eastAsia="宋体" w:hAnsi="Book Antiqua"/>
          <w:kern w:val="2"/>
          <w:lang w:val="en-US" w:eastAsia="zh-CN"/>
        </w:rPr>
      </w:pPr>
    </w:p>
    <w:p w:rsidR="00962FFD" w:rsidRPr="003A7660" w:rsidRDefault="00962FFD" w:rsidP="00384F14">
      <w:pPr>
        <w:snapToGrid w:val="0"/>
        <w:spacing w:line="360" w:lineRule="auto"/>
        <w:jc w:val="both"/>
        <w:rPr>
          <w:rFonts w:ascii="Book Antiqua" w:eastAsia="宋体" w:hAnsi="Book Antiqua"/>
          <w:b/>
          <w:lang w:val="en-US" w:eastAsia="zh-CN"/>
        </w:rPr>
      </w:pPr>
    </w:p>
    <w:p w:rsidR="00962FFD" w:rsidRPr="003A7660" w:rsidRDefault="00962FFD" w:rsidP="00384F14">
      <w:pPr>
        <w:snapToGrid w:val="0"/>
        <w:spacing w:line="360" w:lineRule="auto"/>
        <w:jc w:val="both"/>
        <w:rPr>
          <w:rFonts w:ascii="Book Antiqua" w:eastAsia="宋体" w:hAnsi="Book Antiqua"/>
          <w:b/>
          <w:lang w:val="en-US" w:eastAsia="zh-CN"/>
        </w:rPr>
      </w:pPr>
      <w:r w:rsidRPr="003A7660">
        <w:rPr>
          <w:rFonts w:ascii="Book Antiqua" w:eastAsia="宋体" w:hAnsi="Book Antiqua"/>
          <w:b/>
          <w:lang w:val="en-US" w:eastAsia="zh-CN"/>
        </w:rPr>
        <w:br w:type="page"/>
      </w:r>
    </w:p>
    <w:p w:rsidR="00537523" w:rsidRPr="003A7660" w:rsidRDefault="001877F3" w:rsidP="00384F14">
      <w:pPr>
        <w:snapToGrid w:val="0"/>
        <w:spacing w:line="360" w:lineRule="auto"/>
        <w:jc w:val="both"/>
        <w:rPr>
          <w:rFonts w:ascii="Book Antiqua" w:hAnsi="Book Antiqua"/>
          <w:bCs/>
          <w:lang w:val="en-US"/>
        </w:rPr>
      </w:pPr>
      <w:r w:rsidRPr="003A7660">
        <w:rPr>
          <w:rFonts w:ascii="Book Antiqua" w:hAnsi="Book Antiqua"/>
          <w:noProof/>
          <w:lang w:val="en-US" w:eastAsia="zh-CN"/>
        </w:rPr>
        <w:lastRenderedPageBreak/>
        <w:drawing>
          <wp:inline distT="0" distB="0" distL="0" distR="0" wp14:anchorId="72A5E885" wp14:editId="61D61972">
            <wp:extent cx="5753735" cy="3752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3752850"/>
                    </a:xfrm>
                    <a:prstGeom prst="rect">
                      <a:avLst/>
                    </a:prstGeom>
                    <a:noFill/>
                    <a:ln>
                      <a:noFill/>
                    </a:ln>
                  </pic:spPr>
                </pic:pic>
              </a:graphicData>
            </a:graphic>
          </wp:inline>
        </w:drawing>
      </w:r>
    </w:p>
    <w:p w:rsidR="009E5CDF" w:rsidRPr="003A7660" w:rsidRDefault="009E5CDF" w:rsidP="00384F14">
      <w:pPr>
        <w:snapToGrid w:val="0"/>
        <w:spacing w:line="360" w:lineRule="auto"/>
        <w:jc w:val="both"/>
        <w:rPr>
          <w:rFonts w:ascii="Book Antiqua" w:eastAsia="宋体" w:hAnsi="Book Antiqua"/>
          <w:bCs/>
          <w:lang w:val="en-US" w:eastAsia="zh-CN"/>
        </w:rPr>
      </w:pPr>
      <w:r w:rsidRPr="003A7660">
        <w:rPr>
          <w:rFonts w:ascii="Book Antiqua" w:hAnsi="Book Antiqua"/>
          <w:b/>
          <w:lang w:val="en-US"/>
        </w:rPr>
        <w:t>Figure 1 Influence of the histological response on overall survival</w:t>
      </w:r>
      <w:r w:rsidR="00962FFD" w:rsidRPr="003A7660">
        <w:rPr>
          <w:rFonts w:ascii="Book Antiqua" w:hAnsi="Book Antiqua"/>
          <w:b/>
          <w:lang w:val="en-US"/>
        </w:rPr>
        <w:t>.</w:t>
      </w:r>
      <w:r w:rsidR="00962FFD" w:rsidRPr="003A7660">
        <w:rPr>
          <w:rFonts w:ascii="Book Antiqua" w:hAnsi="Book Antiqua"/>
          <w:lang w:val="en-US"/>
        </w:rPr>
        <w:t xml:space="preserve"> TRG</w:t>
      </w:r>
      <w:r w:rsidR="00962FFD" w:rsidRPr="003A7660">
        <w:rPr>
          <w:rFonts w:ascii="Book Antiqua" w:eastAsia="宋体" w:hAnsi="Book Antiqua"/>
          <w:lang w:val="en-US" w:eastAsia="zh-CN"/>
        </w:rPr>
        <w:t>:</w:t>
      </w:r>
      <w:r w:rsidRPr="003A7660">
        <w:rPr>
          <w:rFonts w:ascii="Book Antiqua" w:hAnsi="Book Antiqua"/>
          <w:lang w:val="en-US"/>
        </w:rPr>
        <w:t xml:space="preserve"> </w:t>
      </w:r>
      <w:r w:rsidR="00962FFD" w:rsidRPr="003A7660">
        <w:rPr>
          <w:rFonts w:ascii="Book Antiqua" w:hAnsi="Book Antiqua"/>
          <w:lang w:val="en-US"/>
        </w:rPr>
        <w:t>Tumor regression grade</w:t>
      </w:r>
      <w:r w:rsidR="00962FFD" w:rsidRPr="003A7660">
        <w:rPr>
          <w:rFonts w:ascii="Book Antiqua" w:eastAsia="宋体" w:hAnsi="Book Antiqua"/>
          <w:lang w:val="en-US" w:eastAsia="zh-CN"/>
        </w:rPr>
        <w:t xml:space="preserve">; R: </w:t>
      </w:r>
      <w:r w:rsidR="00962FFD" w:rsidRPr="003A7660">
        <w:rPr>
          <w:rFonts w:ascii="Book Antiqua" w:hAnsi="Book Antiqua"/>
          <w:lang w:val="en-US"/>
        </w:rPr>
        <w:t>Responders</w:t>
      </w:r>
      <w:r w:rsidR="00962FFD" w:rsidRPr="003A7660">
        <w:rPr>
          <w:rFonts w:ascii="Book Antiqua" w:eastAsia="宋体" w:hAnsi="Book Antiqua"/>
          <w:lang w:val="en-US" w:eastAsia="zh-CN"/>
        </w:rPr>
        <w:t xml:space="preserve">; NR: </w:t>
      </w:r>
      <w:r w:rsidR="00962FFD" w:rsidRPr="003A7660">
        <w:rPr>
          <w:rFonts w:ascii="Book Antiqua" w:hAnsi="Book Antiqua"/>
          <w:lang w:val="en-US"/>
        </w:rPr>
        <w:t>Non-responders</w:t>
      </w:r>
      <w:r w:rsidR="00962FFD" w:rsidRPr="003A7660">
        <w:rPr>
          <w:rFonts w:ascii="Book Antiqua" w:eastAsia="宋体" w:hAnsi="Book Antiqua"/>
          <w:lang w:val="en-US" w:eastAsia="zh-CN"/>
        </w:rPr>
        <w:t>.</w:t>
      </w:r>
    </w:p>
    <w:p w:rsidR="00537523" w:rsidRPr="003A7660" w:rsidRDefault="009E5CDF" w:rsidP="00384F14">
      <w:pPr>
        <w:snapToGrid w:val="0"/>
        <w:spacing w:line="360" w:lineRule="auto"/>
        <w:jc w:val="both"/>
        <w:rPr>
          <w:rFonts w:ascii="Book Antiqua" w:hAnsi="Book Antiqua"/>
          <w:bCs/>
          <w:lang w:val="en-US"/>
        </w:rPr>
      </w:pPr>
      <w:r w:rsidRPr="003A7660">
        <w:rPr>
          <w:rFonts w:ascii="Book Antiqua" w:hAnsi="Book Antiqua"/>
          <w:bCs/>
          <w:lang w:val="en-US"/>
        </w:rPr>
        <w:br w:type="page"/>
      </w:r>
      <w:r w:rsidR="001877F3" w:rsidRPr="003A7660">
        <w:rPr>
          <w:rFonts w:ascii="Book Antiqua" w:hAnsi="Book Antiqua"/>
          <w:noProof/>
          <w:lang w:val="en-US" w:eastAsia="zh-CN"/>
        </w:rPr>
        <w:lastRenderedPageBreak/>
        <w:drawing>
          <wp:inline distT="0" distB="0" distL="0" distR="0" wp14:anchorId="6D9B103D" wp14:editId="70CAEE97">
            <wp:extent cx="5753735" cy="4019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4019550"/>
                    </a:xfrm>
                    <a:prstGeom prst="rect">
                      <a:avLst/>
                    </a:prstGeom>
                    <a:noFill/>
                    <a:ln>
                      <a:noFill/>
                    </a:ln>
                  </pic:spPr>
                </pic:pic>
              </a:graphicData>
            </a:graphic>
          </wp:inline>
        </w:drawing>
      </w:r>
    </w:p>
    <w:p w:rsidR="009E5CDF" w:rsidRPr="003A7660" w:rsidRDefault="009E5CDF" w:rsidP="00384F14">
      <w:pPr>
        <w:snapToGrid w:val="0"/>
        <w:spacing w:line="360" w:lineRule="auto"/>
        <w:jc w:val="both"/>
        <w:rPr>
          <w:rFonts w:ascii="Book Antiqua" w:eastAsia="宋体" w:hAnsi="Book Antiqua"/>
          <w:bCs/>
          <w:lang w:val="en-US" w:eastAsia="zh-CN"/>
        </w:rPr>
      </w:pPr>
      <w:r w:rsidRPr="003A7660">
        <w:rPr>
          <w:rFonts w:ascii="Book Antiqua" w:hAnsi="Book Antiqua"/>
          <w:b/>
          <w:lang w:val="en-US"/>
        </w:rPr>
        <w:t>Figure 2</w:t>
      </w:r>
      <w:r w:rsidR="00962FFD" w:rsidRPr="003A7660">
        <w:rPr>
          <w:rFonts w:ascii="Book Antiqua" w:eastAsia="宋体" w:hAnsi="Book Antiqua"/>
          <w:b/>
          <w:lang w:val="en-US" w:eastAsia="zh-CN"/>
        </w:rPr>
        <w:t xml:space="preserve"> </w:t>
      </w:r>
      <w:r w:rsidRPr="003A7660">
        <w:rPr>
          <w:rFonts w:ascii="Book Antiqua" w:hAnsi="Book Antiqua"/>
          <w:b/>
          <w:lang w:val="en-US"/>
        </w:rPr>
        <w:t>Influence of the histological response on disease-free survival</w:t>
      </w:r>
      <w:r w:rsidR="00962FFD" w:rsidRPr="003A7660">
        <w:rPr>
          <w:rFonts w:ascii="Book Antiqua" w:hAnsi="Book Antiqua"/>
          <w:b/>
          <w:lang w:val="en-US"/>
        </w:rPr>
        <w:t>.</w:t>
      </w:r>
      <w:r w:rsidR="00962FFD" w:rsidRPr="003A7660">
        <w:rPr>
          <w:rFonts w:ascii="Book Antiqua" w:hAnsi="Book Antiqua"/>
          <w:lang w:val="en-US"/>
        </w:rPr>
        <w:t xml:space="preserve"> TRG</w:t>
      </w:r>
      <w:r w:rsidR="00962FFD" w:rsidRPr="003A7660">
        <w:rPr>
          <w:rFonts w:ascii="Book Antiqua" w:eastAsia="宋体" w:hAnsi="Book Antiqua"/>
          <w:lang w:val="en-US" w:eastAsia="zh-CN"/>
        </w:rPr>
        <w:t>:</w:t>
      </w:r>
      <w:r w:rsidRPr="003A7660">
        <w:rPr>
          <w:rFonts w:ascii="Book Antiqua" w:hAnsi="Book Antiqua"/>
          <w:lang w:val="en-US"/>
        </w:rPr>
        <w:t xml:space="preserve"> </w:t>
      </w:r>
      <w:r w:rsidR="00962FFD" w:rsidRPr="003A7660">
        <w:rPr>
          <w:rFonts w:ascii="Book Antiqua" w:hAnsi="Book Antiqua"/>
          <w:lang w:val="en-US"/>
        </w:rPr>
        <w:t>Tumor regression grade</w:t>
      </w:r>
      <w:r w:rsidR="00962FFD" w:rsidRPr="003A7660">
        <w:rPr>
          <w:rFonts w:ascii="Book Antiqua" w:eastAsia="宋体" w:hAnsi="Book Antiqua"/>
          <w:lang w:val="en-US" w:eastAsia="zh-CN"/>
        </w:rPr>
        <w:t xml:space="preserve">; R: </w:t>
      </w:r>
      <w:r w:rsidR="00962FFD" w:rsidRPr="003A7660">
        <w:rPr>
          <w:rFonts w:ascii="Book Antiqua" w:hAnsi="Book Antiqua"/>
          <w:lang w:val="en-US"/>
        </w:rPr>
        <w:t>Responders</w:t>
      </w:r>
      <w:r w:rsidR="00962FFD" w:rsidRPr="003A7660">
        <w:rPr>
          <w:rFonts w:ascii="Book Antiqua" w:eastAsia="宋体" w:hAnsi="Book Antiqua"/>
          <w:lang w:val="en-US" w:eastAsia="zh-CN"/>
        </w:rPr>
        <w:t xml:space="preserve">; NR: </w:t>
      </w:r>
      <w:r w:rsidR="00962FFD" w:rsidRPr="003A7660">
        <w:rPr>
          <w:rFonts w:ascii="Book Antiqua" w:hAnsi="Book Antiqua"/>
          <w:lang w:val="en-US"/>
        </w:rPr>
        <w:t>Non-responders</w:t>
      </w:r>
      <w:r w:rsidR="00962FFD" w:rsidRPr="003A7660">
        <w:rPr>
          <w:rFonts w:ascii="Book Antiqua" w:eastAsia="宋体" w:hAnsi="Book Antiqua"/>
          <w:lang w:val="en-US" w:eastAsia="zh-CN"/>
        </w:rPr>
        <w:t>.</w:t>
      </w:r>
    </w:p>
    <w:p w:rsidR="00941279" w:rsidRPr="003A7660" w:rsidRDefault="009E5CDF" w:rsidP="00384F14">
      <w:pPr>
        <w:snapToGrid w:val="0"/>
        <w:spacing w:line="360" w:lineRule="auto"/>
        <w:jc w:val="both"/>
        <w:rPr>
          <w:rFonts w:ascii="Book Antiqua" w:hAnsi="Book Antiqua"/>
          <w:b/>
          <w:lang w:val="en-US"/>
        </w:rPr>
      </w:pPr>
      <w:r w:rsidRPr="003A7660">
        <w:rPr>
          <w:rFonts w:ascii="Book Antiqua" w:hAnsi="Book Antiqua"/>
          <w:bCs/>
          <w:lang w:val="en-US"/>
        </w:rPr>
        <w:br w:type="page"/>
      </w:r>
      <w:r w:rsidR="00941279" w:rsidRPr="003A7660">
        <w:rPr>
          <w:rFonts w:ascii="Book Antiqua" w:hAnsi="Book Antiqua"/>
          <w:b/>
          <w:lang w:val="en-US"/>
        </w:rPr>
        <w:lastRenderedPageBreak/>
        <w:t>Table 1 Preoperative criteria</w:t>
      </w:r>
    </w:p>
    <w:tbl>
      <w:tblPr>
        <w:tblW w:w="10240" w:type="dxa"/>
        <w:jc w:val="center"/>
        <w:tblInd w:w="-3162" w:type="dxa"/>
        <w:tblBorders>
          <w:top w:val="single" w:sz="4" w:space="0" w:color="000000"/>
          <w:bottom w:val="single" w:sz="4" w:space="0" w:color="000000"/>
        </w:tblBorders>
        <w:tblLook w:val="04A0" w:firstRow="1" w:lastRow="0" w:firstColumn="1" w:lastColumn="0" w:noHBand="0" w:noVBand="1"/>
      </w:tblPr>
      <w:tblGrid>
        <w:gridCol w:w="4853"/>
        <w:gridCol w:w="1204"/>
        <w:gridCol w:w="1697"/>
        <w:gridCol w:w="1068"/>
        <w:gridCol w:w="1418"/>
      </w:tblGrid>
      <w:tr w:rsidR="00941279" w:rsidRPr="003A7660" w:rsidTr="00EB25BF">
        <w:trPr>
          <w:trHeight w:val="716"/>
          <w:jc w:val="center"/>
        </w:trPr>
        <w:tc>
          <w:tcPr>
            <w:tcW w:w="4853" w:type="dxa"/>
            <w:tcBorders>
              <w:bottom w:val="single" w:sz="4" w:space="0" w:color="000000"/>
            </w:tcBorders>
            <w:shd w:val="clear" w:color="auto" w:fill="auto"/>
            <w:vAlign w:val="center"/>
          </w:tcPr>
          <w:p w:rsidR="00941279" w:rsidRPr="003A7660" w:rsidRDefault="00941279" w:rsidP="00384F14">
            <w:pPr>
              <w:snapToGrid w:val="0"/>
              <w:spacing w:line="360" w:lineRule="auto"/>
              <w:jc w:val="both"/>
              <w:rPr>
                <w:rFonts w:ascii="Book Antiqua" w:hAnsi="Book Antiqua"/>
                <w:bCs/>
                <w:color w:val="000000"/>
                <w:lang w:val="en-US"/>
              </w:rPr>
            </w:pPr>
          </w:p>
        </w:tc>
        <w:tc>
          <w:tcPr>
            <w:tcW w:w="1204" w:type="dxa"/>
            <w:tcBorders>
              <w:bottom w:val="single" w:sz="4" w:space="0" w:color="000000"/>
            </w:tcBorders>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NR</w:t>
            </w:r>
          </w:p>
          <w:p w:rsidR="0044365C" w:rsidRPr="003A7660" w:rsidRDefault="00941279" w:rsidP="00384F14">
            <w:pPr>
              <w:snapToGrid w:val="0"/>
              <w:spacing w:line="360" w:lineRule="auto"/>
              <w:jc w:val="both"/>
              <w:rPr>
                <w:rFonts w:ascii="Book Antiqua" w:hAnsi="Book Antiqua"/>
                <w:b/>
                <w:color w:val="000000"/>
                <w:lang w:val="en-US"/>
              </w:rPr>
            </w:pPr>
            <w:r w:rsidRPr="003A7660">
              <w:rPr>
                <w:rFonts w:ascii="Book Antiqua" w:hAnsi="Book Antiqua"/>
                <w:b/>
                <w:i/>
                <w:color w:val="000000"/>
                <w:lang w:val="en-US"/>
              </w:rPr>
              <w:t>N</w:t>
            </w:r>
            <w:r w:rsidR="00962FFD" w:rsidRPr="003A7660">
              <w:rPr>
                <w:rFonts w:ascii="Book Antiqua" w:eastAsia="宋体" w:hAnsi="Book Antiqua"/>
                <w:b/>
                <w:color w:val="000000"/>
                <w:lang w:val="en-US" w:eastAsia="zh-CN"/>
              </w:rPr>
              <w:t xml:space="preserve"> </w:t>
            </w:r>
            <w:r w:rsidRPr="003A7660">
              <w:rPr>
                <w:rFonts w:ascii="Book Antiqua" w:hAnsi="Book Antiqua"/>
                <w:b/>
                <w:color w:val="000000"/>
                <w:lang w:val="en-US"/>
              </w:rPr>
              <w:t>=</w:t>
            </w:r>
            <w:r w:rsidR="00962FFD" w:rsidRPr="003A7660">
              <w:rPr>
                <w:rFonts w:ascii="Book Antiqua" w:eastAsia="宋体" w:hAnsi="Book Antiqua"/>
                <w:b/>
                <w:color w:val="000000"/>
                <w:lang w:val="en-US" w:eastAsia="zh-CN"/>
              </w:rPr>
              <w:t xml:space="preserve"> </w:t>
            </w:r>
            <w:r w:rsidRPr="003A7660">
              <w:rPr>
                <w:rFonts w:ascii="Book Antiqua" w:hAnsi="Book Antiqua"/>
                <w:b/>
                <w:color w:val="000000"/>
                <w:lang w:val="en-US"/>
              </w:rPr>
              <w:t>76</w:t>
            </w:r>
            <w:r w:rsidR="0044365C" w:rsidRPr="003A7660">
              <w:rPr>
                <w:rFonts w:ascii="Book Antiqua" w:hAnsi="Book Antiqua"/>
                <w:b/>
                <w:color w:val="000000"/>
                <w:lang w:val="en-US"/>
              </w:rPr>
              <w:t>,</w:t>
            </w:r>
            <w:r w:rsidRPr="003A7660">
              <w:rPr>
                <w:rFonts w:ascii="Book Antiqua" w:hAnsi="Book Antiqua"/>
                <w:b/>
                <w:color w:val="000000"/>
                <w:lang w:val="en-US"/>
              </w:rPr>
              <w:t xml:space="preserve"> </w:t>
            </w:r>
          </w:p>
          <w:p w:rsidR="00941279" w:rsidRPr="003A7660" w:rsidRDefault="0044365C" w:rsidP="00384F14">
            <w:pPr>
              <w:snapToGrid w:val="0"/>
              <w:spacing w:line="360" w:lineRule="auto"/>
              <w:jc w:val="both"/>
              <w:rPr>
                <w:rFonts w:ascii="Book Antiqua" w:hAnsi="Book Antiqua"/>
                <w:b/>
                <w:bCs/>
                <w:color w:val="000000"/>
                <w:lang w:val="en-US"/>
              </w:rPr>
            </w:pPr>
            <w:r w:rsidRPr="003A7660">
              <w:rPr>
                <w:rFonts w:ascii="Book Antiqua" w:hAnsi="Book Antiqua"/>
                <w:b/>
                <w:i/>
                <w:color w:val="000000"/>
                <w:lang w:val="en-US"/>
              </w:rPr>
              <w:t>n</w:t>
            </w:r>
            <w:r w:rsidRPr="003A7660">
              <w:rPr>
                <w:rFonts w:ascii="Book Antiqua" w:hAnsi="Book Antiqua"/>
                <w:b/>
                <w:color w:val="000000"/>
                <w:lang w:val="en-US"/>
              </w:rPr>
              <w:t xml:space="preserve"> </w:t>
            </w:r>
            <w:r w:rsidR="00941279" w:rsidRPr="003A7660">
              <w:rPr>
                <w:rFonts w:ascii="Book Antiqua" w:hAnsi="Book Antiqua"/>
                <w:b/>
                <w:color w:val="000000"/>
                <w:lang w:val="en-US"/>
              </w:rPr>
              <w:t>(%)</w:t>
            </w:r>
          </w:p>
        </w:tc>
        <w:tc>
          <w:tcPr>
            <w:tcW w:w="1697" w:type="dxa"/>
            <w:tcBorders>
              <w:bottom w:val="single" w:sz="4" w:space="0" w:color="000000"/>
            </w:tcBorders>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R</w:t>
            </w:r>
          </w:p>
          <w:p w:rsidR="0044365C" w:rsidRPr="003A7660" w:rsidRDefault="00941279" w:rsidP="00384F14">
            <w:pPr>
              <w:snapToGrid w:val="0"/>
              <w:spacing w:line="360" w:lineRule="auto"/>
              <w:jc w:val="both"/>
              <w:rPr>
                <w:rFonts w:ascii="Book Antiqua" w:hAnsi="Book Antiqua"/>
                <w:b/>
                <w:color w:val="000000"/>
                <w:lang w:val="en-US"/>
              </w:rPr>
            </w:pPr>
            <w:r w:rsidRPr="003A7660">
              <w:rPr>
                <w:rFonts w:ascii="Book Antiqua" w:hAnsi="Book Antiqua"/>
                <w:b/>
                <w:i/>
                <w:color w:val="000000"/>
                <w:lang w:val="en-US"/>
              </w:rPr>
              <w:t>N</w:t>
            </w:r>
            <w:r w:rsidR="00BD0618" w:rsidRPr="003A7660">
              <w:rPr>
                <w:rFonts w:ascii="Book Antiqua" w:eastAsia="宋体" w:hAnsi="Book Antiqua"/>
                <w:b/>
                <w:color w:val="000000"/>
                <w:lang w:val="en-US" w:eastAsia="zh-CN"/>
              </w:rPr>
              <w:t xml:space="preserve"> </w:t>
            </w:r>
            <w:r w:rsidRPr="003A7660">
              <w:rPr>
                <w:rFonts w:ascii="Book Antiqua" w:hAnsi="Book Antiqua"/>
                <w:b/>
                <w:color w:val="000000"/>
                <w:lang w:val="en-US"/>
              </w:rPr>
              <w:t>=</w:t>
            </w:r>
            <w:r w:rsidR="00BD0618" w:rsidRPr="003A7660">
              <w:rPr>
                <w:rFonts w:ascii="Book Antiqua" w:eastAsia="宋体" w:hAnsi="Book Antiqua"/>
                <w:b/>
                <w:color w:val="000000"/>
                <w:lang w:val="en-US" w:eastAsia="zh-CN"/>
              </w:rPr>
              <w:t xml:space="preserve"> </w:t>
            </w:r>
            <w:r w:rsidRPr="003A7660">
              <w:rPr>
                <w:rFonts w:ascii="Book Antiqua" w:hAnsi="Book Antiqua"/>
                <w:b/>
                <w:color w:val="000000"/>
                <w:lang w:val="en-US"/>
              </w:rPr>
              <w:t>74</w:t>
            </w:r>
            <w:r w:rsidR="0044365C" w:rsidRPr="003A7660">
              <w:rPr>
                <w:rFonts w:ascii="Book Antiqua" w:hAnsi="Book Antiqua"/>
                <w:b/>
                <w:color w:val="000000"/>
                <w:lang w:val="en-US"/>
              </w:rPr>
              <w:t>,</w:t>
            </w:r>
          </w:p>
          <w:p w:rsidR="00941279" w:rsidRPr="003A7660" w:rsidRDefault="0044365C" w:rsidP="00384F14">
            <w:pPr>
              <w:snapToGrid w:val="0"/>
              <w:spacing w:line="360" w:lineRule="auto"/>
              <w:jc w:val="both"/>
              <w:rPr>
                <w:rFonts w:ascii="Book Antiqua" w:hAnsi="Book Antiqua"/>
                <w:b/>
                <w:bCs/>
                <w:color w:val="000000"/>
                <w:lang w:val="en-US"/>
              </w:rPr>
            </w:pPr>
            <w:r w:rsidRPr="003A7660">
              <w:rPr>
                <w:rFonts w:ascii="Book Antiqua" w:hAnsi="Book Antiqua"/>
                <w:b/>
                <w:i/>
                <w:color w:val="000000"/>
                <w:lang w:val="en-US"/>
              </w:rPr>
              <w:t>n</w:t>
            </w:r>
            <w:r w:rsidR="00941279" w:rsidRPr="003A7660">
              <w:rPr>
                <w:rFonts w:ascii="Book Antiqua" w:hAnsi="Book Antiqua"/>
                <w:b/>
                <w:color w:val="000000"/>
                <w:lang w:val="en-US"/>
              </w:rPr>
              <w:t xml:space="preserve"> (%)</w:t>
            </w:r>
          </w:p>
        </w:tc>
        <w:tc>
          <w:tcPr>
            <w:tcW w:w="1068" w:type="dxa"/>
            <w:tcBorders>
              <w:bottom w:val="single" w:sz="4" w:space="0" w:color="000000"/>
            </w:tcBorders>
            <w:shd w:val="clear" w:color="auto" w:fill="auto"/>
            <w:vAlign w:val="center"/>
          </w:tcPr>
          <w:p w:rsidR="00941279" w:rsidRPr="003A7660" w:rsidRDefault="00BD0618" w:rsidP="00384F14">
            <w:pPr>
              <w:snapToGrid w:val="0"/>
              <w:spacing w:line="360" w:lineRule="auto"/>
              <w:jc w:val="both"/>
              <w:rPr>
                <w:rFonts w:ascii="Book Antiqua" w:hAnsi="Book Antiqua"/>
                <w:b/>
                <w:bCs/>
                <w:color w:val="000000"/>
                <w:lang w:val="en-US"/>
              </w:rPr>
            </w:pPr>
            <w:r w:rsidRPr="003A7660">
              <w:rPr>
                <w:rFonts w:ascii="Book Antiqua" w:hAnsi="Book Antiqua"/>
                <w:b/>
                <w:i/>
                <w:color w:val="000000"/>
                <w:lang w:val="en-US"/>
              </w:rPr>
              <w:t>P</w:t>
            </w:r>
            <w:r w:rsidR="00941279" w:rsidRPr="003A7660">
              <w:rPr>
                <w:rFonts w:ascii="Book Antiqua" w:hAnsi="Book Antiqua"/>
                <w:b/>
                <w:color w:val="000000"/>
                <w:lang w:val="en-US"/>
              </w:rPr>
              <w:t>-value</w:t>
            </w:r>
          </w:p>
        </w:tc>
        <w:tc>
          <w:tcPr>
            <w:tcW w:w="1418" w:type="dxa"/>
            <w:tcBorders>
              <w:bottom w:val="single" w:sz="4" w:space="0" w:color="000000"/>
            </w:tcBorders>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Total</w:t>
            </w:r>
          </w:p>
          <w:p w:rsidR="0044365C" w:rsidRPr="003A7660" w:rsidRDefault="00941279" w:rsidP="00384F14">
            <w:pPr>
              <w:snapToGrid w:val="0"/>
              <w:spacing w:line="360" w:lineRule="auto"/>
              <w:jc w:val="both"/>
              <w:rPr>
                <w:rFonts w:ascii="Book Antiqua" w:hAnsi="Book Antiqua"/>
                <w:b/>
                <w:color w:val="000000"/>
                <w:lang w:val="en-US"/>
              </w:rPr>
            </w:pPr>
            <w:r w:rsidRPr="003A7660">
              <w:rPr>
                <w:rFonts w:ascii="Book Antiqua" w:hAnsi="Book Antiqua"/>
                <w:b/>
                <w:i/>
                <w:color w:val="000000"/>
                <w:lang w:val="en-US"/>
              </w:rPr>
              <w:t>N</w:t>
            </w:r>
            <w:r w:rsidR="00BD0618" w:rsidRPr="003A7660">
              <w:rPr>
                <w:rFonts w:ascii="Book Antiqua" w:eastAsia="宋体" w:hAnsi="Book Antiqua"/>
                <w:b/>
                <w:color w:val="000000"/>
                <w:lang w:val="en-US" w:eastAsia="zh-CN"/>
              </w:rPr>
              <w:t xml:space="preserve"> </w:t>
            </w:r>
            <w:r w:rsidRPr="003A7660">
              <w:rPr>
                <w:rFonts w:ascii="Book Antiqua" w:hAnsi="Book Antiqua"/>
                <w:b/>
                <w:color w:val="000000"/>
                <w:lang w:val="en-US"/>
              </w:rPr>
              <w:t>=</w:t>
            </w:r>
            <w:r w:rsidR="00BD0618" w:rsidRPr="003A7660">
              <w:rPr>
                <w:rFonts w:ascii="Book Antiqua" w:eastAsia="宋体" w:hAnsi="Book Antiqua"/>
                <w:b/>
                <w:color w:val="000000"/>
                <w:lang w:val="en-US" w:eastAsia="zh-CN"/>
              </w:rPr>
              <w:t xml:space="preserve"> </w:t>
            </w:r>
            <w:r w:rsidRPr="003A7660">
              <w:rPr>
                <w:rFonts w:ascii="Book Antiqua" w:hAnsi="Book Antiqua"/>
                <w:b/>
                <w:color w:val="000000"/>
                <w:lang w:val="en-US"/>
              </w:rPr>
              <w:t>150</w:t>
            </w:r>
            <w:r w:rsidR="0044365C" w:rsidRPr="003A7660">
              <w:rPr>
                <w:rFonts w:ascii="Book Antiqua" w:hAnsi="Book Antiqua"/>
                <w:b/>
                <w:color w:val="000000"/>
                <w:lang w:val="en-US"/>
              </w:rPr>
              <w:t>,</w:t>
            </w:r>
          </w:p>
          <w:p w:rsidR="00941279" w:rsidRPr="003A7660" w:rsidRDefault="0044365C" w:rsidP="00384F14">
            <w:pPr>
              <w:snapToGrid w:val="0"/>
              <w:spacing w:line="360" w:lineRule="auto"/>
              <w:jc w:val="both"/>
              <w:rPr>
                <w:rFonts w:ascii="Book Antiqua" w:hAnsi="Book Antiqua"/>
                <w:b/>
                <w:bCs/>
                <w:color w:val="000000"/>
                <w:lang w:val="en-US"/>
              </w:rPr>
            </w:pPr>
            <w:r w:rsidRPr="003A7660">
              <w:rPr>
                <w:rFonts w:ascii="Book Antiqua" w:hAnsi="Book Antiqua"/>
                <w:b/>
                <w:i/>
                <w:color w:val="000000"/>
                <w:lang w:val="en-US"/>
              </w:rPr>
              <w:t>n</w:t>
            </w:r>
            <w:r w:rsidR="00941279" w:rsidRPr="003A7660">
              <w:rPr>
                <w:rFonts w:ascii="Book Antiqua" w:hAnsi="Book Antiqua"/>
                <w:b/>
                <w:color w:val="000000"/>
                <w:lang w:val="en-US"/>
              </w:rPr>
              <w:t xml:space="preserve"> (%)</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Gender</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F</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33 (43.4)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43 (56.6)</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38 (51.4)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36 (48.6)</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0.33</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71 (47.3)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79 (52.7)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Age</w:t>
            </w:r>
            <w:r w:rsidR="0044365C" w:rsidRPr="003A7660">
              <w:rPr>
                <w:rFonts w:ascii="Book Antiqua" w:hAnsi="Book Antiqua"/>
                <w:b/>
                <w:color w:val="000000"/>
                <w:lang w:val="en-US"/>
              </w:rPr>
              <w:t>,</w:t>
            </w:r>
            <w:r w:rsidRPr="003A7660">
              <w:rPr>
                <w:rFonts w:ascii="Book Antiqua" w:hAnsi="Book Antiqua"/>
                <w:b/>
                <w:color w:val="000000"/>
                <w:lang w:val="en-US"/>
              </w:rPr>
              <w:t xml:space="preserve"> </w:t>
            </w:r>
            <w:r w:rsidR="0044365C" w:rsidRPr="003A7660">
              <w:rPr>
                <w:rFonts w:ascii="Book Antiqua" w:hAnsi="Book Antiqua"/>
                <w:b/>
                <w:color w:val="000000"/>
                <w:lang w:val="en-US"/>
              </w:rPr>
              <w:t xml:space="preserve">in </w:t>
            </w:r>
            <w:r w:rsidRPr="003A7660">
              <w:rPr>
                <w:rFonts w:ascii="Book Antiqua" w:hAnsi="Book Antiqua"/>
                <w:b/>
                <w:color w:val="000000"/>
                <w:lang w:val="en-US"/>
              </w:rPr>
              <w:t>yr</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Median</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63</w:t>
            </w:r>
            <w:r w:rsidR="00BD0618" w:rsidRPr="003A7660">
              <w:rPr>
                <w:rFonts w:ascii="Book Antiqua" w:eastAsia="宋体" w:hAnsi="Book Antiqua"/>
                <w:color w:val="000000"/>
                <w:vertAlign w:val="superscript"/>
                <w:lang w:val="en-US" w:eastAsia="zh-CN"/>
              </w:rPr>
              <w:t>1</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64</w:t>
            </w:r>
            <w:r w:rsidR="00BD0618" w:rsidRPr="003A7660">
              <w:rPr>
                <w:rFonts w:ascii="Book Antiqua" w:eastAsia="宋体" w:hAnsi="Book Antiqua"/>
                <w:color w:val="000000"/>
                <w:vertAlign w:val="superscript"/>
                <w:lang w:val="en-US" w:eastAsia="zh-CN"/>
              </w:rPr>
              <w:t>1</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0.91</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63.3</w:t>
            </w:r>
            <w:r w:rsidR="00BD0618" w:rsidRPr="003A7660">
              <w:rPr>
                <w:rFonts w:ascii="Book Antiqua" w:eastAsia="宋体" w:hAnsi="Book Antiqua"/>
                <w:color w:val="000000"/>
                <w:vertAlign w:val="superscript"/>
                <w:lang w:val="en-US" w:eastAsia="zh-CN"/>
              </w:rPr>
              <w:t>1</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ASA</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1</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2</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3</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 (3.9)</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70 (92.1)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 (3.9)</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 (5.4)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70 (94.6)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 (0)</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0.33</w:t>
            </w:r>
          </w:p>
          <w:p w:rsidR="00941279" w:rsidRPr="003A7660" w:rsidRDefault="00941279" w:rsidP="00384F14">
            <w:pPr>
              <w:snapToGrid w:val="0"/>
              <w:spacing w:line="360" w:lineRule="auto"/>
              <w:jc w:val="both"/>
              <w:rPr>
                <w:rFonts w:ascii="Book Antiqua" w:hAnsi="Book Antiqua"/>
                <w:color w:val="000000"/>
                <w:lang w:val="en-US"/>
              </w:rPr>
            </w:pP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 (4.7)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140 (93.3)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 (2)</w:t>
            </w:r>
          </w:p>
        </w:tc>
      </w:tr>
      <w:tr w:rsidR="00941279" w:rsidRPr="003A7660" w:rsidTr="00EB25BF">
        <w:trPr>
          <w:trHeight w:val="379"/>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Number of lesions before treatment</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Median</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3</w:t>
            </w:r>
            <w:r w:rsidR="00BD0618" w:rsidRPr="003A7660">
              <w:rPr>
                <w:rFonts w:ascii="Book Antiqua" w:eastAsia="宋体" w:hAnsi="Book Antiqua"/>
                <w:color w:val="000000"/>
                <w:vertAlign w:val="superscript"/>
                <w:lang w:val="en-US" w:eastAsia="zh-CN"/>
              </w:rPr>
              <w:t>1</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3</w:t>
            </w:r>
            <w:r w:rsidR="00BD0618" w:rsidRPr="003A7660">
              <w:rPr>
                <w:rFonts w:ascii="Book Antiqua" w:eastAsia="宋体" w:hAnsi="Book Antiqua"/>
                <w:color w:val="000000"/>
                <w:vertAlign w:val="superscript"/>
                <w:lang w:val="en-US" w:eastAsia="zh-CN"/>
              </w:rPr>
              <w:t>1</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0.35</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3</w:t>
            </w:r>
            <w:r w:rsidR="00BD0618" w:rsidRPr="003A7660">
              <w:rPr>
                <w:rFonts w:ascii="Book Antiqua" w:eastAsia="宋体" w:hAnsi="Book Antiqua"/>
                <w:color w:val="000000"/>
                <w:vertAlign w:val="superscript"/>
                <w:lang w:val="en-US" w:eastAsia="zh-CN"/>
              </w:rPr>
              <w:t>1</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Bilobar lesions</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26 (34.2)</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50 (65.8)</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30 (40.5)</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44 (59.5)</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0.42</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56 (37.3)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94 (62.7)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Synchronous liver metastases</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21 (27.6)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55 (72.4)</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17 (23)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57 (77)</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0.51</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38 (25.3)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112 (74.7)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Metachronous livers metastases</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55 (72.4)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21 (27.6)</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57 (77)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17 (23)</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0.51</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112 (74.7)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38 (25.3)</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Time period if metachronous</w:t>
            </w:r>
            <w:r w:rsidR="009237B9" w:rsidRPr="003A7660">
              <w:rPr>
                <w:rFonts w:ascii="Book Antiqua" w:hAnsi="Book Antiqua"/>
                <w:b/>
                <w:color w:val="000000"/>
                <w:lang w:val="en-US"/>
              </w:rPr>
              <w:t>, in</w:t>
            </w:r>
            <w:r w:rsidRPr="003A7660">
              <w:rPr>
                <w:rFonts w:ascii="Book Antiqua" w:hAnsi="Book Antiqua"/>
                <w:b/>
                <w:color w:val="000000"/>
                <w:lang w:val="en-US"/>
              </w:rPr>
              <w:t xml:space="preserve"> mo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Median</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14</w:t>
            </w:r>
            <w:r w:rsidR="00BD0618" w:rsidRPr="003A7660">
              <w:rPr>
                <w:rFonts w:ascii="Book Antiqua" w:eastAsia="宋体" w:hAnsi="Book Antiqua"/>
                <w:color w:val="000000"/>
                <w:vertAlign w:val="superscript"/>
                <w:lang w:val="en-US" w:eastAsia="zh-CN"/>
              </w:rPr>
              <w:t>1</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15</w:t>
            </w:r>
            <w:r w:rsidR="00BD0618" w:rsidRPr="003A7660">
              <w:rPr>
                <w:rFonts w:ascii="Book Antiqua" w:eastAsia="宋体" w:hAnsi="Book Antiqua"/>
                <w:color w:val="000000"/>
                <w:vertAlign w:val="superscript"/>
                <w:lang w:val="en-US" w:eastAsia="zh-CN"/>
              </w:rPr>
              <w:t>1</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0.96</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14</w:t>
            </w:r>
            <w:r w:rsidR="00BD0618" w:rsidRPr="003A7660">
              <w:rPr>
                <w:rFonts w:ascii="Book Antiqua" w:eastAsia="宋体" w:hAnsi="Book Antiqua"/>
                <w:color w:val="000000"/>
                <w:vertAlign w:val="superscript"/>
                <w:lang w:val="en-US" w:eastAsia="zh-CN"/>
              </w:rPr>
              <w:t>1</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Extra-hepatic metastases</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56 (73.7)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20 (26.3)</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57 (77)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17 (23)</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0.63</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113 (75.3)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37 (24.7)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Primary cancer</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Colon</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lastRenderedPageBreak/>
              <w:t>Rectum</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57 (75.0)</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lastRenderedPageBreak/>
              <w:t>19 (25.0</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39 (52.7)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lastRenderedPageBreak/>
              <w:t>35 (47.3)</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lastRenderedPageBreak/>
              <w:t>0.004</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96 (64)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lastRenderedPageBreak/>
              <w:t>54 (36)</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lastRenderedPageBreak/>
              <w:t>N+ status primary tumor</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20 (28.2)</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51 (71.8)</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27 (37)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46 (63)</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0.26</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47 (32.6)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97 (67.4)</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Cytotoxic chemotherapy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5-FU</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Oxaliplatin</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Irinotecan</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Capecitabine</w:t>
            </w:r>
          </w:p>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color w:val="000000"/>
                <w:lang w:val="en-US"/>
              </w:rPr>
              <w:t>Raltitrexed</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72 (94.7)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33 (43.4)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54 (71.1)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 (1.3)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 (0.0)</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69 (93.2)</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31 (41.9)</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54 (73)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 (1.4)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 (1.4)</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0.74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0.85</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0.79</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0.49</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141 (94)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64 (42.7)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108 (72)</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 (1.3)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 (0.7)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Targeted preoperative therapy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24 (31.6)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52 (68.4)</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23 (31.1)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51 (68.9)</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0.95</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47 (31.3)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103 (68.7)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Type of targeted therapy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None</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Bevacizumab</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Cetuximab</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Panitumumab</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Aflibercept</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24 (31.6)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33 (43.4)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17 (22.4)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 (1.3)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 (1.3)</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23 (31.1)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43 (58.1)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 (8.1)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 (2.7)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 (0)</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0.056</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47 (31.3)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76 (50.7)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23 (15.3)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 (2)</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 (0.7)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Number of preoperative treatment sessions</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Median</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8*</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0.038</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7.5*</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Response to preoperative chemotherapy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25 (32.9)</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51 (67.1)</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13 (17.6)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61 (82.4)</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0.031</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38 (25.3)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112 (74.7)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Liver-first strategy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74 (97.4)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 (2.6)</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61 (82.4)</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13 (17.6)</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0.002</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135 (90)</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15 (10)</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Combined surgery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72 (94.7)</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 (5.3)</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68 (91.9)</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 (8.1)</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0.53</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140 (93.3)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10 (6.7)</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lastRenderedPageBreak/>
              <w:t>Two-stage procedure</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54 (71.1)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22 (28.9)</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60 (81.1)</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14 (18.9)</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0.15</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114 (76)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36 (24)</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Repeat hepatectomy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63 (82.9)</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13 (17.1)</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69 (93.2)</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 (6.8)</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0.051</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132 (88)</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18 (12)</w:t>
            </w:r>
          </w:p>
        </w:tc>
      </w:tr>
      <w:tr w:rsidR="00941279" w:rsidRPr="003A7660" w:rsidTr="00EB25BF">
        <w:trPr>
          <w:trHeight w:val="356"/>
          <w:jc w:val="center"/>
        </w:trPr>
        <w:tc>
          <w:tcPr>
            <w:tcW w:w="4853" w:type="dxa"/>
            <w:shd w:val="clear" w:color="auto" w:fill="auto"/>
            <w:vAlign w:val="center"/>
          </w:tcPr>
          <w:p w:rsidR="00941279" w:rsidRPr="003A7660" w:rsidRDefault="00941279"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Hepatectomy</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Minor</w:t>
            </w:r>
          </w:p>
          <w:p w:rsidR="00941279" w:rsidRPr="003A7660" w:rsidRDefault="00941279"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Major</w:t>
            </w:r>
          </w:p>
        </w:tc>
        <w:tc>
          <w:tcPr>
            <w:tcW w:w="1204"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39 (51.3)</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37 (48.7)</w:t>
            </w:r>
          </w:p>
        </w:tc>
        <w:tc>
          <w:tcPr>
            <w:tcW w:w="1697"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33 (44.6)</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41 (55.4)</w:t>
            </w:r>
          </w:p>
        </w:tc>
        <w:tc>
          <w:tcPr>
            <w:tcW w:w="106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0.41</w:t>
            </w:r>
          </w:p>
        </w:tc>
        <w:tc>
          <w:tcPr>
            <w:tcW w:w="1418" w:type="dxa"/>
            <w:shd w:val="clear" w:color="auto" w:fill="auto"/>
            <w:vAlign w:val="center"/>
          </w:tcPr>
          <w:p w:rsidR="00941279" w:rsidRPr="003A7660" w:rsidRDefault="00941279" w:rsidP="00384F14">
            <w:pPr>
              <w:snapToGrid w:val="0"/>
              <w:spacing w:line="360" w:lineRule="auto"/>
              <w:jc w:val="both"/>
              <w:rPr>
                <w:rFonts w:ascii="Book Antiqua" w:hAnsi="Book Antiqua"/>
                <w:color w:val="000000"/>
                <w:lang w:val="en-US"/>
              </w:rPr>
            </w:pP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72 (48)</w:t>
            </w:r>
          </w:p>
          <w:p w:rsidR="00941279" w:rsidRPr="003A7660" w:rsidRDefault="00941279"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78 (52)</w:t>
            </w:r>
          </w:p>
        </w:tc>
      </w:tr>
    </w:tbl>
    <w:p w:rsidR="00941279" w:rsidRPr="003A7660" w:rsidRDefault="0044365C" w:rsidP="00384F14">
      <w:pPr>
        <w:snapToGrid w:val="0"/>
        <w:spacing w:line="360" w:lineRule="auto"/>
        <w:jc w:val="both"/>
        <w:rPr>
          <w:rFonts w:ascii="Book Antiqua" w:eastAsia="宋体" w:hAnsi="Book Antiqua"/>
          <w:lang w:val="en-US" w:eastAsia="zh-CN"/>
        </w:rPr>
      </w:pPr>
      <w:r w:rsidRPr="003A7660">
        <w:rPr>
          <w:rFonts w:ascii="Book Antiqua" w:eastAsia="宋体" w:hAnsi="Book Antiqua"/>
          <w:vertAlign w:val="superscript"/>
          <w:lang w:val="en-US" w:eastAsia="zh-CN"/>
        </w:rPr>
        <w:t>1</w:t>
      </w:r>
      <w:r w:rsidRPr="003A7660">
        <w:rPr>
          <w:rFonts w:ascii="Book Antiqua" w:hAnsi="Book Antiqua"/>
          <w:lang w:val="en-US"/>
        </w:rPr>
        <w:t>Median</w:t>
      </w:r>
      <w:r w:rsidRPr="003A7660">
        <w:rPr>
          <w:rFonts w:ascii="Book Antiqua" w:eastAsia="宋体" w:hAnsi="Book Antiqua"/>
          <w:lang w:val="en-US" w:eastAsia="zh-CN"/>
        </w:rPr>
        <w:t xml:space="preserve">. </w:t>
      </w:r>
      <w:r w:rsidR="00941279" w:rsidRPr="003A7660">
        <w:rPr>
          <w:rFonts w:ascii="Book Antiqua" w:hAnsi="Book Antiqua"/>
          <w:lang w:val="en-US"/>
        </w:rPr>
        <w:t xml:space="preserve">NR: </w:t>
      </w:r>
      <w:r w:rsidR="00BD0618" w:rsidRPr="003A7660">
        <w:rPr>
          <w:rFonts w:ascii="Book Antiqua" w:hAnsi="Book Antiqua"/>
          <w:lang w:val="en-US"/>
        </w:rPr>
        <w:t>N</w:t>
      </w:r>
      <w:r w:rsidR="00941279" w:rsidRPr="003A7660">
        <w:rPr>
          <w:rFonts w:ascii="Book Antiqua" w:hAnsi="Book Antiqua"/>
          <w:lang w:val="en-US"/>
        </w:rPr>
        <w:t xml:space="preserve">on-responders; R: responders; </w:t>
      </w:r>
      <w:r w:rsidR="00BD0618" w:rsidRPr="003A7660">
        <w:rPr>
          <w:rFonts w:ascii="Book Antiqua" w:eastAsia="宋体" w:hAnsi="Book Antiqua"/>
          <w:lang w:val="en-US" w:eastAsia="zh-CN"/>
        </w:rPr>
        <w:t xml:space="preserve">F: Female; M: Male; </w:t>
      </w:r>
      <w:r w:rsidR="00941279" w:rsidRPr="003A7660">
        <w:rPr>
          <w:rFonts w:ascii="Book Antiqua" w:hAnsi="Book Antiqua"/>
          <w:lang w:val="en-US"/>
        </w:rPr>
        <w:t>ASA: American Society of Anesthesiologis</w:t>
      </w:r>
      <w:r w:rsidR="00BD0618" w:rsidRPr="003A7660">
        <w:rPr>
          <w:rFonts w:ascii="Book Antiqua" w:hAnsi="Book Antiqua"/>
          <w:lang w:val="en-US"/>
        </w:rPr>
        <w:t>t’</w:t>
      </w:r>
      <w:r w:rsidR="00F7790B" w:rsidRPr="003A7660">
        <w:rPr>
          <w:rFonts w:ascii="Book Antiqua" w:hAnsi="Book Antiqua"/>
          <w:lang w:val="en-US"/>
        </w:rPr>
        <w:t>s</w:t>
      </w:r>
      <w:r w:rsidR="00BD0618" w:rsidRPr="003A7660">
        <w:rPr>
          <w:rFonts w:ascii="Book Antiqua" w:hAnsi="Book Antiqua"/>
          <w:lang w:val="en-US"/>
        </w:rPr>
        <w:t xml:space="preserve"> score; 5-FU: 5-</w:t>
      </w:r>
      <w:r w:rsidRPr="003A7660">
        <w:rPr>
          <w:rFonts w:ascii="Book Antiqua" w:hAnsi="Book Antiqua"/>
          <w:lang w:val="en-US"/>
        </w:rPr>
        <w:t>F</w:t>
      </w:r>
      <w:r w:rsidR="00BD0618" w:rsidRPr="003A7660">
        <w:rPr>
          <w:rFonts w:ascii="Book Antiqua" w:hAnsi="Book Antiqua"/>
          <w:lang w:val="en-US"/>
        </w:rPr>
        <w:t>luorouracil</w:t>
      </w:r>
      <w:r w:rsidRPr="003A7660">
        <w:rPr>
          <w:rFonts w:ascii="Book Antiqua" w:eastAsia="宋体" w:hAnsi="Book Antiqua"/>
          <w:lang w:val="en-US" w:eastAsia="zh-CN"/>
        </w:rPr>
        <w:t>.</w:t>
      </w:r>
      <w:r w:rsidR="00941279" w:rsidRPr="003A7660">
        <w:rPr>
          <w:rFonts w:ascii="Book Antiqua" w:hAnsi="Book Antiqua"/>
          <w:lang w:val="en-US"/>
        </w:rPr>
        <w:t xml:space="preserve"> </w:t>
      </w:r>
    </w:p>
    <w:p w:rsidR="000224B1" w:rsidRPr="003A7660" w:rsidRDefault="000224B1" w:rsidP="00384F14">
      <w:pPr>
        <w:snapToGrid w:val="0"/>
        <w:spacing w:line="360" w:lineRule="auto"/>
        <w:jc w:val="both"/>
        <w:rPr>
          <w:rFonts w:ascii="Book Antiqua" w:hAnsi="Book Antiqua"/>
          <w:bCs/>
          <w:lang w:val="en-US"/>
        </w:rPr>
      </w:pPr>
      <w:r w:rsidRPr="003A7660">
        <w:rPr>
          <w:rFonts w:ascii="Book Antiqua" w:hAnsi="Book Antiqua"/>
          <w:bCs/>
          <w:lang w:val="en-US"/>
        </w:rPr>
        <w:br w:type="page"/>
      </w:r>
      <w:r w:rsidRPr="003A7660">
        <w:rPr>
          <w:rFonts w:ascii="Book Antiqua" w:hAnsi="Book Antiqua"/>
          <w:b/>
          <w:lang w:val="en-US"/>
        </w:rPr>
        <w:lastRenderedPageBreak/>
        <w:t>Table 2</w:t>
      </w:r>
      <w:r w:rsidR="00BD0618" w:rsidRPr="003A7660">
        <w:rPr>
          <w:rFonts w:ascii="Book Antiqua" w:eastAsia="宋体" w:hAnsi="Book Antiqua"/>
          <w:lang w:val="en-US" w:eastAsia="zh-CN"/>
        </w:rPr>
        <w:t xml:space="preserve"> </w:t>
      </w:r>
      <w:r w:rsidRPr="003A7660">
        <w:rPr>
          <w:rFonts w:ascii="Book Antiqua" w:hAnsi="Book Antiqua"/>
          <w:b/>
          <w:lang w:val="en-US"/>
        </w:rPr>
        <w:t>Pathological criteria</w:t>
      </w:r>
    </w:p>
    <w:tbl>
      <w:tblPr>
        <w:tblW w:w="10781" w:type="dxa"/>
        <w:jc w:val="center"/>
        <w:tblBorders>
          <w:top w:val="single" w:sz="4" w:space="0" w:color="000000"/>
          <w:bottom w:val="single" w:sz="4" w:space="0" w:color="000000"/>
        </w:tblBorders>
        <w:tblLook w:val="04A0" w:firstRow="1" w:lastRow="0" w:firstColumn="1" w:lastColumn="0" w:noHBand="0" w:noVBand="1"/>
      </w:tblPr>
      <w:tblGrid>
        <w:gridCol w:w="3975"/>
        <w:gridCol w:w="1716"/>
        <w:gridCol w:w="1795"/>
        <w:gridCol w:w="1347"/>
        <w:gridCol w:w="1948"/>
      </w:tblGrid>
      <w:tr w:rsidR="000224B1" w:rsidRPr="003A7660" w:rsidTr="00EB25BF">
        <w:trPr>
          <w:trHeight w:val="1358"/>
          <w:jc w:val="center"/>
        </w:trPr>
        <w:tc>
          <w:tcPr>
            <w:tcW w:w="3975" w:type="dxa"/>
            <w:tcBorders>
              <w:bottom w:val="single" w:sz="4" w:space="0" w:color="000000"/>
            </w:tcBorders>
            <w:shd w:val="clear" w:color="auto" w:fill="auto"/>
            <w:vAlign w:val="center"/>
          </w:tcPr>
          <w:p w:rsidR="000224B1" w:rsidRPr="003A7660" w:rsidRDefault="000224B1" w:rsidP="00384F14">
            <w:pPr>
              <w:snapToGrid w:val="0"/>
              <w:spacing w:line="360" w:lineRule="auto"/>
              <w:jc w:val="both"/>
              <w:rPr>
                <w:rFonts w:ascii="Book Antiqua" w:hAnsi="Book Antiqua"/>
                <w:bCs/>
                <w:lang w:val="en-US"/>
              </w:rPr>
            </w:pPr>
          </w:p>
        </w:tc>
        <w:tc>
          <w:tcPr>
            <w:tcW w:w="1716" w:type="dxa"/>
            <w:tcBorders>
              <w:bottom w:val="single" w:sz="4" w:space="0" w:color="000000"/>
            </w:tcBorders>
            <w:shd w:val="clear" w:color="auto" w:fill="auto"/>
            <w:vAlign w:val="center"/>
          </w:tcPr>
          <w:p w:rsidR="000224B1" w:rsidRPr="003A7660" w:rsidRDefault="000224B1" w:rsidP="00384F14">
            <w:pPr>
              <w:snapToGrid w:val="0"/>
              <w:spacing w:line="360" w:lineRule="auto"/>
              <w:jc w:val="both"/>
              <w:rPr>
                <w:rFonts w:ascii="Book Antiqua" w:hAnsi="Book Antiqua"/>
                <w:b/>
                <w:bCs/>
                <w:lang w:val="en-US"/>
              </w:rPr>
            </w:pPr>
            <w:r w:rsidRPr="003A7660">
              <w:rPr>
                <w:rFonts w:ascii="Book Antiqua" w:hAnsi="Book Antiqua"/>
                <w:b/>
                <w:lang w:val="en-US"/>
              </w:rPr>
              <w:t>NR</w:t>
            </w:r>
          </w:p>
          <w:p w:rsidR="0044365C" w:rsidRPr="003A7660" w:rsidRDefault="000224B1" w:rsidP="00384F14">
            <w:pPr>
              <w:snapToGrid w:val="0"/>
              <w:spacing w:line="360" w:lineRule="auto"/>
              <w:jc w:val="both"/>
              <w:rPr>
                <w:rFonts w:ascii="Book Antiqua" w:hAnsi="Book Antiqua"/>
                <w:b/>
                <w:lang w:val="en-US"/>
              </w:rPr>
            </w:pPr>
            <w:r w:rsidRPr="003A7660">
              <w:rPr>
                <w:rFonts w:ascii="Book Antiqua" w:hAnsi="Book Antiqua"/>
                <w:b/>
                <w:i/>
                <w:lang w:val="en-US"/>
              </w:rPr>
              <w:t>N</w:t>
            </w:r>
            <w:r w:rsidR="00BD0618" w:rsidRPr="003A7660">
              <w:rPr>
                <w:rFonts w:ascii="Book Antiqua" w:eastAsia="宋体" w:hAnsi="Book Antiqua"/>
                <w:b/>
                <w:lang w:val="en-US" w:eastAsia="zh-CN"/>
              </w:rPr>
              <w:t xml:space="preserve"> </w:t>
            </w:r>
            <w:r w:rsidRPr="003A7660">
              <w:rPr>
                <w:rFonts w:ascii="Book Antiqua" w:hAnsi="Book Antiqua"/>
                <w:b/>
                <w:lang w:val="en-US"/>
              </w:rPr>
              <w:t>=</w:t>
            </w:r>
            <w:r w:rsidR="00BD0618" w:rsidRPr="003A7660">
              <w:rPr>
                <w:rFonts w:ascii="Book Antiqua" w:eastAsia="宋体" w:hAnsi="Book Antiqua"/>
                <w:b/>
                <w:lang w:val="en-US" w:eastAsia="zh-CN"/>
              </w:rPr>
              <w:t xml:space="preserve"> </w:t>
            </w:r>
            <w:r w:rsidRPr="003A7660">
              <w:rPr>
                <w:rFonts w:ascii="Book Antiqua" w:hAnsi="Book Antiqua"/>
                <w:b/>
                <w:lang w:val="en-US"/>
              </w:rPr>
              <w:t>76</w:t>
            </w:r>
            <w:r w:rsidR="0044365C" w:rsidRPr="003A7660">
              <w:rPr>
                <w:rFonts w:ascii="Book Antiqua" w:hAnsi="Book Antiqua"/>
                <w:b/>
                <w:lang w:val="en-US"/>
              </w:rPr>
              <w:t>,</w:t>
            </w:r>
          </w:p>
          <w:p w:rsidR="000224B1" w:rsidRPr="003A7660" w:rsidRDefault="0044365C" w:rsidP="00384F14">
            <w:pPr>
              <w:snapToGrid w:val="0"/>
              <w:spacing w:line="360" w:lineRule="auto"/>
              <w:jc w:val="both"/>
              <w:rPr>
                <w:rFonts w:ascii="Book Antiqua" w:hAnsi="Book Antiqua"/>
                <w:b/>
                <w:bCs/>
                <w:lang w:val="en-US"/>
              </w:rPr>
            </w:pPr>
            <w:r w:rsidRPr="003A7660">
              <w:rPr>
                <w:rFonts w:ascii="Book Antiqua" w:hAnsi="Book Antiqua"/>
                <w:b/>
                <w:i/>
                <w:color w:val="000000"/>
                <w:lang w:val="en-US"/>
              </w:rPr>
              <w:t>n</w:t>
            </w:r>
            <w:r w:rsidR="000224B1" w:rsidRPr="003A7660">
              <w:rPr>
                <w:rFonts w:ascii="Book Antiqua" w:hAnsi="Book Antiqua"/>
                <w:b/>
                <w:lang w:val="en-US"/>
              </w:rPr>
              <w:t xml:space="preserve"> (%)</w:t>
            </w:r>
          </w:p>
        </w:tc>
        <w:tc>
          <w:tcPr>
            <w:tcW w:w="1795" w:type="dxa"/>
            <w:tcBorders>
              <w:bottom w:val="single" w:sz="4" w:space="0" w:color="000000"/>
            </w:tcBorders>
            <w:shd w:val="clear" w:color="auto" w:fill="auto"/>
            <w:vAlign w:val="center"/>
          </w:tcPr>
          <w:p w:rsidR="000224B1" w:rsidRPr="003A7660" w:rsidRDefault="000224B1" w:rsidP="00384F14">
            <w:pPr>
              <w:snapToGrid w:val="0"/>
              <w:spacing w:line="360" w:lineRule="auto"/>
              <w:jc w:val="both"/>
              <w:rPr>
                <w:rFonts w:ascii="Book Antiqua" w:hAnsi="Book Antiqua"/>
                <w:b/>
                <w:bCs/>
                <w:lang w:val="en-US"/>
              </w:rPr>
            </w:pPr>
            <w:r w:rsidRPr="003A7660">
              <w:rPr>
                <w:rFonts w:ascii="Book Antiqua" w:hAnsi="Book Antiqua"/>
                <w:b/>
                <w:lang w:val="en-US"/>
              </w:rPr>
              <w:t>R</w:t>
            </w:r>
          </w:p>
          <w:p w:rsidR="0044365C" w:rsidRPr="003A7660" w:rsidRDefault="000224B1" w:rsidP="00384F14">
            <w:pPr>
              <w:snapToGrid w:val="0"/>
              <w:spacing w:line="360" w:lineRule="auto"/>
              <w:jc w:val="both"/>
              <w:rPr>
                <w:rFonts w:ascii="Book Antiqua" w:hAnsi="Book Antiqua"/>
                <w:b/>
                <w:lang w:val="en-US"/>
              </w:rPr>
            </w:pPr>
            <w:r w:rsidRPr="003A7660">
              <w:rPr>
                <w:rFonts w:ascii="Book Antiqua" w:hAnsi="Book Antiqua"/>
                <w:b/>
                <w:i/>
                <w:lang w:val="en-US"/>
              </w:rPr>
              <w:t>N</w:t>
            </w:r>
            <w:r w:rsidR="00BD0618" w:rsidRPr="003A7660">
              <w:rPr>
                <w:rFonts w:ascii="Book Antiqua" w:eastAsia="宋体" w:hAnsi="Book Antiqua"/>
                <w:b/>
                <w:lang w:val="en-US" w:eastAsia="zh-CN"/>
              </w:rPr>
              <w:t xml:space="preserve"> </w:t>
            </w:r>
            <w:r w:rsidRPr="003A7660">
              <w:rPr>
                <w:rFonts w:ascii="Book Antiqua" w:hAnsi="Book Antiqua"/>
                <w:b/>
                <w:lang w:val="en-US"/>
              </w:rPr>
              <w:t>=</w:t>
            </w:r>
            <w:r w:rsidR="00BD0618" w:rsidRPr="003A7660">
              <w:rPr>
                <w:rFonts w:ascii="Book Antiqua" w:eastAsia="宋体" w:hAnsi="Book Antiqua"/>
                <w:b/>
                <w:lang w:val="en-US" w:eastAsia="zh-CN"/>
              </w:rPr>
              <w:t xml:space="preserve"> </w:t>
            </w:r>
            <w:r w:rsidRPr="003A7660">
              <w:rPr>
                <w:rFonts w:ascii="Book Antiqua" w:hAnsi="Book Antiqua"/>
                <w:b/>
                <w:lang w:val="en-US"/>
              </w:rPr>
              <w:t>74</w:t>
            </w:r>
            <w:r w:rsidR="0044365C" w:rsidRPr="003A7660">
              <w:rPr>
                <w:rFonts w:ascii="Book Antiqua" w:hAnsi="Book Antiqua"/>
                <w:b/>
                <w:lang w:val="en-US"/>
              </w:rPr>
              <w:t>,</w:t>
            </w:r>
          </w:p>
          <w:p w:rsidR="000224B1" w:rsidRPr="003A7660" w:rsidRDefault="0044365C" w:rsidP="00384F14">
            <w:pPr>
              <w:snapToGrid w:val="0"/>
              <w:spacing w:line="360" w:lineRule="auto"/>
              <w:jc w:val="both"/>
              <w:rPr>
                <w:rFonts w:ascii="Book Antiqua" w:hAnsi="Book Antiqua"/>
                <w:b/>
                <w:bCs/>
                <w:lang w:val="en-US"/>
              </w:rPr>
            </w:pPr>
            <w:r w:rsidRPr="003A7660">
              <w:rPr>
                <w:rFonts w:ascii="Book Antiqua" w:hAnsi="Book Antiqua"/>
                <w:b/>
                <w:i/>
                <w:color w:val="000000"/>
                <w:lang w:val="en-US"/>
              </w:rPr>
              <w:t>n</w:t>
            </w:r>
            <w:r w:rsidR="000224B1" w:rsidRPr="003A7660">
              <w:rPr>
                <w:rFonts w:ascii="Book Antiqua" w:hAnsi="Book Antiqua"/>
                <w:b/>
                <w:lang w:val="en-US"/>
              </w:rPr>
              <w:t xml:space="preserve"> (%)</w:t>
            </w:r>
          </w:p>
        </w:tc>
        <w:tc>
          <w:tcPr>
            <w:tcW w:w="1347" w:type="dxa"/>
            <w:tcBorders>
              <w:bottom w:val="single" w:sz="4" w:space="0" w:color="000000"/>
            </w:tcBorders>
            <w:shd w:val="clear" w:color="auto" w:fill="auto"/>
            <w:vAlign w:val="center"/>
          </w:tcPr>
          <w:p w:rsidR="000224B1" w:rsidRPr="003A7660" w:rsidRDefault="00BD0618" w:rsidP="00384F14">
            <w:pPr>
              <w:snapToGrid w:val="0"/>
              <w:spacing w:line="360" w:lineRule="auto"/>
              <w:jc w:val="both"/>
              <w:rPr>
                <w:rFonts w:ascii="Book Antiqua" w:hAnsi="Book Antiqua"/>
                <w:b/>
                <w:bCs/>
                <w:lang w:val="en-US"/>
              </w:rPr>
            </w:pPr>
            <w:r w:rsidRPr="003A7660">
              <w:rPr>
                <w:rFonts w:ascii="Book Antiqua" w:hAnsi="Book Antiqua"/>
                <w:b/>
                <w:i/>
                <w:lang w:val="en-US"/>
              </w:rPr>
              <w:t>P</w:t>
            </w:r>
            <w:r w:rsidR="000224B1" w:rsidRPr="003A7660">
              <w:rPr>
                <w:rFonts w:ascii="Book Antiqua" w:hAnsi="Book Antiqua"/>
                <w:b/>
                <w:lang w:val="en-US"/>
              </w:rPr>
              <w:t>-value</w:t>
            </w:r>
          </w:p>
        </w:tc>
        <w:tc>
          <w:tcPr>
            <w:tcW w:w="1948" w:type="dxa"/>
            <w:tcBorders>
              <w:bottom w:val="single" w:sz="4" w:space="0" w:color="000000"/>
            </w:tcBorders>
            <w:shd w:val="clear" w:color="auto" w:fill="auto"/>
            <w:vAlign w:val="center"/>
          </w:tcPr>
          <w:p w:rsidR="000224B1" w:rsidRPr="003A7660" w:rsidRDefault="000224B1" w:rsidP="00384F14">
            <w:pPr>
              <w:snapToGrid w:val="0"/>
              <w:spacing w:line="360" w:lineRule="auto"/>
              <w:jc w:val="both"/>
              <w:rPr>
                <w:rFonts w:ascii="Book Antiqua" w:hAnsi="Book Antiqua"/>
                <w:b/>
                <w:bCs/>
                <w:lang w:val="en-US"/>
              </w:rPr>
            </w:pPr>
            <w:r w:rsidRPr="003A7660">
              <w:rPr>
                <w:rFonts w:ascii="Book Antiqua" w:hAnsi="Book Antiqua"/>
                <w:b/>
                <w:lang w:val="en-US"/>
              </w:rPr>
              <w:t>Total</w:t>
            </w:r>
          </w:p>
          <w:p w:rsidR="0044365C" w:rsidRPr="003A7660" w:rsidRDefault="000224B1" w:rsidP="00384F14">
            <w:pPr>
              <w:snapToGrid w:val="0"/>
              <w:spacing w:line="360" w:lineRule="auto"/>
              <w:jc w:val="both"/>
              <w:rPr>
                <w:rFonts w:ascii="Book Antiqua" w:hAnsi="Book Antiqua"/>
                <w:b/>
                <w:lang w:val="en-US"/>
              </w:rPr>
            </w:pPr>
            <w:r w:rsidRPr="003A7660">
              <w:rPr>
                <w:rFonts w:ascii="Book Antiqua" w:hAnsi="Book Antiqua"/>
                <w:b/>
                <w:i/>
                <w:lang w:val="en-US"/>
              </w:rPr>
              <w:t>N</w:t>
            </w:r>
            <w:r w:rsidR="00BD0618" w:rsidRPr="003A7660">
              <w:rPr>
                <w:rFonts w:ascii="Book Antiqua" w:eastAsia="宋体" w:hAnsi="Book Antiqua"/>
                <w:b/>
                <w:lang w:val="en-US" w:eastAsia="zh-CN"/>
              </w:rPr>
              <w:t xml:space="preserve"> </w:t>
            </w:r>
            <w:r w:rsidRPr="003A7660">
              <w:rPr>
                <w:rFonts w:ascii="Book Antiqua" w:hAnsi="Book Antiqua"/>
                <w:b/>
                <w:lang w:val="en-US"/>
              </w:rPr>
              <w:t>=</w:t>
            </w:r>
            <w:r w:rsidR="00BD0618" w:rsidRPr="003A7660">
              <w:rPr>
                <w:rFonts w:ascii="Book Antiqua" w:eastAsia="宋体" w:hAnsi="Book Antiqua"/>
                <w:b/>
                <w:lang w:val="en-US" w:eastAsia="zh-CN"/>
              </w:rPr>
              <w:t xml:space="preserve"> </w:t>
            </w:r>
            <w:r w:rsidRPr="003A7660">
              <w:rPr>
                <w:rFonts w:ascii="Book Antiqua" w:hAnsi="Book Antiqua"/>
                <w:b/>
                <w:lang w:val="en-US"/>
              </w:rPr>
              <w:t>150</w:t>
            </w:r>
            <w:r w:rsidR="0044365C" w:rsidRPr="003A7660">
              <w:rPr>
                <w:rFonts w:ascii="Book Antiqua" w:hAnsi="Book Antiqua"/>
                <w:b/>
                <w:lang w:val="en-US"/>
              </w:rPr>
              <w:t>,</w:t>
            </w:r>
          </w:p>
          <w:p w:rsidR="000224B1" w:rsidRPr="003A7660" w:rsidRDefault="0044365C" w:rsidP="00384F14">
            <w:pPr>
              <w:snapToGrid w:val="0"/>
              <w:spacing w:line="360" w:lineRule="auto"/>
              <w:jc w:val="both"/>
              <w:rPr>
                <w:rFonts w:ascii="Book Antiqua" w:hAnsi="Book Antiqua"/>
                <w:b/>
                <w:bCs/>
                <w:lang w:val="en-US"/>
              </w:rPr>
            </w:pPr>
            <w:r w:rsidRPr="003A7660">
              <w:rPr>
                <w:rFonts w:ascii="Book Antiqua" w:hAnsi="Book Antiqua"/>
                <w:b/>
                <w:i/>
                <w:color w:val="000000"/>
                <w:lang w:val="en-US"/>
              </w:rPr>
              <w:t>n</w:t>
            </w:r>
            <w:r w:rsidR="000224B1" w:rsidRPr="003A7660">
              <w:rPr>
                <w:rFonts w:ascii="Book Antiqua" w:hAnsi="Book Antiqua"/>
                <w:b/>
                <w:lang w:val="en-US"/>
              </w:rPr>
              <w:t xml:space="preserve"> (%)</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bCs/>
                <w:lang w:val="en-US"/>
              </w:rPr>
            </w:pPr>
            <w:r w:rsidRPr="003A7660">
              <w:rPr>
                <w:rFonts w:ascii="Book Antiqua" w:hAnsi="Book Antiqua"/>
                <w:b/>
                <w:lang w:val="en-US"/>
              </w:rPr>
              <w:t>Dissociated</w:t>
            </w:r>
            <w:r w:rsidR="00276807" w:rsidRPr="003A7660">
              <w:rPr>
                <w:rFonts w:ascii="Book Antiqua" w:hAnsi="Book Antiqua"/>
                <w:b/>
                <w:lang w:val="en-US"/>
              </w:rPr>
              <w:t xml:space="preserve"> </w:t>
            </w:r>
            <w:r w:rsidRPr="003A7660">
              <w:rPr>
                <w:rFonts w:ascii="Book Antiqua" w:hAnsi="Book Antiqua"/>
                <w:b/>
                <w:lang w:val="en-US"/>
              </w:rPr>
              <w:t>histological response</w:t>
            </w:r>
          </w:p>
          <w:p w:rsidR="000224B1" w:rsidRPr="003A7660" w:rsidRDefault="000224B1" w:rsidP="00384F14">
            <w:pPr>
              <w:snapToGrid w:val="0"/>
              <w:spacing w:line="360" w:lineRule="auto"/>
              <w:jc w:val="both"/>
              <w:rPr>
                <w:rFonts w:ascii="Book Antiqua" w:hAnsi="Book Antiqua"/>
                <w:bCs/>
                <w:lang w:val="en-US"/>
              </w:rPr>
            </w:pPr>
            <w:r w:rsidRPr="003A7660">
              <w:rPr>
                <w:rFonts w:ascii="Book Antiqua" w:hAnsi="Book Antiqua"/>
                <w:lang w:val="en-US"/>
              </w:rPr>
              <w:t>No</w:t>
            </w:r>
          </w:p>
          <w:p w:rsidR="000224B1" w:rsidRPr="003A7660" w:rsidRDefault="000224B1" w:rsidP="00384F14">
            <w:pPr>
              <w:snapToGrid w:val="0"/>
              <w:spacing w:line="360" w:lineRule="auto"/>
              <w:jc w:val="both"/>
              <w:rPr>
                <w:rFonts w:ascii="Book Antiqua" w:hAnsi="Book Antiqua"/>
                <w:bCs/>
                <w:lang w:val="en-US"/>
              </w:rPr>
            </w:pPr>
            <w:r w:rsidRPr="003A7660">
              <w:rPr>
                <w:rFonts w:ascii="Book Antiqua" w:hAnsi="Book Antiqua"/>
                <w:lang w:val="en-US"/>
              </w:rPr>
              <w:t>Yes</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 xml:space="preserve">33 (43.4) </w:t>
            </w: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43 (56.6)</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 xml:space="preserve">55 (74.3)   </w:t>
            </w: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 xml:space="preserve">19 (25.7)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 xml:space="preserve">0.0001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88 (58.7)</w:t>
            </w: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62 (41.3)</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lang w:val="en-US"/>
              </w:rPr>
            </w:pPr>
            <w:r w:rsidRPr="003A7660">
              <w:rPr>
                <w:rFonts w:ascii="Book Antiqua" w:hAnsi="Book Antiqua"/>
                <w:b/>
                <w:lang w:val="en-US"/>
              </w:rPr>
              <w:t xml:space="preserve">Number of lesions on specimen  </w:t>
            </w:r>
          </w:p>
          <w:p w:rsidR="000224B1" w:rsidRPr="003A7660" w:rsidRDefault="000224B1" w:rsidP="00384F14">
            <w:pPr>
              <w:snapToGrid w:val="0"/>
              <w:spacing w:line="360" w:lineRule="auto"/>
              <w:jc w:val="both"/>
              <w:rPr>
                <w:rFonts w:ascii="Book Antiqua" w:hAnsi="Book Antiqua"/>
                <w:bCs/>
                <w:lang w:val="en-US"/>
              </w:rPr>
            </w:pPr>
            <w:r w:rsidRPr="003A7660">
              <w:rPr>
                <w:rFonts w:ascii="Book Antiqua" w:hAnsi="Book Antiqua"/>
                <w:color w:val="000000"/>
                <w:lang w:val="en-US"/>
              </w:rPr>
              <w:t xml:space="preserve">Median  </w:t>
            </w:r>
            <w:r w:rsidRPr="003A7660">
              <w:rPr>
                <w:rFonts w:ascii="Book Antiqua" w:hAnsi="Book Antiqua"/>
                <w:b/>
                <w:lang w:val="en-US"/>
              </w:rPr>
              <w:t xml:space="preserve">     </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3</w:t>
            </w:r>
            <w:r w:rsidR="00BD0618" w:rsidRPr="003A7660">
              <w:rPr>
                <w:rFonts w:ascii="Book Antiqua" w:eastAsia="宋体" w:hAnsi="Book Antiqua"/>
                <w:vertAlign w:val="superscript"/>
                <w:lang w:val="en-US" w:eastAsia="zh-CN"/>
              </w:rPr>
              <w:t>1</w:t>
            </w:r>
            <w:r w:rsidRPr="003A7660">
              <w:rPr>
                <w:rFonts w:ascii="Book Antiqua" w:hAnsi="Book Antiqua"/>
                <w:lang w:val="en-US"/>
              </w:rPr>
              <w:t xml:space="preserve">            </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2</w:t>
            </w:r>
            <w:r w:rsidR="00BD0618" w:rsidRPr="003A7660">
              <w:rPr>
                <w:rFonts w:ascii="Book Antiqua" w:eastAsia="宋体" w:hAnsi="Book Antiqua"/>
                <w:vertAlign w:val="superscript"/>
                <w:lang w:val="en-US" w:eastAsia="zh-CN"/>
              </w:rPr>
              <w:t>1</w:t>
            </w:r>
            <w:r w:rsidRPr="003A7660">
              <w:rPr>
                <w:rFonts w:ascii="Book Antiqua" w:hAnsi="Book Antiqua"/>
                <w:lang w:val="en-US"/>
              </w:rPr>
              <w:t xml:space="preserve">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p>
          <w:p w:rsidR="000224B1" w:rsidRPr="003A7660" w:rsidRDefault="000224B1" w:rsidP="00384F14">
            <w:pPr>
              <w:snapToGrid w:val="0"/>
              <w:spacing w:line="360" w:lineRule="auto"/>
              <w:jc w:val="both"/>
              <w:rPr>
                <w:rFonts w:ascii="Book Antiqua" w:hAnsi="Book Antiqua"/>
                <w:lang w:val="en-US"/>
              </w:rPr>
            </w:pPr>
            <w:r w:rsidRPr="003A7660">
              <w:rPr>
                <w:rFonts w:ascii="Book Antiqua" w:hAnsi="Book Antiqua"/>
                <w:lang w:val="en-US"/>
              </w:rPr>
              <w:t xml:space="preserve">0.07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lang w:val="en-US"/>
              </w:rPr>
            </w:pPr>
          </w:p>
          <w:p w:rsidR="000224B1" w:rsidRPr="003A7660" w:rsidRDefault="000224B1" w:rsidP="00384F14">
            <w:pPr>
              <w:snapToGrid w:val="0"/>
              <w:spacing w:line="360" w:lineRule="auto"/>
              <w:jc w:val="both"/>
              <w:rPr>
                <w:rFonts w:ascii="Book Antiqua" w:eastAsia="宋体" w:hAnsi="Book Antiqua"/>
                <w:lang w:val="en-US" w:eastAsia="zh-CN"/>
              </w:rPr>
            </w:pPr>
            <w:r w:rsidRPr="003A7660">
              <w:rPr>
                <w:rFonts w:ascii="Book Antiqua" w:hAnsi="Book Antiqua"/>
                <w:lang w:val="en-US"/>
              </w:rPr>
              <w:t>3</w:t>
            </w:r>
            <w:r w:rsidR="00BD0618" w:rsidRPr="003A7660">
              <w:rPr>
                <w:rFonts w:ascii="Book Antiqua" w:eastAsia="宋体" w:hAnsi="Book Antiqua"/>
                <w:vertAlign w:val="superscript"/>
                <w:lang w:val="en-US" w:eastAsia="zh-CN"/>
              </w:rPr>
              <w:t>1</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Lesions on specimen</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 xml:space="preserve">Single  </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Multiple</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18 (23.7)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58 (76.3)      </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24 (32.4)</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50 (67.6)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0.23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42 (28)</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108 (72)</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Lesions on specimen</w:t>
            </w:r>
          </w:p>
          <w:p w:rsidR="000224B1" w:rsidRPr="003A7660" w:rsidRDefault="00BD0618"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w:t>
            </w:r>
            <w:r w:rsidRPr="003A7660">
              <w:rPr>
                <w:rFonts w:ascii="Book Antiqua" w:eastAsia="宋体" w:hAnsi="Book Antiqua"/>
                <w:color w:val="000000"/>
                <w:lang w:val="en-US" w:eastAsia="zh-CN"/>
              </w:rPr>
              <w:t xml:space="preserve"> </w:t>
            </w:r>
            <w:r w:rsidR="000224B1" w:rsidRPr="003A7660">
              <w:rPr>
                <w:rFonts w:ascii="Book Antiqua" w:hAnsi="Book Antiqua"/>
                <w:color w:val="000000"/>
                <w:lang w:val="en-US"/>
              </w:rPr>
              <w:t xml:space="preserve">3 </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&gt; 3</w:t>
            </w:r>
            <w:r w:rsidRPr="003A7660">
              <w:rPr>
                <w:rFonts w:ascii="Book Antiqua" w:hAnsi="Book Antiqua"/>
                <w:b/>
                <w:color w:val="000000"/>
                <w:lang w:val="en-US"/>
              </w:rPr>
              <w:t xml:space="preserve">                                                    </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46 (60.5)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30 (39.5)      </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53 (71.6)</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21 (28.4)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0.15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99 (66)</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51 (34)</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Resection</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R0</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R1</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52 (68.4)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24 (31.6)       </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65 (87.8)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9 (12.2)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0.004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117 (78)</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33 (22)</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Emboli</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60 (78.9)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16 (21.1)       </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68 (91.9)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6 (8.1)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0.025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128 (85.3)</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22 (14.7)</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Size of the largest metastasis</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 xml:space="preserve">Median       </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2.9</w:t>
            </w:r>
            <w:r w:rsidR="00BD0618" w:rsidRPr="003A7660">
              <w:rPr>
                <w:rFonts w:ascii="Book Antiqua" w:eastAsia="宋体" w:hAnsi="Book Antiqua"/>
                <w:color w:val="000000"/>
                <w:vertAlign w:val="superscript"/>
                <w:lang w:val="en-US" w:eastAsia="zh-CN"/>
              </w:rPr>
              <w:t>1</w:t>
            </w:r>
            <w:r w:rsidRPr="003A7660">
              <w:rPr>
                <w:rFonts w:ascii="Book Antiqua" w:hAnsi="Book Antiqua"/>
                <w:color w:val="000000"/>
                <w:lang w:val="en-US"/>
              </w:rPr>
              <w:t xml:space="preserve">  </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3</w:t>
            </w:r>
            <w:r w:rsidR="00BD0618" w:rsidRPr="003A7660">
              <w:rPr>
                <w:rFonts w:ascii="Book Antiqua" w:eastAsia="宋体" w:hAnsi="Book Antiqua"/>
                <w:color w:val="000000"/>
                <w:vertAlign w:val="superscript"/>
                <w:lang w:val="en-US" w:eastAsia="zh-CN"/>
              </w:rPr>
              <w:t>1</w:t>
            </w:r>
            <w:r w:rsidRPr="003A7660">
              <w:rPr>
                <w:rFonts w:ascii="Book Antiqua" w:hAnsi="Book Antiqua"/>
                <w:color w:val="000000"/>
                <w:lang w:val="en-US"/>
              </w:rPr>
              <w:t xml:space="preserve">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0.43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3</w:t>
            </w:r>
            <w:r w:rsidR="00BD0618" w:rsidRPr="003A7660">
              <w:rPr>
                <w:rFonts w:ascii="Book Antiqua" w:eastAsia="宋体" w:hAnsi="Book Antiqua"/>
                <w:color w:val="000000"/>
                <w:vertAlign w:val="superscript"/>
                <w:lang w:val="en-US" w:eastAsia="zh-CN"/>
              </w:rPr>
              <w:t>1</w:t>
            </w:r>
          </w:p>
        </w:tc>
      </w:tr>
      <w:tr w:rsidR="000224B1" w:rsidRPr="003A7660" w:rsidTr="00EB25BF">
        <w:trPr>
          <w:trHeight w:val="676"/>
          <w:jc w:val="center"/>
        </w:trPr>
        <w:tc>
          <w:tcPr>
            <w:tcW w:w="3975" w:type="dxa"/>
            <w:shd w:val="clear" w:color="auto" w:fill="auto"/>
            <w:vAlign w:val="center"/>
          </w:tcPr>
          <w:p w:rsidR="000224B1" w:rsidRPr="003A7660" w:rsidRDefault="000224B1"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Differentiation</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Unclassifiable</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 xml:space="preserve">Undifferentiated/barely differentiated </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 xml:space="preserve">Moderately differentiated  </w:t>
            </w:r>
          </w:p>
          <w:p w:rsidR="000224B1" w:rsidRPr="003A7660" w:rsidRDefault="000224B1"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Well-differentiated</w:t>
            </w:r>
            <w:r w:rsidRPr="003A7660">
              <w:rPr>
                <w:rFonts w:ascii="Book Antiqua" w:hAnsi="Book Antiqua"/>
                <w:b/>
                <w:color w:val="000000"/>
                <w:lang w:val="en-US"/>
              </w:rPr>
              <w:t xml:space="preserve">                        </w:t>
            </w:r>
          </w:p>
        </w:tc>
        <w:tc>
          <w:tcPr>
            <w:tcW w:w="1716"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2 (2.6)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 (6.6)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30 (39.5)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39 (51.3)           </w:t>
            </w:r>
          </w:p>
        </w:tc>
        <w:tc>
          <w:tcPr>
            <w:tcW w:w="1795"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 (6.8)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 (4.1)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34 (45.9)                </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32 (43.2)                </w:t>
            </w:r>
          </w:p>
        </w:tc>
        <w:tc>
          <w:tcPr>
            <w:tcW w:w="1347"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0.45       </w:t>
            </w:r>
          </w:p>
        </w:tc>
        <w:tc>
          <w:tcPr>
            <w:tcW w:w="1948" w:type="dxa"/>
            <w:shd w:val="clear" w:color="auto" w:fill="auto"/>
            <w:vAlign w:val="center"/>
          </w:tcPr>
          <w:p w:rsidR="000224B1" w:rsidRPr="003A7660" w:rsidRDefault="000224B1" w:rsidP="00384F14">
            <w:pPr>
              <w:snapToGrid w:val="0"/>
              <w:spacing w:line="360" w:lineRule="auto"/>
              <w:jc w:val="both"/>
              <w:rPr>
                <w:rFonts w:ascii="Book Antiqua" w:hAnsi="Book Antiqua"/>
                <w:color w:val="000000"/>
                <w:lang w:val="en-US"/>
              </w:rPr>
            </w:pP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 (4.7)</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8 (5.3)</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64 (42.7)</w:t>
            </w:r>
          </w:p>
          <w:p w:rsidR="000224B1" w:rsidRPr="003A7660" w:rsidRDefault="000224B1"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71 (47.3)</w:t>
            </w:r>
          </w:p>
        </w:tc>
      </w:tr>
    </w:tbl>
    <w:p w:rsidR="00312C15" w:rsidRPr="003A7660" w:rsidRDefault="00BD0618" w:rsidP="00384F14">
      <w:pPr>
        <w:snapToGrid w:val="0"/>
        <w:spacing w:line="360" w:lineRule="auto"/>
        <w:jc w:val="both"/>
        <w:rPr>
          <w:rFonts w:ascii="Book Antiqua" w:eastAsia="宋体" w:hAnsi="Book Antiqua"/>
          <w:lang w:val="en-US" w:eastAsia="zh-CN"/>
        </w:rPr>
      </w:pPr>
      <w:r w:rsidRPr="003A7660">
        <w:rPr>
          <w:rFonts w:ascii="Book Antiqua" w:eastAsia="宋体" w:hAnsi="Book Antiqua"/>
          <w:vertAlign w:val="superscript"/>
          <w:lang w:val="en-US" w:eastAsia="zh-CN"/>
        </w:rPr>
        <w:t>1</w:t>
      </w:r>
      <w:r w:rsidR="000224B1" w:rsidRPr="003A7660">
        <w:rPr>
          <w:rFonts w:ascii="Book Antiqua" w:hAnsi="Book Antiqua"/>
          <w:lang w:val="en-US"/>
        </w:rPr>
        <w:t>Median</w:t>
      </w:r>
      <w:r w:rsidRPr="003A7660">
        <w:rPr>
          <w:rFonts w:ascii="Book Antiqua" w:eastAsia="宋体" w:hAnsi="Book Antiqua"/>
          <w:lang w:val="en-US" w:eastAsia="zh-CN"/>
        </w:rPr>
        <w:t xml:space="preserve">; </w:t>
      </w:r>
      <w:r w:rsidRPr="003A7660">
        <w:rPr>
          <w:rFonts w:ascii="Book Antiqua" w:hAnsi="Book Antiqua"/>
          <w:lang w:val="en-US"/>
        </w:rPr>
        <w:t>NR: Non-responders; R: responders</w:t>
      </w:r>
      <w:r w:rsidRPr="003A7660">
        <w:rPr>
          <w:rFonts w:ascii="Book Antiqua" w:eastAsia="宋体" w:hAnsi="Book Antiqua"/>
          <w:lang w:val="en-US" w:eastAsia="zh-CN"/>
        </w:rPr>
        <w:t>.</w:t>
      </w:r>
    </w:p>
    <w:p w:rsidR="00F7790B" w:rsidRPr="003A7660" w:rsidRDefault="00F7790B"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cs="Courier New"/>
          <w:lang w:val="en-US"/>
        </w:rPr>
      </w:pP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b/>
          <w:lang w:val="en-US"/>
        </w:rPr>
        <w:t>Table 3</w:t>
      </w:r>
      <w:r w:rsidR="00BD0618" w:rsidRPr="003A7660">
        <w:rPr>
          <w:rFonts w:ascii="Book Antiqua" w:eastAsia="宋体" w:hAnsi="Book Antiqua"/>
          <w:lang w:val="en-US" w:eastAsia="zh-CN"/>
        </w:rPr>
        <w:t xml:space="preserve"> </w:t>
      </w:r>
      <w:r w:rsidRPr="003A7660">
        <w:rPr>
          <w:rFonts w:ascii="Book Antiqua" w:hAnsi="Book Antiqua"/>
          <w:b/>
          <w:lang w:val="en-US"/>
        </w:rPr>
        <w:t>Postoperative criteria</w:t>
      </w:r>
    </w:p>
    <w:p w:rsidR="00312C15" w:rsidRPr="003A7660" w:rsidRDefault="00312C15" w:rsidP="00384F14">
      <w:pPr>
        <w:snapToGrid w:val="0"/>
        <w:spacing w:line="360" w:lineRule="auto"/>
        <w:jc w:val="both"/>
        <w:rPr>
          <w:rFonts w:ascii="Book Antiqua" w:hAnsi="Book Antiqua"/>
          <w:bCs/>
          <w:lang w:val="en-US"/>
        </w:rPr>
      </w:pPr>
    </w:p>
    <w:tbl>
      <w:tblPr>
        <w:tblW w:w="10982" w:type="dxa"/>
        <w:jc w:val="center"/>
        <w:tblBorders>
          <w:top w:val="single" w:sz="4" w:space="0" w:color="000000"/>
          <w:bottom w:val="single" w:sz="4" w:space="0" w:color="000000"/>
        </w:tblBorders>
        <w:tblLook w:val="04A0" w:firstRow="1" w:lastRow="0" w:firstColumn="1" w:lastColumn="0" w:noHBand="0" w:noVBand="1"/>
      </w:tblPr>
      <w:tblGrid>
        <w:gridCol w:w="3932"/>
        <w:gridCol w:w="1865"/>
        <w:gridCol w:w="1829"/>
        <w:gridCol w:w="1372"/>
        <w:gridCol w:w="1984"/>
      </w:tblGrid>
      <w:tr w:rsidR="00312C15" w:rsidRPr="003A7660" w:rsidTr="00EB25BF">
        <w:trPr>
          <w:trHeight w:val="615"/>
          <w:jc w:val="center"/>
        </w:trPr>
        <w:tc>
          <w:tcPr>
            <w:tcW w:w="3932"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Cs/>
                <w:lang w:val="en-US"/>
              </w:rPr>
            </w:pPr>
          </w:p>
        </w:tc>
        <w:tc>
          <w:tcPr>
            <w:tcW w:w="1865"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lang w:val="en-US"/>
              </w:rPr>
              <w:t>NR</w:t>
            </w:r>
          </w:p>
          <w:p w:rsidR="0044365C" w:rsidRPr="003A7660" w:rsidRDefault="00312C15" w:rsidP="00384F14">
            <w:pPr>
              <w:snapToGrid w:val="0"/>
              <w:spacing w:line="360" w:lineRule="auto"/>
              <w:jc w:val="both"/>
              <w:rPr>
                <w:rFonts w:ascii="Book Antiqua" w:hAnsi="Book Antiqua"/>
                <w:b/>
                <w:lang w:val="en-US"/>
              </w:rPr>
            </w:pPr>
            <w:r w:rsidRPr="003A7660">
              <w:rPr>
                <w:rFonts w:ascii="Book Antiqua" w:hAnsi="Book Antiqua"/>
                <w:b/>
                <w:i/>
                <w:lang w:val="en-US"/>
              </w:rPr>
              <w:t>N</w:t>
            </w:r>
            <w:r w:rsidR="00BD0618" w:rsidRPr="003A7660">
              <w:rPr>
                <w:rFonts w:ascii="Book Antiqua" w:eastAsia="宋体" w:hAnsi="Book Antiqua"/>
                <w:b/>
                <w:lang w:val="en-US" w:eastAsia="zh-CN"/>
              </w:rPr>
              <w:t xml:space="preserve"> </w:t>
            </w:r>
            <w:r w:rsidRPr="003A7660">
              <w:rPr>
                <w:rFonts w:ascii="Book Antiqua" w:hAnsi="Book Antiqua"/>
                <w:b/>
                <w:lang w:val="en-US"/>
              </w:rPr>
              <w:t>=</w:t>
            </w:r>
            <w:r w:rsidR="00BD0618" w:rsidRPr="003A7660">
              <w:rPr>
                <w:rFonts w:ascii="Book Antiqua" w:eastAsia="宋体" w:hAnsi="Book Antiqua"/>
                <w:b/>
                <w:lang w:val="en-US" w:eastAsia="zh-CN"/>
              </w:rPr>
              <w:t xml:space="preserve"> </w:t>
            </w:r>
            <w:r w:rsidRPr="003A7660">
              <w:rPr>
                <w:rFonts w:ascii="Book Antiqua" w:hAnsi="Book Antiqua"/>
                <w:b/>
                <w:lang w:val="en-US"/>
              </w:rPr>
              <w:t>76</w:t>
            </w:r>
            <w:r w:rsidR="0044365C" w:rsidRPr="003A7660">
              <w:rPr>
                <w:rFonts w:ascii="Book Antiqua" w:hAnsi="Book Antiqua"/>
                <w:b/>
                <w:lang w:val="en-US"/>
              </w:rPr>
              <w:t>,</w:t>
            </w:r>
          </w:p>
          <w:p w:rsidR="00312C15" w:rsidRPr="003A7660" w:rsidRDefault="0044365C" w:rsidP="00384F14">
            <w:pPr>
              <w:snapToGrid w:val="0"/>
              <w:spacing w:line="360" w:lineRule="auto"/>
              <w:jc w:val="both"/>
              <w:rPr>
                <w:rFonts w:ascii="Book Antiqua" w:hAnsi="Book Antiqua"/>
                <w:b/>
                <w:bCs/>
                <w:lang w:val="en-US"/>
              </w:rPr>
            </w:pPr>
            <w:r w:rsidRPr="003A7660">
              <w:rPr>
                <w:rFonts w:ascii="Book Antiqua" w:hAnsi="Book Antiqua"/>
                <w:b/>
                <w:i/>
                <w:color w:val="000000"/>
                <w:lang w:val="en-US"/>
              </w:rPr>
              <w:t>n</w:t>
            </w:r>
            <w:r w:rsidR="00312C15" w:rsidRPr="003A7660">
              <w:rPr>
                <w:rFonts w:ascii="Book Antiqua" w:hAnsi="Book Antiqua"/>
                <w:b/>
                <w:lang w:val="en-US"/>
              </w:rPr>
              <w:t xml:space="preserve"> (%)</w:t>
            </w:r>
          </w:p>
        </w:tc>
        <w:tc>
          <w:tcPr>
            <w:tcW w:w="1829"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lang w:val="en-US"/>
              </w:rPr>
              <w:t>R</w:t>
            </w:r>
          </w:p>
          <w:p w:rsidR="0044365C" w:rsidRPr="003A7660" w:rsidRDefault="00BD0618" w:rsidP="00384F14">
            <w:pPr>
              <w:snapToGrid w:val="0"/>
              <w:spacing w:line="360" w:lineRule="auto"/>
              <w:jc w:val="both"/>
              <w:rPr>
                <w:rFonts w:ascii="Book Antiqua" w:hAnsi="Book Antiqua"/>
                <w:b/>
                <w:lang w:val="en-US"/>
              </w:rPr>
            </w:pPr>
            <w:r w:rsidRPr="003A7660">
              <w:rPr>
                <w:rFonts w:ascii="Book Antiqua" w:hAnsi="Book Antiqua"/>
                <w:b/>
                <w:i/>
                <w:lang w:val="en-US"/>
              </w:rPr>
              <w:t>N</w:t>
            </w:r>
            <w:r w:rsidRPr="003A7660">
              <w:rPr>
                <w:rFonts w:ascii="Book Antiqua" w:hAnsi="Book Antiqua"/>
                <w:b/>
                <w:lang w:val="en-US"/>
              </w:rPr>
              <w:t xml:space="preserve"> </w:t>
            </w:r>
            <w:r w:rsidR="00312C15" w:rsidRPr="003A7660">
              <w:rPr>
                <w:rFonts w:ascii="Book Antiqua" w:hAnsi="Book Antiqua"/>
                <w:b/>
                <w:lang w:val="en-US"/>
              </w:rPr>
              <w:t>=</w:t>
            </w:r>
            <w:r w:rsidRPr="003A7660">
              <w:rPr>
                <w:rFonts w:ascii="Book Antiqua" w:eastAsia="宋体" w:hAnsi="Book Antiqua"/>
                <w:b/>
                <w:lang w:val="en-US" w:eastAsia="zh-CN"/>
              </w:rPr>
              <w:t xml:space="preserve"> </w:t>
            </w:r>
            <w:r w:rsidR="00312C15" w:rsidRPr="003A7660">
              <w:rPr>
                <w:rFonts w:ascii="Book Antiqua" w:hAnsi="Book Antiqua"/>
                <w:b/>
                <w:lang w:val="en-US"/>
              </w:rPr>
              <w:t>74</w:t>
            </w:r>
            <w:r w:rsidR="0044365C" w:rsidRPr="003A7660">
              <w:rPr>
                <w:rFonts w:ascii="Book Antiqua" w:hAnsi="Book Antiqua"/>
                <w:b/>
                <w:lang w:val="en-US"/>
              </w:rPr>
              <w:t>,</w:t>
            </w:r>
          </w:p>
          <w:p w:rsidR="00312C15" w:rsidRPr="003A7660" w:rsidRDefault="0044365C" w:rsidP="00384F14">
            <w:pPr>
              <w:snapToGrid w:val="0"/>
              <w:spacing w:line="360" w:lineRule="auto"/>
              <w:jc w:val="both"/>
              <w:rPr>
                <w:rFonts w:ascii="Book Antiqua" w:hAnsi="Book Antiqua"/>
                <w:b/>
                <w:bCs/>
                <w:lang w:val="en-US"/>
              </w:rPr>
            </w:pPr>
            <w:r w:rsidRPr="003A7660">
              <w:rPr>
                <w:rFonts w:ascii="Book Antiqua" w:hAnsi="Book Antiqua"/>
                <w:b/>
                <w:i/>
                <w:color w:val="000000"/>
                <w:lang w:val="en-US"/>
              </w:rPr>
              <w:t>n</w:t>
            </w:r>
            <w:r w:rsidR="00312C15" w:rsidRPr="003A7660">
              <w:rPr>
                <w:rFonts w:ascii="Book Antiqua" w:hAnsi="Book Antiqua"/>
                <w:b/>
                <w:lang w:val="en-US"/>
              </w:rPr>
              <w:t xml:space="preserve"> (%)</w:t>
            </w:r>
          </w:p>
        </w:tc>
        <w:tc>
          <w:tcPr>
            <w:tcW w:w="1372" w:type="dxa"/>
            <w:tcBorders>
              <w:bottom w:val="single" w:sz="4" w:space="0" w:color="000000"/>
            </w:tcBorders>
            <w:shd w:val="clear" w:color="auto" w:fill="auto"/>
            <w:vAlign w:val="center"/>
          </w:tcPr>
          <w:p w:rsidR="00312C15" w:rsidRPr="003A7660" w:rsidRDefault="00BD0618" w:rsidP="00384F14">
            <w:pPr>
              <w:snapToGrid w:val="0"/>
              <w:spacing w:line="360" w:lineRule="auto"/>
              <w:jc w:val="both"/>
              <w:rPr>
                <w:rFonts w:ascii="Book Antiqua" w:hAnsi="Book Antiqua"/>
                <w:b/>
                <w:bCs/>
                <w:lang w:val="en-US"/>
              </w:rPr>
            </w:pPr>
            <w:r w:rsidRPr="003A7660">
              <w:rPr>
                <w:rFonts w:ascii="Book Antiqua" w:hAnsi="Book Antiqua"/>
                <w:b/>
                <w:i/>
                <w:lang w:val="en-US"/>
              </w:rPr>
              <w:t>P</w:t>
            </w:r>
            <w:r w:rsidR="00312C15" w:rsidRPr="003A7660">
              <w:rPr>
                <w:rFonts w:ascii="Book Antiqua" w:hAnsi="Book Antiqua"/>
                <w:b/>
                <w:lang w:val="en-US"/>
              </w:rPr>
              <w:t>-value</w:t>
            </w:r>
          </w:p>
        </w:tc>
        <w:tc>
          <w:tcPr>
            <w:tcW w:w="1984"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lang w:val="en-US"/>
              </w:rPr>
              <w:t>Total</w:t>
            </w:r>
          </w:p>
          <w:p w:rsidR="0044365C" w:rsidRPr="003A7660" w:rsidRDefault="00BD0618" w:rsidP="00384F14">
            <w:pPr>
              <w:snapToGrid w:val="0"/>
              <w:spacing w:line="360" w:lineRule="auto"/>
              <w:jc w:val="both"/>
              <w:rPr>
                <w:rFonts w:ascii="Book Antiqua" w:hAnsi="Book Antiqua"/>
                <w:b/>
                <w:lang w:val="en-US"/>
              </w:rPr>
            </w:pPr>
            <w:r w:rsidRPr="003A7660">
              <w:rPr>
                <w:rFonts w:ascii="Book Antiqua" w:hAnsi="Book Antiqua"/>
                <w:b/>
                <w:i/>
                <w:lang w:val="en-US"/>
              </w:rPr>
              <w:t>N</w:t>
            </w:r>
            <w:r w:rsidRPr="003A7660">
              <w:rPr>
                <w:rFonts w:ascii="Book Antiqua" w:hAnsi="Book Antiqua"/>
                <w:b/>
                <w:lang w:val="en-US"/>
              </w:rPr>
              <w:t xml:space="preserve"> </w:t>
            </w:r>
            <w:r w:rsidR="00312C15" w:rsidRPr="003A7660">
              <w:rPr>
                <w:rFonts w:ascii="Book Antiqua" w:hAnsi="Book Antiqua"/>
                <w:b/>
                <w:lang w:val="en-US"/>
              </w:rPr>
              <w:t>=</w:t>
            </w:r>
            <w:r w:rsidRPr="003A7660">
              <w:rPr>
                <w:rFonts w:ascii="Book Antiqua" w:eastAsia="宋体" w:hAnsi="Book Antiqua"/>
                <w:b/>
                <w:lang w:val="en-US" w:eastAsia="zh-CN"/>
              </w:rPr>
              <w:t xml:space="preserve"> </w:t>
            </w:r>
            <w:r w:rsidR="00312C15" w:rsidRPr="003A7660">
              <w:rPr>
                <w:rFonts w:ascii="Book Antiqua" w:hAnsi="Book Antiqua"/>
                <w:b/>
                <w:lang w:val="en-US"/>
              </w:rPr>
              <w:t>150</w:t>
            </w:r>
            <w:r w:rsidR="0044365C" w:rsidRPr="003A7660">
              <w:rPr>
                <w:rFonts w:ascii="Book Antiqua" w:hAnsi="Book Antiqua"/>
                <w:b/>
                <w:lang w:val="en-US"/>
              </w:rPr>
              <w:t>,</w:t>
            </w:r>
          </w:p>
          <w:p w:rsidR="00312C15" w:rsidRPr="003A7660" w:rsidRDefault="0044365C" w:rsidP="00384F14">
            <w:pPr>
              <w:snapToGrid w:val="0"/>
              <w:spacing w:line="360" w:lineRule="auto"/>
              <w:jc w:val="both"/>
              <w:rPr>
                <w:rFonts w:ascii="Book Antiqua" w:hAnsi="Book Antiqua"/>
                <w:b/>
                <w:bCs/>
                <w:lang w:val="en-US"/>
              </w:rPr>
            </w:pPr>
            <w:r w:rsidRPr="003A7660">
              <w:rPr>
                <w:rFonts w:ascii="Book Antiqua" w:hAnsi="Book Antiqua"/>
                <w:b/>
                <w:i/>
                <w:color w:val="000000"/>
                <w:lang w:val="en-US"/>
              </w:rPr>
              <w:t>n</w:t>
            </w:r>
            <w:r w:rsidR="00312C15" w:rsidRPr="003A7660">
              <w:rPr>
                <w:rFonts w:ascii="Book Antiqua" w:hAnsi="Book Antiqua"/>
                <w:b/>
                <w:lang w:val="en-US"/>
              </w:rPr>
              <w:t xml:space="preserve"> (%)</w:t>
            </w:r>
          </w:p>
        </w:tc>
      </w:tr>
      <w:tr w:rsidR="00312C15" w:rsidRPr="003A7660" w:rsidTr="00EB25BF">
        <w:trPr>
          <w:trHeight w:val="306"/>
          <w:jc w:val="center"/>
        </w:trPr>
        <w:tc>
          <w:tcPr>
            <w:tcW w:w="3932"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Complication</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Yes</w:t>
            </w:r>
          </w:p>
        </w:tc>
        <w:tc>
          <w:tcPr>
            <w:tcW w:w="1865"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45 (59.2) </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31 (40.8)           </w:t>
            </w:r>
          </w:p>
        </w:tc>
        <w:tc>
          <w:tcPr>
            <w:tcW w:w="1829"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48 (64.9)                </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26 (35.1)                </w:t>
            </w:r>
          </w:p>
        </w:tc>
        <w:tc>
          <w:tcPr>
            <w:tcW w:w="1372"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0.48       </w:t>
            </w:r>
          </w:p>
        </w:tc>
        <w:tc>
          <w:tcPr>
            <w:tcW w:w="1984"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93 (62)</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57 (38)</w:t>
            </w:r>
          </w:p>
        </w:tc>
      </w:tr>
      <w:tr w:rsidR="00312C15" w:rsidRPr="003A7660" w:rsidTr="00EB25BF">
        <w:trPr>
          <w:trHeight w:val="306"/>
          <w:jc w:val="center"/>
        </w:trPr>
        <w:tc>
          <w:tcPr>
            <w:tcW w:w="3932"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Medical complication</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Yes</w:t>
            </w:r>
          </w:p>
        </w:tc>
        <w:tc>
          <w:tcPr>
            <w:tcW w:w="1865"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53 (69.7)  </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23 (30.3)          </w:t>
            </w:r>
          </w:p>
        </w:tc>
        <w:tc>
          <w:tcPr>
            <w:tcW w:w="1829"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54 (73)  </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20 (27)                        </w:t>
            </w:r>
          </w:p>
        </w:tc>
        <w:tc>
          <w:tcPr>
            <w:tcW w:w="1372"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0.66       </w:t>
            </w:r>
          </w:p>
        </w:tc>
        <w:tc>
          <w:tcPr>
            <w:tcW w:w="1984"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107 (71.3)</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43 (28.7)</w:t>
            </w:r>
          </w:p>
        </w:tc>
      </w:tr>
      <w:tr w:rsidR="00312C15" w:rsidRPr="003A7660" w:rsidTr="00EB25BF">
        <w:trPr>
          <w:trHeight w:val="306"/>
          <w:jc w:val="center"/>
        </w:trPr>
        <w:tc>
          <w:tcPr>
            <w:tcW w:w="3932"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Surgical complication</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Yes</w:t>
            </w:r>
          </w:p>
        </w:tc>
        <w:tc>
          <w:tcPr>
            <w:tcW w:w="1865"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57 (75)      </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19 (25)      </w:t>
            </w:r>
          </w:p>
        </w:tc>
        <w:tc>
          <w:tcPr>
            <w:tcW w:w="1829"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61 (82.4)               </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13 (17.6)                </w:t>
            </w:r>
          </w:p>
        </w:tc>
        <w:tc>
          <w:tcPr>
            <w:tcW w:w="1372"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0.27       </w:t>
            </w:r>
          </w:p>
        </w:tc>
        <w:tc>
          <w:tcPr>
            <w:tcW w:w="1984"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118 (78.7)</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32 (21.3)</w:t>
            </w:r>
          </w:p>
        </w:tc>
      </w:tr>
      <w:tr w:rsidR="00312C15" w:rsidRPr="003A7660" w:rsidTr="00EB25BF">
        <w:trPr>
          <w:trHeight w:val="306"/>
          <w:jc w:val="center"/>
        </w:trPr>
        <w:tc>
          <w:tcPr>
            <w:tcW w:w="3932"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Length of the hospitalization</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 xml:space="preserve">Median   </w:t>
            </w:r>
            <w:r w:rsidRPr="003A7660">
              <w:rPr>
                <w:rFonts w:ascii="Book Antiqua" w:hAnsi="Book Antiqua"/>
                <w:b/>
                <w:color w:val="000000"/>
                <w:lang w:val="en-US"/>
              </w:rPr>
              <w:t xml:space="preserve"> </w:t>
            </w:r>
          </w:p>
        </w:tc>
        <w:tc>
          <w:tcPr>
            <w:tcW w:w="1865"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eastAsia="宋体" w:hAnsi="Book Antiqua"/>
                <w:color w:val="000000"/>
                <w:vertAlign w:val="superscript"/>
                <w:lang w:val="en-US" w:eastAsia="zh-CN"/>
              </w:rPr>
            </w:pPr>
            <w:r w:rsidRPr="003A7660">
              <w:rPr>
                <w:rFonts w:ascii="Book Antiqua" w:hAnsi="Book Antiqua"/>
                <w:color w:val="000000"/>
                <w:lang w:val="en-US"/>
              </w:rPr>
              <w:t>11</w:t>
            </w:r>
            <w:r w:rsidR="00BD0618" w:rsidRPr="003A7660">
              <w:rPr>
                <w:rFonts w:ascii="Book Antiqua" w:eastAsia="宋体" w:hAnsi="Book Antiqua"/>
                <w:color w:val="000000"/>
                <w:vertAlign w:val="superscript"/>
                <w:lang w:val="en-US" w:eastAsia="zh-CN"/>
              </w:rPr>
              <w:t>1</w:t>
            </w:r>
          </w:p>
        </w:tc>
        <w:tc>
          <w:tcPr>
            <w:tcW w:w="1829"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11</w:t>
            </w:r>
            <w:r w:rsidR="00BD0618" w:rsidRPr="003A7660">
              <w:rPr>
                <w:rFonts w:ascii="Book Antiqua" w:eastAsia="宋体" w:hAnsi="Book Antiqua"/>
                <w:color w:val="000000"/>
                <w:vertAlign w:val="superscript"/>
                <w:lang w:val="en-US" w:eastAsia="zh-CN"/>
              </w:rPr>
              <w:t>1</w:t>
            </w:r>
            <w:r w:rsidRPr="003A7660">
              <w:rPr>
                <w:rFonts w:ascii="Book Antiqua" w:hAnsi="Book Antiqua"/>
                <w:color w:val="000000"/>
                <w:vertAlign w:val="superscript"/>
                <w:lang w:val="en-US"/>
              </w:rPr>
              <w:t xml:space="preserve"> </w:t>
            </w:r>
          </w:p>
        </w:tc>
        <w:tc>
          <w:tcPr>
            <w:tcW w:w="1372"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0.36    </w:t>
            </w:r>
          </w:p>
        </w:tc>
        <w:tc>
          <w:tcPr>
            <w:tcW w:w="1984"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eastAsia="宋体" w:hAnsi="Book Antiqua"/>
                <w:color w:val="000000"/>
                <w:lang w:val="en-US" w:eastAsia="zh-CN"/>
              </w:rPr>
            </w:pPr>
            <w:r w:rsidRPr="003A7660">
              <w:rPr>
                <w:rFonts w:ascii="Book Antiqua" w:hAnsi="Book Antiqua"/>
                <w:color w:val="000000"/>
                <w:lang w:val="en-US"/>
              </w:rPr>
              <w:t>11</w:t>
            </w:r>
            <w:r w:rsidR="00BD0618" w:rsidRPr="003A7660">
              <w:rPr>
                <w:rFonts w:ascii="Book Antiqua" w:eastAsia="宋体" w:hAnsi="Book Antiqua"/>
                <w:color w:val="000000"/>
                <w:vertAlign w:val="superscript"/>
                <w:lang w:val="en-US" w:eastAsia="zh-CN"/>
              </w:rPr>
              <w:t>1</w:t>
            </w:r>
          </w:p>
        </w:tc>
      </w:tr>
      <w:tr w:rsidR="00312C15" w:rsidRPr="003A7660" w:rsidTr="00EB25BF">
        <w:trPr>
          <w:trHeight w:val="306"/>
          <w:jc w:val="center"/>
        </w:trPr>
        <w:tc>
          <w:tcPr>
            <w:tcW w:w="3932"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Postoperative chemotherapy</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 xml:space="preserve">Absent  </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Similar</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Different</w:t>
            </w:r>
          </w:p>
        </w:tc>
        <w:tc>
          <w:tcPr>
            <w:tcW w:w="1865"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36 (47.4)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31 (40.8)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9 (11.8)       </w:t>
            </w:r>
          </w:p>
        </w:tc>
        <w:tc>
          <w:tcPr>
            <w:tcW w:w="1829"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31 (41.9)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38 (51.4)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 (6.8)                 </w:t>
            </w:r>
          </w:p>
        </w:tc>
        <w:tc>
          <w:tcPr>
            <w:tcW w:w="1372"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0.33       </w:t>
            </w:r>
          </w:p>
        </w:tc>
        <w:tc>
          <w:tcPr>
            <w:tcW w:w="1984"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67 (44.7)</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69 (46)</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14 (9.3)</w:t>
            </w:r>
          </w:p>
        </w:tc>
      </w:tr>
      <w:tr w:rsidR="00312C15" w:rsidRPr="003A7660" w:rsidTr="00EB25BF">
        <w:trPr>
          <w:trHeight w:val="306"/>
          <w:jc w:val="center"/>
        </w:trPr>
        <w:tc>
          <w:tcPr>
            <w:tcW w:w="3932"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Recurrence</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865"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 (6.6)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71 (93.4)      </w:t>
            </w:r>
          </w:p>
        </w:tc>
        <w:tc>
          <w:tcPr>
            <w:tcW w:w="1829"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12 (16.2)                62 (83.8)               </w:t>
            </w:r>
          </w:p>
        </w:tc>
        <w:tc>
          <w:tcPr>
            <w:tcW w:w="1372"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0.06      </w:t>
            </w:r>
          </w:p>
        </w:tc>
        <w:tc>
          <w:tcPr>
            <w:tcW w:w="1984"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17 (11.3)</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133 (88.7)</w:t>
            </w:r>
          </w:p>
        </w:tc>
      </w:tr>
      <w:tr w:rsidR="00312C15" w:rsidRPr="003A7660" w:rsidTr="00EB25BF">
        <w:trPr>
          <w:trHeight w:val="306"/>
          <w:jc w:val="center"/>
        </w:trPr>
        <w:tc>
          <w:tcPr>
            <w:tcW w:w="3932"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 xml:space="preserve">Recurrence </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Hepatic</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Extra-hepatic</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Multiple sites</w:t>
            </w:r>
          </w:p>
        </w:tc>
        <w:tc>
          <w:tcPr>
            <w:tcW w:w="1865"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59 (77.6)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51 (67.1)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43 (56.6)                </w:t>
            </w:r>
          </w:p>
        </w:tc>
        <w:tc>
          <w:tcPr>
            <w:tcW w:w="1829"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39 (52.7)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46 (62.2)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33 (44.6)                                                        </w:t>
            </w:r>
          </w:p>
        </w:tc>
        <w:tc>
          <w:tcPr>
            <w:tcW w:w="1372"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0.001 </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0.53</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0.14              </w:t>
            </w:r>
          </w:p>
        </w:tc>
        <w:tc>
          <w:tcPr>
            <w:tcW w:w="1984"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98 (65.3)</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97 (64.7)</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76 (50.7)</w:t>
            </w:r>
          </w:p>
        </w:tc>
      </w:tr>
    </w:tbl>
    <w:p w:rsidR="00BD0618" w:rsidRPr="003A7660" w:rsidRDefault="00BD0618" w:rsidP="00384F14">
      <w:pPr>
        <w:snapToGrid w:val="0"/>
        <w:spacing w:line="360" w:lineRule="auto"/>
        <w:jc w:val="both"/>
        <w:rPr>
          <w:rFonts w:ascii="Book Antiqua" w:eastAsia="宋体" w:hAnsi="Book Antiqua"/>
          <w:lang w:val="en-US" w:eastAsia="zh-CN"/>
        </w:rPr>
      </w:pPr>
      <w:r w:rsidRPr="003A7660">
        <w:rPr>
          <w:rFonts w:ascii="Book Antiqua" w:eastAsia="宋体" w:hAnsi="Book Antiqua"/>
          <w:color w:val="000000"/>
          <w:vertAlign w:val="superscript"/>
          <w:lang w:val="en-US" w:eastAsia="zh-CN"/>
        </w:rPr>
        <w:t>1</w:t>
      </w:r>
      <w:r w:rsidR="00312C15" w:rsidRPr="003A7660">
        <w:rPr>
          <w:rFonts w:ascii="Book Antiqua" w:hAnsi="Book Antiqua"/>
          <w:color w:val="000000"/>
          <w:lang w:val="en-US"/>
        </w:rPr>
        <w:t>Median</w:t>
      </w:r>
      <w:r w:rsidR="0044365C" w:rsidRPr="003A7660">
        <w:rPr>
          <w:rFonts w:ascii="Book Antiqua" w:eastAsia="宋体" w:hAnsi="Book Antiqua"/>
          <w:color w:val="000000"/>
          <w:lang w:val="en-US" w:eastAsia="zh-CN"/>
        </w:rPr>
        <w:t>.</w:t>
      </w:r>
      <w:r w:rsidRPr="003A7660">
        <w:rPr>
          <w:rFonts w:ascii="Book Antiqua" w:eastAsia="宋体" w:hAnsi="Book Antiqua"/>
          <w:color w:val="000000"/>
          <w:lang w:val="en-US" w:eastAsia="zh-CN"/>
        </w:rPr>
        <w:t xml:space="preserve"> </w:t>
      </w:r>
      <w:r w:rsidRPr="003A7660">
        <w:rPr>
          <w:rFonts w:ascii="Book Antiqua" w:hAnsi="Book Antiqua"/>
          <w:lang w:val="en-US"/>
        </w:rPr>
        <w:t>NR: Non-responders; R: responders</w:t>
      </w:r>
      <w:r w:rsidRPr="003A7660">
        <w:rPr>
          <w:rFonts w:ascii="Book Antiqua" w:eastAsia="宋体" w:hAnsi="Book Antiqua"/>
          <w:lang w:val="en-US" w:eastAsia="zh-CN"/>
        </w:rPr>
        <w:t>.</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 </w:t>
      </w:r>
    </w:p>
    <w:p w:rsidR="000224B1" w:rsidRPr="003A7660" w:rsidRDefault="000224B1"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bCs/>
          <w:lang w:val="en-US"/>
        </w:rPr>
        <w:br w:type="page"/>
      </w:r>
      <w:r w:rsidRPr="003A7660">
        <w:rPr>
          <w:rFonts w:ascii="Book Antiqua" w:hAnsi="Book Antiqua"/>
          <w:b/>
          <w:lang w:val="en-US"/>
        </w:rPr>
        <w:lastRenderedPageBreak/>
        <w:t>Table 4</w:t>
      </w:r>
      <w:r w:rsidR="00BD0618" w:rsidRPr="003A7660">
        <w:rPr>
          <w:rFonts w:ascii="Book Antiqua" w:eastAsia="宋体" w:hAnsi="Book Antiqua"/>
          <w:lang w:val="en-US" w:eastAsia="zh-CN"/>
        </w:rPr>
        <w:t xml:space="preserve"> </w:t>
      </w:r>
      <w:r w:rsidRPr="003A7660">
        <w:rPr>
          <w:rFonts w:ascii="Book Antiqua" w:hAnsi="Book Antiqua"/>
          <w:b/>
          <w:lang w:val="en-US"/>
        </w:rPr>
        <w:t>Predictive factors of the histological response</w:t>
      </w:r>
    </w:p>
    <w:p w:rsidR="00312C15" w:rsidRPr="003A7660" w:rsidRDefault="00312C15" w:rsidP="00384F14">
      <w:pPr>
        <w:snapToGrid w:val="0"/>
        <w:spacing w:line="360" w:lineRule="auto"/>
        <w:jc w:val="both"/>
        <w:rPr>
          <w:rFonts w:ascii="Book Antiqua" w:hAnsi="Book Antiqua"/>
          <w:bCs/>
          <w:lang w:val="en-US"/>
        </w:rPr>
      </w:pPr>
    </w:p>
    <w:tbl>
      <w:tblPr>
        <w:tblW w:w="10991" w:type="dxa"/>
        <w:jc w:val="center"/>
        <w:tblBorders>
          <w:top w:val="single" w:sz="4" w:space="0" w:color="000000"/>
          <w:bottom w:val="single" w:sz="4" w:space="0" w:color="000000"/>
        </w:tblBorders>
        <w:tblLook w:val="04A0" w:firstRow="1" w:lastRow="0" w:firstColumn="1" w:lastColumn="0" w:noHBand="0" w:noVBand="1"/>
      </w:tblPr>
      <w:tblGrid>
        <w:gridCol w:w="6218"/>
        <w:gridCol w:w="1441"/>
        <w:gridCol w:w="1872"/>
        <w:gridCol w:w="1460"/>
      </w:tblGrid>
      <w:tr w:rsidR="00312C15" w:rsidRPr="003A7660" w:rsidTr="00EB25BF">
        <w:trPr>
          <w:trHeight w:val="717"/>
          <w:jc w:val="center"/>
        </w:trPr>
        <w:tc>
          <w:tcPr>
            <w:tcW w:w="6218"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Cs/>
                <w:lang w:val="en-US"/>
              </w:rPr>
            </w:pPr>
          </w:p>
        </w:tc>
        <w:tc>
          <w:tcPr>
            <w:tcW w:w="1441"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color w:val="000000"/>
                <w:lang w:val="en-US"/>
              </w:rPr>
              <w:t xml:space="preserve">Odds </w:t>
            </w:r>
            <w:r w:rsidR="0044365C" w:rsidRPr="003A7660">
              <w:rPr>
                <w:rFonts w:ascii="Book Antiqua" w:hAnsi="Book Antiqua"/>
                <w:b/>
                <w:color w:val="000000"/>
                <w:lang w:val="en-US"/>
              </w:rPr>
              <w:t>r</w:t>
            </w:r>
            <w:r w:rsidRPr="003A7660">
              <w:rPr>
                <w:rFonts w:ascii="Book Antiqua" w:hAnsi="Book Antiqua"/>
                <w:b/>
                <w:color w:val="000000"/>
                <w:lang w:val="en-US"/>
              </w:rPr>
              <w:t>atio</w:t>
            </w:r>
          </w:p>
        </w:tc>
        <w:tc>
          <w:tcPr>
            <w:tcW w:w="1872"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color w:val="000000"/>
                <w:lang w:val="en-US"/>
              </w:rPr>
              <w:t>95%CI</w:t>
            </w:r>
          </w:p>
        </w:tc>
        <w:tc>
          <w:tcPr>
            <w:tcW w:w="1460" w:type="dxa"/>
            <w:tcBorders>
              <w:bottom w:val="single" w:sz="4" w:space="0" w:color="000000"/>
            </w:tcBorders>
            <w:shd w:val="clear" w:color="auto" w:fill="auto"/>
            <w:vAlign w:val="center"/>
          </w:tcPr>
          <w:p w:rsidR="00312C15" w:rsidRPr="003A7660" w:rsidRDefault="00BD0618" w:rsidP="00384F14">
            <w:pPr>
              <w:snapToGrid w:val="0"/>
              <w:spacing w:line="360" w:lineRule="auto"/>
              <w:jc w:val="both"/>
              <w:rPr>
                <w:rFonts w:ascii="Book Antiqua" w:hAnsi="Book Antiqua"/>
                <w:b/>
                <w:bCs/>
                <w:lang w:val="en-US"/>
              </w:rPr>
            </w:pPr>
            <w:r w:rsidRPr="003A7660">
              <w:rPr>
                <w:rFonts w:ascii="Book Antiqua" w:hAnsi="Book Antiqua"/>
                <w:b/>
                <w:i/>
                <w:lang w:val="en-US"/>
              </w:rPr>
              <w:t>P</w:t>
            </w:r>
            <w:r w:rsidR="00312C15" w:rsidRPr="003A7660">
              <w:rPr>
                <w:rFonts w:ascii="Book Antiqua" w:hAnsi="Book Antiqua"/>
                <w:b/>
                <w:lang w:val="en-US"/>
              </w:rPr>
              <w:t>-value</w:t>
            </w:r>
          </w:p>
        </w:tc>
      </w:tr>
      <w:tr w:rsidR="00312C15" w:rsidRPr="003A7660" w:rsidTr="00EB25BF">
        <w:trPr>
          <w:trHeight w:val="355"/>
          <w:jc w:val="center"/>
        </w:trPr>
        <w:tc>
          <w:tcPr>
            <w:tcW w:w="6218" w:type="dxa"/>
            <w:shd w:val="clear" w:color="auto" w:fill="auto"/>
            <w:vAlign w:val="center"/>
          </w:tcPr>
          <w:p w:rsidR="00312C15" w:rsidRPr="003A7660" w:rsidRDefault="00312C15" w:rsidP="00384F14">
            <w:pPr>
              <w:snapToGrid w:val="0"/>
              <w:spacing w:line="360" w:lineRule="auto"/>
              <w:jc w:val="both"/>
              <w:rPr>
                <w:rFonts w:ascii="Book Antiqua" w:hAnsi="Book Antiqua"/>
                <w:b/>
                <w:color w:val="000000"/>
                <w:lang w:val="en-US"/>
              </w:rPr>
            </w:pPr>
            <w:r w:rsidRPr="003A7660">
              <w:rPr>
                <w:rFonts w:ascii="Book Antiqua" w:hAnsi="Book Antiqua"/>
                <w:b/>
                <w:color w:val="000000"/>
                <w:lang w:val="en-US"/>
              </w:rPr>
              <w:t>Number of preoperative treatment sessions</w:t>
            </w:r>
          </w:p>
          <w:p w:rsidR="00312C15" w:rsidRPr="003A7660" w:rsidRDefault="00BD0618"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w:t>
            </w:r>
            <w:r w:rsidRPr="003A7660">
              <w:rPr>
                <w:rFonts w:ascii="Book Antiqua" w:eastAsia="宋体" w:hAnsi="Book Antiqua"/>
                <w:color w:val="000000"/>
                <w:lang w:val="en-US" w:eastAsia="zh-CN"/>
              </w:rPr>
              <w:t xml:space="preserve"> </w:t>
            </w:r>
            <w:r w:rsidR="00312C15" w:rsidRPr="003A7660">
              <w:rPr>
                <w:rFonts w:ascii="Book Antiqua" w:hAnsi="Book Antiqua"/>
                <w:color w:val="000000"/>
                <w:lang w:val="en-US"/>
              </w:rPr>
              <w:t>7</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&gt; 7</w:t>
            </w:r>
          </w:p>
        </w:tc>
        <w:tc>
          <w:tcPr>
            <w:tcW w:w="1441" w:type="dxa"/>
            <w:shd w:val="clear" w:color="auto" w:fill="auto"/>
            <w:vAlign w:val="center"/>
          </w:tcPr>
          <w:p w:rsidR="00312C15" w:rsidRPr="003A7660" w:rsidRDefault="00312C15" w:rsidP="00384F14">
            <w:pPr>
              <w:snapToGrid w:val="0"/>
              <w:spacing w:line="360" w:lineRule="auto"/>
              <w:jc w:val="both"/>
              <w:rPr>
                <w:rFonts w:ascii="Book Antiqua" w:hAnsi="Book Antiqua"/>
                <w:bCs/>
                <w:color w:val="000000"/>
                <w:lang w:val="en-US"/>
              </w:rPr>
            </w:pP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0.47</w:t>
            </w:r>
          </w:p>
        </w:tc>
        <w:tc>
          <w:tcPr>
            <w:tcW w:w="1872"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[0.23;0.98]</w:t>
            </w:r>
          </w:p>
        </w:tc>
        <w:tc>
          <w:tcPr>
            <w:tcW w:w="1460"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0.044</w:t>
            </w:r>
          </w:p>
        </w:tc>
      </w:tr>
      <w:tr w:rsidR="00312C15" w:rsidRPr="003A7660" w:rsidTr="00EB25BF">
        <w:trPr>
          <w:trHeight w:val="355"/>
          <w:jc w:val="center"/>
        </w:trPr>
        <w:tc>
          <w:tcPr>
            <w:tcW w:w="6218" w:type="dxa"/>
            <w:shd w:val="clear" w:color="auto" w:fill="auto"/>
            <w:vAlign w:val="center"/>
          </w:tcPr>
          <w:p w:rsidR="00312C15" w:rsidRPr="003A7660" w:rsidRDefault="00312C15" w:rsidP="00384F14">
            <w:pPr>
              <w:snapToGrid w:val="0"/>
              <w:spacing w:line="360" w:lineRule="auto"/>
              <w:jc w:val="both"/>
              <w:rPr>
                <w:rFonts w:ascii="Book Antiqua" w:hAnsi="Book Antiqua"/>
                <w:b/>
                <w:color w:val="000000"/>
                <w:lang w:val="en-US"/>
              </w:rPr>
            </w:pPr>
            <w:r w:rsidRPr="003A7660">
              <w:rPr>
                <w:rFonts w:ascii="Book Antiqua" w:hAnsi="Book Antiqua"/>
                <w:b/>
                <w:color w:val="000000"/>
                <w:lang w:val="en-US"/>
              </w:rPr>
              <w:t>Radiological response to preoperative chemotherapy</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Yes</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No</w:t>
            </w:r>
          </w:p>
        </w:tc>
        <w:tc>
          <w:tcPr>
            <w:tcW w:w="1441"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0.33</w:t>
            </w:r>
          </w:p>
        </w:tc>
        <w:tc>
          <w:tcPr>
            <w:tcW w:w="1872" w:type="dxa"/>
            <w:shd w:val="clear" w:color="auto" w:fill="auto"/>
            <w:vAlign w:val="center"/>
          </w:tcPr>
          <w:p w:rsidR="00312C15" w:rsidRPr="003A7660" w:rsidRDefault="00312C15" w:rsidP="00384F14">
            <w:pPr>
              <w:snapToGrid w:val="0"/>
              <w:spacing w:line="360" w:lineRule="auto"/>
              <w:jc w:val="both"/>
              <w:rPr>
                <w:rFonts w:ascii="Book Antiqua" w:hAnsi="Book Antiqua"/>
                <w:bCs/>
                <w:color w:val="000000"/>
                <w:lang w:val="en-US"/>
              </w:rPr>
            </w:pP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[0.14;0.79]           </w:t>
            </w:r>
          </w:p>
        </w:tc>
        <w:tc>
          <w:tcPr>
            <w:tcW w:w="1460"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0.013</w:t>
            </w:r>
          </w:p>
        </w:tc>
      </w:tr>
      <w:tr w:rsidR="00312C15" w:rsidRPr="003A7660" w:rsidTr="00EB25BF">
        <w:trPr>
          <w:trHeight w:val="355"/>
          <w:jc w:val="center"/>
        </w:trPr>
        <w:tc>
          <w:tcPr>
            <w:tcW w:w="6218" w:type="dxa"/>
            <w:shd w:val="clear" w:color="auto" w:fill="auto"/>
            <w:vAlign w:val="center"/>
          </w:tcPr>
          <w:p w:rsidR="00312C15" w:rsidRPr="003A7660" w:rsidRDefault="00312C15" w:rsidP="00384F14">
            <w:pPr>
              <w:snapToGrid w:val="0"/>
              <w:spacing w:line="360" w:lineRule="auto"/>
              <w:jc w:val="both"/>
              <w:rPr>
                <w:rFonts w:ascii="Book Antiqua" w:hAnsi="Book Antiqua"/>
                <w:b/>
                <w:color w:val="000000"/>
                <w:lang w:val="en-US"/>
              </w:rPr>
            </w:pPr>
            <w:r w:rsidRPr="003A7660">
              <w:rPr>
                <w:rFonts w:ascii="Book Antiqua" w:hAnsi="Book Antiqua"/>
                <w:b/>
                <w:color w:val="000000"/>
                <w:lang w:val="en-US"/>
              </w:rPr>
              <w:t>Liver-first strategy</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Yes</w:t>
            </w:r>
          </w:p>
        </w:tc>
        <w:tc>
          <w:tcPr>
            <w:tcW w:w="1441"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5.11       </w:t>
            </w:r>
          </w:p>
        </w:tc>
        <w:tc>
          <w:tcPr>
            <w:tcW w:w="1872"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[1.06;24.73]         </w:t>
            </w:r>
          </w:p>
        </w:tc>
        <w:tc>
          <w:tcPr>
            <w:tcW w:w="1460"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0.042</w:t>
            </w:r>
          </w:p>
        </w:tc>
      </w:tr>
      <w:tr w:rsidR="00312C15" w:rsidRPr="003A7660" w:rsidTr="00EB25BF">
        <w:trPr>
          <w:trHeight w:val="355"/>
          <w:jc w:val="center"/>
        </w:trPr>
        <w:tc>
          <w:tcPr>
            <w:tcW w:w="6218" w:type="dxa"/>
            <w:shd w:val="clear" w:color="auto" w:fill="auto"/>
            <w:vAlign w:val="center"/>
          </w:tcPr>
          <w:p w:rsidR="00312C15" w:rsidRPr="003A7660" w:rsidRDefault="00312C15" w:rsidP="00384F14">
            <w:pPr>
              <w:snapToGrid w:val="0"/>
              <w:spacing w:line="360" w:lineRule="auto"/>
              <w:jc w:val="both"/>
              <w:rPr>
                <w:rFonts w:ascii="Book Antiqua" w:hAnsi="Book Antiqua"/>
                <w:b/>
                <w:color w:val="000000"/>
                <w:lang w:val="en-US"/>
              </w:rPr>
            </w:pPr>
            <w:r w:rsidRPr="003A7660">
              <w:rPr>
                <w:rFonts w:ascii="Book Antiqua" w:hAnsi="Book Antiqua"/>
                <w:b/>
                <w:color w:val="000000"/>
                <w:lang w:val="en-US"/>
              </w:rPr>
              <w:t>Repeat hepatectomy</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441"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0.30</w:t>
            </w:r>
          </w:p>
        </w:tc>
        <w:tc>
          <w:tcPr>
            <w:tcW w:w="1872"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[0.09;0.97]           </w:t>
            </w:r>
          </w:p>
        </w:tc>
        <w:tc>
          <w:tcPr>
            <w:tcW w:w="1460"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0.045</w:t>
            </w:r>
          </w:p>
        </w:tc>
      </w:tr>
      <w:tr w:rsidR="00312C15" w:rsidRPr="003A7660" w:rsidTr="00EB25BF">
        <w:trPr>
          <w:trHeight w:val="355"/>
          <w:jc w:val="center"/>
        </w:trPr>
        <w:tc>
          <w:tcPr>
            <w:tcW w:w="6218" w:type="dxa"/>
            <w:shd w:val="clear" w:color="auto" w:fill="auto"/>
            <w:vAlign w:val="center"/>
          </w:tcPr>
          <w:p w:rsidR="00312C15" w:rsidRPr="003A7660" w:rsidRDefault="00312C15" w:rsidP="00384F14">
            <w:pPr>
              <w:snapToGrid w:val="0"/>
              <w:spacing w:line="360" w:lineRule="auto"/>
              <w:jc w:val="both"/>
              <w:rPr>
                <w:rFonts w:ascii="Book Antiqua" w:hAnsi="Book Antiqua"/>
                <w:b/>
                <w:color w:val="000000"/>
                <w:lang w:val="en-US"/>
              </w:rPr>
            </w:pPr>
            <w:r w:rsidRPr="003A7660">
              <w:rPr>
                <w:rFonts w:ascii="Book Antiqua" w:hAnsi="Book Antiqua"/>
                <w:b/>
                <w:color w:val="000000"/>
                <w:lang w:val="en-US"/>
              </w:rPr>
              <w:t>Primary cancer</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Colon</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Rectal</w:t>
            </w:r>
          </w:p>
        </w:tc>
        <w:tc>
          <w:tcPr>
            <w:tcW w:w="1441"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2.81       </w:t>
            </w:r>
          </w:p>
        </w:tc>
        <w:tc>
          <w:tcPr>
            <w:tcW w:w="1872"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[1.28;6.14]          </w:t>
            </w:r>
          </w:p>
        </w:tc>
        <w:tc>
          <w:tcPr>
            <w:tcW w:w="1460"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0.010</w:t>
            </w:r>
          </w:p>
        </w:tc>
      </w:tr>
    </w:tbl>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eastAsia="宋体" w:hAnsi="Book Antiqua"/>
          <w:lang w:val="en-US" w:eastAsia="zh-CN"/>
        </w:rPr>
      </w:pPr>
      <w:r w:rsidRPr="003A7660">
        <w:rPr>
          <w:rFonts w:ascii="Book Antiqua" w:hAnsi="Book Antiqua"/>
          <w:bCs/>
          <w:lang w:val="en-US"/>
        </w:rPr>
        <w:br w:type="page"/>
      </w:r>
      <w:r w:rsidRPr="003A7660">
        <w:rPr>
          <w:rFonts w:ascii="Book Antiqua" w:hAnsi="Book Antiqua"/>
          <w:b/>
          <w:lang w:val="en-US"/>
        </w:rPr>
        <w:lastRenderedPageBreak/>
        <w:t>Table 5</w:t>
      </w:r>
      <w:r w:rsidR="00BD0618" w:rsidRPr="003A7660">
        <w:rPr>
          <w:rFonts w:ascii="Book Antiqua" w:eastAsia="宋体" w:hAnsi="Book Antiqua"/>
          <w:lang w:val="en-US" w:eastAsia="zh-CN"/>
        </w:rPr>
        <w:t xml:space="preserve"> </w:t>
      </w:r>
      <w:r w:rsidRPr="003A7660">
        <w:rPr>
          <w:rFonts w:ascii="Book Antiqua" w:hAnsi="Book Antiqua"/>
          <w:b/>
          <w:lang w:val="en-US"/>
        </w:rPr>
        <w:t>Prognostic factors of overall survival</w:t>
      </w:r>
      <w:r w:rsidR="00573721" w:rsidRPr="003A7660">
        <w:rPr>
          <w:rFonts w:ascii="Book Antiqua" w:hAnsi="Book Antiqua"/>
          <w:lang w:val="en-US"/>
        </w:rPr>
        <w:t xml:space="preserve"> </w:t>
      </w:r>
    </w:p>
    <w:tbl>
      <w:tblPr>
        <w:tblW w:w="10991" w:type="dxa"/>
        <w:jc w:val="center"/>
        <w:tblBorders>
          <w:top w:val="single" w:sz="4" w:space="0" w:color="000000"/>
          <w:bottom w:val="single" w:sz="4" w:space="0" w:color="000000"/>
        </w:tblBorders>
        <w:tblLook w:val="04A0" w:firstRow="1" w:lastRow="0" w:firstColumn="1" w:lastColumn="0" w:noHBand="0" w:noVBand="1"/>
      </w:tblPr>
      <w:tblGrid>
        <w:gridCol w:w="5213"/>
        <w:gridCol w:w="1843"/>
        <w:gridCol w:w="2409"/>
        <w:gridCol w:w="1526"/>
      </w:tblGrid>
      <w:tr w:rsidR="00573721" w:rsidRPr="003A7660" w:rsidTr="00EB25BF">
        <w:trPr>
          <w:trHeight w:val="394"/>
          <w:jc w:val="center"/>
        </w:trPr>
        <w:tc>
          <w:tcPr>
            <w:tcW w:w="10991" w:type="dxa"/>
            <w:gridSpan w:val="4"/>
            <w:tcBorders>
              <w:bottom w:val="single" w:sz="4" w:space="0" w:color="000000"/>
            </w:tcBorders>
            <w:shd w:val="clear" w:color="auto" w:fill="auto"/>
          </w:tcPr>
          <w:p w:rsidR="00573721" w:rsidRPr="003A7660" w:rsidRDefault="00573721" w:rsidP="00384F14">
            <w:pPr>
              <w:snapToGrid w:val="0"/>
              <w:spacing w:line="360" w:lineRule="auto"/>
              <w:rPr>
                <w:b/>
                <w:lang w:val="en-US"/>
              </w:rPr>
            </w:pPr>
            <w:r w:rsidRPr="003A7660">
              <w:rPr>
                <w:rFonts w:ascii="Book Antiqua" w:hAnsi="Book Antiqua"/>
                <w:b/>
                <w:lang w:val="en-US"/>
              </w:rPr>
              <w:t>No vascular neoplastic microemboli on histology</w:t>
            </w:r>
          </w:p>
        </w:tc>
      </w:tr>
      <w:tr w:rsidR="00312C15" w:rsidRPr="003A7660" w:rsidTr="00EB25BF">
        <w:trPr>
          <w:trHeight w:val="717"/>
          <w:jc w:val="center"/>
        </w:trPr>
        <w:tc>
          <w:tcPr>
            <w:tcW w:w="5213"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Cs/>
                <w:lang w:val="en-US"/>
              </w:rPr>
            </w:pPr>
          </w:p>
        </w:tc>
        <w:tc>
          <w:tcPr>
            <w:tcW w:w="1843"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color w:val="000000"/>
                <w:lang w:val="en-US"/>
              </w:rPr>
              <w:t xml:space="preserve">Hazard </w:t>
            </w:r>
            <w:r w:rsidR="0044365C" w:rsidRPr="003A7660">
              <w:rPr>
                <w:rFonts w:ascii="Book Antiqua" w:hAnsi="Book Antiqua"/>
                <w:b/>
                <w:color w:val="000000"/>
                <w:lang w:val="en-US"/>
              </w:rPr>
              <w:t>r</w:t>
            </w:r>
            <w:r w:rsidRPr="003A7660">
              <w:rPr>
                <w:rFonts w:ascii="Book Antiqua" w:hAnsi="Book Antiqua"/>
                <w:b/>
                <w:color w:val="000000"/>
                <w:lang w:val="en-US"/>
              </w:rPr>
              <w:t>atio</w:t>
            </w:r>
          </w:p>
        </w:tc>
        <w:tc>
          <w:tcPr>
            <w:tcW w:w="2409"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color w:val="000000"/>
                <w:lang w:val="en-US"/>
              </w:rPr>
              <w:t>95%CI</w:t>
            </w:r>
          </w:p>
        </w:tc>
        <w:tc>
          <w:tcPr>
            <w:tcW w:w="1526" w:type="dxa"/>
            <w:tcBorders>
              <w:bottom w:val="single" w:sz="4" w:space="0" w:color="000000"/>
            </w:tcBorders>
            <w:shd w:val="clear" w:color="auto" w:fill="auto"/>
            <w:vAlign w:val="center"/>
          </w:tcPr>
          <w:p w:rsidR="00312C15" w:rsidRPr="003A7660" w:rsidRDefault="00573721" w:rsidP="00384F14">
            <w:pPr>
              <w:snapToGrid w:val="0"/>
              <w:spacing w:line="360" w:lineRule="auto"/>
              <w:jc w:val="both"/>
              <w:rPr>
                <w:rFonts w:ascii="Book Antiqua" w:hAnsi="Book Antiqua"/>
                <w:b/>
                <w:bCs/>
                <w:lang w:val="en-US"/>
              </w:rPr>
            </w:pPr>
            <w:r w:rsidRPr="003A7660">
              <w:rPr>
                <w:rFonts w:ascii="Book Antiqua" w:hAnsi="Book Antiqua"/>
                <w:b/>
                <w:i/>
                <w:lang w:val="en-US"/>
              </w:rPr>
              <w:t>P</w:t>
            </w:r>
            <w:r w:rsidR="00312C15" w:rsidRPr="003A7660">
              <w:rPr>
                <w:rFonts w:ascii="Book Antiqua" w:hAnsi="Book Antiqua"/>
                <w:b/>
                <w:lang w:val="en-US"/>
              </w:rPr>
              <w:t>-value</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Responder</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NR</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R</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0.55</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[0.35;0.86]</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0.010</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Gender</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F</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M</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1.70</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[1.11;2.58]</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0.014</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Targeted preoperative therapy</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color w:val="000000"/>
                <w:lang w:val="en-US"/>
              </w:rPr>
              <w:t>Yes</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2.25                 </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[1.40;3.62]</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0.001                  </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 xml:space="preserve">Two-stage procedure </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color w:val="000000"/>
                <w:lang w:val="en-US"/>
              </w:rPr>
              <w:t>Yes</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1.90                  </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[1.18;3.06]</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0.008                  </w:t>
            </w:r>
          </w:p>
        </w:tc>
      </w:tr>
      <w:tr w:rsidR="00312C15" w:rsidRPr="003A7660" w:rsidTr="00EB25BF">
        <w:trPr>
          <w:trHeight w:val="355"/>
          <w:jc w:val="center"/>
        </w:trPr>
        <w:tc>
          <w:tcPr>
            <w:tcW w:w="5213"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N+ status of the primary tumor</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843"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1.77                   </w:t>
            </w:r>
          </w:p>
        </w:tc>
        <w:tc>
          <w:tcPr>
            <w:tcW w:w="2409" w:type="dxa"/>
            <w:tcBorders>
              <w:bottom w:val="single" w:sz="4" w:space="0" w:color="000000"/>
            </w:tcBorders>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[1.10;2.84]</w:t>
            </w:r>
          </w:p>
        </w:tc>
        <w:tc>
          <w:tcPr>
            <w:tcW w:w="1526"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0.018                 </w:t>
            </w:r>
          </w:p>
        </w:tc>
      </w:tr>
      <w:tr w:rsidR="00573721" w:rsidRPr="003A7660" w:rsidTr="00EB25BF">
        <w:trPr>
          <w:trHeight w:val="355"/>
          <w:jc w:val="center"/>
        </w:trPr>
        <w:tc>
          <w:tcPr>
            <w:tcW w:w="10991" w:type="dxa"/>
            <w:gridSpan w:val="4"/>
            <w:tcBorders>
              <w:top w:val="single" w:sz="4" w:space="0" w:color="000000"/>
              <w:bottom w:val="single" w:sz="4" w:space="0" w:color="000000"/>
            </w:tcBorders>
            <w:shd w:val="clear" w:color="auto" w:fill="auto"/>
            <w:vAlign w:val="center"/>
          </w:tcPr>
          <w:p w:rsidR="00573721" w:rsidRPr="003A7660" w:rsidRDefault="00573721" w:rsidP="00384F14">
            <w:pPr>
              <w:snapToGrid w:val="0"/>
              <w:spacing w:line="360" w:lineRule="auto"/>
              <w:jc w:val="both"/>
              <w:rPr>
                <w:rFonts w:ascii="Book Antiqua" w:eastAsia="宋体" w:hAnsi="Book Antiqua"/>
                <w:b/>
                <w:bCs/>
                <w:lang w:val="en-US" w:eastAsia="zh-CN"/>
              </w:rPr>
            </w:pPr>
            <w:r w:rsidRPr="003A7660">
              <w:rPr>
                <w:rFonts w:ascii="Book Antiqua" w:hAnsi="Book Antiqua"/>
                <w:b/>
                <w:lang w:val="en-US"/>
              </w:rPr>
              <w:t>Presence of vascular neoplastic microemboli on histology</w:t>
            </w:r>
          </w:p>
        </w:tc>
      </w:tr>
      <w:tr w:rsidR="00312C15" w:rsidRPr="003A7660" w:rsidTr="00EB25BF">
        <w:trPr>
          <w:trHeight w:val="717"/>
          <w:jc w:val="center"/>
        </w:trPr>
        <w:tc>
          <w:tcPr>
            <w:tcW w:w="5213"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Cs/>
                <w:lang w:val="en-US"/>
              </w:rPr>
            </w:pPr>
          </w:p>
        </w:tc>
        <w:tc>
          <w:tcPr>
            <w:tcW w:w="1843"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color w:val="000000"/>
                <w:lang w:val="en-US"/>
              </w:rPr>
              <w:t xml:space="preserve">Hazard </w:t>
            </w:r>
            <w:r w:rsidR="0044365C" w:rsidRPr="003A7660">
              <w:rPr>
                <w:rFonts w:ascii="Book Antiqua" w:hAnsi="Book Antiqua"/>
                <w:b/>
                <w:color w:val="000000"/>
                <w:lang w:val="en-US"/>
              </w:rPr>
              <w:t>r</w:t>
            </w:r>
            <w:r w:rsidRPr="003A7660">
              <w:rPr>
                <w:rFonts w:ascii="Book Antiqua" w:hAnsi="Book Antiqua"/>
                <w:b/>
                <w:color w:val="000000"/>
                <w:lang w:val="en-US"/>
              </w:rPr>
              <w:t>atio</w:t>
            </w:r>
          </w:p>
        </w:tc>
        <w:tc>
          <w:tcPr>
            <w:tcW w:w="2409" w:type="dxa"/>
            <w:tcBorders>
              <w:bottom w:val="single" w:sz="4" w:space="0" w:color="000000"/>
            </w:tcBorders>
            <w:shd w:val="clear" w:color="auto" w:fill="auto"/>
            <w:vAlign w:val="center"/>
          </w:tcPr>
          <w:p w:rsidR="00312C15" w:rsidRPr="003A7660" w:rsidRDefault="00312C15" w:rsidP="00384F14">
            <w:pPr>
              <w:snapToGrid w:val="0"/>
              <w:spacing w:line="360" w:lineRule="auto"/>
              <w:jc w:val="both"/>
              <w:rPr>
                <w:rFonts w:ascii="Book Antiqua" w:hAnsi="Book Antiqua"/>
                <w:b/>
                <w:bCs/>
                <w:lang w:val="en-US"/>
              </w:rPr>
            </w:pPr>
            <w:r w:rsidRPr="003A7660">
              <w:rPr>
                <w:rFonts w:ascii="Book Antiqua" w:hAnsi="Book Antiqua"/>
                <w:b/>
                <w:color w:val="000000"/>
                <w:lang w:val="en-US"/>
              </w:rPr>
              <w:t>95%CI</w:t>
            </w:r>
          </w:p>
        </w:tc>
        <w:tc>
          <w:tcPr>
            <w:tcW w:w="1526" w:type="dxa"/>
            <w:tcBorders>
              <w:bottom w:val="single" w:sz="4" w:space="0" w:color="000000"/>
            </w:tcBorders>
            <w:shd w:val="clear" w:color="auto" w:fill="auto"/>
            <w:vAlign w:val="center"/>
          </w:tcPr>
          <w:p w:rsidR="00312C15" w:rsidRPr="003A7660" w:rsidRDefault="00573721" w:rsidP="00384F14">
            <w:pPr>
              <w:snapToGrid w:val="0"/>
              <w:spacing w:line="360" w:lineRule="auto"/>
              <w:jc w:val="both"/>
              <w:rPr>
                <w:rFonts w:ascii="Book Antiqua" w:hAnsi="Book Antiqua"/>
                <w:b/>
                <w:bCs/>
                <w:lang w:val="en-US"/>
              </w:rPr>
            </w:pPr>
            <w:r w:rsidRPr="003A7660">
              <w:rPr>
                <w:rFonts w:ascii="Book Antiqua" w:hAnsi="Book Antiqua"/>
                <w:b/>
                <w:i/>
                <w:lang w:val="en-US"/>
              </w:rPr>
              <w:t>P</w:t>
            </w:r>
            <w:r w:rsidR="00312C15" w:rsidRPr="003A7660">
              <w:rPr>
                <w:rFonts w:ascii="Book Antiqua" w:hAnsi="Book Antiqua"/>
                <w:b/>
                <w:lang w:val="en-US"/>
              </w:rPr>
              <w:t>-value</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Gender</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F</w:t>
            </w:r>
          </w:p>
          <w:p w:rsidR="00312C15" w:rsidRPr="003A7660" w:rsidRDefault="00312C15" w:rsidP="00384F14">
            <w:pPr>
              <w:snapToGrid w:val="0"/>
              <w:spacing w:line="360" w:lineRule="auto"/>
              <w:jc w:val="both"/>
              <w:rPr>
                <w:rFonts w:ascii="Book Antiqua" w:hAnsi="Book Antiqua"/>
                <w:bCs/>
                <w:lang w:val="en-US"/>
              </w:rPr>
            </w:pPr>
            <w:r w:rsidRPr="003A7660">
              <w:rPr>
                <w:rFonts w:ascii="Book Antiqua" w:hAnsi="Book Antiqua"/>
                <w:color w:val="000000"/>
                <w:lang w:val="en-US"/>
              </w:rPr>
              <w:t>M</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1.70                      </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[1.11;2.58]</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0.014                 </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Targeted preoperative therapy</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color w:val="000000"/>
                <w:lang w:val="en-US"/>
              </w:rPr>
              <w:t>Yes</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lang w:val="en-US"/>
              </w:rPr>
              <w:t>1</w:t>
            </w:r>
          </w:p>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2.25                     </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[1.40;3.62]</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lang w:val="en-US"/>
              </w:rPr>
            </w:pPr>
            <w:r w:rsidRPr="003A7660">
              <w:rPr>
                <w:rFonts w:ascii="Book Antiqua" w:hAnsi="Book Antiqua"/>
                <w:color w:val="000000"/>
                <w:lang w:val="en-US"/>
              </w:rPr>
              <w:t xml:space="preserve">0.001                  </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 xml:space="preserve">Two-stage procedure </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No</w:t>
            </w:r>
          </w:p>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color w:val="000000"/>
                <w:lang w:val="en-US"/>
              </w:rPr>
              <w:t>Yes</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1</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1.90                    </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t>[1.18;3.06]</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0.008                   </w:t>
            </w:r>
          </w:p>
        </w:tc>
      </w:tr>
      <w:tr w:rsidR="00312C15" w:rsidRPr="003A7660" w:rsidTr="00EB25BF">
        <w:trPr>
          <w:trHeight w:val="355"/>
          <w:jc w:val="center"/>
        </w:trPr>
        <w:tc>
          <w:tcPr>
            <w:tcW w:w="5213" w:type="dxa"/>
            <w:shd w:val="clear" w:color="auto" w:fill="auto"/>
            <w:vAlign w:val="center"/>
          </w:tcPr>
          <w:p w:rsidR="00312C15" w:rsidRPr="003A7660" w:rsidRDefault="00312C15" w:rsidP="00384F14">
            <w:pPr>
              <w:snapToGrid w:val="0"/>
              <w:spacing w:line="360" w:lineRule="auto"/>
              <w:jc w:val="both"/>
              <w:rPr>
                <w:rFonts w:ascii="Book Antiqua" w:hAnsi="Book Antiqua"/>
                <w:b/>
                <w:bCs/>
                <w:color w:val="000000"/>
                <w:lang w:val="en-US"/>
              </w:rPr>
            </w:pPr>
            <w:r w:rsidRPr="003A7660">
              <w:rPr>
                <w:rFonts w:ascii="Book Antiqua" w:hAnsi="Book Antiqua"/>
                <w:b/>
                <w:color w:val="000000"/>
                <w:lang w:val="en-US"/>
              </w:rPr>
              <w:t>N+ status of the primary tumor</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lastRenderedPageBreak/>
              <w:t>No</w:t>
            </w:r>
          </w:p>
          <w:p w:rsidR="00312C15" w:rsidRPr="003A7660" w:rsidRDefault="00312C15" w:rsidP="00384F14">
            <w:pPr>
              <w:snapToGrid w:val="0"/>
              <w:spacing w:line="360" w:lineRule="auto"/>
              <w:jc w:val="both"/>
              <w:rPr>
                <w:rFonts w:ascii="Book Antiqua" w:hAnsi="Book Antiqua"/>
                <w:bCs/>
                <w:color w:val="000000"/>
                <w:lang w:val="en-US"/>
              </w:rPr>
            </w:pPr>
            <w:r w:rsidRPr="003A7660">
              <w:rPr>
                <w:rFonts w:ascii="Book Antiqua" w:hAnsi="Book Antiqua"/>
                <w:color w:val="000000"/>
                <w:lang w:val="en-US"/>
              </w:rPr>
              <w:t>Yes</w:t>
            </w:r>
          </w:p>
        </w:tc>
        <w:tc>
          <w:tcPr>
            <w:tcW w:w="1843"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lastRenderedPageBreak/>
              <w:t>1</w:t>
            </w:r>
          </w:p>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1.77                    </w:t>
            </w:r>
          </w:p>
        </w:tc>
        <w:tc>
          <w:tcPr>
            <w:tcW w:w="2409" w:type="dxa"/>
            <w:shd w:val="clear" w:color="auto" w:fill="auto"/>
            <w:vAlign w:val="center"/>
          </w:tcPr>
          <w:p w:rsidR="00312C15" w:rsidRPr="003A7660" w:rsidRDefault="00312C15" w:rsidP="00384F14">
            <w:pPr>
              <w:pStyle w:val="ab"/>
              <w:snapToGrid w:val="0"/>
              <w:spacing w:before="0" w:beforeAutospacing="0" w:after="0" w:afterAutospacing="0" w:line="360" w:lineRule="auto"/>
              <w:jc w:val="both"/>
              <w:rPr>
                <w:rFonts w:ascii="Book Antiqua" w:hAnsi="Book Antiqua" w:cs="Arial"/>
                <w:color w:val="000000"/>
                <w:lang w:val="en-US"/>
              </w:rPr>
            </w:pPr>
            <w:r w:rsidRPr="003A7660">
              <w:rPr>
                <w:rFonts w:ascii="Book Antiqua" w:hAnsi="Book Antiqua" w:cs="Arial"/>
                <w:bCs/>
                <w:color w:val="000000"/>
                <w:kern w:val="24"/>
                <w:lang w:val="en-US"/>
              </w:rPr>
              <w:lastRenderedPageBreak/>
              <w:t>[1.10;2.84]</w:t>
            </w:r>
          </w:p>
        </w:tc>
        <w:tc>
          <w:tcPr>
            <w:tcW w:w="1526" w:type="dxa"/>
            <w:shd w:val="clear" w:color="auto" w:fill="auto"/>
            <w:vAlign w:val="center"/>
          </w:tcPr>
          <w:p w:rsidR="00312C15" w:rsidRPr="003A7660" w:rsidRDefault="00312C15" w:rsidP="00384F14">
            <w:pPr>
              <w:snapToGrid w:val="0"/>
              <w:spacing w:line="360" w:lineRule="auto"/>
              <w:jc w:val="both"/>
              <w:rPr>
                <w:rFonts w:ascii="Book Antiqua" w:hAnsi="Book Antiqua"/>
                <w:color w:val="000000"/>
                <w:lang w:val="en-US"/>
              </w:rPr>
            </w:pPr>
            <w:r w:rsidRPr="003A7660">
              <w:rPr>
                <w:rFonts w:ascii="Book Antiqua" w:hAnsi="Book Antiqua"/>
                <w:color w:val="000000"/>
                <w:lang w:val="en-US"/>
              </w:rPr>
              <w:t xml:space="preserve">0.018                    </w:t>
            </w:r>
          </w:p>
        </w:tc>
      </w:tr>
    </w:tbl>
    <w:p w:rsidR="00312C15" w:rsidRPr="00384F14" w:rsidRDefault="00573721" w:rsidP="00384F14">
      <w:pPr>
        <w:snapToGrid w:val="0"/>
        <w:spacing w:line="360" w:lineRule="auto"/>
        <w:jc w:val="both"/>
        <w:rPr>
          <w:rFonts w:ascii="Book Antiqua" w:hAnsi="Book Antiqua" w:cs="Courier New"/>
          <w:lang w:val="en-US"/>
        </w:rPr>
      </w:pPr>
      <w:r w:rsidRPr="003A7660">
        <w:rPr>
          <w:rFonts w:ascii="Book Antiqua" w:hAnsi="Book Antiqua"/>
          <w:lang w:val="en-US"/>
        </w:rPr>
        <w:lastRenderedPageBreak/>
        <w:t xml:space="preserve">NR: Non-responders; R: responders; </w:t>
      </w:r>
      <w:r w:rsidRPr="003A7660">
        <w:rPr>
          <w:rFonts w:ascii="Book Antiqua" w:eastAsia="宋体" w:hAnsi="Book Antiqua"/>
          <w:lang w:val="en-US" w:eastAsia="zh-CN"/>
        </w:rPr>
        <w:t>F: Female; M: Male.</w:t>
      </w:r>
    </w:p>
    <w:p w:rsidR="00312C15" w:rsidRPr="00384F14" w:rsidRDefault="00312C15" w:rsidP="00384F14">
      <w:pPr>
        <w:snapToGrid w:val="0"/>
        <w:spacing w:line="360" w:lineRule="auto"/>
        <w:jc w:val="both"/>
        <w:rPr>
          <w:rFonts w:ascii="Book Antiqua" w:hAnsi="Book Antiqua"/>
          <w:lang w:val="en-US"/>
        </w:rPr>
      </w:pPr>
    </w:p>
    <w:p w:rsidR="00312C15" w:rsidRPr="00384F14" w:rsidRDefault="00DD7352" w:rsidP="00384F14">
      <w:pPr>
        <w:snapToGrid w:val="0"/>
        <w:spacing w:line="360" w:lineRule="auto"/>
        <w:jc w:val="both"/>
        <w:rPr>
          <w:rFonts w:ascii="Book Antiqua" w:hAnsi="Book Antiqua"/>
          <w:lang w:val="en-US"/>
        </w:rPr>
      </w:pPr>
      <w:r w:rsidRPr="00384F14">
        <w:rPr>
          <w:rFonts w:ascii="Book Antiqua" w:hAnsi="Book Antiqua"/>
          <w:lang w:val="en-US"/>
        </w:rPr>
        <w:t xml:space="preserve"> </w:t>
      </w:r>
    </w:p>
    <w:p w:rsidR="009E5CDF" w:rsidRPr="00384F14" w:rsidRDefault="009E5CDF" w:rsidP="00384F14">
      <w:pPr>
        <w:snapToGrid w:val="0"/>
        <w:spacing w:line="360" w:lineRule="auto"/>
        <w:jc w:val="both"/>
        <w:rPr>
          <w:rFonts w:ascii="Book Antiqua" w:hAnsi="Book Antiqua"/>
          <w:bCs/>
          <w:lang w:val="en-US"/>
        </w:rPr>
      </w:pPr>
    </w:p>
    <w:sectPr w:rsidR="009E5CDF" w:rsidRPr="00384F14" w:rsidSect="000E31EA">
      <w:footerReference w:type="even" r:id="rId21"/>
      <w:footerReference w:type="default" r:id="rId22"/>
      <w:type w:val="continuous"/>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05C" w:rsidRDefault="00C1405C" w:rsidP="00537523">
      <w:r>
        <w:separator/>
      </w:r>
    </w:p>
  </w:endnote>
  <w:endnote w:type="continuationSeparator" w:id="0">
    <w:p w:rsidR="00C1405C" w:rsidRDefault="00C1405C" w:rsidP="0053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02FF" w:usb1="4000E47F" w:usb2="0000002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6F" w:rsidRDefault="00C2626F" w:rsidP="008178C7">
    <w:pPr>
      <w:pStyle w:val="a6"/>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2626F" w:rsidRDefault="00C2626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6F" w:rsidRPr="00EB25BF" w:rsidRDefault="00C2626F" w:rsidP="008178C7">
    <w:pPr>
      <w:pStyle w:val="a6"/>
      <w:framePr w:wrap="none" w:vAnchor="text" w:hAnchor="margin" w:xAlign="center" w:y="1"/>
      <w:rPr>
        <w:rStyle w:val="ad"/>
        <w:rFonts w:ascii="Book Antiqua" w:hAnsi="Book Antiqua"/>
      </w:rPr>
    </w:pPr>
    <w:r w:rsidRPr="00EB25BF">
      <w:rPr>
        <w:rStyle w:val="ad"/>
        <w:rFonts w:ascii="Book Antiqua" w:hAnsi="Book Antiqua"/>
      </w:rPr>
      <w:fldChar w:fldCharType="begin"/>
    </w:r>
    <w:r w:rsidRPr="00EB25BF">
      <w:rPr>
        <w:rStyle w:val="ad"/>
        <w:rFonts w:ascii="Book Antiqua" w:hAnsi="Book Antiqua"/>
      </w:rPr>
      <w:instrText xml:space="preserve">PAGE  </w:instrText>
    </w:r>
    <w:r w:rsidRPr="00EB25BF">
      <w:rPr>
        <w:rStyle w:val="ad"/>
        <w:rFonts w:ascii="Book Antiqua" w:hAnsi="Book Antiqua"/>
      </w:rPr>
      <w:fldChar w:fldCharType="separate"/>
    </w:r>
    <w:r w:rsidR="003A7660">
      <w:rPr>
        <w:rStyle w:val="ad"/>
        <w:rFonts w:ascii="Book Antiqua" w:hAnsi="Book Antiqua"/>
        <w:noProof/>
      </w:rPr>
      <w:t>30</w:t>
    </w:r>
    <w:r w:rsidRPr="00EB25BF">
      <w:rPr>
        <w:rStyle w:val="ad"/>
        <w:rFonts w:ascii="Book Antiqua" w:hAnsi="Book Antiqua"/>
      </w:rPr>
      <w:fldChar w:fldCharType="end"/>
    </w:r>
  </w:p>
  <w:p w:rsidR="00573721" w:rsidRDefault="00573721">
    <w:pPr>
      <w:pStyle w:val="a6"/>
      <w:jc w:val="right"/>
    </w:pPr>
  </w:p>
  <w:p w:rsidR="00573721" w:rsidRDefault="005737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05C" w:rsidRDefault="00C1405C" w:rsidP="00537523">
      <w:r>
        <w:separator/>
      </w:r>
    </w:p>
  </w:footnote>
  <w:footnote w:type="continuationSeparator" w:id="0">
    <w:p w:rsidR="00C1405C" w:rsidRDefault="00C1405C" w:rsidP="00537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9406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B54E39"/>
    <w:multiLevelType w:val="hybridMultilevel"/>
    <w:tmpl w:val="797025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EC20347"/>
    <w:multiLevelType w:val="hybridMultilevel"/>
    <w:tmpl w:val="797025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18440EB"/>
    <w:multiLevelType w:val="multilevel"/>
    <w:tmpl w:val="727808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1883FDE"/>
    <w:multiLevelType w:val="hybridMultilevel"/>
    <w:tmpl w:val="7E166EB4"/>
    <w:lvl w:ilvl="0" w:tplc="4CA49D2E">
      <w:start w:val="1"/>
      <w:numFmt w:val="decimal"/>
      <w:lvlText w:val="%1."/>
      <w:lvlJc w:val="left"/>
      <w:pPr>
        <w:ind w:left="720" w:hanging="360"/>
      </w:pPr>
      <w:rPr>
        <w:rFonts w:hint="default"/>
        <w:b w:val="0"/>
      </w:rPr>
    </w:lvl>
    <w:lvl w:ilvl="1" w:tplc="6594514A" w:tentative="1">
      <w:start w:val="1"/>
      <w:numFmt w:val="lowerLetter"/>
      <w:lvlText w:val="%2."/>
      <w:lvlJc w:val="left"/>
      <w:pPr>
        <w:ind w:left="1440" w:hanging="360"/>
      </w:pPr>
    </w:lvl>
    <w:lvl w:ilvl="2" w:tplc="0C743074" w:tentative="1">
      <w:start w:val="1"/>
      <w:numFmt w:val="lowerRoman"/>
      <w:lvlText w:val="%3."/>
      <w:lvlJc w:val="right"/>
      <w:pPr>
        <w:ind w:left="2160" w:hanging="180"/>
      </w:pPr>
    </w:lvl>
    <w:lvl w:ilvl="3" w:tplc="3A3ED524" w:tentative="1">
      <w:start w:val="1"/>
      <w:numFmt w:val="decimal"/>
      <w:lvlText w:val="%4."/>
      <w:lvlJc w:val="left"/>
      <w:pPr>
        <w:ind w:left="2880" w:hanging="360"/>
      </w:pPr>
    </w:lvl>
    <w:lvl w:ilvl="4" w:tplc="6EFA0538" w:tentative="1">
      <w:start w:val="1"/>
      <w:numFmt w:val="lowerLetter"/>
      <w:lvlText w:val="%5."/>
      <w:lvlJc w:val="left"/>
      <w:pPr>
        <w:ind w:left="3600" w:hanging="360"/>
      </w:pPr>
    </w:lvl>
    <w:lvl w:ilvl="5" w:tplc="75246C78" w:tentative="1">
      <w:start w:val="1"/>
      <w:numFmt w:val="lowerRoman"/>
      <w:lvlText w:val="%6."/>
      <w:lvlJc w:val="right"/>
      <w:pPr>
        <w:ind w:left="4320" w:hanging="180"/>
      </w:pPr>
    </w:lvl>
    <w:lvl w:ilvl="6" w:tplc="C1CEAF1C" w:tentative="1">
      <w:start w:val="1"/>
      <w:numFmt w:val="decimal"/>
      <w:lvlText w:val="%7."/>
      <w:lvlJc w:val="left"/>
      <w:pPr>
        <w:ind w:left="5040" w:hanging="360"/>
      </w:pPr>
    </w:lvl>
    <w:lvl w:ilvl="7" w:tplc="635419EE" w:tentative="1">
      <w:start w:val="1"/>
      <w:numFmt w:val="lowerLetter"/>
      <w:lvlText w:val="%8."/>
      <w:lvlJc w:val="left"/>
      <w:pPr>
        <w:ind w:left="5760" w:hanging="360"/>
      </w:pPr>
    </w:lvl>
    <w:lvl w:ilvl="8" w:tplc="1D0A5F9C" w:tentative="1">
      <w:start w:val="1"/>
      <w:numFmt w:val="lowerRoman"/>
      <w:lvlText w:val="%9."/>
      <w:lvlJc w:val="right"/>
      <w:pPr>
        <w:ind w:left="6480" w:hanging="180"/>
      </w:pPr>
    </w:lvl>
  </w:abstractNum>
  <w:abstractNum w:abstractNumId="5">
    <w:nsid w:val="57356227"/>
    <w:multiLevelType w:val="hybridMultilevel"/>
    <w:tmpl w:val="9F5C2C40"/>
    <w:lvl w:ilvl="0" w:tplc="AF9A34C4">
      <w:start w:val="1"/>
      <w:numFmt w:val="decimal"/>
      <w:lvlText w:val="%1."/>
      <w:lvlJc w:val="left"/>
      <w:pPr>
        <w:ind w:left="720" w:hanging="360"/>
      </w:pPr>
    </w:lvl>
    <w:lvl w:ilvl="1" w:tplc="AED6B926" w:tentative="1">
      <w:start w:val="1"/>
      <w:numFmt w:val="lowerLetter"/>
      <w:lvlText w:val="%2."/>
      <w:lvlJc w:val="left"/>
      <w:pPr>
        <w:ind w:left="1440" w:hanging="360"/>
      </w:pPr>
    </w:lvl>
    <w:lvl w:ilvl="2" w:tplc="571E94E0" w:tentative="1">
      <w:start w:val="1"/>
      <w:numFmt w:val="lowerRoman"/>
      <w:lvlText w:val="%3."/>
      <w:lvlJc w:val="right"/>
      <w:pPr>
        <w:ind w:left="2160" w:hanging="180"/>
      </w:pPr>
    </w:lvl>
    <w:lvl w:ilvl="3" w:tplc="F896217A" w:tentative="1">
      <w:start w:val="1"/>
      <w:numFmt w:val="decimal"/>
      <w:lvlText w:val="%4."/>
      <w:lvlJc w:val="left"/>
      <w:pPr>
        <w:ind w:left="2880" w:hanging="360"/>
      </w:pPr>
    </w:lvl>
    <w:lvl w:ilvl="4" w:tplc="BD9A6DDC" w:tentative="1">
      <w:start w:val="1"/>
      <w:numFmt w:val="lowerLetter"/>
      <w:lvlText w:val="%5."/>
      <w:lvlJc w:val="left"/>
      <w:pPr>
        <w:ind w:left="3600" w:hanging="360"/>
      </w:pPr>
    </w:lvl>
    <w:lvl w:ilvl="5" w:tplc="0F6C2232" w:tentative="1">
      <w:start w:val="1"/>
      <w:numFmt w:val="lowerRoman"/>
      <w:lvlText w:val="%6."/>
      <w:lvlJc w:val="right"/>
      <w:pPr>
        <w:ind w:left="4320" w:hanging="180"/>
      </w:pPr>
    </w:lvl>
    <w:lvl w:ilvl="6" w:tplc="538467D0" w:tentative="1">
      <w:start w:val="1"/>
      <w:numFmt w:val="decimal"/>
      <w:lvlText w:val="%7."/>
      <w:lvlJc w:val="left"/>
      <w:pPr>
        <w:ind w:left="5040" w:hanging="360"/>
      </w:pPr>
    </w:lvl>
    <w:lvl w:ilvl="7" w:tplc="37309920" w:tentative="1">
      <w:start w:val="1"/>
      <w:numFmt w:val="lowerLetter"/>
      <w:lvlText w:val="%8."/>
      <w:lvlJc w:val="left"/>
      <w:pPr>
        <w:ind w:left="5760" w:hanging="360"/>
      </w:pPr>
    </w:lvl>
    <w:lvl w:ilvl="8" w:tplc="CB8EC47A"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removePersonalInformation/>
  <w:removeDateAndTime/>
  <w:bordersDoNotSurroundHeader/>
  <w:bordersDoNotSurroundFooter/>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6A2"/>
    <w:rsid w:val="00004CC1"/>
    <w:rsid w:val="000155F5"/>
    <w:rsid w:val="000167D9"/>
    <w:rsid w:val="00021973"/>
    <w:rsid w:val="000224B1"/>
    <w:rsid w:val="00025B5B"/>
    <w:rsid w:val="00044CB6"/>
    <w:rsid w:val="00055BD1"/>
    <w:rsid w:val="00056BF9"/>
    <w:rsid w:val="00065C6F"/>
    <w:rsid w:val="00066409"/>
    <w:rsid w:val="000708B3"/>
    <w:rsid w:val="0007128A"/>
    <w:rsid w:val="00074443"/>
    <w:rsid w:val="00080F77"/>
    <w:rsid w:val="00082FC0"/>
    <w:rsid w:val="00092C8D"/>
    <w:rsid w:val="00097896"/>
    <w:rsid w:val="000A2873"/>
    <w:rsid w:val="000A4B65"/>
    <w:rsid w:val="000A5E45"/>
    <w:rsid w:val="000A6944"/>
    <w:rsid w:val="000B30FB"/>
    <w:rsid w:val="000B7B01"/>
    <w:rsid w:val="000C6D54"/>
    <w:rsid w:val="000E31EA"/>
    <w:rsid w:val="000E37B7"/>
    <w:rsid w:val="000E4137"/>
    <w:rsid w:val="001026B9"/>
    <w:rsid w:val="00103D9D"/>
    <w:rsid w:val="00113FB7"/>
    <w:rsid w:val="00120C21"/>
    <w:rsid w:val="001212C1"/>
    <w:rsid w:val="0012626E"/>
    <w:rsid w:val="001475F1"/>
    <w:rsid w:val="0015006E"/>
    <w:rsid w:val="00150249"/>
    <w:rsid w:val="00151321"/>
    <w:rsid w:val="0015635A"/>
    <w:rsid w:val="00165945"/>
    <w:rsid w:val="001723EF"/>
    <w:rsid w:val="00172FA8"/>
    <w:rsid w:val="0017474C"/>
    <w:rsid w:val="00176693"/>
    <w:rsid w:val="001767AD"/>
    <w:rsid w:val="00182E34"/>
    <w:rsid w:val="001877F3"/>
    <w:rsid w:val="001A11D1"/>
    <w:rsid w:val="001A3CA3"/>
    <w:rsid w:val="001C03A1"/>
    <w:rsid w:val="001C5F90"/>
    <w:rsid w:val="001E6B0C"/>
    <w:rsid w:val="00205577"/>
    <w:rsid w:val="002100A2"/>
    <w:rsid w:val="00211058"/>
    <w:rsid w:val="0021361C"/>
    <w:rsid w:val="00213AC4"/>
    <w:rsid w:val="0021763F"/>
    <w:rsid w:val="00222BCE"/>
    <w:rsid w:val="0022735F"/>
    <w:rsid w:val="002349DE"/>
    <w:rsid w:val="00242754"/>
    <w:rsid w:val="00242850"/>
    <w:rsid w:val="002508BF"/>
    <w:rsid w:val="002525F2"/>
    <w:rsid w:val="002542B2"/>
    <w:rsid w:val="00264A4E"/>
    <w:rsid w:val="0026593D"/>
    <w:rsid w:val="00272816"/>
    <w:rsid w:val="00273400"/>
    <w:rsid w:val="00276807"/>
    <w:rsid w:val="00291FCF"/>
    <w:rsid w:val="00294A87"/>
    <w:rsid w:val="002A6701"/>
    <w:rsid w:val="002C2EAF"/>
    <w:rsid w:val="002D3EB8"/>
    <w:rsid w:val="002D554E"/>
    <w:rsid w:val="002E2556"/>
    <w:rsid w:val="002E5C68"/>
    <w:rsid w:val="002F0185"/>
    <w:rsid w:val="002F2C43"/>
    <w:rsid w:val="00302619"/>
    <w:rsid w:val="00302EC8"/>
    <w:rsid w:val="0030443F"/>
    <w:rsid w:val="00312C15"/>
    <w:rsid w:val="00320B73"/>
    <w:rsid w:val="00331EB9"/>
    <w:rsid w:val="00334D84"/>
    <w:rsid w:val="00336FBD"/>
    <w:rsid w:val="00340B70"/>
    <w:rsid w:val="003410D9"/>
    <w:rsid w:val="0035044B"/>
    <w:rsid w:val="00350C2F"/>
    <w:rsid w:val="0035357F"/>
    <w:rsid w:val="003610CD"/>
    <w:rsid w:val="003803CF"/>
    <w:rsid w:val="00380975"/>
    <w:rsid w:val="00380AD6"/>
    <w:rsid w:val="00384F14"/>
    <w:rsid w:val="00392840"/>
    <w:rsid w:val="003A2D05"/>
    <w:rsid w:val="003A7660"/>
    <w:rsid w:val="003B3CDF"/>
    <w:rsid w:val="003B3D16"/>
    <w:rsid w:val="003C4B5A"/>
    <w:rsid w:val="003D3991"/>
    <w:rsid w:val="003E607A"/>
    <w:rsid w:val="003E763F"/>
    <w:rsid w:val="003F5B03"/>
    <w:rsid w:val="003F5FDA"/>
    <w:rsid w:val="00400560"/>
    <w:rsid w:val="00402293"/>
    <w:rsid w:val="00403270"/>
    <w:rsid w:val="00406897"/>
    <w:rsid w:val="00406AE0"/>
    <w:rsid w:val="00420411"/>
    <w:rsid w:val="004230FF"/>
    <w:rsid w:val="00425999"/>
    <w:rsid w:val="0043613C"/>
    <w:rsid w:val="004367B4"/>
    <w:rsid w:val="00442012"/>
    <w:rsid w:val="0044365C"/>
    <w:rsid w:val="00443BB7"/>
    <w:rsid w:val="00447193"/>
    <w:rsid w:val="0046520B"/>
    <w:rsid w:val="004666BA"/>
    <w:rsid w:val="00466D52"/>
    <w:rsid w:val="00475C75"/>
    <w:rsid w:val="004772AC"/>
    <w:rsid w:val="00485976"/>
    <w:rsid w:val="00490748"/>
    <w:rsid w:val="00490E62"/>
    <w:rsid w:val="004915D0"/>
    <w:rsid w:val="004A1148"/>
    <w:rsid w:val="004A3B6F"/>
    <w:rsid w:val="004A6DBE"/>
    <w:rsid w:val="004B2BF2"/>
    <w:rsid w:val="004B4646"/>
    <w:rsid w:val="004C7F3F"/>
    <w:rsid w:val="004F356F"/>
    <w:rsid w:val="00507F2D"/>
    <w:rsid w:val="00512570"/>
    <w:rsid w:val="005206BE"/>
    <w:rsid w:val="005215E2"/>
    <w:rsid w:val="0052771F"/>
    <w:rsid w:val="00531E73"/>
    <w:rsid w:val="005323D5"/>
    <w:rsid w:val="00534771"/>
    <w:rsid w:val="00534988"/>
    <w:rsid w:val="00537523"/>
    <w:rsid w:val="005400D6"/>
    <w:rsid w:val="00545271"/>
    <w:rsid w:val="00551587"/>
    <w:rsid w:val="0055228B"/>
    <w:rsid w:val="00552EF2"/>
    <w:rsid w:val="0056356B"/>
    <w:rsid w:val="0057086A"/>
    <w:rsid w:val="00573721"/>
    <w:rsid w:val="00585F82"/>
    <w:rsid w:val="005925ED"/>
    <w:rsid w:val="00593C75"/>
    <w:rsid w:val="005A0012"/>
    <w:rsid w:val="005B040C"/>
    <w:rsid w:val="005B2F35"/>
    <w:rsid w:val="005B4427"/>
    <w:rsid w:val="005B6982"/>
    <w:rsid w:val="005D257A"/>
    <w:rsid w:val="005D5E90"/>
    <w:rsid w:val="005D613B"/>
    <w:rsid w:val="005F42B0"/>
    <w:rsid w:val="005F55B9"/>
    <w:rsid w:val="0060075C"/>
    <w:rsid w:val="00600ED0"/>
    <w:rsid w:val="006063F2"/>
    <w:rsid w:val="006071C8"/>
    <w:rsid w:val="006149A5"/>
    <w:rsid w:val="006158E4"/>
    <w:rsid w:val="00622DB3"/>
    <w:rsid w:val="00623C01"/>
    <w:rsid w:val="006256B5"/>
    <w:rsid w:val="00631478"/>
    <w:rsid w:val="00650B44"/>
    <w:rsid w:val="006529F1"/>
    <w:rsid w:val="0065317C"/>
    <w:rsid w:val="00673A23"/>
    <w:rsid w:val="00673C3F"/>
    <w:rsid w:val="006766FE"/>
    <w:rsid w:val="00677641"/>
    <w:rsid w:val="006907F0"/>
    <w:rsid w:val="006A72D3"/>
    <w:rsid w:val="006B45B6"/>
    <w:rsid w:val="006C17AB"/>
    <w:rsid w:val="006C29EA"/>
    <w:rsid w:val="006C29FC"/>
    <w:rsid w:val="006C3D8E"/>
    <w:rsid w:val="006E00A2"/>
    <w:rsid w:val="006F6828"/>
    <w:rsid w:val="006F78CB"/>
    <w:rsid w:val="00704B02"/>
    <w:rsid w:val="007051C7"/>
    <w:rsid w:val="00710BA0"/>
    <w:rsid w:val="007126A2"/>
    <w:rsid w:val="007153D4"/>
    <w:rsid w:val="0072424D"/>
    <w:rsid w:val="007375E5"/>
    <w:rsid w:val="00747699"/>
    <w:rsid w:val="00750B34"/>
    <w:rsid w:val="007521B1"/>
    <w:rsid w:val="00756195"/>
    <w:rsid w:val="00765D83"/>
    <w:rsid w:val="0076670E"/>
    <w:rsid w:val="00774D8B"/>
    <w:rsid w:val="00780536"/>
    <w:rsid w:val="00781E91"/>
    <w:rsid w:val="00791528"/>
    <w:rsid w:val="007A757B"/>
    <w:rsid w:val="007C571C"/>
    <w:rsid w:val="007D52B2"/>
    <w:rsid w:val="007F1D35"/>
    <w:rsid w:val="007F3E7C"/>
    <w:rsid w:val="00801861"/>
    <w:rsid w:val="00812203"/>
    <w:rsid w:val="00814C74"/>
    <w:rsid w:val="008178C7"/>
    <w:rsid w:val="00830919"/>
    <w:rsid w:val="00832251"/>
    <w:rsid w:val="00833FAF"/>
    <w:rsid w:val="00836B11"/>
    <w:rsid w:val="008402AD"/>
    <w:rsid w:val="0085795D"/>
    <w:rsid w:val="00863F9B"/>
    <w:rsid w:val="00877B57"/>
    <w:rsid w:val="00891812"/>
    <w:rsid w:val="00892193"/>
    <w:rsid w:val="008939D6"/>
    <w:rsid w:val="00897FF1"/>
    <w:rsid w:val="008A2012"/>
    <w:rsid w:val="008A65E4"/>
    <w:rsid w:val="008A7398"/>
    <w:rsid w:val="008B3B8E"/>
    <w:rsid w:val="008B7760"/>
    <w:rsid w:val="008C47F8"/>
    <w:rsid w:val="008D5EF0"/>
    <w:rsid w:val="008F6011"/>
    <w:rsid w:val="008F79DE"/>
    <w:rsid w:val="009039F5"/>
    <w:rsid w:val="00904263"/>
    <w:rsid w:val="0090447D"/>
    <w:rsid w:val="009071EA"/>
    <w:rsid w:val="00921BD6"/>
    <w:rsid w:val="009237B9"/>
    <w:rsid w:val="00923F79"/>
    <w:rsid w:val="00924050"/>
    <w:rsid w:val="00925B55"/>
    <w:rsid w:val="0093115C"/>
    <w:rsid w:val="00937C45"/>
    <w:rsid w:val="00941279"/>
    <w:rsid w:val="00960C2C"/>
    <w:rsid w:val="00961F41"/>
    <w:rsid w:val="00962FFD"/>
    <w:rsid w:val="00966C7F"/>
    <w:rsid w:val="00970E0A"/>
    <w:rsid w:val="0097327B"/>
    <w:rsid w:val="009830D8"/>
    <w:rsid w:val="00987FFA"/>
    <w:rsid w:val="00995B5E"/>
    <w:rsid w:val="009A07B8"/>
    <w:rsid w:val="009A5760"/>
    <w:rsid w:val="009B7675"/>
    <w:rsid w:val="009B7FD1"/>
    <w:rsid w:val="009C0D6F"/>
    <w:rsid w:val="009E5CDF"/>
    <w:rsid w:val="009E5EA1"/>
    <w:rsid w:val="00A03788"/>
    <w:rsid w:val="00A255C6"/>
    <w:rsid w:val="00A32901"/>
    <w:rsid w:val="00A42D57"/>
    <w:rsid w:val="00A45647"/>
    <w:rsid w:val="00A53D93"/>
    <w:rsid w:val="00A60324"/>
    <w:rsid w:val="00A722EC"/>
    <w:rsid w:val="00A94FDA"/>
    <w:rsid w:val="00AA09BE"/>
    <w:rsid w:val="00AB195E"/>
    <w:rsid w:val="00AB4019"/>
    <w:rsid w:val="00AB7811"/>
    <w:rsid w:val="00AC3F40"/>
    <w:rsid w:val="00AD044F"/>
    <w:rsid w:val="00AD560C"/>
    <w:rsid w:val="00AD7B03"/>
    <w:rsid w:val="00AF140E"/>
    <w:rsid w:val="00B2373D"/>
    <w:rsid w:val="00B26B8A"/>
    <w:rsid w:val="00B370FA"/>
    <w:rsid w:val="00B40566"/>
    <w:rsid w:val="00B42F1F"/>
    <w:rsid w:val="00B459AF"/>
    <w:rsid w:val="00B47B12"/>
    <w:rsid w:val="00B614A3"/>
    <w:rsid w:val="00B747FB"/>
    <w:rsid w:val="00B74FC1"/>
    <w:rsid w:val="00B82C41"/>
    <w:rsid w:val="00B90489"/>
    <w:rsid w:val="00B92517"/>
    <w:rsid w:val="00B92703"/>
    <w:rsid w:val="00B97CEF"/>
    <w:rsid w:val="00BA46F3"/>
    <w:rsid w:val="00BA541B"/>
    <w:rsid w:val="00BB34D7"/>
    <w:rsid w:val="00BB60FF"/>
    <w:rsid w:val="00BB6421"/>
    <w:rsid w:val="00BC1DCD"/>
    <w:rsid w:val="00BC2A90"/>
    <w:rsid w:val="00BC5E8B"/>
    <w:rsid w:val="00BC74B3"/>
    <w:rsid w:val="00BD0618"/>
    <w:rsid w:val="00BD309C"/>
    <w:rsid w:val="00BF4185"/>
    <w:rsid w:val="00BF4522"/>
    <w:rsid w:val="00C06E19"/>
    <w:rsid w:val="00C1354E"/>
    <w:rsid w:val="00C1405C"/>
    <w:rsid w:val="00C2530D"/>
    <w:rsid w:val="00C2626F"/>
    <w:rsid w:val="00C2792D"/>
    <w:rsid w:val="00C35B9A"/>
    <w:rsid w:val="00C40B87"/>
    <w:rsid w:val="00C55E16"/>
    <w:rsid w:val="00C628A6"/>
    <w:rsid w:val="00C6659A"/>
    <w:rsid w:val="00C811AD"/>
    <w:rsid w:val="00C8136F"/>
    <w:rsid w:val="00C94875"/>
    <w:rsid w:val="00CA01F7"/>
    <w:rsid w:val="00CA0F96"/>
    <w:rsid w:val="00CA323A"/>
    <w:rsid w:val="00CA6519"/>
    <w:rsid w:val="00CB6F58"/>
    <w:rsid w:val="00CB7728"/>
    <w:rsid w:val="00CF162A"/>
    <w:rsid w:val="00CF24A8"/>
    <w:rsid w:val="00CF4F30"/>
    <w:rsid w:val="00D02060"/>
    <w:rsid w:val="00D16B13"/>
    <w:rsid w:val="00D22801"/>
    <w:rsid w:val="00D25F5B"/>
    <w:rsid w:val="00D322A9"/>
    <w:rsid w:val="00D5116E"/>
    <w:rsid w:val="00D56F2A"/>
    <w:rsid w:val="00D6437F"/>
    <w:rsid w:val="00D70CAA"/>
    <w:rsid w:val="00D8101A"/>
    <w:rsid w:val="00D92C67"/>
    <w:rsid w:val="00D92F8E"/>
    <w:rsid w:val="00D967D0"/>
    <w:rsid w:val="00DA0E6B"/>
    <w:rsid w:val="00DA2A62"/>
    <w:rsid w:val="00DA45CA"/>
    <w:rsid w:val="00DB381A"/>
    <w:rsid w:val="00DC2277"/>
    <w:rsid w:val="00DD256A"/>
    <w:rsid w:val="00DD7352"/>
    <w:rsid w:val="00DE02F9"/>
    <w:rsid w:val="00DE36F5"/>
    <w:rsid w:val="00DF5988"/>
    <w:rsid w:val="00DF79FC"/>
    <w:rsid w:val="00E01EAE"/>
    <w:rsid w:val="00E048F3"/>
    <w:rsid w:val="00E05576"/>
    <w:rsid w:val="00E109CB"/>
    <w:rsid w:val="00E15DFD"/>
    <w:rsid w:val="00E23F1F"/>
    <w:rsid w:val="00E30018"/>
    <w:rsid w:val="00E32983"/>
    <w:rsid w:val="00E40197"/>
    <w:rsid w:val="00E456F0"/>
    <w:rsid w:val="00E46D9E"/>
    <w:rsid w:val="00E54723"/>
    <w:rsid w:val="00E56CD4"/>
    <w:rsid w:val="00E6611F"/>
    <w:rsid w:val="00E73B11"/>
    <w:rsid w:val="00E84D27"/>
    <w:rsid w:val="00E86D74"/>
    <w:rsid w:val="00EA3953"/>
    <w:rsid w:val="00EA4CFD"/>
    <w:rsid w:val="00EA5CE6"/>
    <w:rsid w:val="00EB25BF"/>
    <w:rsid w:val="00EB2A85"/>
    <w:rsid w:val="00EB5813"/>
    <w:rsid w:val="00EB659F"/>
    <w:rsid w:val="00ED23FF"/>
    <w:rsid w:val="00ED5D51"/>
    <w:rsid w:val="00EF3E74"/>
    <w:rsid w:val="00F008A4"/>
    <w:rsid w:val="00F014B8"/>
    <w:rsid w:val="00F019BB"/>
    <w:rsid w:val="00F109D1"/>
    <w:rsid w:val="00F14326"/>
    <w:rsid w:val="00F16F1A"/>
    <w:rsid w:val="00F21455"/>
    <w:rsid w:val="00F27636"/>
    <w:rsid w:val="00F41F81"/>
    <w:rsid w:val="00F44F25"/>
    <w:rsid w:val="00F47674"/>
    <w:rsid w:val="00F47D05"/>
    <w:rsid w:val="00F5664A"/>
    <w:rsid w:val="00F63E60"/>
    <w:rsid w:val="00F74797"/>
    <w:rsid w:val="00F773C3"/>
    <w:rsid w:val="00F7790B"/>
    <w:rsid w:val="00F8649E"/>
    <w:rsid w:val="00F93CB5"/>
    <w:rsid w:val="00FA508E"/>
    <w:rsid w:val="00FA55F4"/>
    <w:rsid w:val="00FE4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B55"/>
    <w:rPr>
      <w:rFonts w:ascii="Times New Roman" w:eastAsia="Times New Roman" w:hAnsi="Times New Roman" w:cs="Times New Roman"/>
      <w:sz w:val="24"/>
      <w:szCs w:val="2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784CA6"/>
    <w:rPr>
      <w:rFonts w:eastAsia="Calibri"/>
      <w:sz w:val="20"/>
      <w:szCs w:val="20"/>
    </w:rPr>
  </w:style>
  <w:style w:type="character" w:customStyle="1" w:styleId="Char">
    <w:name w:val="脚注文本 Char"/>
    <w:link w:val="a3"/>
    <w:uiPriority w:val="99"/>
    <w:rsid w:val="00784CA6"/>
    <w:rPr>
      <w:rFonts w:eastAsia="Calibri"/>
      <w:sz w:val="20"/>
      <w:szCs w:val="20"/>
      <w:lang w:val="en-GB" w:eastAsia="en-GB"/>
    </w:rPr>
  </w:style>
  <w:style w:type="table" w:customStyle="1" w:styleId="Grilledetableauclaire1">
    <w:name w:val="Grille de tableau claire1"/>
    <w:basedOn w:val="a1"/>
    <w:uiPriority w:val="40"/>
    <w:rsid w:val="00784CA6"/>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4">
    <w:name w:val="Balloon Text"/>
    <w:basedOn w:val="a"/>
    <w:link w:val="Char0"/>
    <w:uiPriority w:val="99"/>
    <w:semiHidden/>
    <w:unhideWhenUsed/>
    <w:rsid w:val="000737BC"/>
    <w:rPr>
      <w:rFonts w:ascii="Tahoma" w:hAnsi="Tahoma"/>
      <w:sz w:val="16"/>
      <w:szCs w:val="16"/>
    </w:rPr>
  </w:style>
  <w:style w:type="character" w:customStyle="1" w:styleId="Char0">
    <w:name w:val="批注框文本 Char"/>
    <w:link w:val="a4"/>
    <w:uiPriority w:val="99"/>
    <w:semiHidden/>
    <w:rsid w:val="000737BC"/>
    <w:rPr>
      <w:rFonts w:ascii="Tahoma" w:hAnsi="Tahoma" w:cs="Tahoma"/>
      <w:sz w:val="16"/>
      <w:szCs w:val="16"/>
      <w:lang w:val="en-GB" w:eastAsia="en-GB"/>
    </w:rPr>
  </w:style>
  <w:style w:type="paragraph" w:customStyle="1" w:styleId="GridTable2">
    <w:name w:val="Grid Table 2"/>
    <w:basedOn w:val="a"/>
    <w:next w:val="a"/>
    <w:uiPriority w:val="37"/>
    <w:unhideWhenUsed/>
    <w:rsid w:val="000108C3"/>
    <w:pPr>
      <w:tabs>
        <w:tab w:val="left" w:pos="384"/>
      </w:tabs>
      <w:spacing w:line="480" w:lineRule="auto"/>
      <w:ind w:left="384" w:hanging="384"/>
    </w:pPr>
  </w:style>
  <w:style w:type="paragraph" w:styleId="a5">
    <w:name w:val="header"/>
    <w:basedOn w:val="a"/>
    <w:link w:val="Char1"/>
    <w:uiPriority w:val="99"/>
    <w:unhideWhenUsed/>
    <w:rsid w:val="000108C3"/>
    <w:pPr>
      <w:tabs>
        <w:tab w:val="center" w:pos="4536"/>
        <w:tab w:val="right" w:pos="9072"/>
      </w:tabs>
    </w:pPr>
  </w:style>
  <w:style w:type="character" w:customStyle="1" w:styleId="Char1">
    <w:name w:val="页眉 Char"/>
    <w:basedOn w:val="a0"/>
    <w:link w:val="a5"/>
    <w:uiPriority w:val="99"/>
    <w:rsid w:val="000108C3"/>
  </w:style>
  <w:style w:type="paragraph" w:styleId="a6">
    <w:name w:val="footer"/>
    <w:basedOn w:val="a"/>
    <w:link w:val="Char2"/>
    <w:uiPriority w:val="99"/>
    <w:unhideWhenUsed/>
    <w:rsid w:val="000108C3"/>
    <w:pPr>
      <w:tabs>
        <w:tab w:val="center" w:pos="4536"/>
        <w:tab w:val="right" w:pos="9072"/>
      </w:tabs>
    </w:pPr>
  </w:style>
  <w:style w:type="character" w:customStyle="1" w:styleId="Char2">
    <w:name w:val="页脚 Char"/>
    <w:basedOn w:val="a0"/>
    <w:link w:val="a6"/>
    <w:uiPriority w:val="99"/>
    <w:rsid w:val="000108C3"/>
  </w:style>
  <w:style w:type="character" w:styleId="a7">
    <w:name w:val="annotation reference"/>
    <w:uiPriority w:val="99"/>
    <w:semiHidden/>
    <w:unhideWhenUsed/>
    <w:rsid w:val="00B44BFE"/>
    <w:rPr>
      <w:sz w:val="16"/>
      <w:szCs w:val="16"/>
      <w:lang w:val="en-GB" w:eastAsia="en-GB"/>
    </w:rPr>
  </w:style>
  <w:style w:type="paragraph" w:styleId="a8">
    <w:name w:val="annotation text"/>
    <w:basedOn w:val="a"/>
    <w:link w:val="Char3"/>
    <w:uiPriority w:val="99"/>
    <w:semiHidden/>
    <w:unhideWhenUsed/>
    <w:rsid w:val="00B44BFE"/>
    <w:rPr>
      <w:sz w:val="20"/>
      <w:szCs w:val="20"/>
    </w:rPr>
  </w:style>
  <w:style w:type="character" w:customStyle="1" w:styleId="Char3">
    <w:name w:val="批注文字 Char"/>
    <w:link w:val="a8"/>
    <w:uiPriority w:val="99"/>
    <w:semiHidden/>
    <w:rsid w:val="00B44BFE"/>
    <w:rPr>
      <w:sz w:val="20"/>
      <w:szCs w:val="20"/>
      <w:lang w:val="en-GB" w:eastAsia="en-GB"/>
    </w:rPr>
  </w:style>
  <w:style w:type="paragraph" w:styleId="a9">
    <w:name w:val="annotation subject"/>
    <w:basedOn w:val="a8"/>
    <w:next w:val="a8"/>
    <w:link w:val="Char4"/>
    <w:uiPriority w:val="99"/>
    <w:semiHidden/>
    <w:unhideWhenUsed/>
    <w:rsid w:val="00B44BFE"/>
    <w:rPr>
      <w:b/>
      <w:bCs/>
    </w:rPr>
  </w:style>
  <w:style w:type="character" w:customStyle="1" w:styleId="Char4">
    <w:name w:val="批注主题 Char"/>
    <w:link w:val="a9"/>
    <w:uiPriority w:val="99"/>
    <w:semiHidden/>
    <w:rsid w:val="00B44BFE"/>
    <w:rPr>
      <w:b/>
      <w:bCs/>
      <w:sz w:val="20"/>
      <w:szCs w:val="20"/>
      <w:lang w:val="en-GB" w:eastAsia="en-GB"/>
    </w:rPr>
  </w:style>
  <w:style w:type="paragraph" w:customStyle="1" w:styleId="-11">
    <w:name w:val="彩色列表 - 强调文字颜色 11"/>
    <w:basedOn w:val="a"/>
    <w:uiPriority w:val="34"/>
    <w:qFormat/>
    <w:rsid w:val="004C1D36"/>
    <w:pPr>
      <w:ind w:left="720"/>
      <w:contextualSpacing/>
    </w:pPr>
  </w:style>
  <w:style w:type="table" w:styleId="aa">
    <w:name w:val="Table Grid"/>
    <w:basedOn w:val="a1"/>
    <w:uiPriority w:val="39"/>
    <w:rsid w:val="00A26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Liste6Couleur1">
    <w:name w:val="Tableau Liste 6 Couleur1"/>
    <w:basedOn w:val="a1"/>
    <w:uiPriority w:val="51"/>
    <w:rsid w:val="00A26FEC"/>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110">
    <w:name w:val="彩色底纹 - 强调文字颜色 11"/>
    <w:hidden/>
    <w:uiPriority w:val="99"/>
    <w:semiHidden/>
    <w:rsid w:val="001A11D1"/>
    <w:rPr>
      <w:sz w:val="22"/>
      <w:szCs w:val="22"/>
      <w:lang w:val="en-GB" w:eastAsia="en-GB"/>
    </w:rPr>
  </w:style>
  <w:style w:type="character" w:customStyle="1" w:styleId="normaltextrun">
    <w:name w:val="normaltextrun"/>
    <w:rsid w:val="000B30FB"/>
  </w:style>
  <w:style w:type="paragraph" w:customStyle="1" w:styleId="Default">
    <w:name w:val="Default"/>
    <w:rsid w:val="00BC5E8B"/>
    <w:pPr>
      <w:autoSpaceDE w:val="0"/>
      <w:autoSpaceDN w:val="0"/>
      <w:adjustRightInd w:val="0"/>
    </w:pPr>
    <w:rPr>
      <w:rFonts w:ascii="Book Antiqua" w:hAnsi="Book Antiqua" w:cs="Book Antiqua"/>
      <w:color w:val="000000"/>
      <w:sz w:val="24"/>
      <w:szCs w:val="24"/>
      <w:lang w:val="fr-FR" w:eastAsia="fr-FR"/>
    </w:rPr>
  </w:style>
  <w:style w:type="paragraph" w:styleId="ab">
    <w:name w:val="Normal (Web)"/>
    <w:basedOn w:val="a"/>
    <w:uiPriority w:val="99"/>
    <w:semiHidden/>
    <w:unhideWhenUsed/>
    <w:rsid w:val="00312C15"/>
    <w:pPr>
      <w:spacing w:before="100" w:beforeAutospacing="1" w:after="100" w:afterAutospacing="1"/>
    </w:pPr>
  </w:style>
  <w:style w:type="paragraph" w:customStyle="1" w:styleId="Bibliography1">
    <w:name w:val="Bibliography1"/>
    <w:basedOn w:val="a"/>
    <w:link w:val="BibliographyCar"/>
    <w:rsid w:val="00F16F1A"/>
    <w:pPr>
      <w:tabs>
        <w:tab w:val="left" w:pos="500"/>
      </w:tabs>
      <w:spacing w:after="240"/>
      <w:ind w:left="504" w:hanging="504"/>
      <w:jc w:val="both"/>
    </w:pPr>
    <w:rPr>
      <w:rFonts w:ascii="Arial" w:hAnsi="Arial"/>
      <w:lang w:val="en-US"/>
    </w:rPr>
  </w:style>
  <w:style w:type="character" w:customStyle="1" w:styleId="BibliographyCar">
    <w:name w:val="Bibliography Car"/>
    <w:link w:val="Bibliography1"/>
    <w:rsid w:val="00F16F1A"/>
    <w:rPr>
      <w:rFonts w:ascii="Arial" w:hAnsi="Arial"/>
      <w:sz w:val="24"/>
      <w:szCs w:val="24"/>
      <w:lang w:val="en-US" w:eastAsia="en-GB"/>
    </w:rPr>
  </w:style>
  <w:style w:type="character" w:styleId="ac">
    <w:name w:val="Hyperlink"/>
    <w:uiPriority w:val="99"/>
    <w:unhideWhenUsed/>
    <w:rsid w:val="00466D52"/>
    <w:rPr>
      <w:color w:val="0563C1"/>
      <w:u w:val="single"/>
    </w:rPr>
  </w:style>
  <w:style w:type="character" w:customStyle="1" w:styleId="Mentionnonrsolue">
    <w:name w:val="Mention non résolue"/>
    <w:uiPriority w:val="99"/>
    <w:semiHidden/>
    <w:unhideWhenUsed/>
    <w:rsid w:val="00466D52"/>
    <w:rPr>
      <w:color w:val="605E5C"/>
      <w:shd w:val="clear" w:color="auto" w:fill="E1DFDD"/>
    </w:rPr>
  </w:style>
  <w:style w:type="character" w:customStyle="1" w:styleId="ilfuvd">
    <w:name w:val="ilfuvd"/>
    <w:rsid w:val="00AA09BE"/>
  </w:style>
  <w:style w:type="paragraph" w:customStyle="1" w:styleId="p2">
    <w:name w:val="p2"/>
    <w:basedOn w:val="a"/>
    <w:rsid w:val="00F5664A"/>
    <w:rPr>
      <w:rFonts w:ascii="Book Antiqua" w:eastAsia="MS Mincho" w:hAnsi="Book Antiqua"/>
      <w:sz w:val="17"/>
      <w:szCs w:val="17"/>
    </w:rPr>
  </w:style>
  <w:style w:type="character" w:customStyle="1" w:styleId="apple-converted-space">
    <w:name w:val="apple-converted-space"/>
    <w:rsid w:val="00F5664A"/>
  </w:style>
  <w:style w:type="character" w:styleId="ad">
    <w:name w:val="page number"/>
    <w:uiPriority w:val="99"/>
    <w:semiHidden/>
    <w:unhideWhenUsed/>
    <w:rsid w:val="00C2626F"/>
  </w:style>
  <w:style w:type="paragraph" w:styleId="ae">
    <w:name w:val="Revision"/>
    <w:hidden/>
    <w:uiPriority w:val="99"/>
    <w:semiHidden/>
    <w:rsid w:val="00EB25BF"/>
    <w:rPr>
      <w:rFonts w:ascii="Times New Roman" w:eastAsia="Times New Roman" w:hAnsi="Times New Roman" w:cs="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B55"/>
    <w:rPr>
      <w:rFonts w:ascii="Times New Roman" w:eastAsia="Times New Roman" w:hAnsi="Times New Roman" w:cs="Times New Roman"/>
      <w:sz w:val="24"/>
      <w:szCs w:val="2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784CA6"/>
    <w:rPr>
      <w:rFonts w:eastAsia="Calibri"/>
      <w:sz w:val="20"/>
      <w:szCs w:val="20"/>
    </w:rPr>
  </w:style>
  <w:style w:type="character" w:customStyle="1" w:styleId="Char">
    <w:name w:val="脚注文本 Char"/>
    <w:link w:val="a3"/>
    <w:uiPriority w:val="99"/>
    <w:rsid w:val="00784CA6"/>
    <w:rPr>
      <w:rFonts w:eastAsia="Calibri"/>
      <w:sz w:val="20"/>
      <w:szCs w:val="20"/>
      <w:lang w:val="en-GB" w:eastAsia="en-GB"/>
    </w:rPr>
  </w:style>
  <w:style w:type="table" w:customStyle="1" w:styleId="Grilledetableauclaire1">
    <w:name w:val="Grille de tableau claire1"/>
    <w:basedOn w:val="a1"/>
    <w:uiPriority w:val="40"/>
    <w:rsid w:val="00784CA6"/>
    <w:rPr>
      <w:rFonts w:eastAsia="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4">
    <w:name w:val="Balloon Text"/>
    <w:basedOn w:val="a"/>
    <w:link w:val="Char0"/>
    <w:uiPriority w:val="99"/>
    <w:semiHidden/>
    <w:unhideWhenUsed/>
    <w:rsid w:val="000737BC"/>
    <w:rPr>
      <w:rFonts w:ascii="Tahoma" w:hAnsi="Tahoma"/>
      <w:sz w:val="16"/>
      <w:szCs w:val="16"/>
    </w:rPr>
  </w:style>
  <w:style w:type="character" w:customStyle="1" w:styleId="Char0">
    <w:name w:val="批注框文本 Char"/>
    <w:link w:val="a4"/>
    <w:uiPriority w:val="99"/>
    <w:semiHidden/>
    <w:rsid w:val="000737BC"/>
    <w:rPr>
      <w:rFonts w:ascii="Tahoma" w:hAnsi="Tahoma" w:cs="Tahoma"/>
      <w:sz w:val="16"/>
      <w:szCs w:val="16"/>
      <w:lang w:val="en-GB" w:eastAsia="en-GB"/>
    </w:rPr>
  </w:style>
  <w:style w:type="paragraph" w:customStyle="1" w:styleId="GridTable2">
    <w:name w:val="Grid Table 2"/>
    <w:basedOn w:val="a"/>
    <w:next w:val="a"/>
    <w:uiPriority w:val="37"/>
    <w:unhideWhenUsed/>
    <w:rsid w:val="000108C3"/>
    <w:pPr>
      <w:tabs>
        <w:tab w:val="left" w:pos="384"/>
      </w:tabs>
      <w:spacing w:line="480" w:lineRule="auto"/>
      <w:ind w:left="384" w:hanging="384"/>
    </w:pPr>
  </w:style>
  <w:style w:type="paragraph" w:styleId="a5">
    <w:name w:val="header"/>
    <w:basedOn w:val="a"/>
    <w:link w:val="Char1"/>
    <w:uiPriority w:val="99"/>
    <w:unhideWhenUsed/>
    <w:rsid w:val="000108C3"/>
    <w:pPr>
      <w:tabs>
        <w:tab w:val="center" w:pos="4536"/>
        <w:tab w:val="right" w:pos="9072"/>
      </w:tabs>
    </w:pPr>
  </w:style>
  <w:style w:type="character" w:customStyle="1" w:styleId="Char1">
    <w:name w:val="页眉 Char"/>
    <w:basedOn w:val="a0"/>
    <w:link w:val="a5"/>
    <w:uiPriority w:val="99"/>
    <w:rsid w:val="000108C3"/>
  </w:style>
  <w:style w:type="paragraph" w:styleId="a6">
    <w:name w:val="footer"/>
    <w:basedOn w:val="a"/>
    <w:link w:val="Char2"/>
    <w:uiPriority w:val="99"/>
    <w:unhideWhenUsed/>
    <w:rsid w:val="000108C3"/>
    <w:pPr>
      <w:tabs>
        <w:tab w:val="center" w:pos="4536"/>
        <w:tab w:val="right" w:pos="9072"/>
      </w:tabs>
    </w:pPr>
  </w:style>
  <w:style w:type="character" w:customStyle="1" w:styleId="Char2">
    <w:name w:val="页脚 Char"/>
    <w:basedOn w:val="a0"/>
    <w:link w:val="a6"/>
    <w:uiPriority w:val="99"/>
    <w:rsid w:val="000108C3"/>
  </w:style>
  <w:style w:type="character" w:styleId="a7">
    <w:name w:val="annotation reference"/>
    <w:uiPriority w:val="99"/>
    <w:semiHidden/>
    <w:unhideWhenUsed/>
    <w:rsid w:val="00B44BFE"/>
    <w:rPr>
      <w:sz w:val="16"/>
      <w:szCs w:val="16"/>
      <w:lang w:val="en-GB" w:eastAsia="en-GB"/>
    </w:rPr>
  </w:style>
  <w:style w:type="paragraph" w:styleId="a8">
    <w:name w:val="annotation text"/>
    <w:basedOn w:val="a"/>
    <w:link w:val="Char3"/>
    <w:uiPriority w:val="99"/>
    <w:semiHidden/>
    <w:unhideWhenUsed/>
    <w:rsid w:val="00B44BFE"/>
    <w:rPr>
      <w:sz w:val="20"/>
      <w:szCs w:val="20"/>
    </w:rPr>
  </w:style>
  <w:style w:type="character" w:customStyle="1" w:styleId="Char3">
    <w:name w:val="批注文字 Char"/>
    <w:link w:val="a8"/>
    <w:uiPriority w:val="99"/>
    <w:semiHidden/>
    <w:rsid w:val="00B44BFE"/>
    <w:rPr>
      <w:sz w:val="20"/>
      <w:szCs w:val="20"/>
      <w:lang w:val="en-GB" w:eastAsia="en-GB"/>
    </w:rPr>
  </w:style>
  <w:style w:type="paragraph" w:styleId="a9">
    <w:name w:val="annotation subject"/>
    <w:basedOn w:val="a8"/>
    <w:next w:val="a8"/>
    <w:link w:val="Char4"/>
    <w:uiPriority w:val="99"/>
    <w:semiHidden/>
    <w:unhideWhenUsed/>
    <w:rsid w:val="00B44BFE"/>
    <w:rPr>
      <w:b/>
      <w:bCs/>
    </w:rPr>
  </w:style>
  <w:style w:type="character" w:customStyle="1" w:styleId="Char4">
    <w:name w:val="批注主题 Char"/>
    <w:link w:val="a9"/>
    <w:uiPriority w:val="99"/>
    <w:semiHidden/>
    <w:rsid w:val="00B44BFE"/>
    <w:rPr>
      <w:b/>
      <w:bCs/>
      <w:sz w:val="20"/>
      <w:szCs w:val="20"/>
      <w:lang w:val="en-GB" w:eastAsia="en-GB"/>
    </w:rPr>
  </w:style>
  <w:style w:type="paragraph" w:customStyle="1" w:styleId="-11">
    <w:name w:val="彩色列表 - 强调文字颜色 11"/>
    <w:basedOn w:val="a"/>
    <w:uiPriority w:val="34"/>
    <w:qFormat/>
    <w:rsid w:val="004C1D36"/>
    <w:pPr>
      <w:ind w:left="720"/>
      <w:contextualSpacing/>
    </w:pPr>
  </w:style>
  <w:style w:type="table" w:styleId="aa">
    <w:name w:val="Table Grid"/>
    <w:basedOn w:val="a1"/>
    <w:uiPriority w:val="39"/>
    <w:rsid w:val="00A26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Liste6Couleur1">
    <w:name w:val="Tableau Liste 6 Couleur1"/>
    <w:basedOn w:val="a1"/>
    <w:uiPriority w:val="51"/>
    <w:rsid w:val="00A26FEC"/>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110">
    <w:name w:val="彩色底纹 - 强调文字颜色 11"/>
    <w:hidden/>
    <w:uiPriority w:val="99"/>
    <w:semiHidden/>
    <w:rsid w:val="001A11D1"/>
    <w:rPr>
      <w:sz w:val="22"/>
      <w:szCs w:val="22"/>
      <w:lang w:val="en-GB" w:eastAsia="en-GB"/>
    </w:rPr>
  </w:style>
  <w:style w:type="character" w:customStyle="1" w:styleId="normaltextrun">
    <w:name w:val="normaltextrun"/>
    <w:rsid w:val="000B30FB"/>
  </w:style>
  <w:style w:type="paragraph" w:customStyle="1" w:styleId="Default">
    <w:name w:val="Default"/>
    <w:rsid w:val="00BC5E8B"/>
    <w:pPr>
      <w:autoSpaceDE w:val="0"/>
      <w:autoSpaceDN w:val="0"/>
      <w:adjustRightInd w:val="0"/>
    </w:pPr>
    <w:rPr>
      <w:rFonts w:ascii="Book Antiqua" w:hAnsi="Book Antiqua" w:cs="Book Antiqua"/>
      <w:color w:val="000000"/>
      <w:sz w:val="24"/>
      <w:szCs w:val="24"/>
      <w:lang w:val="fr-FR" w:eastAsia="fr-FR"/>
    </w:rPr>
  </w:style>
  <w:style w:type="paragraph" w:styleId="ab">
    <w:name w:val="Normal (Web)"/>
    <w:basedOn w:val="a"/>
    <w:uiPriority w:val="99"/>
    <w:semiHidden/>
    <w:unhideWhenUsed/>
    <w:rsid w:val="00312C15"/>
    <w:pPr>
      <w:spacing w:before="100" w:beforeAutospacing="1" w:after="100" w:afterAutospacing="1"/>
    </w:pPr>
  </w:style>
  <w:style w:type="paragraph" w:customStyle="1" w:styleId="Bibliography1">
    <w:name w:val="Bibliography1"/>
    <w:basedOn w:val="a"/>
    <w:link w:val="BibliographyCar"/>
    <w:rsid w:val="00F16F1A"/>
    <w:pPr>
      <w:tabs>
        <w:tab w:val="left" w:pos="500"/>
      </w:tabs>
      <w:spacing w:after="240"/>
      <w:ind w:left="504" w:hanging="504"/>
      <w:jc w:val="both"/>
    </w:pPr>
    <w:rPr>
      <w:rFonts w:ascii="Arial" w:hAnsi="Arial"/>
      <w:lang w:val="en-US"/>
    </w:rPr>
  </w:style>
  <w:style w:type="character" w:customStyle="1" w:styleId="BibliographyCar">
    <w:name w:val="Bibliography Car"/>
    <w:link w:val="Bibliography1"/>
    <w:rsid w:val="00F16F1A"/>
    <w:rPr>
      <w:rFonts w:ascii="Arial" w:hAnsi="Arial"/>
      <w:sz w:val="24"/>
      <w:szCs w:val="24"/>
      <w:lang w:val="en-US" w:eastAsia="en-GB"/>
    </w:rPr>
  </w:style>
  <w:style w:type="character" w:styleId="ac">
    <w:name w:val="Hyperlink"/>
    <w:uiPriority w:val="99"/>
    <w:unhideWhenUsed/>
    <w:rsid w:val="00466D52"/>
    <w:rPr>
      <w:color w:val="0563C1"/>
      <w:u w:val="single"/>
    </w:rPr>
  </w:style>
  <w:style w:type="character" w:customStyle="1" w:styleId="Mentionnonrsolue">
    <w:name w:val="Mention non résolue"/>
    <w:uiPriority w:val="99"/>
    <w:semiHidden/>
    <w:unhideWhenUsed/>
    <w:rsid w:val="00466D52"/>
    <w:rPr>
      <w:color w:val="605E5C"/>
      <w:shd w:val="clear" w:color="auto" w:fill="E1DFDD"/>
    </w:rPr>
  </w:style>
  <w:style w:type="character" w:customStyle="1" w:styleId="ilfuvd">
    <w:name w:val="ilfuvd"/>
    <w:rsid w:val="00AA09BE"/>
  </w:style>
  <w:style w:type="paragraph" w:customStyle="1" w:styleId="p2">
    <w:name w:val="p2"/>
    <w:basedOn w:val="a"/>
    <w:rsid w:val="00F5664A"/>
    <w:rPr>
      <w:rFonts w:ascii="Book Antiqua" w:eastAsia="MS Mincho" w:hAnsi="Book Antiqua"/>
      <w:sz w:val="17"/>
      <w:szCs w:val="17"/>
    </w:rPr>
  </w:style>
  <w:style w:type="character" w:customStyle="1" w:styleId="apple-converted-space">
    <w:name w:val="apple-converted-space"/>
    <w:rsid w:val="00F5664A"/>
  </w:style>
  <w:style w:type="character" w:styleId="ad">
    <w:name w:val="page number"/>
    <w:uiPriority w:val="99"/>
    <w:semiHidden/>
    <w:unhideWhenUsed/>
    <w:rsid w:val="00C2626F"/>
  </w:style>
  <w:style w:type="paragraph" w:styleId="ae">
    <w:name w:val="Revision"/>
    <w:hidden/>
    <w:uiPriority w:val="99"/>
    <w:semiHidden/>
    <w:rsid w:val="00EB25BF"/>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8265">
      <w:bodyDiv w:val="1"/>
      <w:marLeft w:val="0"/>
      <w:marRight w:val="0"/>
      <w:marTop w:val="0"/>
      <w:marBottom w:val="0"/>
      <w:divBdr>
        <w:top w:val="none" w:sz="0" w:space="0" w:color="auto"/>
        <w:left w:val="none" w:sz="0" w:space="0" w:color="auto"/>
        <w:bottom w:val="none" w:sz="0" w:space="0" w:color="auto"/>
        <w:right w:val="none" w:sz="0" w:space="0" w:color="auto"/>
      </w:divBdr>
    </w:div>
    <w:div w:id="264075281">
      <w:bodyDiv w:val="1"/>
      <w:marLeft w:val="0"/>
      <w:marRight w:val="0"/>
      <w:marTop w:val="0"/>
      <w:marBottom w:val="0"/>
      <w:divBdr>
        <w:top w:val="none" w:sz="0" w:space="0" w:color="auto"/>
        <w:left w:val="none" w:sz="0" w:space="0" w:color="auto"/>
        <w:bottom w:val="none" w:sz="0" w:space="0" w:color="auto"/>
        <w:right w:val="none" w:sz="0" w:space="0" w:color="auto"/>
      </w:divBdr>
    </w:div>
    <w:div w:id="323632185">
      <w:bodyDiv w:val="1"/>
      <w:marLeft w:val="0"/>
      <w:marRight w:val="0"/>
      <w:marTop w:val="0"/>
      <w:marBottom w:val="0"/>
      <w:divBdr>
        <w:top w:val="none" w:sz="0" w:space="0" w:color="auto"/>
        <w:left w:val="none" w:sz="0" w:space="0" w:color="auto"/>
        <w:bottom w:val="none" w:sz="0" w:space="0" w:color="auto"/>
        <w:right w:val="none" w:sz="0" w:space="0" w:color="auto"/>
      </w:divBdr>
    </w:div>
    <w:div w:id="611134188">
      <w:bodyDiv w:val="1"/>
      <w:marLeft w:val="0"/>
      <w:marRight w:val="0"/>
      <w:marTop w:val="0"/>
      <w:marBottom w:val="0"/>
      <w:divBdr>
        <w:top w:val="none" w:sz="0" w:space="0" w:color="auto"/>
        <w:left w:val="none" w:sz="0" w:space="0" w:color="auto"/>
        <w:bottom w:val="none" w:sz="0" w:space="0" w:color="auto"/>
        <w:right w:val="none" w:sz="0" w:space="0" w:color="auto"/>
      </w:divBdr>
    </w:div>
    <w:div w:id="959844983">
      <w:bodyDiv w:val="1"/>
      <w:marLeft w:val="0"/>
      <w:marRight w:val="0"/>
      <w:marTop w:val="0"/>
      <w:marBottom w:val="0"/>
      <w:divBdr>
        <w:top w:val="none" w:sz="0" w:space="0" w:color="auto"/>
        <w:left w:val="none" w:sz="0" w:space="0" w:color="auto"/>
        <w:bottom w:val="none" w:sz="0" w:space="0" w:color="auto"/>
        <w:right w:val="none" w:sz="0" w:space="0" w:color="auto"/>
      </w:divBdr>
    </w:div>
    <w:div w:id="1053428176">
      <w:bodyDiv w:val="1"/>
      <w:marLeft w:val="0"/>
      <w:marRight w:val="0"/>
      <w:marTop w:val="0"/>
      <w:marBottom w:val="0"/>
      <w:divBdr>
        <w:top w:val="none" w:sz="0" w:space="0" w:color="auto"/>
        <w:left w:val="none" w:sz="0" w:space="0" w:color="auto"/>
        <w:bottom w:val="none" w:sz="0" w:space="0" w:color="auto"/>
        <w:right w:val="none" w:sz="0" w:space="0" w:color="auto"/>
      </w:divBdr>
    </w:div>
    <w:div w:id="1388602118">
      <w:bodyDiv w:val="1"/>
      <w:marLeft w:val="0"/>
      <w:marRight w:val="0"/>
      <w:marTop w:val="0"/>
      <w:marBottom w:val="0"/>
      <w:divBdr>
        <w:top w:val="none" w:sz="0" w:space="0" w:color="auto"/>
        <w:left w:val="none" w:sz="0" w:space="0" w:color="auto"/>
        <w:bottom w:val="none" w:sz="0" w:space="0" w:color="auto"/>
        <w:right w:val="none" w:sz="0" w:space="0" w:color="auto"/>
      </w:divBdr>
    </w:div>
    <w:div w:id="1450123208">
      <w:bodyDiv w:val="1"/>
      <w:marLeft w:val="0"/>
      <w:marRight w:val="0"/>
      <w:marTop w:val="0"/>
      <w:marBottom w:val="0"/>
      <w:divBdr>
        <w:top w:val="none" w:sz="0" w:space="0" w:color="auto"/>
        <w:left w:val="none" w:sz="0" w:space="0" w:color="auto"/>
        <w:bottom w:val="none" w:sz="0" w:space="0" w:color="auto"/>
        <w:right w:val="none" w:sz="0" w:space="0" w:color="auto"/>
      </w:divBdr>
    </w:div>
    <w:div w:id="1795520849">
      <w:bodyDiv w:val="1"/>
      <w:marLeft w:val="0"/>
      <w:marRight w:val="0"/>
      <w:marTop w:val="0"/>
      <w:marBottom w:val="0"/>
      <w:divBdr>
        <w:top w:val="none" w:sz="0" w:space="0" w:color="auto"/>
        <w:left w:val="none" w:sz="0" w:space="0" w:color="auto"/>
        <w:bottom w:val="none" w:sz="0" w:space="0" w:color="auto"/>
        <w:right w:val="none" w:sz="0" w:space="0" w:color="auto"/>
      </w:divBdr>
      <w:divsChild>
        <w:div w:id="299387029">
          <w:marLeft w:val="0"/>
          <w:marRight w:val="0"/>
          <w:marTop w:val="0"/>
          <w:marBottom w:val="0"/>
          <w:divBdr>
            <w:top w:val="none" w:sz="0" w:space="0" w:color="auto"/>
            <w:left w:val="none" w:sz="0" w:space="0" w:color="auto"/>
            <w:bottom w:val="none" w:sz="0" w:space="0" w:color="auto"/>
            <w:right w:val="none" w:sz="0" w:space="0" w:color="auto"/>
          </w:divBdr>
        </w:div>
        <w:div w:id="437919655">
          <w:marLeft w:val="0"/>
          <w:marRight w:val="0"/>
          <w:marTop w:val="0"/>
          <w:marBottom w:val="0"/>
          <w:divBdr>
            <w:top w:val="none" w:sz="0" w:space="0" w:color="auto"/>
            <w:left w:val="none" w:sz="0" w:space="0" w:color="auto"/>
            <w:bottom w:val="none" w:sz="0" w:space="0" w:color="auto"/>
            <w:right w:val="none" w:sz="0" w:space="0" w:color="auto"/>
          </w:divBdr>
        </w:div>
        <w:div w:id="1713381762">
          <w:marLeft w:val="0"/>
          <w:marRight w:val="0"/>
          <w:marTop w:val="0"/>
          <w:marBottom w:val="0"/>
          <w:divBdr>
            <w:top w:val="none" w:sz="0" w:space="0" w:color="auto"/>
            <w:left w:val="none" w:sz="0" w:space="0" w:color="auto"/>
            <w:bottom w:val="none" w:sz="0" w:space="0" w:color="auto"/>
            <w:right w:val="none" w:sz="0" w:space="0" w:color="auto"/>
          </w:divBdr>
        </w:div>
        <w:div w:id="2141066898">
          <w:marLeft w:val="0"/>
          <w:marRight w:val="0"/>
          <w:marTop w:val="0"/>
          <w:marBottom w:val="0"/>
          <w:divBdr>
            <w:top w:val="none" w:sz="0" w:space="0" w:color="auto"/>
            <w:left w:val="none" w:sz="0" w:space="0" w:color="auto"/>
            <w:bottom w:val="none" w:sz="0" w:space="0" w:color="auto"/>
            <w:right w:val="none" w:sz="0" w:space="0" w:color="auto"/>
          </w:divBdr>
        </w:div>
      </w:divsChild>
    </w:div>
    <w:div w:id="1890678961">
      <w:bodyDiv w:val="1"/>
      <w:marLeft w:val="0"/>
      <w:marRight w:val="0"/>
      <w:marTop w:val="0"/>
      <w:marBottom w:val="0"/>
      <w:divBdr>
        <w:top w:val="none" w:sz="0" w:space="0" w:color="auto"/>
        <w:left w:val="none" w:sz="0" w:space="0" w:color="auto"/>
        <w:bottom w:val="none" w:sz="0" w:space="0" w:color="auto"/>
        <w:right w:val="none" w:sz="0" w:space="0" w:color="auto"/>
      </w:divBdr>
    </w:div>
    <w:div w:id="203202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1-6122-7004" TargetMode="External"/><Relationship Id="rId18" Type="http://schemas.openxmlformats.org/officeDocument/2006/relationships/hyperlink" Target="http://creativecommons.org/licenses/by-nc/4.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orcid.org/0000-0003-1610-1474" TargetMode="External"/><Relationship Id="rId17" Type="http://schemas.openxmlformats.org/officeDocument/2006/relationships/hyperlink" Target="https://orcid.org/0000-0001-6754-1686" TargetMode="External"/><Relationship Id="rId2" Type="http://schemas.openxmlformats.org/officeDocument/2006/relationships/numbering" Target="numbering.xml"/><Relationship Id="rId16" Type="http://schemas.openxmlformats.org/officeDocument/2006/relationships/hyperlink" Target="https://orcid.org/0000-0002-2292-1156"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3-2800-5615"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rcid.org/0000-0002-3590-8014" TargetMode="External"/><Relationship Id="rId23" Type="http://schemas.openxmlformats.org/officeDocument/2006/relationships/fontTable" Target="fontTable.xml"/><Relationship Id="rId10" Type="http://schemas.openxmlformats.org/officeDocument/2006/relationships/hyperlink" Target="https://orcid.org/0000-0002-0384-6592"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orcid.org/0000-0001-9965-0908" TargetMode="External"/><Relationship Id="rId14" Type="http://schemas.openxmlformats.org/officeDocument/2006/relationships/hyperlink" Target="https://orcid.org/0000-0002-8344-1762" TargetMode="External"/><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E3787-1DF1-469C-AA33-503FC1A0E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67924</Words>
  <Characters>387168</Characters>
  <Application>Microsoft Office Word</Application>
  <DocSecurity>0</DocSecurity>
  <Lines>3226</Lines>
  <Paragraphs>908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454184</CharactersWithSpaces>
  <SharedDoc>false</SharedDoc>
  <HLinks>
    <vt:vector size="60" baseType="variant">
      <vt:variant>
        <vt:i4>2555949</vt:i4>
      </vt:variant>
      <vt:variant>
        <vt:i4>27</vt:i4>
      </vt:variant>
      <vt:variant>
        <vt:i4>0</vt:i4>
      </vt:variant>
      <vt:variant>
        <vt:i4>5</vt:i4>
      </vt:variant>
      <vt:variant>
        <vt:lpwstr>http://creativecommons.org/licenses/by-nc/4.0/</vt:lpwstr>
      </vt:variant>
      <vt:variant>
        <vt:lpwstr/>
      </vt:variant>
      <vt:variant>
        <vt:i4>6160404</vt:i4>
      </vt:variant>
      <vt:variant>
        <vt:i4>24</vt:i4>
      </vt:variant>
      <vt:variant>
        <vt:i4>0</vt:i4>
      </vt:variant>
      <vt:variant>
        <vt:i4>5</vt:i4>
      </vt:variant>
      <vt:variant>
        <vt:lpwstr>https://orcid.org/0000-0001-6754-1686</vt:lpwstr>
      </vt:variant>
      <vt:variant>
        <vt:lpwstr/>
      </vt:variant>
      <vt:variant>
        <vt:i4>5242904</vt:i4>
      </vt:variant>
      <vt:variant>
        <vt:i4>21</vt:i4>
      </vt:variant>
      <vt:variant>
        <vt:i4>0</vt:i4>
      </vt:variant>
      <vt:variant>
        <vt:i4>5</vt:i4>
      </vt:variant>
      <vt:variant>
        <vt:lpwstr>https://orcid.org/0000-0002-2292-1156</vt:lpwstr>
      </vt:variant>
      <vt:variant>
        <vt:lpwstr/>
      </vt:variant>
      <vt:variant>
        <vt:i4>5767192</vt:i4>
      </vt:variant>
      <vt:variant>
        <vt:i4>18</vt:i4>
      </vt:variant>
      <vt:variant>
        <vt:i4>0</vt:i4>
      </vt:variant>
      <vt:variant>
        <vt:i4>5</vt:i4>
      </vt:variant>
      <vt:variant>
        <vt:lpwstr>https://orcid.org/0000-0002-3590-8014</vt:lpwstr>
      </vt:variant>
      <vt:variant>
        <vt:lpwstr/>
      </vt:variant>
      <vt:variant>
        <vt:i4>5505049</vt:i4>
      </vt:variant>
      <vt:variant>
        <vt:i4>15</vt:i4>
      </vt:variant>
      <vt:variant>
        <vt:i4>0</vt:i4>
      </vt:variant>
      <vt:variant>
        <vt:i4>5</vt:i4>
      </vt:variant>
      <vt:variant>
        <vt:lpwstr>https://orcid.org/0000-0002-8344-1762</vt:lpwstr>
      </vt:variant>
      <vt:variant>
        <vt:lpwstr/>
      </vt:variant>
      <vt:variant>
        <vt:i4>5242901</vt:i4>
      </vt:variant>
      <vt:variant>
        <vt:i4>12</vt:i4>
      </vt:variant>
      <vt:variant>
        <vt:i4>0</vt:i4>
      </vt:variant>
      <vt:variant>
        <vt:i4>5</vt:i4>
      </vt:variant>
      <vt:variant>
        <vt:lpwstr>https://orcid.org/0000-0001-6122-7004</vt:lpwstr>
      </vt:variant>
      <vt:variant>
        <vt:lpwstr/>
      </vt:variant>
      <vt:variant>
        <vt:i4>5505047</vt:i4>
      </vt:variant>
      <vt:variant>
        <vt:i4>9</vt:i4>
      </vt:variant>
      <vt:variant>
        <vt:i4>0</vt:i4>
      </vt:variant>
      <vt:variant>
        <vt:i4>5</vt:i4>
      </vt:variant>
      <vt:variant>
        <vt:lpwstr>https://orcid.org/0000-0003-1610-1474</vt:lpwstr>
      </vt:variant>
      <vt:variant>
        <vt:lpwstr/>
      </vt:variant>
      <vt:variant>
        <vt:i4>5767191</vt:i4>
      </vt:variant>
      <vt:variant>
        <vt:i4>6</vt:i4>
      </vt:variant>
      <vt:variant>
        <vt:i4>0</vt:i4>
      </vt:variant>
      <vt:variant>
        <vt:i4>5</vt:i4>
      </vt:variant>
      <vt:variant>
        <vt:lpwstr>https://orcid.org/0000-0003-2800-5615</vt:lpwstr>
      </vt:variant>
      <vt:variant>
        <vt:lpwstr/>
      </vt:variant>
      <vt:variant>
        <vt:i4>6029343</vt:i4>
      </vt:variant>
      <vt:variant>
        <vt:i4>3</vt:i4>
      </vt:variant>
      <vt:variant>
        <vt:i4>0</vt:i4>
      </vt:variant>
      <vt:variant>
        <vt:i4>5</vt:i4>
      </vt:variant>
      <vt:variant>
        <vt:lpwstr>https://orcid.org/0000-0002-0384-6592</vt:lpwstr>
      </vt:variant>
      <vt:variant>
        <vt:lpwstr/>
      </vt:variant>
      <vt:variant>
        <vt:i4>5767191</vt:i4>
      </vt:variant>
      <vt:variant>
        <vt:i4>0</vt:i4>
      </vt:variant>
      <vt:variant>
        <vt:i4>0</vt:i4>
      </vt:variant>
      <vt:variant>
        <vt:i4>5</vt:i4>
      </vt:variant>
      <vt:variant>
        <vt:lpwstr>https://orcid.org/0000-0001-9965-0908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2018-02-23T12:38:00Z</cp:lastPrinted>
  <dcterms:created xsi:type="dcterms:W3CDTF">2019-04-15T06:51:00Z</dcterms:created>
  <dcterms:modified xsi:type="dcterms:W3CDTF">2019-04-15T09:18:00Z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id="W71lj0qe"/&gt;&lt;style id="http://www.zotero.org/styles/world-journal-of-gastroenterology"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name="dontAskDelayCitationUpdates" value="true"/&gt;&lt;/prefs&gt;&lt;/data&gt;</vt:lpwstr>
  </property>
</Properties>
</file>