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063B9" w14:textId="77777777" w:rsidR="00931EB3" w:rsidRPr="00840CF8" w:rsidRDefault="00931EB3" w:rsidP="00CB7D2C">
      <w:pPr>
        <w:snapToGrid w:val="0"/>
        <w:spacing w:line="360" w:lineRule="auto"/>
        <w:rPr>
          <w:rFonts w:ascii="Book Antiqua" w:hAnsi="Book Antiqua" w:cs="Times New Roman"/>
          <w:b/>
          <w:color w:val="000000" w:themeColor="text1"/>
          <w:szCs w:val="24"/>
          <w:lang w:eastAsia="zh-CN"/>
        </w:rPr>
      </w:pPr>
      <w:bookmarkStart w:id="0" w:name="_GoBack"/>
      <w:r w:rsidRPr="00840CF8">
        <w:rPr>
          <w:rFonts w:ascii="Book Antiqua" w:hAnsi="Book Antiqua" w:cs="Times New Roman"/>
          <w:b/>
          <w:color w:val="000000" w:themeColor="text1"/>
          <w:szCs w:val="24"/>
        </w:rPr>
        <w:t xml:space="preserve">Name of Journal: </w:t>
      </w:r>
      <w:r w:rsidRPr="00840CF8">
        <w:rPr>
          <w:rFonts w:ascii="Book Antiqua" w:hAnsi="Book Antiqua" w:cs="Times New Roman"/>
          <w:b/>
          <w:i/>
          <w:color w:val="000000" w:themeColor="text1"/>
          <w:szCs w:val="24"/>
        </w:rPr>
        <w:t>World Journal of Gastrointestinal Oncology</w:t>
      </w:r>
    </w:p>
    <w:p w14:paraId="799EA085" w14:textId="77777777" w:rsidR="00931EB3" w:rsidRPr="00840CF8" w:rsidRDefault="00931EB3" w:rsidP="00CB7D2C">
      <w:pPr>
        <w:snapToGrid w:val="0"/>
        <w:spacing w:line="360" w:lineRule="auto"/>
        <w:rPr>
          <w:rFonts w:ascii="Book Antiqua" w:hAnsi="Book Antiqua" w:cs="Times New Roman"/>
          <w:b/>
          <w:color w:val="000000" w:themeColor="text1"/>
          <w:szCs w:val="24"/>
        </w:rPr>
      </w:pPr>
      <w:r w:rsidRPr="00840CF8">
        <w:rPr>
          <w:rFonts w:ascii="Book Antiqua" w:hAnsi="Book Antiqua" w:cs="Times New Roman"/>
          <w:b/>
          <w:color w:val="000000" w:themeColor="text1"/>
          <w:szCs w:val="24"/>
        </w:rPr>
        <w:t xml:space="preserve">Manuscript ID: </w:t>
      </w:r>
      <w:r w:rsidR="007D22AF" w:rsidRPr="00840CF8">
        <w:rPr>
          <w:rFonts w:ascii="Book Antiqua" w:hAnsi="Book Antiqua" w:cs="Times New Roman"/>
          <w:b/>
          <w:color w:val="000000" w:themeColor="text1"/>
          <w:szCs w:val="24"/>
        </w:rPr>
        <w:t>47264</w:t>
      </w:r>
    </w:p>
    <w:p w14:paraId="5581193C" w14:textId="77777777" w:rsidR="00931EB3" w:rsidRPr="00840CF8" w:rsidRDefault="00931EB3" w:rsidP="00CB7D2C">
      <w:pPr>
        <w:snapToGrid w:val="0"/>
        <w:spacing w:line="360" w:lineRule="auto"/>
        <w:jc w:val="both"/>
        <w:rPr>
          <w:rFonts w:ascii="Book Antiqua" w:hAnsi="Book Antiqua" w:cs="Times New Roman"/>
          <w:b/>
          <w:color w:val="000000" w:themeColor="text1"/>
          <w:kern w:val="0"/>
          <w:szCs w:val="24"/>
        </w:rPr>
      </w:pPr>
      <w:r w:rsidRPr="00840CF8">
        <w:rPr>
          <w:rFonts w:ascii="Book Antiqua" w:hAnsi="Book Antiqua" w:cs="Times New Roman"/>
          <w:b/>
          <w:color w:val="000000" w:themeColor="text1"/>
          <w:kern w:val="0"/>
          <w:szCs w:val="24"/>
        </w:rPr>
        <w:t xml:space="preserve">Manuscript type: </w:t>
      </w:r>
      <w:r w:rsidR="000033A4" w:rsidRPr="00840CF8">
        <w:rPr>
          <w:rFonts w:ascii="Book Antiqua" w:hAnsi="Book Antiqua" w:cs="Times New Roman"/>
          <w:b/>
          <w:caps/>
          <w:color w:val="000000" w:themeColor="text1"/>
          <w:kern w:val="0"/>
          <w:szCs w:val="24"/>
        </w:rPr>
        <w:t>Minireviews</w:t>
      </w:r>
    </w:p>
    <w:p w14:paraId="54B1E3A5" w14:textId="77777777" w:rsidR="00D45DB0" w:rsidRPr="00840CF8" w:rsidRDefault="00D45DB0" w:rsidP="00CB7D2C">
      <w:pPr>
        <w:snapToGrid w:val="0"/>
        <w:spacing w:line="360" w:lineRule="auto"/>
        <w:jc w:val="both"/>
        <w:rPr>
          <w:rFonts w:ascii="Book Antiqua" w:hAnsi="Book Antiqua" w:cs="Arial"/>
          <w:b/>
          <w:color w:val="000000" w:themeColor="text1"/>
          <w:szCs w:val="24"/>
        </w:rPr>
      </w:pPr>
    </w:p>
    <w:p w14:paraId="47770A68" w14:textId="77777777" w:rsidR="00D45DB0" w:rsidRPr="00840CF8" w:rsidRDefault="00D45DB0" w:rsidP="00CB7D2C">
      <w:pPr>
        <w:snapToGrid w:val="0"/>
        <w:spacing w:line="360" w:lineRule="auto"/>
        <w:jc w:val="both"/>
        <w:rPr>
          <w:rFonts w:ascii="Book Antiqua" w:hAnsi="Book Antiqua" w:cs="Arial"/>
          <w:b/>
          <w:color w:val="000000" w:themeColor="text1"/>
          <w:szCs w:val="24"/>
        </w:rPr>
      </w:pPr>
      <w:r w:rsidRPr="00840CF8">
        <w:rPr>
          <w:rFonts w:ascii="Book Antiqua" w:hAnsi="Book Antiqua" w:cs="Arial"/>
          <w:b/>
          <w:color w:val="000000" w:themeColor="text1"/>
          <w:szCs w:val="24"/>
        </w:rPr>
        <w:t>Hypofractionated particle beam therapy for hepatocellular carcinoma–a brief review of clinical effectiveness</w:t>
      </w:r>
    </w:p>
    <w:p w14:paraId="3CD70CFA" w14:textId="77777777" w:rsidR="00D45DB0" w:rsidRPr="00840CF8" w:rsidRDefault="00D45DB0" w:rsidP="00CB7D2C">
      <w:pPr>
        <w:pStyle w:val="Default"/>
        <w:snapToGrid w:val="0"/>
        <w:spacing w:line="360" w:lineRule="auto"/>
        <w:rPr>
          <w:rFonts w:ascii="Book Antiqua" w:hAnsi="Book Antiqua"/>
          <w:color w:val="000000" w:themeColor="text1"/>
        </w:rPr>
      </w:pPr>
    </w:p>
    <w:p w14:paraId="21199A74" w14:textId="77777777" w:rsidR="00D45DB0" w:rsidRPr="00840CF8"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840CF8">
        <w:rPr>
          <w:rFonts w:ascii="Book Antiqua" w:hAnsi="Book Antiqua" w:cs="Arial"/>
          <w:bCs/>
          <w:color w:val="000000" w:themeColor="text1"/>
          <w:szCs w:val="24"/>
        </w:rPr>
        <w:t>Hsu CY</w:t>
      </w:r>
      <w:r w:rsidRPr="00840CF8">
        <w:rPr>
          <w:rFonts w:ascii="Book Antiqua" w:hAnsi="Book Antiqua" w:cs="Arial"/>
          <w:bCs/>
          <w:i/>
          <w:color w:val="000000" w:themeColor="text1"/>
          <w:szCs w:val="24"/>
        </w:rPr>
        <w:t xml:space="preserve"> </w:t>
      </w:r>
      <w:r w:rsidR="008E76B0" w:rsidRPr="00840CF8">
        <w:rPr>
          <w:rFonts w:ascii="Book Antiqua" w:hAnsi="Book Antiqua" w:cs="Arial"/>
          <w:bCs/>
          <w:i/>
          <w:iCs/>
          <w:color w:val="000000" w:themeColor="text1"/>
          <w:szCs w:val="24"/>
        </w:rPr>
        <w:t>et al</w:t>
      </w:r>
      <w:r w:rsidRPr="00840CF8">
        <w:rPr>
          <w:rFonts w:ascii="Book Antiqua" w:hAnsi="Book Antiqua" w:cs="Arial"/>
          <w:bCs/>
          <w:color w:val="000000" w:themeColor="text1"/>
          <w:szCs w:val="24"/>
        </w:rPr>
        <w:t xml:space="preserve">. </w:t>
      </w:r>
      <w:r w:rsidRPr="00840CF8">
        <w:rPr>
          <w:rFonts w:ascii="Book Antiqua" w:hAnsi="Book Antiqua" w:cs="Arial"/>
          <w:color w:val="000000" w:themeColor="text1"/>
          <w:szCs w:val="24"/>
        </w:rPr>
        <w:t>Particle beam therapy for hepatocellular carcinoma</w:t>
      </w:r>
    </w:p>
    <w:p w14:paraId="6E47207D" w14:textId="77777777" w:rsidR="00D45DB0" w:rsidRPr="00840CF8" w:rsidRDefault="00D45DB0" w:rsidP="00CB7D2C">
      <w:pPr>
        <w:pStyle w:val="Default"/>
        <w:snapToGrid w:val="0"/>
        <w:spacing w:line="360" w:lineRule="auto"/>
        <w:jc w:val="both"/>
        <w:rPr>
          <w:rFonts w:ascii="Book Antiqua" w:hAnsi="Book Antiqua" w:cs="Arial"/>
          <w:bCs/>
          <w:color w:val="000000" w:themeColor="text1"/>
        </w:rPr>
      </w:pPr>
    </w:p>
    <w:p w14:paraId="39B65F23" w14:textId="77777777" w:rsidR="00D45DB0" w:rsidRPr="00840CF8" w:rsidRDefault="00D45DB0" w:rsidP="00CB7D2C">
      <w:pPr>
        <w:pStyle w:val="Default"/>
        <w:snapToGrid w:val="0"/>
        <w:spacing w:line="360" w:lineRule="auto"/>
        <w:jc w:val="both"/>
        <w:rPr>
          <w:rStyle w:val="A50"/>
          <w:rFonts w:ascii="Book Antiqua" w:hAnsi="Book Antiqua" w:cs="Arial"/>
          <w:color w:val="000000" w:themeColor="text1"/>
          <w:sz w:val="24"/>
          <w:szCs w:val="24"/>
        </w:rPr>
      </w:pPr>
      <w:r w:rsidRPr="00840CF8">
        <w:rPr>
          <w:rFonts w:ascii="Book Antiqua" w:hAnsi="Book Antiqua" w:cs="Arial"/>
          <w:color w:val="000000" w:themeColor="text1"/>
        </w:rPr>
        <w:t>Che-Yu Hsu, Chun-Wei Wang, Ann-Lii Cheng, Sung-Hsin Kuo</w:t>
      </w:r>
      <w:r w:rsidRPr="00840CF8">
        <w:rPr>
          <w:rStyle w:val="A50"/>
          <w:rFonts w:ascii="Book Antiqua" w:hAnsi="Book Antiqua" w:cs="Arial"/>
          <w:color w:val="000000" w:themeColor="text1"/>
          <w:sz w:val="24"/>
          <w:szCs w:val="24"/>
        </w:rPr>
        <w:t xml:space="preserve"> </w:t>
      </w:r>
    </w:p>
    <w:p w14:paraId="246C81C8" w14:textId="77777777" w:rsidR="00D45DB0" w:rsidRPr="00840CF8" w:rsidRDefault="00D45DB0" w:rsidP="00CB7D2C">
      <w:pPr>
        <w:pStyle w:val="Default"/>
        <w:snapToGrid w:val="0"/>
        <w:spacing w:line="360" w:lineRule="auto"/>
        <w:jc w:val="both"/>
        <w:rPr>
          <w:rFonts w:ascii="Book Antiqua" w:hAnsi="Book Antiqua" w:cs="Arial"/>
          <w:color w:val="000000" w:themeColor="text1"/>
        </w:rPr>
      </w:pPr>
    </w:p>
    <w:p w14:paraId="71BB94BE" w14:textId="77777777" w:rsidR="00D45DB0" w:rsidRPr="00840CF8" w:rsidRDefault="00D45DB0" w:rsidP="00CB7D2C">
      <w:pPr>
        <w:pStyle w:val="Pa6"/>
        <w:snapToGrid w:val="0"/>
        <w:spacing w:line="360" w:lineRule="auto"/>
        <w:jc w:val="both"/>
        <w:rPr>
          <w:rFonts w:ascii="Book Antiqua" w:hAnsi="Book Antiqua" w:cs="Arial"/>
          <w:color w:val="000000" w:themeColor="text1"/>
        </w:rPr>
      </w:pPr>
      <w:r w:rsidRPr="00840CF8">
        <w:rPr>
          <w:rFonts w:ascii="Book Antiqua" w:hAnsi="Book Antiqua" w:cs="Arial"/>
          <w:b/>
          <w:bCs/>
          <w:color w:val="000000" w:themeColor="text1"/>
        </w:rPr>
        <w:t>Che-Yu Hsu, Chun-Wei Wang, and Sung-Hsin Kuo</w:t>
      </w:r>
      <w:r w:rsidRPr="00840CF8">
        <w:rPr>
          <w:rStyle w:val="A60"/>
          <w:rFonts w:ascii="Book Antiqua" w:hAnsi="Book Antiqua" w:cs="Arial"/>
          <w:color w:val="000000" w:themeColor="text1"/>
          <w:sz w:val="24"/>
          <w:szCs w:val="24"/>
        </w:rPr>
        <w:t>,</w:t>
      </w:r>
      <w:r w:rsidRPr="00840CF8" w:rsidDel="00041378">
        <w:rPr>
          <w:rStyle w:val="A60"/>
          <w:rFonts w:ascii="Book Antiqua" w:hAnsi="Book Antiqua" w:cs="Arial"/>
          <w:color w:val="000000" w:themeColor="text1"/>
          <w:sz w:val="24"/>
          <w:szCs w:val="24"/>
          <w:vertAlign w:val="superscript"/>
        </w:rPr>
        <w:t xml:space="preserve"> </w:t>
      </w:r>
      <w:r w:rsidRPr="00840CF8">
        <w:rPr>
          <w:rFonts w:ascii="Book Antiqua" w:hAnsi="Book Antiqua" w:cs="Arial"/>
          <w:color w:val="000000" w:themeColor="text1"/>
        </w:rPr>
        <w:t>Division of Radiation Oncology, Department of Oncology, National Taiwan University Hospital and National Taiwan University College of Medicine, Taipei</w:t>
      </w:r>
      <w:r w:rsidR="00916B67" w:rsidRPr="00840CF8">
        <w:rPr>
          <w:rFonts w:ascii="Book Antiqua" w:hAnsi="Book Antiqua" w:cs="Arial"/>
          <w:color w:val="000000" w:themeColor="text1"/>
        </w:rPr>
        <w:t xml:space="preserve"> 100</w:t>
      </w:r>
      <w:r w:rsidRPr="00840CF8">
        <w:rPr>
          <w:rFonts w:ascii="Book Antiqua" w:hAnsi="Book Antiqua" w:cs="Arial"/>
          <w:color w:val="000000" w:themeColor="text1"/>
        </w:rPr>
        <w:t>, Taiwan</w:t>
      </w:r>
    </w:p>
    <w:p w14:paraId="44463AFA" w14:textId="77777777" w:rsidR="0046119C" w:rsidRPr="00840CF8" w:rsidRDefault="0046119C" w:rsidP="00CB7D2C">
      <w:pPr>
        <w:pStyle w:val="Default"/>
        <w:snapToGrid w:val="0"/>
        <w:spacing w:line="360" w:lineRule="auto"/>
        <w:rPr>
          <w:color w:val="000000" w:themeColor="text1"/>
        </w:rPr>
      </w:pPr>
    </w:p>
    <w:p w14:paraId="55516FB2" w14:textId="77777777" w:rsidR="00D45DB0" w:rsidRPr="00840CF8" w:rsidRDefault="00D45DB0" w:rsidP="00CB7D2C">
      <w:pPr>
        <w:pStyle w:val="Pa6"/>
        <w:snapToGrid w:val="0"/>
        <w:spacing w:line="360" w:lineRule="auto"/>
        <w:jc w:val="both"/>
        <w:rPr>
          <w:rFonts w:ascii="Book Antiqua" w:hAnsi="Book Antiqua" w:cs="Arial"/>
          <w:color w:val="000000" w:themeColor="text1"/>
        </w:rPr>
      </w:pPr>
      <w:r w:rsidRPr="00840CF8">
        <w:rPr>
          <w:rFonts w:ascii="Book Antiqua" w:hAnsi="Book Antiqua" w:cs="Arial"/>
          <w:b/>
          <w:bCs/>
          <w:color w:val="000000" w:themeColor="text1"/>
        </w:rPr>
        <w:t>Che-Yu Hsu, Chun-Wei Wang, Ann-Lii Cheng, and Sung-Hsin Kuo,</w:t>
      </w:r>
      <w:r w:rsidRPr="00840CF8" w:rsidDel="00041378">
        <w:rPr>
          <w:rStyle w:val="A60"/>
          <w:rFonts w:ascii="Book Antiqua" w:hAnsi="Book Antiqua" w:cs="Arial"/>
          <w:b w:val="0"/>
          <w:color w:val="000000" w:themeColor="text1"/>
          <w:sz w:val="24"/>
          <w:szCs w:val="24"/>
          <w:vertAlign w:val="superscript"/>
        </w:rPr>
        <w:t xml:space="preserve"> </w:t>
      </w:r>
      <w:r w:rsidRPr="00840CF8">
        <w:rPr>
          <w:rFonts w:ascii="Book Antiqua" w:hAnsi="Book Antiqua" w:cs="Arial"/>
          <w:color w:val="000000" w:themeColor="text1"/>
        </w:rPr>
        <w:t>National Taiwan University Cancer Center, National Taiwan University College of Medicine, Taipei</w:t>
      </w:r>
      <w:r w:rsidR="00586A01" w:rsidRPr="00840CF8">
        <w:rPr>
          <w:rFonts w:ascii="Book Antiqua" w:hAnsi="Book Antiqua" w:cs="Arial"/>
          <w:color w:val="000000" w:themeColor="text1"/>
        </w:rPr>
        <w:t xml:space="preserve"> 100</w:t>
      </w:r>
      <w:r w:rsidRPr="00840CF8">
        <w:rPr>
          <w:rFonts w:ascii="Book Antiqua" w:hAnsi="Book Antiqua" w:cs="Arial"/>
          <w:color w:val="000000" w:themeColor="text1"/>
        </w:rPr>
        <w:t>, Taiwan</w:t>
      </w:r>
    </w:p>
    <w:p w14:paraId="3036E891" w14:textId="77777777" w:rsidR="0046119C" w:rsidRPr="00840CF8" w:rsidRDefault="0046119C" w:rsidP="00CB7D2C">
      <w:pPr>
        <w:pStyle w:val="Default"/>
        <w:snapToGrid w:val="0"/>
        <w:spacing w:line="360" w:lineRule="auto"/>
        <w:rPr>
          <w:color w:val="000000" w:themeColor="text1"/>
        </w:rPr>
      </w:pPr>
    </w:p>
    <w:p w14:paraId="4584C18A" w14:textId="77777777" w:rsidR="00D45DB0" w:rsidRPr="00840CF8" w:rsidRDefault="00D45DB0" w:rsidP="00CB7D2C">
      <w:pPr>
        <w:pStyle w:val="Pa6"/>
        <w:snapToGrid w:val="0"/>
        <w:spacing w:line="360" w:lineRule="auto"/>
        <w:jc w:val="both"/>
        <w:rPr>
          <w:rFonts w:ascii="Book Antiqua" w:hAnsi="Book Antiqua" w:cs="Arial"/>
          <w:color w:val="000000" w:themeColor="text1"/>
        </w:rPr>
      </w:pPr>
      <w:r w:rsidRPr="00840CF8">
        <w:rPr>
          <w:rFonts w:ascii="Book Antiqua" w:hAnsi="Book Antiqua" w:cs="Arial"/>
          <w:b/>
          <w:bCs/>
          <w:color w:val="000000" w:themeColor="text1"/>
        </w:rPr>
        <w:t>Che-Yu Hsu, Chun-Wei Wang, and Sung-Hsin Kuo,</w:t>
      </w:r>
      <w:r w:rsidRPr="00840CF8" w:rsidDel="00041378">
        <w:rPr>
          <w:rStyle w:val="A60"/>
          <w:rFonts w:ascii="Book Antiqua" w:hAnsi="Book Antiqua" w:cs="Arial"/>
          <w:b w:val="0"/>
          <w:color w:val="000000" w:themeColor="text1"/>
          <w:sz w:val="24"/>
          <w:szCs w:val="24"/>
          <w:vertAlign w:val="superscript"/>
        </w:rPr>
        <w:t xml:space="preserve"> </w:t>
      </w:r>
      <w:r w:rsidRPr="00840CF8">
        <w:rPr>
          <w:rFonts w:ascii="Book Antiqua" w:hAnsi="Book Antiqua" w:cs="Arial"/>
          <w:color w:val="000000" w:themeColor="text1"/>
        </w:rPr>
        <w:t>Cancer Research Center, National Taiwan University College of Medicine, Taipei</w:t>
      </w:r>
      <w:r w:rsidR="00586A01" w:rsidRPr="00840CF8">
        <w:rPr>
          <w:rFonts w:ascii="Book Antiqua" w:hAnsi="Book Antiqua" w:cs="Arial"/>
          <w:color w:val="000000" w:themeColor="text1"/>
        </w:rPr>
        <w:t xml:space="preserve"> 100</w:t>
      </w:r>
      <w:r w:rsidRPr="00840CF8">
        <w:rPr>
          <w:rFonts w:ascii="Book Antiqua" w:hAnsi="Book Antiqua" w:cs="Arial"/>
          <w:color w:val="000000" w:themeColor="text1"/>
        </w:rPr>
        <w:t xml:space="preserve">, Taiwan </w:t>
      </w:r>
    </w:p>
    <w:p w14:paraId="1101B42F" w14:textId="77777777" w:rsidR="00586A01" w:rsidRPr="00840CF8" w:rsidRDefault="00586A01" w:rsidP="00CB7D2C">
      <w:pPr>
        <w:pStyle w:val="Default"/>
        <w:snapToGrid w:val="0"/>
        <w:spacing w:line="360" w:lineRule="auto"/>
        <w:rPr>
          <w:color w:val="000000" w:themeColor="text1"/>
        </w:rPr>
      </w:pPr>
    </w:p>
    <w:p w14:paraId="096A3BE1" w14:textId="77777777" w:rsidR="00D45DB0" w:rsidRPr="00840CF8" w:rsidRDefault="00D45DB0" w:rsidP="00CB7D2C">
      <w:pPr>
        <w:pStyle w:val="Pa6"/>
        <w:snapToGrid w:val="0"/>
        <w:spacing w:line="360" w:lineRule="auto"/>
        <w:jc w:val="both"/>
        <w:rPr>
          <w:rFonts w:ascii="Book Antiqua" w:hAnsi="Book Antiqua" w:cs="Arial"/>
          <w:color w:val="000000" w:themeColor="text1"/>
        </w:rPr>
      </w:pPr>
      <w:r w:rsidRPr="00840CF8">
        <w:rPr>
          <w:rFonts w:ascii="Book Antiqua" w:hAnsi="Book Antiqua" w:cs="Arial"/>
          <w:b/>
          <w:bCs/>
          <w:color w:val="000000" w:themeColor="text1"/>
        </w:rPr>
        <w:t xml:space="preserve">Ann-Lii Cheng, </w:t>
      </w:r>
      <w:r w:rsidRPr="00840CF8">
        <w:rPr>
          <w:rFonts w:ascii="Book Antiqua" w:hAnsi="Book Antiqua" w:cs="Arial"/>
          <w:color w:val="000000" w:themeColor="text1"/>
        </w:rPr>
        <w:t xml:space="preserve">Department of </w:t>
      </w:r>
      <w:r w:rsidR="000205E2" w:rsidRPr="00840CF8">
        <w:rPr>
          <w:rFonts w:ascii="Book Antiqua" w:hAnsi="Book Antiqua" w:cs="Arial" w:hint="eastAsia"/>
          <w:color w:val="000000" w:themeColor="text1"/>
        </w:rPr>
        <w:t>Internal Medicine</w:t>
      </w:r>
      <w:r w:rsidR="001B1EEC" w:rsidRPr="00840CF8">
        <w:rPr>
          <w:rFonts w:ascii="Book Antiqua" w:hAnsi="Book Antiqua" w:cs="Arial" w:hint="eastAsia"/>
          <w:color w:val="000000" w:themeColor="text1"/>
        </w:rPr>
        <w:t xml:space="preserve"> and Department of Oncology</w:t>
      </w:r>
      <w:r w:rsidRPr="00840CF8">
        <w:rPr>
          <w:rFonts w:ascii="Book Antiqua" w:hAnsi="Book Antiqua" w:cs="Arial"/>
          <w:color w:val="000000" w:themeColor="text1"/>
        </w:rPr>
        <w:t>, National Taiwan University Hospital, Taipei</w:t>
      </w:r>
      <w:r w:rsidR="00586A01" w:rsidRPr="00840CF8">
        <w:rPr>
          <w:rFonts w:ascii="Book Antiqua" w:hAnsi="Book Antiqua" w:cs="Arial"/>
          <w:color w:val="000000" w:themeColor="text1"/>
        </w:rPr>
        <w:t xml:space="preserve"> 100</w:t>
      </w:r>
      <w:r w:rsidRPr="00840CF8">
        <w:rPr>
          <w:rFonts w:ascii="Book Antiqua" w:hAnsi="Book Antiqua" w:cs="Arial"/>
          <w:color w:val="000000" w:themeColor="text1"/>
        </w:rPr>
        <w:t>, Taiwan</w:t>
      </w:r>
    </w:p>
    <w:p w14:paraId="4B87E12F" w14:textId="77777777" w:rsidR="00586A01" w:rsidRPr="00840CF8" w:rsidRDefault="00586A01" w:rsidP="00CB7D2C">
      <w:pPr>
        <w:pStyle w:val="Default"/>
        <w:snapToGrid w:val="0"/>
        <w:spacing w:line="360" w:lineRule="auto"/>
        <w:rPr>
          <w:color w:val="000000" w:themeColor="text1"/>
        </w:rPr>
      </w:pPr>
    </w:p>
    <w:p w14:paraId="36D695A0" w14:textId="77777777" w:rsidR="00D45DB0" w:rsidRPr="00840CF8" w:rsidRDefault="00D45DB0" w:rsidP="00CB7D2C">
      <w:pPr>
        <w:snapToGrid w:val="0"/>
        <w:spacing w:line="360" w:lineRule="auto"/>
        <w:jc w:val="both"/>
        <w:rPr>
          <w:rFonts w:ascii="Book Antiqua" w:hAnsi="Book Antiqua" w:cs="Arial"/>
          <w:color w:val="000000" w:themeColor="text1"/>
          <w:szCs w:val="24"/>
        </w:rPr>
      </w:pPr>
      <w:r w:rsidRPr="00840CF8">
        <w:rPr>
          <w:rFonts w:ascii="Book Antiqua" w:hAnsi="Book Antiqua" w:cs="Arial"/>
          <w:b/>
          <w:bCs/>
          <w:color w:val="000000" w:themeColor="text1"/>
          <w:szCs w:val="24"/>
        </w:rPr>
        <w:t>Sung-Hsin Kuo,</w:t>
      </w:r>
      <w:r w:rsidRPr="00840CF8" w:rsidDel="00041378">
        <w:rPr>
          <w:rStyle w:val="A60"/>
          <w:rFonts w:ascii="Book Antiqua" w:hAnsi="Book Antiqua" w:cs="Arial"/>
          <w:b w:val="0"/>
          <w:color w:val="000000" w:themeColor="text1"/>
          <w:sz w:val="24"/>
          <w:szCs w:val="24"/>
          <w:vertAlign w:val="superscript"/>
        </w:rPr>
        <w:t xml:space="preserve"> </w:t>
      </w:r>
      <w:r w:rsidRPr="00840CF8">
        <w:rPr>
          <w:rFonts w:ascii="Book Antiqua" w:hAnsi="Book Antiqua" w:cs="Arial"/>
          <w:color w:val="000000" w:themeColor="text1"/>
          <w:szCs w:val="24"/>
        </w:rPr>
        <w:t>Graduate Institute of Oncology, National Taiwan University College of Medicine, Taipei</w:t>
      </w:r>
      <w:r w:rsidR="00586A01" w:rsidRPr="00840CF8">
        <w:rPr>
          <w:rFonts w:ascii="Book Antiqua" w:hAnsi="Book Antiqua" w:cs="Arial"/>
          <w:color w:val="000000" w:themeColor="text1"/>
          <w:szCs w:val="24"/>
        </w:rPr>
        <w:t xml:space="preserve"> 100</w:t>
      </w:r>
      <w:r w:rsidRPr="00840CF8">
        <w:rPr>
          <w:rFonts w:ascii="Book Antiqua" w:hAnsi="Book Antiqua" w:cs="Arial"/>
          <w:color w:val="000000" w:themeColor="text1"/>
          <w:szCs w:val="24"/>
        </w:rPr>
        <w:t>, Taiwan</w:t>
      </w:r>
    </w:p>
    <w:p w14:paraId="6136F4E3" w14:textId="77777777" w:rsidR="00586A01" w:rsidRPr="00840CF8" w:rsidRDefault="00586A01" w:rsidP="00CB7D2C">
      <w:pPr>
        <w:snapToGrid w:val="0"/>
        <w:spacing w:line="360" w:lineRule="auto"/>
        <w:jc w:val="both"/>
        <w:rPr>
          <w:rFonts w:ascii="Book Antiqua" w:hAnsi="Book Antiqua" w:cs="Arial"/>
          <w:color w:val="000000" w:themeColor="text1"/>
          <w:szCs w:val="24"/>
        </w:rPr>
      </w:pPr>
    </w:p>
    <w:p w14:paraId="145D9989" w14:textId="77777777" w:rsidR="00D45DB0" w:rsidRPr="00840CF8" w:rsidRDefault="00D45DB0" w:rsidP="00CB7D2C">
      <w:pPr>
        <w:snapToGrid w:val="0"/>
        <w:spacing w:line="360" w:lineRule="auto"/>
        <w:jc w:val="both"/>
        <w:rPr>
          <w:rFonts w:ascii="Book Antiqua" w:hAnsi="Book Antiqua" w:cs="Arial"/>
          <w:color w:val="000000" w:themeColor="text1"/>
          <w:szCs w:val="24"/>
        </w:rPr>
      </w:pPr>
      <w:r w:rsidRPr="00840CF8">
        <w:rPr>
          <w:rFonts w:ascii="Book Antiqua" w:hAnsi="Book Antiqua" w:cs="Arial"/>
          <w:b/>
          <w:color w:val="000000" w:themeColor="text1"/>
          <w:szCs w:val="24"/>
        </w:rPr>
        <w:t>ORCID number:</w:t>
      </w:r>
      <w:r w:rsidR="00586A01" w:rsidRPr="00840CF8">
        <w:rPr>
          <w:rFonts w:ascii="Book Antiqua" w:hAnsi="Book Antiqua" w:cs="Arial"/>
          <w:b/>
          <w:color w:val="000000" w:themeColor="text1"/>
          <w:szCs w:val="24"/>
        </w:rPr>
        <w:t xml:space="preserve"> </w:t>
      </w:r>
      <w:r w:rsidRPr="00840CF8">
        <w:rPr>
          <w:rFonts w:ascii="Book Antiqua" w:hAnsi="Book Antiqua" w:cs="Arial"/>
          <w:bCs/>
          <w:color w:val="000000" w:themeColor="text1"/>
          <w:szCs w:val="24"/>
        </w:rPr>
        <w:t>Che-Yu Hsu</w:t>
      </w:r>
      <w:r w:rsidRPr="00840CF8">
        <w:rPr>
          <w:rFonts w:ascii="Book Antiqua" w:hAnsi="Book Antiqua" w:cs="Arial"/>
          <w:color w:val="000000" w:themeColor="text1"/>
          <w:szCs w:val="24"/>
        </w:rPr>
        <w:t xml:space="preserve"> (0000-0002-1657-379X); </w:t>
      </w:r>
      <w:r w:rsidRPr="00840CF8">
        <w:rPr>
          <w:rFonts w:ascii="Book Antiqua" w:hAnsi="Book Antiqua" w:cs="Arial"/>
          <w:bCs/>
          <w:color w:val="000000" w:themeColor="text1"/>
          <w:szCs w:val="24"/>
        </w:rPr>
        <w:t>Chun-Wei Wang</w:t>
      </w:r>
      <w:r w:rsidRPr="00840CF8">
        <w:rPr>
          <w:rFonts w:ascii="Book Antiqua" w:hAnsi="Book Antiqua" w:cs="Arial"/>
          <w:color w:val="000000" w:themeColor="text1"/>
          <w:szCs w:val="24"/>
        </w:rPr>
        <w:t xml:space="preserve"> (0000-0002-2758-6027); </w:t>
      </w:r>
      <w:r w:rsidR="00BA550C" w:rsidRPr="00840CF8">
        <w:rPr>
          <w:rFonts w:ascii="Book Antiqua" w:hAnsi="Book Antiqua" w:cs="Arial"/>
          <w:color w:val="000000" w:themeColor="text1"/>
          <w:szCs w:val="24"/>
        </w:rPr>
        <w:t>Ann-Lii Cheng</w:t>
      </w:r>
      <w:r w:rsidR="005D708E" w:rsidRPr="00840CF8">
        <w:rPr>
          <w:rFonts w:ascii="Book Antiqua" w:hAnsi="Book Antiqua" w:cs="Arial"/>
          <w:color w:val="000000" w:themeColor="text1"/>
          <w:szCs w:val="24"/>
        </w:rPr>
        <w:t xml:space="preserve"> (0000-0002-9152-6512)</w:t>
      </w:r>
      <w:r w:rsidR="00BA550C"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Sung-Hsin Kuo (0000-0003-0054-887X).</w:t>
      </w:r>
    </w:p>
    <w:p w14:paraId="65D7D3EA" w14:textId="77777777" w:rsidR="00D45DB0" w:rsidRPr="00840CF8" w:rsidRDefault="00D45DB0" w:rsidP="00CB7D2C">
      <w:pPr>
        <w:snapToGrid w:val="0"/>
        <w:spacing w:line="360" w:lineRule="auto"/>
        <w:jc w:val="both"/>
        <w:rPr>
          <w:rFonts w:ascii="Book Antiqua" w:hAnsi="Book Antiqua" w:cs="Arial"/>
          <w:b/>
          <w:color w:val="000000" w:themeColor="text1"/>
          <w:szCs w:val="24"/>
        </w:rPr>
      </w:pPr>
    </w:p>
    <w:p w14:paraId="23E9AC39" w14:textId="77777777" w:rsidR="00D45DB0" w:rsidRPr="00840CF8" w:rsidRDefault="00D45DB0" w:rsidP="00CB7D2C">
      <w:pPr>
        <w:autoSpaceDE w:val="0"/>
        <w:autoSpaceDN w:val="0"/>
        <w:adjustRightInd w:val="0"/>
        <w:snapToGrid w:val="0"/>
        <w:spacing w:line="360" w:lineRule="auto"/>
        <w:jc w:val="both"/>
        <w:rPr>
          <w:rFonts w:ascii="Book Antiqua" w:hAnsi="Book Antiqua" w:cs="Arial"/>
          <w:b/>
          <w:bCs/>
          <w:color w:val="000000" w:themeColor="text1"/>
          <w:szCs w:val="24"/>
        </w:rPr>
      </w:pPr>
      <w:r w:rsidRPr="00840CF8">
        <w:rPr>
          <w:rFonts w:ascii="Book Antiqua" w:hAnsi="Book Antiqua" w:cs="Arial"/>
          <w:b/>
          <w:color w:val="000000" w:themeColor="text1"/>
          <w:szCs w:val="24"/>
        </w:rPr>
        <w:t xml:space="preserve">Author contributions: </w:t>
      </w:r>
      <w:r w:rsidRPr="00840CF8">
        <w:rPr>
          <w:rFonts w:ascii="Book Antiqua" w:hAnsi="Book Antiqua" w:cs="Arial"/>
          <w:color w:val="000000" w:themeColor="text1"/>
          <w:szCs w:val="24"/>
        </w:rPr>
        <w:t>Hsu CT generated the tables and figures and wrote the manuscript; Wang CW and Cheng AL contributed to the writing of the manuscript; Kuo SH designed</w:t>
      </w:r>
      <w:r w:rsidR="0067381D" w:rsidRPr="00840CF8">
        <w:rPr>
          <w:rFonts w:ascii="Book Antiqua" w:hAnsi="Book Antiqua" w:cs="Arial"/>
          <w:color w:val="000000" w:themeColor="text1"/>
          <w:szCs w:val="24"/>
          <w:lang w:eastAsia="zh-CN"/>
        </w:rPr>
        <w:t xml:space="preserve">, </w:t>
      </w:r>
      <w:r w:rsidRPr="00840CF8">
        <w:rPr>
          <w:rFonts w:ascii="Book Antiqua" w:hAnsi="Book Antiqua" w:cs="Arial"/>
          <w:color w:val="000000" w:themeColor="text1"/>
          <w:szCs w:val="24"/>
        </w:rPr>
        <w:t xml:space="preserve">wrote the </w:t>
      </w:r>
      <w:r w:rsidR="0067381D" w:rsidRPr="00840CF8">
        <w:rPr>
          <w:rFonts w:ascii="Book Antiqua" w:hAnsi="Book Antiqua" w:cs="Arial"/>
          <w:color w:val="000000" w:themeColor="text1"/>
          <w:szCs w:val="24"/>
        </w:rPr>
        <w:t>manuscript and</w:t>
      </w:r>
      <w:r w:rsidRPr="00840CF8">
        <w:rPr>
          <w:rFonts w:ascii="Book Antiqua" w:hAnsi="Book Antiqua" w:cs="Arial"/>
          <w:color w:val="000000" w:themeColor="text1"/>
          <w:szCs w:val="24"/>
        </w:rPr>
        <w:t xml:space="preserve"> </w:t>
      </w:r>
      <w:r w:rsidRPr="00840CF8">
        <w:rPr>
          <w:rFonts w:ascii="Book Antiqua" w:hAnsi="Book Antiqua" w:cs="Arial"/>
          <w:bCs/>
          <w:color w:val="000000" w:themeColor="text1"/>
          <w:szCs w:val="24"/>
        </w:rPr>
        <w:t>contributed to critical revision for important intellectual content and final approval of the version to be published.</w:t>
      </w:r>
    </w:p>
    <w:p w14:paraId="5680D5FB" w14:textId="77777777" w:rsidR="00D45DB0" w:rsidRPr="00840CF8" w:rsidRDefault="00D45DB0" w:rsidP="00CB7D2C">
      <w:pPr>
        <w:autoSpaceDE w:val="0"/>
        <w:autoSpaceDN w:val="0"/>
        <w:adjustRightInd w:val="0"/>
        <w:snapToGrid w:val="0"/>
        <w:spacing w:line="360" w:lineRule="auto"/>
        <w:jc w:val="both"/>
        <w:rPr>
          <w:rFonts w:ascii="Book Antiqua" w:hAnsi="Book Antiqua" w:cs="Arial"/>
          <w:b/>
          <w:color w:val="000000" w:themeColor="text1"/>
          <w:szCs w:val="24"/>
        </w:rPr>
      </w:pPr>
    </w:p>
    <w:p w14:paraId="279DDEC5" w14:textId="77777777" w:rsidR="00480D4C" w:rsidRPr="00840CF8" w:rsidRDefault="00480D4C" w:rsidP="00CB7D2C">
      <w:pPr>
        <w:pStyle w:val="HTML"/>
        <w:snapToGrid w:val="0"/>
        <w:spacing w:line="360" w:lineRule="auto"/>
        <w:jc w:val="both"/>
        <w:rPr>
          <w:rFonts w:ascii="Book Antiqua" w:hAnsi="Book Antiqua" w:cs="Arial"/>
          <w:color w:val="000000" w:themeColor="text1"/>
        </w:rPr>
      </w:pPr>
      <w:r w:rsidRPr="00840CF8">
        <w:rPr>
          <w:rFonts w:ascii="Book Antiqua" w:hAnsi="Book Antiqua"/>
          <w:b/>
          <w:bCs/>
          <w:caps/>
          <w:color w:val="000000" w:themeColor="text1"/>
        </w:rPr>
        <w:t>s</w:t>
      </w:r>
      <w:r w:rsidRPr="00840CF8">
        <w:rPr>
          <w:rFonts w:ascii="Book Antiqua" w:hAnsi="Book Antiqua"/>
          <w:b/>
          <w:bCs/>
          <w:color w:val="000000" w:themeColor="text1"/>
        </w:rPr>
        <w:t>upported by</w:t>
      </w:r>
      <w:r w:rsidRPr="00840CF8">
        <w:rPr>
          <w:rFonts w:ascii="Book Antiqua" w:hAnsi="Book Antiqua"/>
          <w:color w:val="000000" w:themeColor="text1"/>
        </w:rPr>
        <w:t xml:space="preserve"> </w:t>
      </w:r>
      <w:r w:rsidRPr="00840CF8">
        <w:rPr>
          <w:rFonts w:ascii="Book Antiqua" w:hAnsi="Book Antiqua" w:cs="Arial"/>
          <w:color w:val="000000" w:themeColor="text1"/>
        </w:rPr>
        <w:t xml:space="preserve">the </w:t>
      </w:r>
      <w:r w:rsidRPr="00840CF8">
        <w:rPr>
          <w:rFonts w:ascii="Book Antiqua" w:hAnsi="Book Antiqua"/>
          <w:iCs/>
          <w:color w:val="000000" w:themeColor="text1"/>
        </w:rPr>
        <w:t>Ministry of Science and Technology</w:t>
      </w:r>
      <w:r w:rsidRPr="00840CF8">
        <w:rPr>
          <w:rFonts w:ascii="Book Antiqua" w:hAnsi="Book Antiqua" w:cs="Arial"/>
          <w:color w:val="000000" w:themeColor="text1"/>
        </w:rPr>
        <w:t xml:space="preserve">, Taiwan, No. </w:t>
      </w:r>
      <w:r w:rsidRPr="00840CF8">
        <w:rPr>
          <w:rFonts w:ascii="Book Antiqua" w:hAnsi="Book Antiqua"/>
          <w:color w:val="000000" w:themeColor="text1"/>
        </w:rPr>
        <w:t xml:space="preserve">MOST </w:t>
      </w:r>
      <w:r w:rsidRPr="00840CF8">
        <w:rPr>
          <w:rFonts w:ascii="Book Antiqua" w:hAnsi="Book Antiqua" w:cs="Arial"/>
          <w:color w:val="000000" w:themeColor="text1"/>
        </w:rPr>
        <w:t xml:space="preserve">107-2314-B-002-217-MY3; </w:t>
      </w:r>
      <w:r w:rsidR="002A4BFC" w:rsidRPr="00840CF8">
        <w:rPr>
          <w:rFonts w:ascii="Book Antiqua" w:hAnsi="Book Antiqua" w:cs="Arial"/>
          <w:color w:val="000000" w:themeColor="text1"/>
        </w:rPr>
        <w:t xml:space="preserve">and </w:t>
      </w:r>
      <w:r w:rsidRPr="00840CF8">
        <w:rPr>
          <w:rFonts w:ascii="Book Antiqua" w:hAnsi="Book Antiqua" w:cs="Arial"/>
          <w:color w:val="000000" w:themeColor="text1"/>
        </w:rPr>
        <w:t>National Taiwan University Hospital, Taiwan, No. NTUH 108-S4143.</w:t>
      </w:r>
    </w:p>
    <w:p w14:paraId="6E77E436" w14:textId="77777777" w:rsidR="00480D4C" w:rsidRPr="00840CF8" w:rsidRDefault="00480D4C" w:rsidP="00CB7D2C">
      <w:pPr>
        <w:autoSpaceDE w:val="0"/>
        <w:autoSpaceDN w:val="0"/>
        <w:adjustRightInd w:val="0"/>
        <w:snapToGrid w:val="0"/>
        <w:spacing w:line="360" w:lineRule="auto"/>
        <w:jc w:val="both"/>
        <w:rPr>
          <w:rFonts w:ascii="Book Antiqua" w:hAnsi="Book Antiqua" w:cs="Arial"/>
          <w:b/>
          <w:color w:val="000000" w:themeColor="text1"/>
          <w:szCs w:val="24"/>
        </w:rPr>
      </w:pPr>
    </w:p>
    <w:p w14:paraId="087AD1C0" w14:textId="77777777" w:rsidR="00D45DB0" w:rsidRPr="00840CF8"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840CF8">
        <w:rPr>
          <w:rFonts w:ascii="Book Antiqua" w:hAnsi="Book Antiqua" w:cs="Arial"/>
          <w:b/>
          <w:color w:val="000000" w:themeColor="text1"/>
          <w:szCs w:val="24"/>
        </w:rPr>
        <w:t>Conflict-of-interest statement:</w:t>
      </w:r>
      <w:r w:rsidRPr="00840CF8">
        <w:rPr>
          <w:rFonts w:ascii="Book Antiqua" w:hAnsi="Book Antiqua" w:cs="Arial"/>
          <w:b/>
          <w:bCs/>
          <w:color w:val="000000" w:themeColor="text1"/>
          <w:szCs w:val="24"/>
        </w:rPr>
        <w:t xml:space="preserve"> </w:t>
      </w:r>
      <w:r w:rsidRPr="00840CF8">
        <w:rPr>
          <w:rFonts w:ascii="Book Antiqua" w:hAnsi="Book Antiqua" w:cs="Arial"/>
          <w:bCs/>
          <w:caps/>
          <w:color w:val="000000" w:themeColor="text1"/>
          <w:szCs w:val="24"/>
        </w:rPr>
        <w:t>a</w:t>
      </w:r>
      <w:r w:rsidRPr="00840CF8">
        <w:rPr>
          <w:rFonts w:ascii="Book Antiqua" w:hAnsi="Book Antiqua" w:cs="Arial"/>
          <w:bCs/>
          <w:color w:val="000000" w:themeColor="text1"/>
          <w:szCs w:val="24"/>
        </w:rPr>
        <w:t xml:space="preserve">ll authors </w:t>
      </w:r>
      <w:r w:rsidRPr="00840CF8">
        <w:rPr>
          <w:rFonts w:ascii="Book Antiqua" w:hAnsi="Book Antiqua" w:cs="Arial"/>
          <w:color w:val="000000" w:themeColor="text1"/>
          <w:szCs w:val="24"/>
        </w:rPr>
        <w:t>declared no conflict of interest</w:t>
      </w:r>
      <w:r w:rsidR="001172E8" w:rsidRPr="00840CF8">
        <w:rPr>
          <w:rFonts w:ascii="Book Antiqua" w:hAnsi="Book Antiqua" w:cs="Arial"/>
          <w:bCs/>
          <w:color w:val="000000" w:themeColor="text1"/>
          <w:szCs w:val="24"/>
        </w:rPr>
        <w:t>.</w:t>
      </w:r>
    </w:p>
    <w:p w14:paraId="6ACD560A" w14:textId="77777777" w:rsidR="00D45DB0" w:rsidRPr="00840CF8" w:rsidRDefault="00D45DB0" w:rsidP="00CB7D2C">
      <w:pPr>
        <w:autoSpaceDE w:val="0"/>
        <w:autoSpaceDN w:val="0"/>
        <w:adjustRightInd w:val="0"/>
        <w:snapToGrid w:val="0"/>
        <w:spacing w:line="360" w:lineRule="auto"/>
        <w:jc w:val="both"/>
        <w:rPr>
          <w:rFonts w:ascii="Book Antiqua" w:hAnsi="Book Antiqua" w:cs="Arial"/>
          <w:b/>
          <w:color w:val="000000" w:themeColor="text1"/>
          <w:szCs w:val="24"/>
        </w:rPr>
      </w:pPr>
    </w:p>
    <w:p w14:paraId="626AACAD" w14:textId="77777777" w:rsidR="00492A1A" w:rsidRPr="00840CF8" w:rsidRDefault="00492A1A" w:rsidP="00CB7D2C">
      <w:pPr>
        <w:snapToGrid w:val="0"/>
        <w:spacing w:line="360" w:lineRule="auto"/>
        <w:jc w:val="both"/>
        <w:rPr>
          <w:rFonts w:ascii="Book Antiqua" w:hAnsi="Book Antiqua"/>
          <w:color w:val="000000" w:themeColor="text1"/>
        </w:rPr>
      </w:pPr>
      <w:bookmarkStart w:id="1" w:name="OLE_LINK507"/>
      <w:bookmarkStart w:id="2" w:name="OLE_LINK506"/>
      <w:bookmarkStart w:id="3" w:name="OLE_LINK496"/>
      <w:bookmarkStart w:id="4" w:name="OLE_LINK479"/>
      <w:bookmarkStart w:id="5" w:name="OLE_LINK1"/>
      <w:r w:rsidRPr="00840CF8">
        <w:rPr>
          <w:rFonts w:ascii="Book Antiqua" w:hAnsi="Book Antiqua"/>
          <w:b/>
          <w:color w:val="000000" w:themeColor="text1"/>
        </w:rPr>
        <w:t xml:space="preserve">Open-Access: </w:t>
      </w:r>
      <w:r w:rsidRPr="00840CF8">
        <w:rPr>
          <w:rFonts w:ascii="Book Antiqua" w:hAnsi="Book Antiqua"/>
          <w:color w:val="000000" w:themeColor="text1"/>
        </w:rPr>
        <w:t>This article is an open-access</w:t>
      </w:r>
      <w:r w:rsidRPr="00840CF8">
        <w:rPr>
          <w:rFonts w:ascii="Book Antiqua" w:hAnsi="Book Antiqua" w:hint="eastAsia"/>
          <w:color w:val="000000" w:themeColor="text1"/>
        </w:rPr>
        <w:t xml:space="preserve"> </w:t>
      </w:r>
      <w:r w:rsidRPr="00840CF8">
        <w:rPr>
          <w:rFonts w:ascii="Book Antiqua" w:hAnsi="Book Antiqua"/>
          <w:color w:val="000000" w:themeColor="text1"/>
        </w:rPr>
        <w:t>article</w:t>
      </w:r>
      <w:r w:rsidRPr="00840CF8">
        <w:rPr>
          <w:rFonts w:ascii="Book Antiqua" w:hAnsi="Book Antiqua" w:hint="eastAsia"/>
          <w:color w:val="000000" w:themeColor="text1"/>
        </w:rPr>
        <w:t xml:space="preserve"> </w:t>
      </w:r>
      <w:r w:rsidRPr="00840CF8">
        <w:rPr>
          <w:rFonts w:ascii="Book Antiqua" w:hAnsi="Book Antiqua"/>
          <w:color w:val="000000" w:themeColor="text1"/>
        </w:rPr>
        <w:t>which was selected by an in-house editor and fully peer-reviewed by external reviewers. It is distributed</w:t>
      </w:r>
      <w:r w:rsidRPr="00840CF8">
        <w:rPr>
          <w:rFonts w:ascii="Book Antiqua" w:hAnsi="Book Antiqua" w:hint="eastAsia"/>
          <w:color w:val="000000" w:themeColor="text1"/>
        </w:rPr>
        <w:t xml:space="preserve"> </w:t>
      </w:r>
      <w:r w:rsidRPr="00840CF8">
        <w:rPr>
          <w:rFonts w:ascii="Book Antiqua" w:hAnsi="Book Antiqua"/>
          <w:color w:val="000000" w:themeColor="text1"/>
        </w:rPr>
        <w:t>in</w:t>
      </w:r>
      <w:r w:rsidRPr="00840CF8">
        <w:rPr>
          <w:rFonts w:ascii="Book Antiqua" w:hAnsi="Book Antiqua" w:hint="eastAsia"/>
          <w:color w:val="000000" w:themeColor="text1"/>
        </w:rPr>
        <w:t xml:space="preserve"> </w:t>
      </w:r>
      <w:r w:rsidRPr="00840CF8">
        <w:rPr>
          <w:rFonts w:ascii="Book Antiqua" w:hAnsi="Book Antiqua"/>
          <w:color w:val="000000" w:themeColor="text1"/>
        </w:rPr>
        <w:t>accordance</w:t>
      </w:r>
      <w:r w:rsidRPr="00840CF8">
        <w:rPr>
          <w:rFonts w:ascii="Book Antiqua" w:hAnsi="Book Antiqua" w:hint="eastAsia"/>
          <w:color w:val="000000" w:themeColor="text1"/>
        </w:rPr>
        <w:t xml:space="preserve"> </w:t>
      </w:r>
      <w:r w:rsidRPr="00840CF8">
        <w:rPr>
          <w:rFonts w:ascii="Book Antiqua" w:hAnsi="Book Antiqua"/>
          <w:color w:val="000000" w:themeColor="text1"/>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bookmarkEnd w:id="5"/>
    <w:p w14:paraId="316F4A2E" w14:textId="77777777" w:rsidR="00492A1A" w:rsidRPr="00840CF8" w:rsidRDefault="00492A1A" w:rsidP="00CB7D2C">
      <w:pPr>
        <w:snapToGrid w:val="0"/>
        <w:spacing w:line="360" w:lineRule="auto"/>
        <w:jc w:val="both"/>
        <w:rPr>
          <w:rFonts w:ascii="Book Antiqua" w:hAnsi="Book Antiqua"/>
          <w:color w:val="000000" w:themeColor="text1"/>
        </w:rPr>
      </w:pPr>
    </w:p>
    <w:p w14:paraId="157D9EAE" w14:textId="77777777" w:rsidR="00492A1A" w:rsidRPr="00840CF8" w:rsidRDefault="00492A1A" w:rsidP="00CB7D2C">
      <w:pPr>
        <w:snapToGrid w:val="0"/>
        <w:spacing w:line="360" w:lineRule="auto"/>
        <w:rPr>
          <w:rFonts w:ascii="Book Antiqua" w:hAnsi="Book Antiqua"/>
          <w:color w:val="000000" w:themeColor="text1"/>
        </w:rPr>
      </w:pPr>
      <w:r w:rsidRPr="00840CF8">
        <w:rPr>
          <w:rFonts w:ascii="Book Antiqua" w:hAnsi="Book Antiqua"/>
          <w:b/>
          <w:color w:val="000000" w:themeColor="text1"/>
        </w:rPr>
        <w:t xml:space="preserve">Manuscript source: </w:t>
      </w:r>
      <w:r w:rsidRPr="00840CF8">
        <w:rPr>
          <w:rFonts w:ascii="Book Antiqua" w:hAnsi="Book Antiqua"/>
          <w:color w:val="000000" w:themeColor="text1"/>
        </w:rPr>
        <w:t>Invited manuscript</w:t>
      </w:r>
    </w:p>
    <w:p w14:paraId="0F3D3622" w14:textId="77777777" w:rsidR="00586A01" w:rsidRPr="00840CF8" w:rsidRDefault="00586A01" w:rsidP="00CB7D2C">
      <w:pPr>
        <w:autoSpaceDE w:val="0"/>
        <w:autoSpaceDN w:val="0"/>
        <w:adjustRightInd w:val="0"/>
        <w:snapToGrid w:val="0"/>
        <w:spacing w:line="360" w:lineRule="auto"/>
        <w:jc w:val="both"/>
        <w:rPr>
          <w:rFonts w:ascii="Book Antiqua" w:hAnsi="Book Antiqua" w:cs="Arial"/>
          <w:b/>
          <w:color w:val="000000" w:themeColor="text1"/>
          <w:szCs w:val="24"/>
        </w:rPr>
      </w:pPr>
    </w:p>
    <w:p w14:paraId="3A525D51" w14:textId="77777777" w:rsidR="00066324" w:rsidRPr="00840CF8"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840CF8">
        <w:rPr>
          <w:rFonts w:ascii="Book Antiqua" w:hAnsi="Book Antiqua" w:cs="Arial"/>
          <w:b/>
          <w:color w:val="000000" w:themeColor="text1"/>
          <w:szCs w:val="24"/>
        </w:rPr>
        <w:t>Corresponding author: Sung-Hsin Kuo, MD, PhD, Professor</w:t>
      </w:r>
      <w:r w:rsidRPr="00840CF8">
        <w:rPr>
          <w:rFonts w:ascii="Book Antiqua" w:hAnsi="Book Antiqua" w:cs="Arial"/>
          <w:color w:val="000000" w:themeColor="text1"/>
          <w:szCs w:val="24"/>
        </w:rPr>
        <w:t>, Graduate Institute of Oncology, National Taiwan University College of Medicine, Taipei, Taiwan; Department of Oncology, National Taiwan University Hospital, No. 7, Chung-Shan South R</w:t>
      </w:r>
      <w:r w:rsidR="00AD67C0" w:rsidRPr="00840CF8">
        <w:rPr>
          <w:rFonts w:ascii="Book Antiqua" w:eastAsia="宋体" w:hAnsi="Book Antiqua" w:cs="Arial"/>
          <w:color w:val="000000" w:themeColor="text1"/>
          <w:szCs w:val="24"/>
          <w:lang w:eastAsia="zh-CN"/>
        </w:rPr>
        <w:t>oa</w:t>
      </w:r>
      <w:r w:rsidRPr="00840CF8">
        <w:rPr>
          <w:rFonts w:ascii="Book Antiqua" w:hAnsi="Book Antiqua" w:cs="Arial"/>
          <w:color w:val="000000" w:themeColor="text1"/>
          <w:szCs w:val="24"/>
        </w:rPr>
        <w:t>d, Taipei</w:t>
      </w:r>
      <w:r w:rsidR="00AD67C0" w:rsidRPr="00840CF8">
        <w:rPr>
          <w:rFonts w:ascii="Book Antiqua" w:hAnsi="Book Antiqua" w:cs="Arial"/>
          <w:color w:val="000000" w:themeColor="text1"/>
          <w:szCs w:val="24"/>
        </w:rPr>
        <w:t xml:space="preserve"> </w:t>
      </w:r>
      <w:r w:rsidR="00AD67C0" w:rsidRPr="00840CF8">
        <w:rPr>
          <w:rFonts w:ascii="Book Antiqua" w:eastAsia="宋体" w:hAnsi="Book Antiqua" w:cs="Arial"/>
          <w:color w:val="000000" w:themeColor="text1"/>
          <w:szCs w:val="24"/>
          <w:lang w:eastAsia="zh-CN"/>
        </w:rPr>
        <w:t>100</w:t>
      </w:r>
      <w:r w:rsidRPr="00840CF8">
        <w:rPr>
          <w:rFonts w:ascii="Book Antiqua" w:hAnsi="Book Antiqua" w:cs="Arial"/>
          <w:color w:val="000000" w:themeColor="text1"/>
          <w:szCs w:val="24"/>
        </w:rPr>
        <w:t>, Taiwan</w:t>
      </w:r>
      <w:r w:rsidR="00066324" w:rsidRPr="00840CF8">
        <w:rPr>
          <w:rFonts w:ascii="Book Antiqua" w:eastAsia="宋体" w:hAnsi="Book Antiqua" w:cs="Arial"/>
          <w:color w:val="000000" w:themeColor="text1"/>
          <w:szCs w:val="24"/>
          <w:lang w:eastAsia="zh-CN"/>
        </w:rPr>
        <w:t>.</w:t>
      </w:r>
      <w:r w:rsidR="00066324" w:rsidRPr="00840CF8">
        <w:rPr>
          <w:rFonts w:ascii="Book Antiqua" w:hAnsi="Book Antiqua" w:cs="Arial"/>
          <w:color w:val="000000" w:themeColor="text1"/>
          <w:szCs w:val="24"/>
        </w:rPr>
        <w:t xml:space="preserve"> shkuo101@ntu.edu.tw</w:t>
      </w:r>
    </w:p>
    <w:p w14:paraId="04D2B14A" w14:textId="77777777" w:rsidR="00066324" w:rsidRPr="00840CF8"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840CF8">
        <w:rPr>
          <w:rFonts w:ascii="Book Antiqua" w:hAnsi="Book Antiqua" w:cs="Arial"/>
          <w:b/>
          <w:bCs/>
          <w:color w:val="000000" w:themeColor="text1"/>
          <w:szCs w:val="24"/>
        </w:rPr>
        <w:t xml:space="preserve">Telephone: </w:t>
      </w:r>
      <w:r w:rsidRPr="00840CF8">
        <w:rPr>
          <w:rFonts w:ascii="Book Antiqua" w:hAnsi="Book Antiqua" w:cs="Arial"/>
          <w:color w:val="000000" w:themeColor="text1"/>
          <w:szCs w:val="24"/>
        </w:rPr>
        <w:t>+886-2-23123456</w:t>
      </w:r>
      <w:r w:rsidR="00066324" w:rsidRPr="00840CF8">
        <w:rPr>
          <w:rFonts w:ascii="Book Antiqua" w:hAnsi="Book Antiqua" w:cs="Arial"/>
          <w:color w:val="000000" w:themeColor="text1"/>
          <w:szCs w:val="24"/>
        </w:rPr>
        <w:t>-</w:t>
      </w:r>
      <w:r w:rsidRPr="00840CF8">
        <w:rPr>
          <w:rFonts w:ascii="Book Antiqua" w:hAnsi="Book Antiqua" w:cs="Arial"/>
          <w:color w:val="000000" w:themeColor="text1"/>
          <w:szCs w:val="24"/>
        </w:rPr>
        <w:t>67144</w:t>
      </w:r>
    </w:p>
    <w:p w14:paraId="21E81497" w14:textId="77777777" w:rsidR="00066324" w:rsidRPr="00840CF8"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r w:rsidRPr="00840CF8">
        <w:rPr>
          <w:rFonts w:ascii="Book Antiqua" w:hAnsi="Book Antiqua" w:cs="Arial"/>
          <w:b/>
          <w:bCs/>
          <w:color w:val="000000" w:themeColor="text1"/>
          <w:szCs w:val="24"/>
        </w:rPr>
        <w:t>Fax:</w:t>
      </w:r>
      <w:r w:rsidR="00066324" w:rsidRPr="00840CF8">
        <w:rPr>
          <w:rFonts w:ascii="Book Antiqua" w:hAnsi="Book Antiqua" w:cs="Arial"/>
          <w:b/>
          <w:bCs/>
          <w:color w:val="000000" w:themeColor="text1"/>
          <w:szCs w:val="24"/>
        </w:rPr>
        <w:t xml:space="preserve"> </w:t>
      </w:r>
      <w:r w:rsidRPr="00840CF8">
        <w:rPr>
          <w:rFonts w:ascii="Book Antiqua" w:hAnsi="Book Antiqua" w:cs="Arial"/>
          <w:color w:val="000000" w:themeColor="text1"/>
          <w:szCs w:val="24"/>
        </w:rPr>
        <w:t>+886-2-23711174</w:t>
      </w:r>
    </w:p>
    <w:p w14:paraId="5F6A9AE1" w14:textId="77777777" w:rsidR="00D45DB0" w:rsidRPr="00840CF8" w:rsidRDefault="00D45DB0" w:rsidP="00CB7D2C">
      <w:pPr>
        <w:autoSpaceDE w:val="0"/>
        <w:autoSpaceDN w:val="0"/>
        <w:adjustRightInd w:val="0"/>
        <w:snapToGrid w:val="0"/>
        <w:spacing w:line="360" w:lineRule="auto"/>
        <w:jc w:val="both"/>
        <w:rPr>
          <w:rFonts w:ascii="Book Antiqua" w:hAnsi="Book Antiqua" w:cs="Arial"/>
          <w:color w:val="000000" w:themeColor="text1"/>
          <w:szCs w:val="24"/>
        </w:rPr>
      </w:pPr>
    </w:p>
    <w:p w14:paraId="17C48228" w14:textId="77777777" w:rsidR="00E90D5F" w:rsidRPr="00840CF8" w:rsidRDefault="00E90D5F" w:rsidP="00CB7D2C">
      <w:pPr>
        <w:pStyle w:val="Default"/>
        <w:snapToGrid w:val="0"/>
        <w:spacing w:line="360" w:lineRule="auto"/>
        <w:rPr>
          <w:rFonts w:ascii="Book Antiqua" w:hAnsi="Book Antiqua"/>
          <w:color w:val="000000" w:themeColor="text1"/>
        </w:rPr>
      </w:pPr>
      <w:r w:rsidRPr="00840CF8">
        <w:rPr>
          <w:rFonts w:ascii="Book Antiqua" w:hAnsi="Book Antiqua"/>
          <w:b/>
          <w:bCs/>
          <w:color w:val="000000" w:themeColor="text1"/>
        </w:rPr>
        <w:t xml:space="preserve">Received: </w:t>
      </w:r>
      <w:r w:rsidR="00EB7D9C" w:rsidRPr="00840CF8">
        <w:rPr>
          <w:rFonts w:ascii="Book Antiqua" w:hAnsi="Book Antiqua"/>
          <w:color w:val="000000" w:themeColor="text1"/>
        </w:rPr>
        <w:t>March 18</w:t>
      </w:r>
      <w:r w:rsidRPr="00840CF8">
        <w:rPr>
          <w:rFonts w:ascii="Book Antiqua" w:hAnsi="Book Antiqua"/>
          <w:color w:val="000000" w:themeColor="text1"/>
        </w:rPr>
        <w:t>, 2019</w:t>
      </w:r>
    </w:p>
    <w:p w14:paraId="68C1F8E4" w14:textId="77777777" w:rsidR="00E90D5F" w:rsidRPr="00840CF8" w:rsidRDefault="00E90D5F" w:rsidP="00CB7D2C">
      <w:pPr>
        <w:pStyle w:val="Default"/>
        <w:snapToGrid w:val="0"/>
        <w:spacing w:line="360" w:lineRule="auto"/>
        <w:rPr>
          <w:rFonts w:ascii="Book Antiqua" w:hAnsi="Book Antiqua"/>
          <w:color w:val="000000" w:themeColor="text1"/>
        </w:rPr>
      </w:pPr>
      <w:r w:rsidRPr="00840CF8">
        <w:rPr>
          <w:rFonts w:ascii="Book Antiqua" w:hAnsi="Book Antiqua"/>
          <w:b/>
          <w:bCs/>
          <w:color w:val="000000" w:themeColor="text1"/>
        </w:rPr>
        <w:t xml:space="preserve">Peer-review started: </w:t>
      </w:r>
      <w:r w:rsidR="00EB7D9C" w:rsidRPr="00840CF8">
        <w:rPr>
          <w:rFonts w:ascii="Book Antiqua" w:hAnsi="Book Antiqua"/>
          <w:color w:val="000000" w:themeColor="text1"/>
        </w:rPr>
        <w:t xml:space="preserve">March </w:t>
      </w:r>
      <w:r w:rsidRPr="00840CF8">
        <w:rPr>
          <w:rFonts w:ascii="Book Antiqua" w:hAnsi="Book Antiqua"/>
          <w:color w:val="000000" w:themeColor="text1"/>
        </w:rPr>
        <w:t>20, 2019</w:t>
      </w:r>
    </w:p>
    <w:p w14:paraId="74764427" w14:textId="77777777" w:rsidR="00E90D5F" w:rsidRPr="00840CF8" w:rsidRDefault="00E90D5F" w:rsidP="00CB7D2C">
      <w:pPr>
        <w:pStyle w:val="Default"/>
        <w:snapToGrid w:val="0"/>
        <w:spacing w:line="360" w:lineRule="auto"/>
        <w:rPr>
          <w:rFonts w:ascii="Book Antiqua" w:hAnsi="Book Antiqua"/>
          <w:color w:val="000000" w:themeColor="text1"/>
        </w:rPr>
      </w:pPr>
      <w:r w:rsidRPr="00840CF8">
        <w:rPr>
          <w:rFonts w:ascii="Book Antiqua" w:hAnsi="Book Antiqua"/>
          <w:b/>
          <w:bCs/>
          <w:color w:val="000000" w:themeColor="text1"/>
        </w:rPr>
        <w:t xml:space="preserve">First decision: </w:t>
      </w:r>
      <w:r w:rsidR="00314324" w:rsidRPr="00840CF8">
        <w:rPr>
          <w:rFonts w:ascii="Book Antiqua" w:hAnsi="Book Antiqua"/>
          <w:color w:val="000000" w:themeColor="text1"/>
        </w:rPr>
        <w:t>June 5</w:t>
      </w:r>
      <w:r w:rsidRPr="00840CF8">
        <w:rPr>
          <w:rFonts w:ascii="Book Antiqua" w:hAnsi="Book Antiqua"/>
          <w:color w:val="000000" w:themeColor="text1"/>
        </w:rPr>
        <w:t>, 2019</w:t>
      </w:r>
    </w:p>
    <w:p w14:paraId="782179A3" w14:textId="77777777" w:rsidR="00E90D5F" w:rsidRPr="00840CF8" w:rsidRDefault="00E90D5F" w:rsidP="00CB7D2C">
      <w:pPr>
        <w:pStyle w:val="Default"/>
        <w:snapToGrid w:val="0"/>
        <w:spacing w:line="360" w:lineRule="auto"/>
        <w:rPr>
          <w:rFonts w:ascii="Book Antiqua" w:hAnsi="Book Antiqua"/>
          <w:color w:val="000000" w:themeColor="text1"/>
        </w:rPr>
      </w:pPr>
      <w:r w:rsidRPr="00840CF8">
        <w:rPr>
          <w:rFonts w:ascii="Book Antiqua" w:hAnsi="Book Antiqua"/>
          <w:b/>
          <w:bCs/>
          <w:color w:val="000000" w:themeColor="text1"/>
        </w:rPr>
        <w:t xml:space="preserve">Revised: </w:t>
      </w:r>
      <w:r w:rsidR="00C52514" w:rsidRPr="00840CF8">
        <w:rPr>
          <w:rFonts w:ascii="Book Antiqua" w:hAnsi="Book Antiqua"/>
          <w:color w:val="000000" w:themeColor="text1"/>
        </w:rPr>
        <w:t>June 22</w:t>
      </w:r>
      <w:r w:rsidRPr="00840CF8">
        <w:rPr>
          <w:rFonts w:ascii="Book Antiqua" w:hAnsi="Book Antiqua"/>
          <w:color w:val="000000" w:themeColor="text1"/>
        </w:rPr>
        <w:t>, 2019</w:t>
      </w:r>
    </w:p>
    <w:p w14:paraId="37444A97" w14:textId="77777777" w:rsidR="00E90D5F" w:rsidRPr="00840CF8" w:rsidRDefault="00E90D5F" w:rsidP="00CB7D2C">
      <w:pPr>
        <w:pStyle w:val="Default"/>
        <w:snapToGrid w:val="0"/>
        <w:spacing w:line="360" w:lineRule="auto"/>
        <w:rPr>
          <w:rFonts w:ascii="Book Antiqua" w:hAnsi="Book Antiqua"/>
          <w:b/>
          <w:bCs/>
          <w:color w:val="000000" w:themeColor="text1"/>
        </w:rPr>
      </w:pPr>
      <w:r w:rsidRPr="00840CF8">
        <w:rPr>
          <w:rFonts w:ascii="Book Antiqua" w:hAnsi="Book Antiqua"/>
          <w:b/>
          <w:bCs/>
          <w:color w:val="000000" w:themeColor="text1"/>
        </w:rPr>
        <w:t xml:space="preserve">Accepted: </w:t>
      </w:r>
      <w:r w:rsidR="0067381D" w:rsidRPr="00840CF8">
        <w:rPr>
          <w:rFonts w:ascii="Book Antiqua" w:hAnsi="Book Antiqua"/>
          <w:color w:val="000000" w:themeColor="text1"/>
        </w:rPr>
        <w:t>July 16, 2019</w:t>
      </w:r>
    </w:p>
    <w:p w14:paraId="51EE5DBE" w14:textId="09A7C91D" w:rsidR="00E90D5F" w:rsidRPr="00840CF8" w:rsidRDefault="00E90D5F" w:rsidP="00CB7D2C">
      <w:pPr>
        <w:pStyle w:val="Default"/>
        <w:snapToGrid w:val="0"/>
        <w:spacing w:line="360" w:lineRule="auto"/>
        <w:rPr>
          <w:rFonts w:ascii="Book Antiqua" w:hAnsi="Book Antiqua"/>
          <w:b/>
          <w:bCs/>
          <w:color w:val="000000" w:themeColor="text1"/>
        </w:rPr>
      </w:pPr>
      <w:r w:rsidRPr="00840CF8">
        <w:rPr>
          <w:rFonts w:ascii="Book Antiqua" w:hAnsi="Book Antiqua"/>
          <w:b/>
          <w:bCs/>
          <w:color w:val="000000" w:themeColor="text1"/>
        </w:rPr>
        <w:t xml:space="preserve">Article in press: </w:t>
      </w:r>
      <w:r w:rsidR="00BD6A4D" w:rsidRPr="00840CF8">
        <w:rPr>
          <w:rFonts w:ascii="Book Antiqua" w:hAnsi="Book Antiqua"/>
          <w:color w:val="000000" w:themeColor="text1"/>
        </w:rPr>
        <w:t>July 16, 2019</w:t>
      </w:r>
    </w:p>
    <w:p w14:paraId="408F2887" w14:textId="1B91F25E" w:rsidR="00AB3190" w:rsidRPr="00840CF8" w:rsidRDefault="00E90D5F" w:rsidP="00CB7D2C">
      <w:pPr>
        <w:pStyle w:val="Default"/>
        <w:snapToGrid w:val="0"/>
        <w:spacing w:line="360" w:lineRule="auto"/>
        <w:rPr>
          <w:rFonts w:ascii="Book Antiqua" w:hAnsi="Book Antiqua"/>
          <w:b/>
          <w:bCs/>
          <w:color w:val="000000" w:themeColor="text1"/>
        </w:rPr>
      </w:pPr>
      <w:r w:rsidRPr="00840CF8">
        <w:rPr>
          <w:rFonts w:ascii="Book Antiqua" w:hAnsi="Book Antiqua"/>
          <w:b/>
          <w:bCs/>
          <w:color w:val="000000" w:themeColor="text1"/>
        </w:rPr>
        <w:t>Published online:</w:t>
      </w:r>
      <w:r w:rsidR="00BD6A4D" w:rsidRPr="00840CF8">
        <w:rPr>
          <w:rFonts w:ascii="Book Antiqua" w:hAnsi="Book Antiqua"/>
          <w:color w:val="000000" w:themeColor="text1"/>
        </w:rPr>
        <w:t xml:space="preserve"> August 15, 2019</w:t>
      </w:r>
    </w:p>
    <w:p w14:paraId="4F12891A" w14:textId="77777777" w:rsidR="00E90D5F" w:rsidRPr="00840CF8" w:rsidRDefault="00E90D5F" w:rsidP="00CB7D2C">
      <w:pPr>
        <w:pStyle w:val="Default"/>
        <w:snapToGrid w:val="0"/>
        <w:spacing w:line="360" w:lineRule="auto"/>
        <w:rPr>
          <w:rFonts w:ascii="Book Antiqua" w:hAnsi="Book Antiqua"/>
          <w:color w:val="000000" w:themeColor="text1"/>
        </w:rPr>
      </w:pPr>
    </w:p>
    <w:p w14:paraId="15227DEB" w14:textId="77777777" w:rsidR="00CB7D2C" w:rsidRPr="00840CF8" w:rsidRDefault="00CB7D2C" w:rsidP="00CB7D2C">
      <w:pPr>
        <w:widowControl/>
        <w:snapToGrid w:val="0"/>
        <w:spacing w:line="360" w:lineRule="auto"/>
        <w:rPr>
          <w:rFonts w:ascii="Book Antiqua" w:hAnsi="Book Antiqua" w:cs="Arial"/>
          <w:b/>
          <w:color w:val="000000" w:themeColor="text1"/>
          <w:szCs w:val="24"/>
        </w:rPr>
      </w:pPr>
      <w:r w:rsidRPr="00840CF8">
        <w:rPr>
          <w:rFonts w:ascii="Book Antiqua" w:hAnsi="Book Antiqua" w:cs="Arial"/>
          <w:b/>
          <w:color w:val="000000" w:themeColor="text1"/>
          <w:szCs w:val="24"/>
        </w:rPr>
        <w:br w:type="page"/>
      </w:r>
    </w:p>
    <w:p w14:paraId="6745612F" w14:textId="77777777" w:rsidR="00AB3190" w:rsidRPr="00840CF8" w:rsidRDefault="00AB3190" w:rsidP="00CB7D2C">
      <w:pPr>
        <w:snapToGrid w:val="0"/>
        <w:spacing w:line="360" w:lineRule="auto"/>
        <w:jc w:val="both"/>
        <w:rPr>
          <w:rFonts w:ascii="Book Antiqua" w:hAnsi="Book Antiqua" w:cs="Arial"/>
          <w:b/>
          <w:color w:val="000000" w:themeColor="text1"/>
          <w:szCs w:val="24"/>
        </w:rPr>
      </w:pPr>
      <w:r w:rsidRPr="00840CF8">
        <w:rPr>
          <w:rFonts w:ascii="Book Antiqua" w:hAnsi="Book Antiqua" w:cs="Arial"/>
          <w:b/>
          <w:color w:val="000000" w:themeColor="text1"/>
          <w:szCs w:val="24"/>
        </w:rPr>
        <w:t xml:space="preserve">Abstract </w:t>
      </w:r>
    </w:p>
    <w:p w14:paraId="6BAE267B" w14:textId="7E7CAE42" w:rsidR="00AB3190" w:rsidRPr="00840CF8" w:rsidRDefault="00AB3190" w:rsidP="00CB7D2C">
      <w:pPr>
        <w:snapToGrid w:val="0"/>
        <w:spacing w:line="360" w:lineRule="auto"/>
        <w:jc w:val="both"/>
        <w:rPr>
          <w:rFonts w:ascii="Book Antiqua" w:hAnsi="Book Antiqua" w:cs="Arial"/>
          <w:b/>
          <w:color w:val="000000" w:themeColor="text1"/>
          <w:szCs w:val="24"/>
        </w:rPr>
      </w:pPr>
      <w:r w:rsidRPr="00840CF8">
        <w:rPr>
          <w:rFonts w:ascii="Book Antiqua" w:hAnsi="Book Antiqua" w:cs="Arial"/>
          <w:color w:val="000000" w:themeColor="text1"/>
          <w:szCs w:val="24"/>
        </w:rPr>
        <w:t xml:space="preserve">Hepatocellular carcinoma (HCC) is the fifth most common malignancy and the second leading cause of cancer mortality worldwide. The cornerstone to </w:t>
      </w:r>
      <w:r w:rsidR="001B42BA" w:rsidRPr="00840CF8">
        <w:rPr>
          <w:rFonts w:ascii="Book Antiqua" w:hAnsi="Book Antiqua" w:cs="Arial"/>
          <w:color w:val="000000" w:themeColor="text1"/>
          <w:szCs w:val="24"/>
        </w:rPr>
        <w:t xml:space="preserve">improving </w:t>
      </w:r>
      <w:r w:rsidRPr="00840CF8">
        <w:rPr>
          <w:rFonts w:ascii="Book Antiqua" w:hAnsi="Book Antiqua" w:cs="Arial"/>
          <w:color w:val="000000" w:themeColor="text1"/>
          <w:szCs w:val="24"/>
        </w:rPr>
        <w:t xml:space="preserve">the prognosis of HCC patients </w:t>
      </w:r>
      <w:r w:rsidR="001B42BA" w:rsidRPr="00840CF8">
        <w:rPr>
          <w:rFonts w:ascii="Book Antiqua" w:hAnsi="Book Antiqua" w:cs="Arial"/>
          <w:color w:val="000000" w:themeColor="text1"/>
          <w:szCs w:val="24"/>
        </w:rPr>
        <w:t>has been</w:t>
      </w:r>
      <w:r w:rsidRPr="00840CF8">
        <w:rPr>
          <w:rFonts w:ascii="Book Antiqua" w:hAnsi="Book Antiqua" w:cs="Arial"/>
          <w:color w:val="000000" w:themeColor="text1"/>
          <w:szCs w:val="24"/>
        </w:rPr>
        <w:t xml:space="preserve"> the control of loco-regional disease progression and the lesser toxicities of local treatment. </w:t>
      </w:r>
      <w:bookmarkStart w:id="6" w:name="_Hlk11323100"/>
      <w:r w:rsidR="00713C35" w:rsidRPr="00840CF8">
        <w:rPr>
          <w:rFonts w:ascii="Book Antiqua" w:hAnsi="Book Antiqua" w:cs="Arial"/>
          <w:color w:val="000000" w:themeColor="text1"/>
          <w:szCs w:val="24"/>
        </w:rPr>
        <w:t>Although</w:t>
      </w:r>
      <w:r w:rsidRPr="00840CF8">
        <w:rPr>
          <w:rFonts w:ascii="Book Antiqua" w:hAnsi="Book Antiqua" w:cs="Arial"/>
          <w:color w:val="000000" w:themeColor="text1"/>
          <w:szCs w:val="24"/>
        </w:rPr>
        <w:t xml:space="preserve"> radiotherapy has not been considered </w:t>
      </w:r>
      <w:r w:rsidR="00713C35" w:rsidRPr="00840CF8">
        <w:rPr>
          <w:rFonts w:ascii="Book Antiqua" w:hAnsi="Book Antiqua" w:cs="Arial"/>
          <w:color w:val="000000" w:themeColor="text1"/>
          <w:szCs w:val="24"/>
        </w:rPr>
        <w:t>a</w:t>
      </w:r>
      <w:r w:rsidRPr="00840CF8">
        <w:rPr>
          <w:rFonts w:ascii="Book Antiqua" w:hAnsi="Book Antiqua" w:cs="Arial"/>
          <w:color w:val="000000" w:themeColor="text1"/>
          <w:szCs w:val="24"/>
        </w:rPr>
        <w:t xml:space="preserve"> preferred treatment </w:t>
      </w:r>
      <w:r w:rsidR="00713C35" w:rsidRPr="00840CF8">
        <w:rPr>
          <w:rFonts w:ascii="Book Antiqua" w:hAnsi="Book Antiqua" w:cs="Arial"/>
          <w:color w:val="000000" w:themeColor="text1"/>
          <w:szCs w:val="24"/>
        </w:rPr>
        <w:t xml:space="preserve">modality </w:t>
      </w:r>
      <w:r w:rsidRPr="00840CF8">
        <w:rPr>
          <w:rFonts w:ascii="Book Antiqua" w:hAnsi="Book Antiqua" w:cs="Arial"/>
          <w:color w:val="000000" w:themeColor="text1"/>
          <w:szCs w:val="24"/>
        </w:rPr>
        <w:t>for HCC, charged particle therapy (CPT), including proton beam therapy (PBT) and carbon ion radiotherapy (CIRT), possesses advantages (</w:t>
      </w:r>
      <w:r w:rsidR="00BF3A91" w:rsidRPr="00840CF8">
        <w:rPr>
          <w:rFonts w:ascii="Book Antiqua" w:hAnsi="Book Antiqua" w:cs="Arial"/>
          <w:color w:val="000000" w:themeColor="text1"/>
          <w:szCs w:val="24"/>
        </w:rPr>
        <w:t xml:space="preserve">for example, it </w:t>
      </w:r>
      <w:r w:rsidRPr="00840CF8">
        <w:rPr>
          <w:rFonts w:ascii="Book Antiqua" w:hAnsi="Book Antiqua" w:cs="Arial"/>
          <w:color w:val="000000" w:themeColor="text1"/>
          <w:szCs w:val="24"/>
        </w:rPr>
        <w:t>allows ablative radiation doses to be applied to tumors but simultaneously spares the normal liver parenchyma from radiation) and has emerged as an alternative treatment option for HCC</w:t>
      </w:r>
      <w:bookmarkEnd w:id="6"/>
      <w:r w:rsidRPr="00840CF8">
        <w:rPr>
          <w:rFonts w:ascii="Book Antiqua" w:hAnsi="Book Antiqua" w:cs="Arial"/>
          <w:color w:val="000000" w:themeColor="text1"/>
          <w:szCs w:val="24"/>
        </w:rPr>
        <w:t xml:space="preserve">. With the technological advancements in CPT, various radiation dosages of CPT have been used for HCC treatment </w:t>
      </w:r>
      <w:r w:rsidRPr="00840CF8">
        <w:rPr>
          <w:rFonts w:ascii="Book Antiqua" w:hAnsi="Book Antiqua" w:cs="Arial"/>
          <w:i/>
          <w:iCs/>
          <w:color w:val="000000" w:themeColor="text1"/>
          <w:szCs w:val="24"/>
        </w:rPr>
        <w:t>via</w:t>
      </w:r>
      <w:r w:rsidRPr="00840CF8">
        <w:rPr>
          <w:rFonts w:ascii="Book Antiqua" w:hAnsi="Book Antiqua" w:cs="Arial"/>
          <w:color w:val="000000" w:themeColor="text1"/>
          <w:szCs w:val="24"/>
        </w:rPr>
        <w:t xml:space="preserve"> CPT. However, the efficacy and safety of the evolving dosages remain uncertain. To assess the association between locoregional control of HCC and the dose and regimen of CPT, we provide a brief overview of selected </w:t>
      </w:r>
      <w:r w:rsidR="00713C35" w:rsidRPr="00840CF8">
        <w:rPr>
          <w:rFonts w:ascii="Book Antiqua" w:hAnsi="Book Antiqua" w:cs="Arial"/>
          <w:color w:val="000000" w:themeColor="text1"/>
          <w:szCs w:val="24"/>
        </w:rPr>
        <w:t xml:space="preserve">literature </w:t>
      </w:r>
      <w:r w:rsidR="00CF37A2" w:rsidRPr="00840CF8">
        <w:rPr>
          <w:rFonts w:ascii="Book Antiqua" w:hAnsi="Book Antiqua" w:cs="Arial"/>
          <w:color w:val="000000" w:themeColor="text1"/>
          <w:szCs w:val="24"/>
        </w:rPr>
        <w:t>on</w:t>
      </w:r>
      <w:r w:rsidRPr="00840CF8">
        <w:rPr>
          <w:rFonts w:ascii="Book Antiqua" w:hAnsi="Book Antiqua" w:cs="Arial"/>
          <w:color w:val="000000" w:themeColor="text1"/>
          <w:szCs w:val="24"/>
        </w:rPr>
        <w:t xml:space="preserve"> </w:t>
      </w:r>
      <w:r w:rsidR="00713C35" w:rsidRPr="00840CF8">
        <w:rPr>
          <w:rFonts w:ascii="Book Antiqua" w:hAnsi="Book Antiqua" w:cs="Arial"/>
          <w:color w:val="000000" w:themeColor="text1"/>
          <w:szCs w:val="24"/>
        </w:rPr>
        <w:t xml:space="preserve">dose </w:t>
      </w:r>
      <w:r w:rsidRPr="00840CF8">
        <w:rPr>
          <w:rFonts w:ascii="Book Antiqua" w:hAnsi="Book Antiqua" w:cs="Arial"/>
          <w:color w:val="000000" w:themeColor="text1"/>
          <w:szCs w:val="24"/>
        </w:rPr>
        <w:t>regimen</w:t>
      </w:r>
      <w:r w:rsidR="00713C35" w:rsidRPr="00840CF8">
        <w:rPr>
          <w:rFonts w:ascii="Book Antiqua" w:hAnsi="Book Antiqua" w:cs="Arial"/>
          <w:color w:val="000000" w:themeColor="text1"/>
          <w:szCs w:val="24"/>
        </w:rPr>
        <w:t>s</w:t>
      </w:r>
      <w:r w:rsidRPr="00840CF8">
        <w:rPr>
          <w:rFonts w:ascii="Book Antiqua" w:hAnsi="Book Antiqua" w:cs="Arial"/>
          <w:color w:val="000000" w:themeColor="text1"/>
          <w:szCs w:val="24"/>
        </w:rPr>
        <w:t xml:space="preserve"> from conventional to hypofractionated short-course CPT in the treatment of HCC and the subsequent determinants of clinical outcomes. </w:t>
      </w:r>
      <w:bookmarkStart w:id="7" w:name="_Hlk11323454"/>
      <w:r w:rsidRPr="00840CF8">
        <w:rPr>
          <w:rFonts w:ascii="Book Antiqua" w:hAnsi="Book Antiqua" w:cs="Arial"/>
          <w:color w:val="000000" w:themeColor="text1"/>
          <w:szCs w:val="24"/>
        </w:rPr>
        <w:t xml:space="preserve">Overall, CPT provides a better local control rate </w:t>
      </w:r>
      <w:r w:rsidR="00225115" w:rsidRPr="00840CF8">
        <w:rPr>
          <w:rFonts w:ascii="Book Antiqua" w:hAnsi="Book Antiqua" w:cs="Arial"/>
          <w:color w:val="000000" w:themeColor="text1"/>
          <w:szCs w:val="24"/>
        </w:rPr>
        <w:t xml:space="preserve">compared with </w:t>
      </w:r>
      <w:r w:rsidR="00EE2CCB" w:rsidRPr="00840CF8">
        <w:rPr>
          <w:rFonts w:ascii="Book Antiqua" w:hAnsi="Book Antiqua" w:cs="Arial"/>
          <w:color w:val="000000" w:themeColor="text1"/>
          <w:szCs w:val="24"/>
        </w:rPr>
        <w:t>photon</w:t>
      </w:r>
      <w:r w:rsidR="008144AA" w:rsidRPr="00840CF8">
        <w:rPr>
          <w:rFonts w:ascii="Book Antiqua" w:hAnsi="Book Antiqua" w:cs="Arial" w:hint="eastAsia"/>
          <w:color w:val="000000" w:themeColor="text1"/>
          <w:szCs w:val="24"/>
        </w:rPr>
        <w:t xml:space="preserve"> b</w:t>
      </w:r>
      <w:r w:rsidR="008144AA" w:rsidRPr="00840CF8">
        <w:rPr>
          <w:rFonts w:ascii="Book Antiqua" w:hAnsi="Book Antiqua" w:cs="Arial"/>
          <w:color w:val="000000" w:themeColor="text1"/>
          <w:szCs w:val="24"/>
        </w:rPr>
        <w:t>eam</w:t>
      </w:r>
      <w:r w:rsidR="00EE2CCB" w:rsidRPr="00840CF8">
        <w:rPr>
          <w:rFonts w:ascii="Book Antiqua" w:hAnsi="Book Antiqua" w:cs="Arial"/>
          <w:color w:val="000000" w:themeColor="text1"/>
          <w:szCs w:val="24"/>
        </w:rPr>
        <w:t xml:space="preserve"> therapy</w:t>
      </w:r>
      <w:r w:rsidR="00225115"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ranging from 80% to 96%</w:t>
      </w:r>
      <w:r w:rsidR="00225115"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and a 3-year overall survival ranging from 50% to 75%, and </w:t>
      </w:r>
      <w:r w:rsidR="007540FD" w:rsidRPr="00840CF8">
        <w:rPr>
          <w:rFonts w:ascii="Book Antiqua" w:hAnsi="Book Antiqua" w:cs="Arial"/>
          <w:color w:val="000000" w:themeColor="text1"/>
          <w:szCs w:val="24"/>
        </w:rPr>
        <w:t xml:space="preserve">it </w:t>
      </w:r>
      <w:r w:rsidRPr="00840CF8">
        <w:rPr>
          <w:rFonts w:ascii="Book Antiqua" w:hAnsi="Book Antiqua" w:cs="Arial"/>
          <w:color w:val="000000" w:themeColor="text1"/>
          <w:szCs w:val="24"/>
        </w:rPr>
        <w:t xml:space="preserve">results in rare grade 3 toxicities of </w:t>
      </w:r>
      <w:r w:rsidR="00412116" w:rsidRPr="00840CF8">
        <w:rPr>
          <w:rFonts w:ascii="Book Antiqua" w:hAnsi="Book Antiqua" w:cs="Arial"/>
          <w:color w:val="000000" w:themeColor="text1"/>
          <w:szCs w:val="24"/>
        </w:rPr>
        <w:t xml:space="preserve">the </w:t>
      </w:r>
      <w:r w:rsidRPr="00840CF8">
        <w:rPr>
          <w:rFonts w:ascii="Book Antiqua" w:hAnsi="Book Antiqua" w:cs="Arial"/>
          <w:color w:val="000000" w:themeColor="text1"/>
          <w:szCs w:val="24"/>
        </w:rPr>
        <w:t>late gastrointestinal tract (includ</w:t>
      </w:r>
      <w:r w:rsidR="00412116" w:rsidRPr="00840CF8">
        <w:rPr>
          <w:rFonts w:ascii="Book Antiqua" w:hAnsi="Book Antiqua" w:cs="Arial"/>
          <w:color w:val="000000" w:themeColor="text1"/>
          <w:szCs w:val="24"/>
        </w:rPr>
        <w:t>ing</w:t>
      </w:r>
      <w:r w:rsidRPr="00840CF8">
        <w:rPr>
          <w:rFonts w:ascii="Book Antiqua" w:hAnsi="Book Antiqua" w:cs="Arial"/>
          <w:color w:val="000000" w:themeColor="text1"/>
          <w:szCs w:val="24"/>
        </w:rPr>
        <w:t xml:space="preserve"> radiation-induced liver disease). </w:t>
      </w:r>
      <w:bookmarkEnd w:id="7"/>
      <w:r w:rsidRPr="00840CF8">
        <w:rPr>
          <w:rFonts w:ascii="Book Antiqua" w:hAnsi="Book Antiqua" w:cs="Arial"/>
          <w:color w:val="000000" w:themeColor="text1"/>
          <w:szCs w:val="24"/>
        </w:rPr>
        <w:t xml:space="preserve">Regarding CPT for the treatment of locoregional HCC, conventional CPT is preferred to treat central tumors of HCC to avoid late toxicities of </w:t>
      </w:r>
      <w:r w:rsidR="00521AE5" w:rsidRPr="00840CF8">
        <w:rPr>
          <w:rFonts w:ascii="Book Antiqua" w:hAnsi="Book Antiqua" w:cs="Arial"/>
          <w:color w:val="000000" w:themeColor="text1"/>
          <w:szCs w:val="24"/>
        </w:rPr>
        <w:t xml:space="preserve">the </w:t>
      </w:r>
      <w:r w:rsidRPr="00840CF8">
        <w:rPr>
          <w:rFonts w:ascii="Book Antiqua" w:hAnsi="Book Antiqua" w:cs="Arial"/>
          <w:color w:val="000000" w:themeColor="text1"/>
          <w:szCs w:val="24"/>
        </w:rPr>
        <w:t>biliary tract</w:t>
      </w:r>
      <w:bookmarkStart w:id="8" w:name="_Hlk11324108"/>
      <w:r w:rsidRPr="00840CF8">
        <w:rPr>
          <w:rFonts w:ascii="Book Antiqua" w:hAnsi="Book Antiqua" w:cs="Arial"/>
          <w:color w:val="000000" w:themeColor="text1"/>
          <w:szCs w:val="24"/>
        </w:rPr>
        <w:t xml:space="preserve">. In contrast, </w:t>
      </w:r>
      <w:r w:rsidR="00521AE5" w:rsidRPr="00840CF8">
        <w:rPr>
          <w:rFonts w:ascii="Book Antiqua" w:hAnsi="Book Antiqua" w:cs="Arial"/>
          <w:color w:val="000000" w:themeColor="text1"/>
          <w:szCs w:val="24"/>
        </w:rPr>
        <w:t xml:space="preserve">the </w:t>
      </w:r>
      <w:r w:rsidRPr="00840CF8">
        <w:rPr>
          <w:rFonts w:ascii="Book Antiqua" w:hAnsi="Book Antiqua" w:cs="Arial"/>
          <w:color w:val="000000" w:themeColor="text1"/>
          <w:szCs w:val="24"/>
        </w:rPr>
        <w:t xml:space="preserve">hypo-fractionation regimen of CPT is suggested </w:t>
      </w:r>
      <w:r w:rsidR="004D1723" w:rsidRPr="00840CF8">
        <w:rPr>
          <w:rFonts w:ascii="Book Antiqua" w:hAnsi="Book Antiqua" w:cs="Arial"/>
          <w:color w:val="000000" w:themeColor="text1"/>
          <w:szCs w:val="24"/>
        </w:rPr>
        <w:t xml:space="preserve">for </w:t>
      </w:r>
      <w:r w:rsidRPr="00840CF8">
        <w:rPr>
          <w:rFonts w:ascii="Book Antiqua" w:hAnsi="Book Antiqua" w:cs="Arial"/>
          <w:color w:val="000000" w:themeColor="text1"/>
          <w:szCs w:val="24"/>
        </w:rPr>
        <w:t>treat</w:t>
      </w:r>
      <w:r w:rsidR="004D1723" w:rsidRPr="00840CF8">
        <w:rPr>
          <w:rFonts w:ascii="Book Antiqua" w:hAnsi="Book Antiqua" w:cs="Arial"/>
          <w:color w:val="000000" w:themeColor="text1"/>
          <w:szCs w:val="24"/>
        </w:rPr>
        <w:t>ment of</w:t>
      </w:r>
      <w:r w:rsidRPr="00840CF8">
        <w:rPr>
          <w:rFonts w:ascii="Book Antiqua" w:hAnsi="Book Antiqua" w:cs="Arial"/>
          <w:color w:val="000000" w:themeColor="text1"/>
          <w:szCs w:val="24"/>
        </w:rPr>
        <w:t xml:space="preserve"> </w:t>
      </w:r>
      <w:r w:rsidR="00521AE5" w:rsidRPr="00840CF8">
        <w:rPr>
          <w:rFonts w:ascii="Book Antiqua" w:hAnsi="Book Antiqua" w:cs="Arial"/>
          <w:color w:val="000000" w:themeColor="text1"/>
          <w:szCs w:val="24"/>
        </w:rPr>
        <w:t>larger-</w:t>
      </w:r>
      <w:r w:rsidRPr="00840CF8">
        <w:rPr>
          <w:rFonts w:ascii="Book Antiqua" w:hAnsi="Book Antiqua" w:cs="Arial"/>
          <w:color w:val="000000" w:themeColor="text1"/>
          <w:szCs w:val="24"/>
        </w:rPr>
        <w:t>size</w:t>
      </w:r>
      <w:r w:rsidR="00521AE5" w:rsidRPr="00840CF8">
        <w:rPr>
          <w:rFonts w:ascii="Book Antiqua" w:hAnsi="Book Antiqua" w:cs="Arial"/>
          <w:color w:val="000000" w:themeColor="text1"/>
          <w:szCs w:val="24"/>
        </w:rPr>
        <w:t>d</w:t>
      </w:r>
      <w:r w:rsidRPr="00840CF8">
        <w:rPr>
          <w:rFonts w:ascii="Book Antiqua" w:hAnsi="Book Antiqua" w:cs="Arial"/>
          <w:color w:val="000000" w:themeColor="text1"/>
          <w:szCs w:val="24"/>
        </w:rPr>
        <w:t xml:space="preserve"> tumors of HCC to overcom</w:t>
      </w:r>
      <w:r w:rsidR="00521AE5" w:rsidRPr="00840CF8">
        <w:rPr>
          <w:rFonts w:ascii="Book Antiqua" w:hAnsi="Book Antiqua" w:cs="Arial"/>
          <w:color w:val="000000" w:themeColor="text1"/>
          <w:szCs w:val="24"/>
        </w:rPr>
        <w:t>e</w:t>
      </w:r>
      <w:r w:rsidRPr="00840CF8">
        <w:rPr>
          <w:rFonts w:ascii="Book Antiqua" w:hAnsi="Book Antiqua" w:cs="Arial"/>
          <w:color w:val="000000" w:themeColor="text1"/>
          <w:szCs w:val="24"/>
        </w:rPr>
        <w:t xml:space="preserve"> potential radio</w:t>
      </w:r>
      <w:r w:rsidR="008144AA" w:rsidRPr="00840CF8">
        <w:rPr>
          <w:rFonts w:ascii="Book Antiqua" w:hAnsi="Book Antiqua" w:cs="Arial"/>
          <w:color w:val="000000" w:themeColor="text1"/>
          <w:szCs w:val="24"/>
        </w:rPr>
        <w:t>-</w:t>
      </w:r>
      <w:r w:rsidRPr="00840CF8">
        <w:rPr>
          <w:rFonts w:ascii="Book Antiqua" w:hAnsi="Book Antiqua" w:cs="Arial"/>
          <w:color w:val="000000" w:themeColor="text1"/>
          <w:szCs w:val="24"/>
        </w:rPr>
        <w:t>resistance.</w:t>
      </w:r>
      <w:bookmarkEnd w:id="8"/>
    </w:p>
    <w:p w14:paraId="130737CB" w14:textId="77777777" w:rsidR="00B47809" w:rsidRPr="00840CF8" w:rsidRDefault="00B47809" w:rsidP="00CB7D2C">
      <w:pPr>
        <w:autoSpaceDE w:val="0"/>
        <w:autoSpaceDN w:val="0"/>
        <w:adjustRightInd w:val="0"/>
        <w:snapToGrid w:val="0"/>
        <w:spacing w:line="360" w:lineRule="auto"/>
        <w:jc w:val="both"/>
        <w:rPr>
          <w:rFonts w:ascii="Book Antiqua" w:hAnsi="Book Antiqua" w:cs="Arial"/>
          <w:b/>
          <w:bCs/>
          <w:color w:val="000000" w:themeColor="text1"/>
          <w:szCs w:val="24"/>
        </w:rPr>
      </w:pPr>
    </w:p>
    <w:p w14:paraId="16F42B02" w14:textId="77777777" w:rsidR="00AB3190" w:rsidRPr="00840CF8" w:rsidRDefault="00AB3190" w:rsidP="00CB7D2C">
      <w:pPr>
        <w:autoSpaceDE w:val="0"/>
        <w:autoSpaceDN w:val="0"/>
        <w:adjustRightInd w:val="0"/>
        <w:snapToGrid w:val="0"/>
        <w:spacing w:line="360" w:lineRule="auto"/>
        <w:jc w:val="both"/>
        <w:rPr>
          <w:rFonts w:ascii="Book Antiqua" w:hAnsi="Book Antiqua" w:cs="Arial"/>
          <w:color w:val="000000" w:themeColor="text1"/>
          <w:szCs w:val="24"/>
        </w:rPr>
      </w:pPr>
      <w:r w:rsidRPr="00840CF8">
        <w:rPr>
          <w:rFonts w:ascii="Book Antiqua" w:hAnsi="Book Antiqua" w:cs="Arial"/>
          <w:b/>
          <w:bCs/>
          <w:color w:val="000000" w:themeColor="text1"/>
          <w:szCs w:val="24"/>
        </w:rPr>
        <w:t>Key</w:t>
      </w:r>
      <w:r w:rsidR="002F79C9" w:rsidRPr="00840CF8">
        <w:rPr>
          <w:rFonts w:ascii="Book Antiqua" w:hAnsi="Book Antiqua" w:cs="Arial"/>
          <w:b/>
          <w:bCs/>
          <w:color w:val="000000" w:themeColor="text1"/>
          <w:szCs w:val="24"/>
        </w:rPr>
        <w:t xml:space="preserve"> </w:t>
      </w:r>
      <w:r w:rsidRPr="00840CF8">
        <w:rPr>
          <w:rFonts w:ascii="Book Antiqua" w:hAnsi="Book Antiqua" w:cs="Arial"/>
          <w:b/>
          <w:bCs/>
          <w:color w:val="000000" w:themeColor="text1"/>
          <w:szCs w:val="24"/>
        </w:rPr>
        <w:t xml:space="preserve">words: </w:t>
      </w:r>
      <w:r w:rsidR="00745A9C" w:rsidRPr="00840CF8">
        <w:rPr>
          <w:rFonts w:ascii="Book Antiqua" w:hAnsi="Book Antiqua" w:cs="Arial"/>
          <w:color w:val="000000" w:themeColor="text1"/>
          <w:szCs w:val="24"/>
        </w:rPr>
        <w:t xml:space="preserve">Hepatocellular </w:t>
      </w:r>
      <w:r w:rsidRPr="00840CF8">
        <w:rPr>
          <w:rFonts w:ascii="Book Antiqua" w:hAnsi="Book Antiqua" w:cs="Arial"/>
          <w:color w:val="000000" w:themeColor="text1"/>
          <w:szCs w:val="24"/>
        </w:rPr>
        <w:t>carcinoma</w:t>
      </w:r>
      <w:r w:rsidR="00745A9C" w:rsidRPr="00840CF8">
        <w:rPr>
          <w:rFonts w:ascii="Book Antiqua" w:hAnsi="Book Antiqua" w:cs="Arial"/>
          <w:bCs/>
          <w:color w:val="000000" w:themeColor="text1"/>
          <w:szCs w:val="24"/>
        </w:rPr>
        <w:t>;</w:t>
      </w:r>
      <w:r w:rsidRPr="00840CF8">
        <w:rPr>
          <w:rFonts w:ascii="Book Antiqua" w:hAnsi="Book Antiqua" w:cs="Arial"/>
          <w:bCs/>
          <w:color w:val="000000" w:themeColor="text1"/>
          <w:szCs w:val="24"/>
        </w:rPr>
        <w:t xml:space="preserve"> </w:t>
      </w:r>
      <w:r w:rsidR="00745A9C" w:rsidRPr="00840CF8">
        <w:rPr>
          <w:rFonts w:ascii="Book Antiqua" w:hAnsi="Book Antiqua" w:cs="Arial"/>
          <w:color w:val="000000" w:themeColor="text1"/>
          <w:szCs w:val="24"/>
        </w:rPr>
        <w:t xml:space="preserve">Proton </w:t>
      </w:r>
      <w:r w:rsidRPr="00840CF8">
        <w:rPr>
          <w:rFonts w:ascii="Book Antiqua" w:hAnsi="Book Antiqua" w:cs="Arial"/>
          <w:color w:val="000000" w:themeColor="text1"/>
          <w:szCs w:val="24"/>
        </w:rPr>
        <w:t>beam therapy</w:t>
      </w:r>
      <w:r w:rsidR="00745A9C"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745A9C" w:rsidRPr="00840CF8">
        <w:rPr>
          <w:rFonts w:ascii="Book Antiqua" w:hAnsi="Book Antiqua" w:cs="Arial"/>
          <w:color w:val="000000" w:themeColor="text1"/>
          <w:szCs w:val="24"/>
        </w:rPr>
        <w:t xml:space="preserve">Carbon </w:t>
      </w:r>
      <w:r w:rsidRPr="00840CF8">
        <w:rPr>
          <w:rFonts w:ascii="Book Antiqua" w:hAnsi="Book Antiqua" w:cs="Arial"/>
          <w:color w:val="000000" w:themeColor="text1"/>
          <w:szCs w:val="24"/>
        </w:rPr>
        <w:t>ion radiotherapy</w:t>
      </w:r>
      <w:r w:rsidR="00745A9C"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745A9C" w:rsidRPr="00840CF8">
        <w:rPr>
          <w:rFonts w:ascii="Book Antiqua" w:hAnsi="Book Antiqua" w:cs="Arial"/>
          <w:color w:val="000000" w:themeColor="text1"/>
          <w:szCs w:val="24"/>
        </w:rPr>
        <w:t xml:space="preserve">Local </w:t>
      </w:r>
      <w:r w:rsidRPr="00840CF8">
        <w:rPr>
          <w:rFonts w:ascii="Book Antiqua" w:hAnsi="Book Antiqua" w:cs="Arial"/>
          <w:color w:val="000000" w:themeColor="text1"/>
          <w:szCs w:val="24"/>
        </w:rPr>
        <w:t>control</w:t>
      </w:r>
      <w:r w:rsidR="00745A9C"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745A9C" w:rsidRPr="00840CF8">
        <w:rPr>
          <w:rFonts w:ascii="Book Antiqua" w:hAnsi="Book Antiqua" w:cs="Arial"/>
          <w:color w:val="000000" w:themeColor="text1"/>
          <w:szCs w:val="24"/>
        </w:rPr>
        <w:t>Toxicity;</w:t>
      </w:r>
      <w:r w:rsidRPr="00840CF8">
        <w:rPr>
          <w:rFonts w:ascii="Book Antiqua" w:hAnsi="Book Antiqua" w:cs="Arial"/>
          <w:color w:val="000000" w:themeColor="text1"/>
          <w:szCs w:val="24"/>
        </w:rPr>
        <w:t xml:space="preserve"> </w:t>
      </w:r>
      <w:r w:rsidR="00745A9C" w:rsidRPr="00840CF8">
        <w:rPr>
          <w:rFonts w:ascii="Book Antiqua" w:hAnsi="Book Antiqua" w:cs="Arial"/>
          <w:color w:val="000000" w:themeColor="text1"/>
          <w:szCs w:val="24"/>
        </w:rPr>
        <w:t xml:space="preserve">Overall </w:t>
      </w:r>
      <w:r w:rsidRPr="00840CF8">
        <w:rPr>
          <w:rFonts w:ascii="Book Antiqua" w:hAnsi="Book Antiqua" w:cs="Arial"/>
          <w:color w:val="000000" w:themeColor="text1"/>
          <w:szCs w:val="24"/>
        </w:rPr>
        <w:t>survival</w:t>
      </w:r>
    </w:p>
    <w:p w14:paraId="3022B169" w14:textId="77777777" w:rsidR="00AB3190" w:rsidRPr="00840CF8" w:rsidRDefault="00AB3190" w:rsidP="00CB7D2C">
      <w:pPr>
        <w:snapToGrid w:val="0"/>
        <w:spacing w:line="360" w:lineRule="auto"/>
        <w:jc w:val="both"/>
        <w:rPr>
          <w:rFonts w:ascii="Book Antiqua" w:hAnsi="Book Antiqua" w:cs="Arial"/>
          <w:b/>
          <w:color w:val="000000" w:themeColor="text1"/>
          <w:szCs w:val="24"/>
        </w:rPr>
      </w:pPr>
    </w:p>
    <w:p w14:paraId="3DFCE023" w14:textId="77777777" w:rsidR="00870B18" w:rsidRPr="00840CF8" w:rsidRDefault="00870B18" w:rsidP="00CB7D2C">
      <w:pPr>
        <w:autoSpaceDE w:val="0"/>
        <w:autoSpaceDN w:val="0"/>
        <w:adjustRightInd w:val="0"/>
        <w:snapToGrid w:val="0"/>
        <w:spacing w:line="360" w:lineRule="auto"/>
        <w:rPr>
          <w:rFonts w:ascii="Book Antiqua" w:hAnsi="Book Antiqua" w:cs="Arial Unicode MS"/>
          <w:color w:val="000000" w:themeColor="text1"/>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840CF8">
        <w:rPr>
          <w:rFonts w:ascii="Book Antiqua" w:hAnsi="Book Antiqua"/>
          <w:b/>
          <w:color w:val="000000" w:themeColor="text1"/>
          <w:lang w:val="en-GB"/>
        </w:rPr>
        <w:t xml:space="preserve">© </w:t>
      </w:r>
      <w:r w:rsidRPr="00840CF8">
        <w:rPr>
          <w:rFonts w:ascii="Book Antiqua" w:eastAsia="AdvTimes" w:hAnsi="Book Antiqua" w:cs="AdvTimes"/>
          <w:b/>
          <w:color w:val="000000" w:themeColor="text1"/>
        </w:rPr>
        <w:t>The Author(s) 201</w:t>
      </w:r>
      <w:r w:rsidRPr="00840CF8">
        <w:rPr>
          <w:rFonts w:ascii="Book Antiqua" w:hAnsi="Book Antiqua" w:cs="AdvTimes"/>
          <w:b/>
          <w:color w:val="000000" w:themeColor="text1"/>
        </w:rPr>
        <w:t>9</w:t>
      </w:r>
      <w:r w:rsidRPr="00840CF8">
        <w:rPr>
          <w:rFonts w:ascii="Book Antiqua" w:eastAsia="AdvTimes" w:hAnsi="Book Antiqua" w:cs="AdvTimes"/>
          <w:color w:val="000000" w:themeColor="text1"/>
        </w:rPr>
        <w:t xml:space="preserve"> Published by </w:t>
      </w:r>
      <w:r w:rsidRPr="00840CF8">
        <w:rPr>
          <w:rFonts w:ascii="Book Antiqua" w:hAnsi="Book Antiqua" w:cs="Arial Unicode MS"/>
          <w:color w:val="000000" w:themeColor="text1"/>
          <w:lang w:val="en-GB"/>
        </w:rPr>
        <w:t>Baishideng Publishing Group Inc.</w:t>
      </w:r>
      <w:r w:rsidRPr="00840CF8">
        <w:rPr>
          <w:rFonts w:ascii="Book Antiqua" w:hAnsi="Book Antiqua" w:cs="Arial Unicode MS"/>
          <w:color w:val="000000" w:themeColor="text1"/>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92F7423" w14:textId="77777777" w:rsidR="00745A9C" w:rsidRPr="00840CF8" w:rsidRDefault="00745A9C" w:rsidP="00CB7D2C">
      <w:pPr>
        <w:snapToGrid w:val="0"/>
        <w:spacing w:line="360" w:lineRule="auto"/>
        <w:jc w:val="both"/>
        <w:rPr>
          <w:rFonts w:ascii="Book Antiqua" w:hAnsi="Book Antiqua" w:cs="Arial"/>
          <w:b/>
          <w:color w:val="000000" w:themeColor="text1"/>
          <w:szCs w:val="24"/>
        </w:rPr>
      </w:pPr>
    </w:p>
    <w:p w14:paraId="1C8718E4" w14:textId="77777777" w:rsidR="00C90CC7" w:rsidRPr="00840CF8" w:rsidRDefault="00AB3190" w:rsidP="00CB7D2C">
      <w:pPr>
        <w:snapToGrid w:val="0"/>
        <w:spacing w:line="360" w:lineRule="auto"/>
        <w:jc w:val="both"/>
        <w:rPr>
          <w:rFonts w:ascii="Book Antiqua" w:hAnsi="Book Antiqua" w:cs="Arial"/>
          <w:color w:val="000000" w:themeColor="text1"/>
          <w:szCs w:val="24"/>
        </w:rPr>
      </w:pPr>
      <w:r w:rsidRPr="00840CF8">
        <w:rPr>
          <w:rFonts w:ascii="Book Antiqua" w:hAnsi="Book Antiqua" w:cs="Arial"/>
          <w:b/>
          <w:color w:val="000000" w:themeColor="text1"/>
          <w:szCs w:val="24"/>
        </w:rPr>
        <w:t>Core tip</w:t>
      </w:r>
      <w:r w:rsidR="00546850" w:rsidRPr="00840CF8">
        <w:rPr>
          <w:rFonts w:ascii="Book Antiqua" w:hAnsi="Book Antiqua" w:cs="Arial"/>
          <w:b/>
          <w:color w:val="000000" w:themeColor="text1"/>
          <w:szCs w:val="24"/>
        </w:rPr>
        <w:t xml:space="preserve">: </w:t>
      </w:r>
      <w:bookmarkStart w:id="144" w:name="_Hlk11324198"/>
      <w:r w:rsidRPr="00840CF8">
        <w:rPr>
          <w:rFonts w:ascii="Book Antiqua" w:hAnsi="Book Antiqua" w:cs="Arial"/>
          <w:color w:val="000000" w:themeColor="text1"/>
          <w:szCs w:val="24"/>
        </w:rPr>
        <w:t>Charged particle therapy (CPT)</w:t>
      </w:r>
      <w:r w:rsidR="00086344" w:rsidRPr="00840CF8">
        <w:rPr>
          <w:rFonts w:ascii="Book Antiqua" w:hAnsi="Book Antiqua" w:cs="Arial"/>
          <w:color w:val="000000" w:themeColor="text1"/>
          <w:szCs w:val="24"/>
        </w:rPr>
        <w:t xml:space="preserve"> for </w:t>
      </w:r>
      <w:r w:rsidR="0067381D" w:rsidRPr="00840CF8">
        <w:rPr>
          <w:rFonts w:ascii="Book Antiqua" w:hAnsi="Book Antiqua" w:cs="Arial"/>
          <w:color w:val="000000" w:themeColor="text1"/>
          <w:szCs w:val="24"/>
        </w:rPr>
        <w:t>hepatocellular</w:t>
      </w:r>
      <w:r w:rsidR="00086344" w:rsidRPr="00840CF8">
        <w:rPr>
          <w:rFonts w:ascii="Book Antiqua" w:hAnsi="Book Antiqua" w:cs="Arial"/>
          <w:color w:val="000000" w:themeColor="text1"/>
          <w:szCs w:val="24"/>
        </w:rPr>
        <w:t xml:space="preserve"> carcinoma (HCC)</w:t>
      </w:r>
      <w:r w:rsidRPr="00840CF8">
        <w:rPr>
          <w:rFonts w:ascii="Book Antiqua" w:hAnsi="Book Antiqua" w:cs="Arial"/>
          <w:color w:val="000000" w:themeColor="text1"/>
          <w:szCs w:val="24"/>
        </w:rPr>
        <w:t xml:space="preserve">, including proton beam therapy and carbon ion radiotherapy, </w:t>
      </w:r>
      <w:r w:rsidR="001B42BA" w:rsidRPr="00840CF8">
        <w:rPr>
          <w:rFonts w:ascii="Book Antiqua" w:hAnsi="Book Antiqua" w:cs="Arial"/>
          <w:color w:val="000000" w:themeColor="text1"/>
          <w:szCs w:val="24"/>
        </w:rPr>
        <w:t xml:space="preserve">offers </w:t>
      </w:r>
      <w:r w:rsidRPr="00840CF8">
        <w:rPr>
          <w:rFonts w:ascii="Book Antiqua" w:hAnsi="Book Antiqua" w:cs="Arial"/>
          <w:color w:val="000000" w:themeColor="text1"/>
          <w:szCs w:val="24"/>
        </w:rPr>
        <w:t>physics</w:t>
      </w:r>
      <w:r w:rsidR="00E53F22" w:rsidRPr="00840CF8">
        <w:rPr>
          <w:rFonts w:ascii="Book Antiqua" w:hAnsi="Book Antiqua" w:cs="Arial"/>
          <w:color w:val="000000" w:themeColor="text1"/>
          <w:szCs w:val="24"/>
        </w:rPr>
        <w:t>-related</w:t>
      </w:r>
      <w:r w:rsidRPr="00840CF8">
        <w:rPr>
          <w:rFonts w:ascii="Book Antiqua" w:hAnsi="Book Antiqua" w:cs="Arial"/>
          <w:color w:val="000000" w:themeColor="text1"/>
          <w:szCs w:val="24"/>
        </w:rPr>
        <w:t xml:space="preserve"> advantages and results in better local control rates and less</w:t>
      </w:r>
      <w:r w:rsidR="00E53F22" w:rsidRPr="00840CF8">
        <w:rPr>
          <w:rFonts w:ascii="Book Antiqua" w:hAnsi="Book Antiqua" w:cs="Arial"/>
          <w:color w:val="000000" w:themeColor="text1"/>
          <w:szCs w:val="24"/>
        </w:rPr>
        <w:t>er</w:t>
      </w:r>
      <w:r w:rsidRPr="00840CF8">
        <w:rPr>
          <w:rFonts w:ascii="Book Antiqua" w:hAnsi="Book Antiqua" w:cs="Arial"/>
          <w:color w:val="000000" w:themeColor="text1"/>
          <w:szCs w:val="24"/>
        </w:rPr>
        <w:t xml:space="preserve"> adverse effects</w:t>
      </w:r>
      <w:bookmarkEnd w:id="144"/>
      <w:r w:rsidRPr="00840CF8">
        <w:rPr>
          <w:rFonts w:ascii="Book Antiqua" w:hAnsi="Book Antiqua" w:cs="Arial"/>
          <w:color w:val="000000" w:themeColor="text1"/>
          <w:szCs w:val="24"/>
        </w:rPr>
        <w:t>. For peripherally large</w:t>
      </w:r>
      <w:r w:rsidR="00116C26"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sized HCC tumors, </w:t>
      </w:r>
      <w:r w:rsidR="00086344" w:rsidRPr="00840CF8">
        <w:rPr>
          <w:rFonts w:ascii="Book Antiqua" w:hAnsi="Book Antiqua" w:cs="Arial"/>
          <w:color w:val="000000" w:themeColor="text1"/>
          <w:szCs w:val="24"/>
        </w:rPr>
        <w:t xml:space="preserve">the </w:t>
      </w:r>
      <w:r w:rsidRPr="00840CF8">
        <w:rPr>
          <w:rFonts w:ascii="Book Antiqua" w:hAnsi="Book Antiqua" w:cs="Arial"/>
          <w:color w:val="000000" w:themeColor="text1"/>
          <w:szCs w:val="24"/>
        </w:rPr>
        <w:t xml:space="preserve">hypo-fractionation regimen of CPT provides </w:t>
      </w:r>
      <w:r w:rsidR="00086344" w:rsidRPr="00840CF8">
        <w:rPr>
          <w:rFonts w:ascii="Book Antiqua" w:hAnsi="Book Antiqua" w:cs="Arial"/>
          <w:color w:val="000000" w:themeColor="text1"/>
          <w:szCs w:val="24"/>
        </w:rPr>
        <w:t xml:space="preserve">the </w:t>
      </w:r>
      <w:r w:rsidRPr="00840CF8">
        <w:rPr>
          <w:rFonts w:ascii="Book Antiqua" w:hAnsi="Book Antiqua" w:cs="Arial"/>
          <w:color w:val="000000" w:themeColor="text1"/>
          <w:szCs w:val="24"/>
        </w:rPr>
        <w:t xml:space="preserve">benefit </w:t>
      </w:r>
      <w:r w:rsidR="00086344" w:rsidRPr="00840CF8">
        <w:rPr>
          <w:rFonts w:ascii="Book Antiqua" w:hAnsi="Book Antiqua" w:cs="Arial"/>
          <w:color w:val="000000" w:themeColor="text1"/>
          <w:szCs w:val="24"/>
        </w:rPr>
        <w:t xml:space="preserve">of </w:t>
      </w:r>
      <w:r w:rsidRPr="00840CF8">
        <w:rPr>
          <w:rFonts w:ascii="Book Antiqua" w:hAnsi="Book Antiqua" w:cs="Arial"/>
          <w:color w:val="000000" w:themeColor="text1"/>
          <w:szCs w:val="24"/>
        </w:rPr>
        <w:t>increasing local control rates through overcoming radio</w:t>
      </w:r>
      <w:r w:rsidR="00822BD7"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resistance, whereas conventional CPT is preferred </w:t>
      </w:r>
      <w:r w:rsidR="009A5FDE" w:rsidRPr="00840CF8">
        <w:rPr>
          <w:rFonts w:ascii="Book Antiqua" w:hAnsi="Book Antiqua" w:cs="Arial"/>
          <w:color w:val="000000" w:themeColor="text1"/>
          <w:szCs w:val="24"/>
        </w:rPr>
        <w:t xml:space="preserve">for </w:t>
      </w:r>
      <w:r w:rsidRPr="00840CF8">
        <w:rPr>
          <w:rFonts w:ascii="Book Antiqua" w:hAnsi="Book Antiqua" w:cs="Arial"/>
          <w:color w:val="000000" w:themeColor="text1"/>
          <w:szCs w:val="24"/>
        </w:rPr>
        <w:t xml:space="preserve">treating central tumors of HCC in terms of avoiding late toxicities of the biliary tract. Prospective data </w:t>
      </w:r>
      <w:r w:rsidR="00713C35" w:rsidRPr="00840CF8">
        <w:rPr>
          <w:rFonts w:ascii="Book Antiqua" w:hAnsi="Book Antiqua" w:cs="Arial"/>
          <w:color w:val="000000" w:themeColor="text1"/>
          <w:szCs w:val="24"/>
        </w:rPr>
        <w:t xml:space="preserve">that will add to the </w:t>
      </w:r>
      <w:r w:rsidRPr="00840CF8">
        <w:rPr>
          <w:rFonts w:ascii="Book Antiqua" w:hAnsi="Book Antiqua" w:cs="Arial"/>
          <w:color w:val="000000" w:themeColor="text1"/>
          <w:szCs w:val="24"/>
        </w:rPr>
        <w:t>accumulate</w:t>
      </w:r>
      <w:r w:rsidR="00713C35" w:rsidRPr="00840CF8">
        <w:rPr>
          <w:rFonts w:ascii="Book Antiqua" w:hAnsi="Book Antiqua" w:cs="Arial"/>
          <w:color w:val="000000" w:themeColor="text1"/>
          <w:szCs w:val="24"/>
        </w:rPr>
        <w:t>d</w:t>
      </w:r>
      <w:r w:rsidRPr="00840CF8">
        <w:rPr>
          <w:rFonts w:ascii="Book Antiqua" w:hAnsi="Book Antiqua" w:cs="Arial"/>
          <w:color w:val="000000" w:themeColor="text1"/>
          <w:szCs w:val="24"/>
        </w:rPr>
        <w:t xml:space="preserve"> </w:t>
      </w:r>
      <w:r w:rsidR="00713C35" w:rsidRPr="00840CF8">
        <w:rPr>
          <w:rFonts w:ascii="Book Antiqua" w:hAnsi="Book Antiqua" w:cs="Arial"/>
          <w:color w:val="000000" w:themeColor="text1"/>
          <w:szCs w:val="24"/>
        </w:rPr>
        <w:t xml:space="preserve">evidence </w:t>
      </w:r>
      <w:r w:rsidR="00103CFE" w:rsidRPr="00840CF8">
        <w:rPr>
          <w:rFonts w:ascii="Book Antiqua" w:hAnsi="Book Antiqua" w:cs="Arial"/>
          <w:color w:val="000000" w:themeColor="text1"/>
          <w:szCs w:val="24"/>
        </w:rPr>
        <w:t xml:space="preserve">on the </w:t>
      </w:r>
      <w:r w:rsidRPr="00840CF8">
        <w:rPr>
          <w:rFonts w:ascii="Book Antiqua" w:hAnsi="Book Antiqua" w:cs="Arial"/>
          <w:color w:val="000000" w:themeColor="text1"/>
          <w:szCs w:val="24"/>
        </w:rPr>
        <w:t xml:space="preserve">dosimetric constraints </w:t>
      </w:r>
      <w:r w:rsidR="00995396" w:rsidRPr="00840CF8">
        <w:rPr>
          <w:rFonts w:ascii="Book Antiqua" w:hAnsi="Book Antiqua" w:cs="Arial"/>
          <w:color w:val="000000" w:themeColor="text1"/>
          <w:szCs w:val="24"/>
        </w:rPr>
        <w:t xml:space="preserve">of </w:t>
      </w:r>
      <w:r w:rsidRPr="00840CF8">
        <w:rPr>
          <w:rFonts w:ascii="Book Antiqua" w:hAnsi="Book Antiqua" w:cs="Arial"/>
          <w:color w:val="000000" w:themeColor="text1"/>
          <w:szCs w:val="24"/>
        </w:rPr>
        <w:t xml:space="preserve">hypofractionated CPT </w:t>
      </w:r>
      <w:r w:rsidR="00F60819" w:rsidRPr="00840CF8">
        <w:rPr>
          <w:rFonts w:ascii="Book Antiqua" w:hAnsi="Book Antiqua" w:cs="Arial"/>
          <w:color w:val="000000" w:themeColor="text1"/>
          <w:szCs w:val="24"/>
        </w:rPr>
        <w:t xml:space="preserve">for </w:t>
      </w:r>
      <w:r w:rsidRPr="00840CF8">
        <w:rPr>
          <w:rFonts w:ascii="Book Antiqua" w:hAnsi="Book Antiqua" w:cs="Arial"/>
          <w:color w:val="000000" w:themeColor="text1"/>
          <w:szCs w:val="24"/>
        </w:rPr>
        <w:t>the treatment of HCC</w:t>
      </w:r>
      <w:r w:rsidR="00713C35" w:rsidRPr="00840CF8">
        <w:rPr>
          <w:rFonts w:ascii="Book Antiqua" w:hAnsi="Book Antiqua" w:cs="Arial"/>
          <w:color w:val="000000" w:themeColor="text1"/>
          <w:szCs w:val="24"/>
        </w:rPr>
        <w:t xml:space="preserve"> </w:t>
      </w:r>
      <w:r w:rsidR="00116C26" w:rsidRPr="00840CF8">
        <w:rPr>
          <w:rFonts w:ascii="Book Antiqua" w:hAnsi="Book Antiqua" w:cs="Arial"/>
          <w:color w:val="000000" w:themeColor="text1"/>
          <w:szCs w:val="24"/>
        </w:rPr>
        <w:t>are</w:t>
      </w:r>
      <w:r w:rsidR="00713C35" w:rsidRPr="00840CF8">
        <w:rPr>
          <w:rFonts w:ascii="Book Antiqua" w:hAnsi="Book Antiqua" w:cs="Arial"/>
          <w:color w:val="000000" w:themeColor="text1"/>
          <w:szCs w:val="24"/>
        </w:rPr>
        <w:t xml:space="preserve"> needed</w:t>
      </w:r>
      <w:r w:rsidRPr="00840CF8">
        <w:rPr>
          <w:rFonts w:ascii="Book Antiqua" w:hAnsi="Book Antiqua" w:cs="Arial"/>
          <w:color w:val="000000" w:themeColor="text1"/>
          <w:szCs w:val="24"/>
        </w:rPr>
        <w:t xml:space="preserve">. </w:t>
      </w:r>
      <w:bookmarkStart w:id="145" w:name="_Hlk10469952"/>
    </w:p>
    <w:bookmarkEnd w:id="145"/>
    <w:p w14:paraId="05D2A2D2" w14:textId="77777777" w:rsidR="005D708E" w:rsidRPr="00840CF8" w:rsidRDefault="005D708E" w:rsidP="00CB7D2C">
      <w:pPr>
        <w:snapToGrid w:val="0"/>
        <w:spacing w:line="360" w:lineRule="auto"/>
        <w:rPr>
          <w:rFonts w:ascii="Book Antiqua" w:hAnsi="Book Antiqua" w:cs="Arial"/>
          <w:b/>
          <w:color w:val="000000" w:themeColor="text1"/>
          <w:szCs w:val="24"/>
        </w:rPr>
      </w:pPr>
    </w:p>
    <w:p w14:paraId="385487F1" w14:textId="154E678B" w:rsidR="00BE65F9" w:rsidRPr="00840CF8" w:rsidRDefault="002C331A" w:rsidP="00BE65F9">
      <w:pPr>
        <w:spacing w:line="360" w:lineRule="auto"/>
        <w:jc w:val="both"/>
        <w:rPr>
          <w:rFonts w:ascii="Book Antiqua" w:hAnsi="Book Antiqua"/>
        </w:rPr>
      </w:pPr>
      <w:r w:rsidRPr="00840CF8">
        <w:rPr>
          <w:rFonts w:ascii="Book Antiqua" w:hAnsi="Book Antiqua"/>
          <w:b/>
          <w:bCs/>
          <w:color w:val="000000" w:themeColor="text1"/>
        </w:rPr>
        <w:t>Citation:</w:t>
      </w:r>
      <w:r w:rsidRPr="00840CF8">
        <w:rPr>
          <w:rFonts w:ascii="Book Antiqua" w:hAnsi="Book Antiqua"/>
          <w:color w:val="000000" w:themeColor="text1"/>
        </w:rPr>
        <w:t xml:space="preserve"> </w:t>
      </w:r>
      <w:r w:rsidR="008C16F6" w:rsidRPr="00840CF8">
        <w:rPr>
          <w:rFonts w:ascii="Book Antiqua" w:hAnsi="Book Antiqua" w:cs="Arial"/>
          <w:color w:val="000000" w:themeColor="text1"/>
        </w:rPr>
        <w:t>Hsu CY, Wang CW, Cheng AL, Kuo</w:t>
      </w:r>
      <w:r w:rsidR="008C16F6" w:rsidRPr="00840CF8">
        <w:rPr>
          <w:rStyle w:val="A50"/>
          <w:rFonts w:ascii="Book Antiqua" w:hAnsi="Book Antiqua" w:cs="Arial"/>
          <w:color w:val="000000" w:themeColor="text1"/>
          <w:sz w:val="24"/>
          <w:szCs w:val="24"/>
        </w:rPr>
        <w:t xml:space="preserve"> </w:t>
      </w:r>
      <w:r w:rsidR="008C16F6" w:rsidRPr="00840CF8">
        <w:rPr>
          <w:rStyle w:val="A50"/>
          <w:rFonts w:ascii="Book Antiqua" w:hAnsi="Book Antiqua" w:cs="Arial"/>
          <w:b w:val="0"/>
          <w:bCs w:val="0"/>
          <w:color w:val="000000" w:themeColor="text1"/>
          <w:sz w:val="24"/>
          <w:szCs w:val="24"/>
        </w:rPr>
        <w:t xml:space="preserve">SH. </w:t>
      </w:r>
      <w:r w:rsidR="00537207" w:rsidRPr="00840CF8">
        <w:rPr>
          <w:rStyle w:val="A50"/>
          <w:rFonts w:ascii="Book Antiqua" w:hAnsi="Book Antiqua" w:cs="Arial"/>
          <w:b w:val="0"/>
          <w:bCs w:val="0"/>
          <w:color w:val="000000" w:themeColor="text1"/>
          <w:sz w:val="24"/>
          <w:szCs w:val="24"/>
        </w:rPr>
        <w:t xml:space="preserve">Hypofractionated particle beam therapy for hepatocellular carcinoma–a brief review of clinical effectiveness. </w:t>
      </w:r>
      <w:r w:rsidR="00AA2495" w:rsidRPr="00840CF8">
        <w:rPr>
          <w:rStyle w:val="A50"/>
          <w:rFonts w:ascii="Book Antiqua" w:hAnsi="Book Antiqua" w:cs="Arial"/>
          <w:b w:val="0"/>
          <w:bCs w:val="0"/>
          <w:i/>
          <w:iCs/>
          <w:color w:val="000000" w:themeColor="text1"/>
          <w:sz w:val="24"/>
          <w:szCs w:val="24"/>
        </w:rPr>
        <w:t>World J Gastrointest Oncol</w:t>
      </w:r>
      <w:r w:rsidR="00AA2495" w:rsidRPr="00840CF8">
        <w:rPr>
          <w:rStyle w:val="A50"/>
          <w:rFonts w:ascii="Book Antiqua" w:hAnsi="Book Antiqua" w:cs="Arial"/>
          <w:b w:val="0"/>
          <w:bCs w:val="0"/>
          <w:color w:val="000000" w:themeColor="text1"/>
          <w:sz w:val="24"/>
          <w:szCs w:val="24"/>
        </w:rPr>
        <w:t xml:space="preserve"> </w:t>
      </w:r>
      <w:r w:rsidR="00BE65F9" w:rsidRPr="00840CF8">
        <w:rPr>
          <w:rFonts w:ascii="Book Antiqua" w:hAnsi="Book Antiqua"/>
        </w:rPr>
        <w:t xml:space="preserve">2019; 11(8): 579-588  </w:t>
      </w:r>
    </w:p>
    <w:p w14:paraId="1DF008FC" w14:textId="221B0A1D" w:rsidR="00BE65F9" w:rsidRPr="00840CF8" w:rsidRDefault="00BE65F9" w:rsidP="00BE65F9">
      <w:pPr>
        <w:spacing w:line="360" w:lineRule="auto"/>
        <w:jc w:val="both"/>
        <w:rPr>
          <w:rFonts w:ascii="Book Antiqua" w:hAnsi="Book Antiqua"/>
        </w:rPr>
      </w:pPr>
      <w:r w:rsidRPr="00840CF8">
        <w:rPr>
          <w:rFonts w:ascii="Book Antiqua" w:hAnsi="Book Antiqua"/>
          <w:b/>
          <w:bCs/>
        </w:rPr>
        <w:t xml:space="preserve">URL: </w:t>
      </w:r>
      <w:r w:rsidRPr="00840CF8">
        <w:rPr>
          <w:rFonts w:ascii="Book Antiqua" w:hAnsi="Book Antiqua"/>
        </w:rPr>
        <w:t xml:space="preserve">https://www.wjgnet.com/1948-5204/full/v11/i8/579.htm  </w:t>
      </w:r>
    </w:p>
    <w:p w14:paraId="1C957C9F" w14:textId="2F9FBFB4" w:rsidR="00BE65F9" w:rsidRPr="00840CF8" w:rsidRDefault="00BE65F9" w:rsidP="00BE65F9">
      <w:pPr>
        <w:spacing w:line="360" w:lineRule="auto"/>
        <w:jc w:val="both"/>
        <w:rPr>
          <w:rFonts w:ascii="Book Antiqua" w:hAnsi="Book Antiqua" w:cs="Arial"/>
          <w:b/>
        </w:rPr>
      </w:pPr>
      <w:r w:rsidRPr="00840CF8">
        <w:rPr>
          <w:rFonts w:ascii="Book Antiqua" w:hAnsi="Book Antiqua"/>
          <w:b/>
          <w:bCs/>
        </w:rPr>
        <w:t xml:space="preserve">DOI: </w:t>
      </w:r>
      <w:r w:rsidRPr="00840CF8">
        <w:rPr>
          <w:rFonts w:ascii="Book Antiqua" w:hAnsi="Book Antiqua"/>
        </w:rPr>
        <w:t>https://dx.doi.org/10.4251/wjgo.v11.i8.579</w:t>
      </w:r>
    </w:p>
    <w:p w14:paraId="7CBD0A68" w14:textId="690678C8" w:rsidR="008C16F6" w:rsidRPr="00840CF8" w:rsidRDefault="008C16F6" w:rsidP="00CB7D2C">
      <w:pPr>
        <w:pStyle w:val="Default"/>
        <w:snapToGrid w:val="0"/>
        <w:spacing w:line="360" w:lineRule="auto"/>
        <w:jc w:val="both"/>
        <w:rPr>
          <w:rStyle w:val="A50"/>
          <w:rFonts w:ascii="Book Antiqua" w:hAnsi="Book Antiqua" w:cs="Arial"/>
          <w:color w:val="000000" w:themeColor="text1"/>
          <w:sz w:val="24"/>
          <w:szCs w:val="24"/>
        </w:rPr>
      </w:pPr>
    </w:p>
    <w:p w14:paraId="7B4539DA" w14:textId="77777777" w:rsidR="00870B18" w:rsidRPr="00840CF8" w:rsidRDefault="00870B18" w:rsidP="00CB7D2C">
      <w:pPr>
        <w:snapToGrid w:val="0"/>
        <w:spacing w:line="360" w:lineRule="auto"/>
        <w:rPr>
          <w:rFonts w:ascii="Book Antiqua" w:hAnsi="Book Antiqua" w:cs="Arial"/>
          <w:b/>
          <w:color w:val="000000" w:themeColor="text1"/>
          <w:szCs w:val="24"/>
        </w:rPr>
      </w:pPr>
    </w:p>
    <w:p w14:paraId="29C96CFD" w14:textId="77777777" w:rsidR="00CB7D2C" w:rsidRPr="00840CF8" w:rsidRDefault="00CB7D2C">
      <w:pPr>
        <w:widowControl/>
        <w:rPr>
          <w:rFonts w:ascii="Book Antiqua" w:hAnsi="Book Antiqua" w:cs="Arial"/>
          <w:b/>
          <w:caps/>
          <w:color w:val="000000" w:themeColor="text1"/>
          <w:szCs w:val="24"/>
        </w:rPr>
      </w:pPr>
      <w:r w:rsidRPr="00840CF8">
        <w:rPr>
          <w:rFonts w:ascii="Book Antiqua" w:hAnsi="Book Antiqua" w:cs="Arial"/>
          <w:b/>
          <w:caps/>
          <w:color w:val="000000" w:themeColor="text1"/>
          <w:szCs w:val="24"/>
        </w:rPr>
        <w:br w:type="page"/>
      </w:r>
    </w:p>
    <w:p w14:paraId="2F66E513" w14:textId="77777777" w:rsidR="002E0F68" w:rsidRPr="00840CF8" w:rsidRDefault="002E0F68" w:rsidP="00CB7D2C">
      <w:pPr>
        <w:snapToGrid w:val="0"/>
        <w:spacing w:line="360" w:lineRule="auto"/>
        <w:jc w:val="both"/>
        <w:rPr>
          <w:rFonts w:ascii="Book Antiqua" w:hAnsi="Book Antiqua" w:cs="Arial"/>
          <w:b/>
          <w:caps/>
          <w:color w:val="000000" w:themeColor="text1"/>
          <w:szCs w:val="24"/>
        </w:rPr>
      </w:pPr>
      <w:r w:rsidRPr="00840CF8">
        <w:rPr>
          <w:rFonts w:ascii="Book Antiqua" w:hAnsi="Book Antiqua" w:cs="Arial"/>
          <w:b/>
          <w:caps/>
          <w:color w:val="000000" w:themeColor="text1"/>
          <w:szCs w:val="24"/>
        </w:rPr>
        <w:t>Introduction</w:t>
      </w:r>
    </w:p>
    <w:p w14:paraId="196EE877" w14:textId="148642FE" w:rsidR="002E0F68" w:rsidRPr="00840CF8" w:rsidRDefault="002E0F68" w:rsidP="00CB7D2C">
      <w:pPr>
        <w:snapToGrid w:val="0"/>
        <w:spacing w:line="360" w:lineRule="auto"/>
        <w:jc w:val="both"/>
        <w:rPr>
          <w:rFonts w:ascii="Book Antiqua" w:hAnsi="Book Antiqua" w:cs="Arial"/>
          <w:color w:val="000000" w:themeColor="text1"/>
          <w:szCs w:val="24"/>
        </w:rPr>
      </w:pPr>
      <w:r w:rsidRPr="00840CF8">
        <w:rPr>
          <w:rFonts w:ascii="Book Antiqua" w:hAnsi="Book Antiqua" w:cs="Arial"/>
          <w:color w:val="000000" w:themeColor="text1"/>
          <w:szCs w:val="24"/>
        </w:rPr>
        <w:t>Hepatocellular carcinoma (HCC), with a reported 5-year overall survival (OS) of 10% to 15%</w:t>
      </w:r>
      <w:r w:rsidRPr="00840CF8">
        <w:rPr>
          <w:rFonts w:ascii="Book Antiqua" w:hAnsi="Book Antiqua" w:cs="Arial"/>
          <w:color w:val="000000" w:themeColor="text1"/>
          <w:szCs w:val="24"/>
          <w:vertAlign w:val="superscript"/>
        </w:rPr>
        <w:t>[1]</w:t>
      </w:r>
      <w:r w:rsidRPr="00840CF8">
        <w:rPr>
          <w:rFonts w:ascii="Book Antiqua" w:hAnsi="Book Antiqua" w:cs="Arial"/>
          <w:color w:val="000000" w:themeColor="text1"/>
          <w:szCs w:val="24"/>
        </w:rPr>
        <w:t>, is the fifth most common malignancy and the second leading cause of cancer mortality worldwide, with an estimated 782000 new cases and 745000 deaths in the year 2012</w:t>
      </w:r>
      <w:r w:rsidRPr="00840CF8">
        <w:rPr>
          <w:rFonts w:ascii="Book Antiqua" w:hAnsi="Book Antiqua" w:cs="Arial"/>
          <w:color w:val="000000" w:themeColor="text1"/>
          <w:szCs w:val="24"/>
          <w:vertAlign w:val="superscript"/>
        </w:rPr>
        <w:t>[2,3]</w:t>
      </w:r>
      <w:r w:rsidRPr="00840CF8">
        <w:rPr>
          <w:rFonts w:ascii="Book Antiqua" w:hAnsi="Book Antiqua" w:cs="Arial"/>
          <w:color w:val="000000" w:themeColor="text1"/>
          <w:szCs w:val="24"/>
        </w:rPr>
        <w:t xml:space="preserve">. The global increase in both the incidence and mortality of HCC is a major concern, and improving the management of HCC is a key challenge. </w:t>
      </w:r>
    </w:p>
    <w:p w14:paraId="4ED8D98C" w14:textId="1ECD1413" w:rsidR="002E0F68" w:rsidRPr="00840CF8" w:rsidRDefault="00A8427A" w:rsidP="00CB7D2C">
      <w:pPr>
        <w:snapToGrid w:val="0"/>
        <w:spacing w:line="360" w:lineRule="auto"/>
        <w:jc w:val="both"/>
        <w:rPr>
          <w:rFonts w:ascii="Book Antiqua" w:hAnsi="Book Antiqua" w:cs="Arial"/>
          <w:color w:val="000000" w:themeColor="text1"/>
          <w:szCs w:val="24"/>
        </w:rPr>
      </w:pPr>
      <w:r w:rsidRPr="00840CF8">
        <w:rPr>
          <w:rFonts w:ascii="Book Antiqua" w:hAnsi="Book Antiqua" w:cs="Arial"/>
          <w:color w:val="000000" w:themeColor="text1"/>
          <w:szCs w:val="24"/>
        </w:rPr>
        <w:t xml:space="preserve">  </w:t>
      </w:r>
      <w:r w:rsidR="002E0F68" w:rsidRPr="00840CF8">
        <w:rPr>
          <w:rFonts w:ascii="Book Antiqua" w:hAnsi="Book Antiqua" w:cs="Arial"/>
          <w:color w:val="000000" w:themeColor="text1"/>
          <w:szCs w:val="24"/>
        </w:rPr>
        <w:t xml:space="preserve">The cornerstone to improving the prognosis of HCC patients </w:t>
      </w:r>
      <w:r w:rsidR="001B42BA" w:rsidRPr="00840CF8">
        <w:rPr>
          <w:rFonts w:ascii="Book Antiqua" w:hAnsi="Book Antiqua" w:cs="Arial"/>
          <w:color w:val="000000" w:themeColor="text1"/>
          <w:szCs w:val="24"/>
        </w:rPr>
        <w:t xml:space="preserve">has </w:t>
      </w:r>
      <w:r w:rsidR="002E0F68" w:rsidRPr="00840CF8">
        <w:rPr>
          <w:rFonts w:ascii="Book Antiqua" w:hAnsi="Book Antiqua" w:cs="Arial"/>
          <w:color w:val="000000" w:themeColor="text1"/>
          <w:szCs w:val="24"/>
        </w:rPr>
        <w:t>relied on the control of loco-regional disease progression; loco-regional disease progression is the major cause of HCC</w:t>
      </w:r>
      <w:r w:rsidR="005E24D2" w:rsidRPr="00840CF8">
        <w:rPr>
          <w:rFonts w:ascii="Book Antiqua" w:hAnsi="Book Antiqua" w:cs="Arial"/>
          <w:color w:val="000000" w:themeColor="text1"/>
          <w:szCs w:val="24"/>
        </w:rPr>
        <w:t>-</w:t>
      </w:r>
      <w:r w:rsidR="002E0F68" w:rsidRPr="00840CF8">
        <w:rPr>
          <w:rFonts w:ascii="Book Antiqua" w:hAnsi="Book Antiqua" w:cs="Arial"/>
          <w:color w:val="000000" w:themeColor="text1"/>
          <w:szCs w:val="24"/>
        </w:rPr>
        <w:t>related death</w:t>
      </w:r>
      <w:r w:rsidR="002E0F68" w:rsidRPr="00840CF8">
        <w:rPr>
          <w:rFonts w:ascii="Book Antiqua" w:hAnsi="Book Antiqua" w:cs="Arial"/>
          <w:color w:val="000000" w:themeColor="text1"/>
          <w:szCs w:val="24"/>
          <w:vertAlign w:val="superscript"/>
        </w:rPr>
        <w:t>[4]</w:t>
      </w:r>
      <w:r w:rsidR="002E0F68" w:rsidRPr="00840CF8">
        <w:rPr>
          <w:rFonts w:ascii="Book Antiqua" w:hAnsi="Book Antiqua" w:cs="Arial"/>
          <w:color w:val="000000" w:themeColor="text1"/>
          <w:szCs w:val="24"/>
        </w:rPr>
        <w:t>. Surgical interventions, including liver resection and transplantation, are considered</w:t>
      </w:r>
      <w:r w:rsidR="005E24D2" w:rsidRPr="00840CF8">
        <w:rPr>
          <w:rFonts w:ascii="Book Antiqua" w:hAnsi="Book Antiqua" w:cs="Arial"/>
          <w:color w:val="000000" w:themeColor="text1"/>
          <w:szCs w:val="24"/>
        </w:rPr>
        <w:t xml:space="preserve"> </w:t>
      </w:r>
      <w:r w:rsidR="002E0F68" w:rsidRPr="00840CF8">
        <w:rPr>
          <w:rFonts w:ascii="Book Antiqua" w:hAnsi="Book Antiqua" w:cs="Arial"/>
          <w:color w:val="000000" w:themeColor="text1"/>
          <w:szCs w:val="24"/>
        </w:rPr>
        <w:t>the first priority treatment modalities for patients with HCC</w:t>
      </w:r>
      <w:r w:rsidR="002E0F68" w:rsidRPr="00840CF8">
        <w:rPr>
          <w:rFonts w:ascii="Book Antiqua" w:hAnsi="Book Antiqua" w:cs="Arial"/>
          <w:color w:val="000000" w:themeColor="text1"/>
          <w:szCs w:val="24"/>
          <w:vertAlign w:val="superscript"/>
        </w:rPr>
        <w:t>[5]</w:t>
      </w:r>
      <w:r w:rsidR="002E0F68" w:rsidRPr="00840CF8">
        <w:rPr>
          <w:rFonts w:ascii="Book Antiqua" w:hAnsi="Book Antiqua" w:cs="Arial"/>
          <w:color w:val="000000" w:themeColor="text1"/>
          <w:szCs w:val="24"/>
        </w:rPr>
        <w:t>. However, only 10%-37% of patients are treated with surgery at the time of diagnosis because of their inability to tolerate the possible surgery-related complications because of underlying comorbidities</w:t>
      </w:r>
      <w:r w:rsidR="002E0F68" w:rsidRPr="00840CF8">
        <w:rPr>
          <w:rFonts w:ascii="Book Antiqua" w:hAnsi="Book Antiqua" w:cs="Arial"/>
          <w:color w:val="000000" w:themeColor="text1"/>
          <w:szCs w:val="24"/>
          <w:vertAlign w:val="superscript"/>
        </w:rPr>
        <w:t>[6-9]</w:t>
      </w:r>
      <w:r w:rsidR="002E0F68" w:rsidRPr="00840CF8">
        <w:rPr>
          <w:rFonts w:ascii="Book Antiqua" w:hAnsi="Book Antiqua" w:cs="Arial"/>
          <w:color w:val="000000" w:themeColor="text1"/>
          <w:szCs w:val="24"/>
        </w:rPr>
        <w:t xml:space="preserve">. </w:t>
      </w:r>
    </w:p>
    <w:p w14:paraId="701EB22A" w14:textId="15DD90FD" w:rsidR="002E0F68" w:rsidRPr="00840CF8" w:rsidRDefault="002E0F68" w:rsidP="00CB7D2C">
      <w:pPr>
        <w:snapToGrid w:val="0"/>
        <w:spacing w:line="360" w:lineRule="auto"/>
        <w:ind w:firstLineChars="250" w:firstLine="600"/>
        <w:jc w:val="both"/>
        <w:rPr>
          <w:rFonts w:ascii="Book Antiqua" w:hAnsi="Book Antiqua" w:cs="Arial"/>
          <w:b/>
          <w:color w:val="000000" w:themeColor="text1"/>
          <w:szCs w:val="24"/>
        </w:rPr>
      </w:pPr>
      <w:r w:rsidRPr="00840CF8">
        <w:rPr>
          <w:rFonts w:ascii="Book Antiqua" w:hAnsi="Book Antiqua" w:cs="Arial"/>
          <w:color w:val="000000" w:themeColor="text1"/>
          <w:szCs w:val="24"/>
        </w:rPr>
        <w:t>Local ablation treatments, including percutaneous ethanol injection (PEI) and radiofrequency thermal ablation (RFA), have been recognized as alternative treatment options for patients with HCC, even though patients with large HCCs (&gt;</w:t>
      </w:r>
      <w:r w:rsidR="005C6922"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5 cm in diameter) are not </w:t>
      </w:r>
      <w:r w:rsidR="001338F0" w:rsidRPr="00840CF8">
        <w:rPr>
          <w:rFonts w:ascii="Book Antiqua" w:hAnsi="Book Antiqua" w:cs="Arial"/>
          <w:color w:val="000000" w:themeColor="text1"/>
          <w:szCs w:val="24"/>
        </w:rPr>
        <w:t>eligible to</w:t>
      </w:r>
      <w:r w:rsidRPr="00840CF8">
        <w:rPr>
          <w:rFonts w:ascii="Book Antiqua" w:hAnsi="Book Antiqua" w:cs="Arial"/>
          <w:color w:val="000000" w:themeColor="text1"/>
          <w:szCs w:val="24"/>
        </w:rPr>
        <w:t xml:space="preserve"> </w:t>
      </w:r>
      <w:r w:rsidR="001338F0" w:rsidRPr="00840CF8">
        <w:rPr>
          <w:rFonts w:ascii="Book Antiqua" w:hAnsi="Book Antiqua" w:cs="Arial"/>
          <w:color w:val="000000" w:themeColor="text1"/>
          <w:szCs w:val="24"/>
        </w:rPr>
        <w:t xml:space="preserve">receive </w:t>
      </w:r>
      <w:r w:rsidRPr="00840CF8">
        <w:rPr>
          <w:rFonts w:ascii="Book Antiqua" w:hAnsi="Book Antiqua" w:cs="Arial"/>
          <w:color w:val="000000" w:themeColor="text1"/>
          <w:szCs w:val="24"/>
        </w:rPr>
        <w:t>either PEI or RFA</w:t>
      </w:r>
      <w:r w:rsidRPr="00840CF8">
        <w:rPr>
          <w:rFonts w:ascii="Book Antiqua" w:hAnsi="Book Antiqua" w:cs="Arial"/>
          <w:color w:val="000000" w:themeColor="text1"/>
          <w:szCs w:val="24"/>
          <w:vertAlign w:val="superscript"/>
        </w:rPr>
        <w:t>[10,11]</w:t>
      </w:r>
      <w:r w:rsidRPr="00840CF8">
        <w:rPr>
          <w:rFonts w:ascii="Book Antiqua" w:hAnsi="Book Antiqua" w:cs="Arial"/>
          <w:color w:val="000000" w:themeColor="text1"/>
          <w:szCs w:val="24"/>
        </w:rPr>
        <w:t xml:space="preserve">. Transarterial chemoembolization (TACE) provides some benefits of locoregional control and </w:t>
      </w:r>
      <w:r w:rsidR="000A7646" w:rsidRPr="00840CF8">
        <w:rPr>
          <w:rFonts w:ascii="Book Antiqua" w:hAnsi="Book Antiqua" w:cs="Arial"/>
          <w:color w:val="000000" w:themeColor="text1"/>
          <w:szCs w:val="24"/>
        </w:rPr>
        <w:t xml:space="preserve">a </w:t>
      </w:r>
      <w:r w:rsidRPr="00840CF8">
        <w:rPr>
          <w:rFonts w:ascii="Book Antiqua" w:hAnsi="Book Antiqua" w:cs="Arial"/>
          <w:color w:val="000000" w:themeColor="text1"/>
          <w:szCs w:val="24"/>
        </w:rPr>
        <w:t xml:space="preserve">better prognosis for HCC patients </w:t>
      </w:r>
      <w:r w:rsidR="001F546D" w:rsidRPr="00840CF8">
        <w:rPr>
          <w:rFonts w:ascii="Book Antiqua" w:hAnsi="Book Antiqua" w:cs="Arial"/>
          <w:color w:val="000000" w:themeColor="text1"/>
          <w:szCs w:val="24"/>
        </w:rPr>
        <w:t xml:space="preserve">in </w:t>
      </w:r>
      <w:r w:rsidRPr="00840CF8">
        <w:rPr>
          <w:rFonts w:ascii="Book Antiqua" w:hAnsi="Book Antiqua" w:cs="Arial"/>
          <w:color w:val="000000" w:themeColor="text1"/>
          <w:szCs w:val="24"/>
        </w:rPr>
        <w:t>whom surgery or local ablation treatment is not feasible, although it is regarded as a non-curative treatment</w:t>
      </w:r>
      <w:r w:rsidRPr="00840CF8">
        <w:rPr>
          <w:rFonts w:ascii="Book Antiqua" w:hAnsi="Book Antiqua" w:cs="Arial"/>
          <w:color w:val="000000" w:themeColor="text1"/>
          <w:szCs w:val="24"/>
          <w:vertAlign w:val="superscript"/>
        </w:rPr>
        <w:t>[12,13]</w:t>
      </w:r>
      <w:r w:rsidRPr="00840CF8">
        <w:rPr>
          <w:rFonts w:ascii="Book Antiqua" w:hAnsi="Book Antiqua" w:cs="Arial"/>
          <w:color w:val="000000" w:themeColor="text1"/>
          <w:szCs w:val="24"/>
        </w:rPr>
        <w:t xml:space="preserve">. </w:t>
      </w:r>
      <w:bookmarkStart w:id="146" w:name="_Hlk11324996"/>
      <w:r w:rsidRPr="00840CF8">
        <w:rPr>
          <w:rFonts w:ascii="Book Antiqua" w:hAnsi="Book Antiqua" w:cs="Arial"/>
          <w:color w:val="000000" w:themeColor="text1"/>
          <w:szCs w:val="24"/>
        </w:rPr>
        <w:t xml:space="preserve">However, HCC patients who present with portal vein tumor thrombus (PVTT) </w:t>
      </w:r>
      <w:r w:rsidR="001F546D" w:rsidRPr="00840CF8">
        <w:rPr>
          <w:rFonts w:ascii="Book Antiqua" w:hAnsi="Book Antiqua" w:cs="Arial"/>
          <w:color w:val="000000" w:themeColor="text1"/>
          <w:szCs w:val="24"/>
        </w:rPr>
        <w:t xml:space="preserve">are </w:t>
      </w:r>
      <w:r w:rsidRPr="00840CF8">
        <w:rPr>
          <w:rFonts w:ascii="Book Antiqua" w:hAnsi="Book Antiqua" w:cs="Arial"/>
          <w:color w:val="000000" w:themeColor="text1"/>
          <w:szCs w:val="24"/>
        </w:rPr>
        <w:t xml:space="preserve">not advised to receive TACE treatment </w:t>
      </w:r>
      <w:r w:rsidR="001F546D" w:rsidRPr="00840CF8">
        <w:rPr>
          <w:rFonts w:ascii="Book Antiqua" w:hAnsi="Book Antiqua" w:cs="Arial"/>
          <w:color w:val="000000" w:themeColor="text1"/>
          <w:szCs w:val="24"/>
        </w:rPr>
        <w:t>because of</w:t>
      </w:r>
      <w:r w:rsidRPr="00840CF8">
        <w:rPr>
          <w:rFonts w:ascii="Book Antiqua" w:hAnsi="Book Antiqua" w:cs="Arial"/>
          <w:color w:val="000000" w:themeColor="text1"/>
          <w:szCs w:val="24"/>
        </w:rPr>
        <w:t xml:space="preserve"> the increased risk of liver failure</w:t>
      </w:r>
      <w:bookmarkEnd w:id="146"/>
      <w:r w:rsidRPr="00840CF8">
        <w:rPr>
          <w:rFonts w:ascii="Book Antiqua" w:hAnsi="Book Antiqua" w:cs="Arial"/>
          <w:color w:val="000000" w:themeColor="text1"/>
          <w:szCs w:val="24"/>
          <w:vertAlign w:val="superscript"/>
        </w:rPr>
        <w:t>[14,15]</w:t>
      </w:r>
      <w:r w:rsidRPr="00840CF8">
        <w:rPr>
          <w:rFonts w:ascii="Book Antiqua" w:hAnsi="Book Antiqua" w:cs="Arial"/>
          <w:color w:val="000000" w:themeColor="text1"/>
          <w:szCs w:val="24"/>
        </w:rPr>
        <w:t>.</w:t>
      </w:r>
      <w:r w:rsidRPr="00840CF8">
        <w:rPr>
          <w:rFonts w:ascii="Book Antiqua" w:hAnsi="Book Antiqua" w:cs="Arial"/>
          <w:b/>
          <w:color w:val="000000" w:themeColor="text1"/>
          <w:szCs w:val="24"/>
        </w:rPr>
        <w:t xml:space="preserve"> </w:t>
      </w:r>
    </w:p>
    <w:p w14:paraId="64A5DB15" w14:textId="2EAAE00B" w:rsidR="002E0F68" w:rsidRPr="00840CF8" w:rsidRDefault="00A8427A" w:rsidP="00CB7D2C">
      <w:pPr>
        <w:pStyle w:val="HTML"/>
        <w:snapToGrid w:val="0"/>
        <w:spacing w:line="360" w:lineRule="auto"/>
        <w:jc w:val="both"/>
        <w:rPr>
          <w:rFonts w:ascii="Book Antiqua" w:hAnsi="Book Antiqua" w:cs="Arial"/>
          <w:color w:val="000000" w:themeColor="text1"/>
        </w:rPr>
      </w:pPr>
      <w:r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Radiotherapy (RT) has not been considered as </w:t>
      </w:r>
      <w:r w:rsidR="005E24D2" w:rsidRPr="00840CF8">
        <w:rPr>
          <w:rFonts w:ascii="Book Antiqua" w:hAnsi="Book Antiqua" w:cs="Arial"/>
          <w:color w:val="000000" w:themeColor="text1"/>
        </w:rPr>
        <w:t xml:space="preserve">a </w:t>
      </w:r>
      <w:r w:rsidR="002E0F68" w:rsidRPr="00840CF8">
        <w:rPr>
          <w:rFonts w:ascii="Book Antiqua" w:hAnsi="Book Antiqua" w:cs="Arial"/>
          <w:color w:val="000000" w:themeColor="text1"/>
        </w:rPr>
        <w:t>preferred treatment modality for HCC; instead, it is a complementary local treatment option for patients who are not candidates for surgery, local ablation, and TACE, mainly because the RT</w:t>
      </w:r>
      <w:r w:rsidR="001B508B" w:rsidRPr="00840CF8">
        <w:rPr>
          <w:rFonts w:ascii="Book Antiqua" w:hAnsi="Book Antiqua" w:cs="Arial"/>
          <w:color w:val="000000" w:themeColor="text1"/>
        </w:rPr>
        <w:t xml:space="preserve"> dose</w:t>
      </w:r>
      <w:r w:rsidR="002E0F68" w:rsidRPr="00840CF8">
        <w:rPr>
          <w:rFonts w:ascii="Book Antiqua" w:hAnsi="Book Antiqua" w:cs="Arial"/>
          <w:color w:val="000000" w:themeColor="text1"/>
        </w:rPr>
        <w:t xml:space="preserve"> required for tumor ablation would be beyond the tolerance dose of the liver parenchyma and may induce liver injury, including classic and non-classic radiation-induced liver disease (RILD)</w:t>
      </w:r>
      <w:r w:rsidR="002E0F68" w:rsidRPr="00840CF8">
        <w:rPr>
          <w:rFonts w:ascii="Book Antiqua" w:hAnsi="Book Antiqua" w:cs="Arial"/>
          <w:color w:val="000000" w:themeColor="text1"/>
          <w:vertAlign w:val="superscript"/>
        </w:rPr>
        <w:t>[16]</w:t>
      </w:r>
      <w:r w:rsidR="002E0F68" w:rsidRPr="00840CF8">
        <w:rPr>
          <w:rFonts w:ascii="Book Antiqua" w:hAnsi="Book Antiqua" w:cs="Arial"/>
          <w:color w:val="000000" w:themeColor="text1"/>
        </w:rPr>
        <w:t>. In contrast to conventional RT, stereotactic body radiotherapy (SBRT), which combines image guidance technique and radiotherapy planning designation, not only provides highly conformal radiation delivery to allow ablative doses to be applied to tumors, but simultaneously spares the normal liver parenchyma from radiation</w:t>
      </w:r>
      <w:r w:rsidR="002E0F68" w:rsidRPr="00840CF8">
        <w:rPr>
          <w:rFonts w:ascii="Book Antiqua" w:hAnsi="Book Antiqua" w:cs="Arial"/>
          <w:color w:val="000000" w:themeColor="text1"/>
          <w:vertAlign w:val="superscript"/>
        </w:rPr>
        <w:t>[17-19]</w:t>
      </w:r>
      <w:r w:rsidR="002E0F68" w:rsidRPr="00840CF8">
        <w:rPr>
          <w:rFonts w:ascii="Book Antiqua" w:hAnsi="Book Antiqua" w:cs="Arial"/>
          <w:color w:val="000000" w:themeColor="text1"/>
        </w:rPr>
        <w:t>. SBRT, which is commonly performed using high radiation dose per fractions, has resulted in excellent local control (LC) for HCC in numerous retrospective and prospective studies</w:t>
      </w:r>
      <w:r w:rsidR="002E0F68" w:rsidRPr="00840CF8">
        <w:rPr>
          <w:rFonts w:ascii="Book Antiqua" w:hAnsi="Book Antiqua" w:cs="Arial"/>
          <w:color w:val="000000" w:themeColor="text1"/>
          <w:vertAlign w:val="superscript"/>
        </w:rPr>
        <w:t>[18-20]</w:t>
      </w:r>
      <w:r w:rsidR="002E0F68" w:rsidRPr="00840CF8">
        <w:rPr>
          <w:rFonts w:ascii="Book Antiqua" w:hAnsi="Book Antiqua" w:cs="Arial"/>
          <w:color w:val="000000" w:themeColor="text1"/>
        </w:rPr>
        <w:t xml:space="preserve">. </w:t>
      </w:r>
    </w:p>
    <w:p w14:paraId="49D2AF23" w14:textId="6FCF8157" w:rsidR="002E0F68" w:rsidRPr="00840CF8" w:rsidRDefault="002E0F68" w:rsidP="00CB7D2C">
      <w:pPr>
        <w:pStyle w:val="HTML"/>
        <w:snapToGrid w:val="0"/>
        <w:spacing w:line="360" w:lineRule="auto"/>
        <w:ind w:firstLineChars="250" w:firstLine="600"/>
        <w:jc w:val="both"/>
        <w:rPr>
          <w:rFonts w:ascii="Book Antiqua" w:hAnsi="Book Antiqua" w:cs="Arial"/>
          <w:color w:val="000000" w:themeColor="text1"/>
        </w:rPr>
      </w:pPr>
      <w:r w:rsidRPr="00840CF8">
        <w:rPr>
          <w:rFonts w:ascii="Book Antiqua" w:hAnsi="Book Antiqua" w:cs="Arial"/>
          <w:color w:val="000000" w:themeColor="text1"/>
        </w:rPr>
        <w:t>Charged particle therapies (CPT), including proton beam therapy (PBT) and carbon ion radiotherapy (CIRT), possess physics</w:t>
      </w:r>
      <w:r w:rsidR="009A6F76" w:rsidRPr="00840CF8">
        <w:rPr>
          <w:rFonts w:ascii="Book Antiqua" w:hAnsi="Book Antiqua" w:cs="Arial"/>
          <w:color w:val="000000" w:themeColor="text1"/>
        </w:rPr>
        <w:t>-related</w:t>
      </w:r>
      <w:r w:rsidRPr="00840CF8">
        <w:rPr>
          <w:rFonts w:ascii="Book Antiqua" w:hAnsi="Book Antiqua" w:cs="Arial"/>
          <w:color w:val="000000" w:themeColor="text1"/>
        </w:rPr>
        <w:t xml:space="preserve"> advantage</w:t>
      </w:r>
      <w:r w:rsidR="009A6F76" w:rsidRPr="00840CF8">
        <w:rPr>
          <w:rFonts w:ascii="Book Antiqua" w:hAnsi="Book Antiqua" w:cs="Arial"/>
          <w:color w:val="000000" w:themeColor="text1"/>
        </w:rPr>
        <w:t>s</w:t>
      </w:r>
      <w:r w:rsidRPr="00840CF8">
        <w:rPr>
          <w:rFonts w:ascii="Book Antiqua" w:hAnsi="Book Antiqua" w:cs="Arial"/>
          <w:color w:val="000000" w:themeColor="text1"/>
        </w:rPr>
        <w:t xml:space="preserve">, which allow for a better dose distribution than </w:t>
      </w:r>
      <w:r w:rsidR="009A6F76" w:rsidRPr="00840CF8">
        <w:rPr>
          <w:rFonts w:ascii="Book Antiqua" w:hAnsi="Book Antiqua" w:cs="Arial"/>
          <w:color w:val="000000" w:themeColor="text1"/>
        </w:rPr>
        <w:t xml:space="preserve">in </w:t>
      </w:r>
      <w:r w:rsidRPr="00840CF8">
        <w:rPr>
          <w:rFonts w:ascii="Book Antiqua" w:hAnsi="Book Antiqua" w:cs="Arial"/>
          <w:color w:val="000000" w:themeColor="text1"/>
        </w:rPr>
        <w:t>photon beam therapy, especially for low</w:t>
      </w:r>
      <w:r w:rsidR="009A6F76" w:rsidRPr="00840CF8">
        <w:rPr>
          <w:rFonts w:ascii="Book Antiqua" w:hAnsi="Book Antiqua" w:cs="Arial"/>
          <w:color w:val="000000" w:themeColor="text1"/>
        </w:rPr>
        <w:t>-</w:t>
      </w:r>
      <w:r w:rsidRPr="00840CF8">
        <w:rPr>
          <w:rFonts w:ascii="Book Antiqua" w:hAnsi="Book Antiqua" w:cs="Arial"/>
          <w:color w:val="000000" w:themeColor="text1"/>
        </w:rPr>
        <w:t xml:space="preserve"> and medium</w:t>
      </w:r>
      <w:r w:rsidR="009A6F76" w:rsidRPr="00840CF8">
        <w:rPr>
          <w:rFonts w:ascii="Book Antiqua" w:hAnsi="Book Antiqua" w:cs="Arial"/>
          <w:color w:val="000000" w:themeColor="text1"/>
        </w:rPr>
        <w:t>-</w:t>
      </w:r>
      <w:r w:rsidRPr="00840CF8">
        <w:rPr>
          <w:rFonts w:ascii="Book Antiqua" w:hAnsi="Book Antiqua" w:cs="Arial"/>
          <w:color w:val="000000" w:themeColor="text1"/>
        </w:rPr>
        <w:t>dose dosimetry in the normal liver parenchyma during the treatment of HCC</w:t>
      </w:r>
      <w:r w:rsidRPr="00840CF8">
        <w:rPr>
          <w:rFonts w:ascii="Book Antiqua" w:hAnsi="Book Antiqua" w:cs="Arial"/>
          <w:color w:val="000000" w:themeColor="text1"/>
          <w:vertAlign w:val="superscript"/>
        </w:rPr>
        <w:t>[21-24]</w:t>
      </w:r>
      <w:r w:rsidRPr="00840CF8">
        <w:rPr>
          <w:rFonts w:ascii="Book Antiqua" w:hAnsi="Book Antiqua" w:cs="Arial"/>
          <w:color w:val="000000" w:themeColor="text1"/>
        </w:rPr>
        <w:t>. The physics</w:t>
      </w:r>
      <w:r w:rsidR="009A6F76" w:rsidRPr="00840CF8">
        <w:rPr>
          <w:rFonts w:ascii="Book Antiqua" w:hAnsi="Book Antiqua" w:cs="Arial"/>
          <w:color w:val="000000" w:themeColor="text1"/>
        </w:rPr>
        <w:t>-related</w:t>
      </w:r>
      <w:r w:rsidRPr="00840CF8">
        <w:rPr>
          <w:rFonts w:ascii="Book Antiqua" w:hAnsi="Book Antiqua" w:cs="Arial"/>
          <w:color w:val="000000" w:themeColor="text1"/>
        </w:rPr>
        <w:t xml:space="preserve"> advantage</w:t>
      </w:r>
      <w:r w:rsidR="009A6F76" w:rsidRPr="00840CF8">
        <w:rPr>
          <w:rFonts w:ascii="Book Antiqua" w:hAnsi="Book Antiqua" w:cs="Arial"/>
          <w:color w:val="000000" w:themeColor="text1"/>
        </w:rPr>
        <w:t>s</w:t>
      </w:r>
      <w:r w:rsidRPr="00840CF8">
        <w:rPr>
          <w:rFonts w:ascii="Book Antiqua" w:hAnsi="Book Antiqua" w:cs="Arial"/>
          <w:color w:val="000000" w:themeColor="text1"/>
        </w:rPr>
        <w:t xml:space="preserve"> of CPT resulted from the Bragg peak, a property of CPT, which refers to </w:t>
      </w:r>
      <w:r w:rsidR="009A6F76" w:rsidRPr="00840CF8">
        <w:rPr>
          <w:rFonts w:ascii="Book Antiqua" w:hAnsi="Book Antiqua" w:cs="Arial"/>
          <w:color w:val="000000" w:themeColor="text1"/>
        </w:rPr>
        <w:t xml:space="preserve">a </w:t>
      </w:r>
      <w:r w:rsidRPr="00840CF8">
        <w:rPr>
          <w:rFonts w:ascii="Book Antiqua" w:hAnsi="Book Antiqua" w:cs="Arial"/>
          <w:color w:val="000000" w:themeColor="text1"/>
        </w:rPr>
        <w:t>sharp dose accumulation followed by rapid dose fall-off</w:t>
      </w:r>
      <w:r w:rsidRPr="00840CF8">
        <w:rPr>
          <w:rFonts w:ascii="Book Antiqua" w:hAnsi="Book Antiqua" w:cs="Arial"/>
          <w:color w:val="000000" w:themeColor="text1"/>
          <w:vertAlign w:val="superscript"/>
        </w:rPr>
        <w:t>[25]</w:t>
      </w:r>
      <w:r w:rsidRPr="00840CF8">
        <w:rPr>
          <w:rFonts w:ascii="Book Antiqua" w:hAnsi="Book Antiqua" w:cs="Arial"/>
          <w:color w:val="000000" w:themeColor="text1"/>
        </w:rPr>
        <w:t>. The numerous</w:t>
      </w:r>
      <w:r w:rsidR="009A6F76" w:rsidRPr="00840CF8">
        <w:rPr>
          <w:rFonts w:ascii="Book Antiqua" w:hAnsi="Book Antiqua" w:cs="Arial"/>
          <w:color w:val="000000" w:themeColor="text1"/>
        </w:rPr>
        <w:t>,</w:t>
      </w:r>
      <w:r w:rsidRPr="00840CF8">
        <w:rPr>
          <w:rFonts w:ascii="Book Antiqua" w:hAnsi="Book Antiqua" w:cs="Arial"/>
          <w:color w:val="000000" w:themeColor="text1"/>
        </w:rPr>
        <w:t xml:space="preserve"> </w:t>
      </w:r>
      <w:bookmarkStart w:id="147" w:name="_Hlk11325247"/>
      <w:r w:rsidR="009A6F76" w:rsidRPr="00840CF8">
        <w:rPr>
          <w:rFonts w:ascii="Book Antiqua" w:hAnsi="Book Antiqua" w:cs="Arial"/>
          <w:color w:val="000000" w:themeColor="text1"/>
        </w:rPr>
        <w:t xml:space="preserve">stacked </w:t>
      </w:r>
      <w:r w:rsidRPr="00840CF8">
        <w:rPr>
          <w:rFonts w:ascii="Book Antiqua" w:hAnsi="Book Antiqua" w:cs="Arial"/>
          <w:color w:val="000000" w:themeColor="text1"/>
        </w:rPr>
        <w:t>Bragg peaks of different energies form the spread-out Bragg peak (SOBP), which possesses dosimetry characteristic of the little exit doses of the clinical tumor target</w:t>
      </w:r>
      <w:bookmarkEnd w:id="147"/>
      <w:r w:rsidRPr="00840CF8">
        <w:rPr>
          <w:rFonts w:ascii="Book Antiqua" w:hAnsi="Book Antiqua" w:cs="Arial"/>
          <w:color w:val="000000" w:themeColor="text1"/>
          <w:vertAlign w:val="superscript"/>
        </w:rPr>
        <w:t>[21,24,26,27]</w:t>
      </w:r>
      <w:r w:rsidRPr="00840CF8">
        <w:rPr>
          <w:rFonts w:ascii="Book Antiqua" w:hAnsi="Book Antiqua" w:cs="Arial"/>
          <w:color w:val="000000" w:themeColor="text1"/>
        </w:rPr>
        <w:t>. In the application of CPT in HCC treatment, the dosimetry benefit derived from SOBP of CPT has been confirmed in several studies</w:t>
      </w:r>
      <w:r w:rsidRPr="00840CF8">
        <w:rPr>
          <w:rFonts w:ascii="Book Antiqua" w:hAnsi="Book Antiqua" w:cs="Arial"/>
          <w:color w:val="000000" w:themeColor="text1"/>
          <w:vertAlign w:val="superscript"/>
        </w:rPr>
        <w:t>[22,27,28]</w:t>
      </w:r>
      <w:r w:rsidRPr="00840CF8">
        <w:rPr>
          <w:rFonts w:ascii="Book Antiqua" w:hAnsi="Book Antiqua" w:cs="Arial" w:hint="eastAsia"/>
          <w:color w:val="000000" w:themeColor="text1"/>
        </w:rPr>
        <w:t xml:space="preserve"> (Figure 1)</w:t>
      </w:r>
      <w:r w:rsidRPr="00840CF8">
        <w:rPr>
          <w:rFonts w:ascii="Book Antiqua" w:hAnsi="Book Antiqua" w:cs="Arial"/>
          <w:color w:val="000000" w:themeColor="text1"/>
        </w:rPr>
        <w:t xml:space="preserve">. </w:t>
      </w:r>
      <w:bookmarkStart w:id="148" w:name="_Hlk11325290"/>
      <w:r w:rsidRPr="00840CF8">
        <w:rPr>
          <w:rFonts w:ascii="Book Antiqua" w:hAnsi="Book Antiqua" w:cs="Arial"/>
          <w:color w:val="000000" w:themeColor="text1"/>
        </w:rPr>
        <w:t xml:space="preserve">In addition, the property of </w:t>
      </w:r>
      <w:r w:rsidR="00293173" w:rsidRPr="00840CF8">
        <w:rPr>
          <w:rFonts w:ascii="Book Antiqua" w:hAnsi="Book Antiqua" w:cs="Arial"/>
          <w:color w:val="000000" w:themeColor="text1"/>
        </w:rPr>
        <w:t xml:space="preserve">a </w:t>
      </w:r>
      <w:r w:rsidRPr="00840CF8">
        <w:rPr>
          <w:rFonts w:ascii="Book Antiqua" w:hAnsi="Book Antiqua" w:cs="Arial"/>
          <w:color w:val="000000" w:themeColor="text1"/>
        </w:rPr>
        <w:t xml:space="preserve">higher relative biological effectiveness (RBE) for </w:t>
      </w:r>
      <w:r w:rsidR="00293173" w:rsidRPr="00840CF8">
        <w:rPr>
          <w:rFonts w:ascii="Book Antiqua" w:hAnsi="Book Antiqua" w:cs="Arial"/>
          <w:color w:val="000000" w:themeColor="text1"/>
        </w:rPr>
        <w:t xml:space="preserve">a </w:t>
      </w:r>
      <w:r w:rsidRPr="00840CF8">
        <w:rPr>
          <w:rFonts w:ascii="Book Antiqua" w:hAnsi="Book Antiqua" w:cs="Arial"/>
          <w:color w:val="000000" w:themeColor="text1"/>
        </w:rPr>
        <w:t xml:space="preserve">charged particle beam, which is approximately 1.1 for </w:t>
      </w:r>
      <w:r w:rsidR="00293173" w:rsidRPr="00840CF8">
        <w:rPr>
          <w:rFonts w:ascii="Book Antiqua" w:hAnsi="Book Antiqua" w:cs="Arial"/>
          <w:color w:val="000000" w:themeColor="text1"/>
        </w:rPr>
        <w:t xml:space="preserve">a </w:t>
      </w:r>
      <w:r w:rsidRPr="00840CF8">
        <w:rPr>
          <w:rFonts w:ascii="Book Antiqua" w:hAnsi="Book Antiqua" w:cs="Arial"/>
          <w:color w:val="000000" w:themeColor="text1"/>
        </w:rPr>
        <w:t xml:space="preserve">proton and 2-5 </w:t>
      </w:r>
      <w:r w:rsidR="00293173" w:rsidRPr="00840CF8">
        <w:rPr>
          <w:rFonts w:ascii="Book Antiqua" w:hAnsi="Book Antiqua" w:cs="Arial"/>
          <w:color w:val="000000" w:themeColor="text1"/>
        </w:rPr>
        <w:t>for a</w:t>
      </w:r>
      <w:r w:rsidRPr="00840CF8">
        <w:rPr>
          <w:rFonts w:ascii="Book Antiqua" w:hAnsi="Book Antiqua" w:cs="Arial"/>
          <w:color w:val="000000" w:themeColor="text1"/>
        </w:rPr>
        <w:t xml:space="preserve"> carbon ion</w:t>
      </w:r>
      <w:r w:rsidRPr="00840CF8">
        <w:rPr>
          <w:rFonts w:ascii="Book Antiqua" w:hAnsi="Book Antiqua" w:cs="Arial"/>
          <w:color w:val="000000" w:themeColor="text1"/>
          <w:vertAlign w:val="superscript"/>
        </w:rPr>
        <w:t>[26,29]</w:t>
      </w:r>
      <w:r w:rsidRPr="00840CF8">
        <w:rPr>
          <w:rFonts w:ascii="Book Antiqua" w:hAnsi="Book Antiqua" w:cs="Arial"/>
          <w:color w:val="000000" w:themeColor="text1"/>
        </w:rPr>
        <w:t xml:space="preserve">, </w:t>
      </w:r>
      <w:r w:rsidR="00293173" w:rsidRPr="00840CF8">
        <w:rPr>
          <w:rFonts w:ascii="Book Antiqua" w:hAnsi="Book Antiqua" w:cs="Arial"/>
          <w:color w:val="000000" w:themeColor="text1"/>
        </w:rPr>
        <w:t xml:space="preserve">indicates </w:t>
      </w:r>
      <w:r w:rsidRPr="00840CF8">
        <w:rPr>
          <w:rFonts w:ascii="Book Antiqua" w:hAnsi="Book Antiqua" w:cs="Arial"/>
          <w:color w:val="000000" w:themeColor="text1"/>
        </w:rPr>
        <w:t>higher radiobiological damage</w:t>
      </w:r>
      <w:r w:rsidR="005C3D02" w:rsidRPr="00840CF8">
        <w:rPr>
          <w:rFonts w:ascii="Book Antiqua" w:hAnsi="Book Antiqua" w:cs="Arial"/>
          <w:color w:val="000000" w:themeColor="text1"/>
        </w:rPr>
        <w:t>,</w:t>
      </w:r>
      <w:r w:rsidRPr="00840CF8">
        <w:rPr>
          <w:rFonts w:ascii="Book Antiqua" w:hAnsi="Book Antiqua" w:cs="Arial"/>
          <w:color w:val="000000" w:themeColor="text1"/>
        </w:rPr>
        <w:t xml:space="preserve"> with more DNA double strand breaks and </w:t>
      </w:r>
      <w:r w:rsidR="00145A67" w:rsidRPr="00840CF8">
        <w:rPr>
          <w:rFonts w:ascii="Book Antiqua" w:hAnsi="Book Antiqua" w:cs="Arial"/>
          <w:color w:val="000000" w:themeColor="text1"/>
        </w:rPr>
        <w:t xml:space="preserve">more </w:t>
      </w:r>
      <w:r w:rsidRPr="00840CF8">
        <w:rPr>
          <w:rFonts w:ascii="Book Antiqua" w:hAnsi="Book Antiqua" w:cs="Arial"/>
          <w:color w:val="000000" w:themeColor="text1"/>
        </w:rPr>
        <w:t>tumor ablation effects</w:t>
      </w:r>
      <w:bookmarkEnd w:id="148"/>
      <w:r w:rsidRPr="00840CF8">
        <w:rPr>
          <w:rFonts w:ascii="Book Antiqua" w:hAnsi="Book Antiqua" w:cs="Arial"/>
          <w:color w:val="000000" w:themeColor="text1"/>
          <w:vertAlign w:val="superscript"/>
        </w:rPr>
        <w:t>[26,30]</w:t>
      </w:r>
      <w:r w:rsidRPr="00840CF8">
        <w:rPr>
          <w:rFonts w:ascii="Book Antiqua" w:hAnsi="Book Antiqua" w:cs="Arial"/>
          <w:color w:val="000000" w:themeColor="text1"/>
        </w:rPr>
        <w:t xml:space="preserve">. Moreover, the direct DNA damage effect produced </w:t>
      </w:r>
      <w:r w:rsidRPr="00840CF8">
        <w:rPr>
          <w:rFonts w:ascii="Book Antiqua" w:hAnsi="Book Antiqua" w:cs="Arial"/>
          <w:i/>
          <w:iCs/>
          <w:color w:val="000000" w:themeColor="text1"/>
        </w:rPr>
        <w:t>via</w:t>
      </w:r>
      <w:r w:rsidRPr="00840CF8">
        <w:rPr>
          <w:rFonts w:ascii="Book Antiqua" w:hAnsi="Book Antiqua" w:cs="Arial"/>
          <w:color w:val="000000" w:themeColor="text1"/>
        </w:rPr>
        <w:t xml:space="preserve"> </w:t>
      </w:r>
      <w:r w:rsidR="00145A67" w:rsidRPr="00840CF8">
        <w:rPr>
          <w:rFonts w:ascii="Book Antiqua" w:hAnsi="Book Antiqua" w:cs="Arial"/>
          <w:color w:val="000000" w:themeColor="text1"/>
        </w:rPr>
        <w:t xml:space="preserve">the </w:t>
      </w:r>
      <w:r w:rsidRPr="00840CF8">
        <w:rPr>
          <w:rFonts w:ascii="Book Antiqua" w:hAnsi="Book Antiqua" w:cs="Arial"/>
          <w:color w:val="000000" w:themeColor="text1"/>
        </w:rPr>
        <w:t xml:space="preserve">CPT beam also </w:t>
      </w:r>
      <w:r w:rsidR="00945E1B" w:rsidRPr="00840CF8">
        <w:rPr>
          <w:rFonts w:ascii="Book Antiqua" w:hAnsi="Book Antiqua" w:cs="Arial"/>
          <w:color w:val="000000" w:themeColor="text1"/>
        </w:rPr>
        <w:t xml:space="preserve">had </w:t>
      </w:r>
      <w:r w:rsidRPr="00840CF8">
        <w:rPr>
          <w:rFonts w:ascii="Book Antiqua" w:hAnsi="Book Antiqua" w:cs="Arial"/>
          <w:color w:val="000000" w:themeColor="text1"/>
        </w:rPr>
        <w:t xml:space="preserve">another radiobiological advantage </w:t>
      </w:r>
      <w:r w:rsidR="00945E1B" w:rsidRPr="00840CF8">
        <w:rPr>
          <w:rFonts w:ascii="Book Antiqua" w:hAnsi="Book Antiqua" w:cs="Arial"/>
          <w:color w:val="000000" w:themeColor="text1"/>
        </w:rPr>
        <w:t xml:space="preserve">in terms of the </w:t>
      </w:r>
      <w:r w:rsidRPr="00840CF8">
        <w:rPr>
          <w:rFonts w:ascii="Book Antiqua" w:hAnsi="Book Antiqua" w:cs="Arial"/>
          <w:color w:val="000000" w:themeColor="text1"/>
        </w:rPr>
        <w:t xml:space="preserve">oxygen enhancement ratio (OER), which is defined as </w:t>
      </w:r>
      <w:r w:rsidR="002B026E" w:rsidRPr="00840CF8">
        <w:rPr>
          <w:rFonts w:ascii="Book Antiqua" w:hAnsi="Book Antiqua" w:cs="Arial"/>
          <w:color w:val="000000" w:themeColor="text1"/>
        </w:rPr>
        <w:t xml:space="preserve">the </w:t>
      </w:r>
      <w:r w:rsidRPr="00840CF8">
        <w:rPr>
          <w:rFonts w:ascii="Book Antiqua" w:hAnsi="Book Antiqua" w:cs="Arial"/>
          <w:color w:val="000000" w:themeColor="text1"/>
        </w:rPr>
        <w:t>ratio of radiation dos</w:t>
      </w:r>
      <w:r w:rsidR="002B026E" w:rsidRPr="00840CF8">
        <w:rPr>
          <w:rFonts w:ascii="Book Antiqua" w:hAnsi="Book Antiqua" w:cs="Arial"/>
          <w:color w:val="000000" w:themeColor="text1"/>
        </w:rPr>
        <w:t>e</w:t>
      </w:r>
      <w:r w:rsidRPr="00840CF8">
        <w:rPr>
          <w:rFonts w:ascii="Book Antiqua" w:hAnsi="Book Antiqua" w:cs="Arial"/>
          <w:color w:val="000000" w:themeColor="text1"/>
        </w:rPr>
        <w:t xml:space="preserve"> required to produce the same tumoricidal effect </w:t>
      </w:r>
      <w:r w:rsidR="0074035B" w:rsidRPr="00840CF8">
        <w:rPr>
          <w:rFonts w:ascii="Book Antiqua" w:hAnsi="Book Antiqua" w:cs="Arial"/>
          <w:color w:val="000000" w:themeColor="text1"/>
        </w:rPr>
        <w:t xml:space="preserve">under </w:t>
      </w:r>
      <w:r w:rsidRPr="00840CF8">
        <w:rPr>
          <w:rFonts w:ascii="Book Antiqua" w:hAnsi="Book Antiqua" w:cs="Arial"/>
          <w:color w:val="000000" w:themeColor="text1"/>
        </w:rPr>
        <w:t xml:space="preserve">hypoxic and normoxic conditions. The OER can be reduced to </w:t>
      </w:r>
      <w:r w:rsidR="00D8128E" w:rsidRPr="00840CF8">
        <w:rPr>
          <w:rFonts w:ascii="Book Antiqua" w:hAnsi="Book Antiqua" w:cs="Arial"/>
          <w:color w:val="000000" w:themeColor="text1"/>
        </w:rPr>
        <w:t xml:space="preserve">1 </w:t>
      </w:r>
      <w:r w:rsidRPr="00840CF8">
        <w:rPr>
          <w:rFonts w:ascii="Book Antiqua" w:hAnsi="Book Antiqua" w:cs="Arial"/>
          <w:color w:val="000000" w:themeColor="text1"/>
        </w:rPr>
        <w:t xml:space="preserve">by using </w:t>
      </w:r>
      <w:r w:rsidR="00A67423" w:rsidRPr="00840CF8">
        <w:rPr>
          <w:rFonts w:ascii="Book Antiqua" w:hAnsi="Book Antiqua" w:cs="Arial"/>
          <w:color w:val="000000" w:themeColor="text1"/>
        </w:rPr>
        <w:t xml:space="preserve">the </w:t>
      </w:r>
      <w:r w:rsidRPr="00840CF8">
        <w:rPr>
          <w:rFonts w:ascii="Book Antiqua" w:hAnsi="Book Antiqua" w:cs="Arial"/>
          <w:color w:val="000000" w:themeColor="text1"/>
        </w:rPr>
        <w:t>CPT beam</w:t>
      </w:r>
      <w:r w:rsidR="004031DD" w:rsidRPr="00840CF8">
        <w:rPr>
          <w:rFonts w:ascii="Book Antiqua" w:hAnsi="Book Antiqua" w:cs="Arial"/>
          <w:color w:val="000000" w:themeColor="text1"/>
        </w:rPr>
        <w:t>,</w:t>
      </w:r>
      <w:r w:rsidRPr="00840CF8">
        <w:rPr>
          <w:rFonts w:ascii="Book Antiqua" w:hAnsi="Book Antiqua" w:cs="Arial"/>
          <w:color w:val="000000" w:themeColor="text1"/>
        </w:rPr>
        <w:t xml:space="preserve"> with </w:t>
      </w:r>
      <w:r w:rsidR="00A67423" w:rsidRPr="00840CF8">
        <w:rPr>
          <w:rFonts w:ascii="Book Antiqua" w:hAnsi="Book Antiqua" w:cs="Arial"/>
          <w:color w:val="000000" w:themeColor="text1"/>
        </w:rPr>
        <w:t xml:space="preserve">a </w:t>
      </w:r>
      <w:r w:rsidRPr="00840CF8">
        <w:rPr>
          <w:rFonts w:ascii="Book Antiqua" w:hAnsi="Book Antiqua" w:cs="Arial"/>
          <w:color w:val="000000" w:themeColor="text1"/>
        </w:rPr>
        <w:t xml:space="preserve">linear energy transfer more than 100 keV/μm for oxygen concentrations between </w:t>
      </w:r>
      <w:r w:rsidR="005D3900" w:rsidRPr="00840CF8">
        <w:rPr>
          <w:rFonts w:ascii="Book Antiqua" w:hAnsi="Book Antiqua" w:cs="Arial"/>
          <w:color w:val="000000" w:themeColor="text1"/>
        </w:rPr>
        <w:t>0% and 20%</w:t>
      </w:r>
      <w:r w:rsidRPr="00840CF8">
        <w:rPr>
          <w:rFonts w:ascii="Book Antiqua" w:hAnsi="Book Antiqua" w:cs="Arial"/>
          <w:color w:val="000000" w:themeColor="text1"/>
          <w:vertAlign w:val="superscript"/>
        </w:rPr>
        <w:t>[31]</w:t>
      </w:r>
      <w:r w:rsidRPr="00840CF8">
        <w:rPr>
          <w:rFonts w:ascii="Book Antiqua" w:hAnsi="Book Antiqua" w:cs="Arial"/>
          <w:color w:val="000000" w:themeColor="text1"/>
        </w:rPr>
        <w:t>.</w:t>
      </w:r>
      <w:r w:rsidRPr="00840CF8">
        <w:rPr>
          <w:rFonts w:ascii="Book Antiqua" w:hAnsi="Book Antiqua" w:cs="Arial" w:hint="eastAsia"/>
          <w:color w:val="000000" w:themeColor="text1"/>
        </w:rPr>
        <w:t xml:space="preserve"> </w:t>
      </w:r>
      <w:r w:rsidRPr="00840CF8">
        <w:rPr>
          <w:rFonts w:ascii="Book Antiqua" w:hAnsi="Book Antiqua" w:cs="Arial"/>
          <w:color w:val="000000" w:themeColor="text1"/>
        </w:rPr>
        <w:t>Consequently, increased application of CPT in HCC patients has been noticed in recent years, especially owing to the improved techniques of CPT and the increased numbers of CPT facilities</w:t>
      </w:r>
      <w:r w:rsidRPr="00840CF8">
        <w:rPr>
          <w:rFonts w:ascii="Book Antiqua" w:hAnsi="Book Antiqua" w:cs="Arial"/>
          <w:color w:val="000000" w:themeColor="text1"/>
          <w:vertAlign w:val="superscript"/>
        </w:rPr>
        <w:t>[32,33]</w:t>
      </w:r>
      <w:r w:rsidRPr="00840CF8">
        <w:rPr>
          <w:rFonts w:ascii="Book Antiqua" w:hAnsi="Book Antiqua" w:cs="Arial"/>
          <w:color w:val="000000" w:themeColor="text1"/>
        </w:rPr>
        <w:t>.</w:t>
      </w:r>
    </w:p>
    <w:p w14:paraId="3295AAE1" w14:textId="03640EDB" w:rsidR="002E0F68" w:rsidRPr="00840CF8" w:rsidRDefault="00A8427A" w:rsidP="00CB7D2C">
      <w:pPr>
        <w:pStyle w:val="HTML"/>
        <w:snapToGrid w:val="0"/>
        <w:spacing w:line="360" w:lineRule="auto"/>
        <w:jc w:val="both"/>
        <w:rPr>
          <w:rFonts w:ascii="Book Antiqua" w:hAnsi="Book Antiqua" w:cs="Arial"/>
          <w:color w:val="000000" w:themeColor="text1"/>
        </w:rPr>
      </w:pPr>
      <w:r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 With the technological advancements in CPT, it is reasonable that the protocol of the doses schedule shifts from conventional fractionation to hypofractionation, like the evolving process of the photon beam treatment</w:t>
      </w:r>
      <w:r w:rsidR="005E24D2"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SBRT</w:t>
      </w:r>
      <w:r w:rsidR="005E24D2"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for HCC</w:t>
      </w:r>
      <w:bookmarkStart w:id="149" w:name="_Hlk11325758"/>
      <w:r w:rsidR="002E0F68" w:rsidRPr="00840CF8">
        <w:rPr>
          <w:rFonts w:ascii="Book Antiqua" w:hAnsi="Book Antiqua" w:cs="Arial"/>
          <w:color w:val="000000" w:themeColor="text1"/>
        </w:rPr>
        <w:t>. Several studies demonstrated that various radiation dose protocols, which ranged from 77 GyE (1 Gray equivalent protons is equivalent to delivering 1 Gy with photons) in 35 fractions to 66 GyE in 10 fractions for PBT</w:t>
      </w:r>
      <w:r w:rsidR="002E0F68" w:rsidRPr="00840CF8">
        <w:rPr>
          <w:rFonts w:ascii="Book Antiqua" w:hAnsi="Book Antiqua" w:cs="Arial"/>
          <w:color w:val="000000" w:themeColor="text1"/>
          <w:vertAlign w:val="superscript"/>
        </w:rPr>
        <w:t>[34-37]</w:t>
      </w:r>
      <w:r w:rsidR="002E0F68" w:rsidRPr="00840CF8">
        <w:rPr>
          <w:rFonts w:ascii="Book Antiqua" w:hAnsi="Book Antiqua" w:cs="Arial"/>
          <w:color w:val="000000" w:themeColor="text1"/>
        </w:rPr>
        <w:t xml:space="preserve"> and 76 GyE in 20 fractions to 52.8 GyE in 4 fractions for CIRT</w:t>
      </w:r>
      <w:r w:rsidR="002E0F68" w:rsidRPr="00840CF8">
        <w:rPr>
          <w:rFonts w:ascii="Book Antiqua" w:hAnsi="Book Antiqua" w:cs="Arial"/>
          <w:color w:val="000000" w:themeColor="text1"/>
          <w:vertAlign w:val="superscript"/>
        </w:rPr>
        <w:t>[38,39]</w:t>
      </w:r>
      <w:r w:rsidR="002E0F68" w:rsidRPr="00840CF8">
        <w:rPr>
          <w:rFonts w:ascii="Book Antiqua" w:hAnsi="Book Antiqua" w:cs="Arial"/>
          <w:color w:val="000000" w:themeColor="text1"/>
        </w:rPr>
        <w:t xml:space="preserve">, provide effective treatment results under different conditions </w:t>
      </w:r>
      <w:r w:rsidR="005E24D2" w:rsidRPr="00840CF8">
        <w:rPr>
          <w:rFonts w:ascii="Book Antiqua" w:hAnsi="Book Antiqua" w:cs="Arial"/>
          <w:color w:val="000000" w:themeColor="text1"/>
        </w:rPr>
        <w:t xml:space="preserve">in </w:t>
      </w:r>
      <w:r w:rsidR="002E0F68" w:rsidRPr="00840CF8">
        <w:rPr>
          <w:rFonts w:ascii="Book Antiqua" w:hAnsi="Book Antiqua" w:cs="Arial"/>
          <w:color w:val="000000" w:themeColor="text1"/>
        </w:rPr>
        <w:t>HCC patients</w:t>
      </w:r>
      <w:bookmarkEnd w:id="149"/>
      <w:r w:rsidR="002E0F68" w:rsidRPr="00840CF8">
        <w:rPr>
          <w:rFonts w:ascii="Book Antiqua" w:hAnsi="Book Antiqua" w:cs="Arial"/>
          <w:color w:val="000000" w:themeColor="text1"/>
        </w:rPr>
        <w:t xml:space="preserve">. However, the optimal CPT dose and schedule for effective control of tumors </w:t>
      </w:r>
      <w:r w:rsidR="005E24D2" w:rsidRPr="00840CF8">
        <w:rPr>
          <w:rFonts w:ascii="Book Antiqua" w:hAnsi="Book Antiqua" w:cs="Arial"/>
          <w:color w:val="000000" w:themeColor="text1"/>
        </w:rPr>
        <w:t>in HCC patients with</w:t>
      </w:r>
      <w:r w:rsidR="002E0F68" w:rsidRPr="00840CF8">
        <w:rPr>
          <w:rFonts w:ascii="Book Antiqua" w:hAnsi="Book Antiqua" w:cs="Arial"/>
          <w:color w:val="000000" w:themeColor="text1"/>
        </w:rPr>
        <w:t xml:space="preserve"> different comorbidities</w:t>
      </w:r>
      <w:r w:rsidR="005E24D2"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remain uncertain. The aim of the present systematic review </w:t>
      </w:r>
      <w:r w:rsidR="005E24D2" w:rsidRPr="00840CF8">
        <w:rPr>
          <w:rFonts w:ascii="Book Antiqua" w:hAnsi="Book Antiqua" w:cs="Arial"/>
          <w:color w:val="000000" w:themeColor="text1"/>
        </w:rPr>
        <w:t xml:space="preserve">is to </w:t>
      </w:r>
      <w:r w:rsidR="002E0F68" w:rsidRPr="00840CF8">
        <w:rPr>
          <w:rFonts w:ascii="Book Antiqua" w:hAnsi="Book Antiqua" w:cs="Arial"/>
          <w:color w:val="000000" w:themeColor="text1"/>
        </w:rPr>
        <w:t xml:space="preserve">evaluate the efficacy and safety of the different CPT </w:t>
      </w:r>
      <w:r w:rsidR="005E24D2" w:rsidRPr="00840CF8">
        <w:rPr>
          <w:rFonts w:ascii="Book Antiqua" w:hAnsi="Book Antiqua" w:cs="Arial"/>
          <w:color w:val="000000" w:themeColor="text1"/>
        </w:rPr>
        <w:t xml:space="preserve">dose </w:t>
      </w:r>
      <w:r w:rsidR="002E0F68" w:rsidRPr="00840CF8">
        <w:rPr>
          <w:rFonts w:ascii="Book Antiqua" w:hAnsi="Book Antiqua" w:cs="Arial"/>
          <w:color w:val="000000" w:themeColor="text1"/>
        </w:rPr>
        <w:t>regimen</w:t>
      </w:r>
      <w:r w:rsidR="005E24D2" w:rsidRPr="00840CF8">
        <w:rPr>
          <w:rFonts w:ascii="Book Antiqua" w:hAnsi="Book Antiqua" w:cs="Arial"/>
          <w:color w:val="000000" w:themeColor="text1"/>
        </w:rPr>
        <w:t>s</w:t>
      </w:r>
      <w:r w:rsidR="002E0F68" w:rsidRPr="00840CF8">
        <w:rPr>
          <w:rFonts w:ascii="Book Antiqua" w:hAnsi="Book Antiqua" w:cs="Arial"/>
          <w:color w:val="000000" w:themeColor="text1"/>
        </w:rPr>
        <w:t xml:space="preserve">, </w:t>
      </w:r>
      <w:r w:rsidR="005E24D2" w:rsidRPr="00840CF8">
        <w:rPr>
          <w:rFonts w:ascii="Book Antiqua" w:hAnsi="Book Antiqua" w:cs="Arial"/>
          <w:color w:val="000000" w:themeColor="text1"/>
        </w:rPr>
        <w:t>leading to</w:t>
      </w:r>
      <w:r w:rsidR="002E0F68" w:rsidRPr="00840CF8">
        <w:rPr>
          <w:rFonts w:ascii="Book Antiqua" w:hAnsi="Book Antiqua" w:cs="Arial"/>
          <w:color w:val="000000" w:themeColor="text1"/>
        </w:rPr>
        <w:t xml:space="preserve"> a conclusive summary of the adequate dose and fraction for clinical utilization in HCC treatment. </w:t>
      </w:r>
    </w:p>
    <w:p w14:paraId="32C9596C" w14:textId="77777777" w:rsidR="002E0F68" w:rsidRPr="00840CF8" w:rsidRDefault="002E0F68" w:rsidP="00CB7D2C">
      <w:pPr>
        <w:pStyle w:val="HTML"/>
        <w:snapToGrid w:val="0"/>
        <w:spacing w:line="360" w:lineRule="auto"/>
        <w:jc w:val="both"/>
        <w:rPr>
          <w:rFonts w:ascii="Book Antiqua" w:hAnsi="Book Antiqua" w:cs="Arial"/>
          <w:color w:val="000000" w:themeColor="text1"/>
        </w:rPr>
      </w:pPr>
    </w:p>
    <w:p w14:paraId="71785C59" w14:textId="77777777" w:rsidR="002E0F68" w:rsidRPr="00840CF8" w:rsidRDefault="002E0F68" w:rsidP="00CB7D2C">
      <w:pPr>
        <w:pStyle w:val="HTML"/>
        <w:snapToGrid w:val="0"/>
        <w:spacing w:line="360" w:lineRule="auto"/>
        <w:jc w:val="both"/>
        <w:rPr>
          <w:rFonts w:ascii="Book Antiqua" w:hAnsi="Book Antiqua" w:cs="Arial"/>
          <w:b/>
          <w:caps/>
          <w:color w:val="000000" w:themeColor="text1"/>
        </w:rPr>
      </w:pPr>
      <w:r w:rsidRPr="00840CF8">
        <w:rPr>
          <w:rFonts w:ascii="Book Antiqua" w:hAnsi="Book Antiqua" w:cs="Arial"/>
          <w:b/>
          <w:caps/>
          <w:color w:val="000000" w:themeColor="text1"/>
        </w:rPr>
        <w:t xml:space="preserve">Clinical Outcomes for Particle Beam Therapy with </w:t>
      </w:r>
      <w:r w:rsidR="005E24D2" w:rsidRPr="00840CF8">
        <w:rPr>
          <w:rFonts w:ascii="Book Antiqua" w:hAnsi="Book Antiqua" w:cs="Arial"/>
          <w:b/>
          <w:caps/>
          <w:color w:val="000000" w:themeColor="text1"/>
        </w:rPr>
        <w:t xml:space="preserve">Dose </w:t>
      </w:r>
      <w:r w:rsidRPr="00840CF8">
        <w:rPr>
          <w:rFonts w:ascii="Book Antiqua" w:hAnsi="Book Antiqua" w:cs="Arial"/>
          <w:b/>
          <w:caps/>
          <w:color w:val="000000" w:themeColor="text1"/>
        </w:rPr>
        <w:t>Regimen of Less than 5 Gy per fraction</w:t>
      </w:r>
    </w:p>
    <w:p w14:paraId="317BB38D" w14:textId="77777777" w:rsidR="002E0F68" w:rsidRPr="00840CF8" w:rsidRDefault="002E0F68" w:rsidP="00CB7D2C">
      <w:pPr>
        <w:pStyle w:val="HTML"/>
        <w:snapToGrid w:val="0"/>
        <w:spacing w:line="360" w:lineRule="auto"/>
        <w:jc w:val="both"/>
        <w:rPr>
          <w:rFonts w:ascii="Book Antiqua" w:hAnsi="Book Antiqua" w:cs="Arial"/>
          <w:color w:val="000000" w:themeColor="text1"/>
        </w:rPr>
      </w:pPr>
      <w:bookmarkStart w:id="150" w:name="_Hlk11325848"/>
      <w:r w:rsidRPr="00840CF8">
        <w:rPr>
          <w:rFonts w:ascii="Book Antiqua" w:hAnsi="Book Antiqua" w:cs="Arial"/>
          <w:color w:val="000000" w:themeColor="text1"/>
        </w:rPr>
        <w:t xml:space="preserve">The </w:t>
      </w:r>
      <w:r w:rsidR="00250547" w:rsidRPr="00840CF8">
        <w:rPr>
          <w:rFonts w:ascii="Book Antiqua" w:hAnsi="Book Antiqua" w:cs="Arial"/>
          <w:color w:val="000000" w:themeColor="text1"/>
        </w:rPr>
        <w:t xml:space="preserve">studies on </w:t>
      </w:r>
      <w:r w:rsidRPr="00840CF8">
        <w:rPr>
          <w:rFonts w:ascii="Book Antiqua" w:hAnsi="Book Antiqua" w:cs="Arial"/>
          <w:color w:val="000000" w:themeColor="text1"/>
        </w:rPr>
        <w:t>cohorts treated with CPT for HCC are mainly</w:t>
      </w:r>
      <w:r w:rsidR="00A42B8F" w:rsidRPr="00840CF8">
        <w:rPr>
          <w:rFonts w:ascii="Book Antiqua" w:hAnsi="Book Antiqua" w:cs="Arial"/>
          <w:color w:val="000000" w:themeColor="text1"/>
        </w:rPr>
        <w:t xml:space="preserve"> </w:t>
      </w:r>
      <w:r w:rsidR="00250547" w:rsidRPr="00840CF8">
        <w:rPr>
          <w:rFonts w:ascii="Book Antiqua" w:hAnsi="Book Antiqua" w:cs="Arial"/>
          <w:color w:val="000000" w:themeColor="text1"/>
        </w:rPr>
        <w:t>from</w:t>
      </w:r>
      <w:r w:rsidRPr="00840CF8">
        <w:rPr>
          <w:rFonts w:ascii="Book Antiqua" w:hAnsi="Book Antiqua" w:cs="Arial"/>
          <w:color w:val="000000" w:themeColor="text1"/>
        </w:rPr>
        <w:t xml:space="preserve"> the United States, Japan, and Korea</w:t>
      </w:r>
      <w:bookmarkEnd w:id="150"/>
      <w:r w:rsidRPr="00840CF8">
        <w:rPr>
          <w:rFonts w:ascii="Book Antiqua" w:hAnsi="Book Antiqua" w:cs="Arial"/>
          <w:color w:val="000000" w:themeColor="text1"/>
        </w:rPr>
        <w:t xml:space="preserve">. We have reviewed 5 prospective and 2 retrospective studies, in which the dose protocols of CPT for treating HCC are less than 5 GyE per fraction. The clinical characteristics and outcomes of CPT for treating HCC using conventional fraction-size doses are summarized in </w:t>
      </w:r>
      <w:r w:rsidRPr="00840CF8">
        <w:rPr>
          <w:rFonts w:ascii="Book Antiqua" w:hAnsi="Book Antiqua" w:cs="Arial"/>
          <w:bCs/>
          <w:color w:val="000000" w:themeColor="text1"/>
        </w:rPr>
        <w:t>Tables 1 and 2.</w:t>
      </w:r>
      <w:r w:rsidRPr="00840CF8">
        <w:rPr>
          <w:rFonts w:ascii="Book Antiqua" w:hAnsi="Book Antiqua" w:cs="Arial"/>
          <w:color w:val="000000" w:themeColor="text1"/>
        </w:rPr>
        <w:t xml:space="preserve"> In addition to the aforementioned characteristics, we summarized the target volume for HCC using CPT, including gross tumor volume (GTV), clinical target volume (CTV) extending from GTV, internal target volume (ITV), and planning target volume (PTV), </w:t>
      </w:r>
      <w:r w:rsidR="0059165C" w:rsidRPr="00840CF8">
        <w:rPr>
          <w:rFonts w:ascii="Book Antiqua" w:hAnsi="Book Antiqua" w:cs="Arial"/>
          <w:color w:val="000000" w:themeColor="text1"/>
        </w:rPr>
        <w:t xml:space="preserve">as well as </w:t>
      </w:r>
      <w:r w:rsidRPr="00840CF8">
        <w:rPr>
          <w:rFonts w:ascii="Book Antiqua" w:hAnsi="Book Antiqua" w:cs="Arial"/>
          <w:color w:val="000000" w:themeColor="text1"/>
        </w:rPr>
        <w:t xml:space="preserve">the toxicities that resulted from CPT (Table 2). </w:t>
      </w:r>
    </w:p>
    <w:p w14:paraId="71A3ED61" w14:textId="79E0C6C5" w:rsidR="002E0F68" w:rsidRPr="00840CF8" w:rsidRDefault="00A8427A" w:rsidP="00CB7D2C">
      <w:pPr>
        <w:pStyle w:val="HTML"/>
        <w:snapToGrid w:val="0"/>
        <w:spacing w:line="360" w:lineRule="auto"/>
        <w:jc w:val="both"/>
        <w:rPr>
          <w:rFonts w:ascii="Book Antiqua" w:hAnsi="Book Antiqua" w:cs="Arial"/>
          <w:color w:val="000000" w:themeColor="text1"/>
        </w:rPr>
      </w:pPr>
      <w:r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First, two prospective phase II trials were conducted in the </w:t>
      </w:r>
      <w:r w:rsidR="005E24D2" w:rsidRPr="00840CF8">
        <w:rPr>
          <w:rFonts w:ascii="Book Antiqua" w:hAnsi="Book Antiqua" w:cs="Arial"/>
          <w:color w:val="000000" w:themeColor="text1"/>
        </w:rPr>
        <w:t xml:space="preserve">US </w:t>
      </w:r>
      <w:r w:rsidR="002E0F68" w:rsidRPr="00840CF8">
        <w:rPr>
          <w:rFonts w:ascii="Book Antiqua" w:hAnsi="Book Antiqua" w:cs="Arial"/>
          <w:color w:val="000000" w:themeColor="text1"/>
        </w:rPr>
        <w:t xml:space="preserve">to evaluate the efficacy and safety of PBT for treating HCC. Bush </w:t>
      </w:r>
      <w:r w:rsidR="008E76B0" w:rsidRPr="00840CF8">
        <w:rPr>
          <w:rFonts w:ascii="Book Antiqua" w:hAnsi="Book Antiqua" w:cs="Arial"/>
          <w:i/>
          <w:iCs/>
          <w:color w:val="000000" w:themeColor="text1"/>
        </w:rPr>
        <w:t>et al</w:t>
      </w:r>
      <w:r w:rsidR="002E0F68" w:rsidRPr="00840CF8">
        <w:rPr>
          <w:rFonts w:ascii="Book Antiqua" w:hAnsi="Book Antiqua" w:cs="Arial"/>
          <w:color w:val="000000" w:themeColor="text1"/>
          <w:vertAlign w:val="superscript"/>
        </w:rPr>
        <w:t>[40]</w:t>
      </w:r>
      <w:r w:rsidR="002E0F68" w:rsidRPr="00840CF8">
        <w:rPr>
          <w:rFonts w:ascii="Book Antiqua" w:hAnsi="Book Antiqua" w:cs="Arial"/>
          <w:color w:val="000000" w:themeColor="text1"/>
        </w:rPr>
        <w:t>, in Loma Linda, published their results using the regimen of 63 GyE in 15 fractions of PBT in the treatment of HCC. They recruited a total of 76 HCC patients, of which 58 patients had underlying liver functions characterized by Child-Pugh A or B and mean tumor sizes of 5.5 cm</w:t>
      </w:r>
      <w:r w:rsidR="002E0F68" w:rsidRPr="00840CF8">
        <w:rPr>
          <w:rFonts w:ascii="Book Antiqua" w:hAnsi="Book Antiqua" w:cs="Arial"/>
          <w:color w:val="000000" w:themeColor="text1"/>
          <w:vertAlign w:val="superscript"/>
        </w:rPr>
        <w:t>[40]</w:t>
      </w:r>
      <w:r w:rsidR="002E0F68" w:rsidRPr="00840CF8">
        <w:rPr>
          <w:rFonts w:ascii="Book Antiqua" w:hAnsi="Book Antiqua" w:cs="Arial"/>
          <w:color w:val="000000" w:themeColor="text1"/>
        </w:rPr>
        <w:t>. The local control (LC) rate was 80%</w:t>
      </w:r>
      <w:r w:rsidR="00586134" w:rsidRPr="00840CF8">
        <w:rPr>
          <w:rFonts w:ascii="Book Antiqua" w:hAnsi="Book Antiqua" w:cs="Arial"/>
          <w:color w:val="000000" w:themeColor="text1"/>
        </w:rPr>
        <w:t>,</w:t>
      </w:r>
      <w:r w:rsidR="002E0F68" w:rsidRPr="00840CF8">
        <w:rPr>
          <w:rFonts w:ascii="Book Antiqua" w:hAnsi="Book Antiqua" w:cs="Arial"/>
          <w:color w:val="000000" w:themeColor="text1"/>
        </w:rPr>
        <w:t xml:space="preserve"> and the median progression-free survival (PFS) was 36 months; only 5 patients had grade 2 gastrointestinal (GI) adverse effects after PBT treatment</w:t>
      </w:r>
      <w:r w:rsidR="002E0F68" w:rsidRPr="00840CF8">
        <w:rPr>
          <w:rFonts w:ascii="Book Antiqua" w:hAnsi="Book Antiqua" w:cs="Arial"/>
          <w:color w:val="000000" w:themeColor="text1"/>
          <w:vertAlign w:val="superscript"/>
        </w:rPr>
        <w:t>[40]</w:t>
      </w:r>
      <w:r w:rsidR="002E0F68" w:rsidRPr="00840CF8">
        <w:rPr>
          <w:rFonts w:ascii="Book Antiqua" w:hAnsi="Book Antiqua" w:cs="Arial"/>
          <w:color w:val="000000" w:themeColor="text1"/>
        </w:rPr>
        <w:t>. The 3</w:t>
      </w:r>
      <w:r w:rsidR="005E24D2" w:rsidRPr="00840CF8">
        <w:rPr>
          <w:rFonts w:ascii="Book Antiqua" w:hAnsi="Book Antiqua" w:cs="Arial"/>
          <w:color w:val="000000" w:themeColor="text1"/>
        </w:rPr>
        <w:t>-</w:t>
      </w:r>
      <w:r w:rsidR="002E0F68" w:rsidRPr="00840CF8">
        <w:rPr>
          <w:rFonts w:ascii="Book Antiqua" w:hAnsi="Book Antiqua" w:cs="Arial"/>
          <w:color w:val="000000" w:themeColor="text1"/>
        </w:rPr>
        <w:t>year overall survival (OS) was 70% for patients (</w:t>
      </w:r>
      <w:r w:rsidR="00814407" w:rsidRPr="00840CF8">
        <w:rPr>
          <w:rFonts w:ascii="Book Antiqua" w:hAnsi="Book Antiqua" w:cs="Arial"/>
          <w:i/>
          <w:iCs/>
          <w:color w:val="000000" w:themeColor="text1"/>
        </w:rPr>
        <w:t>n =</w:t>
      </w:r>
      <w:r w:rsidR="002E0F68" w:rsidRPr="00840CF8">
        <w:rPr>
          <w:rFonts w:ascii="Book Antiqua" w:hAnsi="Book Antiqua" w:cs="Arial"/>
          <w:color w:val="000000" w:themeColor="text1"/>
        </w:rPr>
        <w:t xml:space="preserve"> 18) who underwent subsequent liver transplantation after PBT, of which 33% (</w:t>
      </w:r>
      <w:r w:rsidR="00814407" w:rsidRPr="00840CF8">
        <w:rPr>
          <w:rFonts w:ascii="Book Antiqua" w:hAnsi="Book Antiqua" w:cs="Arial"/>
          <w:i/>
          <w:iCs/>
          <w:color w:val="000000" w:themeColor="text1"/>
        </w:rPr>
        <w:t>n =</w:t>
      </w:r>
      <w:r w:rsidR="002E0F68" w:rsidRPr="00840CF8">
        <w:rPr>
          <w:rFonts w:ascii="Book Antiqua" w:hAnsi="Book Antiqua" w:cs="Arial"/>
          <w:color w:val="000000" w:themeColor="text1"/>
        </w:rPr>
        <w:t xml:space="preserve"> 6) and 39% of the patients had complete remission (CR) (</w:t>
      </w:r>
      <w:r w:rsidR="00814407" w:rsidRPr="00840CF8">
        <w:rPr>
          <w:rFonts w:ascii="Book Antiqua" w:hAnsi="Book Antiqua" w:cs="Arial"/>
          <w:i/>
          <w:iCs/>
          <w:color w:val="000000" w:themeColor="text1"/>
        </w:rPr>
        <w:t>n =</w:t>
      </w:r>
      <w:r w:rsidR="002E0F68" w:rsidRPr="00840CF8">
        <w:rPr>
          <w:rFonts w:ascii="Book Antiqua" w:hAnsi="Book Antiqua" w:cs="Arial"/>
          <w:color w:val="000000" w:themeColor="text1"/>
        </w:rPr>
        <w:t xml:space="preserve"> 7) and microscopic residues only, respectively</w:t>
      </w:r>
      <w:r w:rsidR="002E0F68" w:rsidRPr="00840CF8">
        <w:rPr>
          <w:rFonts w:ascii="Book Antiqua" w:hAnsi="Book Antiqua" w:cs="Arial"/>
          <w:color w:val="000000" w:themeColor="text1"/>
          <w:vertAlign w:val="superscript"/>
        </w:rPr>
        <w:t>[40]</w:t>
      </w:r>
      <w:r w:rsidR="002E0F68" w:rsidRPr="00840CF8">
        <w:rPr>
          <w:rFonts w:ascii="Book Antiqua" w:hAnsi="Book Antiqua" w:cs="Arial"/>
          <w:color w:val="000000" w:themeColor="text1"/>
        </w:rPr>
        <w:t xml:space="preserve">. Hong </w:t>
      </w:r>
      <w:r w:rsidR="008E76B0" w:rsidRPr="00840CF8">
        <w:rPr>
          <w:rFonts w:ascii="Book Antiqua" w:hAnsi="Book Antiqua" w:cs="Arial"/>
          <w:i/>
          <w:iCs/>
          <w:color w:val="000000" w:themeColor="text1"/>
        </w:rPr>
        <w:t>et al</w:t>
      </w:r>
      <w:r w:rsidR="00C10A62" w:rsidRPr="00840CF8">
        <w:rPr>
          <w:rFonts w:ascii="Book Antiqua" w:hAnsi="Book Antiqua" w:cs="Arial"/>
          <w:color w:val="000000" w:themeColor="text1"/>
          <w:vertAlign w:val="superscript"/>
        </w:rPr>
        <w:t>[41]</w:t>
      </w:r>
      <w:r w:rsidR="002E0F68" w:rsidRPr="00840CF8">
        <w:rPr>
          <w:rFonts w:ascii="Book Antiqua" w:hAnsi="Book Antiqua" w:cs="Arial"/>
          <w:color w:val="000000" w:themeColor="text1"/>
        </w:rPr>
        <w:t xml:space="preserve"> enrolled 44 patients with HCC from the Massachusetts General Hospital, MD Anderson Cancer Center, and University of Pennsylvania who were administered PBT using the regimen of 67.5 GyE in 15 fractions (58.05 GyE in 15 fractions for location of tumors within 2 cm of the porta hepatis), of which 41 patients had liver function of Child-Pugh A or B and median tumor size of 5.0 cm</w:t>
      </w:r>
      <w:r w:rsidR="002E0F68" w:rsidRPr="00840CF8">
        <w:rPr>
          <w:rFonts w:ascii="Book Antiqua" w:hAnsi="Book Antiqua" w:cs="Arial"/>
          <w:color w:val="000000" w:themeColor="text1"/>
          <w:vertAlign w:val="superscript"/>
        </w:rPr>
        <w:t>[41]</w:t>
      </w:r>
      <w:r w:rsidR="002E0F68" w:rsidRPr="00840CF8">
        <w:rPr>
          <w:rFonts w:ascii="Book Antiqua" w:hAnsi="Book Antiqua" w:cs="Arial"/>
          <w:color w:val="000000" w:themeColor="text1"/>
        </w:rPr>
        <w:t>. The 2-year LC rate and the median PFS for all the patients were 94.8% and 13.9 months, respectively</w:t>
      </w:r>
      <w:r w:rsidR="002E0F68" w:rsidRPr="00840CF8">
        <w:rPr>
          <w:rFonts w:ascii="Book Antiqua" w:hAnsi="Book Antiqua" w:cs="Arial"/>
          <w:color w:val="000000" w:themeColor="text1"/>
          <w:vertAlign w:val="superscript"/>
        </w:rPr>
        <w:t>[41]</w:t>
      </w:r>
      <w:r w:rsidR="002E0F68" w:rsidRPr="00840CF8">
        <w:rPr>
          <w:rFonts w:ascii="Book Antiqua" w:hAnsi="Book Antiqua" w:cs="Arial"/>
          <w:color w:val="000000" w:themeColor="text1"/>
        </w:rPr>
        <w:t xml:space="preserve">. In their study, 4 patients experienced grade 3 radiation-related toxicities, including thrombocytopenia, liver failure and ascites, gastric ulcer, and elevated bilirubin. A higher occurrence (29.5%) of vascular thrombosis was reported in patients in their study compared to the 5% occurrence that was reported in Bush </w:t>
      </w:r>
      <w:r w:rsidR="008E76B0" w:rsidRPr="00840CF8">
        <w:rPr>
          <w:rFonts w:ascii="Book Antiqua" w:hAnsi="Book Antiqua" w:cs="Arial"/>
          <w:i/>
          <w:iCs/>
          <w:color w:val="000000" w:themeColor="text1"/>
        </w:rPr>
        <w:t>et al</w:t>
      </w:r>
      <w:r w:rsidR="002F0F9C" w:rsidRPr="00840CF8">
        <w:rPr>
          <w:rFonts w:ascii="Book Antiqua" w:hAnsi="Book Antiqua" w:cs="Arial"/>
          <w:color w:val="000000" w:themeColor="text1"/>
          <w:vertAlign w:val="superscript"/>
        </w:rPr>
        <w:t>[40]</w:t>
      </w:r>
      <w:r w:rsidR="002E0F68" w:rsidRPr="00840CF8">
        <w:rPr>
          <w:rFonts w:ascii="Book Antiqua" w:hAnsi="Book Antiqua" w:cs="Arial"/>
          <w:color w:val="000000" w:themeColor="text1"/>
        </w:rPr>
        <w:t xml:space="preserve">’s cohort. </w:t>
      </w:r>
    </w:p>
    <w:p w14:paraId="38D6952E" w14:textId="385847D4" w:rsidR="002E0F68" w:rsidRPr="00840CF8" w:rsidRDefault="00A8427A" w:rsidP="00CB7D2C">
      <w:pPr>
        <w:pStyle w:val="HTML"/>
        <w:snapToGrid w:val="0"/>
        <w:spacing w:line="360" w:lineRule="auto"/>
        <w:jc w:val="both"/>
        <w:rPr>
          <w:rFonts w:ascii="Book Antiqua" w:hAnsi="Book Antiqua" w:cs="Arial"/>
          <w:color w:val="000000" w:themeColor="text1"/>
        </w:rPr>
      </w:pPr>
      <w:r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Chiba </w:t>
      </w:r>
      <w:r w:rsidR="008E76B0" w:rsidRPr="00840CF8">
        <w:rPr>
          <w:rFonts w:ascii="Book Antiqua" w:hAnsi="Book Antiqua" w:cs="Arial"/>
          <w:i/>
          <w:iCs/>
          <w:color w:val="000000" w:themeColor="text1"/>
        </w:rPr>
        <w:t>et al</w:t>
      </w:r>
      <w:r w:rsidR="002E0F68" w:rsidRPr="00840CF8">
        <w:rPr>
          <w:rFonts w:ascii="Book Antiqua" w:hAnsi="Book Antiqua" w:cs="Arial"/>
          <w:color w:val="000000" w:themeColor="text1"/>
        </w:rPr>
        <w:t>. reported the clinical experience of PBT for 162 patients with median HCC tumor size of 3.8 cm at the University of Tsukuba using a PBT dose regimen of 50 to 88 GyE in 10-24 fractions with a median fraction dose of 4.5 GyE</w:t>
      </w:r>
      <w:r w:rsidR="002E0F68" w:rsidRPr="00840CF8">
        <w:rPr>
          <w:rFonts w:ascii="Book Antiqua" w:hAnsi="Book Antiqua" w:cs="Arial"/>
          <w:color w:val="000000" w:themeColor="text1"/>
          <w:vertAlign w:val="superscript"/>
        </w:rPr>
        <w:t>[42]</w:t>
      </w:r>
      <w:r w:rsidR="002E0F68" w:rsidRPr="00840CF8">
        <w:rPr>
          <w:rFonts w:ascii="Book Antiqua" w:hAnsi="Book Antiqua" w:cs="Arial"/>
          <w:color w:val="000000" w:themeColor="text1"/>
        </w:rPr>
        <w:t>. Of these, 88.9% of patients had liver function of Child-Pugh A or B, and 6.1% patients had vascular thrombosis</w:t>
      </w:r>
      <w:r w:rsidR="002E0F68" w:rsidRPr="00840CF8">
        <w:rPr>
          <w:rFonts w:ascii="Book Antiqua" w:hAnsi="Book Antiqua" w:cs="Arial"/>
          <w:color w:val="000000" w:themeColor="text1"/>
          <w:vertAlign w:val="superscript"/>
        </w:rPr>
        <w:t>[42]</w:t>
      </w:r>
      <w:r w:rsidR="002E0F68" w:rsidRPr="00840CF8">
        <w:rPr>
          <w:rFonts w:ascii="Book Antiqua" w:hAnsi="Book Antiqua" w:cs="Arial"/>
          <w:color w:val="000000" w:themeColor="text1"/>
        </w:rPr>
        <w:t xml:space="preserve">. The 5-year LC and OS rates were 86.9% and 23.5%, respectively. The 5-year OS rate for patients with </w:t>
      </w:r>
      <w:r w:rsidR="00586134" w:rsidRPr="00840CF8">
        <w:rPr>
          <w:rFonts w:ascii="Book Antiqua" w:hAnsi="Book Antiqua" w:cs="Arial"/>
          <w:color w:val="000000" w:themeColor="text1"/>
        </w:rPr>
        <w:t xml:space="preserve">a </w:t>
      </w:r>
      <w:r w:rsidR="002E0F68" w:rsidRPr="00840CF8">
        <w:rPr>
          <w:rFonts w:ascii="Book Antiqua" w:hAnsi="Book Antiqua" w:cs="Arial"/>
          <w:color w:val="000000" w:themeColor="text1"/>
        </w:rPr>
        <w:t>solitary tumor and Child–Pugh class A was 53.5%</w:t>
      </w:r>
      <w:r w:rsidR="002E0F68" w:rsidRPr="00840CF8">
        <w:rPr>
          <w:rFonts w:ascii="Book Antiqua" w:hAnsi="Book Antiqua" w:cs="Arial"/>
          <w:color w:val="000000" w:themeColor="text1"/>
          <w:vertAlign w:val="superscript"/>
        </w:rPr>
        <w:t>[42]</w:t>
      </w:r>
      <w:r w:rsidR="002E0F68" w:rsidRPr="00840CF8">
        <w:rPr>
          <w:rFonts w:ascii="Book Antiqua" w:hAnsi="Book Antiqua" w:cs="Arial"/>
          <w:color w:val="000000" w:themeColor="text1"/>
        </w:rPr>
        <w:t>. The late toxicities included infected biloma (2 patients), common bile duct stenosis (1 patient), and GI tract bleeding (2 patients)</w:t>
      </w:r>
      <w:r w:rsidR="002E0F68" w:rsidRPr="00840CF8">
        <w:rPr>
          <w:rFonts w:ascii="Book Antiqua" w:hAnsi="Book Antiqua" w:cs="Arial"/>
          <w:color w:val="000000" w:themeColor="text1"/>
          <w:vertAlign w:val="superscript"/>
        </w:rPr>
        <w:t>[42]</w:t>
      </w:r>
      <w:r w:rsidR="002E0F68" w:rsidRPr="00840CF8">
        <w:rPr>
          <w:rFonts w:ascii="Book Antiqua" w:hAnsi="Book Antiqua" w:cs="Arial"/>
          <w:color w:val="000000" w:themeColor="text1"/>
        </w:rPr>
        <w:t xml:space="preserve">. Nakayama </w:t>
      </w:r>
      <w:r w:rsidR="008E76B0" w:rsidRPr="00840CF8">
        <w:rPr>
          <w:rFonts w:ascii="Book Antiqua" w:hAnsi="Book Antiqua" w:cs="Arial"/>
          <w:i/>
          <w:iCs/>
          <w:color w:val="000000" w:themeColor="text1"/>
        </w:rPr>
        <w:t>et al</w:t>
      </w:r>
      <w:r w:rsidR="00501332" w:rsidRPr="00840CF8">
        <w:rPr>
          <w:rFonts w:ascii="Book Antiqua" w:hAnsi="Book Antiqua" w:cs="Arial"/>
          <w:color w:val="000000" w:themeColor="text1"/>
          <w:vertAlign w:val="superscript"/>
        </w:rPr>
        <w:t>[36]</w:t>
      </w:r>
      <w:r w:rsidR="002E0F68" w:rsidRPr="00840CF8">
        <w:rPr>
          <w:rFonts w:ascii="Book Antiqua" w:hAnsi="Book Antiqua" w:cs="Arial"/>
          <w:color w:val="000000" w:themeColor="text1"/>
        </w:rPr>
        <w:t xml:space="preserve"> updated the clinical outcomes of the University of Tsukuba, and reported a study of 47 patients, whose HCC tumor locations were within 2 cm of the GI tract. They used the PBT regimen of 72.6 GyE in 22 fractions and 77 GyE in 35 fractions in order to avoid GI tract toxicity. The 3-year LC and OS rates were 88% and 50%, respectively, and 4 patients experienced grade 2 or 3 GI bleeding during follow-up</w:t>
      </w:r>
      <w:r w:rsidR="002E0F68" w:rsidRPr="00840CF8">
        <w:rPr>
          <w:rFonts w:ascii="Book Antiqua" w:hAnsi="Book Antiqua" w:cs="Arial"/>
          <w:color w:val="000000" w:themeColor="text1"/>
          <w:vertAlign w:val="superscript"/>
        </w:rPr>
        <w:t>[36]</w:t>
      </w:r>
      <w:r w:rsidR="002E0F68" w:rsidRPr="00840CF8">
        <w:rPr>
          <w:rFonts w:ascii="Book Antiqua" w:hAnsi="Book Antiqua" w:cs="Arial"/>
          <w:color w:val="000000" w:themeColor="text1"/>
        </w:rPr>
        <w:t xml:space="preserve">. </w:t>
      </w:r>
    </w:p>
    <w:p w14:paraId="1B25D1C4" w14:textId="76F3972D" w:rsidR="002E0F68" w:rsidRPr="00840CF8" w:rsidRDefault="00A8427A" w:rsidP="00CB7D2C">
      <w:pPr>
        <w:snapToGrid w:val="0"/>
        <w:spacing w:line="360" w:lineRule="auto"/>
        <w:jc w:val="both"/>
        <w:rPr>
          <w:rFonts w:ascii="Book Antiqua" w:hAnsi="Book Antiqua" w:cs="Arial"/>
          <w:color w:val="000000" w:themeColor="text1"/>
          <w:szCs w:val="24"/>
        </w:rPr>
      </w:pPr>
      <w:r w:rsidRPr="00840CF8">
        <w:rPr>
          <w:rFonts w:ascii="Book Antiqua" w:hAnsi="Book Antiqua" w:cs="Arial"/>
          <w:color w:val="000000" w:themeColor="text1"/>
          <w:szCs w:val="24"/>
        </w:rPr>
        <w:t xml:space="preserve">  </w:t>
      </w:r>
      <w:r w:rsidR="002E0F68" w:rsidRPr="00840CF8">
        <w:rPr>
          <w:rFonts w:ascii="Book Antiqua" w:hAnsi="Book Antiqua" w:cs="Arial"/>
          <w:color w:val="000000" w:themeColor="text1"/>
          <w:szCs w:val="24"/>
        </w:rPr>
        <w:t xml:space="preserve">Kawashima </w:t>
      </w:r>
      <w:r w:rsidR="008E76B0" w:rsidRPr="00840CF8">
        <w:rPr>
          <w:rFonts w:ascii="Book Antiqua" w:hAnsi="Book Antiqua" w:cs="Arial"/>
          <w:i/>
          <w:iCs/>
          <w:color w:val="000000" w:themeColor="text1"/>
          <w:szCs w:val="24"/>
        </w:rPr>
        <w:t>et al</w:t>
      </w:r>
      <w:r w:rsidR="008655AF" w:rsidRPr="00840CF8">
        <w:rPr>
          <w:rFonts w:ascii="Book Antiqua" w:hAnsi="Book Antiqua" w:cs="Arial"/>
          <w:color w:val="000000" w:themeColor="text1"/>
          <w:szCs w:val="24"/>
          <w:vertAlign w:val="superscript"/>
        </w:rPr>
        <w:t>[43]</w:t>
      </w:r>
      <w:r w:rsidR="002E0F68" w:rsidRPr="00840CF8">
        <w:rPr>
          <w:rFonts w:ascii="Book Antiqua" w:hAnsi="Book Antiqua" w:cs="Arial"/>
          <w:color w:val="000000" w:themeColor="text1"/>
          <w:szCs w:val="24"/>
        </w:rPr>
        <w:t xml:space="preserve"> conducted one phase II study, which enrolled 30 HCC patients with Child-Pugh A or B, to evaluate the safety and efficacy of PBT using a dose regimen of 76 GyE in 20 fractions. The median tumor size of the study was 4.5 cm and 40% patients had macroscopic vascular invasion</w:t>
      </w:r>
      <w:r w:rsidR="002E0F68" w:rsidRPr="00840CF8">
        <w:rPr>
          <w:rFonts w:ascii="Book Antiqua" w:hAnsi="Book Antiqua" w:cs="Arial"/>
          <w:color w:val="000000" w:themeColor="text1"/>
          <w:szCs w:val="24"/>
          <w:vertAlign w:val="superscript"/>
        </w:rPr>
        <w:t>[43]</w:t>
      </w:r>
      <w:r w:rsidR="002E0F68" w:rsidRPr="00840CF8">
        <w:rPr>
          <w:rFonts w:ascii="Book Antiqua" w:hAnsi="Book Antiqua" w:cs="Arial"/>
          <w:color w:val="000000" w:themeColor="text1"/>
          <w:szCs w:val="24"/>
        </w:rPr>
        <w:t xml:space="preserve">. The 2-year LC and OS rates were 96% and 66%, respectively; and 8 patients developed hepatic insufficiencies after PBT, of which 4 cases died of hepatic insufficiency-related complications 6 to 9 mo later. </w:t>
      </w:r>
    </w:p>
    <w:p w14:paraId="14ED0DB2" w14:textId="0E64ABF0" w:rsidR="002E0F68" w:rsidRPr="00840CF8" w:rsidRDefault="00A8427A" w:rsidP="00CB7D2C">
      <w:pPr>
        <w:autoSpaceDE w:val="0"/>
        <w:autoSpaceDN w:val="0"/>
        <w:snapToGrid w:val="0"/>
        <w:spacing w:line="360" w:lineRule="auto"/>
        <w:jc w:val="both"/>
        <w:rPr>
          <w:rFonts w:ascii="Book Antiqua" w:hAnsi="Book Antiqua" w:cs="Arial"/>
          <w:color w:val="000000" w:themeColor="text1"/>
          <w:szCs w:val="24"/>
        </w:rPr>
      </w:pPr>
      <w:r w:rsidRPr="00840CF8">
        <w:rPr>
          <w:rFonts w:ascii="Book Antiqua" w:hAnsi="Book Antiqua" w:cs="Arial"/>
          <w:color w:val="000000" w:themeColor="text1"/>
          <w:szCs w:val="24"/>
        </w:rPr>
        <w:t xml:space="preserve"> </w:t>
      </w:r>
      <w:r w:rsidR="002E0F68" w:rsidRPr="00840CF8">
        <w:rPr>
          <w:rFonts w:ascii="Book Antiqua" w:hAnsi="Book Antiqua" w:cs="Arial"/>
          <w:color w:val="000000" w:themeColor="text1"/>
          <w:szCs w:val="24"/>
        </w:rPr>
        <w:t xml:space="preserve"> Kim </w:t>
      </w:r>
      <w:r w:rsidR="008E76B0" w:rsidRPr="00840CF8">
        <w:rPr>
          <w:rFonts w:ascii="Book Antiqua" w:hAnsi="Book Antiqua" w:cs="Arial"/>
          <w:i/>
          <w:iCs/>
          <w:color w:val="000000" w:themeColor="text1"/>
          <w:szCs w:val="24"/>
        </w:rPr>
        <w:t>et al</w:t>
      </w:r>
      <w:r w:rsidR="002E0F68" w:rsidRPr="00840CF8">
        <w:rPr>
          <w:rFonts w:ascii="Book Antiqua" w:hAnsi="Book Antiqua" w:cs="Arial"/>
          <w:color w:val="000000" w:themeColor="text1"/>
          <w:szCs w:val="24"/>
          <w:vertAlign w:val="superscript"/>
        </w:rPr>
        <w:t>[</w:t>
      </w:r>
      <w:r w:rsidR="003D0962">
        <w:rPr>
          <w:rFonts w:ascii="Book Antiqua" w:hAnsi="Book Antiqua" w:cs="Arial"/>
          <w:color w:val="000000" w:themeColor="text1"/>
          <w:szCs w:val="24"/>
          <w:vertAlign w:val="superscript"/>
        </w:rPr>
        <w:t>44</w:t>
      </w:r>
      <w:r w:rsidR="002E0F68" w:rsidRPr="00840CF8">
        <w:rPr>
          <w:rFonts w:ascii="Book Antiqua" w:hAnsi="Book Antiqua" w:cs="Arial"/>
          <w:color w:val="000000" w:themeColor="text1"/>
          <w:szCs w:val="24"/>
          <w:vertAlign w:val="superscript"/>
        </w:rPr>
        <w:t>]</w:t>
      </w:r>
      <w:r w:rsidR="002E0F68" w:rsidRPr="00840CF8">
        <w:rPr>
          <w:rFonts w:ascii="Book Antiqua" w:hAnsi="Book Antiqua" w:cs="Arial"/>
          <w:color w:val="000000" w:themeColor="text1"/>
          <w:szCs w:val="24"/>
        </w:rPr>
        <w:t xml:space="preserve"> reported one phase I dose escalation study of 27 HCC patients, using a PBT dose regimen of 60 GyE in 20 fractions (dose level 1, </w:t>
      </w:r>
      <w:r w:rsidR="00814407" w:rsidRPr="00840CF8">
        <w:rPr>
          <w:rFonts w:ascii="Book Antiqua" w:hAnsi="Book Antiqua" w:cs="Arial"/>
          <w:i/>
          <w:iCs/>
          <w:color w:val="000000" w:themeColor="text1"/>
          <w:szCs w:val="24"/>
        </w:rPr>
        <w:t>n =</w:t>
      </w:r>
      <w:r w:rsidR="002E0F68" w:rsidRPr="00840CF8">
        <w:rPr>
          <w:rFonts w:ascii="Book Antiqua" w:hAnsi="Book Antiqua" w:cs="Arial"/>
          <w:color w:val="000000" w:themeColor="text1"/>
          <w:szCs w:val="24"/>
        </w:rPr>
        <w:t xml:space="preserve"> 8), </w:t>
      </w:r>
      <w:r w:rsidR="002E0F68" w:rsidRPr="00840CF8">
        <w:rPr>
          <w:rFonts w:ascii="Book Antiqua" w:hAnsi="Book Antiqua" w:cs="Arial"/>
          <w:color w:val="000000" w:themeColor="text1"/>
          <w:kern w:val="0"/>
          <w:szCs w:val="24"/>
        </w:rPr>
        <w:t xml:space="preserve">66 GyE in 22 fractions (dose level 2, </w:t>
      </w:r>
      <w:r w:rsidR="00814407" w:rsidRPr="00840CF8">
        <w:rPr>
          <w:rFonts w:ascii="Book Antiqua" w:hAnsi="Book Antiqua" w:cs="Arial"/>
          <w:i/>
          <w:iCs/>
          <w:color w:val="000000" w:themeColor="text1"/>
          <w:kern w:val="0"/>
          <w:szCs w:val="24"/>
        </w:rPr>
        <w:t>n =</w:t>
      </w:r>
      <w:r w:rsidR="002E0F68" w:rsidRPr="00840CF8">
        <w:rPr>
          <w:rFonts w:ascii="Book Antiqua" w:hAnsi="Book Antiqua" w:cs="Arial"/>
          <w:color w:val="000000" w:themeColor="text1"/>
          <w:kern w:val="0"/>
          <w:szCs w:val="24"/>
        </w:rPr>
        <w:t xml:space="preserve"> 7),</w:t>
      </w:r>
      <w:r w:rsidR="002E0F68" w:rsidRPr="00840CF8">
        <w:rPr>
          <w:rFonts w:ascii="Book Antiqua" w:hAnsi="Book Antiqua" w:cs="Arial"/>
          <w:color w:val="000000" w:themeColor="text1"/>
          <w:szCs w:val="24"/>
        </w:rPr>
        <w:t xml:space="preserve"> and 72 GyE in 24 fractions (dose level 3, </w:t>
      </w:r>
      <w:r w:rsidR="00814407" w:rsidRPr="00840CF8">
        <w:rPr>
          <w:rFonts w:ascii="Book Antiqua" w:hAnsi="Book Antiqua" w:cs="Arial"/>
          <w:i/>
          <w:iCs/>
          <w:color w:val="000000" w:themeColor="text1"/>
          <w:szCs w:val="24"/>
        </w:rPr>
        <w:t>n =</w:t>
      </w:r>
      <w:r w:rsidR="002E0F68" w:rsidRPr="00840CF8">
        <w:rPr>
          <w:rFonts w:ascii="Book Antiqua" w:hAnsi="Book Antiqua" w:cs="Arial"/>
          <w:color w:val="000000" w:themeColor="text1"/>
          <w:szCs w:val="24"/>
        </w:rPr>
        <w:t xml:space="preserve"> 12). The median tumor size of patients entering into dose level 3 was 2.5 cm. </w:t>
      </w:r>
      <w:r w:rsidR="002E0F68" w:rsidRPr="00840CF8">
        <w:rPr>
          <w:rFonts w:ascii="Book Antiqua" w:hAnsi="Book Antiqua" w:cs="Arial"/>
          <w:color w:val="000000" w:themeColor="text1"/>
          <w:kern w:val="0"/>
          <w:szCs w:val="24"/>
        </w:rPr>
        <w:t xml:space="preserve">The CR rates of primary tumors after PBT for </w:t>
      </w:r>
      <w:r w:rsidR="00F14BFB" w:rsidRPr="00840CF8">
        <w:rPr>
          <w:rFonts w:ascii="Book Antiqua" w:hAnsi="Book Antiqua" w:cs="Arial"/>
          <w:color w:val="000000" w:themeColor="text1"/>
          <w:kern w:val="0"/>
          <w:szCs w:val="24"/>
        </w:rPr>
        <w:t xml:space="preserve">patients </w:t>
      </w:r>
      <w:r w:rsidR="002E0F68" w:rsidRPr="00840CF8">
        <w:rPr>
          <w:rFonts w:ascii="Book Antiqua" w:hAnsi="Book Antiqua" w:cs="Arial"/>
          <w:color w:val="000000" w:themeColor="text1"/>
          <w:kern w:val="0"/>
          <w:szCs w:val="24"/>
        </w:rPr>
        <w:t>receiving dose levels 1, 2, and 3 were 62.5%, 57.1%, and 100%, respectively (</w:t>
      </w:r>
      <w:r w:rsidR="002E0F68" w:rsidRPr="00840CF8">
        <w:rPr>
          <w:rFonts w:ascii="Book Antiqua" w:hAnsi="Book Antiqua" w:cs="Arial"/>
          <w:i/>
          <w:iCs/>
          <w:caps/>
          <w:color w:val="000000" w:themeColor="text1"/>
          <w:kern w:val="0"/>
          <w:szCs w:val="24"/>
        </w:rPr>
        <w:t>p</w:t>
      </w:r>
      <w:r w:rsidR="00E958DD" w:rsidRPr="00840CF8">
        <w:rPr>
          <w:rFonts w:ascii="Book Antiqua" w:hAnsi="Book Antiqua" w:cs="Arial"/>
          <w:color w:val="000000" w:themeColor="text1"/>
          <w:kern w:val="0"/>
          <w:szCs w:val="24"/>
        </w:rPr>
        <w:t xml:space="preserve"> </w:t>
      </w:r>
      <w:r w:rsidR="002E0F68" w:rsidRPr="00840CF8">
        <w:rPr>
          <w:rFonts w:ascii="Book Antiqua" w:hAnsi="Book Antiqua" w:cs="Arial"/>
          <w:color w:val="000000" w:themeColor="text1"/>
          <w:kern w:val="0"/>
          <w:szCs w:val="24"/>
        </w:rPr>
        <w:t>=</w:t>
      </w:r>
      <w:r w:rsidR="00E958DD" w:rsidRPr="00840CF8">
        <w:rPr>
          <w:rFonts w:ascii="Book Antiqua" w:hAnsi="Book Antiqua" w:cs="Arial"/>
          <w:color w:val="000000" w:themeColor="text1"/>
          <w:kern w:val="0"/>
          <w:szCs w:val="24"/>
        </w:rPr>
        <w:t xml:space="preserve"> </w:t>
      </w:r>
      <w:r w:rsidR="002E0F68" w:rsidRPr="00840CF8">
        <w:rPr>
          <w:rFonts w:ascii="Book Antiqua" w:hAnsi="Book Antiqua" w:cs="Arial"/>
          <w:color w:val="000000" w:themeColor="text1"/>
          <w:kern w:val="0"/>
          <w:szCs w:val="24"/>
        </w:rPr>
        <w:t>0.039)</w:t>
      </w:r>
      <w:r w:rsidR="002E0F68" w:rsidRPr="00840CF8">
        <w:rPr>
          <w:rFonts w:ascii="Book Antiqua" w:hAnsi="Book Antiqua" w:cs="Arial"/>
          <w:color w:val="000000" w:themeColor="text1"/>
          <w:kern w:val="0"/>
          <w:szCs w:val="24"/>
          <w:vertAlign w:val="superscript"/>
        </w:rPr>
        <w:t>[44]</w:t>
      </w:r>
      <w:r w:rsidR="002E0F68" w:rsidRPr="00840CF8">
        <w:rPr>
          <w:rFonts w:ascii="Book Antiqua" w:hAnsi="Book Antiqua" w:cs="Arial"/>
          <w:color w:val="000000" w:themeColor="text1"/>
          <w:kern w:val="0"/>
          <w:szCs w:val="24"/>
        </w:rPr>
        <w:t xml:space="preserve">. </w:t>
      </w:r>
      <w:r w:rsidR="002E0F68" w:rsidRPr="00840CF8">
        <w:rPr>
          <w:rFonts w:ascii="Book Antiqua" w:hAnsi="Book Antiqua" w:cs="Arial"/>
          <w:color w:val="000000" w:themeColor="text1"/>
          <w:szCs w:val="24"/>
        </w:rPr>
        <w:t>The 3-year LC and OS rates for all patients were 79.9% and 56.4%, respectively</w:t>
      </w:r>
      <w:r w:rsidR="002E0F68" w:rsidRPr="00840CF8">
        <w:rPr>
          <w:rFonts w:ascii="Book Antiqua" w:hAnsi="Book Antiqua" w:cs="Arial"/>
          <w:color w:val="000000" w:themeColor="text1"/>
          <w:szCs w:val="24"/>
          <w:vertAlign w:val="superscript"/>
        </w:rPr>
        <w:t>[44]</w:t>
      </w:r>
      <w:r w:rsidR="002E0F68" w:rsidRPr="00840CF8">
        <w:rPr>
          <w:rFonts w:ascii="Book Antiqua" w:hAnsi="Book Antiqua" w:cs="Arial"/>
          <w:color w:val="000000" w:themeColor="text1"/>
          <w:szCs w:val="24"/>
        </w:rPr>
        <w:t xml:space="preserve">. Regarding liver toxicity, 4 cases had </w:t>
      </w:r>
      <w:r w:rsidR="002E0F68" w:rsidRPr="00840CF8">
        <w:rPr>
          <w:rFonts w:ascii="Book Antiqua" w:hAnsi="Book Antiqua" w:cs="Palatino-Roman"/>
          <w:color w:val="000000" w:themeColor="text1"/>
          <w:kern w:val="0"/>
          <w:szCs w:val="24"/>
        </w:rPr>
        <w:t xml:space="preserve">a 1-point of decrease in </w:t>
      </w:r>
      <w:r w:rsidR="00F14BFB" w:rsidRPr="00840CF8">
        <w:rPr>
          <w:rFonts w:ascii="Book Antiqua" w:hAnsi="Book Antiqua" w:cs="Palatino-Roman"/>
          <w:color w:val="000000" w:themeColor="text1"/>
          <w:kern w:val="0"/>
          <w:szCs w:val="24"/>
        </w:rPr>
        <w:t xml:space="preserve">the </w:t>
      </w:r>
      <w:r w:rsidR="002E0F68" w:rsidRPr="00840CF8">
        <w:rPr>
          <w:rFonts w:ascii="Book Antiqua" w:hAnsi="Book Antiqua" w:cs="Palatino-Roman"/>
          <w:color w:val="000000" w:themeColor="text1"/>
          <w:kern w:val="0"/>
          <w:szCs w:val="24"/>
        </w:rPr>
        <w:t>Child-Pugh score</w:t>
      </w:r>
      <w:r w:rsidR="00FD6477" w:rsidRPr="00840CF8">
        <w:rPr>
          <w:rFonts w:ascii="Book Antiqua" w:hAnsi="Book Antiqua" w:cs="Palatino-Roman"/>
          <w:color w:val="000000" w:themeColor="text1"/>
          <w:kern w:val="0"/>
          <w:szCs w:val="24"/>
        </w:rPr>
        <w:t>,</w:t>
      </w:r>
      <w:r w:rsidR="002E0F68" w:rsidRPr="00840CF8">
        <w:rPr>
          <w:rFonts w:ascii="Book Antiqua" w:hAnsi="Book Antiqua" w:cs="Palatino-Roman"/>
          <w:color w:val="000000" w:themeColor="text1"/>
          <w:kern w:val="0"/>
          <w:szCs w:val="24"/>
        </w:rPr>
        <w:t xml:space="preserve"> and 1 case had a 1-point increase in </w:t>
      </w:r>
      <w:r w:rsidR="00F14BFB" w:rsidRPr="00840CF8">
        <w:rPr>
          <w:rFonts w:ascii="Book Antiqua" w:hAnsi="Book Antiqua" w:cs="Palatino-Roman"/>
          <w:color w:val="000000" w:themeColor="text1"/>
          <w:kern w:val="0"/>
          <w:szCs w:val="24"/>
        </w:rPr>
        <w:t xml:space="preserve">the </w:t>
      </w:r>
      <w:r w:rsidR="002E0F68" w:rsidRPr="00840CF8">
        <w:rPr>
          <w:rFonts w:ascii="Book Antiqua" w:hAnsi="Book Antiqua" w:cs="Palatino-Roman"/>
          <w:color w:val="000000" w:themeColor="text1"/>
          <w:kern w:val="0"/>
          <w:szCs w:val="24"/>
        </w:rPr>
        <w:t xml:space="preserve">Child-Pugh score, whereas the other 22 cases showed no change in </w:t>
      </w:r>
      <w:r w:rsidR="00F14BFB" w:rsidRPr="00840CF8">
        <w:rPr>
          <w:rFonts w:ascii="Book Antiqua" w:hAnsi="Book Antiqua" w:cs="Palatino-Roman"/>
          <w:color w:val="000000" w:themeColor="text1"/>
          <w:kern w:val="0"/>
          <w:szCs w:val="24"/>
        </w:rPr>
        <w:t xml:space="preserve">the </w:t>
      </w:r>
      <w:r w:rsidR="002E0F68" w:rsidRPr="00840CF8">
        <w:rPr>
          <w:rFonts w:ascii="Book Antiqua" w:hAnsi="Book Antiqua" w:cs="Palatino-Roman"/>
          <w:color w:val="000000" w:themeColor="text1"/>
          <w:kern w:val="0"/>
          <w:szCs w:val="24"/>
        </w:rPr>
        <w:t>Child-Pugh score</w:t>
      </w:r>
      <w:r w:rsidR="002E0F68" w:rsidRPr="00840CF8">
        <w:rPr>
          <w:rFonts w:ascii="Book Antiqua" w:hAnsi="Book Antiqua" w:cs="Palatino-Roman"/>
          <w:color w:val="000000" w:themeColor="text1"/>
          <w:kern w:val="0"/>
          <w:szCs w:val="24"/>
          <w:vertAlign w:val="superscript"/>
        </w:rPr>
        <w:t>[44]</w:t>
      </w:r>
      <w:r w:rsidR="002E0F68" w:rsidRPr="00840CF8">
        <w:rPr>
          <w:rFonts w:ascii="Book Antiqua" w:hAnsi="Book Antiqua" w:cs="Palatino-Roman"/>
          <w:color w:val="000000" w:themeColor="text1"/>
          <w:kern w:val="0"/>
          <w:szCs w:val="24"/>
        </w:rPr>
        <w:t>.</w:t>
      </w:r>
      <w:r w:rsidR="002E0F68" w:rsidRPr="00840CF8">
        <w:rPr>
          <w:rFonts w:ascii="Book Antiqua" w:hAnsi="Book Antiqua" w:cs="Arial"/>
          <w:color w:val="000000" w:themeColor="text1"/>
          <w:szCs w:val="24"/>
        </w:rPr>
        <w:t xml:space="preserve"> </w:t>
      </w:r>
    </w:p>
    <w:p w14:paraId="65330FB2" w14:textId="73C2BA09" w:rsidR="002E0F68" w:rsidRPr="00840CF8" w:rsidRDefault="00A8427A" w:rsidP="00CB7D2C">
      <w:pPr>
        <w:snapToGrid w:val="0"/>
        <w:spacing w:line="360" w:lineRule="auto"/>
        <w:jc w:val="both"/>
        <w:rPr>
          <w:rFonts w:ascii="Book Antiqua" w:hAnsi="Book Antiqua" w:cs="Arial"/>
          <w:color w:val="000000" w:themeColor="text1"/>
          <w:szCs w:val="24"/>
        </w:rPr>
      </w:pPr>
      <w:r w:rsidRPr="00840CF8">
        <w:rPr>
          <w:rFonts w:ascii="Book Antiqua" w:hAnsi="Book Antiqua" w:cs="Arial"/>
          <w:color w:val="000000" w:themeColor="text1"/>
          <w:szCs w:val="24"/>
        </w:rPr>
        <w:t xml:space="preserve"> </w:t>
      </w:r>
      <w:r w:rsidR="002E0F68" w:rsidRPr="00840CF8">
        <w:rPr>
          <w:rFonts w:ascii="Book Antiqua" w:hAnsi="Book Antiqua" w:cs="Arial"/>
          <w:color w:val="000000" w:themeColor="text1"/>
          <w:szCs w:val="24"/>
        </w:rPr>
        <w:t xml:space="preserve"> Regarding CIRT, </w:t>
      </w:r>
      <w:r w:rsidR="004503BA" w:rsidRPr="00840CF8">
        <w:rPr>
          <w:rFonts w:ascii="Book Antiqua" w:hAnsi="Book Antiqua" w:cs="Arial"/>
          <w:color w:val="000000" w:themeColor="text1"/>
          <w:szCs w:val="24"/>
        </w:rPr>
        <w:t>K</w:t>
      </w:r>
      <w:r w:rsidR="004503BA" w:rsidRPr="00840CF8">
        <w:rPr>
          <w:rFonts w:ascii="Book Antiqua" w:hAnsi="Book Antiqua" w:cs="Arial" w:hint="eastAsia"/>
          <w:color w:val="000000" w:themeColor="text1"/>
          <w:szCs w:val="24"/>
        </w:rPr>
        <w:t>ato</w:t>
      </w:r>
      <w:r w:rsidR="004503BA" w:rsidRPr="00840CF8">
        <w:rPr>
          <w:rFonts w:ascii="Book Antiqua" w:hAnsi="Book Antiqua" w:cs="Arial"/>
          <w:color w:val="000000" w:themeColor="text1"/>
          <w:szCs w:val="24"/>
        </w:rPr>
        <w:t xml:space="preserve"> </w:t>
      </w:r>
      <w:r w:rsidR="008E76B0" w:rsidRPr="00840CF8">
        <w:rPr>
          <w:rFonts w:ascii="Book Antiqua" w:hAnsi="Book Antiqua" w:cs="Arial"/>
          <w:i/>
          <w:iCs/>
          <w:color w:val="000000" w:themeColor="text1"/>
          <w:szCs w:val="24"/>
        </w:rPr>
        <w:t>et al</w:t>
      </w:r>
      <w:r w:rsidR="002E0F68" w:rsidRPr="00840CF8">
        <w:rPr>
          <w:rFonts w:ascii="Book Antiqua" w:hAnsi="Book Antiqua" w:cs="Arial"/>
          <w:color w:val="000000" w:themeColor="text1"/>
          <w:szCs w:val="24"/>
        </w:rPr>
        <w:t xml:space="preserve">. conducted </w:t>
      </w:r>
      <w:r w:rsidR="00FD6477" w:rsidRPr="00840CF8">
        <w:rPr>
          <w:rFonts w:ascii="Book Antiqua" w:hAnsi="Book Antiqua" w:cs="Arial"/>
          <w:color w:val="000000" w:themeColor="text1"/>
          <w:szCs w:val="24"/>
        </w:rPr>
        <w:t>the</w:t>
      </w:r>
      <w:r w:rsidR="002E0F68" w:rsidRPr="00840CF8">
        <w:rPr>
          <w:rFonts w:ascii="Book Antiqua" w:hAnsi="Book Antiqua" w:cs="Arial"/>
          <w:color w:val="000000" w:themeColor="text1"/>
          <w:szCs w:val="24"/>
        </w:rPr>
        <w:t xml:space="preserve"> first phase I-II trial with 24 HCC patients with Child-Pugh A or B liver function, </w:t>
      </w:r>
      <w:r w:rsidR="00FD6477" w:rsidRPr="00840CF8">
        <w:rPr>
          <w:rFonts w:ascii="Book Antiqua" w:hAnsi="Book Antiqua" w:cs="Arial"/>
          <w:color w:val="000000" w:themeColor="text1"/>
          <w:szCs w:val="24"/>
        </w:rPr>
        <w:t xml:space="preserve">a </w:t>
      </w:r>
      <w:r w:rsidR="002E0F68" w:rsidRPr="00840CF8">
        <w:rPr>
          <w:rFonts w:ascii="Book Antiqua" w:hAnsi="Book Antiqua" w:cs="Arial"/>
          <w:color w:val="000000" w:themeColor="text1"/>
          <w:szCs w:val="24"/>
        </w:rPr>
        <w:t>median tumor size of 5.0 cm, and vascular invasion of 12.5%</w:t>
      </w:r>
      <w:r w:rsidR="002E0F68" w:rsidRPr="00840CF8">
        <w:rPr>
          <w:rFonts w:ascii="Book Antiqua" w:hAnsi="Book Antiqua" w:cs="Arial"/>
          <w:color w:val="000000" w:themeColor="text1"/>
          <w:szCs w:val="24"/>
          <w:vertAlign w:val="superscript"/>
        </w:rPr>
        <w:t>[45]</w:t>
      </w:r>
      <w:r w:rsidR="002E0F68" w:rsidRPr="00840CF8">
        <w:rPr>
          <w:rFonts w:ascii="Book Antiqua" w:hAnsi="Book Antiqua" w:cs="Arial"/>
          <w:color w:val="000000" w:themeColor="text1"/>
          <w:szCs w:val="24"/>
        </w:rPr>
        <w:t xml:space="preserve">. Escalated CIRT doses of 49.5 to 79.5 GyE in 15 fractions were </w:t>
      </w:r>
      <w:r w:rsidR="008A5A37" w:rsidRPr="00840CF8">
        <w:rPr>
          <w:rFonts w:ascii="Book Antiqua" w:hAnsi="Book Antiqua" w:cs="Arial"/>
          <w:color w:val="000000" w:themeColor="text1"/>
          <w:szCs w:val="24"/>
        </w:rPr>
        <w:t xml:space="preserve">used </w:t>
      </w:r>
      <w:r w:rsidR="002E0F68" w:rsidRPr="00840CF8">
        <w:rPr>
          <w:rFonts w:ascii="Book Antiqua" w:hAnsi="Book Antiqua" w:cs="Arial"/>
          <w:color w:val="000000" w:themeColor="text1"/>
          <w:szCs w:val="24"/>
        </w:rPr>
        <w:t>in their study</w:t>
      </w:r>
      <w:r w:rsidR="002E0F68" w:rsidRPr="00840CF8">
        <w:rPr>
          <w:rFonts w:ascii="Book Antiqua" w:hAnsi="Book Antiqua" w:cs="Arial"/>
          <w:color w:val="000000" w:themeColor="text1"/>
          <w:szCs w:val="24"/>
          <w:vertAlign w:val="superscript"/>
        </w:rPr>
        <w:t>[45]</w:t>
      </w:r>
      <w:r w:rsidR="002E0F68" w:rsidRPr="00840CF8">
        <w:rPr>
          <w:rFonts w:ascii="Book Antiqua" w:hAnsi="Book Antiqua" w:cs="Arial"/>
          <w:color w:val="000000" w:themeColor="text1"/>
          <w:szCs w:val="24"/>
        </w:rPr>
        <w:t xml:space="preserve">. </w:t>
      </w:r>
      <w:r w:rsidR="002E0F68" w:rsidRPr="00840CF8">
        <w:rPr>
          <w:rFonts w:ascii="Book Antiqua" w:hAnsi="Book Antiqua" w:cs="Arial"/>
          <w:bCs/>
          <w:color w:val="000000" w:themeColor="text1"/>
          <w:kern w:val="0"/>
          <w:szCs w:val="24"/>
        </w:rPr>
        <w:t xml:space="preserve">The overall tumor response, </w:t>
      </w:r>
      <w:r w:rsidR="002E0F68" w:rsidRPr="00840CF8">
        <w:rPr>
          <w:rFonts w:ascii="Book Antiqua" w:hAnsi="Book Antiqua" w:cs="Arial"/>
          <w:color w:val="000000" w:themeColor="text1"/>
          <w:szCs w:val="24"/>
        </w:rPr>
        <w:t xml:space="preserve">3-year LC, and 3-year OS rates were </w:t>
      </w:r>
      <w:r w:rsidR="002E0F68" w:rsidRPr="00840CF8">
        <w:rPr>
          <w:rFonts w:ascii="Book Antiqua" w:hAnsi="Book Antiqua" w:cs="Arial"/>
          <w:bCs/>
          <w:color w:val="000000" w:themeColor="text1"/>
          <w:kern w:val="0"/>
          <w:szCs w:val="24"/>
        </w:rPr>
        <w:t>71%,</w:t>
      </w:r>
      <w:r w:rsidR="002E0F68" w:rsidRPr="00840CF8">
        <w:rPr>
          <w:rFonts w:ascii="Book Antiqua" w:hAnsi="Book Antiqua" w:cs="Arial"/>
          <w:color w:val="000000" w:themeColor="text1"/>
          <w:szCs w:val="24"/>
        </w:rPr>
        <w:t xml:space="preserve"> 81%, and 50%, respectively</w:t>
      </w:r>
      <w:r w:rsidR="002E0F68" w:rsidRPr="00840CF8">
        <w:rPr>
          <w:rFonts w:ascii="Book Antiqua" w:hAnsi="Book Antiqua" w:cs="Arial"/>
          <w:color w:val="000000" w:themeColor="text1"/>
          <w:szCs w:val="24"/>
          <w:vertAlign w:val="superscript"/>
        </w:rPr>
        <w:t>[45]</w:t>
      </w:r>
      <w:r w:rsidR="002E0F68" w:rsidRPr="00840CF8">
        <w:rPr>
          <w:rFonts w:ascii="Book Antiqua" w:hAnsi="Book Antiqua" w:cs="Arial"/>
          <w:color w:val="000000" w:themeColor="text1"/>
          <w:szCs w:val="24"/>
        </w:rPr>
        <w:t xml:space="preserve">. Patients treated with doses ≥ 72.0 Gy (RBE) did not develop recurrence </w:t>
      </w:r>
      <w:r w:rsidR="002E0F68" w:rsidRPr="00840CF8">
        <w:rPr>
          <w:rFonts w:ascii="Book Antiqua" w:hAnsi="Book Antiqua" w:cs="Arial"/>
          <w:color w:val="000000" w:themeColor="text1"/>
          <w:szCs w:val="24"/>
          <w:vertAlign w:val="superscript"/>
        </w:rPr>
        <w:t>[45]</w:t>
      </w:r>
      <w:r w:rsidR="002E0F68" w:rsidRPr="00840CF8">
        <w:rPr>
          <w:rFonts w:ascii="Book Antiqua" w:hAnsi="Book Antiqua" w:cs="Arial"/>
          <w:color w:val="000000" w:themeColor="text1"/>
          <w:szCs w:val="24"/>
        </w:rPr>
        <w:t>. No severe liver injury occurred</w:t>
      </w:r>
      <w:r w:rsidR="00FD6477" w:rsidRPr="00840CF8">
        <w:rPr>
          <w:rFonts w:ascii="Book Antiqua" w:hAnsi="Book Antiqua" w:cs="Arial"/>
          <w:color w:val="000000" w:themeColor="text1"/>
          <w:szCs w:val="24"/>
        </w:rPr>
        <w:t>,</w:t>
      </w:r>
      <w:r w:rsidR="002E0F68" w:rsidRPr="00840CF8">
        <w:rPr>
          <w:rFonts w:ascii="Book Antiqua" w:hAnsi="Book Antiqua" w:cs="Arial"/>
          <w:color w:val="000000" w:themeColor="text1"/>
          <w:szCs w:val="24"/>
        </w:rPr>
        <w:t xml:space="preserve"> except </w:t>
      </w:r>
      <w:r w:rsidR="00C66F1E" w:rsidRPr="00840CF8">
        <w:rPr>
          <w:rFonts w:ascii="Book Antiqua" w:hAnsi="Book Antiqua" w:cs="Arial"/>
          <w:color w:val="000000" w:themeColor="text1"/>
          <w:szCs w:val="24"/>
        </w:rPr>
        <w:t xml:space="preserve">in </w:t>
      </w:r>
      <w:r w:rsidR="002E0F68" w:rsidRPr="00840CF8">
        <w:rPr>
          <w:rFonts w:ascii="Book Antiqua" w:hAnsi="Book Antiqua" w:cs="Arial"/>
          <w:color w:val="000000" w:themeColor="text1"/>
          <w:szCs w:val="24"/>
        </w:rPr>
        <w:t>1</w:t>
      </w:r>
      <w:r w:rsidR="00FD6477" w:rsidRPr="00840CF8">
        <w:rPr>
          <w:rFonts w:ascii="Book Antiqua" w:hAnsi="Book Antiqua" w:cs="Arial"/>
          <w:color w:val="000000" w:themeColor="text1"/>
          <w:szCs w:val="24"/>
        </w:rPr>
        <w:t xml:space="preserve"> case of</w:t>
      </w:r>
      <w:r w:rsidR="002E0F68" w:rsidRPr="00840CF8">
        <w:rPr>
          <w:rFonts w:ascii="Book Antiqua" w:hAnsi="Book Antiqua" w:cs="Arial"/>
          <w:color w:val="000000" w:themeColor="text1"/>
          <w:szCs w:val="24"/>
        </w:rPr>
        <w:t xml:space="preserve"> grade 2 late lung reaction, 1 </w:t>
      </w:r>
      <w:r w:rsidR="00FD6477" w:rsidRPr="00840CF8">
        <w:rPr>
          <w:rFonts w:ascii="Book Antiqua" w:hAnsi="Book Antiqua" w:cs="Arial"/>
          <w:color w:val="000000" w:themeColor="text1"/>
          <w:szCs w:val="24"/>
        </w:rPr>
        <w:t xml:space="preserve">case of </w:t>
      </w:r>
      <w:r w:rsidR="002E0F68" w:rsidRPr="00840CF8">
        <w:rPr>
          <w:rFonts w:ascii="Book Antiqua" w:hAnsi="Book Antiqua" w:cs="Arial"/>
          <w:color w:val="000000" w:themeColor="text1"/>
          <w:szCs w:val="24"/>
        </w:rPr>
        <w:t xml:space="preserve">grade 2 late GI complication, and 2 </w:t>
      </w:r>
      <w:r w:rsidR="00C66F1E" w:rsidRPr="00840CF8">
        <w:rPr>
          <w:rFonts w:ascii="Book Antiqua" w:hAnsi="Book Antiqua" w:cs="Arial"/>
          <w:color w:val="000000" w:themeColor="text1"/>
          <w:szCs w:val="24"/>
        </w:rPr>
        <w:t xml:space="preserve">cases of </w:t>
      </w:r>
      <w:r w:rsidR="002E0F68" w:rsidRPr="00840CF8">
        <w:rPr>
          <w:rFonts w:ascii="Book Antiqua" w:hAnsi="Book Antiqua" w:cs="Arial"/>
          <w:color w:val="000000" w:themeColor="text1"/>
          <w:szCs w:val="24"/>
        </w:rPr>
        <w:t>grade 2 late skin reactions after the completion of CIRT</w:t>
      </w:r>
      <w:r w:rsidR="002E0F68" w:rsidRPr="00840CF8">
        <w:rPr>
          <w:rFonts w:ascii="Book Antiqua" w:hAnsi="Book Antiqua" w:cs="Arial"/>
          <w:color w:val="000000" w:themeColor="text1"/>
          <w:szCs w:val="24"/>
          <w:vertAlign w:val="superscript"/>
        </w:rPr>
        <w:t>[45]</w:t>
      </w:r>
      <w:r w:rsidR="002E0F68" w:rsidRPr="00840CF8">
        <w:rPr>
          <w:rFonts w:ascii="Book Antiqua" w:hAnsi="Book Antiqua" w:cs="Arial"/>
          <w:color w:val="000000" w:themeColor="text1"/>
          <w:szCs w:val="24"/>
        </w:rPr>
        <w:t>.</w:t>
      </w:r>
    </w:p>
    <w:p w14:paraId="72EE1C0B" w14:textId="77777777" w:rsidR="002E0F68" w:rsidRPr="00840CF8" w:rsidRDefault="00A8427A" w:rsidP="00CB7D2C">
      <w:pPr>
        <w:pStyle w:val="HTML"/>
        <w:snapToGrid w:val="0"/>
        <w:spacing w:line="360" w:lineRule="auto"/>
        <w:jc w:val="both"/>
        <w:rPr>
          <w:rFonts w:ascii="Book Antiqua" w:hAnsi="Book Antiqua" w:cs="Arial"/>
          <w:color w:val="000000" w:themeColor="text1"/>
        </w:rPr>
      </w:pPr>
      <w:r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Altogether, these findings indicate that conventional fraction-size CPT with varying target volume, including CTV, ITV, and PTV designation, could provide excellent local control for patients with relatively small, isolated tumors and concomitant Child-Pugh class A/B/C liver disease. For central tumors and tumors adjacent to the bowel, conventional fractionation of CPT is a safe approach that not only provides good local tumor control but also lessens the adverse effect (Figure 2). </w:t>
      </w:r>
    </w:p>
    <w:p w14:paraId="33B6BFEB" w14:textId="77777777" w:rsidR="002E0F68" w:rsidRPr="00840CF8" w:rsidRDefault="002E0F68" w:rsidP="00CB7D2C">
      <w:pPr>
        <w:pStyle w:val="HTML"/>
        <w:snapToGrid w:val="0"/>
        <w:spacing w:line="360" w:lineRule="auto"/>
        <w:jc w:val="both"/>
        <w:rPr>
          <w:rFonts w:ascii="Book Antiqua" w:hAnsi="Book Antiqua" w:cs="Arial"/>
          <w:color w:val="000000" w:themeColor="text1"/>
        </w:rPr>
      </w:pPr>
    </w:p>
    <w:p w14:paraId="04ED5FD5" w14:textId="77777777" w:rsidR="002E0F68" w:rsidRPr="00840CF8" w:rsidRDefault="002E0F68" w:rsidP="00CB7D2C">
      <w:pPr>
        <w:pStyle w:val="HTML"/>
        <w:snapToGrid w:val="0"/>
        <w:spacing w:line="360" w:lineRule="auto"/>
        <w:jc w:val="both"/>
        <w:rPr>
          <w:rFonts w:ascii="Book Antiqua" w:hAnsi="Book Antiqua" w:cs="Arial"/>
          <w:b/>
          <w:caps/>
          <w:color w:val="000000" w:themeColor="text1"/>
        </w:rPr>
      </w:pPr>
      <w:r w:rsidRPr="00840CF8">
        <w:rPr>
          <w:rFonts w:ascii="Book Antiqua" w:hAnsi="Book Antiqua" w:cs="Arial"/>
          <w:b/>
          <w:caps/>
          <w:color w:val="000000" w:themeColor="text1"/>
        </w:rPr>
        <w:t>Clinical Outcomes for Particle Beam Therapy with Dose Regimens of More than 5 GyE per fraction</w:t>
      </w:r>
    </w:p>
    <w:p w14:paraId="21823078" w14:textId="77777777" w:rsidR="002E0F68" w:rsidRPr="00840CF8" w:rsidRDefault="002E0F68" w:rsidP="00CB7D2C">
      <w:pPr>
        <w:pStyle w:val="HTML"/>
        <w:snapToGrid w:val="0"/>
        <w:spacing w:line="360" w:lineRule="auto"/>
        <w:jc w:val="both"/>
        <w:rPr>
          <w:rFonts w:ascii="Book Antiqua" w:hAnsi="Book Antiqua" w:cs="Arial"/>
          <w:color w:val="000000" w:themeColor="text1"/>
        </w:rPr>
      </w:pPr>
      <w:r w:rsidRPr="00840CF8">
        <w:rPr>
          <w:rFonts w:ascii="Book Antiqua" w:hAnsi="Book Antiqua" w:cs="Arial"/>
          <w:color w:val="000000" w:themeColor="text1"/>
        </w:rPr>
        <w:t>Regarding dose regimens using fractionation size larger than 5 GyE, we reviewed 4 retrospective studies and summarized the underlying clinicopathological features</w:t>
      </w:r>
      <w:r w:rsidR="00743370" w:rsidRPr="00840CF8">
        <w:rPr>
          <w:rFonts w:ascii="Book Antiqua" w:hAnsi="Book Antiqua" w:cs="Arial"/>
          <w:color w:val="000000" w:themeColor="text1"/>
        </w:rPr>
        <w:t>:</w:t>
      </w:r>
      <w:r w:rsidRPr="00840CF8">
        <w:rPr>
          <w:rFonts w:ascii="Book Antiqua" w:hAnsi="Book Antiqua" w:cs="Arial"/>
          <w:color w:val="000000" w:themeColor="text1"/>
        </w:rPr>
        <w:t xml:space="preserve"> patients’ number, liver function, and size of </w:t>
      </w:r>
      <w:r w:rsidR="00E5321A" w:rsidRPr="00840CF8">
        <w:rPr>
          <w:rFonts w:ascii="Book Antiqua" w:hAnsi="Book Antiqua" w:cs="Arial"/>
          <w:color w:val="000000" w:themeColor="text1"/>
        </w:rPr>
        <w:t xml:space="preserve">the </w:t>
      </w:r>
      <w:r w:rsidRPr="00840CF8">
        <w:rPr>
          <w:rFonts w:ascii="Book Antiqua" w:hAnsi="Book Antiqua" w:cs="Arial"/>
          <w:color w:val="000000" w:themeColor="text1"/>
        </w:rPr>
        <w:t>tumor</w:t>
      </w:r>
      <w:r w:rsidR="00772587" w:rsidRPr="00840CF8">
        <w:rPr>
          <w:rFonts w:ascii="Book Antiqua" w:hAnsi="Book Antiqua" w:cs="Arial"/>
          <w:color w:val="000000" w:themeColor="text1"/>
        </w:rPr>
        <w:t>,</w:t>
      </w:r>
      <w:r w:rsidRPr="00840CF8">
        <w:rPr>
          <w:rFonts w:ascii="Book Antiqua" w:hAnsi="Book Antiqua" w:cs="Arial"/>
          <w:color w:val="000000" w:themeColor="text1"/>
        </w:rPr>
        <w:t xml:space="preserve"> </w:t>
      </w:r>
      <w:r w:rsidR="00E5321A" w:rsidRPr="00840CF8">
        <w:rPr>
          <w:rFonts w:ascii="Book Antiqua" w:hAnsi="Book Antiqua" w:cs="Arial"/>
          <w:color w:val="000000" w:themeColor="text1"/>
        </w:rPr>
        <w:t xml:space="preserve">as well as </w:t>
      </w:r>
      <w:r w:rsidRPr="00840CF8">
        <w:rPr>
          <w:rFonts w:ascii="Book Antiqua" w:hAnsi="Book Antiqua" w:cs="Arial"/>
          <w:color w:val="000000" w:themeColor="text1"/>
        </w:rPr>
        <w:t>the treatment characteristics (PBT or CIRT) (Table 1). Table 2 summaries the dose, fraction size, treatment plan (including GTV, CTV, and PTV), late toxicities, LC, PFS, and OS.</w:t>
      </w:r>
    </w:p>
    <w:p w14:paraId="1A8A2704" w14:textId="35461457" w:rsidR="002E0F68" w:rsidRPr="00840CF8" w:rsidRDefault="00A8427A" w:rsidP="00CB7D2C">
      <w:pPr>
        <w:pStyle w:val="HTML"/>
        <w:snapToGrid w:val="0"/>
        <w:spacing w:line="360" w:lineRule="auto"/>
        <w:jc w:val="both"/>
        <w:rPr>
          <w:rFonts w:ascii="Book Antiqua" w:hAnsi="Book Antiqua" w:cs="Arial"/>
          <w:color w:val="000000" w:themeColor="text1"/>
        </w:rPr>
      </w:pPr>
      <w:r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Mizumoto </w:t>
      </w:r>
      <w:r w:rsidR="008E76B0" w:rsidRPr="00840CF8">
        <w:rPr>
          <w:rFonts w:ascii="Book Antiqua" w:hAnsi="Book Antiqua" w:cs="Arial"/>
          <w:i/>
          <w:iCs/>
          <w:color w:val="000000" w:themeColor="text1"/>
        </w:rPr>
        <w:t>et al</w:t>
      </w:r>
      <w:r w:rsidR="00FB6175" w:rsidRPr="00840CF8">
        <w:rPr>
          <w:rFonts w:ascii="Book Antiqua" w:hAnsi="Book Antiqua" w:cs="Arial"/>
          <w:color w:val="000000" w:themeColor="text1"/>
          <w:vertAlign w:val="superscript"/>
        </w:rPr>
        <w:t>[34]</w:t>
      </w:r>
      <w:r w:rsidR="002E0F68" w:rsidRPr="00840CF8">
        <w:rPr>
          <w:rFonts w:ascii="Book Antiqua" w:hAnsi="Book Antiqua" w:cs="Arial"/>
          <w:color w:val="000000" w:themeColor="text1"/>
          <w:vertAlign w:val="superscript"/>
        </w:rPr>
        <w:t xml:space="preserve"> </w:t>
      </w:r>
      <w:r w:rsidR="002E0F68" w:rsidRPr="00840CF8">
        <w:rPr>
          <w:rFonts w:ascii="Book Antiqua" w:hAnsi="Book Antiqua" w:cs="Arial"/>
          <w:color w:val="000000" w:themeColor="text1"/>
        </w:rPr>
        <w:t>reported the LC and OS of a cohort of 266 HCC patients at the Proton Medical Research Center in Tsukuba who were treated with PBT using three different treatment protocols according to the tumor location</w:t>
      </w:r>
      <w:r w:rsidR="002E0F68" w:rsidRPr="00840CF8">
        <w:rPr>
          <w:rFonts w:ascii="Book Antiqua" w:hAnsi="Book Antiqua" w:cs="Arial"/>
          <w:color w:val="000000" w:themeColor="text1"/>
          <w:vertAlign w:val="superscript"/>
        </w:rPr>
        <w:t>[35]</w:t>
      </w:r>
      <w:r w:rsidR="002E0F68" w:rsidRPr="00840CF8">
        <w:rPr>
          <w:rFonts w:ascii="Book Antiqua" w:hAnsi="Book Antiqua" w:cs="Arial"/>
          <w:color w:val="000000" w:themeColor="text1"/>
        </w:rPr>
        <w:t>. The dosage regimen protocols of PBT included 66 GyE in 10 fractions for peripheral tumors (tumor located 2 cm away from hilum), 72.6 GyE in 22 fractions for central tumors (tumor located within 2 cm of the hilum), and 77 GyE in 35 fractions for central tumors which were adjacent to the GI tract</w:t>
      </w:r>
      <w:r w:rsidR="002E0F68" w:rsidRPr="00840CF8">
        <w:rPr>
          <w:rFonts w:ascii="Book Antiqua" w:hAnsi="Book Antiqua" w:cs="Arial"/>
          <w:color w:val="000000" w:themeColor="text1"/>
          <w:vertAlign w:val="superscript"/>
        </w:rPr>
        <w:t>[34,35]</w:t>
      </w:r>
      <w:r w:rsidR="002E0F68" w:rsidRPr="00840CF8">
        <w:rPr>
          <w:rFonts w:ascii="Book Antiqua" w:hAnsi="Book Antiqua" w:cs="Arial"/>
          <w:color w:val="000000" w:themeColor="text1"/>
        </w:rPr>
        <w:t>. The median tumor size was 3.4 cm, and 99% of patients were characterized by</w:t>
      </w:r>
      <w:r w:rsidR="00D009E7" w:rsidRPr="00840CF8">
        <w:rPr>
          <w:rFonts w:ascii="Book Antiqua" w:hAnsi="Book Antiqua" w:cs="Arial"/>
          <w:color w:val="000000" w:themeColor="text1"/>
        </w:rPr>
        <w:t xml:space="preserve"> a</w:t>
      </w:r>
      <w:r w:rsidR="002E0F68" w:rsidRPr="00840CF8">
        <w:rPr>
          <w:rFonts w:ascii="Book Antiqua" w:hAnsi="Book Antiqua" w:cs="Arial"/>
          <w:color w:val="000000" w:themeColor="text1"/>
        </w:rPr>
        <w:t xml:space="preserve"> cirrhosis status of Child-Pugh A or B. The 3-year LC, PFS, and OS rates for all patients were 87%, 21% and 61%, respectively</w:t>
      </w:r>
      <w:r w:rsidR="002E0F68" w:rsidRPr="00840CF8">
        <w:rPr>
          <w:rFonts w:ascii="Book Antiqua" w:hAnsi="Book Antiqua" w:cs="Arial"/>
          <w:color w:val="000000" w:themeColor="text1"/>
          <w:vertAlign w:val="superscript"/>
        </w:rPr>
        <w:t>[34]</w:t>
      </w:r>
      <w:r w:rsidR="002E0F68" w:rsidRPr="00840CF8">
        <w:rPr>
          <w:rFonts w:ascii="Book Antiqua" w:hAnsi="Book Antiqua" w:cs="Arial"/>
          <w:color w:val="000000" w:themeColor="text1"/>
        </w:rPr>
        <w:t>. Among these three different dosage regimens, there were no significant differences in the LC and PFS of patients. In all, 12 patients experienced symptomatic late toxicity, which included rib fracture (3 patients), dermatitis (grade 1: 2; grade 3:1 patients), and perforation, bleeding, or inﬂammation of the GI tract (grade 2: 3 patients grade 3: 3 patients)</w:t>
      </w:r>
      <w:r w:rsidR="002E0F68" w:rsidRPr="00840CF8">
        <w:rPr>
          <w:rFonts w:ascii="Book Antiqua" w:hAnsi="Book Antiqua" w:cs="Arial"/>
          <w:color w:val="000000" w:themeColor="text1"/>
          <w:vertAlign w:val="superscript"/>
        </w:rPr>
        <w:t>[34]</w:t>
      </w:r>
      <w:r w:rsidR="002E0F68" w:rsidRPr="00840CF8">
        <w:rPr>
          <w:rFonts w:ascii="Book Antiqua" w:hAnsi="Book Antiqua" w:cs="Arial"/>
          <w:color w:val="000000" w:themeColor="text1"/>
        </w:rPr>
        <w:t>. For patients whose tumors were located adjacent to the porta hepatis, the PBT (72.6 GyE in 22 fractions or 77 GyE in 35 fractions) resulted in a 3-year LC and OS rates of 86% and 50%, respectively, and no subsequent bile duct stenosis was observed in them</w:t>
      </w:r>
      <w:r w:rsidR="002E0F68" w:rsidRPr="00840CF8">
        <w:rPr>
          <w:rFonts w:ascii="Book Antiqua" w:hAnsi="Book Antiqua" w:cs="Arial"/>
          <w:color w:val="000000" w:themeColor="text1"/>
          <w:vertAlign w:val="superscript"/>
        </w:rPr>
        <w:t>[34]</w:t>
      </w:r>
      <w:r w:rsidR="002E0F68" w:rsidRPr="00840CF8">
        <w:rPr>
          <w:rFonts w:ascii="Book Antiqua" w:hAnsi="Book Antiqua" w:cs="Arial"/>
          <w:color w:val="000000" w:themeColor="text1"/>
        </w:rPr>
        <w:t xml:space="preserve">. </w:t>
      </w:r>
    </w:p>
    <w:p w14:paraId="41077981" w14:textId="51DB5473" w:rsidR="002E0F68" w:rsidRPr="00840CF8" w:rsidRDefault="00A8427A" w:rsidP="00CB7D2C">
      <w:pPr>
        <w:snapToGrid w:val="0"/>
        <w:spacing w:line="360" w:lineRule="auto"/>
        <w:jc w:val="both"/>
        <w:rPr>
          <w:rFonts w:ascii="Book Antiqua" w:hAnsi="Book Antiqua" w:cs="Arial"/>
          <w:color w:val="000000" w:themeColor="text1"/>
          <w:szCs w:val="24"/>
        </w:rPr>
      </w:pPr>
      <w:r w:rsidRPr="00840CF8">
        <w:rPr>
          <w:rFonts w:ascii="Book Antiqua" w:hAnsi="Book Antiqua" w:cs="Arial"/>
          <w:color w:val="000000" w:themeColor="text1"/>
          <w:szCs w:val="24"/>
        </w:rPr>
        <w:t xml:space="preserve"> </w:t>
      </w:r>
      <w:r w:rsidR="002E0F68" w:rsidRPr="00840CF8">
        <w:rPr>
          <w:rFonts w:ascii="Book Antiqua" w:hAnsi="Book Antiqua" w:cs="Arial"/>
          <w:color w:val="000000" w:themeColor="text1"/>
          <w:szCs w:val="24"/>
        </w:rPr>
        <w:t xml:space="preserve"> Komatsu</w:t>
      </w:r>
      <w:r w:rsidR="002E0F68" w:rsidRPr="00840CF8">
        <w:rPr>
          <w:rFonts w:ascii="Book Antiqua" w:hAnsi="Book Antiqua" w:cs="Arial"/>
          <w:i/>
          <w:iCs/>
          <w:color w:val="000000" w:themeColor="text1"/>
          <w:szCs w:val="24"/>
        </w:rPr>
        <w:t xml:space="preserve"> </w:t>
      </w:r>
      <w:r w:rsidR="008E76B0" w:rsidRPr="00840CF8">
        <w:rPr>
          <w:rFonts w:ascii="Book Antiqua" w:hAnsi="Book Antiqua" w:cs="Arial"/>
          <w:i/>
          <w:iCs/>
          <w:color w:val="000000" w:themeColor="text1"/>
          <w:szCs w:val="24"/>
        </w:rPr>
        <w:t>et al</w:t>
      </w:r>
      <w:r w:rsidR="00B75F88" w:rsidRPr="00840CF8">
        <w:rPr>
          <w:rFonts w:ascii="Book Antiqua" w:hAnsi="Book Antiqua" w:cs="Arial"/>
          <w:color w:val="000000" w:themeColor="text1"/>
          <w:szCs w:val="24"/>
          <w:vertAlign w:val="superscript"/>
        </w:rPr>
        <w:t>[39]</w:t>
      </w:r>
      <w:r w:rsidR="002E0F68" w:rsidRPr="00840CF8">
        <w:rPr>
          <w:rFonts w:ascii="Book Antiqua" w:hAnsi="Book Antiqua" w:cs="Arial"/>
          <w:color w:val="000000" w:themeColor="text1"/>
          <w:szCs w:val="24"/>
        </w:rPr>
        <w:t xml:space="preserve"> reported the clinical outcome of a large cohort of HCC patients who were treated at the Hyogo Ion Beam Medical Center (HIBMC), including 242 and 101 patients (108 tumors) who underwent PBT (278 tumors) and CIRT (108 tumors), respectively, for HCC. The dosage regimens of CPT included 8 and 4 different protocols of PBT (52.8-84.0 GyE in 4-38 fractions) and CIRT (52.8-76.0 GyE in 4-20 fractions), respectively</w:t>
      </w:r>
      <w:r w:rsidR="002E0F68" w:rsidRPr="00840CF8">
        <w:rPr>
          <w:rFonts w:ascii="Book Antiqua" w:hAnsi="Book Antiqua" w:cs="Arial"/>
          <w:color w:val="000000" w:themeColor="text1"/>
          <w:szCs w:val="24"/>
          <w:vertAlign w:val="superscript"/>
        </w:rPr>
        <w:t>[39]</w:t>
      </w:r>
      <w:r w:rsidR="002E0F68" w:rsidRPr="00840CF8">
        <w:rPr>
          <w:rFonts w:ascii="Book Antiqua" w:hAnsi="Book Antiqua" w:cs="Arial"/>
          <w:color w:val="000000" w:themeColor="text1"/>
          <w:szCs w:val="24"/>
        </w:rPr>
        <w:t>. The percentage of tumor sizes &lt; 5 cm, within 5-10 cm</w:t>
      </w:r>
      <w:r w:rsidR="00983546" w:rsidRPr="00840CF8">
        <w:rPr>
          <w:rFonts w:ascii="Book Antiqua" w:hAnsi="Book Antiqua" w:cs="Arial"/>
          <w:color w:val="000000" w:themeColor="text1"/>
          <w:szCs w:val="24"/>
        </w:rPr>
        <w:t>,</w:t>
      </w:r>
      <w:r w:rsidR="002E0F68" w:rsidRPr="00840CF8">
        <w:rPr>
          <w:rFonts w:ascii="Book Antiqua" w:hAnsi="Book Antiqua" w:cs="Arial"/>
          <w:color w:val="000000" w:themeColor="text1"/>
          <w:szCs w:val="24"/>
        </w:rPr>
        <w:t xml:space="preserve"> and &gt; 10 cm were 37.8%, 37.4% and 41.1%, respectively</w:t>
      </w:r>
      <w:r w:rsidR="002E0F68" w:rsidRPr="00840CF8">
        <w:rPr>
          <w:rFonts w:ascii="Book Antiqua" w:hAnsi="Book Antiqua" w:cs="Arial"/>
          <w:color w:val="000000" w:themeColor="text1"/>
          <w:szCs w:val="24"/>
          <w:vertAlign w:val="superscript"/>
        </w:rPr>
        <w:t>[39]</w:t>
      </w:r>
      <w:r w:rsidR="002E0F68" w:rsidRPr="00840CF8">
        <w:rPr>
          <w:rFonts w:ascii="Book Antiqua" w:hAnsi="Book Antiqua" w:cs="Arial"/>
          <w:color w:val="000000" w:themeColor="text1"/>
          <w:szCs w:val="24"/>
        </w:rPr>
        <w:t>. The 5-year LC rate for all patients receiving PBT and CIRT were 90.2% and 93%, respectively</w:t>
      </w:r>
      <w:r w:rsidR="002E0F68" w:rsidRPr="00840CF8">
        <w:rPr>
          <w:rFonts w:ascii="Book Antiqua" w:hAnsi="Book Antiqua" w:cs="Arial"/>
          <w:color w:val="000000" w:themeColor="text1"/>
          <w:szCs w:val="24"/>
          <w:vertAlign w:val="superscript"/>
        </w:rPr>
        <w:t>[39]</w:t>
      </w:r>
      <w:r w:rsidR="002E0F68" w:rsidRPr="00840CF8">
        <w:rPr>
          <w:rFonts w:ascii="Book Antiqua" w:hAnsi="Book Antiqua" w:cs="Arial"/>
          <w:color w:val="000000" w:themeColor="text1"/>
          <w:szCs w:val="24"/>
        </w:rPr>
        <w:t>. The 5-year LC rate for patients with tumor &lt; 5 cm, within 5 to 10 cm, and &gt; 10 cm were 95.3%, 84.4%, and 42.2%, respectively</w:t>
      </w:r>
      <w:r w:rsidR="002E0F68" w:rsidRPr="00840CF8">
        <w:rPr>
          <w:rFonts w:ascii="Book Antiqua" w:hAnsi="Book Antiqua" w:cs="Arial"/>
          <w:color w:val="000000" w:themeColor="text1"/>
          <w:szCs w:val="24"/>
          <w:vertAlign w:val="superscript"/>
        </w:rPr>
        <w:t>[39]</w:t>
      </w:r>
      <w:r w:rsidR="002E0F68" w:rsidRPr="00840CF8">
        <w:rPr>
          <w:rFonts w:ascii="Book Antiqua" w:hAnsi="Book Antiqua" w:cs="Arial"/>
          <w:color w:val="000000" w:themeColor="text1"/>
          <w:szCs w:val="24"/>
        </w:rPr>
        <w:t>. The PBT and CIRT resulted in equivalent 5-year LC rates of 95.5% and 94.5%, respectively, in the treatment of patients with tumors &lt; 5 cm. For patients whose tumors were within 5 to 10 cm, the PBT and CIRT resulted in equivalent 5-year LC rates of 84.1% and 90.9%, respectively</w:t>
      </w:r>
      <w:r w:rsidR="002E0F68" w:rsidRPr="00840CF8">
        <w:rPr>
          <w:rFonts w:ascii="Book Antiqua" w:hAnsi="Book Antiqua" w:cs="Arial"/>
          <w:color w:val="000000" w:themeColor="text1"/>
          <w:szCs w:val="24"/>
          <w:vertAlign w:val="superscript"/>
        </w:rPr>
        <w:t>[39]</w:t>
      </w:r>
      <w:r w:rsidR="002E0F68" w:rsidRPr="00840CF8">
        <w:rPr>
          <w:rFonts w:ascii="Book Antiqua" w:hAnsi="Book Antiqua" w:cs="Arial"/>
          <w:color w:val="000000" w:themeColor="text1"/>
          <w:szCs w:val="24"/>
        </w:rPr>
        <w:t>. In those whose tumors were &gt; 10 cm, CIRT resulted in a better 5-year LC rate of 80% compared to 43.4% for PBT</w:t>
      </w:r>
      <w:r w:rsidR="002E0F68" w:rsidRPr="00840CF8">
        <w:rPr>
          <w:rFonts w:ascii="Book Antiqua" w:hAnsi="Book Antiqua" w:cs="Arial"/>
          <w:color w:val="000000" w:themeColor="text1"/>
          <w:szCs w:val="24"/>
          <w:vertAlign w:val="superscript"/>
        </w:rPr>
        <w:t>[39]</w:t>
      </w:r>
      <w:r w:rsidR="002E0F68" w:rsidRPr="00840CF8">
        <w:rPr>
          <w:rFonts w:ascii="Book Antiqua" w:hAnsi="Book Antiqua" w:cs="Arial"/>
          <w:color w:val="000000" w:themeColor="text1"/>
          <w:szCs w:val="24"/>
        </w:rPr>
        <w:t xml:space="preserve">. Four patients developed RILD after CPT, and no patients died of CPT treatment-related toxicities. </w:t>
      </w:r>
    </w:p>
    <w:p w14:paraId="56CD146A" w14:textId="5F872B30" w:rsidR="002E0F68" w:rsidRPr="00840CF8" w:rsidRDefault="00A8427A" w:rsidP="00CB7D2C">
      <w:pPr>
        <w:pStyle w:val="Default"/>
        <w:snapToGrid w:val="0"/>
        <w:spacing w:line="360" w:lineRule="auto"/>
        <w:jc w:val="both"/>
        <w:rPr>
          <w:rFonts w:ascii="Book Antiqua" w:hAnsi="Book Antiqua" w:cs="Arial"/>
          <w:color w:val="000000" w:themeColor="text1"/>
        </w:rPr>
      </w:pPr>
      <w:r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Kim </w:t>
      </w:r>
      <w:r w:rsidR="008E76B0" w:rsidRPr="00840CF8">
        <w:rPr>
          <w:rFonts w:ascii="Book Antiqua" w:hAnsi="Book Antiqua" w:cs="Arial"/>
          <w:i/>
          <w:iCs/>
          <w:color w:val="000000" w:themeColor="text1"/>
        </w:rPr>
        <w:t>et al</w:t>
      </w:r>
      <w:r w:rsidR="00C04EF8" w:rsidRPr="00840CF8">
        <w:rPr>
          <w:rFonts w:ascii="Book Antiqua" w:hAnsi="Book Antiqua" w:cs="Arial"/>
          <w:color w:val="000000" w:themeColor="text1"/>
          <w:vertAlign w:val="superscript"/>
        </w:rPr>
        <w:t>[46]</w:t>
      </w:r>
      <w:r w:rsidR="002E0F68" w:rsidRPr="00840CF8">
        <w:rPr>
          <w:rFonts w:ascii="Book Antiqua" w:hAnsi="Book Antiqua" w:cs="Arial"/>
          <w:color w:val="000000" w:themeColor="text1"/>
        </w:rPr>
        <w:t xml:space="preserve"> designed a study to assess the optimal time of tumor response after PBT for 71 patients with HCC, which comprised 68 patients with Child-Pugh A, and 3 patients with Child-Pugh B; their median tumor size was 1.5 cm. Use of a PBT regimen of 66 GyE in 10 fractions resulted in the CR rate of 93%, and most patients (93.9%) achieved this within one year after PBT. </w:t>
      </w:r>
      <w:bookmarkStart w:id="151" w:name="_Hlk11326487"/>
      <w:r w:rsidR="002E0F68" w:rsidRPr="00840CF8">
        <w:rPr>
          <w:rFonts w:ascii="Book Antiqua" w:hAnsi="Book Antiqua" w:cs="Arial"/>
          <w:color w:val="000000" w:themeColor="text1"/>
        </w:rPr>
        <w:t xml:space="preserve">Overall, the PBT resulted in 3-year </w:t>
      </w:r>
      <w:r w:rsidR="002E0F68" w:rsidRPr="00840CF8">
        <w:rPr>
          <w:rFonts w:ascii="Book Antiqua" w:hAnsi="Book Antiqua" w:cs="Arial"/>
          <w:bCs/>
          <w:color w:val="000000" w:themeColor="text1"/>
        </w:rPr>
        <w:t>local progression-free survival (LPFS), relapse-free survival (RFS), and OS rates of 89.9%, 26.8%, and 74.4%, respectively</w:t>
      </w:r>
      <w:bookmarkEnd w:id="151"/>
      <w:r w:rsidR="002E0F68" w:rsidRPr="00840CF8">
        <w:rPr>
          <w:rFonts w:ascii="Book Antiqua" w:hAnsi="Book Antiqua" w:cs="Arial"/>
          <w:bCs/>
          <w:color w:val="000000" w:themeColor="text1"/>
        </w:rPr>
        <w:t xml:space="preserve">. Within 3 months after treatment, </w:t>
      </w:r>
      <w:r w:rsidR="002E0F68" w:rsidRPr="00840CF8">
        <w:rPr>
          <w:rFonts w:ascii="Book Antiqua" w:hAnsi="Book Antiqua" w:cs="Arial"/>
          <w:color w:val="000000" w:themeColor="text1"/>
        </w:rPr>
        <w:t>3 patients had a 1-point increase in Child–Pugh score, 3 patients experienced grade 1 elevated liver function, and no patients experienced &gt;</w:t>
      </w:r>
      <w:r w:rsidR="004A2D21" w:rsidRPr="00840CF8">
        <w:rPr>
          <w:rFonts w:ascii="Book Antiqua" w:hAnsi="Book Antiqua" w:cs="Arial"/>
          <w:color w:val="000000" w:themeColor="text1"/>
        </w:rPr>
        <w:t xml:space="preserve"> </w:t>
      </w:r>
      <w:r w:rsidR="002E0F68" w:rsidRPr="00840CF8">
        <w:rPr>
          <w:rFonts w:ascii="Book Antiqua" w:hAnsi="Book Antiqua" w:cs="Arial"/>
          <w:color w:val="000000" w:themeColor="text1"/>
        </w:rPr>
        <w:t xml:space="preserve">grade 3 toxicities. </w:t>
      </w:r>
    </w:p>
    <w:p w14:paraId="14951C73" w14:textId="308BE7D5" w:rsidR="002E0F68" w:rsidRPr="00840CF8" w:rsidRDefault="002E0F68" w:rsidP="00CB7D2C">
      <w:pPr>
        <w:pStyle w:val="HTML"/>
        <w:snapToGrid w:val="0"/>
        <w:spacing w:line="360" w:lineRule="auto"/>
        <w:ind w:firstLineChars="200" w:firstLine="480"/>
        <w:jc w:val="both"/>
        <w:rPr>
          <w:rFonts w:ascii="Book Antiqua" w:hAnsi="Book Antiqua" w:cs="Arial"/>
          <w:color w:val="000000" w:themeColor="text1"/>
        </w:rPr>
      </w:pPr>
      <w:r w:rsidRPr="00840CF8">
        <w:rPr>
          <w:rFonts w:ascii="Book Antiqua" w:hAnsi="Book Antiqua" w:cs="Arial"/>
          <w:color w:val="000000" w:themeColor="text1"/>
        </w:rPr>
        <w:t>In a multicenter retrospective study conducted by the Japan Carbon Ion Radiation Oncology Study Group (J</w:t>
      </w:r>
      <w:r w:rsidRPr="00840CF8">
        <w:rPr>
          <w:rFonts w:ascii="宋体" w:eastAsia="宋体" w:hAnsi="宋体" w:cs="宋体" w:hint="eastAsia"/>
          <w:color w:val="000000" w:themeColor="text1"/>
        </w:rPr>
        <w:t>‐</w:t>
      </w:r>
      <w:r w:rsidRPr="00840CF8">
        <w:rPr>
          <w:rFonts w:ascii="Book Antiqua" w:hAnsi="Book Antiqua" w:cs="Arial"/>
          <w:color w:val="000000" w:themeColor="text1"/>
        </w:rPr>
        <w:t xml:space="preserve">CROS), Shibuya </w:t>
      </w:r>
      <w:r w:rsidR="008E76B0" w:rsidRPr="00840CF8">
        <w:rPr>
          <w:rFonts w:ascii="Book Antiqua" w:hAnsi="Book Antiqua" w:cs="Arial"/>
          <w:i/>
          <w:iCs/>
          <w:color w:val="000000" w:themeColor="text1"/>
        </w:rPr>
        <w:t>et al</w:t>
      </w:r>
      <w:r w:rsidR="0003298A" w:rsidRPr="00840CF8">
        <w:rPr>
          <w:rFonts w:ascii="Book Antiqua" w:hAnsi="Book Antiqua" w:cs="Arial"/>
          <w:color w:val="000000" w:themeColor="text1"/>
          <w:vertAlign w:val="superscript"/>
        </w:rPr>
        <w:t>[38]</w:t>
      </w:r>
      <w:r w:rsidRPr="00840CF8">
        <w:rPr>
          <w:rFonts w:ascii="Book Antiqua" w:hAnsi="Book Antiqua" w:cs="Arial"/>
          <w:color w:val="000000" w:themeColor="text1"/>
        </w:rPr>
        <w:t xml:space="preserve"> reported the effectiveness and safety of short-course CIRT for 174 patients with HCC (median tumor size; 3.0 cm). Of these, 153 patients had Child-Pugh A, and 20 patients with Child-Pugh B. The prescription radiation doses of CIRT included 48.0 GyE in 2 fractions (</w:t>
      </w:r>
      <w:r w:rsidR="00814407" w:rsidRPr="00840CF8">
        <w:rPr>
          <w:rFonts w:ascii="Book Antiqua" w:hAnsi="Book Antiqua" w:cs="Arial"/>
          <w:i/>
          <w:iCs/>
          <w:color w:val="000000" w:themeColor="text1"/>
        </w:rPr>
        <w:t>n =</w:t>
      </w:r>
      <w:r w:rsidRPr="00840CF8">
        <w:rPr>
          <w:rFonts w:ascii="Book Antiqua" w:hAnsi="Book Antiqua" w:cs="Arial"/>
          <w:color w:val="000000" w:themeColor="text1"/>
        </w:rPr>
        <w:t xml:space="preserve"> 46), 52.8 GyE (</w:t>
      </w:r>
      <w:r w:rsidR="00814407" w:rsidRPr="00840CF8">
        <w:rPr>
          <w:rFonts w:ascii="Book Antiqua" w:hAnsi="Book Antiqua" w:cs="Arial"/>
          <w:i/>
          <w:iCs/>
          <w:color w:val="000000" w:themeColor="text1"/>
        </w:rPr>
        <w:t>n =</w:t>
      </w:r>
      <w:r w:rsidRPr="00840CF8">
        <w:rPr>
          <w:rFonts w:ascii="Book Antiqua" w:hAnsi="Book Antiqua" w:cs="Arial"/>
          <w:color w:val="000000" w:themeColor="text1"/>
        </w:rPr>
        <w:t xml:space="preserve"> 108) in 4 fractions, and 60.0 GyE (</w:t>
      </w:r>
      <w:r w:rsidR="00814407" w:rsidRPr="00840CF8">
        <w:rPr>
          <w:rFonts w:ascii="Book Antiqua" w:hAnsi="Book Antiqua" w:cs="Arial"/>
          <w:i/>
          <w:iCs/>
          <w:color w:val="000000" w:themeColor="text1"/>
        </w:rPr>
        <w:t>n =</w:t>
      </w:r>
      <w:r w:rsidRPr="00840CF8">
        <w:rPr>
          <w:rFonts w:ascii="Book Antiqua" w:hAnsi="Book Antiqua" w:cs="Arial"/>
          <w:color w:val="000000" w:themeColor="text1"/>
        </w:rPr>
        <w:t xml:space="preserve"> 20) in 4 fractions</w:t>
      </w:r>
      <w:r w:rsidRPr="00840CF8">
        <w:rPr>
          <w:rFonts w:ascii="Book Antiqua" w:hAnsi="Book Antiqua" w:cs="Arial"/>
          <w:color w:val="000000" w:themeColor="text1"/>
          <w:vertAlign w:val="superscript"/>
        </w:rPr>
        <w:t>[38]</w:t>
      </w:r>
      <w:r w:rsidRPr="00840CF8">
        <w:rPr>
          <w:rFonts w:ascii="Book Antiqua" w:hAnsi="Book Antiqua" w:cs="Arial"/>
          <w:color w:val="000000" w:themeColor="text1"/>
        </w:rPr>
        <w:t>. After a median follow-up period of 20.3 (range, 2.9-103.5) months, the 3-year LC and OS rates for all patients were 81.0% and 73.3%, respectively</w:t>
      </w:r>
      <w:r w:rsidRPr="00840CF8">
        <w:rPr>
          <w:rFonts w:ascii="Book Antiqua" w:hAnsi="Book Antiqua" w:cs="Arial"/>
          <w:color w:val="000000" w:themeColor="text1"/>
          <w:vertAlign w:val="superscript"/>
        </w:rPr>
        <w:t>[38]</w:t>
      </w:r>
      <w:r w:rsidRPr="00840CF8">
        <w:rPr>
          <w:rFonts w:ascii="Book Antiqua" w:hAnsi="Book Antiqua" w:cs="Arial"/>
          <w:color w:val="000000" w:themeColor="text1"/>
        </w:rPr>
        <w:t>. Multivariate analysis also disclosed that Eastern Cooperative Oncology Group performance status 1-2, Child-Pugh class B, maximum tumor diameter ≥</w:t>
      </w:r>
      <w:r w:rsidR="00854B86" w:rsidRPr="00840CF8">
        <w:rPr>
          <w:rFonts w:ascii="Book Antiqua" w:hAnsi="Book Antiqua" w:cs="Arial" w:hint="eastAsia"/>
          <w:color w:val="000000" w:themeColor="text1"/>
        </w:rPr>
        <w:t xml:space="preserve"> </w:t>
      </w:r>
      <w:r w:rsidRPr="00840CF8">
        <w:rPr>
          <w:rFonts w:ascii="Book Antiqua" w:hAnsi="Book Antiqua" w:cs="Arial"/>
          <w:color w:val="000000" w:themeColor="text1"/>
        </w:rPr>
        <w:t>3 cm, multiple tumors, and serum alpha fetoprotein level &gt;</w:t>
      </w:r>
      <w:r w:rsidR="00854B86" w:rsidRPr="00840CF8">
        <w:rPr>
          <w:rFonts w:ascii="Book Antiqua" w:hAnsi="Book Antiqua" w:cs="Arial" w:hint="eastAsia"/>
          <w:color w:val="000000" w:themeColor="text1"/>
        </w:rPr>
        <w:t xml:space="preserve"> </w:t>
      </w:r>
      <w:r w:rsidRPr="00840CF8">
        <w:rPr>
          <w:rFonts w:ascii="Book Antiqua" w:hAnsi="Book Antiqua" w:cs="Arial"/>
          <w:color w:val="000000" w:themeColor="text1"/>
        </w:rPr>
        <w:t>50 ng/mL were significant prognostic factors for</w:t>
      </w:r>
      <w:r w:rsidR="00D149B4" w:rsidRPr="00840CF8">
        <w:rPr>
          <w:rFonts w:ascii="Book Antiqua" w:hAnsi="Book Antiqua" w:cs="Arial"/>
          <w:color w:val="000000" w:themeColor="text1"/>
        </w:rPr>
        <w:t xml:space="preserve"> a</w:t>
      </w:r>
      <w:r w:rsidRPr="00840CF8">
        <w:rPr>
          <w:rFonts w:ascii="Book Antiqua" w:hAnsi="Book Antiqua" w:cs="Arial"/>
          <w:color w:val="000000" w:themeColor="text1"/>
        </w:rPr>
        <w:t xml:space="preserve"> worse OS. Regarding CIPT-related toxicities, 10 patients (5.7%) experienced grade 3 or 4 treatment-related toxicities, and 3 patients (1.7%) experienced RIHD. </w:t>
      </w:r>
    </w:p>
    <w:p w14:paraId="37711782" w14:textId="36E62216" w:rsidR="002E0F68" w:rsidRPr="00840CF8" w:rsidRDefault="00A8427A" w:rsidP="00CB7D2C">
      <w:pPr>
        <w:snapToGrid w:val="0"/>
        <w:spacing w:line="360" w:lineRule="auto"/>
        <w:jc w:val="both"/>
        <w:rPr>
          <w:rFonts w:ascii="Book Antiqua" w:eastAsia="PMingLiU" w:hAnsi="Book Antiqua" w:cs="Arial"/>
          <w:color w:val="000000" w:themeColor="text1"/>
          <w:kern w:val="0"/>
          <w:szCs w:val="24"/>
          <w:u w:val="single"/>
        </w:rPr>
      </w:pPr>
      <w:r w:rsidRPr="00840CF8">
        <w:rPr>
          <w:rFonts w:ascii="Book Antiqua" w:hAnsi="Book Antiqua" w:cs="Arial"/>
          <w:color w:val="000000" w:themeColor="text1"/>
          <w:szCs w:val="24"/>
        </w:rPr>
        <w:t xml:space="preserve">  </w:t>
      </w:r>
      <w:r w:rsidR="002E0F68" w:rsidRPr="00840CF8">
        <w:rPr>
          <w:rFonts w:ascii="Book Antiqua" w:hAnsi="Book Antiqua" w:cs="Arial"/>
          <w:color w:val="000000" w:themeColor="text1"/>
          <w:szCs w:val="24"/>
        </w:rPr>
        <w:t xml:space="preserve">Altogether, </w:t>
      </w:r>
      <w:r w:rsidR="00D149B4" w:rsidRPr="00840CF8">
        <w:rPr>
          <w:rFonts w:ascii="Book Antiqua" w:hAnsi="Book Antiqua" w:cs="Arial"/>
          <w:color w:val="000000" w:themeColor="text1"/>
          <w:szCs w:val="24"/>
        </w:rPr>
        <w:t xml:space="preserve">a </w:t>
      </w:r>
      <w:r w:rsidR="002E0F68" w:rsidRPr="00840CF8">
        <w:rPr>
          <w:rFonts w:ascii="Book Antiqua" w:hAnsi="Book Antiqua" w:cs="Arial"/>
          <w:color w:val="000000" w:themeColor="text1"/>
          <w:szCs w:val="24"/>
        </w:rPr>
        <w:t xml:space="preserve">larger fraction size of CPT radiation dose possesses similar treatment outcomes </w:t>
      </w:r>
      <w:r w:rsidR="00864AF6" w:rsidRPr="00840CF8">
        <w:rPr>
          <w:rFonts w:ascii="Book Antiqua" w:hAnsi="Book Antiqua" w:cs="Arial"/>
          <w:color w:val="000000" w:themeColor="text1"/>
          <w:szCs w:val="24"/>
        </w:rPr>
        <w:t xml:space="preserve">to </w:t>
      </w:r>
      <w:r w:rsidR="001F3DF9" w:rsidRPr="00840CF8">
        <w:rPr>
          <w:rFonts w:ascii="Book Antiqua" w:hAnsi="Book Antiqua" w:cs="Arial"/>
          <w:color w:val="000000" w:themeColor="text1"/>
          <w:szCs w:val="24"/>
        </w:rPr>
        <w:t xml:space="preserve">those </w:t>
      </w:r>
      <w:r w:rsidR="002E0F68" w:rsidRPr="00840CF8">
        <w:rPr>
          <w:rFonts w:ascii="Book Antiqua" w:hAnsi="Book Antiqua" w:cs="Arial"/>
          <w:color w:val="000000" w:themeColor="text1"/>
          <w:szCs w:val="24"/>
        </w:rPr>
        <w:t xml:space="preserve">of CPT with </w:t>
      </w:r>
      <w:r w:rsidR="00E03DAA" w:rsidRPr="00840CF8">
        <w:rPr>
          <w:rFonts w:ascii="Book Antiqua" w:hAnsi="Book Antiqua" w:cs="Arial"/>
          <w:color w:val="000000" w:themeColor="text1"/>
          <w:szCs w:val="24"/>
        </w:rPr>
        <w:t xml:space="preserve">a </w:t>
      </w:r>
      <w:r w:rsidR="002E0F68" w:rsidRPr="00840CF8">
        <w:rPr>
          <w:rFonts w:ascii="Book Antiqua" w:hAnsi="Book Antiqua" w:cs="Arial"/>
          <w:color w:val="000000" w:themeColor="text1"/>
          <w:szCs w:val="24"/>
        </w:rPr>
        <w:t>conventional fraction size</w:t>
      </w:r>
      <w:r w:rsidR="00E03DAA" w:rsidRPr="00840CF8">
        <w:rPr>
          <w:rFonts w:ascii="Book Antiqua" w:hAnsi="Book Antiqua" w:cs="Arial"/>
          <w:color w:val="000000" w:themeColor="text1"/>
          <w:szCs w:val="24"/>
        </w:rPr>
        <w:t>,</w:t>
      </w:r>
      <w:r w:rsidR="002E0F68" w:rsidRPr="00840CF8">
        <w:rPr>
          <w:rFonts w:ascii="Book Antiqua" w:hAnsi="Book Antiqua" w:cs="Arial"/>
          <w:color w:val="000000" w:themeColor="text1"/>
          <w:szCs w:val="24"/>
        </w:rPr>
        <w:t xml:space="preserve"> without compromising normal organ toxicities. For larger size tumors, short-course CPT might provide better outcomes (Figure 2). For central tumors, hypofractionation CPT is not preferred according to </w:t>
      </w:r>
      <w:r w:rsidR="00E03DAA" w:rsidRPr="00840CF8">
        <w:rPr>
          <w:rFonts w:ascii="Book Antiqua" w:hAnsi="Book Antiqua" w:cs="Arial"/>
          <w:color w:val="000000" w:themeColor="text1"/>
          <w:szCs w:val="24"/>
        </w:rPr>
        <w:t xml:space="preserve">the </w:t>
      </w:r>
      <w:r w:rsidR="002E0F68" w:rsidRPr="00840CF8">
        <w:rPr>
          <w:rFonts w:ascii="Book Antiqua" w:hAnsi="Book Antiqua" w:cs="Arial"/>
          <w:color w:val="000000" w:themeColor="text1"/>
          <w:szCs w:val="24"/>
        </w:rPr>
        <w:t xml:space="preserve">protocol </w:t>
      </w:r>
      <w:r w:rsidR="00E03DAA" w:rsidRPr="00840CF8">
        <w:rPr>
          <w:rFonts w:ascii="Book Antiqua" w:hAnsi="Book Antiqua" w:cs="Arial"/>
          <w:color w:val="000000" w:themeColor="text1"/>
          <w:szCs w:val="24"/>
        </w:rPr>
        <w:t xml:space="preserve">proposed </w:t>
      </w:r>
      <w:r w:rsidR="002E0F68" w:rsidRPr="00840CF8">
        <w:rPr>
          <w:rFonts w:ascii="Book Antiqua" w:hAnsi="Book Antiqua" w:cs="Arial"/>
          <w:color w:val="000000" w:themeColor="text1"/>
          <w:szCs w:val="24"/>
        </w:rPr>
        <w:t xml:space="preserve">by Mizumoto </w:t>
      </w:r>
      <w:r w:rsidR="008E76B0" w:rsidRPr="00840CF8">
        <w:rPr>
          <w:rFonts w:ascii="Book Antiqua" w:hAnsi="Book Antiqua" w:cs="Arial"/>
          <w:i/>
          <w:iCs/>
          <w:color w:val="000000" w:themeColor="text1"/>
          <w:szCs w:val="24"/>
        </w:rPr>
        <w:t>et al</w:t>
      </w:r>
      <w:r w:rsidR="002E0F68" w:rsidRPr="00840CF8">
        <w:rPr>
          <w:rFonts w:ascii="Book Antiqua" w:hAnsi="Book Antiqua" w:cs="Arial"/>
          <w:color w:val="000000" w:themeColor="text1"/>
          <w:szCs w:val="24"/>
          <w:vertAlign w:val="superscript"/>
        </w:rPr>
        <w:t>[3</w:t>
      </w:r>
      <w:r w:rsidR="00E52D0A" w:rsidRPr="00840CF8">
        <w:rPr>
          <w:rFonts w:ascii="Book Antiqua" w:hAnsi="Book Antiqua" w:cs="Arial" w:hint="eastAsia"/>
          <w:color w:val="000000" w:themeColor="text1"/>
          <w:szCs w:val="24"/>
          <w:vertAlign w:val="superscript"/>
        </w:rPr>
        <w:t>4</w:t>
      </w:r>
      <w:r w:rsidR="002E0F68" w:rsidRPr="00840CF8">
        <w:rPr>
          <w:rFonts w:ascii="Book Antiqua" w:hAnsi="Book Antiqua" w:cs="Arial"/>
          <w:color w:val="000000" w:themeColor="text1"/>
          <w:szCs w:val="24"/>
          <w:vertAlign w:val="superscript"/>
        </w:rPr>
        <w:t>]</w:t>
      </w:r>
      <w:r w:rsidR="002E0F68" w:rsidRPr="00840CF8">
        <w:rPr>
          <w:rFonts w:ascii="Book Antiqua" w:hAnsi="Book Antiqua" w:cs="Arial"/>
          <w:color w:val="000000" w:themeColor="text1"/>
          <w:szCs w:val="24"/>
        </w:rPr>
        <w:t xml:space="preserve"> (Figure 2). </w:t>
      </w:r>
      <w:bookmarkStart w:id="152" w:name="_Hlk11326633"/>
      <w:r w:rsidR="002E0F68" w:rsidRPr="00840CF8">
        <w:rPr>
          <w:rFonts w:ascii="Book Antiqua" w:hAnsi="Book Antiqua" w:cs="Arial"/>
          <w:color w:val="000000" w:themeColor="text1"/>
          <w:szCs w:val="24"/>
        </w:rPr>
        <w:t xml:space="preserve">Further dosimetric constraints for avoiding late toxicities of biliary stenosis </w:t>
      </w:r>
      <w:r w:rsidR="0008114F" w:rsidRPr="00840CF8">
        <w:rPr>
          <w:rFonts w:ascii="Book Antiqua" w:hAnsi="Book Antiqua" w:cs="Arial"/>
          <w:color w:val="000000" w:themeColor="text1"/>
          <w:szCs w:val="24"/>
        </w:rPr>
        <w:t xml:space="preserve">are </w:t>
      </w:r>
      <w:r w:rsidR="002E0F68" w:rsidRPr="00840CF8">
        <w:rPr>
          <w:rFonts w:ascii="Book Antiqua" w:hAnsi="Book Antiqua" w:cs="Arial"/>
          <w:color w:val="000000" w:themeColor="text1"/>
          <w:szCs w:val="24"/>
        </w:rPr>
        <w:t>warranted to expand the utilization of hypofractionation CPT</w:t>
      </w:r>
      <w:bookmarkEnd w:id="152"/>
      <w:r w:rsidR="002E0F68" w:rsidRPr="00840CF8">
        <w:rPr>
          <w:rFonts w:ascii="Book Antiqua" w:hAnsi="Book Antiqua" w:cs="Arial"/>
          <w:color w:val="000000" w:themeColor="text1"/>
          <w:szCs w:val="24"/>
        </w:rPr>
        <w:t xml:space="preserve">. </w:t>
      </w:r>
    </w:p>
    <w:p w14:paraId="089FA4C1" w14:textId="77777777" w:rsidR="002E0F68" w:rsidRPr="00840CF8" w:rsidRDefault="002E0F68" w:rsidP="00CB7D2C">
      <w:pPr>
        <w:pStyle w:val="HTML"/>
        <w:snapToGrid w:val="0"/>
        <w:spacing w:line="360" w:lineRule="auto"/>
        <w:jc w:val="both"/>
        <w:rPr>
          <w:rFonts w:ascii="Book Antiqua" w:eastAsia="PMingLiU" w:hAnsi="Book Antiqua" w:cs="Arial"/>
          <w:color w:val="000000" w:themeColor="text1"/>
        </w:rPr>
      </w:pPr>
    </w:p>
    <w:p w14:paraId="6F804160" w14:textId="77777777" w:rsidR="008D12D5" w:rsidRPr="00840CF8" w:rsidRDefault="002E0F68" w:rsidP="00CB7D2C">
      <w:pPr>
        <w:pStyle w:val="HTML"/>
        <w:snapToGrid w:val="0"/>
        <w:spacing w:line="360" w:lineRule="auto"/>
        <w:jc w:val="both"/>
        <w:rPr>
          <w:rFonts w:ascii="Book Antiqua" w:hAnsi="Book Antiqua" w:cs="Arial"/>
          <w:b/>
          <w:color w:val="000000" w:themeColor="text1"/>
        </w:rPr>
      </w:pPr>
      <w:r w:rsidRPr="00840CF8">
        <w:rPr>
          <w:rFonts w:ascii="Book Antiqua" w:hAnsi="Book Antiqua" w:cs="Arial"/>
          <w:b/>
          <w:color w:val="000000" w:themeColor="text1"/>
        </w:rPr>
        <w:t>CONCLUSION</w:t>
      </w:r>
    </w:p>
    <w:p w14:paraId="2658E1BC" w14:textId="77777777" w:rsidR="002E0F68" w:rsidRPr="00840CF8" w:rsidRDefault="002E0F68" w:rsidP="00CB7D2C">
      <w:pPr>
        <w:pStyle w:val="HTML"/>
        <w:snapToGrid w:val="0"/>
        <w:spacing w:line="360" w:lineRule="auto"/>
        <w:jc w:val="both"/>
        <w:rPr>
          <w:rFonts w:ascii="Book Antiqua" w:hAnsi="Book Antiqua" w:cs="Arial"/>
          <w:b/>
          <w:color w:val="000000" w:themeColor="text1"/>
        </w:rPr>
      </w:pPr>
      <w:r w:rsidRPr="00840CF8">
        <w:rPr>
          <w:rFonts w:ascii="Book Antiqua" w:hAnsi="Book Antiqua" w:cs="Arial"/>
          <w:color w:val="000000" w:themeColor="text1"/>
        </w:rPr>
        <w:t>CPT, including PBT and CIRT, could be used to deliver ablative doses to HCC tumors with normal liver sparing. Overall, conventional CPT or hypofractionated CPT (including short-course CPT) could not only provide LC rates &gt; 90% but also result in &lt; 5% grade 3 toxicities. For large</w:t>
      </w:r>
      <w:r w:rsidR="00E71085" w:rsidRPr="00840CF8">
        <w:rPr>
          <w:rFonts w:ascii="Book Antiqua" w:hAnsi="Book Antiqua" w:cs="Arial"/>
          <w:color w:val="000000" w:themeColor="text1"/>
        </w:rPr>
        <w:t>-</w:t>
      </w:r>
      <w:r w:rsidRPr="00840CF8">
        <w:rPr>
          <w:rFonts w:ascii="Book Antiqua" w:hAnsi="Book Antiqua" w:cs="Arial"/>
          <w:color w:val="000000" w:themeColor="text1"/>
        </w:rPr>
        <w:t xml:space="preserve">sized HCC tumors, </w:t>
      </w:r>
      <w:r w:rsidR="00AD6E74" w:rsidRPr="00840CF8">
        <w:rPr>
          <w:rFonts w:ascii="Book Antiqua" w:hAnsi="Book Antiqua" w:cs="Arial"/>
          <w:color w:val="000000" w:themeColor="text1"/>
        </w:rPr>
        <w:t xml:space="preserve">the </w:t>
      </w:r>
      <w:r w:rsidRPr="00840CF8">
        <w:rPr>
          <w:rFonts w:ascii="Book Antiqua" w:hAnsi="Book Antiqua" w:cs="Arial"/>
          <w:color w:val="000000" w:themeColor="text1"/>
        </w:rPr>
        <w:t xml:space="preserve">hypo-fractionation regimen of CPT may provide </w:t>
      </w:r>
      <w:r w:rsidR="00AD6E74" w:rsidRPr="00840CF8">
        <w:rPr>
          <w:rFonts w:ascii="Book Antiqua" w:hAnsi="Book Antiqua" w:cs="Arial"/>
          <w:color w:val="000000" w:themeColor="text1"/>
        </w:rPr>
        <w:t xml:space="preserve">the </w:t>
      </w:r>
      <w:r w:rsidRPr="00840CF8">
        <w:rPr>
          <w:rFonts w:ascii="Book Antiqua" w:hAnsi="Book Antiqua" w:cs="Arial"/>
          <w:color w:val="000000" w:themeColor="text1"/>
        </w:rPr>
        <w:t xml:space="preserve">benefit </w:t>
      </w:r>
      <w:r w:rsidR="00AD6E74" w:rsidRPr="00840CF8">
        <w:rPr>
          <w:rFonts w:ascii="Book Antiqua" w:hAnsi="Book Antiqua" w:cs="Arial"/>
          <w:color w:val="000000" w:themeColor="text1"/>
        </w:rPr>
        <w:t xml:space="preserve">of </w:t>
      </w:r>
      <w:r w:rsidRPr="00840CF8">
        <w:rPr>
          <w:rFonts w:ascii="Book Antiqua" w:hAnsi="Book Antiqua" w:cs="Arial"/>
          <w:color w:val="000000" w:themeColor="text1"/>
        </w:rPr>
        <w:t>increasing LC through overcoming radio</w:t>
      </w:r>
      <w:r w:rsidR="00822BD7" w:rsidRPr="00840CF8">
        <w:rPr>
          <w:rFonts w:ascii="Book Antiqua" w:hAnsi="Book Antiqua" w:cs="Arial"/>
          <w:color w:val="000000" w:themeColor="text1"/>
        </w:rPr>
        <w:t>-</w:t>
      </w:r>
      <w:r w:rsidRPr="00840CF8">
        <w:rPr>
          <w:rFonts w:ascii="Book Antiqua" w:hAnsi="Book Antiqua" w:cs="Arial"/>
          <w:color w:val="000000" w:themeColor="text1"/>
        </w:rPr>
        <w:t xml:space="preserve">resistance, whereas conventional CPT is preferred </w:t>
      </w:r>
      <w:r w:rsidR="00587BCF" w:rsidRPr="00840CF8">
        <w:rPr>
          <w:rFonts w:ascii="Book Antiqua" w:hAnsi="Book Antiqua" w:cs="Arial"/>
          <w:color w:val="000000" w:themeColor="text1"/>
        </w:rPr>
        <w:t xml:space="preserve">for </w:t>
      </w:r>
      <w:r w:rsidRPr="00840CF8">
        <w:rPr>
          <w:rFonts w:ascii="Book Antiqua" w:hAnsi="Book Antiqua" w:cs="Arial"/>
          <w:color w:val="000000" w:themeColor="text1"/>
        </w:rPr>
        <w:t xml:space="preserve">treating central tumors of HCC </w:t>
      </w:r>
      <w:r w:rsidR="00C70009" w:rsidRPr="00840CF8">
        <w:rPr>
          <w:rFonts w:ascii="Book Antiqua" w:hAnsi="Book Antiqua" w:cs="Arial"/>
          <w:color w:val="000000" w:themeColor="text1"/>
        </w:rPr>
        <w:t>by</w:t>
      </w:r>
      <w:r w:rsidRPr="00840CF8">
        <w:rPr>
          <w:rFonts w:ascii="Book Antiqua" w:hAnsi="Book Antiqua" w:cs="Arial"/>
          <w:color w:val="000000" w:themeColor="text1"/>
        </w:rPr>
        <w:t xml:space="preserve"> avoiding late toxicities of the biliary tract. Prospective data </w:t>
      </w:r>
      <w:r w:rsidR="00C70009" w:rsidRPr="00840CF8">
        <w:rPr>
          <w:rFonts w:ascii="Book Antiqua" w:hAnsi="Book Antiqua" w:cs="Arial"/>
          <w:color w:val="000000" w:themeColor="text1"/>
        </w:rPr>
        <w:t xml:space="preserve">are </w:t>
      </w:r>
      <w:r w:rsidRPr="00840CF8">
        <w:rPr>
          <w:rFonts w:ascii="Book Antiqua" w:hAnsi="Book Antiqua" w:cs="Arial"/>
          <w:color w:val="000000" w:themeColor="text1"/>
        </w:rPr>
        <w:t>still warranted to accumulate evidence o</w:t>
      </w:r>
      <w:r w:rsidR="00987926" w:rsidRPr="00840CF8">
        <w:rPr>
          <w:rFonts w:ascii="Book Antiqua" w:hAnsi="Book Antiqua" w:cs="Arial"/>
          <w:color w:val="000000" w:themeColor="text1"/>
        </w:rPr>
        <w:t>n</w:t>
      </w:r>
      <w:r w:rsidRPr="00840CF8">
        <w:rPr>
          <w:rFonts w:ascii="Book Antiqua" w:hAnsi="Book Antiqua" w:cs="Arial"/>
          <w:color w:val="000000" w:themeColor="text1"/>
        </w:rPr>
        <w:t xml:space="preserve"> </w:t>
      </w:r>
      <w:r w:rsidR="00E045C0" w:rsidRPr="00840CF8">
        <w:rPr>
          <w:rFonts w:ascii="Book Antiqua" w:hAnsi="Book Antiqua" w:cs="Arial"/>
          <w:color w:val="000000" w:themeColor="text1"/>
        </w:rPr>
        <w:t xml:space="preserve">the </w:t>
      </w:r>
      <w:r w:rsidRPr="00840CF8">
        <w:rPr>
          <w:rFonts w:ascii="Book Antiqua" w:hAnsi="Book Antiqua" w:cs="Arial"/>
          <w:color w:val="000000" w:themeColor="text1"/>
        </w:rPr>
        <w:t xml:space="preserve">dosimetric constraints </w:t>
      </w:r>
      <w:r w:rsidR="00423779" w:rsidRPr="00840CF8">
        <w:rPr>
          <w:rFonts w:ascii="Book Antiqua" w:hAnsi="Book Antiqua" w:cs="Arial"/>
          <w:color w:val="000000" w:themeColor="text1"/>
        </w:rPr>
        <w:t xml:space="preserve">of </w:t>
      </w:r>
      <w:r w:rsidRPr="00840CF8">
        <w:rPr>
          <w:rFonts w:ascii="Book Antiqua" w:hAnsi="Book Antiqua" w:cs="Arial"/>
          <w:color w:val="000000" w:themeColor="text1"/>
        </w:rPr>
        <w:t xml:space="preserve">hypofractionated or short-course CPT in the treatment of HCC. </w:t>
      </w:r>
    </w:p>
    <w:p w14:paraId="3AD8A577" w14:textId="77777777" w:rsidR="007B7759" w:rsidRPr="00840CF8" w:rsidRDefault="007B7759" w:rsidP="00CB7D2C">
      <w:pPr>
        <w:pStyle w:val="HTML"/>
        <w:snapToGrid w:val="0"/>
        <w:spacing w:line="360" w:lineRule="auto"/>
        <w:jc w:val="both"/>
        <w:rPr>
          <w:rFonts w:ascii="Book Antiqua" w:hAnsi="Book Antiqua" w:cs="Arial"/>
          <w:color w:val="000000" w:themeColor="text1"/>
        </w:rPr>
      </w:pPr>
    </w:p>
    <w:p w14:paraId="24509A9A" w14:textId="77777777" w:rsidR="002B16CD" w:rsidRPr="00840CF8" w:rsidRDefault="002B16CD">
      <w:pPr>
        <w:widowControl/>
        <w:rPr>
          <w:rFonts w:ascii="Book Antiqua" w:hAnsi="Book Antiqua" w:cs="Arial"/>
          <w:b/>
          <w:caps/>
          <w:color w:val="000000" w:themeColor="text1"/>
          <w:szCs w:val="24"/>
        </w:rPr>
      </w:pPr>
      <w:r w:rsidRPr="00840CF8">
        <w:rPr>
          <w:rFonts w:ascii="Book Antiqua" w:hAnsi="Book Antiqua" w:cs="Arial"/>
          <w:b/>
          <w:caps/>
          <w:color w:val="000000" w:themeColor="text1"/>
          <w:szCs w:val="24"/>
        </w:rPr>
        <w:br w:type="page"/>
      </w:r>
    </w:p>
    <w:p w14:paraId="4347CDA7" w14:textId="77777777" w:rsidR="007B7759" w:rsidRPr="00840CF8" w:rsidRDefault="007B7759" w:rsidP="00CB7D2C">
      <w:pPr>
        <w:snapToGrid w:val="0"/>
        <w:spacing w:line="360" w:lineRule="auto"/>
        <w:jc w:val="both"/>
        <w:rPr>
          <w:rFonts w:ascii="Book Antiqua" w:hAnsi="Book Antiqua" w:cs="Arial"/>
          <w:b/>
          <w:caps/>
          <w:color w:val="000000" w:themeColor="text1"/>
          <w:szCs w:val="24"/>
        </w:rPr>
      </w:pPr>
      <w:r w:rsidRPr="00840CF8">
        <w:rPr>
          <w:rFonts w:ascii="Book Antiqua" w:hAnsi="Book Antiqua" w:cs="Arial"/>
          <w:b/>
          <w:caps/>
          <w:color w:val="000000" w:themeColor="text1"/>
          <w:szCs w:val="24"/>
        </w:rPr>
        <w:t>Reference</w:t>
      </w:r>
      <w:r w:rsidR="0012786E" w:rsidRPr="00840CF8">
        <w:rPr>
          <w:rFonts w:ascii="Book Antiqua" w:hAnsi="Book Antiqua" w:cs="Arial"/>
          <w:b/>
          <w:caps/>
          <w:color w:val="000000" w:themeColor="text1"/>
          <w:szCs w:val="24"/>
        </w:rPr>
        <w:t>s</w:t>
      </w:r>
    </w:p>
    <w:p w14:paraId="34A952FD"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 </w:t>
      </w:r>
      <w:r w:rsidRPr="00840CF8">
        <w:rPr>
          <w:rFonts w:ascii="Book Antiqua" w:eastAsia="等线" w:hAnsi="Book Antiqua" w:cs="Times New Roman"/>
          <w:b/>
          <w:szCs w:val="24"/>
          <w:lang w:eastAsia="zh-CN"/>
        </w:rPr>
        <w:t>De Angelis R</w:t>
      </w:r>
      <w:r w:rsidRPr="00840CF8">
        <w:rPr>
          <w:rFonts w:ascii="Book Antiqua" w:eastAsia="等线" w:hAnsi="Book Antiqua" w:cs="Times New Roman"/>
          <w:szCs w:val="24"/>
          <w:lang w:eastAsia="zh-CN"/>
        </w:rPr>
        <w:t xml:space="preserve">, Sant M, Coleman MP, Francisci S, Baili P, Pierannunzio D, Trama A, Visser O, Brenner H, Ardanaz E, Bielska-Lasota M, Engholm G, Nennecke A, Siesling S, Berrino F, Capocaccia R; EUROCARE-5 Working Group. Cancer survival in Europe 1999-2007 by country and age: results of EUROCARE--5-a population-based study. </w:t>
      </w:r>
      <w:r w:rsidRPr="00840CF8">
        <w:rPr>
          <w:rFonts w:ascii="Book Antiqua" w:eastAsia="等线" w:hAnsi="Book Antiqua" w:cs="Times New Roman"/>
          <w:i/>
          <w:szCs w:val="24"/>
          <w:lang w:eastAsia="zh-CN"/>
        </w:rPr>
        <w:t>Lancet Oncol</w:t>
      </w:r>
      <w:r w:rsidRPr="00840CF8">
        <w:rPr>
          <w:rFonts w:ascii="Book Antiqua" w:eastAsia="等线" w:hAnsi="Book Antiqua" w:cs="Times New Roman"/>
          <w:szCs w:val="24"/>
          <w:lang w:eastAsia="zh-CN"/>
        </w:rPr>
        <w:t xml:space="preserve"> 2014; </w:t>
      </w:r>
      <w:r w:rsidRPr="00840CF8">
        <w:rPr>
          <w:rFonts w:ascii="Book Antiqua" w:eastAsia="等线" w:hAnsi="Book Antiqua" w:cs="Times New Roman"/>
          <w:b/>
          <w:szCs w:val="24"/>
          <w:lang w:eastAsia="zh-CN"/>
        </w:rPr>
        <w:t>15</w:t>
      </w:r>
      <w:r w:rsidRPr="00840CF8">
        <w:rPr>
          <w:rFonts w:ascii="Book Antiqua" w:eastAsia="等线" w:hAnsi="Book Antiqua" w:cs="Times New Roman"/>
          <w:szCs w:val="24"/>
          <w:lang w:eastAsia="zh-CN"/>
        </w:rPr>
        <w:t>: 23-34 [PMID: 24314615 DOI: 10.1016/S1470-2045(13)70546-1]</w:t>
      </w:r>
    </w:p>
    <w:p w14:paraId="5EE18D26"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 </w:t>
      </w:r>
      <w:r w:rsidRPr="00840CF8">
        <w:rPr>
          <w:rFonts w:ascii="Book Antiqua" w:eastAsia="等线" w:hAnsi="Book Antiqua" w:cs="Times New Roman"/>
          <w:b/>
          <w:szCs w:val="24"/>
          <w:lang w:eastAsia="zh-CN"/>
        </w:rPr>
        <w:t>Ferlay J,</w:t>
      </w:r>
      <w:r w:rsidRPr="00840CF8">
        <w:rPr>
          <w:rFonts w:ascii="Book Antiqua" w:eastAsia="等线" w:hAnsi="Book Antiqua" w:cs="Times New Roman"/>
          <w:szCs w:val="24"/>
          <w:lang w:eastAsia="zh-CN"/>
        </w:rPr>
        <w:t xml:space="preserve"> Soerjomataram I, Ervik M, Dikshit R, Eser S, Mathers C, Rebelo M, Parkin D, Forman D, Bray F. GLOBOCAN 2012</w:t>
      </w:r>
      <w:r w:rsidR="00110764" w:rsidRPr="00840CF8">
        <w:rPr>
          <w:rFonts w:ascii="Book Antiqua" w:eastAsia="等线" w:hAnsi="Book Antiqua" w:cs="Times New Roman" w:hint="eastAsia"/>
          <w:szCs w:val="24"/>
          <w:lang w:eastAsia="zh-CN"/>
        </w:rPr>
        <w:t>:</w:t>
      </w:r>
      <w:r w:rsidRPr="00840CF8">
        <w:rPr>
          <w:rFonts w:ascii="Book Antiqua" w:eastAsia="等线" w:hAnsi="Book Antiqua" w:cs="Times New Roman"/>
          <w:szCs w:val="24"/>
          <w:lang w:eastAsia="zh-CN"/>
        </w:rPr>
        <w:t xml:space="preserve"> </w:t>
      </w:r>
      <w:r w:rsidR="001963A0" w:rsidRPr="00840CF8">
        <w:rPr>
          <w:rFonts w:ascii="Book Antiqua" w:eastAsia="等线" w:hAnsi="Book Antiqua" w:cs="Times New Roman"/>
          <w:szCs w:val="24"/>
          <w:lang w:eastAsia="zh-CN"/>
        </w:rPr>
        <w:t xml:space="preserve">Estimated </w:t>
      </w:r>
      <w:r w:rsidRPr="00840CF8">
        <w:rPr>
          <w:rFonts w:ascii="Book Antiqua" w:eastAsia="等线" w:hAnsi="Book Antiqua" w:cs="Times New Roman"/>
          <w:szCs w:val="24"/>
          <w:lang w:eastAsia="zh-CN"/>
        </w:rPr>
        <w:t>Cancer Incidence and Mortality Worldwide</w:t>
      </w:r>
      <w:r w:rsidR="00AE5E5F" w:rsidRPr="00840CF8">
        <w:rPr>
          <w:rFonts w:ascii="Book Antiqua" w:eastAsia="等线" w:hAnsi="Book Antiqua" w:cs="Times New Roman"/>
          <w:szCs w:val="24"/>
          <w:lang w:eastAsia="zh-CN"/>
        </w:rPr>
        <w:t xml:space="preserve"> v1.0</w:t>
      </w:r>
      <w:r w:rsidR="00E23533" w:rsidRPr="00840CF8">
        <w:rPr>
          <w:rFonts w:ascii="Book Antiqua" w:eastAsia="等线" w:hAnsi="Book Antiqua" w:cs="Times New Roman"/>
          <w:szCs w:val="24"/>
          <w:lang w:eastAsia="zh-CN"/>
        </w:rPr>
        <w:t>.</w:t>
      </w:r>
      <w:r w:rsidRPr="00840CF8">
        <w:rPr>
          <w:rFonts w:ascii="Book Antiqua" w:eastAsia="等线" w:hAnsi="Book Antiqua" w:cs="Times New Roman"/>
          <w:szCs w:val="24"/>
          <w:lang w:eastAsia="zh-CN"/>
        </w:rPr>
        <w:t xml:space="preserve"> IARC CancerBase No. 11 [Internet]. Lyon, France: International Agency for Research on Cancer</w:t>
      </w:r>
      <w:r w:rsidR="00E23533" w:rsidRPr="00840CF8">
        <w:rPr>
          <w:rFonts w:ascii="Book Antiqua" w:eastAsia="等线" w:hAnsi="Book Antiqua" w:cs="Times New Roman"/>
          <w:szCs w:val="24"/>
          <w:lang w:eastAsia="zh-CN"/>
        </w:rPr>
        <w:t>, 2013</w:t>
      </w:r>
      <w:r w:rsidR="00AD4338" w:rsidRPr="00840CF8">
        <w:rPr>
          <w:rFonts w:ascii="Book Antiqua" w:eastAsia="等线" w:hAnsi="Book Antiqua" w:cs="Times New Roman"/>
          <w:szCs w:val="24"/>
          <w:lang w:eastAsia="zh-CN"/>
        </w:rPr>
        <w:t>. Available from: URL: https://publications.iarc.fr/Databases/Iarc-Cancerbases/GLOBOCAN-2012-Estimated-Cancer-Incidence-Mortality-And-Prevalence-Worldwide-In-2012-V1.0-2012</w:t>
      </w:r>
    </w:p>
    <w:p w14:paraId="0DF0D176"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 </w:t>
      </w:r>
      <w:r w:rsidRPr="00840CF8">
        <w:rPr>
          <w:rFonts w:ascii="Book Antiqua" w:eastAsia="等线" w:hAnsi="Book Antiqua" w:cs="Times New Roman"/>
          <w:b/>
          <w:szCs w:val="24"/>
          <w:lang w:eastAsia="zh-CN"/>
        </w:rPr>
        <w:t>Ferlay J</w:t>
      </w:r>
      <w:r w:rsidRPr="00840CF8">
        <w:rPr>
          <w:rFonts w:ascii="Book Antiqua" w:eastAsia="等线" w:hAnsi="Book Antiqua" w:cs="Times New Roman"/>
          <w:szCs w:val="24"/>
          <w:lang w:eastAsia="zh-CN"/>
        </w:rPr>
        <w:t xml:space="preserve">, Soerjomataram I, Dikshit R, Eser S, Mathers C, Rebelo M, Parkin DM, Forman D, Bray F. Cancer incidence and mortality worldwide: sources, methods and major patterns in GLOBOCAN 2012. </w:t>
      </w:r>
      <w:r w:rsidRPr="00840CF8">
        <w:rPr>
          <w:rFonts w:ascii="Book Antiqua" w:eastAsia="等线" w:hAnsi="Book Antiqua" w:cs="Times New Roman"/>
          <w:i/>
          <w:szCs w:val="24"/>
          <w:lang w:eastAsia="zh-CN"/>
        </w:rPr>
        <w:t>Int J Cancer</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136</w:t>
      </w:r>
      <w:r w:rsidRPr="00840CF8">
        <w:rPr>
          <w:rFonts w:ascii="Book Antiqua" w:eastAsia="等线" w:hAnsi="Book Antiqua" w:cs="Times New Roman"/>
          <w:szCs w:val="24"/>
          <w:lang w:eastAsia="zh-CN"/>
        </w:rPr>
        <w:t>: E359-E386 [PMID: 25220842 DOI: 10.1002/ijc.29210]</w:t>
      </w:r>
    </w:p>
    <w:p w14:paraId="6AA0497F" w14:textId="77777777" w:rsidR="006C4A2B" w:rsidRPr="00840CF8" w:rsidRDefault="006C4A2B" w:rsidP="00CB7D2C">
      <w:pPr>
        <w:snapToGrid w:val="0"/>
        <w:spacing w:line="360" w:lineRule="auto"/>
        <w:jc w:val="both"/>
        <w:rPr>
          <w:rFonts w:ascii="Book Antiqua" w:eastAsia="等线" w:hAnsi="Book Antiqua" w:cs="Times New Roman"/>
          <w:bCs/>
          <w:szCs w:val="24"/>
          <w:lang w:eastAsia="zh-CN"/>
        </w:rPr>
      </w:pPr>
      <w:r w:rsidRPr="00840CF8">
        <w:rPr>
          <w:rFonts w:ascii="Book Antiqua" w:eastAsia="等线" w:hAnsi="Book Antiqua" w:cs="Times New Roman"/>
          <w:szCs w:val="24"/>
          <w:lang w:eastAsia="zh-CN"/>
        </w:rPr>
        <w:t xml:space="preserve">4 </w:t>
      </w:r>
      <w:r w:rsidRPr="00840CF8">
        <w:rPr>
          <w:rFonts w:ascii="Book Antiqua" w:eastAsia="等线" w:hAnsi="Book Antiqua" w:cs="Times New Roman"/>
          <w:b/>
          <w:szCs w:val="24"/>
          <w:lang w:eastAsia="zh-CN"/>
        </w:rPr>
        <w:t>Trevisani F</w:t>
      </w:r>
      <w:r w:rsidRPr="00840CF8">
        <w:rPr>
          <w:rFonts w:ascii="Book Antiqua" w:eastAsia="等线" w:hAnsi="Book Antiqua" w:cs="Times New Roman"/>
          <w:bCs/>
          <w:szCs w:val="24"/>
          <w:lang w:eastAsia="zh-CN"/>
        </w:rPr>
        <w:t>, Cantarini MC, Wands JR, Bernardi M. Recent advances in the natural history of hepatocellular carcinoma. Carcinogenesis 2008; 29: 1299-1305 [PMID: 18515282 DOI: 10.1093/carcin/bgn113]</w:t>
      </w:r>
    </w:p>
    <w:p w14:paraId="22307EBB"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5 </w:t>
      </w:r>
      <w:r w:rsidRPr="00840CF8">
        <w:rPr>
          <w:rFonts w:ascii="Book Antiqua" w:eastAsia="等线" w:hAnsi="Book Antiqua" w:cs="Times New Roman"/>
          <w:b/>
          <w:szCs w:val="24"/>
          <w:lang w:eastAsia="zh-CN"/>
        </w:rPr>
        <w:t>Benson III A,</w:t>
      </w:r>
      <w:r w:rsidRPr="00840CF8">
        <w:rPr>
          <w:rFonts w:ascii="Book Antiqua" w:eastAsia="等线" w:hAnsi="Book Antiqua" w:cs="Times New Roman"/>
          <w:szCs w:val="24"/>
          <w:lang w:eastAsia="zh-CN"/>
        </w:rPr>
        <w:t xml:space="preserve"> D’Angelica M, Abbott D. NCCN Clinical Practice Guidelines in Oncology (NCCN Guidelines</w:t>
      </w:r>
      <w:r w:rsidRPr="00840CF8">
        <w:rPr>
          <w:rFonts w:ascii="Book Antiqua" w:eastAsia="等线" w:hAnsi="Book Antiqua" w:cs="Times New Roman"/>
          <w:szCs w:val="24"/>
          <w:vertAlign w:val="superscript"/>
          <w:lang w:eastAsia="zh-CN"/>
        </w:rPr>
        <w:t>®</w:t>
      </w:r>
      <w:r w:rsidRPr="00840CF8">
        <w:rPr>
          <w:rFonts w:ascii="Book Antiqua" w:eastAsia="等线" w:hAnsi="Book Antiqua" w:cs="Times New Roman"/>
          <w:szCs w:val="24"/>
          <w:lang w:eastAsia="zh-CN"/>
        </w:rPr>
        <w:t>) Hepatobiliary Cancers ver. 1. 2018. Fort Washington, PA: National Comprehensive Cancer Network</w:t>
      </w:r>
      <w:r w:rsidR="00F53EF3" w:rsidRPr="00840CF8">
        <w:rPr>
          <w:rFonts w:ascii="Book Antiqua" w:eastAsia="等线" w:hAnsi="Book Antiqua" w:cs="Times New Roman"/>
          <w:szCs w:val="24"/>
          <w:lang w:eastAsia="zh-CN"/>
        </w:rPr>
        <w:t>,</w:t>
      </w:r>
      <w:r w:rsidRPr="00840CF8">
        <w:rPr>
          <w:rFonts w:ascii="Book Antiqua" w:eastAsia="等线" w:hAnsi="Book Antiqua" w:cs="Times New Roman"/>
          <w:szCs w:val="24"/>
          <w:lang w:eastAsia="zh-CN"/>
        </w:rPr>
        <w:t xml:space="preserve"> 2018</w:t>
      </w:r>
      <w:r w:rsidR="00FD539F" w:rsidRPr="00840CF8">
        <w:rPr>
          <w:rFonts w:ascii="Book Antiqua" w:eastAsia="等线" w:hAnsi="Book Antiqua" w:cs="Times New Roman"/>
          <w:szCs w:val="24"/>
          <w:lang w:eastAsia="zh-CN"/>
        </w:rPr>
        <w:t>. Available from: URL: https://oncolife.com.ua/doc/nccn/Hepatobiliary_Cancers.pdf</w:t>
      </w:r>
    </w:p>
    <w:p w14:paraId="397A8D7F"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6 </w:t>
      </w:r>
      <w:r w:rsidRPr="00840CF8">
        <w:rPr>
          <w:rFonts w:ascii="Book Antiqua" w:eastAsia="等线" w:hAnsi="Book Antiqua" w:cs="Times New Roman"/>
          <w:b/>
          <w:szCs w:val="24"/>
          <w:lang w:eastAsia="zh-CN"/>
        </w:rPr>
        <w:t>Fan ST</w:t>
      </w:r>
      <w:r w:rsidRPr="00840CF8">
        <w:rPr>
          <w:rFonts w:ascii="Book Antiqua" w:eastAsia="等线" w:hAnsi="Book Antiqua" w:cs="Times New Roman"/>
          <w:szCs w:val="24"/>
          <w:lang w:eastAsia="zh-CN"/>
        </w:rPr>
        <w:t xml:space="preserve">, Lo CM, Liu CL, Lam CM, Yuen WK, Yeung C, Wong J. Hepatectomy for hepatocellular carcinoma: toward zero hospital deaths. </w:t>
      </w:r>
      <w:r w:rsidRPr="00840CF8">
        <w:rPr>
          <w:rFonts w:ascii="Book Antiqua" w:eastAsia="等线" w:hAnsi="Book Antiqua" w:cs="Times New Roman"/>
          <w:i/>
          <w:szCs w:val="24"/>
          <w:lang w:eastAsia="zh-CN"/>
        </w:rPr>
        <w:t>Ann Surg</w:t>
      </w:r>
      <w:r w:rsidRPr="00840CF8">
        <w:rPr>
          <w:rFonts w:ascii="Book Antiqua" w:eastAsia="等线" w:hAnsi="Book Antiqua" w:cs="Times New Roman"/>
          <w:szCs w:val="24"/>
          <w:lang w:eastAsia="zh-CN"/>
        </w:rPr>
        <w:t xml:space="preserve"> 1999; </w:t>
      </w:r>
      <w:r w:rsidRPr="00840CF8">
        <w:rPr>
          <w:rFonts w:ascii="Book Antiqua" w:eastAsia="等线" w:hAnsi="Book Antiqua" w:cs="Times New Roman"/>
          <w:b/>
          <w:szCs w:val="24"/>
          <w:lang w:eastAsia="zh-CN"/>
        </w:rPr>
        <w:t>229</w:t>
      </w:r>
      <w:r w:rsidRPr="00840CF8">
        <w:rPr>
          <w:rFonts w:ascii="Book Antiqua" w:eastAsia="等线" w:hAnsi="Book Antiqua" w:cs="Times New Roman"/>
          <w:szCs w:val="24"/>
          <w:lang w:eastAsia="zh-CN"/>
        </w:rPr>
        <w:t>: 322-330 [PMID: 10077043]</w:t>
      </w:r>
    </w:p>
    <w:p w14:paraId="2D931881"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7 </w:t>
      </w:r>
      <w:r w:rsidRPr="00840CF8">
        <w:rPr>
          <w:rFonts w:ascii="Book Antiqua" w:eastAsia="等线" w:hAnsi="Book Antiqua" w:cs="Times New Roman"/>
          <w:b/>
          <w:szCs w:val="24"/>
          <w:lang w:eastAsia="zh-CN"/>
        </w:rPr>
        <w:t>Colella G</w:t>
      </w:r>
      <w:r w:rsidRPr="00840CF8">
        <w:rPr>
          <w:rFonts w:ascii="Book Antiqua" w:eastAsia="等线" w:hAnsi="Book Antiqua" w:cs="Times New Roman"/>
          <w:szCs w:val="24"/>
          <w:lang w:eastAsia="zh-CN"/>
        </w:rPr>
        <w:t xml:space="preserve">, Bottelli R, De Carlis L, Sansalone CV, Rondinara GF, Alberti A, Belli LS, Gelosa F, Iamoni GM, Rampoldi A, De Gasperi A, Corti A, Mazza E, Aseni P, Meroni A, Slim AO, Finzi M, Di Benedetto F, Manochehri F, Follini ML, Ideo G, Forti D. Hepatocellular carcinoma: comparison between liver transplantation, resective surgery, ethanol injection, and chemoembolization. </w:t>
      </w:r>
      <w:r w:rsidRPr="00840CF8">
        <w:rPr>
          <w:rFonts w:ascii="Book Antiqua" w:eastAsia="等线" w:hAnsi="Book Antiqua" w:cs="Times New Roman"/>
          <w:i/>
          <w:szCs w:val="24"/>
          <w:lang w:eastAsia="zh-CN"/>
        </w:rPr>
        <w:t>Transpl Int</w:t>
      </w:r>
      <w:r w:rsidRPr="00840CF8">
        <w:rPr>
          <w:rFonts w:ascii="Book Antiqua" w:eastAsia="等线" w:hAnsi="Book Antiqua" w:cs="Times New Roman"/>
          <w:szCs w:val="24"/>
          <w:lang w:eastAsia="zh-CN"/>
        </w:rPr>
        <w:t xml:space="preserve"> 1998; </w:t>
      </w:r>
      <w:r w:rsidRPr="00840CF8">
        <w:rPr>
          <w:rFonts w:ascii="Book Antiqua" w:eastAsia="等线" w:hAnsi="Book Antiqua" w:cs="Times New Roman"/>
          <w:b/>
          <w:szCs w:val="24"/>
          <w:lang w:eastAsia="zh-CN"/>
        </w:rPr>
        <w:t xml:space="preserve">11 </w:t>
      </w:r>
      <w:r w:rsidRPr="00840CF8">
        <w:rPr>
          <w:rFonts w:ascii="Book Antiqua" w:eastAsia="等线" w:hAnsi="Book Antiqua" w:cs="Times New Roman"/>
          <w:bCs/>
          <w:szCs w:val="24"/>
          <w:lang w:eastAsia="zh-CN"/>
        </w:rPr>
        <w:t>Suppl 1:</w:t>
      </w:r>
      <w:r w:rsidRPr="00840CF8">
        <w:rPr>
          <w:rFonts w:ascii="Book Antiqua" w:eastAsia="等线" w:hAnsi="Book Antiqua" w:cs="Times New Roman"/>
          <w:szCs w:val="24"/>
          <w:lang w:eastAsia="zh-CN"/>
        </w:rPr>
        <w:t xml:space="preserve"> S193-S196 [PMID: 9664977]</w:t>
      </w:r>
    </w:p>
    <w:p w14:paraId="7F1FDEC2"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8 </w:t>
      </w:r>
      <w:r w:rsidRPr="00840CF8">
        <w:rPr>
          <w:rFonts w:ascii="Book Antiqua" w:eastAsia="等线" w:hAnsi="Book Antiqua" w:cs="Times New Roman"/>
          <w:b/>
          <w:szCs w:val="24"/>
          <w:lang w:eastAsia="zh-CN"/>
        </w:rPr>
        <w:t>Fong Y</w:t>
      </w:r>
      <w:r w:rsidRPr="00840CF8">
        <w:rPr>
          <w:rFonts w:ascii="Book Antiqua" w:eastAsia="等线" w:hAnsi="Book Antiqua" w:cs="Times New Roman"/>
          <w:szCs w:val="24"/>
          <w:lang w:eastAsia="zh-CN"/>
        </w:rPr>
        <w:t xml:space="preserve">, Sun RL, Jarnagin W, Blumgart LH. An analysis of 412 cases of hepatocellular carcinoma at a Western center. </w:t>
      </w:r>
      <w:r w:rsidRPr="00840CF8">
        <w:rPr>
          <w:rFonts w:ascii="Book Antiqua" w:eastAsia="等线" w:hAnsi="Book Antiqua" w:cs="Times New Roman"/>
          <w:i/>
          <w:szCs w:val="24"/>
          <w:lang w:eastAsia="zh-CN"/>
        </w:rPr>
        <w:t>Ann Surg</w:t>
      </w:r>
      <w:r w:rsidRPr="00840CF8">
        <w:rPr>
          <w:rFonts w:ascii="Book Antiqua" w:eastAsia="等线" w:hAnsi="Book Antiqua" w:cs="Times New Roman"/>
          <w:szCs w:val="24"/>
          <w:lang w:eastAsia="zh-CN"/>
        </w:rPr>
        <w:t xml:space="preserve"> 1999; </w:t>
      </w:r>
      <w:r w:rsidRPr="00840CF8">
        <w:rPr>
          <w:rFonts w:ascii="Book Antiqua" w:eastAsia="等线" w:hAnsi="Book Antiqua" w:cs="Times New Roman"/>
          <w:b/>
          <w:szCs w:val="24"/>
          <w:lang w:eastAsia="zh-CN"/>
        </w:rPr>
        <w:t>229</w:t>
      </w:r>
      <w:r w:rsidRPr="00840CF8">
        <w:rPr>
          <w:rFonts w:ascii="Book Antiqua" w:eastAsia="等线" w:hAnsi="Book Antiqua" w:cs="Times New Roman"/>
          <w:szCs w:val="24"/>
          <w:lang w:eastAsia="zh-CN"/>
        </w:rPr>
        <w:t>: 790-9; discussion 799-800 [PMID: 10363892]</w:t>
      </w:r>
    </w:p>
    <w:p w14:paraId="04B1A6C6"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9 </w:t>
      </w:r>
      <w:r w:rsidRPr="00840CF8">
        <w:rPr>
          <w:rFonts w:ascii="Book Antiqua" w:eastAsia="等线" w:hAnsi="Book Antiqua" w:cs="Times New Roman"/>
          <w:b/>
          <w:szCs w:val="24"/>
          <w:lang w:eastAsia="zh-CN"/>
        </w:rPr>
        <w:t>Pang TC</w:t>
      </w:r>
      <w:r w:rsidRPr="00840CF8">
        <w:rPr>
          <w:rFonts w:ascii="Book Antiqua" w:eastAsia="等线" w:hAnsi="Book Antiqua" w:cs="Times New Roman"/>
          <w:szCs w:val="24"/>
          <w:lang w:eastAsia="zh-CN"/>
        </w:rPr>
        <w:t xml:space="preserve">, Lam VW. Surgical management of hepatocellular carcinoma. </w:t>
      </w:r>
      <w:r w:rsidRPr="00840CF8">
        <w:rPr>
          <w:rFonts w:ascii="Book Antiqua" w:eastAsia="等线" w:hAnsi="Book Antiqua" w:cs="Times New Roman"/>
          <w:i/>
          <w:szCs w:val="24"/>
          <w:lang w:eastAsia="zh-CN"/>
        </w:rPr>
        <w:t>World J Hepatol</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7</w:t>
      </w:r>
      <w:r w:rsidRPr="00840CF8">
        <w:rPr>
          <w:rFonts w:ascii="Book Antiqua" w:eastAsia="等线" w:hAnsi="Book Antiqua" w:cs="Times New Roman"/>
          <w:szCs w:val="24"/>
          <w:lang w:eastAsia="zh-CN"/>
        </w:rPr>
        <w:t>: 245-252 [PMID: 25729479 DOI: 10.4254/wjh.v7.i2.245]</w:t>
      </w:r>
    </w:p>
    <w:p w14:paraId="2E57BBCB"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10 </w:t>
      </w:r>
      <w:r w:rsidRPr="00840CF8">
        <w:rPr>
          <w:rFonts w:ascii="Book Antiqua" w:eastAsia="等线" w:hAnsi="Book Antiqua" w:cs="Times New Roman"/>
          <w:b/>
          <w:szCs w:val="24"/>
          <w:lang w:eastAsia="zh-CN"/>
        </w:rPr>
        <w:t>Weis S</w:t>
      </w:r>
      <w:r w:rsidRPr="00840CF8">
        <w:rPr>
          <w:rFonts w:ascii="Book Antiqua" w:eastAsia="等线" w:hAnsi="Book Antiqua" w:cs="Times New Roman"/>
          <w:szCs w:val="24"/>
          <w:lang w:eastAsia="zh-CN"/>
        </w:rPr>
        <w:t xml:space="preserve">, Franke A, Berg T, Mössner J, Fleig WE, Schoppmeyer K. Percutaneous ethanol injection or percutaneous acetic acid injection for early hepatocellular carcinoma. </w:t>
      </w:r>
      <w:r w:rsidRPr="00840CF8">
        <w:rPr>
          <w:rFonts w:ascii="Book Antiqua" w:eastAsia="等线" w:hAnsi="Book Antiqua" w:cs="Times New Roman"/>
          <w:i/>
          <w:szCs w:val="24"/>
          <w:lang w:eastAsia="zh-CN"/>
        </w:rPr>
        <w:t>Cochrane Database Syst Rev</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1</w:t>
      </w:r>
      <w:r w:rsidRPr="00840CF8">
        <w:rPr>
          <w:rFonts w:ascii="Book Antiqua" w:eastAsia="等线" w:hAnsi="Book Antiqua" w:cs="Times New Roman"/>
          <w:szCs w:val="24"/>
          <w:lang w:eastAsia="zh-CN"/>
        </w:rPr>
        <w:t>: CD006745 [PMID: 25620061 DOI: 10.1002/14651858.CD006745]</w:t>
      </w:r>
    </w:p>
    <w:p w14:paraId="76CC279F"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11 </w:t>
      </w:r>
      <w:r w:rsidRPr="00840CF8">
        <w:rPr>
          <w:rFonts w:ascii="Book Antiqua" w:eastAsia="等线" w:hAnsi="Book Antiqua" w:cs="Times New Roman"/>
          <w:b/>
          <w:szCs w:val="24"/>
          <w:lang w:eastAsia="zh-CN"/>
        </w:rPr>
        <w:t>Lau WY</w:t>
      </w:r>
      <w:r w:rsidRPr="00840CF8">
        <w:rPr>
          <w:rFonts w:ascii="Book Antiqua" w:eastAsia="等线" w:hAnsi="Book Antiqua" w:cs="Times New Roman"/>
          <w:szCs w:val="24"/>
          <w:lang w:eastAsia="zh-CN"/>
        </w:rPr>
        <w:t xml:space="preserve">, Lai EC. The current role of radiofrequency ablation in the management of hepatocellular carcinoma: a systematic review. </w:t>
      </w:r>
      <w:r w:rsidRPr="00840CF8">
        <w:rPr>
          <w:rFonts w:ascii="Book Antiqua" w:eastAsia="等线" w:hAnsi="Book Antiqua" w:cs="Times New Roman"/>
          <w:i/>
          <w:szCs w:val="24"/>
          <w:lang w:eastAsia="zh-CN"/>
        </w:rPr>
        <w:t>Ann Surg</w:t>
      </w:r>
      <w:r w:rsidRPr="00840CF8">
        <w:rPr>
          <w:rFonts w:ascii="Book Antiqua" w:eastAsia="等线" w:hAnsi="Book Antiqua" w:cs="Times New Roman"/>
          <w:szCs w:val="24"/>
          <w:lang w:eastAsia="zh-CN"/>
        </w:rPr>
        <w:t xml:space="preserve"> 2009; </w:t>
      </w:r>
      <w:r w:rsidRPr="00840CF8">
        <w:rPr>
          <w:rFonts w:ascii="Book Antiqua" w:eastAsia="等线" w:hAnsi="Book Antiqua" w:cs="Times New Roman"/>
          <w:b/>
          <w:szCs w:val="24"/>
          <w:lang w:eastAsia="zh-CN"/>
        </w:rPr>
        <w:t>249</w:t>
      </w:r>
      <w:r w:rsidRPr="00840CF8">
        <w:rPr>
          <w:rFonts w:ascii="Book Antiqua" w:eastAsia="等线" w:hAnsi="Book Antiqua" w:cs="Times New Roman"/>
          <w:szCs w:val="24"/>
          <w:lang w:eastAsia="zh-CN"/>
        </w:rPr>
        <w:t>: 20-25 [PMID: 19106671 DOI: 10.1097/SLA.0b013e31818eec29]</w:t>
      </w:r>
    </w:p>
    <w:p w14:paraId="1118E68A"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12 </w:t>
      </w:r>
      <w:r w:rsidRPr="00840CF8">
        <w:rPr>
          <w:rFonts w:ascii="Book Antiqua" w:eastAsia="等线" w:hAnsi="Book Antiqua" w:cs="Times New Roman"/>
          <w:b/>
          <w:szCs w:val="24"/>
          <w:lang w:eastAsia="zh-CN"/>
        </w:rPr>
        <w:t>Kaplan DE</w:t>
      </w:r>
      <w:r w:rsidRPr="00840CF8">
        <w:rPr>
          <w:rFonts w:ascii="Book Antiqua" w:eastAsia="等线" w:hAnsi="Book Antiqua" w:cs="Times New Roman"/>
          <w:szCs w:val="24"/>
          <w:lang w:eastAsia="zh-CN"/>
        </w:rPr>
        <w:t xml:space="preserve">, Mehta R, D'Addeo K, Gade TP, Taddei TH. Transarterial Chemoembolization within First 3 Months of Sorafenib Initiation Improves Overall Survival in Hepatocellular Carcinoma: A Retrospective, Multi-Institutional Study with Propensity Matching. </w:t>
      </w:r>
      <w:r w:rsidRPr="00840CF8">
        <w:rPr>
          <w:rFonts w:ascii="Book Antiqua" w:eastAsia="等线" w:hAnsi="Book Antiqua" w:cs="Times New Roman"/>
          <w:i/>
          <w:szCs w:val="24"/>
          <w:lang w:eastAsia="zh-CN"/>
        </w:rPr>
        <w:t>J Vasc Interv Radiol</w:t>
      </w:r>
      <w:r w:rsidRPr="00840CF8">
        <w:rPr>
          <w:rFonts w:ascii="Book Antiqua" w:eastAsia="等线" w:hAnsi="Book Antiqua" w:cs="Times New Roman"/>
          <w:szCs w:val="24"/>
          <w:lang w:eastAsia="zh-CN"/>
        </w:rPr>
        <w:t xml:space="preserve"> 2018; </w:t>
      </w:r>
      <w:r w:rsidRPr="00840CF8">
        <w:rPr>
          <w:rFonts w:ascii="Book Antiqua" w:eastAsia="等线" w:hAnsi="Book Antiqua" w:cs="Times New Roman"/>
          <w:b/>
          <w:szCs w:val="24"/>
          <w:lang w:eastAsia="zh-CN"/>
        </w:rPr>
        <w:t>29</w:t>
      </w:r>
      <w:r w:rsidRPr="00840CF8">
        <w:rPr>
          <w:rFonts w:ascii="Book Antiqua" w:eastAsia="等线" w:hAnsi="Book Antiqua" w:cs="Times New Roman"/>
          <w:szCs w:val="24"/>
          <w:lang w:eastAsia="zh-CN"/>
        </w:rPr>
        <w:t>: 540-549.e4 [PMID: 29477619 DOI: 10.1016/j.jvir.2017.11.033]</w:t>
      </w:r>
    </w:p>
    <w:p w14:paraId="035105A4"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13 </w:t>
      </w:r>
      <w:r w:rsidRPr="00840CF8">
        <w:rPr>
          <w:rFonts w:ascii="Book Antiqua" w:eastAsia="等线" w:hAnsi="Book Antiqua" w:cs="Times New Roman"/>
          <w:b/>
          <w:szCs w:val="24"/>
          <w:lang w:eastAsia="zh-CN"/>
        </w:rPr>
        <w:t>Lee EW</w:t>
      </w:r>
      <w:r w:rsidRPr="00840CF8">
        <w:rPr>
          <w:rFonts w:ascii="Book Antiqua" w:eastAsia="等线" w:hAnsi="Book Antiqua" w:cs="Times New Roman"/>
          <w:szCs w:val="24"/>
          <w:lang w:eastAsia="zh-CN"/>
        </w:rPr>
        <w:t xml:space="preserve">, Alanis L, Cho SK, Saab S. Yttrium-90 Selective Internal Radiation Therapy with Glass Microspheres for Hepatocellular Carcinoma: Current and Updated Literature Review. </w:t>
      </w:r>
      <w:r w:rsidRPr="00840CF8">
        <w:rPr>
          <w:rFonts w:ascii="Book Antiqua" w:eastAsia="等线" w:hAnsi="Book Antiqua" w:cs="Times New Roman"/>
          <w:i/>
          <w:szCs w:val="24"/>
          <w:lang w:eastAsia="zh-CN"/>
        </w:rPr>
        <w:t>Korean J Radiol</w:t>
      </w:r>
      <w:r w:rsidRPr="00840CF8">
        <w:rPr>
          <w:rFonts w:ascii="Book Antiqua" w:eastAsia="等线" w:hAnsi="Book Antiqua" w:cs="Times New Roman"/>
          <w:szCs w:val="24"/>
          <w:lang w:eastAsia="zh-CN"/>
        </w:rPr>
        <w:t xml:space="preserve"> 2016; </w:t>
      </w:r>
      <w:r w:rsidRPr="00840CF8">
        <w:rPr>
          <w:rFonts w:ascii="Book Antiqua" w:eastAsia="等线" w:hAnsi="Book Antiqua" w:cs="Times New Roman"/>
          <w:b/>
          <w:szCs w:val="24"/>
          <w:lang w:eastAsia="zh-CN"/>
        </w:rPr>
        <w:t>17</w:t>
      </w:r>
      <w:r w:rsidRPr="00840CF8">
        <w:rPr>
          <w:rFonts w:ascii="Book Antiqua" w:eastAsia="等线" w:hAnsi="Book Antiqua" w:cs="Times New Roman"/>
          <w:szCs w:val="24"/>
          <w:lang w:eastAsia="zh-CN"/>
        </w:rPr>
        <w:t>: 472-488 [PMID: 27390539 DOI: 10.3348/kjr.2016.17.4.472]</w:t>
      </w:r>
    </w:p>
    <w:p w14:paraId="56521F52"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14 </w:t>
      </w:r>
      <w:r w:rsidRPr="00840CF8">
        <w:rPr>
          <w:rFonts w:ascii="Book Antiqua" w:eastAsia="等线" w:hAnsi="Book Antiqua" w:cs="Times New Roman"/>
          <w:b/>
          <w:szCs w:val="24"/>
          <w:lang w:eastAsia="zh-CN"/>
        </w:rPr>
        <w:t>Minagawa M</w:t>
      </w:r>
      <w:r w:rsidRPr="00840CF8">
        <w:rPr>
          <w:rFonts w:ascii="Book Antiqua" w:eastAsia="等线" w:hAnsi="Book Antiqua" w:cs="Times New Roman"/>
          <w:szCs w:val="24"/>
          <w:lang w:eastAsia="zh-CN"/>
        </w:rPr>
        <w:t xml:space="preserve">, Makuuchi M. Treatment of hepatocellular carcinoma accompanied by portal vein tumor thrombus. </w:t>
      </w:r>
      <w:r w:rsidRPr="00840CF8">
        <w:rPr>
          <w:rFonts w:ascii="Book Antiqua" w:eastAsia="等线" w:hAnsi="Book Antiqua" w:cs="Times New Roman"/>
          <w:i/>
          <w:szCs w:val="24"/>
          <w:lang w:eastAsia="zh-CN"/>
        </w:rPr>
        <w:t>World J Gastroenterol</w:t>
      </w:r>
      <w:r w:rsidRPr="00840CF8">
        <w:rPr>
          <w:rFonts w:ascii="Book Antiqua" w:eastAsia="等线" w:hAnsi="Book Antiqua" w:cs="Times New Roman"/>
          <w:szCs w:val="24"/>
          <w:lang w:eastAsia="zh-CN"/>
        </w:rPr>
        <w:t xml:space="preserve"> 2006; </w:t>
      </w:r>
      <w:r w:rsidRPr="00840CF8">
        <w:rPr>
          <w:rFonts w:ascii="Book Antiqua" w:eastAsia="等线" w:hAnsi="Book Antiqua" w:cs="Times New Roman"/>
          <w:b/>
          <w:szCs w:val="24"/>
          <w:lang w:eastAsia="zh-CN"/>
        </w:rPr>
        <w:t>12</w:t>
      </w:r>
      <w:r w:rsidRPr="00840CF8">
        <w:rPr>
          <w:rFonts w:ascii="Book Antiqua" w:eastAsia="等线" w:hAnsi="Book Antiqua" w:cs="Times New Roman"/>
          <w:szCs w:val="24"/>
          <w:lang w:eastAsia="zh-CN"/>
        </w:rPr>
        <w:t>: 7561-7567 [PMID: 17171782]</w:t>
      </w:r>
    </w:p>
    <w:p w14:paraId="27887638"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15 </w:t>
      </w:r>
      <w:r w:rsidRPr="00840CF8">
        <w:rPr>
          <w:rFonts w:ascii="Book Antiqua" w:eastAsia="等线" w:hAnsi="Book Antiqua" w:cs="Times New Roman"/>
          <w:b/>
          <w:szCs w:val="24"/>
          <w:lang w:eastAsia="zh-CN"/>
        </w:rPr>
        <w:t>Yamada R</w:t>
      </w:r>
      <w:r w:rsidRPr="00840CF8">
        <w:rPr>
          <w:rFonts w:ascii="Book Antiqua" w:eastAsia="等线" w:hAnsi="Book Antiqua" w:cs="Times New Roman"/>
          <w:szCs w:val="24"/>
          <w:lang w:eastAsia="zh-CN"/>
        </w:rPr>
        <w:t xml:space="preserve">, Sato M, Kawabata M, Nakatsuka H, Nakamura K, Takashima S. Hepatic artery embolization in 120 patients with unresectable hepatoma. </w:t>
      </w:r>
      <w:r w:rsidRPr="00840CF8">
        <w:rPr>
          <w:rFonts w:ascii="Book Antiqua" w:eastAsia="等线" w:hAnsi="Book Antiqua" w:cs="Times New Roman"/>
          <w:i/>
          <w:szCs w:val="24"/>
          <w:lang w:eastAsia="zh-CN"/>
        </w:rPr>
        <w:t>Radiology</w:t>
      </w:r>
      <w:r w:rsidRPr="00840CF8">
        <w:rPr>
          <w:rFonts w:ascii="Book Antiqua" w:eastAsia="等线" w:hAnsi="Book Antiqua" w:cs="Times New Roman"/>
          <w:szCs w:val="24"/>
          <w:lang w:eastAsia="zh-CN"/>
        </w:rPr>
        <w:t xml:space="preserve"> 1983; </w:t>
      </w:r>
      <w:r w:rsidRPr="00840CF8">
        <w:rPr>
          <w:rFonts w:ascii="Book Antiqua" w:eastAsia="等线" w:hAnsi="Book Antiqua" w:cs="Times New Roman"/>
          <w:b/>
          <w:szCs w:val="24"/>
          <w:lang w:eastAsia="zh-CN"/>
        </w:rPr>
        <w:t>148</w:t>
      </w:r>
      <w:r w:rsidRPr="00840CF8">
        <w:rPr>
          <w:rFonts w:ascii="Book Antiqua" w:eastAsia="等线" w:hAnsi="Book Antiqua" w:cs="Times New Roman"/>
          <w:szCs w:val="24"/>
          <w:lang w:eastAsia="zh-CN"/>
        </w:rPr>
        <w:t>: 397-401 [PMID: 6306721 DOI: 10.1148/radiology.148.2.6306721]</w:t>
      </w:r>
    </w:p>
    <w:p w14:paraId="392BFC44"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16 </w:t>
      </w:r>
      <w:r w:rsidRPr="00840CF8">
        <w:rPr>
          <w:rFonts w:ascii="Book Antiqua" w:eastAsia="等线" w:hAnsi="Book Antiqua" w:cs="Times New Roman"/>
          <w:b/>
          <w:szCs w:val="24"/>
          <w:lang w:eastAsia="zh-CN"/>
        </w:rPr>
        <w:t>Chapman TR,</w:t>
      </w:r>
      <w:r w:rsidRPr="00840CF8">
        <w:rPr>
          <w:rFonts w:ascii="Book Antiqua" w:eastAsia="等线" w:hAnsi="Book Antiqua" w:cs="Times New Roman"/>
          <w:szCs w:val="24"/>
          <w:lang w:eastAsia="zh-CN"/>
        </w:rPr>
        <w:t xml:space="preserve"> Bowen SR, Schaub SK, Yeung RH, Kwan SW, Park JO, Yu L, Harris WP, Johnson GE, Liou IW. Toward consensus reporting of radiation-induced liver toxicity in the treatment of primary liver malignancies: Defining clinically relevant endpoints. Pract Radi</w:t>
      </w:r>
      <w:r w:rsidR="00B265AA" w:rsidRPr="00840CF8">
        <w:rPr>
          <w:rFonts w:ascii="Book Antiqua" w:eastAsia="等线" w:hAnsi="Book Antiqua" w:cs="Times New Roman"/>
          <w:szCs w:val="24"/>
          <w:lang w:eastAsia="zh-CN"/>
        </w:rPr>
        <w:t>at Oncol 2018; 8: 157-166 [PMID</w:t>
      </w:r>
      <w:r w:rsidR="00B265AA" w:rsidRPr="00840CF8">
        <w:rPr>
          <w:rFonts w:ascii="Book Antiqua" w:eastAsia="等线" w:hAnsi="Book Antiqua" w:cs="Times New Roman" w:hint="eastAsia"/>
          <w:szCs w:val="24"/>
          <w:lang w:eastAsia="zh-CN"/>
        </w:rPr>
        <w:t>:</w:t>
      </w:r>
      <w:r w:rsidRPr="00840CF8">
        <w:rPr>
          <w:rFonts w:ascii="Book Antiqua" w:eastAsia="等线" w:hAnsi="Book Antiqua" w:cs="Times New Roman"/>
          <w:szCs w:val="24"/>
          <w:lang w:eastAsia="zh-CN"/>
        </w:rPr>
        <w:t>29426691 DOI: 10.1016/j.prro.2017.10.013]</w:t>
      </w:r>
    </w:p>
    <w:p w14:paraId="67797FD6"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17 </w:t>
      </w:r>
      <w:r w:rsidRPr="00840CF8">
        <w:rPr>
          <w:rFonts w:ascii="Book Antiqua" w:eastAsia="等线" w:hAnsi="Book Antiqua" w:cs="Times New Roman"/>
          <w:b/>
          <w:szCs w:val="24"/>
          <w:lang w:eastAsia="zh-CN"/>
        </w:rPr>
        <w:t>Culleton S</w:t>
      </w:r>
      <w:r w:rsidRPr="00840CF8">
        <w:rPr>
          <w:rFonts w:ascii="Book Antiqua" w:eastAsia="等线" w:hAnsi="Book Antiqua" w:cs="Times New Roman"/>
          <w:szCs w:val="24"/>
          <w:lang w:eastAsia="zh-CN"/>
        </w:rPr>
        <w:t xml:space="preserve">, Jiang H, Haddad CR, Kim J, Brierley J, Brade A, Ringash J, Dawson LA. Outcomes following definitive stereotactic body radiotherapy for patients with Child-Pugh B or C hepatocellular carcinoma. </w:t>
      </w:r>
      <w:r w:rsidRPr="00840CF8">
        <w:rPr>
          <w:rFonts w:ascii="Book Antiqua" w:eastAsia="等线" w:hAnsi="Book Antiqua" w:cs="Times New Roman"/>
          <w:i/>
          <w:szCs w:val="24"/>
          <w:lang w:eastAsia="zh-CN"/>
        </w:rPr>
        <w:t>Radiother Oncol</w:t>
      </w:r>
      <w:r w:rsidRPr="00840CF8">
        <w:rPr>
          <w:rFonts w:ascii="Book Antiqua" w:eastAsia="等线" w:hAnsi="Book Antiqua" w:cs="Times New Roman"/>
          <w:szCs w:val="24"/>
          <w:lang w:eastAsia="zh-CN"/>
        </w:rPr>
        <w:t xml:space="preserve"> 2014; </w:t>
      </w:r>
      <w:r w:rsidRPr="00840CF8">
        <w:rPr>
          <w:rFonts w:ascii="Book Antiqua" w:eastAsia="等线" w:hAnsi="Book Antiqua" w:cs="Times New Roman"/>
          <w:b/>
          <w:szCs w:val="24"/>
          <w:lang w:eastAsia="zh-CN"/>
        </w:rPr>
        <w:t>111</w:t>
      </w:r>
      <w:r w:rsidRPr="00840CF8">
        <w:rPr>
          <w:rFonts w:ascii="Book Antiqua" w:eastAsia="等线" w:hAnsi="Book Antiqua" w:cs="Times New Roman"/>
          <w:szCs w:val="24"/>
          <w:lang w:eastAsia="zh-CN"/>
        </w:rPr>
        <w:t>: 412-417 [PMID: 24906626 DOI: 10.1016/j.radonc.2014.05.002]</w:t>
      </w:r>
    </w:p>
    <w:p w14:paraId="3B2A2B5B"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18 </w:t>
      </w:r>
      <w:r w:rsidRPr="00840CF8">
        <w:rPr>
          <w:rFonts w:ascii="Book Antiqua" w:eastAsia="等线" w:hAnsi="Book Antiqua" w:cs="Times New Roman"/>
          <w:b/>
          <w:szCs w:val="24"/>
          <w:lang w:eastAsia="zh-CN"/>
        </w:rPr>
        <w:t>Lasley FD</w:t>
      </w:r>
      <w:r w:rsidRPr="00840CF8">
        <w:rPr>
          <w:rFonts w:ascii="Book Antiqua" w:eastAsia="等线" w:hAnsi="Book Antiqua" w:cs="Times New Roman"/>
          <w:szCs w:val="24"/>
          <w:lang w:eastAsia="zh-CN"/>
        </w:rPr>
        <w:t xml:space="preserve">, Mannina EM, Johnson CS, Perkins SM, Althouse S, Maluccio M, Kwo P, Cárdenes H. Treatment variables related to liver toxicity in patients with hepatocellular carcinoma, Child-Pugh class A and B enrolled in a phase 1-2 trial of stereotactic body radiation therapy. </w:t>
      </w:r>
      <w:r w:rsidRPr="00840CF8">
        <w:rPr>
          <w:rFonts w:ascii="Book Antiqua" w:eastAsia="等线" w:hAnsi="Book Antiqua" w:cs="Times New Roman"/>
          <w:i/>
          <w:szCs w:val="24"/>
          <w:lang w:eastAsia="zh-CN"/>
        </w:rPr>
        <w:t>Pract Radiat Oncol</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5</w:t>
      </w:r>
      <w:r w:rsidRPr="00840CF8">
        <w:rPr>
          <w:rFonts w:ascii="Book Antiqua" w:eastAsia="等线" w:hAnsi="Book Antiqua" w:cs="Times New Roman"/>
          <w:szCs w:val="24"/>
          <w:lang w:eastAsia="zh-CN"/>
        </w:rPr>
        <w:t>: e443-e449 [PMID: 25899219 DOI: 10.1016/j.prro.2015.02.007]</w:t>
      </w:r>
    </w:p>
    <w:p w14:paraId="5BCE0A23"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19 </w:t>
      </w:r>
      <w:r w:rsidRPr="00840CF8">
        <w:rPr>
          <w:rFonts w:ascii="Book Antiqua" w:eastAsia="等线" w:hAnsi="Book Antiqua" w:cs="Times New Roman"/>
          <w:b/>
          <w:szCs w:val="24"/>
          <w:lang w:eastAsia="zh-CN"/>
        </w:rPr>
        <w:t>Bujold A</w:t>
      </w:r>
      <w:r w:rsidRPr="00840CF8">
        <w:rPr>
          <w:rFonts w:ascii="Book Antiqua" w:eastAsia="等线" w:hAnsi="Book Antiqua" w:cs="Times New Roman"/>
          <w:szCs w:val="24"/>
          <w:lang w:eastAsia="zh-CN"/>
        </w:rPr>
        <w:t xml:space="preserve">, Massey CA, Kim JJ, Brierley J, Cho C, Wong RK, Dinniwell RE, Kassam Z, Ringash J, Cummings B, Sykes J, Sherman M, Knox JJ, Dawson LA. Sequential phase I and II trials of stereotactic body radiotherapy for locally advanced hepatocellular carcinoma. </w:t>
      </w:r>
      <w:r w:rsidRPr="00840CF8">
        <w:rPr>
          <w:rFonts w:ascii="Book Antiqua" w:eastAsia="等线" w:hAnsi="Book Antiqua" w:cs="Times New Roman"/>
          <w:i/>
          <w:szCs w:val="24"/>
          <w:lang w:eastAsia="zh-CN"/>
        </w:rPr>
        <w:t>J Clin Oncol</w:t>
      </w:r>
      <w:r w:rsidRPr="00840CF8">
        <w:rPr>
          <w:rFonts w:ascii="Book Antiqua" w:eastAsia="等线" w:hAnsi="Book Antiqua" w:cs="Times New Roman"/>
          <w:szCs w:val="24"/>
          <w:lang w:eastAsia="zh-CN"/>
        </w:rPr>
        <w:t xml:space="preserve"> 2013; </w:t>
      </w:r>
      <w:r w:rsidRPr="00840CF8">
        <w:rPr>
          <w:rFonts w:ascii="Book Antiqua" w:eastAsia="等线" w:hAnsi="Book Antiqua" w:cs="Times New Roman"/>
          <w:b/>
          <w:szCs w:val="24"/>
          <w:lang w:eastAsia="zh-CN"/>
        </w:rPr>
        <w:t>31</w:t>
      </w:r>
      <w:r w:rsidRPr="00840CF8">
        <w:rPr>
          <w:rFonts w:ascii="Book Antiqua" w:eastAsia="等线" w:hAnsi="Book Antiqua" w:cs="Times New Roman"/>
          <w:szCs w:val="24"/>
          <w:lang w:eastAsia="zh-CN"/>
        </w:rPr>
        <w:t>: 1631-1639 [PMID: 23547075 DOI: 10.1200/JCO.2012.44.1659]</w:t>
      </w:r>
    </w:p>
    <w:p w14:paraId="0A67D6E1"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20 </w:t>
      </w:r>
      <w:r w:rsidRPr="00840CF8">
        <w:rPr>
          <w:rFonts w:ascii="Book Antiqua" w:eastAsia="等线" w:hAnsi="Book Antiqua" w:cs="Times New Roman"/>
          <w:b/>
          <w:szCs w:val="24"/>
          <w:lang w:eastAsia="zh-CN"/>
        </w:rPr>
        <w:t>Kang JK</w:t>
      </w:r>
      <w:r w:rsidRPr="00840CF8">
        <w:rPr>
          <w:rFonts w:ascii="Book Antiqua" w:eastAsia="等线" w:hAnsi="Book Antiqua" w:cs="Times New Roman"/>
          <w:szCs w:val="24"/>
          <w:lang w:eastAsia="zh-CN"/>
        </w:rPr>
        <w:t xml:space="preserve">, Kim MS, Cho CK, Yang KM, Yoo HJ, Kim JH, Bae SH, Jung DH, Kim KB, Lee DH, Han CJ, Kim J, Park SC, Kim YH. Stereotactic body radiation therapy for inoperable hepatocellular carcinoma as a local salvage treatment after incomplete transarterial chemoembolization. </w:t>
      </w:r>
      <w:r w:rsidRPr="00840CF8">
        <w:rPr>
          <w:rFonts w:ascii="Book Antiqua" w:eastAsia="等线" w:hAnsi="Book Antiqua" w:cs="Times New Roman"/>
          <w:i/>
          <w:szCs w:val="24"/>
          <w:lang w:eastAsia="zh-CN"/>
        </w:rPr>
        <w:t>Cancer</w:t>
      </w:r>
      <w:r w:rsidRPr="00840CF8">
        <w:rPr>
          <w:rFonts w:ascii="Book Antiqua" w:eastAsia="等线" w:hAnsi="Book Antiqua" w:cs="Times New Roman"/>
          <w:szCs w:val="24"/>
          <w:lang w:eastAsia="zh-CN"/>
        </w:rPr>
        <w:t xml:space="preserve"> 2012; </w:t>
      </w:r>
      <w:r w:rsidRPr="00840CF8">
        <w:rPr>
          <w:rFonts w:ascii="Book Antiqua" w:eastAsia="等线" w:hAnsi="Book Antiqua" w:cs="Times New Roman"/>
          <w:b/>
          <w:szCs w:val="24"/>
          <w:lang w:eastAsia="zh-CN"/>
        </w:rPr>
        <w:t>118</w:t>
      </w:r>
      <w:r w:rsidRPr="00840CF8">
        <w:rPr>
          <w:rFonts w:ascii="Book Antiqua" w:eastAsia="等线" w:hAnsi="Book Antiqua" w:cs="Times New Roman"/>
          <w:szCs w:val="24"/>
          <w:lang w:eastAsia="zh-CN"/>
        </w:rPr>
        <w:t>: 5424-5431 [PMID: 22570179 DOI: 10.1002/cncr.27533]</w:t>
      </w:r>
    </w:p>
    <w:p w14:paraId="4CAB3A5F"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21 </w:t>
      </w:r>
      <w:r w:rsidRPr="00840CF8">
        <w:rPr>
          <w:rFonts w:ascii="Book Antiqua" w:eastAsia="等线" w:hAnsi="Book Antiqua" w:cs="Times New Roman"/>
          <w:b/>
          <w:szCs w:val="24"/>
          <w:lang w:eastAsia="zh-CN"/>
        </w:rPr>
        <w:t>Wang X</w:t>
      </w:r>
      <w:r w:rsidRPr="00840CF8">
        <w:rPr>
          <w:rFonts w:ascii="Book Antiqua" w:eastAsia="等线" w:hAnsi="Book Antiqua" w:cs="Times New Roman"/>
          <w:szCs w:val="24"/>
          <w:lang w:eastAsia="zh-CN"/>
        </w:rPr>
        <w:t xml:space="preserve">, Krishnan S, Zhang X, Dong L, Briere T, Crane CH, Martel M, Gillin M, Mohan R, Beddar S. Proton radiotherapy for liver tumors: dosimetric advantages over photon plans. </w:t>
      </w:r>
      <w:r w:rsidRPr="00840CF8">
        <w:rPr>
          <w:rFonts w:ascii="Book Antiqua" w:eastAsia="等线" w:hAnsi="Book Antiqua" w:cs="Times New Roman"/>
          <w:i/>
          <w:szCs w:val="24"/>
          <w:lang w:eastAsia="zh-CN"/>
        </w:rPr>
        <w:t>Med Dosim</w:t>
      </w:r>
      <w:r w:rsidRPr="00840CF8">
        <w:rPr>
          <w:rFonts w:ascii="Book Antiqua" w:eastAsia="等线" w:hAnsi="Book Antiqua" w:cs="Times New Roman"/>
          <w:szCs w:val="24"/>
          <w:lang w:eastAsia="zh-CN"/>
        </w:rPr>
        <w:t xml:space="preserve"> 2008; </w:t>
      </w:r>
      <w:r w:rsidRPr="00840CF8">
        <w:rPr>
          <w:rFonts w:ascii="Book Antiqua" w:eastAsia="等线" w:hAnsi="Book Antiqua" w:cs="Times New Roman"/>
          <w:b/>
          <w:szCs w:val="24"/>
          <w:lang w:eastAsia="zh-CN"/>
        </w:rPr>
        <w:t>33</w:t>
      </w:r>
      <w:r w:rsidRPr="00840CF8">
        <w:rPr>
          <w:rFonts w:ascii="Book Antiqua" w:eastAsia="等线" w:hAnsi="Book Antiqua" w:cs="Times New Roman"/>
          <w:szCs w:val="24"/>
          <w:lang w:eastAsia="zh-CN"/>
        </w:rPr>
        <w:t>: 259-267 [PMID: 18973852 DOI: 10.1016/j.meddos.2007.04.008]</w:t>
      </w:r>
    </w:p>
    <w:p w14:paraId="5FEB3709"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22 </w:t>
      </w:r>
      <w:r w:rsidRPr="00840CF8">
        <w:rPr>
          <w:rFonts w:ascii="Book Antiqua" w:eastAsia="等线" w:hAnsi="Book Antiqua" w:cs="Times New Roman"/>
          <w:b/>
          <w:szCs w:val="24"/>
          <w:lang w:eastAsia="zh-CN"/>
        </w:rPr>
        <w:t>Kim JY</w:t>
      </w:r>
      <w:r w:rsidRPr="00840CF8">
        <w:rPr>
          <w:rFonts w:ascii="Book Antiqua" w:eastAsia="等线" w:hAnsi="Book Antiqua" w:cs="Times New Roman"/>
          <w:szCs w:val="24"/>
          <w:lang w:eastAsia="zh-CN"/>
        </w:rPr>
        <w:t xml:space="preserve">, Lim YK, Kim TH, Cho KH, Choi SH, Jeong H, Kim DW, Park JH, Shin DH, Lee SB, Kim SS, Kim JY, Kim DY, Park JW. Normal liver sparing by proton beam therapy for hepatocellular carcinoma: Comparison with helical intensity modulated radiotherapy and volumetric modulated arc therapy. </w:t>
      </w:r>
      <w:r w:rsidRPr="00840CF8">
        <w:rPr>
          <w:rFonts w:ascii="Book Antiqua" w:eastAsia="等线" w:hAnsi="Book Antiqua" w:cs="Times New Roman"/>
          <w:i/>
          <w:szCs w:val="24"/>
          <w:lang w:eastAsia="zh-CN"/>
        </w:rPr>
        <w:t>Acta Oncol</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54</w:t>
      </w:r>
      <w:r w:rsidRPr="00840CF8">
        <w:rPr>
          <w:rFonts w:ascii="Book Antiqua" w:eastAsia="等线" w:hAnsi="Book Antiqua" w:cs="Times New Roman"/>
          <w:szCs w:val="24"/>
          <w:lang w:eastAsia="zh-CN"/>
        </w:rPr>
        <w:t>: 1827-1832 [PMID: 25765526 DOI: 10.3109/0284186X.2015.1009637]</w:t>
      </w:r>
    </w:p>
    <w:p w14:paraId="5DAB3D05"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23 </w:t>
      </w:r>
      <w:r w:rsidRPr="00840CF8">
        <w:rPr>
          <w:rFonts w:ascii="Book Antiqua" w:eastAsia="等线" w:hAnsi="Book Antiqua" w:cs="Times New Roman"/>
          <w:b/>
          <w:szCs w:val="24"/>
          <w:lang w:eastAsia="zh-CN"/>
        </w:rPr>
        <w:t>Petersen JB</w:t>
      </w:r>
      <w:r w:rsidRPr="00840CF8">
        <w:rPr>
          <w:rFonts w:ascii="Book Antiqua" w:eastAsia="等线" w:hAnsi="Book Antiqua" w:cs="Times New Roman"/>
          <w:szCs w:val="24"/>
          <w:lang w:eastAsia="zh-CN"/>
        </w:rPr>
        <w:t xml:space="preserve">, Lassen Y, Hansen AT, Muren LP, Grau C, Høyer M. Normal liver tissue sparing by intensity-modulated proton stereotactic body radiotherapy for solitary liver tumours. </w:t>
      </w:r>
      <w:r w:rsidRPr="00840CF8">
        <w:rPr>
          <w:rFonts w:ascii="Book Antiqua" w:eastAsia="等线" w:hAnsi="Book Antiqua" w:cs="Times New Roman"/>
          <w:i/>
          <w:szCs w:val="24"/>
          <w:lang w:eastAsia="zh-CN"/>
        </w:rPr>
        <w:t>Acta Oncol</w:t>
      </w:r>
      <w:r w:rsidRPr="00840CF8">
        <w:rPr>
          <w:rFonts w:ascii="Book Antiqua" w:eastAsia="等线" w:hAnsi="Book Antiqua" w:cs="Times New Roman"/>
          <w:szCs w:val="24"/>
          <w:lang w:eastAsia="zh-CN"/>
        </w:rPr>
        <w:t xml:space="preserve"> 2011; </w:t>
      </w:r>
      <w:r w:rsidRPr="00840CF8">
        <w:rPr>
          <w:rFonts w:ascii="Book Antiqua" w:eastAsia="等线" w:hAnsi="Book Antiqua" w:cs="Times New Roman"/>
          <w:b/>
          <w:szCs w:val="24"/>
          <w:lang w:eastAsia="zh-CN"/>
        </w:rPr>
        <w:t>50</w:t>
      </w:r>
      <w:r w:rsidRPr="00840CF8">
        <w:rPr>
          <w:rFonts w:ascii="Book Antiqua" w:eastAsia="等线" w:hAnsi="Book Antiqua" w:cs="Times New Roman"/>
          <w:szCs w:val="24"/>
          <w:lang w:eastAsia="zh-CN"/>
        </w:rPr>
        <w:t>: 823-828 [PMID: 21767180 DOI: 10.3109/0284186X.2011.590526]</w:t>
      </w:r>
    </w:p>
    <w:p w14:paraId="0D50C01C"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24 </w:t>
      </w:r>
      <w:r w:rsidRPr="00840CF8">
        <w:rPr>
          <w:rFonts w:ascii="Book Antiqua" w:eastAsia="等线" w:hAnsi="Book Antiqua" w:cs="Times New Roman"/>
          <w:b/>
          <w:szCs w:val="24"/>
          <w:lang w:eastAsia="zh-CN"/>
        </w:rPr>
        <w:t>Abe T</w:t>
      </w:r>
      <w:r w:rsidRPr="00840CF8">
        <w:rPr>
          <w:rFonts w:ascii="Book Antiqua" w:eastAsia="等线" w:hAnsi="Book Antiqua" w:cs="Times New Roman"/>
          <w:szCs w:val="24"/>
          <w:lang w:eastAsia="zh-CN"/>
        </w:rPr>
        <w:t xml:space="preserve">, Saitoh J, Kobayashi D, Shibuya K, Koyama Y, Shimada H, Shirai K, Ohno T, Nakano T. Dosimetric comparison of carbon ion radiotherapy and stereotactic body radiotherapy with photon beams for the treatment of hepatocellular carcinoma. </w:t>
      </w:r>
      <w:r w:rsidRPr="00840CF8">
        <w:rPr>
          <w:rFonts w:ascii="Book Antiqua" w:eastAsia="等线" w:hAnsi="Book Antiqua" w:cs="Times New Roman"/>
          <w:i/>
          <w:szCs w:val="24"/>
          <w:lang w:eastAsia="zh-CN"/>
        </w:rPr>
        <w:t>Radiat Oncol</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10</w:t>
      </w:r>
      <w:r w:rsidRPr="00840CF8">
        <w:rPr>
          <w:rFonts w:ascii="Book Antiqua" w:eastAsia="等线" w:hAnsi="Book Antiqua" w:cs="Times New Roman"/>
          <w:szCs w:val="24"/>
          <w:lang w:eastAsia="zh-CN"/>
        </w:rPr>
        <w:t>: 187 [PMID: 26377092 DOI: 10.1186/s13014-015-0491-8]</w:t>
      </w:r>
    </w:p>
    <w:p w14:paraId="6DE6BD19"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25 </w:t>
      </w:r>
      <w:r w:rsidRPr="00840CF8">
        <w:rPr>
          <w:rFonts w:ascii="Book Antiqua" w:eastAsia="等线" w:hAnsi="Book Antiqua" w:cs="Times New Roman"/>
          <w:b/>
          <w:szCs w:val="24"/>
          <w:lang w:eastAsia="zh-CN"/>
        </w:rPr>
        <w:t>Levin WP</w:t>
      </w:r>
      <w:r w:rsidRPr="00840CF8">
        <w:rPr>
          <w:rFonts w:ascii="Book Antiqua" w:eastAsia="等线" w:hAnsi="Book Antiqua" w:cs="Times New Roman"/>
          <w:szCs w:val="24"/>
          <w:lang w:eastAsia="zh-CN"/>
        </w:rPr>
        <w:t xml:space="preserve">, Kooy H, Loeffler JS, DeLaney TF. Proton beam therapy. </w:t>
      </w:r>
      <w:r w:rsidRPr="00840CF8">
        <w:rPr>
          <w:rFonts w:ascii="Book Antiqua" w:eastAsia="等线" w:hAnsi="Book Antiqua" w:cs="Times New Roman"/>
          <w:i/>
          <w:szCs w:val="24"/>
          <w:lang w:eastAsia="zh-CN"/>
        </w:rPr>
        <w:t>Br J Cancer</w:t>
      </w:r>
      <w:r w:rsidRPr="00840CF8">
        <w:rPr>
          <w:rFonts w:ascii="Book Antiqua" w:eastAsia="等线" w:hAnsi="Book Antiqua" w:cs="Times New Roman"/>
          <w:szCs w:val="24"/>
          <w:lang w:eastAsia="zh-CN"/>
        </w:rPr>
        <w:t xml:space="preserve"> 2005; </w:t>
      </w:r>
      <w:r w:rsidRPr="00840CF8">
        <w:rPr>
          <w:rFonts w:ascii="Book Antiqua" w:eastAsia="等线" w:hAnsi="Book Antiqua" w:cs="Times New Roman"/>
          <w:b/>
          <w:szCs w:val="24"/>
          <w:lang w:eastAsia="zh-CN"/>
        </w:rPr>
        <w:t>93</w:t>
      </w:r>
      <w:r w:rsidRPr="00840CF8">
        <w:rPr>
          <w:rFonts w:ascii="Book Antiqua" w:eastAsia="等线" w:hAnsi="Book Antiqua" w:cs="Times New Roman"/>
          <w:szCs w:val="24"/>
          <w:lang w:eastAsia="zh-CN"/>
        </w:rPr>
        <w:t>: 849-854 [PMID: 16189526 DOI: 10.1038/sj.bjc.6602754]</w:t>
      </w:r>
    </w:p>
    <w:p w14:paraId="47F15A7F"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26 </w:t>
      </w:r>
      <w:r w:rsidRPr="00840CF8">
        <w:rPr>
          <w:rFonts w:ascii="Book Antiqua" w:eastAsia="等线" w:hAnsi="Book Antiqua" w:cs="Times New Roman"/>
          <w:b/>
          <w:szCs w:val="24"/>
          <w:lang w:eastAsia="zh-CN"/>
        </w:rPr>
        <w:t>Fossati P</w:t>
      </w:r>
      <w:r w:rsidRPr="00840CF8">
        <w:rPr>
          <w:rFonts w:ascii="Book Antiqua" w:eastAsia="等线" w:hAnsi="Book Antiqua" w:cs="Times New Roman"/>
          <w:szCs w:val="24"/>
          <w:lang w:eastAsia="zh-CN"/>
        </w:rPr>
        <w:t xml:space="preserve">, Matsufuji N, Kamada T, Karger CP. Radiobiological issues in prospective carbon ion therapy trials. </w:t>
      </w:r>
      <w:r w:rsidRPr="00840CF8">
        <w:rPr>
          <w:rFonts w:ascii="Book Antiqua" w:eastAsia="等线" w:hAnsi="Book Antiqua" w:cs="Times New Roman"/>
          <w:i/>
          <w:szCs w:val="24"/>
          <w:lang w:eastAsia="zh-CN"/>
        </w:rPr>
        <w:t>Med Phys</w:t>
      </w:r>
      <w:r w:rsidRPr="00840CF8">
        <w:rPr>
          <w:rFonts w:ascii="Book Antiqua" w:eastAsia="等线" w:hAnsi="Book Antiqua" w:cs="Times New Roman"/>
          <w:szCs w:val="24"/>
          <w:lang w:eastAsia="zh-CN"/>
        </w:rPr>
        <w:t xml:space="preserve"> 2018; </w:t>
      </w:r>
      <w:r w:rsidRPr="00840CF8">
        <w:rPr>
          <w:rFonts w:ascii="Book Antiqua" w:eastAsia="等线" w:hAnsi="Book Antiqua" w:cs="Times New Roman"/>
          <w:b/>
          <w:szCs w:val="24"/>
          <w:lang w:eastAsia="zh-CN"/>
        </w:rPr>
        <w:t>45</w:t>
      </w:r>
      <w:r w:rsidRPr="00840CF8">
        <w:rPr>
          <w:rFonts w:ascii="Book Antiqua" w:eastAsia="等线" w:hAnsi="Book Antiqua" w:cs="Times New Roman"/>
          <w:szCs w:val="24"/>
          <w:lang w:eastAsia="zh-CN"/>
        </w:rPr>
        <w:t>: e1096-e1110 [PMID: 30421806 DOI: 10.1002/mp.12506]</w:t>
      </w:r>
    </w:p>
    <w:p w14:paraId="1129A211"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27 </w:t>
      </w:r>
      <w:r w:rsidRPr="00840CF8">
        <w:rPr>
          <w:rFonts w:ascii="Book Antiqua" w:eastAsia="等线" w:hAnsi="Book Antiqua" w:cs="Times New Roman"/>
          <w:b/>
          <w:szCs w:val="24"/>
          <w:lang w:eastAsia="zh-CN"/>
        </w:rPr>
        <w:t>Toramatsu C</w:t>
      </w:r>
      <w:r w:rsidRPr="00840CF8">
        <w:rPr>
          <w:rFonts w:ascii="Book Antiqua" w:eastAsia="等线" w:hAnsi="Book Antiqua" w:cs="Times New Roman"/>
          <w:szCs w:val="24"/>
          <w:lang w:eastAsia="zh-CN"/>
        </w:rPr>
        <w:t xml:space="preserve">, Katoh N, Shimizu S, Nihongi H, Matsuura T, Takao S, Miyamoto N, Suzuki R, Sutherland K, Kinoshita R, Onimaru R, Ishikawa M, Umegaki K, Shirato H. What is the appropriate size criterion for proton radiotherapy for hepatocellular carcinoma? A dosimetric comparison of spot-scanning proton therapy versus intensity-modulated radiation therapy. </w:t>
      </w:r>
      <w:r w:rsidRPr="00840CF8">
        <w:rPr>
          <w:rFonts w:ascii="Book Antiqua" w:eastAsia="等线" w:hAnsi="Book Antiqua" w:cs="Times New Roman"/>
          <w:i/>
          <w:szCs w:val="24"/>
          <w:lang w:eastAsia="zh-CN"/>
        </w:rPr>
        <w:t>Radiat Oncol</w:t>
      </w:r>
      <w:r w:rsidRPr="00840CF8">
        <w:rPr>
          <w:rFonts w:ascii="Book Antiqua" w:eastAsia="等线" w:hAnsi="Book Antiqua" w:cs="Times New Roman"/>
          <w:szCs w:val="24"/>
          <w:lang w:eastAsia="zh-CN"/>
        </w:rPr>
        <w:t xml:space="preserve"> 2013; </w:t>
      </w:r>
      <w:r w:rsidRPr="00840CF8">
        <w:rPr>
          <w:rFonts w:ascii="Book Antiqua" w:eastAsia="等线" w:hAnsi="Book Antiqua" w:cs="Times New Roman"/>
          <w:b/>
          <w:szCs w:val="24"/>
          <w:lang w:eastAsia="zh-CN"/>
        </w:rPr>
        <w:t>8</w:t>
      </w:r>
      <w:r w:rsidRPr="00840CF8">
        <w:rPr>
          <w:rFonts w:ascii="Book Antiqua" w:eastAsia="等线" w:hAnsi="Book Antiqua" w:cs="Times New Roman"/>
          <w:szCs w:val="24"/>
          <w:lang w:eastAsia="zh-CN"/>
        </w:rPr>
        <w:t>: 48 [PMID: 23497543 DOI: 10.1186/1748-717X-8-48]</w:t>
      </w:r>
    </w:p>
    <w:p w14:paraId="053B172F"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28 </w:t>
      </w:r>
      <w:r w:rsidRPr="00840CF8">
        <w:rPr>
          <w:rFonts w:ascii="Book Antiqua" w:eastAsia="等线" w:hAnsi="Book Antiqua" w:cs="Times New Roman"/>
          <w:b/>
          <w:szCs w:val="24"/>
          <w:lang w:eastAsia="zh-CN"/>
        </w:rPr>
        <w:t>Gandhi SJ</w:t>
      </w:r>
      <w:r w:rsidRPr="00840CF8">
        <w:rPr>
          <w:rFonts w:ascii="Book Antiqua" w:eastAsia="等线" w:hAnsi="Book Antiqua" w:cs="Times New Roman"/>
          <w:szCs w:val="24"/>
          <w:lang w:eastAsia="zh-CN"/>
        </w:rPr>
        <w:t xml:space="preserve">, Liang X, Ding X, Zhu TC, Ben-Josef E, Plastaras JP, Metz JM, Both S, Apisarnthanarax S. Clinical decision tool for optimal delivery of liver stereotactic body radiation therapy: Photons versus protons. </w:t>
      </w:r>
      <w:r w:rsidRPr="00840CF8">
        <w:rPr>
          <w:rFonts w:ascii="Book Antiqua" w:eastAsia="等线" w:hAnsi="Book Antiqua" w:cs="Times New Roman"/>
          <w:i/>
          <w:szCs w:val="24"/>
          <w:lang w:eastAsia="zh-CN"/>
        </w:rPr>
        <w:t>Pract Radiat Oncol</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5</w:t>
      </w:r>
      <w:r w:rsidRPr="00840CF8">
        <w:rPr>
          <w:rFonts w:ascii="Book Antiqua" w:eastAsia="等线" w:hAnsi="Book Antiqua" w:cs="Times New Roman"/>
          <w:szCs w:val="24"/>
          <w:lang w:eastAsia="zh-CN"/>
        </w:rPr>
        <w:t>: 209-218 [PMID: 25703530 DOI: 10.1016/j.prro.2015.01.004]</w:t>
      </w:r>
    </w:p>
    <w:p w14:paraId="46F5119C"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29 </w:t>
      </w:r>
      <w:r w:rsidRPr="00840CF8">
        <w:rPr>
          <w:rFonts w:ascii="Book Antiqua" w:eastAsia="等线" w:hAnsi="Book Antiqua" w:cs="Times New Roman"/>
          <w:b/>
          <w:szCs w:val="24"/>
          <w:lang w:eastAsia="zh-CN"/>
        </w:rPr>
        <w:t>Krämer M</w:t>
      </w:r>
      <w:r w:rsidRPr="00840CF8">
        <w:rPr>
          <w:rFonts w:ascii="Book Antiqua" w:eastAsia="等线" w:hAnsi="Book Antiqua" w:cs="Times New Roman"/>
          <w:szCs w:val="24"/>
          <w:lang w:eastAsia="zh-CN"/>
        </w:rPr>
        <w:t xml:space="preserve">, Scholz M. Treatment planning for heavy-ion radiotherapy: calculation and optimization of biologically effective dose. </w:t>
      </w:r>
      <w:r w:rsidRPr="00840CF8">
        <w:rPr>
          <w:rFonts w:ascii="Book Antiqua" w:eastAsia="等线" w:hAnsi="Book Antiqua" w:cs="Times New Roman"/>
          <w:i/>
          <w:szCs w:val="24"/>
          <w:lang w:eastAsia="zh-CN"/>
        </w:rPr>
        <w:t>Phys Med Biol</w:t>
      </w:r>
      <w:r w:rsidRPr="00840CF8">
        <w:rPr>
          <w:rFonts w:ascii="Book Antiqua" w:eastAsia="等线" w:hAnsi="Book Antiqua" w:cs="Times New Roman"/>
          <w:szCs w:val="24"/>
          <w:lang w:eastAsia="zh-CN"/>
        </w:rPr>
        <w:t xml:space="preserve"> 2000; </w:t>
      </w:r>
      <w:r w:rsidRPr="00840CF8">
        <w:rPr>
          <w:rFonts w:ascii="Book Antiqua" w:eastAsia="等线" w:hAnsi="Book Antiqua" w:cs="Times New Roman"/>
          <w:b/>
          <w:szCs w:val="24"/>
          <w:lang w:eastAsia="zh-CN"/>
        </w:rPr>
        <w:t>45</w:t>
      </w:r>
      <w:r w:rsidRPr="00840CF8">
        <w:rPr>
          <w:rFonts w:ascii="Book Antiqua" w:eastAsia="等线" w:hAnsi="Book Antiqua" w:cs="Times New Roman"/>
          <w:szCs w:val="24"/>
          <w:lang w:eastAsia="zh-CN"/>
        </w:rPr>
        <w:t>: 3319-3330 [PMID: 11098906]</w:t>
      </w:r>
    </w:p>
    <w:p w14:paraId="42B1559A"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30 </w:t>
      </w:r>
      <w:r w:rsidRPr="00840CF8">
        <w:rPr>
          <w:rFonts w:ascii="Book Antiqua" w:eastAsia="等线" w:hAnsi="Book Antiqua" w:cs="Times New Roman"/>
          <w:b/>
          <w:szCs w:val="24"/>
          <w:lang w:eastAsia="zh-CN"/>
        </w:rPr>
        <w:t>Paganetti H</w:t>
      </w:r>
      <w:r w:rsidRPr="00840CF8">
        <w:rPr>
          <w:rFonts w:ascii="Book Antiqua" w:eastAsia="等线" w:hAnsi="Book Antiqua" w:cs="Times New Roman"/>
          <w:szCs w:val="24"/>
          <w:lang w:eastAsia="zh-CN"/>
        </w:rPr>
        <w:t xml:space="preserve">, Blakely E, Carabe-Fernandez A, Carlson DJ, Das IJ, Dong L, Grosshans D, Held KD, Mohan R, Moiseenko V, Niemierko A, Stewart RD, Willers H. Report of the AAPM TG-256 on the relative biological effectiveness of proton beams in radiation therapy. </w:t>
      </w:r>
      <w:r w:rsidRPr="00840CF8">
        <w:rPr>
          <w:rFonts w:ascii="Book Antiqua" w:eastAsia="等线" w:hAnsi="Book Antiqua" w:cs="Times New Roman"/>
          <w:i/>
          <w:szCs w:val="24"/>
          <w:lang w:eastAsia="zh-CN"/>
        </w:rPr>
        <w:t>Med Phys</w:t>
      </w:r>
      <w:r w:rsidRPr="00840CF8">
        <w:rPr>
          <w:rFonts w:ascii="Book Antiqua" w:eastAsia="等线" w:hAnsi="Book Antiqua" w:cs="Times New Roman"/>
          <w:szCs w:val="24"/>
          <w:lang w:eastAsia="zh-CN"/>
        </w:rPr>
        <w:t xml:space="preserve"> 2019; </w:t>
      </w:r>
      <w:r w:rsidRPr="00840CF8">
        <w:rPr>
          <w:rFonts w:ascii="Book Antiqua" w:eastAsia="等线" w:hAnsi="Book Antiqua" w:cs="Times New Roman"/>
          <w:b/>
          <w:szCs w:val="24"/>
          <w:lang w:eastAsia="zh-CN"/>
        </w:rPr>
        <w:t>46</w:t>
      </w:r>
      <w:r w:rsidRPr="00840CF8">
        <w:rPr>
          <w:rFonts w:ascii="Book Antiqua" w:eastAsia="等线" w:hAnsi="Book Antiqua" w:cs="Times New Roman"/>
          <w:szCs w:val="24"/>
          <w:lang w:eastAsia="zh-CN"/>
        </w:rPr>
        <w:t>: e53-e78 [PMID: 30661238 DOI: 10.1002/mp.13390]</w:t>
      </w:r>
    </w:p>
    <w:p w14:paraId="282DDD2C"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31 </w:t>
      </w:r>
      <w:r w:rsidRPr="00840CF8">
        <w:rPr>
          <w:rFonts w:ascii="Book Antiqua" w:eastAsia="等线" w:hAnsi="Book Antiqua" w:cs="Times New Roman"/>
          <w:b/>
          <w:szCs w:val="24"/>
          <w:lang w:eastAsia="zh-CN"/>
        </w:rPr>
        <w:t>Tinganelli W</w:t>
      </w:r>
      <w:r w:rsidRPr="00840CF8">
        <w:rPr>
          <w:rFonts w:ascii="Book Antiqua" w:eastAsia="等线" w:hAnsi="Book Antiqua" w:cs="Times New Roman"/>
          <w:szCs w:val="24"/>
          <w:lang w:eastAsia="zh-CN"/>
        </w:rPr>
        <w:t xml:space="preserve">, Durante M, Hirayama R, Krämer M, Maier A, Kraft-Weyrather W, Furusawa Y, Friedrich T, Scifoni E. Kill-painting of hypoxic tumours in charged particle therapy. </w:t>
      </w:r>
      <w:r w:rsidRPr="00840CF8">
        <w:rPr>
          <w:rFonts w:ascii="Book Antiqua" w:eastAsia="等线" w:hAnsi="Book Antiqua" w:cs="Times New Roman"/>
          <w:i/>
          <w:szCs w:val="24"/>
          <w:lang w:eastAsia="zh-CN"/>
        </w:rPr>
        <w:t>Sci Rep</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5</w:t>
      </w:r>
      <w:r w:rsidRPr="00840CF8">
        <w:rPr>
          <w:rFonts w:ascii="Book Antiqua" w:eastAsia="等线" w:hAnsi="Book Antiqua" w:cs="Times New Roman"/>
          <w:szCs w:val="24"/>
          <w:lang w:eastAsia="zh-CN"/>
        </w:rPr>
        <w:t>: 17016 [PMID: 26596243 DOI: 10.1038/srep17016]</w:t>
      </w:r>
    </w:p>
    <w:p w14:paraId="028AADDD"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32 </w:t>
      </w:r>
      <w:r w:rsidRPr="00840CF8">
        <w:rPr>
          <w:rFonts w:ascii="Book Antiqua" w:eastAsia="等线" w:hAnsi="Book Antiqua" w:cs="Times New Roman"/>
          <w:b/>
          <w:szCs w:val="24"/>
          <w:lang w:eastAsia="zh-CN"/>
        </w:rPr>
        <w:t>Dionisi F</w:t>
      </w:r>
      <w:r w:rsidRPr="00840CF8">
        <w:rPr>
          <w:rFonts w:ascii="Book Antiqua" w:eastAsia="等线" w:hAnsi="Book Antiqua" w:cs="Times New Roman"/>
          <w:szCs w:val="24"/>
          <w:lang w:eastAsia="zh-CN"/>
        </w:rPr>
        <w:t xml:space="preserve">, Ben-Josef E. The use of proton therapy in the treatment of gastrointestinal cancers: liver. </w:t>
      </w:r>
      <w:r w:rsidRPr="00840CF8">
        <w:rPr>
          <w:rFonts w:ascii="Book Antiqua" w:eastAsia="等线" w:hAnsi="Book Antiqua" w:cs="Times New Roman"/>
          <w:i/>
          <w:szCs w:val="24"/>
          <w:lang w:eastAsia="zh-CN"/>
        </w:rPr>
        <w:t>Cancer J</w:t>
      </w:r>
      <w:r w:rsidRPr="00840CF8">
        <w:rPr>
          <w:rFonts w:ascii="Book Antiqua" w:eastAsia="等线" w:hAnsi="Book Antiqua" w:cs="Times New Roman"/>
          <w:szCs w:val="24"/>
          <w:lang w:eastAsia="zh-CN"/>
        </w:rPr>
        <w:t xml:space="preserve"> 2014; </w:t>
      </w:r>
      <w:r w:rsidRPr="00840CF8">
        <w:rPr>
          <w:rFonts w:ascii="Book Antiqua" w:eastAsia="等线" w:hAnsi="Book Antiqua" w:cs="Times New Roman"/>
          <w:b/>
          <w:szCs w:val="24"/>
          <w:lang w:eastAsia="zh-CN"/>
        </w:rPr>
        <w:t>20</w:t>
      </w:r>
      <w:r w:rsidRPr="00840CF8">
        <w:rPr>
          <w:rFonts w:ascii="Book Antiqua" w:eastAsia="等线" w:hAnsi="Book Antiqua" w:cs="Times New Roman"/>
          <w:szCs w:val="24"/>
          <w:lang w:eastAsia="zh-CN"/>
        </w:rPr>
        <w:t>: 371-377 [PMID: 25415681 DOI: 10.1097/PPO.0000000000000082]</w:t>
      </w:r>
    </w:p>
    <w:p w14:paraId="1D3CB8B3"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33 </w:t>
      </w:r>
      <w:r w:rsidRPr="00840CF8">
        <w:rPr>
          <w:rFonts w:ascii="Book Antiqua" w:eastAsia="等线" w:hAnsi="Book Antiqua" w:cs="Times New Roman"/>
          <w:b/>
          <w:szCs w:val="24"/>
          <w:lang w:eastAsia="zh-CN"/>
        </w:rPr>
        <w:t>Dionisi F</w:t>
      </w:r>
      <w:r w:rsidRPr="00840CF8">
        <w:rPr>
          <w:rFonts w:ascii="Book Antiqua" w:eastAsia="等线" w:hAnsi="Book Antiqua" w:cs="Times New Roman"/>
          <w:szCs w:val="24"/>
          <w:lang w:eastAsia="zh-CN"/>
        </w:rPr>
        <w:t xml:space="preserve">, Widesott L, Lorentini S, Amichetti M. Is there a role for proton therapy in the treatment of hepatocellular carcinoma? A systematic review. </w:t>
      </w:r>
      <w:r w:rsidRPr="00840CF8">
        <w:rPr>
          <w:rFonts w:ascii="Book Antiqua" w:eastAsia="等线" w:hAnsi="Book Antiqua" w:cs="Times New Roman"/>
          <w:i/>
          <w:szCs w:val="24"/>
          <w:lang w:eastAsia="zh-CN"/>
        </w:rPr>
        <w:t>Radiother Oncol</w:t>
      </w:r>
      <w:r w:rsidRPr="00840CF8">
        <w:rPr>
          <w:rFonts w:ascii="Book Antiqua" w:eastAsia="等线" w:hAnsi="Book Antiqua" w:cs="Times New Roman"/>
          <w:szCs w:val="24"/>
          <w:lang w:eastAsia="zh-CN"/>
        </w:rPr>
        <w:t xml:space="preserve"> 2014; </w:t>
      </w:r>
      <w:r w:rsidRPr="00840CF8">
        <w:rPr>
          <w:rFonts w:ascii="Book Antiqua" w:eastAsia="等线" w:hAnsi="Book Antiqua" w:cs="Times New Roman"/>
          <w:b/>
          <w:szCs w:val="24"/>
          <w:lang w:eastAsia="zh-CN"/>
        </w:rPr>
        <w:t>111</w:t>
      </w:r>
      <w:r w:rsidRPr="00840CF8">
        <w:rPr>
          <w:rFonts w:ascii="Book Antiqua" w:eastAsia="等线" w:hAnsi="Book Antiqua" w:cs="Times New Roman"/>
          <w:szCs w:val="24"/>
          <w:lang w:eastAsia="zh-CN"/>
        </w:rPr>
        <w:t>: 1-10 [PMID: 24560761 DOI: 10.1016/j.radonc.2014.02.001]</w:t>
      </w:r>
    </w:p>
    <w:p w14:paraId="3D867476"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34 </w:t>
      </w:r>
      <w:r w:rsidRPr="00840CF8">
        <w:rPr>
          <w:rFonts w:ascii="Book Antiqua" w:eastAsia="等线" w:hAnsi="Book Antiqua" w:cs="Times New Roman"/>
          <w:b/>
          <w:szCs w:val="24"/>
          <w:lang w:eastAsia="zh-CN"/>
        </w:rPr>
        <w:t>Mizumoto M</w:t>
      </w:r>
      <w:r w:rsidRPr="00840CF8">
        <w:rPr>
          <w:rFonts w:ascii="Book Antiqua" w:eastAsia="等线" w:hAnsi="Book Antiqua" w:cs="Times New Roman"/>
          <w:szCs w:val="24"/>
          <w:lang w:eastAsia="zh-CN"/>
        </w:rPr>
        <w:t xml:space="preserve">, Okumura T, Hashimoto T, Fukuda K, Oshiro Y, Fukumitsu N, Abei M, Kawaguchi A, Hayashi Y, Ookawa A, Hashii H, Kanemoto A, Moritake T, Tohno E, Tsuboi K, Sakae T, Sakurai H. Proton beam therapy for hepatocellular carcinoma: a comparison of three treatment protocols. </w:t>
      </w:r>
      <w:r w:rsidRPr="00840CF8">
        <w:rPr>
          <w:rFonts w:ascii="Book Antiqua" w:eastAsia="等线" w:hAnsi="Book Antiqua" w:cs="Times New Roman"/>
          <w:i/>
          <w:szCs w:val="24"/>
          <w:lang w:eastAsia="zh-CN"/>
        </w:rPr>
        <w:t>Int J Radiat Oncol Biol Phys</w:t>
      </w:r>
      <w:r w:rsidRPr="00840CF8">
        <w:rPr>
          <w:rFonts w:ascii="Book Antiqua" w:eastAsia="等线" w:hAnsi="Book Antiqua" w:cs="Times New Roman"/>
          <w:szCs w:val="24"/>
          <w:lang w:eastAsia="zh-CN"/>
        </w:rPr>
        <w:t xml:space="preserve"> 2011; </w:t>
      </w:r>
      <w:r w:rsidRPr="00840CF8">
        <w:rPr>
          <w:rFonts w:ascii="Book Antiqua" w:eastAsia="等线" w:hAnsi="Book Antiqua" w:cs="Times New Roman"/>
          <w:b/>
          <w:szCs w:val="24"/>
          <w:lang w:eastAsia="zh-CN"/>
        </w:rPr>
        <w:t>81</w:t>
      </w:r>
      <w:r w:rsidRPr="00840CF8">
        <w:rPr>
          <w:rFonts w:ascii="Book Antiqua" w:eastAsia="等线" w:hAnsi="Book Antiqua" w:cs="Times New Roman"/>
          <w:szCs w:val="24"/>
          <w:lang w:eastAsia="zh-CN"/>
        </w:rPr>
        <w:t>: 1039-1045 [PMID: 20888707 DOI: 10.1016/j.ijrobp.2010.07.015]</w:t>
      </w:r>
    </w:p>
    <w:p w14:paraId="6A2E9DA5"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35 </w:t>
      </w:r>
      <w:r w:rsidRPr="00840CF8">
        <w:rPr>
          <w:rFonts w:ascii="Book Antiqua" w:eastAsia="等线" w:hAnsi="Book Antiqua" w:cs="Times New Roman"/>
          <w:b/>
          <w:szCs w:val="24"/>
          <w:lang w:eastAsia="zh-CN"/>
        </w:rPr>
        <w:t>Mizumoto M</w:t>
      </w:r>
      <w:r w:rsidRPr="00840CF8">
        <w:rPr>
          <w:rFonts w:ascii="Book Antiqua" w:eastAsia="等线" w:hAnsi="Book Antiqua" w:cs="Times New Roman"/>
          <w:szCs w:val="24"/>
          <w:lang w:eastAsia="zh-CN"/>
        </w:rPr>
        <w:t xml:space="preserve">, Tokuuye K, Sugahara S, Nakayama H, Fukumitsu N, Ohara K, Abei M, Shoda J, Tohno E, Minami M. Proton beam therapy for hepatocellular carcinoma adjacent to the porta hepatis. </w:t>
      </w:r>
      <w:r w:rsidRPr="00840CF8">
        <w:rPr>
          <w:rFonts w:ascii="Book Antiqua" w:eastAsia="等线" w:hAnsi="Book Antiqua" w:cs="Times New Roman"/>
          <w:i/>
          <w:szCs w:val="24"/>
          <w:lang w:eastAsia="zh-CN"/>
        </w:rPr>
        <w:t>Int J Radiat Oncol Biol Phys</w:t>
      </w:r>
      <w:r w:rsidRPr="00840CF8">
        <w:rPr>
          <w:rFonts w:ascii="Book Antiqua" w:eastAsia="等线" w:hAnsi="Book Antiqua" w:cs="Times New Roman"/>
          <w:szCs w:val="24"/>
          <w:lang w:eastAsia="zh-CN"/>
        </w:rPr>
        <w:t xml:space="preserve"> 2008; </w:t>
      </w:r>
      <w:r w:rsidRPr="00840CF8">
        <w:rPr>
          <w:rFonts w:ascii="Book Antiqua" w:eastAsia="等线" w:hAnsi="Book Antiqua" w:cs="Times New Roman"/>
          <w:b/>
          <w:szCs w:val="24"/>
          <w:lang w:eastAsia="zh-CN"/>
        </w:rPr>
        <w:t>71</w:t>
      </w:r>
      <w:r w:rsidRPr="00840CF8">
        <w:rPr>
          <w:rFonts w:ascii="Book Antiqua" w:eastAsia="等线" w:hAnsi="Book Antiqua" w:cs="Times New Roman"/>
          <w:szCs w:val="24"/>
          <w:lang w:eastAsia="zh-CN"/>
        </w:rPr>
        <w:t>: 462-467 [PMID: 18243571 DOI: 10.1016/j.ijrobp.2007.09.056]</w:t>
      </w:r>
    </w:p>
    <w:p w14:paraId="1962A76C"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36 </w:t>
      </w:r>
      <w:r w:rsidRPr="00840CF8">
        <w:rPr>
          <w:rFonts w:ascii="Book Antiqua" w:eastAsia="等线" w:hAnsi="Book Antiqua" w:cs="Times New Roman"/>
          <w:b/>
          <w:szCs w:val="24"/>
          <w:lang w:eastAsia="zh-CN"/>
        </w:rPr>
        <w:t>Nakayama H</w:t>
      </w:r>
      <w:r w:rsidRPr="00840CF8">
        <w:rPr>
          <w:rFonts w:ascii="Book Antiqua" w:eastAsia="等线" w:hAnsi="Book Antiqua" w:cs="Times New Roman"/>
          <w:szCs w:val="24"/>
          <w:lang w:eastAsia="zh-CN"/>
        </w:rPr>
        <w:t xml:space="preserve">, Sugahara S, Fukuda K, Abei M, Shoda J, Sakurai H, Tsuboi K, Matsuzaki Y, Tokuuye K. Proton beam therapy for hepatocellular carcinoma located adjacent to the alimentary tract. </w:t>
      </w:r>
      <w:r w:rsidRPr="00840CF8">
        <w:rPr>
          <w:rFonts w:ascii="Book Antiqua" w:eastAsia="等线" w:hAnsi="Book Antiqua" w:cs="Times New Roman"/>
          <w:i/>
          <w:szCs w:val="24"/>
          <w:lang w:eastAsia="zh-CN"/>
        </w:rPr>
        <w:t>Int J Radiat Oncol Biol Phys</w:t>
      </w:r>
      <w:r w:rsidRPr="00840CF8">
        <w:rPr>
          <w:rFonts w:ascii="Book Antiqua" w:eastAsia="等线" w:hAnsi="Book Antiqua" w:cs="Times New Roman"/>
          <w:szCs w:val="24"/>
          <w:lang w:eastAsia="zh-CN"/>
        </w:rPr>
        <w:t xml:space="preserve"> 2011; </w:t>
      </w:r>
      <w:r w:rsidRPr="00840CF8">
        <w:rPr>
          <w:rFonts w:ascii="Book Antiqua" w:eastAsia="等线" w:hAnsi="Book Antiqua" w:cs="Times New Roman"/>
          <w:b/>
          <w:szCs w:val="24"/>
          <w:lang w:eastAsia="zh-CN"/>
        </w:rPr>
        <w:t>80</w:t>
      </w:r>
      <w:r w:rsidRPr="00840CF8">
        <w:rPr>
          <w:rFonts w:ascii="Book Antiqua" w:eastAsia="等线" w:hAnsi="Book Antiqua" w:cs="Times New Roman"/>
          <w:szCs w:val="24"/>
          <w:lang w:eastAsia="zh-CN"/>
        </w:rPr>
        <w:t>: 992-995 [PMID: 21543162 DOI: 10.1016/j.ijrobp.2010.03.015]</w:t>
      </w:r>
    </w:p>
    <w:p w14:paraId="78BDA3F6"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37 </w:t>
      </w:r>
      <w:r w:rsidRPr="00840CF8">
        <w:rPr>
          <w:rFonts w:ascii="Book Antiqua" w:eastAsia="等线" w:hAnsi="Book Antiqua" w:cs="Times New Roman"/>
          <w:b/>
          <w:szCs w:val="24"/>
          <w:lang w:eastAsia="zh-CN"/>
        </w:rPr>
        <w:t>Nakayama H</w:t>
      </w:r>
      <w:r w:rsidRPr="00840CF8">
        <w:rPr>
          <w:rFonts w:ascii="Book Antiqua" w:eastAsia="等线" w:hAnsi="Book Antiqua" w:cs="Times New Roman"/>
          <w:szCs w:val="24"/>
          <w:lang w:eastAsia="zh-CN"/>
        </w:rPr>
        <w:t xml:space="preserve">, Sugahara S, Tokita M, Fukuda K, Mizumoto M, Abei M, Shoda J, Sakurai H, Tsuboi K, Tokuuye K. Proton beam therapy for hepatocellular carcinoma: the University of Tsukuba experience. </w:t>
      </w:r>
      <w:r w:rsidRPr="00840CF8">
        <w:rPr>
          <w:rFonts w:ascii="Book Antiqua" w:eastAsia="等线" w:hAnsi="Book Antiqua" w:cs="Times New Roman"/>
          <w:i/>
          <w:szCs w:val="24"/>
          <w:lang w:eastAsia="zh-CN"/>
        </w:rPr>
        <w:t>Cancer</w:t>
      </w:r>
      <w:r w:rsidRPr="00840CF8">
        <w:rPr>
          <w:rFonts w:ascii="Book Antiqua" w:eastAsia="等线" w:hAnsi="Book Antiqua" w:cs="Times New Roman"/>
          <w:szCs w:val="24"/>
          <w:lang w:eastAsia="zh-CN"/>
        </w:rPr>
        <w:t xml:space="preserve"> 2009; </w:t>
      </w:r>
      <w:r w:rsidRPr="00840CF8">
        <w:rPr>
          <w:rFonts w:ascii="Book Antiqua" w:eastAsia="等线" w:hAnsi="Book Antiqua" w:cs="Times New Roman"/>
          <w:b/>
          <w:szCs w:val="24"/>
          <w:lang w:eastAsia="zh-CN"/>
        </w:rPr>
        <w:t>115</w:t>
      </w:r>
      <w:r w:rsidRPr="00840CF8">
        <w:rPr>
          <w:rFonts w:ascii="Book Antiqua" w:eastAsia="等线" w:hAnsi="Book Antiqua" w:cs="Times New Roman"/>
          <w:szCs w:val="24"/>
          <w:lang w:eastAsia="zh-CN"/>
        </w:rPr>
        <w:t>: 5499-5506 [PMID: 19645024 DOI: 10.1002/cncr.24619]</w:t>
      </w:r>
    </w:p>
    <w:p w14:paraId="1E480A62"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38 </w:t>
      </w:r>
      <w:r w:rsidRPr="00840CF8">
        <w:rPr>
          <w:rFonts w:ascii="Book Antiqua" w:eastAsia="等线" w:hAnsi="Book Antiqua" w:cs="Times New Roman"/>
          <w:b/>
          <w:szCs w:val="24"/>
          <w:lang w:eastAsia="zh-CN"/>
        </w:rPr>
        <w:t>Shibuya K</w:t>
      </w:r>
      <w:r w:rsidRPr="00840CF8">
        <w:rPr>
          <w:rFonts w:ascii="Book Antiqua" w:eastAsia="等线" w:hAnsi="Book Antiqua" w:cs="Times New Roman"/>
          <w:szCs w:val="24"/>
          <w:lang w:eastAsia="zh-CN"/>
        </w:rPr>
        <w:t xml:space="preserve">, Ohno T, Terashima K, Toyama S, Yasuda S, Tsuji H, Okimoto T, Shioyama Y, Nemoto K, Kamada T, Nakano T; Japan Carbon Ion Radiotherapy Study Group. Short-course carbon-ion radiotherapy for hepatocellular carcinoma: A multi-institutional retrospective study. </w:t>
      </w:r>
      <w:r w:rsidRPr="00840CF8">
        <w:rPr>
          <w:rFonts w:ascii="Book Antiqua" w:eastAsia="等线" w:hAnsi="Book Antiqua" w:cs="Times New Roman"/>
          <w:i/>
          <w:szCs w:val="24"/>
          <w:lang w:eastAsia="zh-CN"/>
        </w:rPr>
        <w:t>Liver Int</w:t>
      </w:r>
      <w:r w:rsidRPr="00840CF8">
        <w:rPr>
          <w:rFonts w:ascii="Book Antiqua" w:eastAsia="等线" w:hAnsi="Book Antiqua" w:cs="Times New Roman"/>
          <w:szCs w:val="24"/>
          <w:lang w:eastAsia="zh-CN"/>
        </w:rPr>
        <w:t xml:space="preserve"> 2018; </w:t>
      </w:r>
      <w:r w:rsidRPr="00840CF8">
        <w:rPr>
          <w:rFonts w:ascii="Book Antiqua" w:eastAsia="等线" w:hAnsi="Book Antiqua" w:cs="Times New Roman"/>
          <w:b/>
          <w:szCs w:val="24"/>
          <w:lang w:eastAsia="zh-CN"/>
        </w:rPr>
        <w:t>38</w:t>
      </w:r>
      <w:r w:rsidRPr="00840CF8">
        <w:rPr>
          <w:rFonts w:ascii="Book Antiqua" w:eastAsia="等线" w:hAnsi="Book Antiqua" w:cs="Times New Roman"/>
          <w:szCs w:val="24"/>
          <w:lang w:eastAsia="zh-CN"/>
        </w:rPr>
        <w:t>: 2239-2247 [PMID: 30240527 DOI: 10.1111/liv.13969]</w:t>
      </w:r>
    </w:p>
    <w:p w14:paraId="4CC30860"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39 </w:t>
      </w:r>
      <w:r w:rsidRPr="00840CF8">
        <w:rPr>
          <w:rFonts w:ascii="Book Antiqua" w:eastAsia="等线" w:hAnsi="Book Antiqua" w:cs="Times New Roman"/>
          <w:b/>
          <w:szCs w:val="24"/>
          <w:lang w:eastAsia="zh-CN"/>
        </w:rPr>
        <w:t>Komatsu S</w:t>
      </w:r>
      <w:r w:rsidRPr="00840CF8">
        <w:rPr>
          <w:rFonts w:ascii="Book Antiqua" w:eastAsia="等线" w:hAnsi="Book Antiqua" w:cs="Times New Roman"/>
          <w:szCs w:val="24"/>
          <w:lang w:eastAsia="zh-CN"/>
        </w:rPr>
        <w:t xml:space="preserve">, Fukumoto T, Demizu Y, Miyawaki D, Terashima K, Sasaki R, Hori Y, Hishikawa Y, Ku Y, Murakami M. Clinical results and risk factors of proton and carbon ion therapy for hepatocellular carcinoma. </w:t>
      </w:r>
      <w:r w:rsidRPr="00840CF8">
        <w:rPr>
          <w:rFonts w:ascii="Book Antiqua" w:eastAsia="等线" w:hAnsi="Book Antiqua" w:cs="Times New Roman"/>
          <w:i/>
          <w:szCs w:val="24"/>
          <w:lang w:eastAsia="zh-CN"/>
        </w:rPr>
        <w:t>Cancer</w:t>
      </w:r>
      <w:r w:rsidRPr="00840CF8">
        <w:rPr>
          <w:rFonts w:ascii="Book Antiqua" w:eastAsia="等线" w:hAnsi="Book Antiqua" w:cs="Times New Roman"/>
          <w:szCs w:val="24"/>
          <w:lang w:eastAsia="zh-CN"/>
        </w:rPr>
        <w:t xml:space="preserve"> 2011; </w:t>
      </w:r>
      <w:r w:rsidRPr="00840CF8">
        <w:rPr>
          <w:rFonts w:ascii="Book Antiqua" w:eastAsia="等线" w:hAnsi="Book Antiqua" w:cs="Times New Roman"/>
          <w:b/>
          <w:szCs w:val="24"/>
          <w:lang w:eastAsia="zh-CN"/>
        </w:rPr>
        <w:t>117</w:t>
      </w:r>
      <w:r w:rsidRPr="00840CF8">
        <w:rPr>
          <w:rFonts w:ascii="Book Antiqua" w:eastAsia="等线" w:hAnsi="Book Antiqua" w:cs="Times New Roman"/>
          <w:szCs w:val="24"/>
          <w:lang w:eastAsia="zh-CN"/>
        </w:rPr>
        <w:t>: 4890-4904 [PMID: 21495022 DOI: 10.1002/cncr.26134]</w:t>
      </w:r>
    </w:p>
    <w:p w14:paraId="71251C3F"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40 </w:t>
      </w:r>
      <w:r w:rsidRPr="00840CF8">
        <w:rPr>
          <w:rFonts w:ascii="Book Antiqua" w:eastAsia="等线" w:hAnsi="Book Antiqua" w:cs="Times New Roman"/>
          <w:b/>
          <w:szCs w:val="24"/>
          <w:lang w:eastAsia="zh-CN"/>
        </w:rPr>
        <w:t>Bush DA</w:t>
      </w:r>
      <w:r w:rsidRPr="00840CF8">
        <w:rPr>
          <w:rFonts w:ascii="Book Antiqua" w:eastAsia="等线" w:hAnsi="Book Antiqua" w:cs="Times New Roman"/>
          <w:szCs w:val="24"/>
          <w:lang w:eastAsia="zh-CN"/>
        </w:rPr>
        <w:t xml:space="preserve">, Kayali Z, Grove R, Slater JD. The safety and efficacy of high-dose proton beam radiotherapy for hepatocellular carcinoma: a phase 2 prospective trial. </w:t>
      </w:r>
      <w:r w:rsidRPr="00840CF8">
        <w:rPr>
          <w:rFonts w:ascii="Book Antiqua" w:eastAsia="等线" w:hAnsi="Book Antiqua" w:cs="Times New Roman"/>
          <w:i/>
          <w:szCs w:val="24"/>
          <w:lang w:eastAsia="zh-CN"/>
        </w:rPr>
        <w:t>Cancer</w:t>
      </w:r>
      <w:r w:rsidRPr="00840CF8">
        <w:rPr>
          <w:rFonts w:ascii="Book Antiqua" w:eastAsia="等线" w:hAnsi="Book Antiqua" w:cs="Times New Roman"/>
          <w:szCs w:val="24"/>
          <w:lang w:eastAsia="zh-CN"/>
        </w:rPr>
        <w:t xml:space="preserve"> 2011; </w:t>
      </w:r>
      <w:r w:rsidRPr="00840CF8">
        <w:rPr>
          <w:rFonts w:ascii="Book Antiqua" w:eastAsia="等线" w:hAnsi="Book Antiqua" w:cs="Times New Roman"/>
          <w:b/>
          <w:szCs w:val="24"/>
          <w:lang w:eastAsia="zh-CN"/>
        </w:rPr>
        <w:t>117</w:t>
      </w:r>
      <w:r w:rsidRPr="00840CF8">
        <w:rPr>
          <w:rFonts w:ascii="Book Antiqua" w:eastAsia="等线" w:hAnsi="Book Antiqua" w:cs="Times New Roman"/>
          <w:szCs w:val="24"/>
          <w:lang w:eastAsia="zh-CN"/>
        </w:rPr>
        <w:t>: 3053-3059 [PMID: 21264826 DOI: 10.1002/cncr.25809]</w:t>
      </w:r>
    </w:p>
    <w:p w14:paraId="37B980C4"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41 </w:t>
      </w:r>
      <w:r w:rsidRPr="00840CF8">
        <w:rPr>
          <w:rFonts w:ascii="Book Antiqua" w:eastAsia="等线" w:hAnsi="Book Antiqua" w:cs="Times New Roman"/>
          <w:b/>
          <w:szCs w:val="24"/>
          <w:lang w:eastAsia="zh-CN"/>
        </w:rPr>
        <w:t>Hong TS</w:t>
      </w:r>
      <w:r w:rsidRPr="00840CF8">
        <w:rPr>
          <w:rFonts w:ascii="Book Antiqua" w:eastAsia="等线" w:hAnsi="Book Antiqua" w:cs="Times New Roman"/>
          <w:szCs w:val="24"/>
          <w:lang w:eastAsia="zh-CN"/>
        </w:rPr>
        <w:t xml:space="preserve">, Wo JY, Yeap BY, Ben-Josef E, McDonnell EI, Blaszkowsky LS, Kwak EL, Allen JN, Clark JW, Goyal L, Murphy JE, Javle MM, Wolfgang JA, Drapek LC, Arellano RS, Mamon HJ, Mullen JT, Yoon SS, Tanabe KK, Ferrone CR, Ryan DP, DeLaney TF, Crane CH, Zhu AX. Multi-Institutional Phase II Study of High-Dose Hypofractionated Proton Beam Therapy in Patients With Localized, Unresectable Hepatocellular Carcinoma and Intrahepatic Cholangiocarcinoma. </w:t>
      </w:r>
      <w:r w:rsidRPr="00840CF8">
        <w:rPr>
          <w:rFonts w:ascii="Book Antiqua" w:eastAsia="等线" w:hAnsi="Book Antiqua" w:cs="Times New Roman"/>
          <w:i/>
          <w:szCs w:val="24"/>
          <w:lang w:eastAsia="zh-CN"/>
        </w:rPr>
        <w:t>J Clin Oncol</w:t>
      </w:r>
      <w:r w:rsidRPr="00840CF8">
        <w:rPr>
          <w:rFonts w:ascii="Book Antiqua" w:eastAsia="等线" w:hAnsi="Book Antiqua" w:cs="Times New Roman"/>
          <w:szCs w:val="24"/>
          <w:lang w:eastAsia="zh-CN"/>
        </w:rPr>
        <w:t xml:space="preserve"> 2016; </w:t>
      </w:r>
      <w:r w:rsidRPr="00840CF8">
        <w:rPr>
          <w:rFonts w:ascii="Book Antiqua" w:eastAsia="等线" w:hAnsi="Book Antiqua" w:cs="Times New Roman"/>
          <w:b/>
          <w:szCs w:val="24"/>
          <w:lang w:eastAsia="zh-CN"/>
        </w:rPr>
        <w:t>34</w:t>
      </w:r>
      <w:r w:rsidRPr="00840CF8">
        <w:rPr>
          <w:rFonts w:ascii="Book Antiqua" w:eastAsia="等线" w:hAnsi="Book Antiqua" w:cs="Times New Roman"/>
          <w:szCs w:val="24"/>
          <w:lang w:eastAsia="zh-CN"/>
        </w:rPr>
        <w:t>: 460-468 [PMID: 26668346 DOI: 10.1200/JCO.2015.64.2710]</w:t>
      </w:r>
    </w:p>
    <w:p w14:paraId="628DBDFC"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42 </w:t>
      </w:r>
      <w:r w:rsidRPr="00840CF8">
        <w:rPr>
          <w:rFonts w:ascii="Book Antiqua" w:eastAsia="等线" w:hAnsi="Book Antiqua" w:cs="Times New Roman"/>
          <w:b/>
          <w:szCs w:val="24"/>
          <w:lang w:eastAsia="zh-CN"/>
        </w:rPr>
        <w:t>Chiba T</w:t>
      </w:r>
      <w:r w:rsidRPr="00840CF8">
        <w:rPr>
          <w:rFonts w:ascii="Book Antiqua" w:eastAsia="等线" w:hAnsi="Book Antiqua" w:cs="Times New Roman"/>
          <w:szCs w:val="24"/>
          <w:lang w:eastAsia="zh-CN"/>
        </w:rPr>
        <w:t xml:space="preserve">, Tokuuye K, Matsuzaki Y, Sugahara S, Chuganji Y, Kagei K, Shoda J, Hata M, Abei M, Igaki H, Tanaka N, Akine Y. Proton beam therapy for hepatocellular carcinoma: a retrospective review of 162 patients. </w:t>
      </w:r>
      <w:r w:rsidRPr="00840CF8">
        <w:rPr>
          <w:rFonts w:ascii="Book Antiqua" w:eastAsia="等线" w:hAnsi="Book Antiqua" w:cs="Times New Roman"/>
          <w:i/>
          <w:szCs w:val="24"/>
          <w:lang w:eastAsia="zh-CN"/>
        </w:rPr>
        <w:t>Clin Cancer Res</w:t>
      </w:r>
      <w:r w:rsidRPr="00840CF8">
        <w:rPr>
          <w:rFonts w:ascii="Book Antiqua" w:eastAsia="等线" w:hAnsi="Book Antiqua" w:cs="Times New Roman"/>
          <w:szCs w:val="24"/>
          <w:lang w:eastAsia="zh-CN"/>
        </w:rPr>
        <w:t xml:space="preserve"> 2005; </w:t>
      </w:r>
      <w:r w:rsidRPr="00840CF8">
        <w:rPr>
          <w:rFonts w:ascii="Book Antiqua" w:eastAsia="等线" w:hAnsi="Book Antiqua" w:cs="Times New Roman"/>
          <w:b/>
          <w:szCs w:val="24"/>
          <w:lang w:eastAsia="zh-CN"/>
        </w:rPr>
        <w:t>11</w:t>
      </w:r>
      <w:r w:rsidRPr="00840CF8">
        <w:rPr>
          <w:rFonts w:ascii="Book Antiqua" w:eastAsia="等线" w:hAnsi="Book Antiqua" w:cs="Times New Roman"/>
          <w:szCs w:val="24"/>
          <w:lang w:eastAsia="zh-CN"/>
        </w:rPr>
        <w:t>: 3799-3805 [PMID: 15897579 DOI: 10.1158/1078-0432.CCR-04-1350]</w:t>
      </w:r>
    </w:p>
    <w:p w14:paraId="72BE6421"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43 </w:t>
      </w:r>
      <w:r w:rsidRPr="00840CF8">
        <w:rPr>
          <w:rFonts w:ascii="Book Antiqua" w:eastAsia="等线" w:hAnsi="Book Antiqua" w:cs="Times New Roman"/>
          <w:b/>
          <w:szCs w:val="24"/>
          <w:lang w:eastAsia="zh-CN"/>
        </w:rPr>
        <w:t>Kawashima M</w:t>
      </w:r>
      <w:r w:rsidRPr="00840CF8">
        <w:rPr>
          <w:rFonts w:ascii="Book Antiqua" w:eastAsia="等线" w:hAnsi="Book Antiqua" w:cs="Times New Roman"/>
          <w:szCs w:val="24"/>
          <w:lang w:eastAsia="zh-CN"/>
        </w:rPr>
        <w:t xml:space="preserve">, Furuse J, Nishio T, Konishi M, Ishii H, Kinoshita T, Nagase M, Nihei K, Ogino T. Phase II study of radiotherapy employing proton beam for hepatocellular carcinoma. </w:t>
      </w:r>
      <w:r w:rsidRPr="00840CF8">
        <w:rPr>
          <w:rFonts w:ascii="Book Antiqua" w:eastAsia="等线" w:hAnsi="Book Antiqua" w:cs="Times New Roman"/>
          <w:i/>
          <w:szCs w:val="24"/>
          <w:lang w:eastAsia="zh-CN"/>
        </w:rPr>
        <w:t>J Clin Oncol</w:t>
      </w:r>
      <w:r w:rsidRPr="00840CF8">
        <w:rPr>
          <w:rFonts w:ascii="Book Antiqua" w:eastAsia="等线" w:hAnsi="Book Antiqua" w:cs="Times New Roman"/>
          <w:szCs w:val="24"/>
          <w:lang w:eastAsia="zh-CN"/>
        </w:rPr>
        <w:t xml:space="preserve"> 2005; </w:t>
      </w:r>
      <w:r w:rsidRPr="00840CF8">
        <w:rPr>
          <w:rFonts w:ascii="Book Antiqua" w:eastAsia="等线" w:hAnsi="Book Antiqua" w:cs="Times New Roman"/>
          <w:b/>
          <w:szCs w:val="24"/>
          <w:lang w:eastAsia="zh-CN"/>
        </w:rPr>
        <w:t>23</w:t>
      </w:r>
      <w:r w:rsidRPr="00840CF8">
        <w:rPr>
          <w:rFonts w:ascii="Book Antiqua" w:eastAsia="等线" w:hAnsi="Book Antiqua" w:cs="Times New Roman"/>
          <w:szCs w:val="24"/>
          <w:lang w:eastAsia="zh-CN"/>
        </w:rPr>
        <w:t>: 1839-1846 [PMID: 15774777 DOI: 10.1200/JCO.2005.00.620]</w:t>
      </w:r>
    </w:p>
    <w:p w14:paraId="0D14424C"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44 </w:t>
      </w:r>
      <w:r w:rsidRPr="00840CF8">
        <w:rPr>
          <w:rFonts w:ascii="Book Antiqua" w:eastAsia="等线" w:hAnsi="Book Antiqua" w:cs="Times New Roman"/>
          <w:b/>
          <w:szCs w:val="24"/>
          <w:lang w:eastAsia="zh-CN"/>
        </w:rPr>
        <w:t>Kim TH</w:t>
      </w:r>
      <w:r w:rsidRPr="00840CF8">
        <w:rPr>
          <w:rFonts w:ascii="Book Antiqua" w:eastAsia="等线" w:hAnsi="Book Antiqua" w:cs="Times New Roman"/>
          <w:szCs w:val="24"/>
          <w:lang w:eastAsia="zh-CN"/>
        </w:rPr>
        <w:t xml:space="preserve">, Park JW, Kim YJ, Kim BH, Woo SM, Moon SH, Kim SS, Koh YH, Lee WJ, Park SJ, Kim JY, Kim DY, Kim CM. Phase I dose-escalation study of proton beam therapy for inoperable hepatocellular carcinoma. </w:t>
      </w:r>
      <w:r w:rsidRPr="00840CF8">
        <w:rPr>
          <w:rFonts w:ascii="Book Antiqua" w:eastAsia="等线" w:hAnsi="Book Antiqua" w:cs="Times New Roman"/>
          <w:i/>
          <w:szCs w:val="24"/>
          <w:lang w:eastAsia="zh-CN"/>
        </w:rPr>
        <w:t>Cancer Res Treat</w:t>
      </w:r>
      <w:r w:rsidRPr="00840CF8">
        <w:rPr>
          <w:rFonts w:ascii="Book Antiqua" w:eastAsia="等线" w:hAnsi="Book Antiqua" w:cs="Times New Roman"/>
          <w:szCs w:val="24"/>
          <w:lang w:eastAsia="zh-CN"/>
        </w:rPr>
        <w:t xml:space="preserve"> 2015; </w:t>
      </w:r>
      <w:r w:rsidRPr="00840CF8">
        <w:rPr>
          <w:rFonts w:ascii="Book Antiqua" w:eastAsia="等线" w:hAnsi="Book Antiqua" w:cs="Times New Roman"/>
          <w:b/>
          <w:szCs w:val="24"/>
          <w:lang w:eastAsia="zh-CN"/>
        </w:rPr>
        <w:t>47</w:t>
      </w:r>
      <w:r w:rsidRPr="00840CF8">
        <w:rPr>
          <w:rFonts w:ascii="Book Antiqua" w:eastAsia="等线" w:hAnsi="Book Antiqua" w:cs="Times New Roman"/>
          <w:szCs w:val="24"/>
          <w:lang w:eastAsia="zh-CN"/>
        </w:rPr>
        <w:t>: 34-45 [PMID: 25381830 DOI: 10.4143/crt.2013.218]</w:t>
      </w:r>
    </w:p>
    <w:p w14:paraId="5D401E45"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45 </w:t>
      </w:r>
      <w:r w:rsidRPr="00840CF8">
        <w:rPr>
          <w:rFonts w:ascii="Book Antiqua" w:eastAsia="等线" w:hAnsi="Book Antiqua" w:cs="Times New Roman"/>
          <w:b/>
          <w:szCs w:val="24"/>
          <w:lang w:eastAsia="zh-CN"/>
        </w:rPr>
        <w:t>Kato H</w:t>
      </w:r>
      <w:r w:rsidRPr="00840CF8">
        <w:rPr>
          <w:rFonts w:ascii="Book Antiqua" w:eastAsia="等线" w:hAnsi="Book Antiqua" w:cs="Times New Roman"/>
          <w:szCs w:val="24"/>
          <w:lang w:eastAsia="zh-CN"/>
        </w:rPr>
        <w:t xml:space="preserve">, Tsujii H, Miyamoto T, Mizoe JE, Kamada T, Tsuji H, Yamada S, Kandatsu S, Yoshikawa K, Obata T, Ezawa H, Morita S, Tomizawa M, Morimoto N, Fujita J, Ohto M; Liver Cancer Working Group. Results of the first prospective study of carbon ion radiotherapy for hepatocellular carcinoma with liver cirrhosis. </w:t>
      </w:r>
      <w:r w:rsidRPr="00840CF8">
        <w:rPr>
          <w:rFonts w:ascii="Book Antiqua" w:eastAsia="等线" w:hAnsi="Book Antiqua" w:cs="Times New Roman"/>
          <w:i/>
          <w:szCs w:val="24"/>
          <w:lang w:eastAsia="zh-CN"/>
        </w:rPr>
        <w:t>Int J Radiat Oncol Biol Phys</w:t>
      </w:r>
      <w:r w:rsidRPr="00840CF8">
        <w:rPr>
          <w:rFonts w:ascii="Book Antiqua" w:eastAsia="等线" w:hAnsi="Book Antiqua" w:cs="Times New Roman"/>
          <w:szCs w:val="24"/>
          <w:lang w:eastAsia="zh-CN"/>
        </w:rPr>
        <w:t xml:space="preserve"> 2004; </w:t>
      </w:r>
      <w:r w:rsidRPr="00840CF8">
        <w:rPr>
          <w:rFonts w:ascii="Book Antiqua" w:eastAsia="等线" w:hAnsi="Book Antiqua" w:cs="Times New Roman"/>
          <w:b/>
          <w:szCs w:val="24"/>
          <w:lang w:eastAsia="zh-CN"/>
        </w:rPr>
        <w:t>59</w:t>
      </w:r>
      <w:r w:rsidRPr="00840CF8">
        <w:rPr>
          <w:rFonts w:ascii="Book Antiqua" w:eastAsia="等线" w:hAnsi="Book Antiqua" w:cs="Times New Roman"/>
          <w:szCs w:val="24"/>
          <w:lang w:eastAsia="zh-CN"/>
        </w:rPr>
        <w:t>: 1468-1476 [PMID: 15275734 DOI: 10.1016/j.ijrobp.2004.01.032]</w:t>
      </w:r>
    </w:p>
    <w:p w14:paraId="7FD633E6" w14:textId="77777777" w:rsidR="006C4A2B" w:rsidRPr="00840CF8" w:rsidRDefault="006C4A2B" w:rsidP="00CB7D2C">
      <w:pPr>
        <w:snapToGrid w:val="0"/>
        <w:spacing w:line="360" w:lineRule="auto"/>
        <w:jc w:val="both"/>
        <w:rPr>
          <w:rFonts w:ascii="Book Antiqua" w:eastAsia="等线" w:hAnsi="Book Antiqua" w:cs="Times New Roman"/>
          <w:szCs w:val="24"/>
          <w:lang w:eastAsia="zh-CN"/>
        </w:rPr>
      </w:pPr>
      <w:r w:rsidRPr="00840CF8">
        <w:rPr>
          <w:rFonts w:ascii="Book Antiqua" w:eastAsia="等线" w:hAnsi="Book Antiqua" w:cs="Times New Roman"/>
          <w:szCs w:val="24"/>
          <w:lang w:eastAsia="zh-CN"/>
        </w:rPr>
        <w:t xml:space="preserve">46 </w:t>
      </w:r>
      <w:r w:rsidRPr="00840CF8">
        <w:rPr>
          <w:rFonts w:ascii="Book Antiqua" w:eastAsia="等线" w:hAnsi="Book Antiqua" w:cs="Times New Roman"/>
          <w:b/>
          <w:szCs w:val="24"/>
          <w:lang w:eastAsia="zh-CN"/>
        </w:rPr>
        <w:t>Kim TH</w:t>
      </w:r>
      <w:r w:rsidRPr="00840CF8">
        <w:rPr>
          <w:rFonts w:ascii="Book Antiqua" w:eastAsia="等线" w:hAnsi="Book Antiqua" w:cs="Times New Roman"/>
          <w:szCs w:val="24"/>
          <w:lang w:eastAsia="zh-CN"/>
        </w:rPr>
        <w:t xml:space="preserve">, Park JW, Kim BH, Kim DY, Moon SH, Kim SS, Lee JH, Woo SM, Koh YH, Lee WJ, Kim CM. Optimal time of tumour response evaluation and effectiveness of hypofractionated proton beam therapy for inoperable or recurrent hepatocellular carcinoma. </w:t>
      </w:r>
      <w:r w:rsidRPr="00840CF8">
        <w:rPr>
          <w:rFonts w:ascii="Book Antiqua" w:eastAsia="等线" w:hAnsi="Book Antiqua" w:cs="Times New Roman"/>
          <w:i/>
          <w:szCs w:val="24"/>
          <w:lang w:eastAsia="zh-CN"/>
        </w:rPr>
        <w:t>Oncotarget</w:t>
      </w:r>
      <w:r w:rsidRPr="00840CF8">
        <w:rPr>
          <w:rFonts w:ascii="Book Antiqua" w:eastAsia="等线" w:hAnsi="Book Antiqua" w:cs="Times New Roman"/>
          <w:szCs w:val="24"/>
          <w:lang w:eastAsia="zh-CN"/>
        </w:rPr>
        <w:t xml:space="preserve"> 2017; </w:t>
      </w:r>
      <w:r w:rsidRPr="00840CF8">
        <w:rPr>
          <w:rFonts w:ascii="Book Antiqua" w:eastAsia="等线" w:hAnsi="Book Antiqua" w:cs="Times New Roman"/>
          <w:b/>
          <w:szCs w:val="24"/>
          <w:lang w:eastAsia="zh-CN"/>
        </w:rPr>
        <w:t>9</w:t>
      </w:r>
      <w:r w:rsidRPr="00840CF8">
        <w:rPr>
          <w:rFonts w:ascii="Book Antiqua" w:eastAsia="等线" w:hAnsi="Book Antiqua" w:cs="Times New Roman"/>
          <w:szCs w:val="24"/>
          <w:lang w:eastAsia="zh-CN"/>
        </w:rPr>
        <w:t>: 4034-4043 [PMID: 29423102 DOI: 10.18632/oncotarget.23428]</w:t>
      </w:r>
    </w:p>
    <w:p w14:paraId="579201E7" w14:textId="2B9F4C57" w:rsidR="006E46B9" w:rsidRPr="00840CF8" w:rsidRDefault="006E46B9" w:rsidP="00EF42B4">
      <w:pPr>
        <w:suppressAutoHyphens/>
        <w:wordWrap w:val="0"/>
        <w:snapToGrid w:val="0"/>
        <w:spacing w:line="360" w:lineRule="auto"/>
        <w:jc w:val="right"/>
        <w:rPr>
          <w:rFonts w:ascii="Book Antiqua" w:hAnsi="Book Antiqua" w:cs="Mangal"/>
          <w:b/>
          <w:bCs/>
          <w:lang w:val="it-IT" w:eastAsia="en-US" w:bidi="hi-IN"/>
        </w:rPr>
      </w:pPr>
      <w:bookmarkStart w:id="153" w:name="OLE_LINK502"/>
      <w:bookmarkStart w:id="154" w:name="OLE_LINK480"/>
      <w:bookmarkStart w:id="155" w:name="OLE_LINK2090"/>
      <w:bookmarkStart w:id="156" w:name="OLE_LINK2200"/>
      <w:bookmarkStart w:id="157" w:name="OLE_LINK2199"/>
      <w:bookmarkStart w:id="158" w:name="OLE_LINK2198"/>
      <w:bookmarkStart w:id="159" w:name="OLE_LINK2162"/>
      <w:bookmarkStart w:id="160" w:name="OLE_LINK1963"/>
      <w:bookmarkStart w:id="161" w:name="OLE_LINK1962"/>
      <w:bookmarkStart w:id="162" w:name="OLE_LINK1812"/>
      <w:bookmarkStart w:id="163" w:name="OLE_LINK1811"/>
      <w:bookmarkStart w:id="164" w:name="OLE_LINK1807"/>
      <w:bookmarkStart w:id="165" w:name="OLE_LINK1806"/>
      <w:bookmarkStart w:id="166" w:name="OLE_LINK1636"/>
      <w:bookmarkStart w:id="167" w:name="OLE_LINK1845"/>
      <w:bookmarkStart w:id="168" w:name="OLE_LINK1844"/>
      <w:bookmarkStart w:id="169" w:name="OLE_LINK1843"/>
      <w:bookmarkStart w:id="170" w:name="OLE_LINK1803"/>
      <w:bookmarkStart w:id="171" w:name="OLE_LINK1802"/>
      <w:bookmarkStart w:id="172" w:name="OLE_LINK1801"/>
      <w:bookmarkStart w:id="173" w:name="OLE_LINK1800"/>
      <w:bookmarkStart w:id="174" w:name="OLE_LINK1282"/>
      <w:bookmarkStart w:id="175" w:name="OLE_LINK1266"/>
      <w:bookmarkStart w:id="176" w:name="OLE_LINK1264"/>
      <w:bookmarkStart w:id="177" w:name="OLE_LINK1261"/>
      <w:bookmarkStart w:id="178" w:name="OLE_LINK1260"/>
      <w:bookmarkStart w:id="179" w:name="OLE_LINK1044"/>
      <w:bookmarkStart w:id="180" w:name="OLE_LINK1043"/>
      <w:bookmarkStart w:id="181" w:name="OLE_LINK1039"/>
      <w:bookmarkStart w:id="182" w:name="OLE_LINK1038"/>
      <w:bookmarkStart w:id="183" w:name="OLE_LINK1036"/>
      <w:bookmarkStart w:id="184" w:name="OLE_LINK1035"/>
      <w:bookmarkStart w:id="185" w:name="OLE_LINK987"/>
      <w:bookmarkStart w:id="186" w:name="OLE_LINK947"/>
      <w:bookmarkStart w:id="187" w:name="OLE_LINK946"/>
      <w:bookmarkStart w:id="188" w:name="OLE_LINK945"/>
      <w:bookmarkStart w:id="189" w:name="OLE_LINK1127"/>
      <w:bookmarkStart w:id="190" w:name="OLE_LINK962"/>
      <w:bookmarkStart w:id="191" w:name="OLE_LINK959"/>
      <w:bookmarkStart w:id="192" w:name="OLE_LINK1185"/>
      <w:bookmarkStart w:id="193" w:name="OLE_LINK1159"/>
      <w:bookmarkStart w:id="194" w:name="OLE_LINK1158"/>
      <w:bookmarkStart w:id="195" w:name="OLE_LINK1157"/>
      <w:bookmarkStart w:id="196" w:name="OLE_LINK1156"/>
      <w:bookmarkStart w:id="197" w:name="OLE_LINK1065"/>
      <w:bookmarkStart w:id="198" w:name="OLE_LINK1064"/>
      <w:bookmarkStart w:id="199" w:name="OLE_LINK1023"/>
      <w:bookmarkStart w:id="200" w:name="OLE_LINK1022"/>
      <w:bookmarkStart w:id="201" w:name="OLE_LINK1021"/>
      <w:r w:rsidRPr="00840CF8">
        <w:rPr>
          <w:rFonts w:ascii="Book Antiqua" w:eastAsia="Lucida Sans Unicode" w:hAnsi="Book Antiqua" w:cs="Arial"/>
          <w:b/>
          <w:noProof/>
          <w:lang w:val="it-IT" w:eastAsia="hi-IN" w:bidi="hi-IN"/>
        </w:rPr>
        <w:t>P-Reviewer</w:t>
      </w:r>
      <w:r w:rsidRPr="00840CF8">
        <w:rPr>
          <w:rFonts w:ascii="Book Antiqua" w:hAnsi="Book Antiqua" w:cs="Arial"/>
          <w:b/>
          <w:noProof/>
          <w:lang w:val="it-IT" w:bidi="hi-IN"/>
        </w:rPr>
        <w:t>:</w:t>
      </w:r>
      <w:r w:rsidRPr="00840CF8">
        <w:rPr>
          <w:rFonts w:ascii="Book Antiqua" w:hAnsi="Book Antiqua"/>
        </w:rPr>
        <w:t xml:space="preserve"> </w:t>
      </w:r>
      <w:r w:rsidR="00BF5665" w:rsidRPr="00840CF8">
        <w:rPr>
          <w:rFonts w:ascii="Book Antiqua" w:hAnsi="Book Antiqua"/>
        </w:rPr>
        <w:t>Lin Q</w:t>
      </w:r>
      <w:r w:rsidRPr="00840CF8">
        <w:rPr>
          <w:rFonts w:ascii="Book Antiqua" w:hAnsi="Book Antiqua"/>
        </w:rPr>
        <w:t xml:space="preserve"> </w:t>
      </w:r>
      <w:r w:rsidRPr="00840CF8">
        <w:rPr>
          <w:rFonts w:ascii="Book Antiqua" w:eastAsia="Lucida Sans Unicode" w:hAnsi="Book Antiqua" w:cs="Mangal"/>
          <w:b/>
          <w:bCs/>
          <w:lang w:val="it-IT" w:eastAsia="hi-IN" w:bidi="hi-IN"/>
        </w:rPr>
        <w:t>S-Editor</w:t>
      </w:r>
      <w:r w:rsidRPr="00840CF8">
        <w:rPr>
          <w:rFonts w:ascii="Book Antiqua" w:hAnsi="Book Antiqua" w:cs="Mangal"/>
          <w:b/>
          <w:bCs/>
          <w:lang w:val="it-IT" w:bidi="hi-IN"/>
        </w:rPr>
        <w:t>:</w:t>
      </w:r>
      <w:r w:rsidRPr="00840CF8">
        <w:rPr>
          <w:rFonts w:ascii="Book Antiqua" w:eastAsia="Lucida Sans Unicode" w:hAnsi="Book Antiqua" w:cs="Mangal"/>
          <w:bCs/>
          <w:lang w:val="it-IT" w:eastAsia="hi-IN" w:bidi="hi-IN"/>
        </w:rPr>
        <w:t xml:space="preserve"> </w:t>
      </w:r>
      <w:r w:rsidRPr="00840CF8">
        <w:rPr>
          <w:rFonts w:ascii="Book Antiqua" w:hAnsi="Book Antiqua" w:cs="Mangal"/>
          <w:bCs/>
          <w:lang w:val="it-IT" w:bidi="hi-IN"/>
        </w:rPr>
        <w:t>Ma YJ</w:t>
      </w:r>
      <w:r w:rsidRPr="00840CF8">
        <w:rPr>
          <w:rFonts w:ascii="Book Antiqua" w:eastAsia="Lucida Sans Unicode" w:hAnsi="Book Antiqua" w:cs="Mangal"/>
          <w:b/>
          <w:bCs/>
          <w:lang w:val="it-IT" w:eastAsia="hi-IN" w:bidi="hi-IN"/>
        </w:rPr>
        <w:t xml:space="preserve"> L-Editor</w:t>
      </w:r>
      <w:r w:rsidRPr="00840CF8">
        <w:rPr>
          <w:rFonts w:ascii="Book Antiqua" w:hAnsi="Book Antiqua" w:cs="Mangal"/>
          <w:b/>
          <w:bCs/>
          <w:lang w:val="it-IT" w:bidi="hi-IN"/>
        </w:rPr>
        <w:t>:</w:t>
      </w:r>
      <w:r w:rsidR="00A8427A" w:rsidRPr="00840CF8">
        <w:rPr>
          <w:rFonts w:ascii="Book Antiqua" w:hAnsi="Book Antiqua" w:cs="Mangal"/>
          <w:b/>
          <w:bCs/>
          <w:lang w:val="it-IT" w:bidi="hi-IN"/>
        </w:rPr>
        <w:t xml:space="preserve"> </w:t>
      </w:r>
      <w:r w:rsidR="00EF42B4" w:rsidRPr="00840CF8">
        <w:rPr>
          <w:rFonts w:ascii="Book Antiqua" w:hAnsi="Book Antiqua" w:cs="Mangal"/>
          <w:lang w:val="it-IT" w:bidi="hi-IN"/>
        </w:rPr>
        <w:t>A</w:t>
      </w:r>
      <w:r w:rsidR="00EF42B4" w:rsidRPr="00840CF8">
        <w:rPr>
          <w:rFonts w:ascii="Book Antiqua" w:hAnsi="Book Antiqua" w:cs="Mangal"/>
          <w:b/>
          <w:bCs/>
          <w:lang w:val="it-IT" w:bidi="hi-IN"/>
        </w:rPr>
        <w:t xml:space="preserve"> </w:t>
      </w:r>
      <w:r w:rsidRPr="00840CF8">
        <w:rPr>
          <w:rFonts w:ascii="Book Antiqua" w:eastAsia="Lucida Sans Unicode" w:hAnsi="Book Antiqua" w:cs="Mangal"/>
          <w:b/>
          <w:bCs/>
          <w:lang w:val="it-IT" w:eastAsia="hi-IN" w:bidi="hi-IN"/>
        </w:rPr>
        <w:t>E-Editor</w:t>
      </w:r>
      <w:r w:rsidRPr="00840CF8">
        <w:rPr>
          <w:rFonts w:ascii="Book Antiqua" w:hAnsi="Book Antiqua" w:cs="Mangal"/>
          <w:b/>
          <w:bCs/>
          <w:lang w:val="it-IT" w:bidi="hi-IN"/>
        </w:rPr>
        <w:t>:</w:t>
      </w:r>
      <w:r w:rsidRPr="00840CF8">
        <w:rPr>
          <w:lang w:val="it-IT"/>
        </w:rPr>
        <w:t xml:space="preserve"> </w:t>
      </w:r>
      <w:r w:rsidR="00057519">
        <w:rPr>
          <w:rFonts w:ascii="Book Antiqua" w:hAnsi="Book Antiqua"/>
          <w:bCs/>
          <w:color w:val="000000"/>
          <w:szCs w:val="24"/>
        </w:rPr>
        <w:t>Qi LL</w:t>
      </w:r>
    </w:p>
    <w:p w14:paraId="175FE4CB" w14:textId="77777777" w:rsidR="0067381D" w:rsidRPr="00840CF8" w:rsidRDefault="0067381D" w:rsidP="00CB7D2C">
      <w:pPr>
        <w:snapToGrid w:val="0"/>
        <w:spacing w:line="360" w:lineRule="auto"/>
        <w:rPr>
          <w:rFonts w:ascii="Book Antiqua" w:hAnsi="Book Antiqua" w:cs="Helvetica"/>
          <w:b/>
        </w:rPr>
      </w:pPr>
    </w:p>
    <w:p w14:paraId="54D90C79" w14:textId="77777777" w:rsidR="006E46B9" w:rsidRPr="00840CF8" w:rsidRDefault="006E46B9" w:rsidP="00CB7D2C">
      <w:pPr>
        <w:snapToGrid w:val="0"/>
        <w:spacing w:line="360" w:lineRule="auto"/>
        <w:rPr>
          <w:rFonts w:ascii="Book Antiqua" w:hAnsi="Book Antiqua" w:cs="Helvetica"/>
          <w:b/>
          <w:kern w:val="0"/>
        </w:rPr>
      </w:pPr>
      <w:r w:rsidRPr="00840CF8">
        <w:rPr>
          <w:rFonts w:ascii="Book Antiqua" w:hAnsi="Book Antiqua" w:cs="Helvetica"/>
          <w:b/>
        </w:rPr>
        <w:t xml:space="preserve">Specialty type: </w:t>
      </w:r>
      <w:r w:rsidR="000E4024" w:rsidRPr="00840CF8">
        <w:rPr>
          <w:rFonts w:ascii="Book Antiqua" w:eastAsia="微软雅黑" w:hAnsi="Book Antiqua" w:cs="宋体"/>
        </w:rPr>
        <w:t>Oncology</w:t>
      </w:r>
    </w:p>
    <w:p w14:paraId="25C057CC" w14:textId="77777777" w:rsidR="006E46B9" w:rsidRPr="00840CF8" w:rsidRDefault="006E46B9" w:rsidP="00CB7D2C">
      <w:pPr>
        <w:snapToGrid w:val="0"/>
        <w:spacing w:line="360" w:lineRule="auto"/>
        <w:rPr>
          <w:rFonts w:ascii="Book Antiqua" w:hAnsi="Book Antiqua" w:cs="Helvetica"/>
          <w:b/>
          <w:lang w:val="pt-BR"/>
        </w:rPr>
      </w:pPr>
      <w:r w:rsidRPr="00840CF8">
        <w:rPr>
          <w:rFonts w:ascii="Book Antiqua" w:hAnsi="Book Antiqua" w:cs="Helvetica"/>
          <w:b/>
        </w:rPr>
        <w:t xml:space="preserve">Country of origin: </w:t>
      </w:r>
      <w:r w:rsidR="00940D5B" w:rsidRPr="00840CF8">
        <w:rPr>
          <w:rFonts w:ascii="Book Antiqua" w:hAnsi="Book Antiqua" w:cs="Helvetica"/>
        </w:rPr>
        <w:t>Taiwan</w:t>
      </w:r>
    </w:p>
    <w:p w14:paraId="5EF4FEC8" w14:textId="77777777" w:rsidR="006E46B9" w:rsidRPr="00840CF8" w:rsidRDefault="006E46B9" w:rsidP="00CB7D2C">
      <w:pPr>
        <w:snapToGrid w:val="0"/>
        <w:spacing w:line="360" w:lineRule="auto"/>
        <w:rPr>
          <w:rFonts w:ascii="Book Antiqua" w:hAnsi="Book Antiqua" w:cs="Helvetica"/>
          <w:b/>
        </w:rPr>
      </w:pPr>
      <w:r w:rsidRPr="00840CF8">
        <w:rPr>
          <w:rFonts w:ascii="Book Antiqua" w:hAnsi="Book Antiqua" w:cs="Helvetica"/>
          <w:b/>
        </w:rPr>
        <w:t>Peer-review report classification</w:t>
      </w:r>
    </w:p>
    <w:p w14:paraId="77DF180B" w14:textId="77777777" w:rsidR="006E46B9" w:rsidRPr="00840CF8" w:rsidRDefault="006E46B9" w:rsidP="00CB7D2C">
      <w:pPr>
        <w:snapToGrid w:val="0"/>
        <w:spacing w:line="360" w:lineRule="auto"/>
        <w:rPr>
          <w:rFonts w:ascii="Book Antiqua" w:hAnsi="Book Antiqua" w:cs="Helvetica"/>
        </w:rPr>
      </w:pPr>
      <w:r w:rsidRPr="00840CF8">
        <w:rPr>
          <w:rFonts w:ascii="Book Antiqua" w:hAnsi="Book Antiqua" w:cs="Helvetica"/>
        </w:rPr>
        <w:t xml:space="preserve">Grade A (Excellent): </w:t>
      </w:r>
      <w:r w:rsidR="00940D5B" w:rsidRPr="00840CF8">
        <w:rPr>
          <w:rFonts w:ascii="Book Antiqua" w:hAnsi="Book Antiqua" w:cs="Helvetica"/>
        </w:rPr>
        <w:t>0</w:t>
      </w:r>
    </w:p>
    <w:p w14:paraId="44AA5296" w14:textId="77777777" w:rsidR="006E46B9" w:rsidRPr="00840CF8" w:rsidRDefault="006E46B9" w:rsidP="00CB7D2C">
      <w:pPr>
        <w:snapToGrid w:val="0"/>
        <w:spacing w:line="360" w:lineRule="auto"/>
        <w:rPr>
          <w:rFonts w:ascii="Book Antiqua" w:hAnsi="Book Antiqua" w:cs="Helvetica"/>
        </w:rPr>
      </w:pPr>
      <w:r w:rsidRPr="00840CF8">
        <w:rPr>
          <w:rFonts w:ascii="Book Antiqua" w:hAnsi="Book Antiqua" w:cs="Helvetica"/>
        </w:rPr>
        <w:t xml:space="preserve">Grade B (Very good): </w:t>
      </w:r>
      <w:r w:rsidR="00940D5B" w:rsidRPr="00840CF8">
        <w:rPr>
          <w:rFonts w:ascii="Book Antiqua" w:hAnsi="Book Antiqua" w:cs="Helvetica"/>
        </w:rPr>
        <w:t>0</w:t>
      </w:r>
    </w:p>
    <w:p w14:paraId="552F103E" w14:textId="77777777" w:rsidR="006E46B9" w:rsidRPr="00840CF8" w:rsidRDefault="006E46B9" w:rsidP="00CB7D2C">
      <w:pPr>
        <w:snapToGrid w:val="0"/>
        <w:spacing w:line="360" w:lineRule="auto"/>
        <w:rPr>
          <w:rFonts w:ascii="Book Antiqua" w:hAnsi="Book Antiqua" w:cs="Helvetica"/>
        </w:rPr>
      </w:pPr>
      <w:r w:rsidRPr="00840CF8">
        <w:rPr>
          <w:rFonts w:ascii="Book Antiqua" w:hAnsi="Book Antiqua" w:cs="Helvetica"/>
        </w:rPr>
        <w:t xml:space="preserve">Grade C (Good): </w:t>
      </w:r>
      <w:r w:rsidR="00940D5B" w:rsidRPr="00840CF8">
        <w:rPr>
          <w:rFonts w:ascii="Book Antiqua" w:hAnsi="Book Antiqua" w:cs="Helvetica"/>
        </w:rPr>
        <w:t>C</w:t>
      </w:r>
    </w:p>
    <w:p w14:paraId="098F0CDE" w14:textId="77777777" w:rsidR="006E46B9" w:rsidRPr="00840CF8" w:rsidRDefault="006E46B9" w:rsidP="00CB7D2C">
      <w:pPr>
        <w:snapToGrid w:val="0"/>
        <w:spacing w:line="360" w:lineRule="auto"/>
        <w:rPr>
          <w:rFonts w:ascii="Book Antiqua" w:hAnsi="Book Antiqua" w:cs="Helvetica"/>
        </w:rPr>
      </w:pPr>
      <w:r w:rsidRPr="00840CF8">
        <w:rPr>
          <w:rFonts w:ascii="Book Antiqua" w:hAnsi="Book Antiqua" w:cs="Helvetica"/>
        </w:rPr>
        <w:t xml:space="preserve">Grade D (Fair): </w:t>
      </w:r>
      <w:bookmarkEnd w:id="153"/>
      <w:bookmarkEnd w:id="154"/>
      <w:r w:rsidRPr="00840CF8">
        <w:rPr>
          <w:rFonts w:ascii="Book Antiqua" w:hAnsi="Book Antiqua" w:cs="Helvetica"/>
        </w:rPr>
        <w:t>0</w:t>
      </w:r>
    </w:p>
    <w:p w14:paraId="4FED5B2B" w14:textId="77777777" w:rsidR="006E46B9" w:rsidRPr="00840CF8" w:rsidRDefault="006E46B9" w:rsidP="00CB7D2C">
      <w:pPr>
        <w:snapToGrid w:val="0"/>
        <w:spacing w:line="360" w:lineRule="auto"/>
        <w:rPr>
          <w:rFonts w:ascii="Book Antiqua" w:hAnsi="Book Antiqua" w:cs="Helvetica"/>
        </w:rPr>
      </w:pPr>
      <w:r w:rsidRPr="00840CF8">
        <w:rPr>
          <w:rFonts w:ascii="Book Antiqua" w:hAnsi="Book Antiqua" w:cs="Helvetica"/>
        </w:rPr>
        <w:t xml:space="preserve">Grade E (Poor):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840CF8">
        <w:rPr>
          <w:rFonts w:ascii="Book Antiqua" w:hAnsi="Book Antiqua" w:cs="Helvetica"/>
        </w:rPr>
        <w:t>0</w:t>
      </w:r>
    </w:p>
    <w:p w14:paraId="5FCF5523" w14:textId="77777777" w:rsidR="0067381D" w:rsidRPr="00840CF8" w:rsidRDefault="0067381D" w:rsidP="00CB7D2C">
      <w:pPr>
        <w:snapToGrid w:val="0"/>
        <w:spacing w:line="360" w:lineRule="auto"/>
        <w:rPr>
          <w:rFonts w:ascii="Book Antiqua" w:hAnsi="Book Antiqua" w:cs="Helvetica"/>
        </w:rPr>
      </w:pPr>
    </w:p>
    <w:p w14:paraId="30021BB9" w14:textId="77777777" w:rsidR="0067381D" w:rsidRPr="00840CF8" w:rsidRDefault="0067381D" w:rsidP="00CB7D2C">
      <w:pPr>
        <w:snapToGrid w:val="0"/>
        <w:spacing w:line="360" w:lineRule="auto"/>
        <w:rPr>
          <w:rFonts w:ascii="Book Antiqua" w:hAnsi="Book Antiqua" w:cs="Helvetica"/>
        </w:rPr>
      </w:pPr>
    </w:p>
    <w:p w14:paraId="5BEE5349" w14:textId="77777777" w:rsidR="0067381D" w:rsidRPr="00840CF8" w:rsidRDefault="0067381D" w:rsidP="00CB7D2C">
      <w:pPr>
        <w:snapToGrid w:val="0"/>
        <w:spacing w:line="360" w:lineRule="auto"/>
        <w:rPr>
          <w:rFonts w:ascii="Book Antiqua" w:hAnsi="Book Antiqua" w:cs="Helvetica"/>
        </w:rPr>
      </w:pPr>
    </w:p>
    <w:p w14:paraId="60FDF182" w14:textId="77777777" w:rsidR="0067381D" w:rsidRPr="00840CF8" w:rsidRDefault="0067381D" w:rsidP="00CB7D2C">
      <w:pPr>
        <w:snapToGrid w:val="0"/>
        <w:spacing w:line="360" w:lineRule="auto"/>
        <w:rPr>
          <w:rFonts w:ascii="Book Antiqua" w:hAnsi="Book Antiqua" w:cs="Helvetica"/>
        </w:rPr>
      </w:pPr>
    </w:p>
    <w:p w14:paraId="0926E7D7" w14:textId="77777777" w:rsidR="0067381D" w:rsidRPr="00840CF8" w:rsidRDefault="0067381D" w:rsidP="00CB7D2C">
      <w:pPr>
        <w:snapToGrid w:val="0"/>
        <w:spacing w:line="360" w:lineRule="auto"/>
        <w:rPr>
          <w:rFonts w:ascii="Book Antiqua" w:hAnsi="Book Antiqua" w:cs="Helvetica"/>
        </w:rPr>
      </w:pPr>
    </w:p>
    <w:p w14:paraId="3498CDE4" w14:textId="77777777" w:rsidR="0067381D" w:rsidRPr="00840CF8" w:rsidRDefault="0067381D" w:rsidP="00CB7D2C">
      <w:pPr>
        <w:snapToGrid w:val="0"/>
        <w:spacing w:line="360" w:lineRule="auto"/>
        <w:rPr>
          <w:rFonts w:ascii="Book Antiqua" w:hAnsi="Book Antiqua" w:cs="Helvetica"/>
        </w:rPr>
      </w:pPr>
    </w:p>
    <w:p w14:paraId="651F72CD" w14:textId="77777777" w:rsidR="0067381D" w:rsidRPr="00840CF8" w:rsidRDefault="0067381D" w:rsidP="00CB7D2C">
      <w:pPr>
        <w:snapToGrid w:val="0"/>
        <w:spacing w:line="360" w:lineRule="auto"/>
        <w:rPr>
          <w:rFonts w:ascii="Book Antiqua" w:hAnsi="Book Antiqua" w:cs="Helvetica"/>
        </w:rPr>
      </w:pPr>
    </w:p>
    <w:p w14:paraId="02840D8D" w14:textId="77777777" w:rsidR="0067381D" w:rsidRPr="00840CF8" w:rsidRDefault="0067381D" w:rsidP="00CB7D2C">
      <w:pPr>
        <w:snapToGrid w:val="0"/>
        <w:spacing w:line="360" w:lineRule="auto"/>
        <w:rPr>
          <w:rFonts w:ascii="Book Antiqua" w:hAnsi="Book Antiqua" w:cs="Helvetica"/>
        </w:rPr>
      </w:pPr>
    </w:p>
    <w:p w14:paraId="1F087CFE" w14:textId="77777777" w:rsidR="0067381D" w:rsidRPr="00840CF8" w:rsidRDefault="0067381D" w:rsidP="00CB7D2C">
      <w:pPr>
        <w:snapToGrid w:val="0"/>
        <w:spacing w:line="360" w:lineRule="auto"/>
        <w:rPr>
          <w:rFonts w:ascii="Book Antiqua" w:hAnsi="Book Antiqua" w:cs="Helvetica"/>
        </w:rPr>
      </w:pPr>
    </w:p>
    <w:p w14:paraId="23AFDA8B" w14:textId="77777777" w:rsidR="005703D7" w:rsidRPr="00840CF8" w:rsidRDefault="008E76B0" w:rsidP="00CB7D2C">
      <w:pPr>
        <w:pStyle w:val="EndNoteBibliography"/>
        <w:snapToGrid w:val="0"/>
        <w:spacing w:line="360" w:lineRule="auto"/>
        <w:jc w:val="both"/>
        <w:rPr>
          <w:rFonts w:ascii="Book Antiqua" w:hAnsi="Book Antiqua" w:cs="Arial"/>
          <w:b/>
          <w:bCs/>
          <w:color w:val="000000" w:themeColor="text1"/>
          <w:szCs w:val="24"/>
        </w:rPr>
      </w:pPr>
      <w:r w:rsidRPr="00840CF8">
        <w:rPr>
          <w:rFonts w:ascii="Book Antiqua" w:hAnsi="Book Antiqua" w:cs="Arial"/>
          <w:b/>
          <w:bCs/>
          <w:color w:val="000000" w:themeColor="text1"/>
          <w:szCs w:val="24"/>
        </w:rPr>
        <w:t>Table 1 Clinical patient characteristics of the selected studies</w:t>
      </w:r>
    </w:p>
    <w:tbl>
      <w:tblPr>
        <w:tblStyle w:val="af0"/>
        <w:tblpPr w:leftFromText="180" w:rightFromText="180" w:vertAnchor="page" w:horzAnchor="margin" w:tblpY="1927"/>
        <w:tblW w:w="5183" w:type="pct"/>
        <w:tblLook w:val="04A0" w:firstRow="1" w:lastRow="0" w:firstColumn="1" w:lastColumn="0" w:noHBand="0" w:noVBand="1"/>
      </w:tblPr>
      <w:tblGrid>
        <w:gridCol w:w="2020"/>
        <w:gridCol w:w="1409"/>
        <w:gridCol w:w="1558"/>
        <w:gridCol w:w="1827"/>
        <w:gridCol w:w="1474"/>
        <w:gridCol w:w="2039"/>
      </w:tblGrid>
      <w:tr w:rsidR="005703D7" w:rsidRPr="00840CF8" w14:paraId="7E787CB3" w14:textId="77777777" w:rsidTr="008E76B0">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2C5FCECE" w14:textId="77777777" w:rsidR="005703D7" w:rsidRPr="00840CF8" w:rsidRDefault="008E76B0" w:rsidP="00CB7D2C">
            <w:pPr>
              <w:snapToGrid w:val="0"/>
              <w:spacing w:line="360" w:lineRule="auto"/>
              <w:ind w:firstLineChars="118" w:firstLine="283"/>
              <w:rPr>
                <w:rFonts w:ascii="Book Antiqua" w:hAnsi="Book Antiqua" w:cs="Arial"/>
                <w:color w:val="000000" w:themeColor="text1"/>
                <w:szCs w:val="24"/>
              </w:rPr>
            </w:pPr>
            <w:r w:rsidRPr="00840CF8">
              <w:rPr>
                <w:rFonts w:ascii="Book Antiqua" w:hAnsi="Book Antiqua" w:cs="Arial"/>
                <w:color w:val="000000" w:themeColor="text1"/>
                <w:szCs w:val="24"/>
              </w:rPr>
              <w:t>Ref.</w:t>
            </w:r>
          </w:p>
        </w:tc>
        <w:tc>
          <w:tcPr>
            <w:tcW w:w="685" w:type="pct"/>
            <w:shd w:val="clear" w:color="auto" w:fill="auto"/>
          </w:tcPr>
          <w:p w14:paraId="728D732C" w14:textId="77777777" w:rsidR="005703D7" w:rsidRPr="00840CF8"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Study, Patient</w:t>
            </w:r>
          </w:p>
        </w:tc>
        <w:tc>
          <w:tcPr>
            <w:tcW w:w="757" w:type="pct"/>
            <w:shd w:val="clear" w:color="auto" w:fill="auto"/>
          </w:tcPr>
          <w:p w14:paraId="378863FC" w14:textId="77777777" w:rsidR="005703D7" w:rsidRPr="00840CF8"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Source/ Energy (MeV)</w:t>
            </w:r>
          </w:p>
        </w:tc>
        <w:tc>
          <w:tcPr>
            <w:tcW w:w="887" w:type="pct"/>
            <w:shd w:val="clear" w:color="auto" w:fill="auto"/>
          </w:tcPr>
          <w:p w14:paraId="06707DE9" w14:textId="77777777" w:rsidR="005703D7" w:rsidRPr="00840CF8"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Liver function</w:t>
            </w:r>
          </w:p>
        </w:tc>
        <w:tc>
          <w:tcPr>
            <w:tcW w:w="716" w:type="pct"/>
            <w:shd w:val="clear" w:color="auto" w:fill="auto"/>
          </w:tcPr>
          <w:p w14:paraId="249B1270" w14:textId="77777777" w:rsidR="005703D7" w:rsidRPr="00840CF8"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Vascular invasion</w:t>
            </w:r>
          </w:p>
        </w:tc>
        <w:tc>
          <w:tcPr>
            <w:tcW w:w="974" w:type="pct"/>
            <w:shd w:val="clear" w:color="auto" w:fill="auto"/>
          </w:tcPr>
          <w:p w14:paraId="6C1F0E67" w14:textId="77777777" w:rsidR="005703D7" w:rsidRPr="00840CF8" w:rsidRDefault="005703D7"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Tumor size</w:t>
            </w:r>
          </w:p>
        </w:tc>
      </w:tr>
      <w:tr w:rsidR="005703D7" w:rsidRPr="00840CF8" w14:paraId="043F25DA" w14:textId="77777777"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6F54E5D2" w14:textId="4AD865FA"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Bush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w:t>
            </w:r>
            <w:r w:rsidRPr="00840CF8">
              <w:rPr>
                <w:rFonts w:ascii="Book Antiqua" w:hAnsi="Book Antiqua" w:cs="Arial" w:hint="eastAsia"/>
                <w:b w:val="0"/>
                <w:bCs w:val="0"/>
                <w:noProof/>
                <w:color w:val="000000" w:themeColor="text1"/>
                <w:szCs w:val="24"/>
                <w:vertAlign w:val="superscript"/>
              </w:rPr>
              <w:t>40]</w:t>
            </w:r>
            <w:r w:rsidRPr="00840CF8">
              <w:rPr>
                <w:rFonts w:ascii="Book Antiqua" w:hAnsi="Book Antiqua" w:cs="Arial"/>
                <w:b w:val="0"/>
                <w:bCs w:val="0"/>
                <w:color w:val="000000" w:themeColor="text1"/>
                <w:szCs w:val="24"/>
              </w:rPr>
              <w:t xml:space="preserve"> </w:t>
            </w:r>
          </w:p>
        </w:tc>
        <w:tc>
          <w:tcPr>
            <w:tcW w:w="685" w:type="pct"/>
            <w:shd w:val="clear" w:color="auto" w:fill="auto"/>
          </w:tcPr>
          <w:p w14:paraId="2701A0CD"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Phase II, 76</w:t>
            </w:r>
          </w:p>
        </w:tc>
        <w:tc>
          <w:tcPr>
            <w:tcW w:w="757" w:type="pct"/>
            <w:shd w:val="clear" w:color="auto" w:fill="auto"/>
          </w:tcPr>
          <w:p w14:paraId="0482A787"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w:t>
            </w:r>
          </w:p>
        </w:tc>
        <w:tc>
          <w:tcPr>
            <w:tcW w:w="887" w:type="pct"/>
            <w:shd w:val="clear" w:color="auto" w:fill="auto"/>
          </w:tcPr>
          <w:p w14:paraId="23618B5C"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 score</w:t>
            </w:r>
          </w:p>
          <w:p w14:paraId="702C0D6E"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5-6</w:t>
            </w:r>
            <w:r w:rsidR="00A8427A" w:rsidRPr="00840CF8">
              <w:rPr>
                <w:rFonts w:ascii="Book Antiqua" w:hAnsi="Book Antiqua" w:cs="Arial"/>
                <w:color w:val="000000" w:themeColor="text1"/>
                <w:szCs w:val="24"/>
              </w:rPr>
              <w:t xml:space="preserve">  </w:t>
            </w:r>
            <w:r w:rsidR="00C9790B"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22</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w:t>
            </w:r>
          </w:p>
          <w:p w14:paraId="650C19F6"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7-9</w:t>
            </w:r>
            <w:r w:rsidR="00A8427A" w:rsidRPr="00840CF8">
              <w:rPr>
                <w:rFonts w:ascii="Book Antiqua" w:hAnsi="Book Antiqua" w:cs="Arial"/>
                <w:color w:val="000000" w:themeColor="text1"/>
                <w:szCs w:val="24"/>
              </w:rPr>
              <w:t xml:space="preserve">  </w:t>
            </w:r>
            <w:r w:rsidR="00C9790B"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36</w:t>
            </w:r>
            <w:r w:rsidR="00A8427A" w:rsidRPr="00840CF8">
              <w:rPr>
                <w:rFonts w:ascii="Book Antiqua" w:hAnsi="Book Antiqua" w:cs="Arial"/>
                <w:color w:val="000000" w:themeColor="text1"/>
                <w:szCs w:val="24"/>
              </w:rPr>
              <w:t xml:space="preserve"> </w:t>
            </w:r>
          </w:p>
          <w:p w14:paraId="1C4CECE1"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10-15</w:t>
            </w:r>
            <w:r w:rsidR="00A8427A" w:rsidRPr="00840CF8">
              <w:rPr>
                <w:rFonts w:ascii="Book Antiqua" w:hAnsi="Book Antiqua" w:cs="Arial"/>
                <w:color w:val="000000" w:themeColor="text1"/>
                <w:szCs w:val="24"/>
              </w:rPr>
              <w:t xml:space="preserve"> </w:t>
            </w:r>
            <w:r w:rsidR="00C9790B"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18</w:t>
            </w:r>
            <w:r w:rsidR="00A8427A" w:rsidRPr="00840CF8">
              <w:rPr>
                <w:rFonts w:ascii="Book Antiqua" w:hAnsi="Book Antiqua" w:cs="Arial"/>
                <w:color w:val="000000" w:themeColor="text1"/>
                <w:szCs w:val="24"/>
              </w:rPr>
              <w:t xml:space="preserve"> </w:t>
            </w:r>
          </w:p>
        </w:tc>
        <w:tc>
          <w:tcPr>
            <w:tcW w:w="716" w:type="pct"/>
            <w:shd w:val="clear" w:color="auto" w:fill="auto"/>
          </w:tcPr>
          <w:p w14:paraId="4E28268A"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4 patients</w:t>
            </w:r>
          </w:p>
        </w:tc>
        <w:tc>
          <w:tcPr>
            <w:tcW w:w="974" w:type="pct"/>
            <w:shd w:val="clear" w:color="auto" w:fill="auto"/>
          </w:tcPr>
          <w:p w14:paraId="755B5BD0"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5.5 cm (mean)</w:t>
            </w:r>
          </w:p>
          <w:p w14:paraId="4CDE390A"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r>
      <w:tr w:rsidR="005703D7" w:rsidRPr="00840CF8" w14:paraId="5FEB3E1E" w14:textId="77777777"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059BE148" w14:textId="608B6648"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Hong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[4</w:t>
            </w:r>
            <w:r w:rsidRPr="00840CF8">
              <w:rPr>
                <w:rFonts w:ascii="Book Antiqua" w:hAnsi="Book Antiqua" w:cs="Arial" w:hint="eastAsia"/>
                <w:b w:val="0"/>
                <w:bCs w:val="0"/>
                <w:noProof/>
                <w:color w:val="000000" w:themeColor="text1"/>
                <w:szCs w:val="24"/>
                <w:vertAlign w:val="superscript"/>
              </w:rPr>
              <w:t>1</w:t>
            </w:r>
            <w:r w:rsidRPr="00840CF8">
              <w:rPr>
                <w:rFonts w:ascii="Book Antiqua" w:hAnsi="Book Antiqua" w:cs="Arial"/>
                <w:b w:val="0"/>
                <w:bCs w:val="0"/>
                <w:noProof/>
                <w:color w:val="000000" w:themeColor="text1"/>
                <w:szCs w:val="24"/>
                <w:vertAlign w:val="superscript"/>
              </w:rPr>
              <w:t>]</w:t>
            </w:r>
          </w:p>
        </w:tc>
        <w:tc>
          <w:tcPr>
            <w:tcW w:w="685" w:type="pct"/>
            <w:shd w:val="clear" w:color="auto" w:fill="auto"/>
          </w:tcPr>
          <w:p w14:paraId="481E4CC4"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Phase II, 44</w:t>
            </w:r>
          </w:p>
        </w:tc>
        <w:tc>
          <w:tcPr>
            <w:tcW w:w="757" w:type="pct"/>
            <w:shd w:val="clear" w:color="auto" w:fill="auto"/>
          </w:tcPr>
          <w:p w14:paraId="4D73CB3A"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 (230-250)</w:t>
            </w:r>
          </w:p>
        </w:tc>
        <w:tc>
          <w:tcPr>
            <w:tcW w:w="887" w:type="pct"/>
            <w:shd w:val="clear" w:color="auto" w:fill="auto"/>
          </w:tcPr>
          <w:p w14:paraId="6E48499B"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663CC1D5"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32 </w:t>
            </w:r>
          </w:p>
          <w:p w14:paraId="43E4F267"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9</w:t>
            </w:r>
          </w:p>
          <w:p w14:paraId="41343415" w14:textId="77777777" w:rsidR="005703D7" w:rsidRPr="00840CF8" w:rsidDel="001B2ECA"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3 </w:t>
            </w:r>
          </w:p>
        </w:tc>
        <w:tc>
          <w:tcPr>
            <w:tcW w:w="716" w:type="pct"/>
            <w:shd w:val="clear" w:color="auto" w:fill="auto"/>
          </w:tcPr>
          <w:p w14:paraId="0ABEDB3B"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15 patients</w:t>
            </w:r>
          </w:p>
        </w:tc>
        <w:tc>
          <w:tcPr>
            <w:tcW w:w="974" w:type="pct"/>
            <w:shd w:val="clear" w:color="auto" w:fill="auto"/>
          </w:tcPr>
          <w:p w14:paraId="56ED127E"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5.0 cm (median,1.9-12.0)</w:t>
            </w:r>
          </w:p>
        </w:tc>
      </w:tr>
      <w:tr w:rsidR="005703D7" w:rsidRPr="00840CF8" w14:paraId="48019657" w14:textId="77777777"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5EBAF6A3" w14:textId="3344E0EF"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Chiba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[4</w:t>
            </w:r>
            <w:r w:rsidRPr="00840CF8">
              <w:rPr>
                <w:rFonts w:ascii="Book Antiqua" w:hAnsi="Book Antiqua" w:cs="Arial" w:hint="eastAsia"/>
                <w:b w:val="0"/>
                <w:bCs w:val="0"/>
                <w:noProof/>
                <w:color w:val="000000" w:themeColor="text1"/>
                <w:szCs w:val="24"/>
                <w:vertAlign w:val="superscript"/>
              </w:rPr>
              <w:t>2</w:t>
            </w:r>
            <w:r w:rsidRPr="00840CF8">
              <w:rPr>
                <w:rFonts w:ascii="Book Antiqua" w:hAnsi="Book Antiqua" w:cs="Arial"/>
                <w:b w:val="0"/>
                <w:bCs w:val="0"/>
                <w:noProof/>
                <w:color w:val="000000" w:themeColor="text1"/>
                <w:szCs w:val="24"/>
                <w:vertAlign w:val="superscript"/>
              </w:rPr>
              <w:t>]</w:t>
            </w:r>
          </w:p>
        </w:tc>
        <w:tc>
          <w:tcPr>
            <w:tcW w:w="685" w:type="pct"/>
            <w:shd w:val="clear" w:color="auto" w:fill="auto"/>
          </w:tcPr>
          <w:p w14:paraId="4594C114"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Retro, 162</w:t>
            </w:r>
          </w:p>
        </w:tc>
        <w:tc>
          <w:tcPr>
            <w:tcW w:w="757" w:type="pct"/>
            <w:shd w:val="clear" w:color="auto" w:fill="auto"/>
          </w:tcPr>
          <w:p w14:paraId="76BFEB63"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 (250)</w:t>
            </w:r>
          </w:p>
        </w:tc>
        <w:tc>
          <w:tcPr>
            <w:tcW w:w="887" w:type="pct"/>
            <w:shd w:val="clear" w:color="auto" w:fill="auto"/>
          </w:tcPr>
          <w:p w14:paraId="3BB62DFA"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570E90C8"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82</w:t>
            </w:r>
          </w:p>
          <w:p w14:paraId="64D53500"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62 </w:t>
            </w:r>
          </w:p>
          <w:p w14:paraId="625F33DD"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10 </w:t>
            </w:r>
          </w:p>
        </w:tc>
        <w:tc>
          <w:tcPr>
            <w:tcW w:w="716" w:type="pct"/>
            <w:shd w:val="clear" w:color="auto" w:fill="auto"/>
          </w:tcPr>
          <w:p w14:paraId="79559094"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10 patients</w:t>
            </w:r>
          </w:p>
        </w:tc>
        <w:tc>
          <w:tcPr>
            <w:tcW w:w="974" w:type="pct"/>
            <w:shd w:val="clear" w:color="auto" w:fill="auto"/>
          </w:tcPr>
          <w:p w14:paraId="6298822A"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3.8 cm (median, 1.5–14.5)</w:t>
            </w:r>
          </w:p>
          <w:p w14:paraId="0FC65D9A"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r>
      <w:tr w:rsidR="005703D7" w:rsidRPr="00840CF8" w14:paraId="533CA52A" w14:textId="77777777"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7FF166B0" w14:textId="32C5E2D5"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Nakayama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[3</w:t>
            </w:r>
            <w:r w:rsidRPr="00840CF8">
              <w:rPr>
                <w:rFonts w:ascii="Book Antiqua" w:hAnsi="Book Antiqua" w:cs="Arial" w:hint="eastAsia"/>
                <w:b w:val="0"/>
                <w:bCs w:val="0"/>
                <w:noProof/>
                <w:color w:val="000000" w:themeColor="text1"/>
                <w:szCs w:val="24"/>
                <w:vertAlign w:val="superscript"/>
              </w:rPr>
              <w:t>7</w:t>
            </w:r>
            <w:r w:rsidRPr="00840CF8">
              <w:rPr>
                <w:rFonts w:ascii="Book Antiqua" w:hAnsi="Book Antiqua" w:cs="Arial"/>
                <w:b w:val="0"/>
                <w:bCs w:val="0"/>
                <w:noProof/>
                <w:color w:val="000000" w:themeColor="text1"/>
                <w:szCs w:val="24"/>
                <w:vertAlign w:val="superscript"/>
              </w:rPr>
              <w:t>]</w:t>
            </w:r>
          </w:p>
        </w:tc>
        <w:tc>
          <w:tcPr>
            <w:tcW w:w="685" w:type="pct"/>
            <w:shd w:val="clear" w:color="auto" w:fill="auto"/>
          </w:tcPr>
          <w:p w14:paraId="6AFD5B08"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Retro, 47</w:t>
            </w:r>
          </w:p>
        </w:tc>
        <w:tc>
          <w:tcPr>
            <w:tcW w:w="757" w:type="pct"/>
            <w:shd w:val="clear" w:color="auto" w:fill="auto"/>
          </w:tcPr>
          <w:p w14:paraId="149A2DBB"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 (155 to 250)</w:t>
            </w:r>
          </w:p>
        </w:tc>
        <w:tc>
          <w:tcPr>
            <w:tcW w:w="887" w:type="pct"/>
            <w:shd w:val="clear" w:color="auto" w:fill="auto"/>
          </w:tcPr>
          <w:p w14:paraId="79D92118"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19D77E79"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35</w:t>
            </w:r>
          </w:p>
          <w:p w14:paraId="7B1B9908"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9</w:t>
            </w:r>
          </w:p>
          <w:p w14:paraId="6CCAC722"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3</w:t>
            </w:r>
          </w:p>
        </w:tc>
        <w:tc>
          <w:tcPr>
            <w:tcW w:w="716" w:type="pct"/>
            <w:shd w:val="clear" w:color="auto" w:fill="auto"/>
          </w:tcPr>
          <w:p w14:paraId="3A464DAD"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7 patients</w:t>
            </w:r>
          </w:p>
        </w:tc>
        <w:tc>
          <w:tcPr>
            <w:tcW w:w="974" w:type="pct"/>
            <w:shd w:val="clear" w:color="auto" w:fill="auto"/>
          </w:tcPr>
          <w:p w14:paraId="361EB619"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N/A</w:t>
            </w:r>
          </w:p>
        </w:tc>
      </w:tr>
      <w:tr w:rsidR="005703D7" w:rsidRPr="00840CF8" w:rsidDel="009434BB" w14:paraId="7A680B53" w14:textId="77777777"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58990C0E" w14:textId="36F81C8C"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Kawashima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[4</w:t>
            </w:r>
            <w:r w:rsidRPr="00840CF8">
              <w:rPr>
                <w:rFonts w:ascii="Book Antiqua" w:hAnsi="Book Antiqua" w:cs="Arial" w:hint="eastAsia"/>
                <w:b w:val="0"/>
                <w:bCs w:val="0"/>
                <w:noProof/>
                <w:color w:val="000000" w:themeColor="text1"/>
                <w:szCs w:val="24"/>
                <w:vertAlign w:val="superscript"/>
              </w:rPr>
              <w:t>3</w:t>
            </w:r>
            <w:r w:rsidRPr="00840CF8">
              <w:rPr>
                <w:rFonts w:ascii="Book Antiqua" w:hAnsi="Book Antiqua" w:cs="Arial"/>
                <w:b w:val="0"/>
                <w:bCs w:val="0"/>
                <w:noProof/>
                <w:color w:val="000000" w:themeColor="text1"/>
                <w:szCs w:val="24"/>
                <w:vertAlign w:val="superscript"/>
              </w:rPr>
              <w:t>]</w:t>
            </w:r>
          </w:p>
        </w:tc>
        <w:tc>
          <w:tcPr>
            <w:tcW w:w="685" w:type="pct"/>
            <w:shd w:val="clear" w:color="auto" w:fill="auto"/>
          </w:tcPr>
          <w:p w14:paraId="02706016"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Phase II, 30</w:t>
            </w:r>
          </w:p>
        </w:tc>
        <w:tc>
          <w:tcPr>
            <w:tcW w:w="757" w:type="pct"/>
            <w:shd w:val="clear" w:color="auto" w:fill="auto"/>
          </w:tcPr>
          <w:p w14:paraId="2C22EE28"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 (235)</w:t>
            </w:r>
          </w:p>
        </w:tc>
        <w:tc>
          <w:tcPr>
            <w:tcW w:w="887" w:type="pct"/>
            <w:shd w:val="clear" w:color="auto" w:fill="auto"/>
          </w:tcPr>
          <w:p w14:paraId="531736EB"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 xml:space="preserve">CPC </w:t>
            </w:r>
          </w:p>
          <w:p w14:paraId="3CA2C3AB"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20</w:t>
            </w:r>
            <w:r w:rsidR="00A8427A" w:rsidRPr="00840CF8">
              <w:rPr>
                <w:rFonts w:ascii="Book Antiqua" w:hAnsi="Book Antiqua" w:cs="Arial"/>
                <w:color w:val="000000" w:themeColor="text1"/>
                <w:szCs w:val="24"/>
              </w:rPr>
              <w:t xml:space="preserve"> </w:t>
            </w:r>
          </w:p>
          <w:p w14:paraId="4B3938FC"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10</w:t>
            </w:r>
          </w:p>
          <w:p w14:paraId="6D4BE86C"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716" w:type="pct"/>
            <w:shd w:val="clear" w:color="auto" w:fill="auto"/>
          </w:tcPr>
          <w:p w14:paraId="14205F03"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12 patients</w:t>
            </w:r>
          </w:p>
        </w:tc>
        <w:tc>
          <w:tcPr>
            <w:tcW w:w="974" w:type="pct"/>
            <w:shd w:val="clear" w:color="auto" w:fill="auto"/>
          </w:tcPr>
          <w:p w14:paraId="38E9BF98" w14:textId="77777777" w:rsidR="005703D7" w:rsidRPr="00840CF8" w:rsidDel="009434BB"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45 cm (median,25-82)</w:t>
            </w:r>
          </w:p>
        </w:tc>
      </w:tr>
      <w:tr w:rsidR="005703D7" w:rsidRPr="00840CF8" w14:paraId="258E5F0A" w14:textId="77777777"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04875895" w14:textId="30E21488"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Kim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[4</w:t>
            </w:r>
            <w:r w:rsidRPr="00840CF8">
              <w:rPr>
                <w:rFonts w:ascii="Book Antiqua" w:hAnsi="Book Antiqua" w:cs="Arial" w:hint="eastAsia"/>
                <w:b w:val="0"/>
                <w:bCs w:val="0"/>
                <w:noProof/>
                <w:color w:val="000000" w:themeColor="text1"/>
                <w:szCs w:val="24"/>
                <w:vertAlign w:val="superscript"/>
              </w:rPr>
              <w:t>4</w:t>
            </w:r>
            <w:r w:rsidRPr="00840CF8">
              <w:rPr>
                <w:rFonts w:ascii="Book Antiqua" w:hAnsi="Book Antiqua" w:cs="Arial"/>
                <w:b w:val="0"/>
                <w:bCs w:val="0"/>
                <w:noProof/>
                <w:color w:val="000000" w:themeColor="text1"/>
                <w:szCs w:val="24"/>
                <w:vertAlign w:val="superscript"/>
              </w:rPr>
              <w:t>]</w:t>
            </w:r>
            <w:r w:rsidRPr="00840CF8">
              <w:rPr>
                <w:rFonts w:ascii="Book Antiqua" w:hAnsi="Book Antiqua" w:cs="Arial"/>
                <w:b w:val="0"/>
                <w:bCs w:val="0"/>
                <w:color w:val="000000" w:themeColor="text1"/>
                <w:szCs w:val="24"/>
              </w:rPr>
              <w:t xml:space="preserve"> </w:t>
            </w:r>
          </w:p>
        </w:tc>
        <w:tc>
          <w:tcPr>
            <w:tcW w:w="685" w:type="pct"/>
            <w:shd w:val="clear" w:color="auto" w:fill="auto"/>
          </w:tcPr>
          <w:p w14:paraId="575DEF1F"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Phase I, 27</w:t>
            </w:r>
          </w:p>
        </w:tc>
        <w:tc>
          <w:tcPr>
            <w:tcW w:w="757" w:type="pct"/>
            <w:shd w:val="clear" w:color="auto" w:fill="auto"/>
          </w:tcPr>
          <w:p w14:paraId="49AB4B6F"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 (250)</w:t>
            </w:r>
          </w:p>
        </w:tc>
        <w:tc>
          <w:tcPr>
            <w:tcW w:w="887" w:type="pct"/>
            <w:shd w:val="clear" w:color="auto" w:fill="auto"/>
          </w:tcPr>
          <w:p w14:paraId="4B79ACA0"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15E06506"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24</w:t>
            </w:r>
          </w:p>
          <w:p w14:paraId="5C90440F"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3</w:t>
            </w:r>
          </w:p>
        </w:tc>
        <w:tc>
          <w:tcPr>
            <w:tcW w:w="716" w:type="pct"/>
            <w:shd w:val="clear" w:color="auto" w:fill="auto"/>
          </w:tcPr>
          <w:p w14:paraId="258FEC16"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N/A</w:t>
            </w:r>
          </w:p>
        </w:tc>
        <w:tc>
          <w:tcPr>
            <w:tcW w:w="974" w:type="pct"/>
            <w:shd w:val="clear" w:color="auto" w:fill="auto"/>
          </w:tcPr>
          <w:p w14:paraId="1D60CC67"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2.3-3.2 cm (median, 1.3-7)</w:t>
            </w:r>
          </w:p>
        </w:tc>
      </w:tr>
      <w:tr w:rsidR="005703D7" w:rsidRPr="00840CF8" w14:paraId="6DD7AA71" w14:textId="77777777"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61E0D161" w14:textId="60D9939C"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Kato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[4</w:t>
            </w:r>
            <w:r w:rsidRPr="00840CF8">
              <w:rPr>
                <w:rFonts w:ascii="Book Antiqua" w:hAnsi="Book Antiqua" w:cs="Arial" w:hint="eastAsia"/>
                <w:b w:val="0"/>
                <w:bCs w:val="0"/>
                <w:noProof/>
                <w:color w:val="000000" w:themeColor="text1"/>
                <w:szCs w:val="24"/>
                <w:vertAlign w:val="superscript"/>
              </w:rPr>
              <w:t>5</w:t>
            </w:r>
            <w:r w:rsidRPr="00840CF8">
              <w:rPr>
                <w:rFonts w:ascii="Book Antiqua" w:hAnsi="Book Antiqua" w:cs="Arial"/>
                <w:b w:val="0"/>
                <w:bCs w:val="0"/>
                <w:noProof/>
                <w:color w:val="000000" w:themeColor="text1"/>
                <w:szCs w:val="24"/>
                <w:vertAlign w:val="superscript"/>
              </w:rPr>
              <w:t>]</w:t>
            </w:r>
          </w:p>
        </w:tc>
        <w:tc>
          <w:tcPr>
            <w:tcW w:w="685" w:type="pct"/>
            <w:shd w:val="clear" w:color="auto" w:fill="auto"/>
          </w:tcPr>
          <w:p w14:paraId="08CD72C6"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Phase I/II, 24</w:t>
            </w:r>
          </w:p>
        </w:tc>
        <w:tc>
          <w:tcPr>
            <w:tcW w:w="757" w:type="pct"/>
            <w:shd w:val="clear" w:color="auto" w:fill="auto"/>
          </w:tcPr>
          <w:p w14:paraId="4CB8C50F"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Carbon</w:t>
            </w:r>
            <w:r w:rsidRPr="00840CF8">
              <w:rPr>
                <w:rFonts w:ascii="宋体" w:eastAsia="宋体" w:hAnsi="宋体" w:cs="宋体" w:hint="eastAsia"/>
                <w:color w:val="000000" w:themeColor="text1"/>
                <w:szCs w:val="24"/>
              </w:rPr>
              <w:t>‐</w:t>
            </w:r>
            <w:r w:rsidRPr="00840CF8">
              <w:rPr>
                <w:rFonts w:ascii="Book Antiqua" w:hAnsi="Book Antiqua" w:cs="Arial"/>
                <w:color w:val="000000" w:themeColor="text1"/>
                <w:szCs w:val="24"/>
              </w:rPr>
              <w:t>ion</w:t>
            </w:r>
            <w:r w:rsidRPr="00840CF8" w:rsidDel="00D358E7">
              <w:rPr>
                <w:rFonts w:ascii="Book Antiqua" w:hAnsi="Book Antiqua" w:cs="Arial"/>
                <w:color w:val="000000" w:themeColor="text1"/>
                <w:szCs w:val="24"/>
              </w:rPr>
              <w:t xml:space="preserve"> </w:t>
            </w:r>
            <w:r w:rsidRPr="00840CF8">
              <w:rPr>
                <w:rFonts w:ascii="Book Antiqua" w:hAnsi="Book Antiqua" w:cs="Arial"/>
                <w:color w:val="000000" w:themeColor="text1"/>
                <w:szCs w:val="24"/>
              </w:rPr>
              <w:t>(290-400)</w:t>
            </w:r>
          </w:p>
        </w:tc>
        <w:tc>
          <w:tcPr>
            <w:tcW w:w="887" w:type="pct"/>
            <w:shd w:val="clear" w:color="auto" w:fill="auto"/>
          </w:tcPr>
          <w:p w14:paraId="676CB3F4"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504079DF"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16</w:t>
            </w:r>
          </w:p>
          <w:p w14:paraId="54903EDF"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8</w:t>
            </w:r>
          </w:p>
        </w:tc>
        <w:tc>
          <w:tcPr>
            <w:tcW w:w="716" w:type="pct"/>
            <w:shd w:val="clear" w:color="auto" w:fill="auto"/>
          </w:tcPr>
          <w:p w14:paraId="3CC8C934"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3 patients</w:t>
            </w:r>
          </w:p>
        </w:tc>
        <w:tc>
          <w:tcPr>
            <w:tcW w:w="974" w:type="pct"/>
            <w:shd w:val="clear" w:color="auto" w:fill="auto"/>
          </w:tcPr>
          <w:p w14:paraId="7DDBA1B5"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5.0 cm (median,2.1-8.5)</w:t>
            </w:r>
          </w:p>
        </w:tc>
      </w:tr>
      <w:tr w:rsidR="005703D7" w:rsidRPr="00840CF8" w14:paraId="7E84A412" w14:textId="77777777"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05B29D7A" w14:textId="4F13EAAE"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Mizumoto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[3</w:t>
            </w:r>
            <w:r w:rsidRPr="00840CF8">
              <w:rPr>
                <w:rFonts w:ascii="Book Antiqua" w:hAnsi="Book Antiqua" w:cs="Arial" w:hint="eastAsia"/>
                <w:b w:val="0"/>
                <w:bCs w:val="0"/>
                <w:noProof/>
                <w:color w:val="000000" w:themeColor="text1"/>
                <w:szCs w:val="24"/>
                <w:vertAlign w:val="superscript"/>
              </w:rPr>
              <w:t>4</w:t>
            </w:r>
            <w:r w:rsidRPr="00840CF8">
              <w:rPr>
                <w:rFonts w:ascii="Book Antiqua" w:hAnsi="Book Antiqua" w:cs="Arial"/>
                <w:b w:val="0"/>
                <w:bCs w:val="0"/>
                <w:noProof/>
                <w:color w:val="000000" w:themeColor="text1"/>
                <w:szCs w:val="24"/>
                <w:vertAlign w:val="superscript"/>
              </w:rPr>
              <w:t>]</w:t>
            </w:r>
          </w:p>
        </w:tc>
        <w:tc>
          <w:tcPr>
            <w:tcW w:w="685" w:type="pct"/>
            <w:shd w:val="clear" w:color="auto" w:fill="auto"/>
          </w:tcPr>
          <w:p w14:paraId="304FFE81"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Retro, 266</w:t>
            </w:r>
          </w:p>
        </w:tc>
        <w:tc>
          <w:tcPr>
            <w:tcW w:w="757" w:type="pct"/>
            <w:shd w:val="clear" w:color="auto" w:fill="auto"/>
          </w:tcPr>
          <w:p w14:paraId="07E362A6"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w:t>
            </w:r>
          </w:p>
        </w:tc>
        <w:tc>
          <w:tcPr>
            <w:tcW w:w="887" w:type="pct"/>
            <w:shd w:val="clear" w:color="auto" w:fill="auto"/>
          </w:tcPr>
          <w:p w14:paraId="394C2E3B"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3A96628E"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203 </w:t>
            </w:r>
          </w:p>
          <w:p w14:paraId="364FA240"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60</w:t>
            </w:r>
          </w:p>
          <w:p w14:paraId="281041BA"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3</w:t>
            </w:r>
          </w:p>
        </w:tc>
        <w:tc>
          <w:tcPr>
            <w:tcW w:w="716" w:type="pct"/>
            <w:shd w:val="clear" w:color="auto" w:fill="auto"/>
          </w:tcPr>
          <w:p w14:paraId="12B63332"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N/A</w:t>
            </w:r>
          </w:p>
        </w:tc>
        <w:tc>
          <w:tcPr>
            <w:tcW w:w="974" w:type="pct"/>
            <w:shd w:val="clear" w:color="auto" w:fill="auto"/>
          </w:tcPr>
          <w:p w14:paraId="72D6C899"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&lt;</w:t>
            </w:r>
            <w:r w:rsidR="002A3EA6"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3 cm</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100 </w:t>
            </w:r>
          </w:p>
          <w:p w14:paraId="34DA81B4"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3.0–4.9 cm</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96</w:t>
            </w:r>
          </w:p>
          <w:p w14:paraId="3DAEB46D"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50–99 cm</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62</w:t>
            </w:r>
          </w:p>
          <w:p w14:paraId="724C91DC"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&gt;</w:t>
            </w:r>
            <w:r w:rsidR="002A3EA6"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100 cm</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8</w:t>
            </w:r>
          </w:p>
        </w:tc>
      </w:tr>
      <w:tr w:rsidR="005703D7" w:rsidRPr="00840CF8" w14:paraId="2139BC51" w14:textId="77777777"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4197502F" w14:textId="2F2BA44C"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Komatsu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[3</w:t>
            </w:r>
            <w:r w:rsidRPr="00840CF8">
              <w:rPr>
                <w:rFonts w:ascii="Book Antiqua" w:hAnsi="Book Antiqua" w:cs="Arial" w:hint="eastAsia"/>
                <w:b w:val="0"/>
                <w:bCs w:val="0"/>
                <w:noProof/>
                <w:color w:val="000000" w:themeColor="text1"/>
                <w:szCs w:val="24"/>
                <w:vertAlign w:val="superscript"/>
              </w:rPr>
              <w:t>9</w:t>
            </w:r>
            <w:r w:rsidRPr="00840CF8">
              <w:rPr>
                <w:rFonts w:ascii="Book Antiqua" w:hAnsi="Book Antiqua" w:cs="Arial"/>
                <w:b w:val="0"/>
                <w:bCs w:val="0"/>
                <w:noProof/>
                <w:color w:val="000000" w:themeColor="text1"/>
                <w:szCs w:val="24"/>
                <w:vertAlign w:val="superscript"/>
              </w:rPr>
              <w:t>]</w:t>
            </w:r>
          </w:p>
        </w:tc>
        <w:tc>
          <w:tcPr>
            <w:tcW w:w="685" w:type="pct"/>
            <w:shd w:val="clear" w:color="auto" w:fill="auto"/>
          </w:tcPr>
          <w:p w14:paraId="64EBE879"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Retro, 343</w:t>
            </w:r>
          </w:p>
        </w:tc>
        <w:tc>
          <w:tcPr>
            <w:tcW w:w="757" w:type="pct"/>
            <w:shd w:val="clear" w:color="auto" w:fill="auto"/>
          </w:tcPr>
          <w:p w14:paraId="49425C26"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 Carbon</w:t>
            </w:r>
            <w:r w:rsidRPr="00840CF8">
              <w:rPr>
                <w:rFonts w:ascii="宋体" w:eastAsia="宋体" w:hAnsi="宋体" w:cs="宋体" w:hint="eastAsia"/>
                <w:color w:val="000000" w:themeColor="text1"/>
                <w:szCs w:val="24"/>
              </w:rPr>
              <w:t>‐</w:t>
            </w:r>
            <w:r w:rsidRPr="00840CF8">
              <w:rPr>
                <w:rFonts w:ascii="Book Antiqua" w:hAnsi="Book Antiqua" w:cs="Arial"/>
                <w:color w:val="000000" w:themeColor="text1"/>
                <w:szCs w:val="24"/>
              </w:rPr>
              <w:t>ion</w:t>
            </w:r>
          </w:p>
        </w:tc>
        <w:tc>
          <w:tcPr>
            <w:tcW w:w="887" w:type="pct"/>
            <w:shd w:val="clear" w:color="auto" w:fill="auto"/>
          </w:tcPr>
          <w:p w14:paraId="11D5F0C1"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5781D283"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262 </w:t>
            </w:r>
          </w:p>
          <w:p w14:paraId="2A75C07C"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75</w:t>
            </w:r>
          </w:p>
          <w:p w14:paraId="0266272C"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6</w:t>
            </w:r>
          </w:p>
        </w:tc>
        <w:tc>
          <w:tcPr>
            <w:tcW w:w="716" w:type="pct"/>
            <w:shd w:val="clear" w:color="auto" w:fill="auto"/>
          </w:tcPr>
          <w:p w14:paraId="23F97976"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92 patients</w:t>
            </w:r>
          </w:p>
        </w:tc>
        <w:tc>
          <w:tcPr>
            <w:tcW w:w="974" w:type="pct"/>
            <w:shd w:val="clear" w:color="auto" w:fill="auto"/>
          </w:tcPr>
          <w:p w14:paraId="34B5595F"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&lt;</w:t>
            </w:r>
            <w:r w:rsidR="002A3EA6"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50</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277 50-100</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80</w:t>
            </w:r>
          </w:p>
          <w:p w14:paraId="2C325027"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&gt;</w:t>
            </w:r>
            <w:r w:rsidR="002A3EA6"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100</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22</w:t>
            </w:r>
          </w:p>
        </w:tc>
      </w:tr>
      <w:tr w:rsidR="005703D7" w:rsidRPr="00840CF8" w14:paraId="4BB795F8" w14:textId="77777777" w:rsidTr="008E76B0">
        <w:tc>
          <w:tcPr>
            <w:cnfStyle w:val="001000000000" w:firstRow="0" w:lastRow="0" w:firstColumn="1" w:lastColumn="0" w:oddVBand="0" w:evenVBand="0" w:oddHBand="0" w:evenHBand="0" w:firstRowFirstColumn="0" w:firstRowLastColumn="0" w:lastRowFirstColumn="0" w:lastRowLastColumn="0"/>
            <w:tcW w:w="981" w:type="pct"/>
            <w:shd w:val="clear" w:color="auto" w:fill="auto"/>
          </w:tcPr>
          <w:p w14:paraId="3EFA223A" w14:textId="532B3574"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Kim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[4</w:t>
            </w:r>
            <w:r w:rsidRPr="00840CF8">
              <w:rPr>
                <w:rFonts w:ascii="Book Antiqua" w:hAnsi="Book Antiqua" w:cs="Arial" w:hint="eastAsia"/>
                <w:b w:val="0"/>
                <w:bCs w:val="0"/>
                <w:noProof/>
                <w:color w:val="000000" w:themeColor="text1"/>
                <w:szCs w:val="24"/>
                <w:vertAlign w:val="superscript"/>
              </w:rPr>
              <w:t>6</w:t>
            </w:r>
            <w:r w:rsidRPr="00840CF8">
              <w:rPr>
                <w:rFonts w:ascii="Book Antiqua" w:hAnsi="Book Antiqua" w:cs="Arial"/>
                <w:b w:val="0"/>
                <w:bCs w:val="0"/>
                <w:noProof/>
                <w:color w:val="000000" w:themeColor="text1"/>
                <w:szCs w:val="24"/>
                <w:vertAlign w:val="superscript"/>
              </w:rPr>
              <w:t>]</w:t>
            </w:r>
          </w:p>
        </w:tc>
        <w:tc>
          <w:tcPr>
            <w:tcW w:w="685" w:type="pct"/>
            <w:shd w:val="clear" w:color="auto" w:fill="auto"/>
          </w:tcPr>
          <w:p w14:paraId="1CFFEAC2"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Retro, 71</w:t>
            </w:r>
          </w:p>
        </w:tc>
        <w:tc>
          <w:tcPr>
            <w:tcW w:w="757" w:type="pct"/>
            <w:shd w:val="clear" w:color="auto" w:fill="auto"/>
          </w:tcPr>
          <w:p w14:paraId="20DDC63B"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Proton (230)</w:t>
            </w:r>
          </w:p>
        </w:tc>
        <w:tc>
          <w:tcPr>
            <w:tcW w:w="887" w:type="pct"/>
            <w:shd w:val="clear" w:color="auto" w:fill="auto"/>
          </w:tcPr>
          <w:p w14:paraId="770A9049"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6B4E2BF7"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A 68</w:t>
            </w:r>
          </w:p>
          <w:p w14:paraId="30F98EDA"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 3</w:t>
            </w:r>
          </w:p>
        </w:tc>
        <w:tc>
          <w:tcPr>
            <w:tcW w:w="716" w:type="pct"/>
            <w:shd w:val="clear" w:color="auto" w:fill="auto"/>
          </w:tcPr>
          <w:p w14:paraId="70EA1F3A"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0</w:t>
            </w:r>
          </w:p>
        </w:tc>
        <w:tc>
          <w:tcPr>
            <w:tcW w:w="974" w:type="pct"/>
            <w:shd w:val="clear" w:color="auto" w:fill="auto"/>
          </w:tcPr>
          <w:p w14:paraId="60BCF2B3" w14:textId="77777777" w:rsidR="005703D7" w:rsidRPr="00840CF8" w:rsidRDefault="005703D7"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1.5 (median,1.0–8.5)</w:t>
            </w:r>
          </w:p>
        </w:tc>
      </w:tr>
      <w:tr w:rsidR="005703D7" w:rsidRPr="00840CF8" w14:paraId="0A13395F" w14:textId="77777777" w:rsidTr="008E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Borders>
              <w:bottom w:val="single" w:sz="8" w:space="0" w:color="000000" w:themeColor="text1"/>
            </w:tcBorders>
            <w:shd w:val="clear" w:color="auto" w:fill="auto"/>
          </w:tcPr>
          <w:p w14:paraId="5D0115DF" w14:textId="1C496DD4" w:rsidR="005703D7" w:rsidRPr="00840CF8" w:rsidRDefault="005703D7"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b w:val="0"/>
                <w:bCs w:val="0"/>
                <w:color w:val="000000" w:themeColor="text1"/>
                <w:szCs w:val="24"/>
              </w:rPr>
              <w:t xml:space="preserve">Shibuya </w:t>
            </w:r>
            <w:r w:rsidR="008E76B0" w:rsidRPr="00840CF8">
              <w:rPr>
                <w:rFonts w:ascii="Book Antiqua" w:hAnsi="Book Antiqua" w:cs="Arial"/>
                <w:b w:val="0"/>
                <w:bCs w:val="0"/>
                <w:i/>
                <w:iCs/>
                <w:color w:val="000000" w:themeColor="text1"/>
                <w:szCs w:val="24"/>
              </w:rPr>
              <w:t>et al</w:t>
            </w:r>
            <w:r w:rsidRPr="00840CF8">
              <w:rPr>
                <w:rFonts w:ascii="Book Antiqua" w:hAnsi="Book Antiqua" w:cs="Arial"/>
                <w:b w:val="0"/>
                <w:bCs w:val="0"/>
                <w:noProof/>
                <w:color w:val="000000" w:themeColor="text1"/>
                <w:szCs w:val="24"/>
                <w:vertAlign w:val="superscript"/>
              </w:rPr>
              <w:t>[3</w:t>
            </w:r>
            <w:r w:rsidRPr="00840CF8">
              <w:rPr>
                <w:rFonts w:ascii="Book Antiqua" w:hAnsi="Book Antiqua" w:cs="Arial" w:hint="eastAsia"/>
                <w:b w:val="0"/>
                <w:bCs w:val="0"/>
                <w:noProof/>
                <w:color w:val="000000" w:themeColor="text1"/>
                <w:szCs w:val="24"/>
                <w:vertAlign w:val="superscript"/>
              </w:rPr>
              <w:t>8</w:t>
            </w:r>
            <w:r w:rsidRPr="00840CF8">
              <w:rPr>
                <w:rFonts w:ascii="Book Antiqua" w:hAnsi="Book Antiqua" w:cs="Arial"/>
                <w:b w:val="0"/>
                <w:bCs w:val="0"/>
                <w:noProof/>
                <w:color w:val="000000" w:themeColor="text1"/>
                <w:szCs w:val="24"/>
                <w:vertAlign w:val="superscript"/>
              </w:rPr>
              <w:t>]</w:t>
            </w:r>
          </w:p>
        </w:tc>
        <w:tc>
          <w:tcPr>
            <w:tcW w:w="685" w:type="pct"/>
            <w:tcBorders>
              <w:bottom w:val="single" w:sz="8" w:space="0" w:color="000000" w:themeColor="text1"/>
            </w:tcBorders>
            <w:shd w:val="clear" w:color="auto" w:fill="auto"/>
          </w:tcPr>
          <w:p w14:paraId="0DB0F07E"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Retro, 174</w:t>
            </w:r>
          </w:p>
        </w:tc>
        <w:tc>
          <w:tcPr>
            <w:tcW w:w="757" w:type="pct"/>
            <w:tcBorders>
              <w:bottom w:val="single" w:sz="8" w:space="0" w:color="000000" w:themeColor="text1"/>
            </w:tcBorders>
            <w:shd w:val="clear" w:color="auto" w:fill="auto"/>
          </w:tcPr>
          <w:p w14:paraId="5806DB80"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Carbon</w:t>
            </w:r>
            <w:r w:rsidRPr="00840CF8">
              <w:rPr>
                <w:rFonts w:ascii="宋体" w:eastAsia="宋体" w:hAnsi="宋体" w:cs="宋体" w:hint="eastAsia"/>
                <w:color w:val="000000" w:themeColor="text1"/>
                <w:szCs w:val="24"/>
              </w:rPr>
              <w:t>‐</w:t>
            </w:r>
            <w:r w:rsidRPr="00840CF8">
              <w:rPr>
                <w:rFonts w:ascii="Book Antiqua" w:hAnsi="Book Antiqua" w:cs="Arial"/>
                <w:color w:val="000000" w:themeColor="text1"/>
                <w:szCs w:val="24"/>
              </w:rPr>
              <w:t>ion</w:t>
            </w:r>
          </w:p>
        </w:tc>
        <w:tc>
          <w:tcPr>
            <w:tcW w:w="887" w:type="pct"/>
            <w:tcBorders>
              <w:bottom w:val="single" w:sz="8" w:space="0" w:color="000000" w:themeColor="text1"/>
            </w:tcBorders>
            <w:shd w:val="clear" w:color="auto" w:fill="auto"/>
          </w:tcPr>
          <w:p w14:paraId="1A1FB384"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CPC</w:t>
            </w:r>
          </w:p>
          <w:p w14:paraId="4D3685A6"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 xml:space="preserve">A 153 </w:t>
            </w:r>
          </w:p>
          <w:p w14:paraId="3FB22212"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 20</w:t>
            </w:r>
          </w:p>
        </w:tc>
        <w:tc>
          <w:tcPr>
            <w:tcW w:w="716" w:type="pct"/>
            <w:tcBorders>
              <w:bottom w:val="single" w:sz="8" w:space="0" w:color="000000" w:themeColor="text1"/>
            </w:tcBorders>
            <w:shd w:val="clear" w:color="auto" w:fill="auto"/>
          </w:tcPr>
          <w:p w14:paraId="2FD1F48A"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0</w:t>
            </w:r>
          </w:p>
        </w:tc>
        <w:tc>
          <w:tcPr>
            <w:tcW w:w="974" w:type="pct"/>
            <w:tcBorders>
              <w:bottom w:val="single" w:sz="8" w:space="0" w:color="000000" w:themeColor="text1"/>
            </w:tcBorders>
            <w:shd w:val="clear" w:color="auto" w:fill="auto"/>
          </w:tcPr>
          <w:p w14:paraId="249F3078" w14:textId="77777777" w:rsidR="005703D7" w:rsidRPr="00840CF8" w:rsidRDefault="005703D7"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3.0 (median,0.8</w:t>
            </w:r>
            <w:r w:rsidRPr="00840CF8">
              <w:rPr>
                <w:rFonts w:ascii="宋体" w:eastAsia="宋体" w:hAnsi="宋体" w:cs="宋体" w:hint="eastAsia"/>
                <w:color w:val="000000" w:themeColor="text1"/>
                <w:szCs w:val="24"/>
              </w:rPr>
              <w:t>‐</w:t>
            </w:r>
            <w:r w:rsidRPr="00840CF8">
              <w:rPr>
                <w:rFonts w:ascii="Book Antiqua" w:hAnsi="Book Antiqua" w:cs="Arial"/>
                <w:color w:val="000000" w:themeColor="text1"/>
                <w:szCs w:val="24"/>
              </w:rPr>
              <w:t>10.3)</w:t>
            </w:r>
          </w:p>
        </w:tc>
      </w:tr>
    </w:tbl>
    <w:p w14:paraId="1E8CB9D2" w14:textId="77777777" w:rsidR="005703D7" w:rsidRPr="00840CF8" w:rsidRDefault="000C51EE" w:rsidP="00CB7D2C">
      <w:pPr>
        <w:pStyle w:val="EndNoteBibliography"/>
        <w:snapToGrid w:val="0"/>
        <w:spacing w:line="360" w:lineRule="auto"/>
        <w:jc w:val="both"/>
        <w:rPr>
          <w:rFonts w:ascii="Book Antiqua" w:hAnsi="Book Antiqua" w:cs="Arial"/>
          <w:color w:val="000000" w:themeColor="text1"/>
          <w:szCs w:val="24"/>
        </w:rPr>
      </w:pPr>
      <w:r w:rsidRPr="00840CF8">
        <w:rPr>
          <w:rFonts w:ascii="Book Antiqua" w:hAnsi="Book Antiqua" w:cs="Arial"/>
          <w:color w:val="000000" w:themeColor="text1"/>
          <w:szCs w:val="24"/>
        </w:rPr>
        <w:t xml:space="preserve">CPC: Child-pugh classification; Retro: </w:t>
      </w:r>
      <w:r w:rsidRPr="00840CF8">
        <w:rPr>
          <w:rFonts w:ascii="Book Antiqua" w:hAnsi="Book Antiqua" w:cs="Arial"/>
          <w:caps/>
          <w:color w:val="000000" w:themeColor="text1"/>
          <w:szCs w:val="24"/>
        </w:rPr>
        <w:t>r</w:t>
      </w:r>
      <w:r w:rsidRPr="00840CF8">
        <w:rPr>
          <w:rFonts w:ascii="Book Antiqua" w:hAnsi="Book Antiqua" w:cs="Arial"/>
          <w:color w:val="000000" w:themeColor="text1"/>
          <w:szCs w:val="24"/>
        </w:rPr>
        <w:t xml:space="preserve">etrospective study; N/A: </w:t>
      </w:r>
      <w:r w:rsidRPr="00840CF8">
        <w:rPr>
          <w:rFonts w:ascii="Book Antiqua" w:hAnsi="Book Antiqua" w:cs="Arial"/>
          <w:caps/>
          <w:color w:val="000000" w:themeColor="text1"/>
          <w:szCs w:val="24"/>
        </w:rPr>
        <w:t>n</w:t>
      </w:r>
      <w:r w:rsidRPr="00840CF8">
        <w:rPr>
          <w:rFonts w:ascii="Book Antiqua" w:hAnsi="Book Antiqua" w:cs="Arial"/>
          <w:color w:val="000000" w:themeColor="text1"/>
          <w:szCs w:val="24"/>
        </w:rPr>
        <w:t>on-analyses.</w:t>
      </w:r>
    </w:p>
    <w:p w14:paraId="17C16BA2" w14:textId="77777777" w:rsidR="002A3EA6" w:rsidRPr="00840CF8" w:rsidRDefault="00DE35DF" w:rsidP="00AC74FA">
      <w:pPr>
        <w:pStyle w:val="EndNoteBibliography"/>
        <w:snapToGrid w:val="0"/>
        <w:spacing w:line="360" w:lineRule="auto"/>
        <w:jc w:val="both"/>
        <w:rPr>
          <w:rFonts w:ascii="Book Antiqua" w:hAnsi="Book Antiqua" w:cs="Arial"/>
          <w:color w:val="000000" w:themeColor="text1"/>
          <w:szCs w:val="24"/>
        </w:rPr>
      </w:pPr>
      <w:r w:rsidRPr="00840CF8">
        <w:rPr>
          <w:rFonts w:ascii="Book Antiqua" w:hAnsi="Book Antiqua" w:cs="Arial"/>
          <w:color w:val="000000" w:themeColor="text1"/>
          <w:szCs w:val="24"/>
        </w:rPr>
        <w:br w:type="page"/>
      </w:r>
    </w:p>
    <w:p w14:paraId="724ADE1F" w14:textId="4271ED14" w:rsidR="007B7759" w:rsidRPr="00840CF8" w:rsidRDefault="002A3EA6" w:rsidP="00CB7D2C">
      <w:pPr>
        <w:pStyle w:val="EndNoteBibliography"/>
        <w:snapToGrid w:val="0"/>
        <w:spacing w:line="360" w:lineRule="auto"/>
        <w:jc w:val="both"/>
        <w:rPr>
          <w:rFonts w:ascii="Book Antiqua" w:hAnsi="Book Antiqua" w:cs="Arial"/>
          <w:b/>
          <w:bCs/>
          <w:color w:val="000000" w:themeColor="text1"/>
          <w:szCs w:val="24"/>
        </w:rPr>
      </w:pPr>
      <w:r w:rsidRPr="00840CF8">
        <w:rPr>
          <w:rFonts w:ascii="Book Antiqua" w:hAnsi="Book Antiqua" w:cs="Arial"/>
          <w:b/>
          <w:bCs/>
          <w:color w:val="000000" w:themeColor="text1"/>
          <w:szCs w:val="24"/>
        </w:rPr>
        <w:t xml:space="preserve">Table 2 Main clinical results of the selected studies </w:t>
      </w:r>
    </w:p>
    <w:tbl>
      <w:tblPr>
        <w:tblStyle w:val="af0"/>
        <w:tblpPr w:leftFromText="180" w:rightFromText="180" w:vertAnchor="page" w:horzAnchor="margin" w:tblpY="1634"/>
        <w:tblW w:w="10989" w:type="dxa"/>
        <w:tblLook w:val="04A0" w:firstRow="1" w:lastRow="0" w:firstColumn="1" w:lastColumn="0" w:noHBand="0" w:noVBand="1"/>
      </w:tblPr>
      <w:tblGrid>
        <w:gridCol w:w="1695"/>
        <w:gridCol w:w="1887"/>
        <w:gridCol w:w="1852"/>
        <w:gridCol w:w="1460"/>
        <w:gridCol w:w="2238"/>
        <w:gridCol w:w="1857"/>
      </w:tblGrid>
      <w:tr w:rsidR="00DB2F6C" w:rsidRPr="00840CF8" w14:paraId="0B03A256" w14:textId="77777777" w:rsidTr="00DB2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D3834E9" w14:textId="77777777"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Ref.</w:t>
            </w:r>
          </w:p>
        </w:tc>
        <w:tc>
          <w:tcPr>
            <w:tcW w:w="1859" w:type="dxa"/>
            <w:shd w:val="clear" w:color="auto" w:fill="auto"/>
          </w:tcPr>
          <w:p w14:paraId="3052ACFB" w14:textId="77777777" w:rsidR="00DB2F6C" w:rsidRPr="00840CF8"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Dose fractionation (GyE/fractions)</w:t>
            </w:r>
          </w:p>
        </w:tc>
        <w:tc>
          <w:tcPr>
            <w:tcW w:w="1858" w:type="dxa"/>
            <w:shd w:val="clear" w:color="auto" w:fill="auto"/>
          </w:tcPr>
          <w:p w14:paraId="6EC2E6F5" w14:textId="77777777" w:rsidR="00DB2F6C" w:rsidRPr="00840CF8"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themeColor="text1"/>
                <w:szCs w:val="24"/>
              </w:rPr>
            </w:pPr>
            <w:r w:rsidRPr="00840CF8">
              <w:rPr>
                <w:rFonts w:ascii="Book Antiqua" w:hAnsi="Book Antiqua" w:cs="Arial"/>
                <w:color w:val="000000" w:themeColor="text1"/>
                <w:szCs w:val="24"/>
              </w:rPr>
              <w:t>Treatment planning</w:t>
            </w:r>
          </w:p>
          <w:p w14:paraId="462333AC" w14:textId="77777777" w:rsidR="00DB2F6C" w:rsidRPr="00840CF8"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14:paraId="4F823243" w14:textId="77777777" w:rsidR="00DB2F6C" w:rsidRPr="00840CF8"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Local control</w:t>
            </w:r>
          </w:p>
        </w:tc>
        <w:tc>
          <w:tcPr>
            <w:tcW w:w="2251" w:type="dxa"/>
            <w:shd w:val="clear" w:color="auto" w:fill="auto"/>
          </w:tcPr>
          <w:p w14:paraId="50CF19F1" w14:textId="77777777" w:rsidR="00DB2F6C" w:rsidRPr="00840CF8"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Survival outcome</w:t>
            </w:r>
          </w:p>
        </w:tc>
        <w:tc>
          <w:tcPr>
            <w:tcW w:w="1859" w:type="dxa"/>
            <w:shd w:val="clear" w:color="auto" w:fill="auto"/>
          </w:tcPr>
          <w:p w14:paraId="34231814" w14:textId="77777777" w:rsidR="00DB2F6C" w:rsidRPr="00840CF8" w:rsidRDefault="00DB2F6C"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000000" w:themeColor="text1"/>
                <w:szCs w:val="24"/>
              </w:rPr>
            </w:pPr>
            <w:r w:rsidRPr="00840CF8">
              <w:rPr>
                <w:rFonts w:ascii="Book Antiqua" w:hAnsi="Book Antiqua" w:cs="Arial"/>
                <w:color w:val="000000" w:themeColor="text1"/>
                <w:szCs w:val="24"/>
              </w:rPr>
              <w:t>Late severe adverse</w:t>
            </w:r>
          </w:p>
          <w:p w14:paraId="415F95D3" w14:textId="77777777" w:rsidR="00DB2F6C" w:rsidRPr="00840CF8" w:rsidRDefault="000C076D" w:rsidP="00CB7D2C">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e</w:t>
            </w:r>
            <w:r w:rsidR="00DB2F6C" w:rsidRPr="00840CF8">
              <w:rPr>
                <w:rFonts w:ascii="Book Antiqua" w:hAnsi="Book Antiqua" w:cs="Arial"/>
                <w:color w:val="000000" w:themeColor="text1"/>
                <w:szCs w:val="24"/>
              </w:rPr>
              <w:t>vents (number or %)</w:t>
            </w:r>
          </w:p>
        </w:tc>
      </w:tr>
      <w:tr w:rsidR="00DB2F6C" w:rsidRPr="00840CF8" w14:paraId="4BB2378C" w14:textId="77777777"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5777930" w14:textId="42847A69"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Bush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w:t>
            </w:r>
            <w:r w:rsidRPr="00840CF8">
              <w:rPr>
                <w:rFonts w:ascii="Book Antiqua" w:hAnsi="Book Antiqua" w:cs="Arial" w:hint="eastAsia"/>
                <w:noProof/>
                <w:color w:val="000000" w:themeColor="text1"/>
                <w:szCs w:val="24"/>
                <w:vertAlign w:val="superscript"/>
              </w:rPr>
              <w:t>40</w:t>
            </w:r>
            <w:r w:rsidRPr="00840CF8">
              <w:rPr>
                <w:rFonts w:ascii="Book Antiqua" w:hAnsi="Book Antiqua" w:cs="Arial"/>
                <w:noProof/>
                <w:color w:val="000000" w:themeColor="text1"/>
                <w:szCs w:val="24"/>
                <w:vertAlign w:val="superscript"/>
              </w:rPr>
              <w:t>]</w:t>
            </w:r>
            <w:r w:rsidRPr="00840CF8">
              <w:rPr>
                <w:rFonts w:ascii="Book Antiqua" w:hAnsi="Book Antiqua" w:cs="Arial"/>
                <w:color w:val="000000" w:themeColor="text1"/>
                <w:szCs w:val="24"/>
              </w:rPr>
              <w:t xml:space="preserve"> </w:t>
            </w:r>
          </w:p>
        </w:tc>
        <w:tc>
          <w:tcPr>
            <w:tcW w:w="1859" w:type="dxa"/>
            <w:shd w:val="clear" w:color="auto" w:fill="auto"/>
          </w:tcPr>
          <w:p w14:paraId="7370E5E6"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63 /15</w:t>
            </w:r>
          </w:p>
        </w:tc>
        <w:tc>
          <w:tcPr>
            <w:tcW w:w="1858" w:type="dxa"/>
            <w:shd w:val="clear" w:color="auto" w:fill="auto"/>
          </w:tcPr>
          <w:p w14:paraId="4D30A2FD"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 = GTV + 10-20 mm</w:t>
            </w:r>
          </w:p>
          <w:p w14:paraId="5DE99641"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14:paraId="65362D5A"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 xml:space="preserve">80% </w:t>
            </w:r>
          </w:p>
        </w:tc>
        <w:tc>
          <w:tcPr>
            <w:tcW w:w="2251" w:type="dxa"/>
            <w:shd w:val="clear" w:color="auto" w:fill="auto"/>
          </w:tcPr>
          <w:p w14:paraId="6A76CB8E"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median PFS: 36 m</w:t>
            </w:r>
            <w:r w:rsidR="00652352" w:rsidRPr="00840CF8">
              <w:rPr>
                <w:rFonts w:ascii="Book Antiqua" w:hAnsi="Book Antiqua" w:cs="Arial"/>
                <w:color w:val="000000" w:themeColor="text1"/>
                <w:szCs w:val="24"/>
              </w:rPr>
              <w:t>o</w:t>
            </w:r>
          </w:p>
        </w:tc>
        <w:tc>
          <w:tcPr>
            <w:tcW w:w="1859" w:type="dxa"/>
            <w:shd w:val="clear" w:color="auto" w:fill="auto"/>
          </w:tcPr>
          <w:p w14:paraId="6A6BFC12"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G2 toxicities:</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5/76 </w:t>
            </w:r>
          </w:p>
        </w:tc>
      </w:tr>
      <w:tr w:rsidR="00DB2F6C" w:rsidRPr="00840CF8" w14:paraId="42424315" w14:textId="77777777" w:rsidTr="00DB2F6C">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F09DD1D" w14:textId="0AE000B3"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Hong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[4</w:t>
            </w:r>
            <w:r w:rsidRPr="00840CF8">
              <w:rPr>
                <w:rFonts w:ascii="Book Antiqua" w:hAnsi="Book Antiqua" w:cs="Arial" w:hint="eastAsia"/>
                <w:noProof/>
                <w:color w:val="000000" w:themeColor="text1"/>
                <w:szCs w:val="24"/>
                <w:vertAlign w:val="superscript"/>
              </w:rPr>
              <w:t>1</w:t>
            </w:r>
            <w:r w:rsidRPr="00840CF8">
              <w:rPr>
                <w:rFonts w:ascii="Book Antiqua" w:hAnsi="Book Antiqua" w:cs="Arial"/>
                <w:noProof/>
                <w:color w:val="000000" w:themeColor="text1"/>
                <w:szCs w:val="24"/>
                <w:vertAlign w:val="superscript"/>
              </w:rPr>
              <w:t>]</w:t>
            </w:r>
          </w:p>
        </w:tc>
        <w:tc>
          <w:tcPr>
            <w:tcW w:w="1859" w:type="dxa"/>
            <w:shd w:val="clear" w:color="auto" w:fill="auto"/>
          </w:tcPr>
          <w:p w14:paraId="0874608E"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58.05–67.5 /15</w:t>
            </w:r>
          </w:p>
        </w:tc>
        <w:tc>
          <w:tcPr>
            <w:tcW w:w="1858" w:type="dxa"/>
            <w:shd w:val="clear" w:color="auto" w:fill="auto"/>
          </w:tcPr>
          <w:p w14:paraId="73A8D1D8"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 = CTV +5-10 mm</w:t>
            </w:r>
          </w:p>
          <w:p w14:paraId="2E873665"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14:paraId="143E7BF6"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94.8% (2</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shd w:val="clear" w:color="auto" w:fill="auto"/>
          </w:tcPr>
          <w:p w14:paraId="3C2659D8"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Median PFS: 13.9</w:t>
            </w:r>
            <w:r w:rsidR="00652352"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m</w:t>
            </w:r>
            <w:r w:rsidR="00652352" w:rsidRPr="00840CF8">
              <w:rPr>
                <w:rFonts w:ascii="Book Antiqua" w:hAnsi="Book Antiqua" w:cs="Arial"/>
                <w:color w:val="000000" w:themeColor="text1"/>
                <w:szCs w:val="24"/>
              </w:rPr>
              <w:t>o</w:t>
            </w:r>
          </w:p>
          <w:p w14:paraId="26518644"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PFS: 39.9% (2 y</w:t>
            </w:r>
            <w:r w:rsidR="00ED208A"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p w14:paraId="2098AD88"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 63.2% (2 y</w:t>
            </w:r>
            <w:r w:rsidR="00ED208A"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1859" w:type="dxa"/>
            <w:shd w:val="clear" w:color="auto" w:fill="auto"/>
          </w:tcPr>
          <w:p w14:paraId="1C45F12E"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G3 toxicities:</w:t>
            </w:r>
            <w:r w:rsidR="00A8427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4</w:t>
            </w:r>
          </w:p>
        </w:tc>
      </w:tr>
      <w:tr w:rsidR="00DB2F6C" w:rsidRPr="00840CF8" w14:paraId="6A7E2443" w14:textId="77777777"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3146083" w14:textId="15EC4D21"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Chiba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[4</w:t>
            </w:r>
            <w:r w:rsidRPr="00840CF8">
              <w:rPr>
                <w:rFonts w:ascii="Book Antiqua" w:hAnsi="Book Antiqua" w:cs="Arial" w:hint="eastAsia"/>
                <w:noProof/>
                <w:color w:val="000000" w:themeColor="text1"/>
                <w:szCs w:val="24"/>
                <w:vertAlign w:val="superscript"/>
              </w:rPr>
              <w:t>2</w:t>
            </w:r>
            <w:r w:rsidRPr="00840CF8">
              <w:rPr>
                <w:rFonts w:ascii="Book Antiqua" w:hAnsi="Book Antiqua" w:cs="Arial"/>
                <w:noProof/>
                <w:color w:val="000000" w:themeColor="text1"/>
                <w:szCs w:val="24"/>
                <w:vertAlign w:val="superscript"/>
              </w:rPr>
              <w:t>]</w:t>
            </w:r>
          </w:p>
        </w:tc>
        <w:tc>
          <w:tcPr>
            <w:tcW w:w="1859" w:type="dxa"/>
            <w:shd w:val="clear" w:color="auto" w:fill="auto"/>
          </w:tcPr>
          <w:p w14:paraId="3FC739F0"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 xml:space="preserve">72 /16, 78 /20, </w:t>
            </w:r>
          </w:p>
          <w:p w14:paraId="59067671"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84 /28, 50 /10</w:t>
            </w:r>
          </w:p>
        </w:tc>
        <w:tc>
          <w:tcPr>
            <w:tcW w:w="1858" w:type="dxa"/>
            <w:shd w:val="clear" w:color="auto" w:fill="auto"/>
          </w:tcPr>
          <w:p w14:paraId="67FABE1E"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 xml:space="preserve">CTV = GTV + 5–10 mm </w:t>
            </w:r>
          </w:p>
        </w:tc>
        <w:tc>
          <w:tcPr>
            <w:tcW w:w="1466" w:type="dxa"/>
            <w:shd w:val="clear" w:color="auto" w:fill="auto"/>
          </w:tcPr>
          <w:p w14:paraId="195C6269"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86.9% (5</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shd w:val="clear" w:color="auto" w:fill="auto"/>
          </w:tcPr>
          <w:p w14:paraId="08382400"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 23.5% (5 y</w:t>
            </w:r>
            <w:r w:rsidR="00ED208A"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1859" w:type="dxa"/>
            <w:shd w:val="clear" w:color="auto" w:fill="auto"/>
          </w:tcPr>
          <w:p w14:paraId="6CC9BCE9"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 xml:space="preserve">Infection biloma: 1.1% </w:t>
            </w:r>
          </w:p>
          <w:p w14:paraId="1261173B"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Biliary duct stenosis: 0.5%</w:t>
            </w:r>
          </w:p>
          <w:p w14:paraId="31C4EB28"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GI bleeding:1.1%</w:t>
            </w:r>
          </w:p>
        </w:tc>
      </w:tr>
      <w:tr w:rsidR="00DB2F6C" w:rsidRPr="00840CF8" w14:paraId="3E701B7B" w14:textId="77777777" w:rsidTr="00DB2F6C">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4420A2A" w14:textId="2B7BCB27"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Nakayama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[3</w:t>
            </w:r>
            <w:r w:rsidRPr="00840CF8">
              <w:rPr>
                <w:rFonts w:ascii="Book Antiqua" w:hAnsi="Book Antiqua" w:cs="Arial" w:hint="eastAsia"/>
                <w:noProof/>
                <w:color w:val="000000" w:themeColor="text1"/>
                <w:szCs w:val="24"/>
                <w:vertAlign w:val="superscript"/>
              </w:rPr>
              <w:t>7</w:t>
            </w:r>
            <w:r w:rsidRPr="00840CF8">
              <w:rPr>
                <w:rFonts w:ascii="Book Antiqua" w:hAnsi="Book Antiqua" w:cs="Arial"/>
                <w:noProof/>
                <w:color w:val="000000" w:themeColor="text1"/>
                <w:szCs w:val="24"/>
                <w:vertAlign w:val="superscript"/>
              </w:rPr>
              <w:t>]</w:t>
            </w:r>
          </w:p>
        </w:tc>
        <w:tc>
          <w:tcPr>
            <w:tcW w:w="1859" w:type="dxa"/>
            <w:shd w:val="clear" w:color="auto" w:fill="auto"/>
          </w:tcPr>
          <w:p w14:paraId="748CAF57"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72.6/22, 77/ 35</w:t>
            </w:r>
          </w:p>
        </w:tc>
        <w:tc>
          <w:tcPr>
            <w:tcW w:w="1858" w:type="dxa"/>
            <w:shd w:val="clear" w:color="auto" w:fill="auto"/>
          </w:tcPr>
          <w:p w14:paraId="542FA4C0"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PTV1</w:t>
            </w:r>
            <w:r w:rsidR="00652352"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w:t>
            </w:r>
            <w:r w:rsidR="00652352"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CTV+ 5-10 mm</w:t>
            </w:r>
          </w:p>
          <w:p w14:paraId="42D0353D"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PTV2</w:t>
            </w:r>
            <w:r w:rsidR="00ED208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 PTV1 with alimentary tract avoiding </w:t>
            </w:r>
          </w:p>
          <w:p w14:paraId="489736AF"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14:paraId="6C19A306"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88% (3</w:t>
            </w:r>
            <w:r w:rsidR="00ED208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ED208A"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shd w:val="clear" w:color="auto" w:fill="auto"/>
          </w:tcPr>
          <w:p w14:paraId="2E901A03"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 50% (3</w:t>
            </w:r>
            <w:r w:rsidR="006911A5"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6911A5"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1859" w:type="dxa"/>
            <w:shd w:val="clear" w:color="auto" w:fill="auto"/>
          </w:tcPr>
          <w:p w14:paraId="6942B03E"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p>
        </w:tc>
      </w:tr>
      <w:tr w:rsidR="00DB2F6C" w:rsidRPr="00840CF8" w14:paraId="78F74963" w14:textId="77777777"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nil"/>
            </w:tcBorders>
            <w:shd w:val="clear" w:color="auto" w:fill="auto"/>
          </w:tcPr>
          <w:p w14:paraId="6DDB192B" w14:textId="4BF31303"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Kawashima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[4</w:t>
            </w:r>
            <w:r w:rsidRPr="00840CF8">
              <w:rPr>
                <w:rFonts w:ascii="Book Antiqua" w:hAnsi="Book Antiqua" w:cs="Arial" w:hint="eastAsia"/>
                <w:noProof/>
                <w:color w:val="000000" w:themeColor="text1"/>
                <w:szCs w:val="24"/>
                <w:vertAlign w:val="superscript"/>
              </w:rPr>
              <w:t>3</w:t>
            </w:r>
            <w:r w:rsidRPr="00840CF8">
              <w:rPr>
                <w:rFonts w:ascii="Book Antiqua" w:hAnsi="Book Antiqua" w:cs="Arial"/>
                <w:noProof/>
                <w:color w:val="000000" w:themeColor="text1"/>
                <w:szCs w:val="24"/>
                <w:vertAlign w:val="superscript"/>
              </w:rPr>
              <w:t>]</w:t>
            </w:r>
          </w:p>
        </w:tc>
        <w:tc>
          <w:tcPr>
            <w:tcW w:w="1859" w:type="dxa"/>
            <w:tcBorders>
              <w:bottom w:val="nil"/>
            </w:tcBorders>
            <w:shd w:val="clear" w:color="auto" w:fill="auto"/>
          </w:tcPr>
          <w:p w14:paraId="09617E83"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76 /20</w:t>
            </w:r>
          </w:p>
        </w:tc>
        <w:tc>
          <w:tcPr>
            <w:tcW w:w="1858" w:type="dxa"/>
            <w:tcBorders>
              <w:bottom w:val="nil"/>
            </w:tcBorders>
            <w:shd w:val="clear" w:color="auto" w:fill="auto"/>
          </w:tcPr>
          <w:p w14:paraId="7C3F0CAD"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CTV= GTV+5 mm,</w:t>
            </w:r>
          </w:p>
          <w:p w14:paraId="19D645AE"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 = CTV+3 mm</w:t>
            </w:r>
          </w:p>
          <w:p w14:paraId="4C3BEF5D"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1466" w:type="dxa"/>
            <w:tcBorders>
              <w:bottom w:val="nil"/>
            </w:tcBorders>
            <w:shd w:val="clear" w:color="auto" w:fill="auto"/>
          </w:tcPr>
          <w:p w14:paraId="325AA3BE"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96% (2</w:t>
            </w:r>
            <w:r w:rsidR="00ED208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ED208A"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tcBorders>
              <w:bottom w:val="nil"/>
            </w:tcBorders>
            <w:shd w:val="clear" w:color="auto" w:fill="auto"/>
          </w:tcPr>
          <w:p w14:paraId="5A488B82"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 62% (3</w:t>
            </w:r>
            <w:r w:rsidR="00ED208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ED208A"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p w14:paraId="2C1CF21D"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1859" w:type="dxa"/>
            <w:tcBorders>
              <w:bottom w:val="nil"/>
            </w:tcBorders>
            <w:shd w:val="clear" w:color="auto" w:fill="auto"/>
          </w:tcPr>
          <w:p w14:paraId="6D810DFC"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Hepatic insufficiencies</w:t>
            </w:r>
          </w:p>
          <w:p w14:paraId="0B027962"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 8</w:t>
            </w:r>
          </w:p>
        </w:tc>
      </w:tr>
      <w:tr w:rsidR="00DB2F6C" w:rsidRPr="00840CF8" w14:paraId="5F7B1DD2" w14:textId="77777777" w:rsidTr="00DB2F6C">
        <w:tc>
          <w:tcPr>
            <w:cnfStyle w:val="001000000000" w:firstRow="0" w:lastRow="0" w:firstColumn="1" w:lastColumn="0" w:oddVBand="0" w:evenVBand="0" w:oddHBand="0" w:evenHBand="0" w:firstRowFirstColumn="0" w:firstRowLastColumn="0" w:lastRowFirstColumn="0" w:lastRowLastColumn="0"/>
            <w:tcW w:w="1696" w:type="dxa"/>
            <w:tcBorders>
              <w:top w:val="nil"/>
              <w:bottom w:val="single" w:sz="4" w:space="0" w:color="auto"/>
            </w:tcBorders>
            <w:shd w:val="clear" w:color="auto" w:fill="auto"/>
          </w:tcPr>
          <w:p w14:paraId="41C76249" w14:textId="6AE330A5"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Kim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[4</w:t>
            </w:r>
            <w:r w:rsidRPr="00840CF8">
              <w:rPr>
                <w:rFonts w:ascii="Book Antiqua" w:hAnsi="Book Antiqua" w:cs="Arial" w:hint="eastAsia"/>
                <w:noProof/>
                <w:color w:val="000000" w:themeColor="text1"/>
                <w:szCs w:val="24"/>
                <w:vertAlign w:val="superscript"/>
              </w:rPr>
              <w:t>4</w:t>
            </w:r>
            <w:r w:rsidRPr="00840CF8">
              <w:rPr>
                <w:rFonts w:ascii="Book Antiqua" w:hAnsi="Book Antiqua" w:cs="Arial"/>
                <w:noProof/>
                <w:color w:val="000000" w:themeColor="text1"/>
                <w:szCs w:val="24"/>
                <w:vertAlign w:val="superscript"/>
              </w:rPr>
              <w:t>]</w:t>
            </w:r>
            <w:r w:rsidRPr="00840CF8">
              <w:rPr>
                <w:rFonts w:ascii="Book Antiqua" w:hAnsi="Book Antiqua" w:cs="Arial"/>
                <w:color w:val="000000" w:themeColor="text1"/>
                <w:szCs w:val="24"/>
              </w:rPr>
              <w:t xml:space="preserve"> </w:t>
            </w:r>
          </w:p>
        </w:tc>
        <w:tc>
          <w:tcPr>
            <w:tcW w:w="1859" w:type="dxa"/>
            <w:tcBorders>
              <w:top w:val="nil"/>
              <w:bottom w:val="single" w:sz="4" w:space="0" w:color="auto"/>
            </w:tcBorders>
            <w:shd w:val="clear" w:color="auto" w:fill="auto"/>
          </w:tcPr>
          <w:p w14:paraId="19126629"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60/20 –72/24</w:t>
            </w:r>
          </w:p>
        </w:tc>
        <w:tc>
          <w:tcPr>
            <w:tcW w:w="1858" w:type="dxa"/>
            <w:tcBorders>
              <w:top w:val="nil"/>
              <w:bottom w:val="single" w:sz="4" w:space="0" w:color="auto"/>
            </w:tcBorders>
            <w:shd w:val="clear" w:color="auto" w:fill="auto"/>
          </w:tcPr>
          <w:p w14:paraId="71E5EBFD"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 = ITV + 5-10 mm</w:t>
            </w:r>
          </w:p>
        </w:tc>
        <w:tc>
          <w:tcPr>
            <w:tcW w:w="1466" w:type="dxa"/>
            <w:tcBorders>
              <w:top w:val="nil"/>
              <w:bottom w:val="single" w:sz="4" w:space="0" w:color="auto"/>
            </w:tcBorders>
            <w:shd w:val="clear" w:color="auto" w:fill="auto"/>
          </w:tcPr>
          <w:p w14:paraId="1C9B327D"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71.4%–83.3% (3y)</w:t>
            </w:r>
          </w:p>
        </w:tc>
        <w:tc>
          <w:tcPr>
            <w:tcW w:w="2251" w:type="dxa"/>
            <w:tcBorders>
              <w:top w:val="nil"/>
              <w:bottom w:val="single" w:sz="4" w:space="0" w:color="auto"/>
            </w:tcBorders>
            <w:shd w:val="clear" w:color="auto" w:fill="auto"/>
          </w:tcPr>
          <w:p w14:paraId="08EC9658"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 42.3% (5 yr)</w:t>
            </w:r>
          </w:p>
        </w:tc>
        <w:tc>
          <w:tcPr>
            <w:tcW w:w="1859" w:type="dxa"/>
            <w:tcBorders>
              <w:top w:val="nil"/>
              <w:bottom w:val="single" w:sz="4" w:space="0" w:color="auto"/>
            </w:tcBorders>
            <w:shd w:val="clear" w:color="auto" w:fill="auto"/>
          </w:tcPr>
          <w:p w14:paraId="77505288"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G2 toxicity: 0</w:t>
            </w:r>
          </w:p>
        </w:tc>
      </w:tr>
      <w:tr w:rsidR="00DB2F6C" w:rsidRPr="00840CF8" w14:paraId="30EA02A3" w14:textId="77777777" w:rsidTr="00DB2F6C">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shd w:val="clear" w:color="auto" w:fill="auto"/>
          </w:tcPr>
          <w:p w14:paraId="1133E938" w14:textId="1BC9AFC0"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Kato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[4</w:t>
            </w:r>
            <w:r w:rsidRPr="00840CF8">
              <w:rPr>
                <w:rFonts w:ascii="Book Antiqua" w:hAnsi="Book Antiqua" w:cs="Arial" w:hint="eastAsia"/>
                <w:noProof/>
                <w:color w:val="000000" w:themeColor="text1"/>
                <w:szCs w:val="24"/>
                <w:vertAlign w:val="superscript"/>
              </w:rPr>
              <w:t>5</w:t>
            </w:r>
            <w:r w:rsidRPr="00840CF8">
              <w:rPr>
                <w:rFonts w:ascii="Book Antiqua" w:hAnsi="Book Antiqua" w:cs="Arial"/>
                <w:noProof/>
                <w:color w:val="000000" w:themeColor="text1"/>
                <w:szCs w:val="24"/>
                <w:vertAlign w:val="superscript"/>
              </w:rPr>
              <w:t>]</w:t>
            </w:r>
          </w:p>
        </w:tc>
        <w:tc>
          <w:tcPr>
            <w:tcW w:w="1859" w:type="dxa"/>
            <w:tcBorders>
              <w:top w:val="single" w:sz="4" w:space="0" w:color="auto"/>
            </w:tcBorders>
            <w:shd w:val="clear" w:color="auto" w:fill="auto"/>
          </w:tcPr>
          <w:p w14:paraId="0F86BA5A"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49.5–79.5/15</w:t>
            </w:r>
          </w:p>
        </w:tc>
        <w:tc>
          <w:tcPr>
            <w:tcW w:w="1858" w:type="dxa"/>
            <w:tcBorders>
              <w:top w:val="single" w:sz="4" w:space="0" w:color="auto"/>
            </w:tcBorders>
            <w:shd w:val="clear" w:color="auto" w:fill="auto"/>
          </w:tcPr>
          <w:p w14:paraId="3EA7BA3B"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 GTV+10 mm</w:t>
            </w:r>
          </w:p>
        </w:tc>
        <w:tc>
          <w:tcPr>
            <w:tcW w:w="1466" w:type="dxa"/>
            <w:tcBorders>
              <w:top w:val="single" w:sz="4" w:space="0" w:color="auto"/>
            </w:tcBorders>
            <w:shd w:val="clear" w:color="auto" w:fill="auto"/>
          </w:tcPr>
          <w:p w14:paraId="43A0315D"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81% (3</w:t>
            </w:r>
            <w:r w:rsidR="00833B8C"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833B8C"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tcBorders>
              <w:top w:val="single" w:sz="4" w:space="0" w:color="auto"/>
            </w:tcBorders>
            <w:shd w:val="clear" w:color="auto" w:fill="auto"/>
          </w:tcPr>
          <w:p w14:paraId="7392A502"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 25% (5 yr)</w:t>
            </w:r>
          </w:p>
        </w:tc>
        <w:tc>
          <w:tcPr>
            <w:tcW w:w="1859" w:type="dxa"/>
            <w:tcBorders>
              <w:top w:val="single" w:sz="4" w:space="0" w:color="auto"/>
            </w:tcBorders>
            <w:shd w:val="clear" w:color="auto" w:fill="auto"/>
          </w:tcPr>
          <w:p w14:paraId="5BD130F7"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No severe liver injury</w:t>
            </w:r>
          </w:p>
          <w:p w14:paraId="03505BA9"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No &gt;</w:t>
            </w:r>
            <w:r w:rsidR="00ED208A"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 xml:space="preserve">2 points increase </w:t>
            </w:r>
          </w:p>
          <w:p w14:paraId="3CD91366"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 xml:space="preserve">in CP score at any </w:t>
            </w:r>
          </w:p>
          <w:p w14:paraId="6ECA01F3"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time</w:t>
            </w:r>
          </w:p>
          <w:p w14:paraId="56B9CC93"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r>
      <w:tr w:rsidR="00DB2F6C" w:rsidRPr="00840CF8" w14:paraId="058DF9DD" w14:textId="77777777" w:rsidTr="00DB2F6C">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1C73FBE3" w14:textId="69DE7C49" w:rsidR="00DB2F6C" w:rsidRPr="00840CF8" w:rsidRDefault="00DB2F6C" w:rsidP="00CB7D2C">
            <w:pPr>
              <w:snapToGrid w:val="0"/>
              <w:spacing w:line="360" w:lineRule="auto"/>
              <w:rPr>
                <w:rFonts w:ascii="Book Antiqua" w:hAnsi="Book Antiqua" w:cs="Arial"/>
                <w:b w:val="0"/>
                <w:bCs w:val="0"/>
                <w:color w:val="000000" w:themeColor="text1"/>
                <w:szCs w:val="24"/>
              </w:rPr>
            </w:pPr>
            <w:r w:rsidRPr="00840CF8">
              <w:rPr>
                <w:rFonts w:ascii="Book Antiqua" w:hAnsi="Book Antiqua" w:cs="Arial"/>
                <w:color w:val="000000" w:themeColor="text1"/>
                <w:szCs w:val="24"/>
              </w:rPr>
              <w:t xml:space="preserve">Mizmoto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[3</w:t>
            </w:r>
            <w:r w:rsidRPr="00840CF8">
              <w:rPr>
                <w:rFonts w:ascii="Book Antiqua" w:hAnsi="Book Antiqua" w:cs="Arial" w:hint="eastAsia"/>
                <w:noProof/>
                <w:color w:val="000000" w:themeColor="text1"/>
                <w:szCs w:val="24"/>
                <w:vertAlign w:val="superscript"/>
              </w:rPr>
              <w:t>4</w:t>
            </w:r>
            <w:r w:rsidRPr="00840CF8">
              <w:rPr>
                <w:rFonts w:ascii="Book Antiqua" w:hAnsi="Book Antiqua" w:cs="Arial"/>
                <w:noProof/>
                <w:color w:val="000000" w:themeColor="text1"/>
                <w:szCs w:val="24"/>
                <w:vertAlign w:val="superscript"/>
              </w:rPr>
              <w:t>]</w:t>
            </w:r>
          </w:p>
          <w:p w14:paraId="2892F0AF" w14:textId="77777777" w:rsidR="00DB2F6C" w:rsidRPr="00840CF8" w:rsidRDefault="00DB2F6C" w:rsidP="00CB7D2C">
            <w:pPr>
              <w:snapToGrid w:val="0"/>
              <w:spacing w:line="360" w:lineRule="auto"/>
              <w:rPr>
                <w:rFonts w:ascii="Book Antiqua" w:hAnsi="Book Antiqua" w:cs="Arial"/>
                <w:color w:val="000000" w:themeColor="text1"/>
                <w:szCs w:val="24"/>
              </w:rPr>
            </w:pPr>
          </w:p>
        </w:tc>
        <w:tc>
          <w:tcPr>
            <w:tcW w:w="1859" w:type="dxa"/>
            <w:shd w:val="clear" w:color="auto" w:fill="auto"/>
          </w:tcPr>
          <w:p w14:paraId="28282C69"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66/10, 72.6/22, 77/35</w:t>
            </w:r>
          </w:p>
        </w:tc>
        <w:tc>
          <w:tcPr>
            <w:tcW w:w="1858" w:type="dxa"/>
            <w:shd w:val="clear" w:color="auto" w:fill="auto"/>
          </w:tcPr>
          <w:p w14:paraId="283C92E2"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CTV= GTV+ 5-10 mm</w:t>
            </w:r>
          </w:p>
        </w:tc>
        <w:tc>
          <w:tcPr>
            <w:tcW w:w="1466" w:type="dxa"/>
            <w:shd w:val="clear" w:color="auto" w:fill="auto"/>
          </w:tcPr>
          <w:p w14:paraId="36DBC0AB"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81% (5</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shd w:val="clear" w:color="auto" w:fill="auto"/>
          </w:tcPr>
          <w:p w14:paraId="277B2E6C"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45 (5</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1859" w:type="dxa"/>
            <w:shd w:val="clear" w:color="auto" w:fill="auto"/>
          </w:tcPr>
          <w:p w14:paraId="3BB0B7F5"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 2/3 GI toxicity: 6</w:t>
            </w:r>
          </w:p>
        </w:tc>
      </w:tr>
      <w:tr w:rsidR="00DB2F6C" w:rsidRPr="00840CF8" w14:paraId="339DD56D" w14:textId="77777777"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2B74E2E" w14:textId="5CA42CC6"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Komatsu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[3</w:t>
            </w:r>
            <w:r w:rsidRPr="00840CF8">
              <w:rPr>
                <w:rFonts w:ascii="Book Antiqua" w:hAnsi="Book Antiqua" w:cs="Arial" w:hint="eastAsia"/>
                <w:noProof/>
                <w:color w:val="000000" w:themeColor="text1"/>
                <w:szCs w:val="24"/>
                <w:vertAlign w:val="superscript"/>
              </w:rPr>
              <w:t>9</w:t>
            </w:r>
            <w:r w:rsidRPr="00840CF8">
              <w:rPr>
                <w:rFonts w:ascii="Book Antiqua" w:hAnsi="Book Antiqua" w:cs="Arial"/>
                <w:noProof/>
                <w:color w:val="000000" w:themeColor="text1"/>
                <w:szCs w:val="24"/>
                <w:vertAlign w:val="superscript"/>
              </w:rPr>
              <w:t>]</w:t>
            </w:r>
          </w:p>
        </w:tc>
        <w:tc>
          <w:tcPr>
            <w:tcW w:w="1859" w:type="dxa"/>
            <w:shd w:val="clear" w:color="auto" w:fill="auto"/>
          </w:tcPr>
          <w:p w14:paraId="3D3F0BB5"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52.8–84.0 /4-38 (proton)</w:t>
            </w:r>
          </w:p>
          <w:p w14:paraId="36B10628"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52.8–76.0 /4-20 (carbon ion)</w:t>
            </w:r>
          </w:p>
        </w:tc>
        <w:tc>
          <w:tcPr>
            <w:tcW w:w="1858" w:type="dxa"/>
            <w:shd w:val="clear" w:color="auto" w:fill="auto"/>
          </w:tcPr>
          <w:p w14:paraId="4045F97C"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CTV = GTV + 5 mm</w:t>
            </w:r>
          </w:p>
          <w:p w14:paraId="5780D26D"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 = CTV + 5 mm</w:t>
            </w:r>
          </w:p>
          <w:p w14:paraId="04158B46"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p>
        </w:tc>
        <w:tc>
          <w:tcPr>
            <w:tcW w:w="1466" w:type="dxa"/>
            <w:shd w:val="clear" w:color="auto" w:fill="auto"/>
          </w:tcPr>
          <w:p w14:paraId="498CB094"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90.8% (5</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shd w:val="clear" w:color="auto" w:fill="auto"/>
          </w:tcPr>
          <w:p w14:paraId="355F07CA"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38.2%</w:t>
            </w:r>
          </w:p>
        </w:tc>
        <w:tc>
          <w:tcPr>
            <w:tcW w:w="1859" w:type="dxa"/>
            <w:shd w:val="clear" w:color="auto" w:fill="auto"/>
          </w:tcPr>
          <w:p w14:paraId="19BAAB0C"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 3:</w:t>
            </w:r>
            <w:r w:rsidR="006D3F9B"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12</w:t>
            </w:r>
          </w:p>
          <w:p w14:paraId="2940BCF5"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RIHD:</w:t>
            </w:r>
            <w:r w:rsidR="006D3F9B"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4</w:t>
            </w:r>
          </w:p>
        </w:tc>
      </w:tr>
      <w:tr w:rsidR="00DB2F6C" w:rsidRPr="00840CF8" w14:paraId="081A742D" w14:textId="77777777" w:rsidTr="00DB2F6C">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91188F2" w14:textId="74E74B00"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Kim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[4</w:t>
            </w:r>
            <w:r w:rsidRPr="00840CF8">
              <w:rPr>
                <w:rFonts w:ascii="Book Antiqua" w:hAnsi="Book Antiqua" w:cs="Arial" w:hint="eastAsia"/>
                <w:noProof/>
                <w:color w:val="000000" w:themeColor="text1"/>
                <w:szCs w:val="24"/>
                <w:vertAlign w:val="superscript"/>
              </w:rPr>
              <w:t>6</w:t>
            </w:r>
            <w:r w:rsidRPr="00840CF8">
              <w:rPr>
                <w:rFonts w:ascii="Book Antiqua" w:hAnsi="Book Antiqua" w:cs="Arial"/>
                <w:noProof/>
                <w:color w:val="000000" w:themeColor="text1"/>
                <w:szCs w:val="24"/>
                <w:vertAlign w:val="superscript"/>
              </w:rPr>
              <w:t>]</w:t>
            </w:r>
          </w:p>
        </w:tc>
        <w:tc>
          <w:tcPr>
            <w:tcW w:w="1859" w:type="dxa"/>
            <w:shd w:val="clear" w:color="auto" w:fill="auto"/>
          </w:tcPr>
          <w:p w14:paraId="40BF774B"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66/10</w:t>
            </w:r>
          </w:p>
        </w:tc>
        <w:tc>
          <w:tcPr>
            <w:tcW w:w="1858" w:type="dxa"/>
            <w:shd w:val="clear" w:color="auto" w:fill="auto"/>
          </w:tcPr>
          <w:p w14:paraId="0C5047C0"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 = ITV + 0.5-0.7 cm</w:t>
            </w:r>
          </w:p>
        </w:tc>
        <w:tc>
          <w:tcPr>
            <w:tcW w:w="1466" w:type="dxa"/>
            <w:shd w:val="clear" w:color="auto" w:fill="auto"/>
          </w:tcPr>
          <w:p w14:paraId="7EDD3982"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89.9% (3</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shd w:val="clear" w:color="auto" w:fill="auto"/>
          </w:tcPr>
          <w:p w14:paraId="07F4293D"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PFS:</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26.8%</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(3</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p w14:paraId="3CDECA20"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OS:</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74.4% (3</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1859" w:type="dxa"/>
            <w:shd w:val="clear" w:color="auto" w:fill="auto"/>
          </w:tcPr>
          <w:p w14:paraId="49FCF39C" w14:textId="77777777" w:rsidR="00DB2F6C" w:rsidRPr="00840CF8" w:rsidRDefault="00DB2F6C" w:rsidP="00CB7D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no late GI toxicities or liver failure</w:t>
            </w:r>
          </w:p>
        </w:tc>
      </w:tr>
      <w:tr w:rsidR="00DB2F6C" w:rsidRPr="00840CF8" w14:paraId="4A16ED2C" w14:textId="77777777" w:rsidTr="00DB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8" w:space="0" w:color="000000" w:themeColor="text1"/>
            </w:tcBorders>
            <w:shd w:val="clear" w:color="auto" w:fill="auto"/>
          </w:tcPr>
          <w:p w14:paraId="79E7A747" w14:textId="127C208A" w:rsidR="00DB2F6C" w:rsidRPr="00840CF8" w:rsidRDefault="00DB2F6C"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 xml:space="preserve">Shibuya </w:t>
            </w:r>
            <w:r w:rsidRPr="00840CF8">
              <w:rPr>
                <w:rFonts w:ascii="Book Antiqua" w:hAnsi="Book Antiqua" w:cs="Arial"/>
                <w:i/>
                <w:iCs/>
                <w:color w:val="000000" w:themeColor="text1"/>
                <w:szCs w:val="24"/>
              </w:rPr>
              <w:t>et al</w:t>
            </w:r>
            <w:r w:rsidRPr="00840CF8">
              <w:rPr>
                <w:rFonts w:ascii="Book Antiqua" w:hAnsi="Book Antiqua" w:cs="Arial"/>
                <w:noProof/>
                <w:color w:val="000000" w:themeColor="text1"/>
                <w:szCs w:val="24"/>
                <w:vertAlign w:val="superscript"/>
              </w:rPr>
              <w:t>[3</w:t>
            </w:r>
            <w:r w:rsidRPr="00840CF8">
              <w:rPr>
                <w:rFonts w:ascii="Book Antiqua" w:hAnsi="Book Antiqua" w:cs="Arial" w:hint="eastAsia"/>
                <w:noProof/>
                <w:color w:val="000000" w:themeColor="text1"/>
                <w:szCs w:val="24"/>
                <w:vertAlign w:val="superscript"/>
              </w:rPr>
              <w:t>8</w:t>
            </w:r>
            <w:r w:rsidRPr="00840CF8">
              <w:rPr>
                <w:rFonts w:ascii="Book Antiqua" w:hAnsi="Book Antiqua" w:cs="Arial"/>
                <w:noProof/>
                <w:color w:val="000000" w:themeColor="text1"/>
                <w:szCs w:val="24"/>
                <w:vertAlign w:val="superscript"/>
              </w:rPr>
              <w:t>]</w:t>
            </w:r>
          </w:p>
        </w:tc>
        <w:tc>
          <w:tcPr>
            <w:tcW w:w="1859" w:type="dxa"/>
            <w:tcBorders>
              <w:bottom w:val="single" w:sz="8" w:space="0" w:color="000000" w:themeColor="text1"/>
            </w:tcBorders>
            <w:shd w:val="clear" w:color="auto" w:fill="auto"/>
          </w:tcPr>
          <w:p w14:paraId="47095331" w14:textId="77777777" w:rsidR="00DB2F6C" w:rsidRPr="00840CF8" w:rsidRDefault="00DB2F6C" w:rsidP="00CB7D2C">
            <w:pPr>
              <w:snapToGrid w:val="0"/>
              <w:spacing w:line="360" w:lineRule="auto"/>
              <w:ind w:left="480" w:hangingChars="200" w:hanging="480"/>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52.8</w:t>
            </w:r>
            <w:r w:rsidRPr="00840CF8">
              <w:rPr>
                <w:rFonts w:ascii="Book Antiqua" w:hAnsi="Book Antiqua" w:cs="Arial"/>
                <w:color w:val="000000" w:themeColor="text1"/>
                <w:szCs w:val="24"/>
              </w:rPr>
              <w:tab/>
              <w:t>/4, 60.0/4, 48/2,</w:t>
            </w:r>
          </w:p>
        </w:tc>
        <w:tc>
          <w:tcPr>
            <w:tcW w:w="1858" w:type="dxa"/>
            <w:tcBorders>
              <w:bottom w:val="single" w:sz="8" w:space="0" w:color="000000" w:themeColor="text1"/>
            </w:tcBorders>
            <w:shd w:val="clear" w:color="auto" w:fill="auto"/>
          </w:tcPr>
          <w:p w14:paraId="4BC95724"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CTV = GTV + 0.5 cm</w:t>
            </w:r>
          </w:p>
          <w:p w14:paraId="0620DFD7"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PTV</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CTV+ 5</w:t>
            </w:r>
            <w:r w:rsidRPr="00840CF8">
              <w:rPr>
                <w:rFonts w:ascii="宋体" w:eastAsia="宋体" w:hAnsi="宋体" w:cs="宋体" w:hint="eastAsia"/>
                <w:color w:val="000000" w:themeColor="text1"/>
                <w:szCs w:val="24"/>
              </w:rPr>
              <w:t>‐</w:t>
            </w:r>
            <w:r w:rsidRPr="00840CF8">
              <w:rPr>
                <w:rFonts w:ascii="Book Antiqua" w:hAnsi="Book Antiqua" w:cs="Arial"/>
                <w:color w:val="000000" w:themeColor="text1"/>
                <w:szCs w:val="24"/>
              </w:rPr>
              <w:t>15 mm</w:t>
            </w:r>
          </w:p>
        </w:tc>
        <w:tc>
          <w:tcPr>
            <w:tcW w:w="1466" w:type="dxa"/>
            <w:tcBorders>
              <w:bottom w:val="single" w:sz="8" w:space="0" w:color="000000" w:themeColor="text1"/>
            </w:tcBorders>
            <w:shd w:val="clear" w:color="auto" w:fill="auto"/>
          </w:tcPr>
          <w:p w14:paraId="3637F3D4"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87.7% (3</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2251" w:type="dxa"/>
            <w:tcBorders>
              <w:bottom w:val="single" w:sz="8" w:space="0" w:color="000000" w:themeColor="text1"/>
            </w:tcBorders>
            <w:shd w:val="clear" w:color="auto" w:fill="auto"/>
          </w:tcPr>
          <w:p w14:paraId="1B91D2C0"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73.3% (3</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y</w:t>
            </w:r>
            <w:r w:rsidR="000C076D" w:rsidRPr="00840CF8">
              <w:rPr>
                <w:rFonts w:ascii="Book Antiqua" w:hAnsi="Book Antiqua" w:cs="Arial"/>
                <w:color w:val="000000" w:themeColor="text1"/>
                <w:szCs w:val="24"/>
              </w:rPr>
              <w:t>r</w:t>
            </w:r>
            <w:r w:rsidRPr="00840CF8">
              <w:rPr>
                <w:rFonts w:ascii="Book Antiqua" w:hAnsi="Book Antiqua" w:cs="Arial"/>
                <w:color w:val="000000" w:themeColor="text1"/>
                <w:szCs w:val="24"/>
              </w:rPr>
              <w:t>)</w:t>
            </w:r>
          </w:p>
        </w:tc>
        <w:tc>
          <w:tcPr>
            <w:tcW w:w="1859" w:type="dxa"/>
            <w:tcBorders>
              <w:bottom w:val="single" w:sz="8" w:space="0" w:color="000000" w:themeColor="text1"/>
            </w:tcBorders>
            <w:shd w:val="clear" w:color="auto" w:fill="auto"/>
          </w:tcPr>
          <w:p w14:paraId="444ED535"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G 3-4: 5.7% (10)</w:t>
            </w:r>
          </w:p>
          <w:p w14:paraId="1F563AB5" w14:textId="77777777" w:rsidR="00DB2F6C" w:rsidRPr="00840CF8" w:rsidRDefault="00DB2F6C" w:rsidP="00CB7D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Cs w:val="24"/>
              </w:rPr>
            </w:pPr>
            <w:r w:rsidRPr="00840CF8">
              <w:rPr>
                <w:rFonts w:ascii="Book Antiqua" w:hAnsi="Book Antiqua" w:cs="Arial"/>
                <w:color w:val="000000" w:themeColor="text1"/>
                <w:szCs w:val="24"/>
              </w:rPr>
              <w:t>RIHD: 1.7%</w:t>
            </w:r>
            <w:r w:rsidR="000C076D" w:rsidRPr="00840CF8">
              <w:rPr>
                <w:rFonts w:ascii="Book Antiqua" w:hAnsi="Book Antiqua" w:cs="Arial"/>
                <w:color w:val="000000" w:themeColor="text1"/>
                <w:szCs w:val="24"/>
              </w:rPr>
              <w:t xml:space="preserve"> </w:t>
            </w:r>
            <w:r w:rsidRPr="00840CF8">
              <w:rPr>
                <w:rFonts w:ascii="Book Antiqua" w:hAnsi="Book Antiqua" w:cs="Arial"/>
                <w:color w:val="000000" w:themeColor="text1"/>
                <w:szCs w:val="24"/>
              </w:rPr>
              <w:t>(3)</w:t>
            </w:r>
          </w:p>
        </w:tc>
      </w:tr>
    </w:tbl>
    <w:p w14:paraId="6C958C65"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037EF9C"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3CF00352"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5EBC3DD9"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769D9E99"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17DA3B96"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2A2CA177"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0D3B2002"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3047B509"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9F8D89C"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6A9AB74E"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C7714FC"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0F6CE5BC"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5FB61D22"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68889843"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5B46264B"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2D37F0ED"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56227A3B"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03B803E0"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5796511"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5D271BF5"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0687D97"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03A6DFCD"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33E47C10"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5F783B51"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22887389"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67C511D4"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0E49E1AA"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362DC99"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2B5A902"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E2179E2"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754DA9DE"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3F7A9086"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5C074DA7"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1F3AEBDE"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32776237"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28FFA529"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726FCCD0"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6114D3C"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20CCD270"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6CB1CBC8"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7BE3A13A"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66AD2BB9"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1C734993"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0DDA5F6D"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0D8B95F8"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3F04F581"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3C4B285C"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2A582ABD"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136C5BEC"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3F0F163F"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0D53A7D"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F31B1D0"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407F61B0"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71D370B4" w14:textId="77777777" w:rsidR="00BC48BF" w:rsidRPr="00840CF8" w:rsidRDefault="00BC48BF" w:rsidP="00CB7D2C">
      <w:pPr>
        <w:snapToGrid w:val="0"/>
        <w:spacing w:line="360" w:lineRule="auto"/>
        <w:rPr>
          <w:rFonts w:ascii="Book Antiqua" w:eastAsia="宋体" w:hAnsi="Book Antiqua" w:cs="Arial"/>
          <w:color w:val="000000" w:themeColor="text1"/>
          <w:szCs w:val="24"/>
          <w:lang w:eastAsia="zh-CN"/>
        </w:rPr>
      </w:pPr>
    </w:p>
    <w:p w14:paraId="5797AC70" w14:textId="77777777" w:rsidR="007B7759" w:rsidRPr="00840CF8" w:rsidRDefault="007B7759" w:rsidP="00CB7D2C">
      <w:pPr>
        <w:snapToGrid w:val="0"/>
        <w:spacing w:line="360" w:lineRule="auto"/>
        <w:rPr>
          <w:rFonts w:ascii="Book Antiqua" w:hAnsi="Book Antiqua" w:cs="Arial"/>
          <w:color w:val="000000" w:themeColor="text1"/>
          <w:szCs w:val="24"/>
        </w:rPr>
      </w:pPr>
      <w:r w:rsidRPr="00840CF8">
        <w:rPr>
          <w:rFonts w:ascii="Book Antiqua" w:hAnsi="Book Antiqua" w:cs="Arial"/>
          <w:color w:val="000000" w:themeColor="text1"/>
          <w:szCs w:val="24"/>
        </w:rPr>
        <w:t>PFS</w:t>
      </w:r>
      <w:r w:rsidR="00620B02"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Pr="00840CF8">
        <w:rPr>
          <w:rFonts w:ascii="Book Antiqua" w:hAnsi="Book Antiqua" w:cs="Arial"/>
          <w:caps/>
          <w:color w:val="000000" w:themeColor="text1"/>
          <w:szCs w:val="24"/>
        </w:rPr>
        <w:t>p</w:t>
      </w:r>
      <w:r w:rsidRPr="00840CF8">
        <w:rPr>
          <w:rFonts w:ascii="Book Antiqua" w:hAnsi="Book Antiqua" w:cs="Arial"/>
          <w:color w:val="000000" w:themeColor="text1"/>
          <w:szCs w:val="24"/>
        </w:rPr>
        <w:t>rogression-free survival; OS</w:t>
      </w:r>
      <w:r w:rsidR="00620B02"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620B02" w:rsidRPr="00840CF8">
        <w:rPr>
          <w:rFonts w:ascii="Book Antiqua" w:hAnsi="Book Antiqua" w:cs="Arial"/>
          <w:color w:val="000000" w:themeColor="text1"/>
          <w:szCs w:val="24"/>
        </w:rPr>
        <w:t xml:space="preserve">Overall </w:t>
      </w:r>
      <w:r w:rsidRPr="00840CF8">
        <w:rPr>
          <w:rFonts w:ascii="Book Antiqua" w:hAnsi="Book Antiqua" w:cs="Arial"/>
          <w:color w:val="000000" w:themeColor="text1"/>
          <w:szCs w:val="24"/>
        </w:rPr>
        <w:t>survival; PTV</w:t>
      </w:r>
      <w:r w:rsidR="00620B02"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620B02" w:rsidRPr="00840CF8">
        <w:rPr>
          <w:rFonts w:ascii="Book Antiqua" w:hAnsi="Book Antiqua" w:cs="Arial"/>
          <w:color w:val="000000" w:themeColor="text1"/>
          <w:szCs w:val="24"/>
        </w:rPr>
        <w:t xml:space="preserve">Planned </w:t>
      </w:r>
      <w:r w:rsidRPr="00840CF8">
        <w:rPr>
          <w:rFonts w:ascii="Book Antiqua" w:hAnsi="Book Antiqua" w:cs="Arial"/>
          <w:color w:val="000000" w:themeColor="text1"/>
          <w:szCs w:val="24"/>
        </w:rPr>
        <w:t>target volume; GTV</w:t>
      </w:r>
      <w:r w:rsidR="00620B02"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620B02" w:rsidRPr="00840CF8">
        <w:rPr>
          <w:rFonts w:ascii="Book Antiqua" w:hAnsi="Book Antiqua" w:cs="Arial"/>
          <w:color w:val="000000" w:themeColor="text1"/>
          <w:szCs w:val="24"/>
        </w:rPr>
        <w:t xml:space="preserve">Gross </w:t>
      </w:r>
      <w:r w:rsidRPr="00840CF8">
        <w:rPr>
          <w:rFonts w:ascii="Book Antiqua" w:hAnsi="Book Antiqua" w:cs="Arial"/>
          <w:color w:val="000000" w:themeColor="text1"/>
          <w:szCs w:val="24"/>
        </w:rPr>
        <w:t>tumor volume; CTV</w:t>
      </w:r>
      <w:r w:rsidR="00620B02"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620B02" w:rsidRPr="00840CF8">
        <w:rPr>
          <w:rFonts w:ascii="Book Antiqua" w:hAnsi="Book Antiqua" w:cs="Arial"/>
          <w:color w:val="000000" w:themeColor="text1"/>
          <w:szCs w:val="24"/>
        </w:rPr>
        <w:t xml:space="preserve">Clinical </w:t>
      </w:r>
      <w:r w:rsidRPr="00840CF8">
        <w:rPr>
          <w:rFonts w:ascii="Book Antiqua" w:hAnsi="Book Antiqua" w:cs="Arial"/>
          <w:color w:val="000000" w:themeColor="text1"/>
          <w:szCs w:val="24"/>
        </w:rPr>
        <w:t>target volume; G</w:t>
      </w:r>
      <w:r w:rsidR="00620B02"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620B02" w:rsidRPr="00840CF8">
        <w:rPr>
          <w:rFonts w:ascii="Book Antiqua" w:hAnsi="Book Antiqua" w:cs="Arial"/>
          <w:color w:val="000000" w:themeColor="text1"/>
          <w:szCs w:val="24"/>
        </w:rPr>
        <w:t>Grade</w:t>
      </w:r>
      <w:r w:rsidRPr="00840CF8">
        <w:rPr>
          <w:rFonts w:ascii="Book Antiqua" w:hAnsi="Book Antiqua" w:cs="Arial"/>
          <w:color w:val="000000" w:themeColor="text1"/>
          <w:szCs w:val="24"/>
        </w:rPr>
        <w:t>; RILD</w:t>
      </w:r>
      <w:r w:rsidR="00620B02"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620B02" w:rsidRPr="00840CF8">
        <w:rPr>
          <w:rFonts w:ascii="Book Antiqua" w:hAnsi="Book Antiqua" w:cs="Arial"/>
          <w:color w:val="000000" w:themeColor="text1"/>
          <w:szCs w:val="24"/>
        </w:rPr>
        <w:t>Radiation</w:t>
      </w:r>
      <w:r w:rsidRPr="00840CF8">
        <w:rPr>
          <w:rFonts w:ascii="Book Antiqua" w:hAnsi="Book Antiqua" w:cs="Arial"/>
          <w:color w:val="000000" w:themeColor="text1"/>
          <w:szCs w:val="24"/>
        </w:rPr>
        <w:t>-induced hepatic dysfunction; GI</w:t>
      </w:r>
      <w:r w:rsidR="00620B02"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620B02" w:rsidRPr="00840CF8">
        <w:rPr>
          <w:rFonts w:ascii="Book Antiqua" w:hAnsi="Book Antiqua" w:cs="Arial"/>
          <w:color w:val="000000" w:themeColor="text1"/>
          <w:szCs w:val="24"/>
        </w:rPr>
        <w:t>Gastrointestinal</w:t>
      </w:r>
      <w:r w:rsidRPr="00840CF8">
        <w:rPr>
          <w:rFonts w:ascii="Book Antiqua" w:hAnsi="Book Antiqua" w:cs="Arial"/>
          <w:color w:val="000000" w:themeColor="text1"/>
          <w:szCs w:val="24"/>
        </w:rPr>
        <w:t>.</w:t>
      </w:r>
    </w:p>
    <w:p w14:paraId="70BF390C" w14:textId="77777777" w:rsidR="007B7759" w:rsidRPr="00840CF8" w:rsidRDefault="007B7759" w:rsidP="00CB7D2C">
      <w:pPr>
        <w:pStyle w:val="EndNoteBibliography"/>
        <w:snapToGrid w:val="0"/>
        <w:spacing w:line="360" w:lineRule="auto"/>
        <w:jc w:val="both"/>
        <w:rPr>
          <w:rFonts w:ascii="Book Antiqua" w:eastAsia="宋体" w:hAnsi="Book Antiqua" w:cs="Arial"/>
          <w:color w:val="000000" w:themeColor="text1"/>
          <w:szCs w:val="24"/>
          <w:lang w:eastAsia="zh-CN"/>
        </w:rPr>
      </w:pPr>
    </w:p>
    <w:p w14:paraId="72FC84EE" w14:textId="77777777" w:rsidR="00BC48BF" w:rsidRPr="00840CF8" w:rsidRDefault="00BC48BF" w:rsidP="00CB7D2C">
      <w:pPr>
        <w:pStyle w:val="EndNoteBibliography"/>
        <w:snapToGrid w:val="0"/>
        <w:spacing w:line="360" w:lineRule="auto"/>
        <w:jc w:val="both"/>
        <w:rPr>
          <w:rFonts w:ascii="Book Antiqua" w:eastAsia="宋体" w:hAnsi="Book Antiqua" w:cs="Arial"/>
          <w:color w:val="000000" w:themeColor="text1"/>
          <w:szCs w:val="24"/>
          <w:lang w:eastAsia="zh-CN"/>
        </w:rPr>
      </w:pPr>
    </w:p>
    <w:p w14:paraId="5C849D2A" w14:textId="77777777" w:rsidR="00BC48BF" w:rsidRPr="00840CF8" w:rsidRDefault="00BC48BF" w:rsidP="00CB7D2C">
      <w:pPr>
        <w:pStyle w:val="EndNoteBibliography"/>
        <w:snapToGrid w:val="0"/>
        <w:spacing w:line="360" w:lineRule="auto"/>
        <w:jc w:val="both"/>
        <w:rPr>
          <w:rFonts w:ascii="Book Antiqua" w:eastAsia="宋体" w:hAnsi="Book Antiqua" w:cs="Arial"/>
          <w:color w:val="000000" w:themeColor="text1"/>
          <w:szCs w:val="24"/>
          <w:lang w:eastAsia="zh-CN"/>
        </w:rPr>
      </w:pPr>
    </w:p>
    <w:p w14:paraId="668E3417" w14:textId="77777777" w:rsidR="00BC48BF" w:rsidRPr="00840CF8" w:rsidRDefault="00BC48BF" w:rsidP="00CB7D2C">
      <w:pPr>
        <w:pStyle w:val="EndNoteBibliography"/>
        <w:snapToGrid w:val="0"/>
        <w:spacing w:line="360" w:lineRule="auto"/>
        <w:jc w:val="both"/>
        <w:rPr>
          <w:rFonts w:ascii="Book Antiqua" w:eastAsia="宋体" w:hAnsi="Book Antiqua" w:cs="Arial"/>
          <w:color w:val="000000" w:themeColor="text1"/>
          <w:szCs w:val="24"/>
          <w:lang w:eastAsia="zh-CN"/>
        </w:rPr>
      </w:pPr>
    </w:p>
    <w:p w14:paraId="78713C68" w14:textId="77777777" w:rsidR="007B7759" w:rsidRPr="00840CF8" w:rsidRDefault="006C3B15" w:rsidP="00CB7D2C">
      <w:pPr>
        <w:pStyle w:val="EndNoteBibliography"/>
        <w:snapToGrid w:val="0"/>
        <w:spacing w:line="360" w:lineRule="auto"/>
        <w:jc w:val="both"/>
        <w:rPr>
          <w:rFonts w:ascii="Book Antiqua" w:hAnsi="Book Antiqua" w:cs="Arial"/>
          <w:color w:val="000000" w:themeColor="text1"/>
          <w:szCs w:val="24"/>
        </w:rPr>
      </w:pPr>
      <w:r w:rsidRPr="00840CF8">
        <w:rPr>
          <w:lang w:eastAsia="zh-CN"/>
        </w:rPr>
        <w:drawing>
          <wp:inline distT="0" distB="0" distL="0" distR="0" wp14:anchorId="577FAC9F" wp14:editId="580E28DA">
            <wp:extent cx="5722541" cy="3622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178"/>
                    <a:stretch/>
                  </pic:blipFill>
                  <pic:spPr bwMode="auto">
                    <a:xfrm>
                      <a:off x="0" y="0"/>
                      <a:ext cx="5723809" cy="3623457"/>
                    </a:xfrm>
                    <a:prstGeom prst="rect">
                      <a:avLst/>
                    </a:prstGeom>
                    <a:ln>
                      <a:noFill/>
                    </a:ln>
                    <a:extLst>
                      <a:ext uri="{53640926-AAD7-44D8-BBD7-CCE9431645EC}">
                        <a14:shadowObscured xmlns:a14="http://schemas.microsoft.com/office/drawing/2010/main"/>
                      </a:ext>
                    </a:extLst>
                  </pic:spPr>
                </pic:pic>
              </a:graphicData>
            </a:graphic>
          </wp:inline>
        </w:drawing>
      </w:r>
    </w:p>
    <w:p w14:paraId="2B274AC2" w14:textId="77777777" w:rsidR="007B7759" w:rsidRPr="00840CF8" w:rsidRDefault="007B7759" w:rsidP="00CB7D2C">
      <w:pPr>
        <w:snapToGrid w:val="0"/>
        <w:spacing w:line="360" w:lineRule="auto"/>
        <w:jc w:val="both"/>
        <w:rPr>
          <w:rFonts w:ascii="Book Antiqua" w:hAnsi="Book Antiqua" w:cs="Times"/>
          <w:b/>
          <w:color w:val="000000" w:themeColor="text1"/>
          <w:spacing w:val="3"/>
          <w:sz w:val="26"/>
          <w:szCs w:val="26"/>
        </w:rPr>
      </w:pPr>
      <w:r w:rsidRPr="00840CF8">
        <w:rPr>
          <w:rFonts w:ascii="Book Antiqua" w:hAnsi="Book Antiqua" w:hint="eastAsia"/>
          <w:b/>
          <w:color w:val="000000" w:themeColor="text1"/>
        </w:rPr>
        <w:t>Figure 1</w:t>
      </w:r>
      <w:r w:rsidR="00ED208A" w:rsidRPr="00840CF8">
        <w:rPr>
          <w:rFonts w:ascii="Book Antiqua" w:hAnsi="Book Antiqua"/>
          <w:b/>
          <w:color w:val="000000" w:themeColor="text1"/>
        </w:rPr>
        <w:t xml:space="preserve"> </w:t>
      </w:r>
      <w:r w:rsidRPr="00840CF8">
        <w:rPr>
          <w:rFonts w:ascii="Book Antiqua" w:hAnsi="Book Antiqua" w:hint="eastAsia"/>
          <w:b/>
          <w:color w:val="000000" w:themeColor="text1"/>
        </w:rPr>
        <w:t>The illu</w:t>
      </w:r>
      <w:r w:rsidR="009F72AB" w:rsidRPr="00840CF8">
        <w:rPr>
          <w:rFonts w:ascii="Book Antiqua" w:hAnsi="Book Antiqua" w:hint="eastAsia"/>
          <w:b/>
          <w:color w:val="000000" w:themeColor="text1"/>
        </w:rPr>
        <w:t>s</w:t>
      </w:r>
      <w:r w:rsidRPr="00840CF8">
        <w:rPr>
          <w:rFonts w:ascii="Book Antiqua" w:hAnsi="Book Antiqua" w:hint="eastAsia"/>
          <w:b/>
          <w:color w:val="000000" w:themeColor="text1"/>
        </w:rPr>
        <w:t xml:space="preserve">tration of Bragg peak and </w:t>
      </w:r>
      <w:r w:rsidRPr="00840CF8">
        <w:rPr>
          <w:rFonts w:ascii="Book Antiqua" w:hAnsi="Book Antiqua" w:cs="Arial"/>
          <w:b/>
          <w:color w:val="000000" w:themeColor="text1"/>
        </w:rPr>
        <w:t>spread-out Bragg peak</w:t>
      </w:r>
      <w:r w:rsidR="00ED208A" w:rsidRPr="00840CF8">
        <w:rPr>
          <w:rFonts w:ascii="Book Antiqua" w:hAnsi="Book Antiqua" w:cs="Arial"/>
          <w:b/>
          <w:color w:val="000000" w:themeColor="text1"/>
        </w:rPr>
        <w:t>.</w:t>
      </w:r>
    </w:p>
    <w:p w14:paraId="1D6BBA63" w14:textId="77777777" w:rsidR="007B7759" w:rsidRPr="00840CF8" w:rsidRDefault="007B7759" w:rsidP="00CB7D2C">
      <w:pPr>
        <w:pStyle w:val="EndNoteBibliography"/>
        <w:snapToGrid w:val="0"/>
        <w:spacing w:line="360" w:lineRule="auto"/>
        <w:jc w:val="both"/>
        <w:rPr>
          <w:rFonts w:ascii="Book Antiqua" w:hAnsi="Book Antiqua" w:cs="Arial"/>
          <w:color w:val="000000" w:themeColor="text1"/>
          <w:szCs w:val="24"/>
        </w:rPr>
      </w:pPr>
    </w:p>
    <w:p w14:paraId="48DA2D80" w14:textId="77777777" w:rsidR="007B7759" w:rsidRPr="00840CF8" w:rsidRDefault="007B7759" w:rsidP="00CB7D2C">
      <w:pPr>
        <w:pStyle w:val="EndNoteBibliography"/>
        <w:snapToGrid w:val="0"/>
        <w:spacing w:line="360" w:lineRule="auto"/>
        <w:jc w:val="both"/>
        <w:rPr>
          <w:rFonts w:ascii="Book Antiqua" w:hAnsi="Book Antiqua" w:cs="Arial"/>
          <w:color w:val="000000" w:themeColor="text1"/>
          <w:szCs w:val="24"/>
        </w:rPr>
      </w:pPr>
    </w:p>
    <w:p w14:paraId="7510508D" w14:textId="77777777" w:rsidR="00AC74FA" w:rsidRPr="00840CF8" w:rsidRDefault="00AC74FA">
      <w:pPr>
        <w:widowControl/>
        <w:rPr>
          <w:rFonts w:ascii="Book Antiqua" w:hAnsi="Book Antiqua" w:cs="Arial"/>
          <w:noProof/>
          <w:color w:val="000000" w:themeColor="text1"/>
          <w:szCs w:val="24"/>
        </w:rPr>
      </w:pPr>
      <w:r w:rsidRPr="00840CF8">
        <w:rPr>
          <w:rFonts w:ascii="Book Antiqua" w:hAnsi="Book Antiqua" w:cs="Arial"/>
          <w:color w:val="000000" w:themeColor="text1"/>
          <w:szCs w:val="24"/>
        </w:rPr>
        <w:br w:type="page"/>
      </w:r>
    </w:p>
    <w:p w14:paraId="0DEF3540" w14:textId="6F58F312" w:rsidR="00E52D0A" w:rsidRPr="00840CF8" w:rsidRDefault="006C3B15" w:rsidP="00CB7D2C">
      <w:pPr>
        <w:snapToGrid w:val="0"/>
        <w:spacing w:line="360" w:lineRule="auto"/>
        <w:rPr>
          <w:rFonts w:ascii="Book Antiqua" w:hAnsi="Book Antiqua" w:cs="Arial"/>
          <w:color w:val="000000" w:themeColor="text1"/>
          <w:szCs w:val="24"/>
        </w:rPr>
      </w:pPr>
      <w:r w:rsidRPr="00840CF8">
        <w:rPr>
          <w:noProof/>
          <w:lang w:eastAsia="zh-CN"/>
        </w:rPr>
        <w:drawing>
          <wp:inline distT="0" distB="0" distL="0" distR="0" wp14:anchorId="32420BE9" wp14:editId="2ACFC5E2">
            <wp:extent cx="5542857" cy="3647619"/>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2857" cy="3647619"/>
                    </a:xfrm>
                    <a:prstGeom prst="rect">
                      <a:avLst/>
                    </a:prstGeom>
                  </pic:spPr>
                </pic:pic>
              </a:graphicData>
            </a:graphic>
          </wp:inline>
        </w:drawing>
      </w:r>
    </w:p>
    <w:p w14:paraId="2CDA8DD3" w14:textId="77777777" w:rsidR="00210BF3" w:rsidRPr="00AC74FA" w:rsidRDefault="00172FED" w:rsidP="00AC74FA">
      <w:pPr>
        <w:snapToGrid w:val="0"/>
        <w:spacing w:line="360" w:lineRule="auto"/>
        <w:jc w:val="both"/>
        <w:rPr>
          <w:rFonts w:ascii="Book Antiqua" w:hAnsi="Book Antiqua" w:cs="Arial"/>
          <w:color w:val="000000" w:themeColor="text1"/>
          <w:szCs w:val="24"/>
        </w:rPr>
      </w:pPr>
      <w:r w:rsidRPr="00840CF8">
        <w:rPr>
          <w:rFonts w:ascii="Book Antiqua" w:hAnsi="Book Antiqua" w:cs="Arial"/>
          <w:b/>
          <w:color w:val="000000" w:themeColor="text1"/>
          <w:szCs w:val="24"/>
        </w:rPr>
        <w:t>Figure 2</w:t>
      </w:r>
      <w:r w:rsidR="00ED208A" w:rsidRPr="00840CF8">
        <w:rPr>
          <w:rFonts w:ascii="Book Antiqua" w:hAnsi="Book Antiqua" w:cs="Arial"/>
          <w:b/>
          <w:bCs/>
          <w:color w:val="000000" w:themeColor="text1"/>
          <w:szCs w:val="24"/>
        </w:rPr>
        <w:t xml:space="preserve"> </w:t>
      </w:r>
      <w:r w:rsidRPr="00840CF8">
        <w:rPr>
          <w:rFonts w:ascii="Book Antiqua" w:hAnsi="Book Antiqua" w:cs="Arial"/>
          <w:b/>
          <w:bCs/>
          <w:color w:val="000000" w:themeColor="text1"/>
          <w:szCs w:val="24"/>
        </w:rPr>
        <w:t>Illustrations of doses and regimens of charged particle therapy</w:t>
      </w:r>
      <w:r w:rsidR="00ED208A" w:rsidRPr="00840CF8">
        <w:rPr>
          <w:rFonts w:ascii="Book Antiqua" w:hAnsi="Book Antiqua" w:cs="Arial"/>
          <w:b/>
          <w:bCs/>
          <w:color w:val="000000" w:themeColor="text1"/>
          <w:szCs w:val="24"/>
        </w:rPr>
        <w:t xml:space="preserve"> </w:t>
      </w:r>
      <w:r w:rsidRPr="00840CF8">
        <w:rPr>
          <w:rFonts w:ascii="Book Antiqua" w:hAnsi="Book Antiqua" w:cs="Arial"/>
          <w:b/>
          <w:bCs/>
          <w:color w:val="000000" w:themeColor="text1"/>
          <w:szCs w:val="24"/>
        </w:rPr>
        <w:t xml:space="preserve">in the treatment of different locations of hepatocellular carcinoma. </w:t>
      </w:r>
      <w:r w:rsidRPr="00840CF8">
        <w:rPr>
          <w:rFonts w:ascii="Book Antiqua" w:hAnsi="Book Antiqua" w:cs="Arial"/>
          <w:color w:val="000000" w:themeColor="text1"/>
          <w:szCs w:val="24"/>
        </w:rPr>
        <w:t xml:space="preserve">For central tumors and tumors adjacent to the bowel, conventional fractionation of </w:t>
      </w:r>
      <w:r w:rsidR="00ED208A" w:rsidRPr="00840CF8">
        <w:rPr>
          <w:rFonts w:ascii="Book Antiqua" w:hAnsi="Book Antiqua" w:cs="Arial"/>
          <w:color w:val="000000" w:themeColor="text1"/>
          <w:szCs w:val="24"/>
        </w:rPr>
        <w:t xml:space="preserve">charged particle therapy (CPT) </w:t>
      </w:r>
      <w:r w:rsidRPr="00840CF8">
        <w:rPr>
          <w:rFonts w:ascii="Book Antiqua" w:hAnsi="Book Antiqua" w:cs="Arial"/>
          <w:color w:val="000000" w:themeColor="text1"/>
          <w:szCs w:val="24"/>
        </w:rPr>
        <w:t>is a safe approach that not only provides good local tumor control but also lessens adverse effects. In contrast to that for central tumors, short-course hypofractionation of CPT might provide better outcomes for larger-sized tumors that are located at peripheral areas of the liver. PBT</w:t>
      </w:r>
      <w:r w:rsidR="00ED208A"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ED208A" w:rsidRPr="00840CF8">
        <w:rPr>
          <w:rFonts w:ascii="Book Antiqua" w:hAnsi="Book Antiqua" w:cs="Arial"/>
          <w:color w:val="000000" w:themeColor="text1"/>
          <w:szCs w:val="24"/>
        </w:rPr>
        <w:t xml:space="preserve">Proton </w:t>
      </w:r>
      <w:r w:rsidRPr="00840CF8">
        <w:rPr>
          <w:rFonts w:ascii="Book Antiqua" w:hAnsi="Book Antiqua" w:cs="Arial"/>
          <w:color w:val="000000" w:themeColor="text1"/>
          <w:szCs w:val="24"/>
        </w:rPr>
        <w:t>beam therapy; CIRT</w:t>
      </w:r>
      <w:r w:rsidR="00ED208A" w:rsidRPr="00840CF8">
        <w:rPr>
          <w:rFonts w:ascii="Book Antiqua" w:hAnsi="Book Antiqua" w:cs="Arial"/>
          <w:color w:val="000000" w:themeColor="text1"/>
          <w:szCs w:val="24"/>
        </w:rPr>
        <w:t>:</w:t>
      </w:r>
      <w:r w:rsidRPr="00840CF8">
        <w:rPr>
          <w:rFonts w:ascii="Book Antiqua" w:hAnsi="Book Antiqua" w:cs="Arial"/>
          <w:color w:val="000000" w:themeColor="text1"/>
          <w:szCs w:val="24"/>
        </w:rPr>
        <w:t xml:space="preserve"> </w:t>
      </w:r>
      <w:r w:rsidR="00ED208A" w:rsidRPr="00840CF8">
        <w:rPr>
          <w:rFonts w:ascii="Book Antiqua" w:hAnsi="Book Antiqua" w:cs="Arial"/>
          <w:color w:val="000000" w:themeColor="text1"/>
          <w:szCs w:val="24"/>
        </w:rPr>
        <w:t xml:space="preserve">Carbon </w:t>
      </w:r>
      <w:r w:rsidRPr="00840CF8">
        <w:rPr>
          <w:rFonts w:ascii="Book Antiqua" w:hAnsi="Book Antiqua" w:cs="Arial"/>
          <w:color w:val="000000" w:themeColor="text1"/>
          <w:szCs w:val="24"/>
        </w:rPr>
        <w:t>ion radiotherapy.</w:t>
      </w:r>
      <w:bookmarkEnd w:id="0"/>
    </w:p>
    <w:sectPr w:rsidR="00210BF3" w:rsidRPr="00AC74FA" w:rsidSect="002B16CD">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DC22" w14:textId="77777777" w:rsidR="0035711A" w:rsidRDefault="0035711A" w:rsidP="00AB3190">
      <w:r>
        <w:separator/>
      </w:r>
    </w:p>
  </w:endnote>
  <w:endnote w:type="continuationSeparator" w:id="0">
    <w:p w14:paraId="2E9A87DC" w14:textId="77777777" w:rsidR="0035711A" w:rsidRDefault="0035711A" w:rsidP="00AB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Janson Text LT">
    <w:altName w:val="新細明體"/>
    <w:panose1 w:val="00000000000000000000"/>
    <w:charset w:val="88"/>
    <w:family w:val="roman"/>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Palatino-Roman">
    <w:altName w:val="Arial"/>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396"/>
      <w:docPartObj>
        <w:docPartGallery w:val="Page Numbers (Bottom of Page)"/>
        <w:docPartUnique/>
      </w:docPartObj>
    </w:sdtPr>
    <w:sdtEndPr/>
    <w:sdtContent>
      <w:p w14:paraId="0787978A" w14:textId="77777777" w:rsidR="00BC48BF" w:rsidRPr="00F407E2" w:rsidRDefault="00BC48BF">
        <w:pPr>
          <w:pStyle w:val="a6"/>
          <w:jc w:val="center"/>
        </w:pPr>
        <w:r>
          <w:fldChar w:fldCharType="begin"/>
        </w:r>
        <w:r>
          <w:instrText xml:space="preserve"> PAGE   \* MERGEFORMAT </w:instrText>
        </w:r>
        <w:r>
          <w:fldChar w:fldCharType="separate"/>
        </w:r>
        <w:r w:rsidR="00B265AA">
          <w:rPr>
            <w:noProof/>
          </w:rPr>
          <w:t>14</w:t>
        </w:r>
        <w:r>
          <w:rPr>
            <w:noProof/>
          </w:rPr>
          <w:fldChar w:fldCharType="end"/>
        </w:r>
      </w:p>
    </w:sdtContent>
  </w:sdt>
  <w:p w14:paraId="77CD43A6" w14:textId="77777777" w:rsidR="00BC48BF" w:rsidRPr="00F407E2" w:rsidRDefault="00BC4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10F1" w14:textId="77777777" w:rsidR="0035711A" w:rsidRDefault="0035711A" w:rsidP="00AB3190">
      <w:r>
        <w:separator/>
      </w:r>
    </w:p>
  </w:footnote>
  <w:footnote w:type="continuationSeparator" w:id="0">
    <w:p w14:paraId="0BB2076A" w14:textId="77777777" w:rsidR="0035711A" w:rsidRDefault="0035711A" w:rsidP="00AB3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TW" w:vendorID="64" w:dllVersion="0" w:nlCheck="1" w:checkStyle="1"/>
  <w:activeWritingStyle w:appName="MSWord" w:lang="en-GB" w:vendorID="64" w:dllVersion="4096" w:nlCheck="1" w:checkStyle="0"/>
  <w:activeWritingStyle w:appName="MSWord" w:lang="en-US" w:vendorID="64" w:dllVersion="6" w:nlCheck="1" w:checkStyle="1"/>
  <w:activeWritingStyle w:appName="MSWord" w:lang="zh-TW" w:vendorID="64" w:dllVersion="5" w:nlCheck="1" w:checkStyle="1"/>
  <w:activeWritingStyle w:appName="MSWord" w:lang="en-GB" w:vendorID="64" w:dllVersion="6" w:nlCheck="1" w:checkStyle="1"/>
  <w:activeWritingStyle w:appName="MSWord" w:lang="it-IT" w:vendorID="64" w:dllVersion="4096" w:nlCheck="1" w:checkStyle="0"/>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ntellisampler_rd 13" w:val="13"/>
    <w:docVar w:name="intellisampler_rd 18" w:val="18"/>
    <w:docVar w:name="intellisampler_rd 20" w:val="20"/>
    <w:docVar w:name="intellisampler_rd 22" w:val="22"/>
    <w:docVar w:name="intellisampler_rd 24" w:val="24"/>
    <w:docVar w:name="intellisampler_rd 28" w:val="28"/>
    <w:docVar w:name="intellisampler_rd 32" w:val="32"/>
    <w:docVar w:name="intellisampler_rd 33" w:val="33"/>
    <w:docVar w:name="is_review_method" w:val="Normal_Incompatible_Normal"/>
    <w:docVar w:name="is_sampling_method" w:val="categoricalcategorical"/>
  </w:docVars>
  <w:rsids>
    <w:rsidRoot w:val="00AB3190"/>
    <w:rsid w:val="00002AF6"/>
    <w:rsid w:val="000033A4"/>
    <w:rsid w:val="0001307A"/>
    <w:rsid w:val="000205E2"/>
    <w:rsid w:val="00021E35"/>
    <w:rsid w:val="00026541"/>
    <w:rsid w:val="0003298A"/>
    <w:rsid w:val="00056FF4"/>
    <w:rsid w:val="00057519"/>
    <w:rsid w:val="000578D2"/>
    <w:rsid w:val="00066324"/>
    <w:rsid w:val="00070E59"/>
    <w:rsid w:val="0008114F"/>
    <w:rsid w:val="00086344"/>
    <w:rsid w:val="00093C17"/>
    <w:rsid w:val="00094651"/>
    <w:rsid w:val="000A06E7"/>
    <w:rsid w:val="000A6EA1"/>
    <w:rsid w:val="000A7646"/>
    <w:rsid w:val="000C076D"/>
    <w:rsid w:val="000C51EE"/>
    <w:rsid w:val="000E0083"/>
    <w:rsid w:val="000E4024"/>
    <w:rsid w:val="000E5F49"/>
    <w:rsid w:val="000E6129"/>
    <w:rsid w:val="000F77E1"/>
    <w:rsid w:val="00103CFE"/>
    <w:rsid w:val="00110764"/>
    <w:rsid w:val="00116C26"/>
    <w:rsid w:val="001172E8"/>
    <w:rsid w:val="0011735A"/>
    <w:rsid w:val="001213D8"/>
    <w:rsid w:val="0012786E"/>
    <w:rsid w:val="00127D97"/>
    <w:rsid w:val="0013240C"/>
    <w:rsid w:val="001338F0"/>
    <w:rsid w:val="001359E5"/>
    <w:rsid w:val="00145A67"/>
    <w:rsid w:val="001473EC"/>
    <w:rsid w:val="00154EB7"/>
    <w:rsid w:val="0016151A"/>
    <w:rsid w:val="00162ED1"/>
    <w:rsid w:val="00167BC0"/>
    <w:rsid w:val="00172FED"/>
    <w:rsid w:val="001963A0"/>
    <w:rsid w:val="001A606E"/>
    <w:rsid w:val="001A7192"/>
    <w:rsid w:val="001B1EEC"/>
    <w:rsid w:val="001B42BA"/>
    <w:rsid w:val="001B508B"/>
    <w:rsid w:val="001C179F"/>
    <w:rsid w:val="001C367F"/>
    <w:rsid w:val="001E01E3"/>
    <w:rsid w:val="001F3DF9"/>
    <w:rsid w:val="001F546D"/>
    <w:rsid w:val="00201BBF"/>
    <w:rsid w:val="00210BF3"/>
    <w:rsid w:val="00212EF1"/>
    <w:rsid w:val="00215C35"/>
    <w:rsid w:val="00216EEF"/>
    <w:rsid w:val="00217F9E"/>
    <w:rsid w:val="00222AAC"/>
    <w:rsid w:val="00225115"/>
    <w:rsid w:val="00244125"/>
    <w:rsid w:val="00244DC5"/>
    <w:rsid w:val="00245B37"/>
    <w:rsid w:val="00246A89"/>
    <w:rsid w:val="00250547"/>
    <w:rsid w:val="00252A33"/>
    <w:rsid w:val="00262CB1"/>
    <w:rsid w:val="002670CB"/>
    <w:rsid w:val="00271BE0"/>
    <w:rsid w:val="00293173"/>
    <w:rsid w:val="002A3EA6"/>
    <w:rsid w:val="002A4BFC"/>
    <w:rsid w:val="002A5905"/>
    <w:rsid w:val="002B026E"/>
    <w:rsid w:val="002B16CD"/>
    <w:rsid w:val="002C331A"/>
    <w:rsid w:val="002D121A"/>
    <w:rsid w:val="002E0F68"/>
    <w:rsid w:val="002E613C"/>
    <w:rsid w:val="002F0F9C"/>
    <w:rsid w:val="002F3760"/>
    <w:rsid w:val="002F643B"/>
    <w:rsid w:val="002F79C9"/>
    <w:rsid w:val="003000AE"/>
    <w:rsid w:val="00306A9A"/>
    <w:rsid w:val="00314324"/>
    <w:rsid w:val="00331FEB"/>
    <w:rsid w:val="0035168D"/>
    <w:rsid w:val="0035711A"/>
    <w:rsid w:val="00365BE6"/>
    <w:rsid w:val="00372CBF"/>
    <w:rsid w:val="0038028D"/>
    <w:rsid w:val="00381C9A"/>
    <w:rsid w:val="00382229"/>
    <w:rsid w:val="00384062"/>
    <w:rsid w:val="003A4FFA"/>
    <w:rsid w:val="003A67D1"/>
    <w:rsid w:val="003B2AE7"/>
    <w:rsid w:val="003B5275"/>
    <w:rsid w:val="003C0DAB"/>
    <w:rsid w:val="003C1FD7"/>
    <w:rsid w:val="003C26AF"/>
    <w:rsid w:val="003D0962"/>
    <w:rsid w:val="003D7995"/>
    <w:rsid w:val="003E60C3"/>
    <w:rsid w:val="003F6064"/>
    <w:rsid w:val="00402372"/>
    <w:rsid w:val="004031DD"/>
    <w:rsid w:val="00405F74"/>
    <w:rsid w:val="00412116"/>
    <w:rsid w:val="00423779"/>
    <w:rsid w:val="004278C9"/>
    <w:rsid w:val="00437A34"/>
    <w:rsid w:val="00441A2B"/>
    <w:rsid w:val="00443FE1"/>
    <w:rsid w:val="004503BA"/>
    <w:rsid w:val="0046119C"/>
    <w:rsid w:val="004638BD"/>
    <w:rsid w:val="004650FB"/>
    <w:rsid w:val="0047530D"/>
    <w:rsid w:val="00480D4C"/>
    <w:rsid w:val="00481257"/>
    <w:rsid w:val="00485ADE"/>
    <w:rsid w:val="00487707"/>
    <w:rsid w:val="004903D6"/>
    <w:rsid w:val="00492323"/>
    <w:rsid w:val="00492A1A"/>
    <w:rsid w:val="004A2D21"/>
    <w:rsid w:val="004A4153"/>
    <w:rsid w:val="004A455C"/>
    <w:rsid w:val="004A474D"/>
    <w:rsid w:val="004B5567"/>
    <w:rsid w:val="004B631F"/>
    <w:rsid w:val="004B7884"/>
    <w:rsid w:val="004C41FB"/>
    <w:rsid w:val="004C57E0"/>
    <w:rsid w:val="004C7D1F"/>
    <w:rsid w:val="004D1723"/>
    <w:rsid w:val="004D3490"/>
    <w:rsid w:val="004E75E4"/>
    <w:rsid w:val="005001F6"/>
    <w:rsid w:val="00501332"/>
    <w:rsid w:val="00510F6F"/>
    <w:rsid w:val="00516E7E"/>
    <w:rsid w:val="00521AE5"/>
    <w:rsid w:val="005311C3"/>
    <w:rsid w:val="00536BC4"/>
    <w:rsid w:val="00537207"/>
    <w:rsid w:val="0054453A"/>
    <w:rsid w:val="00546850"/>
    <w:rsid w:val="00557E21"/>
    <w:rsid w:val="005703D7"/>
    <w:rsid w:val="00574C89"/>
    <w:rsid w:val="0058495D"/>
    <w:rsid w:val="00586134"/>
    <w:rsid w:val="00586A01"/>
    <w:rsid w:val="00587BCF"/>
    <w:rsid w:val="0059165C"/>
    <w:rsid w:val="005B54A3"/>
    <w:rsid w:val="005C3D02"/>
    <w:rsid w:val="005C67F1"/>
    <w:rsid w:val="005C6922"/>
    <w:rsid w:val="005D3900"/>
    <w:rsid w:val="005D6789"/>
    <w:rsid w:val="005D708E"/>
    <w:rsid w:val="005E24D2"/>
    <w:rsid w:val="005F6D2C"/>
    <w:rsid w:val="00600859"/>
    <w:rsid w:val="00603863"/>
    <w:rsid w:val="006163C1"/>
    <w:rsid w:val="00620B02"/>
    <w:rsid w:val="00625381"/>
    <w:rsid w:val="00630689"/>
    <w:rsid w:val="006307A4"/>
    <w:rsid w:val="006375E9"/>
    <w:rsid w:val="00644D77"/>
    <w:rsid w:val="00644F85"/>
    <w:rsid w:val="00652352"/>
    <w:rsid w:val="006559D9"/>
    <w:rsid w:val="00664BB1"/>
    <w:rsid w:val="0067381D"/>
    <w:rsid w:val="0067717F"/>
    <w:rsid w:val="006911A5"/>
    <w:rsid w:val="00693E4B"/>
    <w:rsid w:val="006A678B"/>
    <w:rsid w:val="006B1CAA"/>
    <w:rsid w:val="006B2EF1"/>
    <w:rsid w:val="006B6B04"/>
    <w:rsid w:val="006C254F"/>
    <w:rsid w:val="006C3B15"/>
    <w:rsid w:val="006C4A2B"/>
    <w:rsid w:val="006D3F9B"/>
    <w:rsid w:val="006E46B9"/>
    <w:rsid w:val="006F70F4"/>
    <w:rsid w:val="00713C35"/>
    <w:rsid w:val="00716861"/>
    <w:rsid w:val="007332E0"/>
    <w:rsid w:val="00735C59"/>
    <w:rsid w:val="0074035B"/>
    <w:rsid w:val="00743370"/>
    <w:rsid w:val="00744EAF"/>
    <w:rsid w:val="00745A9C"/>
    <w:rsid w:val="00746C94"/>
    <w:rsid w:val="007540FD"/>
    <w:rsid w:val="007611A6"/>
    <w:rsid w:val="0076190B"/>
    <w:rsid w:val="00772587"/>
    <w:rsid w:val="0077455A"/>
    <w:rsid w:val="00774B66"/>
    <w:rsid w:val="00786754"/>
    <w:rsid w:val="007952B9"/>
    <w:rsid w:val="007B7759"/>
    <w:rsid w:val="007C44B8"/>
    <w:rsid w:val="007D22AF"/>
    <w:rsid w:val="007D2D4B"/>
    <w:rsid w:val="007E0922"/>
    <w:rsid w:val="007E2ADE"/>
    <w:rsid w:val="0080183A"/>
    <w:rsid w:val="0080349C"/>
    <w:rsid w:val="00814407"/>
    <w:rsid w:val="008144AA"/>
    <w:rsid w:val="00822BD7"/>
    <w:rsid w:val="00833B8C"/>
    <w:rsid w:val="00840CF8"/>
    <w:rsid w:val="008469B6"/>
    <w:rsid w:val="00854B86"/>
    <w:rsid w:val="008578BB"/>
    <w:rsid w:val="00864AF6"/>
    <w:rsid w:val="008655AF"/>
    <w:rsid w:val="00870B18"/>
    <w:rsid w:val="00882DEE"/>
    <w:rsid w:val="008877D6"/>
    <w:rsid w:val="00890F80"/>
    <w:rsid w:val="008910E2"/>
    <w:rsid w:val="0089172D"/>
    <w:rsid w:val="00897443"/>
    <w:rsid w:val="008A0E12"/>
    <w:rsid w:val="008A5A37"/>
    <w:rsid w:val="008B65D8"/>
    <w:rsid w:val="008C16F6"/>
    <w:rsid w:val="008C219F"/>
    <w:rsid w:val="008D12D5"/>
    <w:rsid w:val="008E76B0"/>
    <w:rsid w:val="008F3DF2"/>
    <w:rsid w:val="00900F70"/>
    <w:rsid w:val="00903FF6"/>
    <w:rsid w:val="00906D0A"/>
    <w:rsid w:val="00911849"/>
    <w:rsid w:val="009167DA"/>
    <w:rsid w:val="00916B67"/>
    <w:rsid w:val="00922347"/>
    <w:rsid w:val="00931EB3"/>
    <w:rsid w:val="0093239E"/>
    <w:rsid w:val="009335FA"/>
    <w:rsid w:val="00934435"/>
    <w:rsid w:val="00940D5B"/>
    <w:rsid w:val="00945E1B"/>
    <w:rsid w:val="00951A76"/>
    <w:rsid w:val="0096058C"/>
    <w:rsid w:val="009608A7"/>
    <w:rsid w:val="009772DC"/>
    <w:rsid w:val="00983546"/>
    <w:rsid w:val="0098747A"/>
    <w:rsid w:val="0098747B"/>
    <w:rsid w:val="00987926"/>
    <w:rsid w:val="009920E6"/>
    <w:rsid w:val="00995396"/>
    <w:rsid w:val="00996633"/>
    <w:rsid w:val="009A3192"/>
    <w:rsid w:val="009A5FDE"/>
    <w:rsid w:val="009A6F76"/>
    <w:rsid w:val="009B56F1"/>
    <w:rsid w:val="009B6B45"/>
    <w:rsid w:val="009E44A5"/>
    <w:rsid w:val="009E5AC7"/>
    <w:rsid w:val="009F4567"/>
    <w:rsid w:val="009F66B2"/>
    <w:rsid w:val="009F72AB"/>
    <w:rsid w:val="00A12146"/>
    <w:rsid w:val="00A30205"/>
    <w:rsid w:val="00A317C2"/>
    <w:rsid w:val="00A42B8F"/>
    <w:rsid w:val="00A56C45"/>
    <w:rsid w:val="00A67423"/>
    <w:rsid w:val="00A67478"/>
    <w:rsid w:val="00A763B9"/>
    <w:rsid w:val="00A81FF6"/>
    <w:rsid w:val="00A8427A"/>
    <w:rsid w:val="00A86136"/>
    <w:rsid w:val="00A9072D"/>
    <w:rsid w:val="00A96ACD"/>
    <w:rsid w:val="00AA2495"/>
    <w:rsid w:val="00AB3190"/>
    <w:rsid w:val="00AC4DCB"/>
    <w:rsid w:val="00AC74FA"/>
    <w:rsid w:val="00AD026D"/>
    <w:rsid w:val="00AD4338"/>
    <w:rsid w:val="00AD67C0"/>
    <w:rsid w:val="00AD6E74"/>
    <w:rsid w:val="00AD75E4"/>
    <w:rsid w:val="00AE1183"/>
    <w:rsid w:val="00AE5E5F"/>
    <w:rsid w:val="00B0654C"/>
    <w:rsid w:val="00B108E6"/>
    <w:rsid w:val="00B17A9E"/>
    <w:rsid w:val="00B23BB7"/>
    <w:rsid w:val="00B265AA"/>
    <w:rsid w:val="00B3038F"/>
    <w:rsid w:val="00B31228"/>
    <w:rsid w:val="00B33D19"/>
    <w:rsid w:val="00B47809"/>
    <w:rsid w:val="00B504F1"/>
    <w:rsid w:val="00B57491"/>
    <w:rsid w:val="00B70E3E"/>
    <w:rsid w:val="00B75F88"/>
    <w:rsid w:val="00B8751F"/>
    <w:rsid w:val="00B94A7D"/>
    <w:rsid w:val="00B96F53"/>
    <w:rsid w:val="00BA13D4"/>
    <w:rsid w:val="00BA550C"/>
    <w:rsid w:val="00BA6057"/>
    <w:rsid w:val="00BA622E"/>
    <w:rsid w:val="00BA636C"/>
    <w:rsid w:val="00BA6CFB"/>
    <w:rsid w:val="00BB2186"/>
    <w:rsid w:val="00BB2C88"/>
    <w:rsid w:val="00BB7F32"/>
    <w:rsid w:val="00BC48BF"/>
    <w:rsid w:val="00BC6C90"/>
    <w:rsid w:val="00BD6A4D"/>
    <w:rsid w:val="00BE65F9"/>
    <w:rsid w:val="00BF3A91"/>
    <w:rsid w:val="00BF5665"/>
    <w:rsid w:val="00C04EF8"/>
    <w:rsid w:val="00C10A62"/>
    <w:rsid w:val="00C15364"/>
    <w:rsid w:val="00C25D4B"/>
    <w:rsid w:val="00C46795"/>
    <w:rsid w:val="00C50685"/>
    <w:rsid w:val="00C5180A"/>
    <w:rsid w:val="00C52514"/>
    <w:rsid w:val="00C5583A"/>
    <w:rsid w:val="00C56B78"/>
    <w:rsid w:val="00C66F1E"/>
    <w:rsid w:val="00C70009"/>
    <w:rsid w:val="00C82210"/>
    <w:rsid w:val="00C90CC7"/>
    <w:rsid w:val="00C9790B"/>
    <w:rsid w:val="00CB7D2C"/>
    <w:rsid w:val="00CD6189"/>
    <w:rsid w:val="00CE25CF"/>
    <w:rsid w:val="00CF37A2"/>
    <w:rsid w:val="00D009E7"/>
    <w:rsid w:val="00D10D3E"/>
    <w:rsid w:val="00D12941"/>
    <w:rsid w:val="00D13352"/>
    <w:rsid w:val="00D149B4"/>
    <w:rsid w:val="00D153DA"/>
    <w:rsid w:val="00D244F5"/>
    <w:rsid w:val="00D45DB0"/>
    <w:rsid w:val="00D65551"/>
    <w:rsid w:val="00D70621"/>
    <w:rsid w:val="00D8128E"/>
    <w:rsid w:val="00D81B4B"/>
    <w:rsid w:val="00DA49C8"/>
    <w:rsid w:val="00DA5DD2"/>
    <w:rsid w:val="00DA7995"/>
    <w:rsid w:val="00DB2CC3"/>
    <w:rsid w:val="00DB2F6C"/>
    <w:rsid w:val="00DD788D"/>
    <w:rsid w:val="00DE35DF"/>
    <w:rsid w:val="00DE71C8"/>
    <w:rsid w:val="00DF477A"/>
    <w:rsid w:val="00DF5D9E"/>
    <w:rsid w:val="00E03AA8"/>
    <w:rsid w:val="00E03DAA"/>
    <w:rsid w:val="00E045C0"/>
    <w:rsid w:val="00E055D0"/>
    <w:rsid w:val="00E22F40"/>
    <w:rsid w:val="00E23533"/>
    <w:rsid w:val="00E30B77"/>
    <w:rsid w:val="00E354DA"/>
    <w:rsid w:val="00E36848"/>
    <w:rsid w:val="00E368EA"/>
    <w:rsid w:val="00E45277"/>
    <w:rsid w:val="00E52D0A"/>
    <w:rsid w:val="00E5321A"/>
    <w:rsid w:val="00E53F22"/>
    <w:rsid w:val="00E71085"/>
    <w:rsid w:val="00E72EEB"/>
    <w:rsid w:val="00E82489"/>
    <w:rsid w:val="00E82D57"/>
    <w:rsid w:val="00E868B5"/>
    <w:rsid w:val="00E90D5F"/>
    <w:rsid w:val="00E958DD"/>
    <w:rsid w:val="00E973B8"/>
    <w:rsid w:val="00EB7D9C"/>
    <w:rsid w:val="00EC2EF0"/>
    <w:rsid w:val="00EC49DC"/>
    <w:rsid w:val="00ED208A"/>
    <w:rsid w:val="00EE18BC"/>
    <w:rsid w:val="00EE2CCB"/>
    <w:rsid w:val="00EF1175"/>
    <w:rsid w:val="00EF42B4"/>
    <w:rsid w:val="00F10CF5"/>
    <w:rsid w:val="00F12C9A"/>
    <w:rsid w:val="00F14BFB"/>
    <w:rsid w:val="00F207ED"/>
    <w:rsid w:val="00F22CF9"/>
    <w:rsid w:val="00F23354"/>
    <w:rsid w:val="00F270D8"/>
    <w:rsid w:val="00F31325"/>
    <w:rsid w:val="00F35423"/>
    <w:rsid w:val="00F407E2"/>
    <w:rsid w:val="00F41F91"/>
    <w:rsid w:val="00F42A0F"/>
    <w:rsid w:val="00F5000E"/>
    <w:rsid w:val="00F53EF3"/>
    <w:rsid w:val="00F60819"/>
    <w:rsid w:val="00F6101D"/>
    <w:rsid w:val="00F627C6"/>
    <w:rsid w:val="00F876EC"/>
    <w:rsid w:val="00F9209A"/>
    <w:rsid w:val="00F92FB8"/>
    <w:rsid w:val="00F93D35"/>
    <w:rsid w:val="00F9419A"/>
    <w:rsid w:val="00FA5105"/>
    <w:rsid w:val="00FB6175"/>
    <w:rsid w:val="00FC5EBC"/>
    <w:rsid w:val="00FD3F99"/>
    <w:rsid w:val="00FD539F"/>
    <w:rsid w:val="00FD6477"/>
    <w:rsid w:val="00FE054D"/>
    <w:rsid w:val="00FF058C"/>
    <w:rsid w:val="00FF09B3"/>
    <w:rsid w:val="00FF1B7C"/>
    <w:rsid w:val="00FF1F4A"/>
    <w:rsid w:val="00FF5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4A2BD"/>
  <w15:docId w15:val="{8EE78875-DBAD-4989-8CB9-11C3B22F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190"/>
    <w:pPr>
      <w:widowControl w:val="0"/>
    </w:pPr>
  </w:style>
  <w:style w:type="paragraph" w:styleId="3">
    <w:name w:val="heading 3"/>
    <w:basedOn w:val="a"/>
    <w:link w:val="30"/>
    <w:uiPriority w:val="9"/>
    <w:qFormat/>
    <w:rsid w:val="00AB3190"/>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B3190"/>
    <w:rPr>
      <w:rFonts w:ascii="PMingLiU" w:eastAsia="PMingLiU" w:hAnsi="PMingLiU" w:cs="PMingLiU"/>
      <w:b/>
      <w:bCs/>
      <w:kern w:val="0"/>
      <w:sz w:val="27"/>
      <w:szCs w:val="27"/>
    </w:rPr>
  </w:style>
  <w:style w:type="paragraph" w:customStyle="1" w:styleId="EndNoteBibliographyTitle">
    <w:name w:val="EndNote Bibliography Title"/>
    <w:basedOn w:val="a"/>
    <w:link w:val="EndNoteBibliographyTitle0"/>
    <w:rsid w:val="00AB3190"/>
    <w:pPr>
      <w:jc w:val="center"/>
    </w:pPr>
    <w:rPr>
      <w:rFonts w:ascii="Calibri" w:hAnsi="Calibri" w:cs="Calibri"/>
      <w:noProof/>
    </w:rPr>
  </w:style>
  <w:style w:type="character" w:customStyle="1" w:styleId="EndNoteBibliographyTitle0">
    <w:name w:val="EndNote Bibliography Title 字元"/>
    <w:basedOn w:val="a0"/>
    <w:link w:val="EndNoteBibliographyTitle"/>
    <w:rsid w:val="00AB3190"/>
    <w:rPr>
      <w:rFonts w:ascii="Calibri" w:hAnsi="Calibri" w:cs="Calibri"/>
      <w:noProof/>
    </w:rPr>
  </w:style>
  <w:style w:type="paragraph" w:customStyle="1" w:styleId="EndNoteBibliography">
    <w:name w:val="EndNote Bibliography"/>
    <w:basedOn w:val="a"/>
    <w:link w:val="EndNoteBibliography0"/>
    <w:rsid w:val="00AB3190"/>
    <w:rPr>
      <w:rFonts w:ascii="Calibri" w:hAnsi="Calibri" w:cs="Calibri"/>
      <w:noProof/>
    </w:rPr>
  </w:style>
  <w:style w:type="character" w:customStyle="1" w:styleId="EndNoteBibliography0">
    <w:name w:val="EndNote Bibliography 字元"/>
    <w:basedOn w:val="a0"/>
    <w:link w:val="EndNoteBibliography"/>
    <w:rsid w:val="00AB3190"/>
    <w:rPr>
      <w:rFonts w:ascii="Calibri" w:hAnsi="Calibri" w:cs="Calibri"/>
      <w:noProof/>
    </w:rPr>
  </w:style>
  <w:style w:type="character" w:styleId="a3">
    <w:name w:val="Hyperlink"/>
    <w:basedOn w:val="a0"/>
    <w:uiPriority w:val="99"/>
    <w:unhideWhenUsed/>
    <w:rsid w:val="00AB3190"/>
    <w:rPr>
      <w:color w:val="0000FF"/>
      <w:u w:val="single"/>
    </w:rPr>
  </w:style>
  <w:style w:type="paragraph" w:styleId="HTML">
    <w:name w:val="HTML Preformatted"/>
    <w:basedOn w:val="a"/>
    <w:link w:val="HTML0"/>
    <w:uiPriority w:val="99"/>
    <w:unhideWhenUsed/>
    <w:rsid w:val="00AB3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0">
    <w:name w:val="HTML 预设格式 字符"/>
    <w:basedOn w:val="a0"/>
    <w:link w:val="HTML"/>
    <w:uiPriority w:val="99"/>
    <w:rsid w:val="00AB3190"/>
    <w:rPr>
      <w:rFonts w:ascii="MingLiU" w:eastAsia="MingLiU" w:hAnsi="MingLiU" w:cs="MingLiU"/>
      <w:kern w:val="0"/>
      <w:szCs w:val="24"/>
    </w:rPr>
  </w:style>
  <w:style w:type="paragraph" w:styleId="a4">
    <w:name w:val="header"/>
    <w:basedOn w:val="a"/>
    <w:link w:val="a5"/>
    <w:uiPriority w:val="99"/>
    <w:unhideWhenUsed/>
    <w:rsid w:val="00AB3190"/>
    <w:pPr>
      <w:tabs>
        <w:tab w:val="center" w:pos="4153"/>
        <w:tab w:val="right" w:pos="8306"/>
      </w:tabs>
      <w:snapToGrid w:val="0"/>
    </w:pPr>
    <w:rPr>
      <w:sz w:val="20"/>
      <w:szCs w:val="20"/>
    </w:rPr>
  </w:style>
  <w:style w:type="character" w:customStyle="1" w:styleId="a5">
    <w:name w:val="页眉 字符"/>
    <w:basedOn w:val="a0"/>
    <w:link w:val="a4"/>
    <w:uiPriority w:val="99"/>
    <w:rsid w:val="00AB3190"/>
    <w:rPr>
      <w:sz w:val="20"/>
      <w:szCs w:val="20"/>
    </w:rPr>
  </w:style>
  <w:style w:type="paragraph" w:styleId="a6">
    <w:name w:val="footer"/>
    <w:basedOn w:val="a"/>
    <w:link w:val="a7"/>
    <w:uiPriority w:val="99"/>
    <w:unhideWhenUsed/>
    <w:rsid w:val="00AB3190"/>
    <w:pPr>
      <w:tabs>
        <w:tab w:val="center" w:pos="4153"/>
        <w:tab w:val="right" w:pos="8306"/>
      </w:tabs>
      <w:snapToGrid w:val="0"/>
    </w:pPr>
    <w:rPr>
      <w:sz w:val="20"/>
      <w:szCs w:val="20"/>
    </w:rPr>
  </w:style>
  <w:style w:type="character" w:customStyle="1" w:styleId="a7">
    <w:name w:val="页脚 字符"/>
    <w:basedOn w:val="a0"/>
    <w:link w:val="a6"/>
    <w:uiPriority w:val="99"/>
    <w:rsid w:val="00AB3190"/>
    <w:rPr>
      <w:sz w:val="20"/>
      <w:szCs w:val="20"/>
    </w:rPr>
  </w:style>
  <w:style w:type="character" w:styleId="a8">
    <w:name w:val="annotation reference"/>
    <w:basedOn w:val="a0"/>
    <w:uiPriority w:val="99"/>
    <w:unhideWhenUsed/>
    <w:qFormat/>
    <w:rsid w:val="00AB3190"/>
    <w:rPr>
      <w:sz w:val="18"/>
      <w:szCs w:val="18"/>
    </w:rPr>
  </w:style>
  <w:style w:type="paragraph" w:styleId="a9">
    <w:name w:val="annotation text"/>
    <w:basedOn w:val="a"/>
    <w:link w:val="aa"/>
    <w:uiPriority w:val="99"/>
    <w:unhideWhenUsed/>
    <w:qFormat/>
    <w:rsid w:val="00AB3190"/>
  </w:style>
  <w:style w:type="character" w:customStyle="1" w:styleId="aa">
    <w:name w:val="批注文字 字符"/>
    <w:basedOn w:val="a0"/>
    <w:link w:val="a9"/>
    <w:uiPriority w:val="99"/>
    <w:semiHidden/>
    <w:rsid w:val="00AB3190"/>
  </w:style>
  <w:style w:type="paragraph" w:styleId="ab">
    <w:name w:val="annotation subject"/>
    <w:basedOn w:val="a9"/>
    <w:next w:val="a9"/>
    <w:link w:val="ac"/>
    <w:uiPriority w:val="99"/>
    <w:semiHidden/>
    <w:unhideWhenUsed/>
    <w:rsid w:val="00AB3190"/>
    <w:rPr>
      <w:b/>
      <w:bCs/>
    </w:rPr>
  </w:style>
  <w:style w:type="character" w:customStyle="1" w:styleId="ac">
    <w:name w:val="批注主题 字符"/>
    <w:basedOn w:val="aa"/>
    <w:link w:val="ab"/>
    <w:uiPriority w:val="99"/>
    <w:semiHidden/>
    <w:rsid w:val="00AB3190"/>
    <w:rPr>
      <w:b/>
      <w:bCs/>
    </w:rPr>
  </w:style>
  <w:style w:type="paragraph" w:styleId="ad">
    <w:name w:val="Balloon Text"/>
    <w:basedOn w:val="a"/>
    <w:link w:val="ae"/>
    <w:uiPriority w:val="99"/>
    <w:semiHidden/>
    <w:unhideWhenUsed/>
    <w:rsid w:val="00AB3190"/>
    <w:rPr>
      <w:rFonts w:asciiTheme="majorHAnsi" w:eastAsiaTheme="majorEastAsia" w:hAnsiTheme="majorHAnsi" w:cstheme="majorBidi"/>
      <w:sz w:val="18"/>
      <w:szCs w:val="18"/>
    </w:rPr>
  </w:style>
  <w:style w:type="character" w:customStyle="1" w:styleId="ae">
    <w:name w:val="批注框文本 字符"/>
    <w:basedOn w:val="a0"/>
    <w:link w:val="ad"/>
    <w:uiPriority w:val="99"/>
    <w:semiHidden/>
    <w:rsid w:val="00AB3190"/>
    <w:rPr>
      <w:rFonts w:asciiTheme="majorHAnsi" w:eastAsiaTheme="majorEastAsia" w:hAnsiTheme="majorHAnsi" w:cstheme="majorBidi"/>
      <w:sz w:val="18"/>
      <w:szCs w:val="18"/>
    </w:rPr>
  </w:style>
  <w:style w:type="character" w:customStyle="1" w:styleId="current-selection">
    <w:name w:val="current-selection"/>
    <w:basedOn w:val="a0"/>
    <w:rsid w:val="00AB3190"/>
  </w:style>
  <w:style w:type="paragraph" w:customStyle="1" w:styleId="Default">
    <w:name w:val="Default"/>
    <w:rsid w:val="00AB3190"/>
    <w:pPr>
      <w:widowControl w:val="0"/>
      <w:autoSpaceDE w:val="0"/>
      <w:autoSpaceDN w:val="0"/>
      <w:adjustRightInd w:val="0"/>
    </w:pPr>
    <w:rPr>
      <w:rFonts w:ascii="Verdana" w:hAnsi="Verdana" w:cs="Verdana"/>
      <w:color w:val="000000"/>
      <w:kern w:val="0"/>
      <w:szCs w:val="24"/>
    </w:rPr>
  </w:style>
  <w:style w:type="paragraph" w:styleId="af">
    <w:name w:val="Revision"/>
    <w:hidden/>
    <w:uiPriority w:val="99"/>
    <w:semiHidden/>
    <w:rsid w:val="00AB3190"/>
  </w:style>
  <w:style w:type="character" w:customStyle="1" w:styleId="A50">
    <w:name w:val="A5"/>
    <w:uiPriority w:val="99"/>
    <w:rsid w:val="00AB3190"/>
    <w:rPr>
      <w:rFonts w:cs="Verdana"/>
      <w:b/>
      <w:bCs/>
      <w:color w:val="000000"/>
      <w:sz w:val="12"/>
      <w:szCs w:val="12"/>
    </w:rPr>
  </w:style>
  <w:style w:type="paragraph" w:customStyle="1" w:styleId="Pa6">
    <w:name w:val="Pa6"/>
    <w:basedOn w:val="Default"/>
    <w:next w:val="Default"/>
    <w:uiPriority w:val="99"/>
    <w:rsid w:val="00AB3190"/>
    <w:pPr>
      <w:spacing w:line="161" w:lineRule="atLeast"/>
    </w:pPr>
    <w:rPr>
      <w:rFonts w:cstheme="minorBidi"/>
      <w:color w:val="auto"/>
    </w:rPr>
  </w:style>
  <w:style w:type="character" w:customStyle="1" w:styleId="A60">
    <w:name w:val="A6"/>
    <w:uiPriority w:val="99"/>
    <w:rsid w:val="00AB3190"/>
    <w:rPr>
      <w:rFonts w:ascii="Century Gothic" w:hAnsi="Century Gothic" w:cs="Century Gothic"/>
      <w:b/>
      <w:bCs/>
      <w:color w:val="000000"/>
      <w:sz w:val="14"/>
      <w:szCs w:val="14"/>
    </w:rPr>
  </w:style>
  <w:style w:type="table" w:styleId="af0">
    <w:name w:val="Light Shading"/>
    <w:basedOn w:val="a1"/>
    <w:uiPriority w:val="60"/>
    <w:rsid w:val="00AB31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1">
    <w:name w:val="Emphasis"/>
    <w:basedOn w:val="a0"/>
    <w:uiPriority w:val="20"/>
    <w:qFormat/>
    <w:rsid w:val="00AB3190"/>
    <w:rPr>
      <w:i/>
      <w:iCs/>
    </w:rPr>
  </w:style>
  <w:style w:type="character" w:customStyle="1" w:styleId="A10">
    <w:name w:val="A1"/>
    <w:uiPriority w:val="99"/>
    <w:rsid w:val="00AB3190"/>
    <w:rPr>
      <w:rFonts w:cs="Janson Text LT"/>
      <w:color w:val="000000"/>
      <w:sz w:val="19"/>
      <w:szCs w:val="19"/>
    </w:rPr>
  </w:style>
  <w:style w:type="character" w:customStyle="1" w:styleId="jrnl">
    <w:name w:val="jrnl"/>
    <w:basedOn w:val="a0"/>
    <w:rsid w:val="00AB3190"/>
  </w:style>
  <w:style w:type="character" w:customStyle="1" w:styleId="Char">
    <w:name w:val="批注文字 Char"/>
    <w:uiPriority w:val="99"/>
    <w:locked/>
    <w:rsid w:val="00546850"/>
    <w:rPr>
      <w:kern w:val="2"/>
      <w:sz w:val="21"/>
    </w:rPr>
  </w:style>
  <w:style w:type="paragraph" w:styleId="af2">
    <w:name w:val="List Paragraph"/>
    <w:basedOn w:val="a"/>
    <w:uiPriority w:val="34"/>
    <w:qFormat/>
    <w:rsid w:val="002A3E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5807-2360-474B-BDBE-645CE689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6118</Words>
  <Characters>34875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shkuo101</dc:creator>
  <cp:lastModifiedBy>吴 云晓健</cp:lastModifiedBy>
  <cp:revision>16</cp:revision>
  <cp:lastPrinted>2019-06-10T01:36:00Z</cp:lastPrinted>
  <dcterms:created xsi:type="dcterms:W3CDTF">2019-07-17T16:26:00Z</dcterms:created>
  <dcterms:modified xsi:type="dcterms:W3CDTF">2019-08-19T07:08:00Z</dcterms:modified>
</cp:coreProperties>
</file>