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309EC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Name of Journal: </w:t>
      </w:r>
      <w:r w:rsidRPr="00AF7547">
        <w:rPr>
          <w:rFonts w:ascii="Book Antiqua" w:eastAsia="Book Antiqua" w:hAnsi="Book Antiqua"/>
          <w:i/>
          <w:color w:val="000000"/>
        </w:rPr>
        <w:t>World Journal of Gastrointestinal Oncology</w:t>
      </w:r>
    </w:p>
    <w:p w14:paraId="40491CCD"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Manuscript NO: </w:t>
      </w:r>
      <w:r w:rsidRPr="00AF7547">
        <w:rPr>
          <w:rFonts w:ascii="Book Antiqua" w:eastAsia="Book Antiqua" w:hAnsi="Book Antiqua"/>
          <w:color w:val="000000"/>
        </w:rPr>
        <w:t>61028</w:t>
      </w:r>
    </w:p>
    <w:p w14:paraId="4FE2C7C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Manuscript Type: </w:t>
      </w:r>
      <w:r w:rsidRPr="00AF7547">
        <w:rPr>
          <w:rFonts w:ascii="Book Antiqua" w:eastAsia="Book Antiqua" w:hAnsi="Book Antiqua"/>
          <w:color w:val="000000"/>
        </w:rPr>
        <w:t>MINIREVIEWS</w:t>
      </w:r>
    </w:p>
    <w:p w14:paraId="4A160470" w14:textId="77777777" w:rsidR="00A77B3E" w:rsidRPr="00AF7547" w:rsidRDefault="00A77B3E" w:rsidP="00AF7547">
      <w:pPr>
        <w:adjustRightInd w:val="0"/>
        <w:snapToGrid w:val="0"/>
        <w:spacing w:line="360" w:lineRule="auto"/>
        <w:jc w:val="both"/>
        <w:rPr>
          <w:rFonts w:ascii="Book Antiqua" w:hAnsi="Book Antiqua"/>
        </w:rPr>
      </w:pPr>
    </w:p>
    <w:p w14:paraId="49B527E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shd w:val="clear" w:color="auto" w:fill="FFFFFF"/>
        </w:rPr>
        <w:t>Sporadic fundic gland polyps with dysplasia or carcinoma: Clinical and endoscopic characteristics</w:t>
      </w:r>
    </w:p>
    <w:p w14:paraId="45C8ECB6" w14:textId="77777777" w:rsidR="00A77B3E" w:rsidRPr="00AF7547" w:rsidRDefault="00A77B3E" w:rsidP="00AF7547">
      <w:pPr>
        <w:adjustRightInd w:val="0"/>
        <w:snapToGrid w:val="0"/>
        <w:spacing w:line="360" w:lineRule="auto"/>
        <w:jc w:val="both"/>
        <w:rPr>
          <w:rFonts w:ascii="Book Antiqua" w:hAnsi="Book Antiqua"/>
        </w:rPr>
      </w:pPr>
    </w:p>
    <w:p w14:paraId="482DDE8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Sano W </w:t>
      </w:r>
      <w:r w:rsidRPr="00AF7547">
        <w:rPr>
          <w:rFonts w:ascii="Book Antiqua" w:eastAsia="Book Antiqua" w:hAnsi="Book Antiqua"/>
          <w:i/>
          <w:iCs/>
          <w:color w:val="000000"/>
        </w:rPr>
        <w:t>et al.</w:t>
      </w:r>
      <w:r w:rsidRPr="00AF7547">
        <w:rPr>
          <w:rFonts w:ascii="Book Antiqua" w:eastAsia="Book Antiqua" w:hAnsi="Book Antiqua"/>
          <w:b/>
          <w:bCs/>
          <w:color w:val="000000"/>
          <w:shd w:val="clear" w:color="auto" w:fill="FFFFFF"/>
        </w:rPr>
        <w:t xml:space="preserve"> </w:t>
      </w:r>
      <w:r w:rsidRPr="00AF7547">
        <w:rPr>
          <w:rFonts w:ascii="Book Antiqua" w:eastAsia="Book Antiqua" w:hAnsi="Book Antiqua"/>
          <w:color w:val="000000"/>
        </w:rPr>
        <w:t>FGP with dysplasia or carcinoma</w:t>
      </w:r>
    </w:p>
    <w:p w14:paraId="22BDD348" w14:textId="77777777" w:rsidR="00A77B3E" w:rsidRPr="00AF7547" w:rsidRDefault="00A77B3E" w:rsidP="00AF7547">
      <w:pPr>
        <w:adjustRightInd w:val="0"/>
        <w:snapToGrid w:val="0"/>
        <w:spacing w:line="360" w:lineRule="auto"/>
        <w:jc w:val="both"/>
        <w:rPr>
          <w:rFonts w:ascii="Book Antiqua" w:hAnsi="Book Antiqua"/>
        </w:rPr>
      </w:pPr>
    </w:p>
    <w:p w14:paraId="675F318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Wataru Sano, Fumihiro Inoue, Daizen Hirata, Mineo Iwatate, Santa Hattori, Mikio Fujita, Yasushi Sano</w:t>
      </w:r>
    </w:p>
    <w:p w14:paraId="49FB9647" w14:textId="77777777" w:rsidR="00A77B3E" w:rsidRPr="00AF7547" w:rsidRDefault="00A77B3E" w:rsidP="00AF7547">
      <w:pPr>
        <w:adjustRightInd w:val="0"/>
        <w:snapToGrid w:val="0"/>
        <w:spacing w:line="360" w:lineRule="auto"/>
        <w:jc w:val="both"/>
        <w:rPr>
          <w:rFonts w:ascii="Book Antiqua" w:hAnsi="Book Antiqua"/>
        </w:rPr>
      </w:pPr>
    </w:p>
    <w:p w14:paraId="53C10F4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Wataru Sano, Fumihiro Inoue, Daizen Hirata, Mineo Iwatate, Santa Hattori, Mikio Fujita, Yasushi Sano, </w:t>
      </w:r>
      <w:r w:rsidRPr="00AF7547">
        <w:rPr>
          <w:rFonts w:ascii="Book Antiqua" w:eastAsia="Book Antiqua" w:hAnsi="Book Antiqua"/>
          <w:color w:val="000000"/>
        </w:rPr>
        <w:t>Gastrointestinal Center, Sano Hospital, Kobe 655-0031, Hyogo, Japan</w:t>
      </w:r>
    </w:p>
    <w:p w14:paraId="307365A4" w14:textId="77777777" w:rsidR="00A77B3E" w:rsidRPr="00AF7547" w:rsidRDefault="00A77B3E" w:rsidP="00AF7547">
      <w:pPr>
        <w:adjustRightInd w:val="0"/>
        <w:snapToGrid w:val="0"/>
        <w:spacing w:line="360" w:lineRule="auto"/>
        <w:jc w:val="both"/>
        <w:rPr>
          <w:rFonts w:ascii="Book Antiqua" w:hAnsi="Book Antiqua"/>
        </w:rPr>
      </w:pPr>
    </w:p>
    <w:p w14:paraId="560F186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Author contributions: </w:t>
      </w:r>
      <w:r w:rsidRPr="00AF7547">
        <w:rPr>
          <w:rFonts w:ascii="Book Antiqua" w:eastAsia="Book Antiqua" w:hAnsi="Book Antiqua"/>
          <w:color w:val="000000"/>
        </w:rPr>
        <w:t>Sano W wrote the manuscript; Inoue F, Hirata D, Iwatate M, Hattori S, Fujita M, and Sano Y reviewed the manuscript and approved the final version.</w:t>
      </w:r>
    </w:p>
    <w:p w14:paraId="1C28CAE4" w14:textId="77777777" w:rsidR="00A77B3E" w:rsidRPr="00AF7547" w:rsidRDefault="00A77B3E" w:rsidP="00AF7547">
      <w:pPr>
        <w:adjustRightInd w:val="0"/>
        <w:snapToGrid w:val="0"/>
        <w:spacing w:line="360" w:lineRule="auto"/>
        <w:jc w:val="both"/>
        <w:rPr>
          <w:rFonts w:ascii="Book Antiqua" w:hAnsi="Book Antiqua"/>
        </w:rPr>
      </w:pPr>
    </w:p>
    <w:p w14:paraId="63FC56A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Corresponding author: Wataru Sano, MD, Doctor, </w:t>
      </w:r>
      <w:r w:rsidRPr="00AF7547">
        <w:rPr>
          <w:rFonts w:ascii="Book Antiqua" w:eastAsia="Book Antiqua" w:hAnsi="Book Antiqua"/>
          <w:color w:val="000000"/>
        </w:rPr>
        <w:t>Gastrointestinal Center, Sano Hospital, 2-5-1 Shimizugaoka, Tarumi, Kobe 655-0031, Hyogo, Japan. watasano@yahoo.co.jp</w:t>
      </w:r>
    </w:p>
    <w:p w14:paraId="62945B78" w14:textId="77777777" w:rsidR="00A77B3E" w:rsidRPr="00AF7547" w:rsidRDefault="00A77B3E" w:rsidP="00AF7547">
      <w:pPr>
        <w:adjustRightInd w:val="0"/>
        <w:snapToGrid w:val="0"/>
        <w:spacing w:line="360" w:lineRule="auto"/>
        <w:jc w:val="both"/>
        <w:rPr>
          <w:rFonts w:ascii="Book Antiqua" w:hAnsi="Book Antiqua"/>
        </w:rPr>
      </w:pPr>
    </w:p>
    <w:p w14:paraId="7085E388"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Received: </w:t>
      </w:r>
      <w:r w:rsidRPr="00AF7547">
        <w:rPr>
          <w:rFonts w:ascii="Book Antiqua" w:eastAsia="Book Antiqua" w:hAnsi="Book Antiqua"/>
          <w:color w:val="000000"/>
        </w:rPr>
        <w:t>February 7, 2021</w:t>
      </w:r>
    </w:p>
    <w:p w14:paraId="5B76C98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Revised: </w:t>
      </w:r>
      <w:r w:rsidRPr="00AF7547">
        <w:rPr>
          <w:rFonts w:ascii="Book Antiqua" w:eastAsia="Book Antiqua" w:hAnsi="Book Antiqua"/>
          <w:color w:val="000000"/>
        </w:rPr>
        <w:t>April 25, 2021</w:t>
      </w:r>
    </w:p>
    <w:p w14:paraId="771EE47C" w14:textId="67175FC0"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Accepted: </w:t>
      </w:r>
      <w:r w:rsidR="00DB6EC9" w:rsidRPr="00DB6EC9">
        <w:rPr>
          <w:rFonts w:ascii="Book Antiqua" w:eastAsia="Book Antiqua" w:hAnsi="Book Antiqua"/>
          <w:bCs/>
          <w:color w:val="000000"/>
        </w:rPr>
        <w:t>June 2, 2021</w:t>
      </w:r>
    </w:p>
    <w:p w14:paraId="77306713" w14:textId="16A818F6" w:rsidR="00A77B3E" w:rsidRPr="0007337D"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Published online: </w:t>
      </w:r>
      <w:r w:rsidR="0007337D" w:rsidRPr="0007337D">
        <w:rPr>
          <w:rFonts w:ascii="Book Antiqua" w:eastAsia="Book Antiqua" w:hAnsi="Book Antiqua"/>
          <w:color w:val="000000"/>
        </w:rPr>
        <w:t>Jul 15, 2021</w:t>
      </w:r>
    </w:p>
    <w:p w14:paraId="16EF31D3" w14:textId="77777777" w:rsidR="00A77B3E" w:rsidRPr="00AF7547" w:rsidRDefault="00A77B3E" w:rsidP="00AF7547">
      <w:pPr>
        <w:adjustRightInd w:val="0"/>
        <w:snapToGrid w:val="0"/>
        <w:spacing w:line="360" w:lineRule="auto"/>
        <w:jc w:val="both"/>
        <w:rPr>
          <w:rFonts w:ascii="Book Antiqua" w:hAnsi="Book Antiqua"/>
        </w:rPr>
        <w:sectPr w:rsidR="00A77B3E" w:rsidRPr="00AF7547">
          <w:footerReference w:type="default" r:id="rId7"/>
          <w:pgSz w:w="12240" w:h="15840"/>
          <w:pgMar w:top="1440" w:right="1440" w:bottom="1440" w:left="1440" w:header="720" w:footer="720" w:gutter="0"/>
          <w:cols w:space="720"/>
          <w:docGrid w:linePitch="360"/>
        </w:sectPr>
      </w:pPr>
    </w:p>
    <w:p w14:paraId="7157311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lastRenderedPageBreak/>
        <w:t>Abstract</w:t>
      </w:r>
    </w:p>
    <w:p w14:paraId="3903E79F" w14:textId="36F0A17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Fundic gland polyps (FGPs) are the most common gastric polyps and have been regarded as benign lesions with little malignant potential, except in the setting of familial adenomatous polyposis. However, in recent years, the prevalence of FGPs has been increasing along with the widespread and frequent use of proton pump inhibitors (PPIs). To date, several cases of FGPs with dysplasia or carcinoma (FGPD/CAs) have been reported. In this review, we evaluated the clinical and endoscopic characteristics of sporadic FGPD/CAs. Majority of the patients with sporadic FGPD/CAs were middle-aged women receiving PPI therapy and without </w:t>
      </w:r>
      <w:r w:rsidRPr="00AF7547">
        <w:rPr>
          <w:rFonts w:ascii="Book Antiqua" w:eastAsia="Book Antiqua" w:hAnsi="Book Antiqua"/>
          <w:i/>
          <w:iCs/>
          <w:color w:val="000000"/>
        </w:rPr>
        <w:t>Helicobacter pylori</w:t>
      </w:r>
      <w:r w:rsidRPr="00AF7547">
        <w:rPr>
          <w:rFonts w:ascii="Book Antiqua" w:eastAsia="Book Antiqua" w:hAnsi="Book Antiqua"/>
          <w:color w:val="000000"/>
        </w:rPr>
        <w:t xml:space="preserve"> </w:t>
      </w:r>
      <w:r w:rsidR="00426A95">
        <w:rPr>
          <w:rFonts w:ascii="Book Antiqua" w:eastAsia="Book Antiqua" w:hAnsi="Book Antiqua"/>
          <w:color w:val="000000"/>
        </w:rPr>
        <w:t>(</w:t>
      </w:r>
      <w:r w:rsidR="00426A95" w:rsidRPr="00AF7547">
        <w:rPr>
          <w:rFonts w:ascii="Book Antiqua" w:eastAsia="Book Antiqua" w:hAnsi="Book Antiqua"/>
          <w:i/>
          <w:iCs/>
          <w:color w:val="000000"/>
        </w:rPr>
        <w:t>H. pylori</w:t>
      </w:r>
      <w:r w:rsidR="00426A95">
        <w:rPr>
          <w:rFonts w:ascii="Book Antiqua" w:eastAsia="Book Antiqua" w:hAnsi="Book Antiqua"/>
          <w:color w:val="000000"/>
        </w:rPr>
        <w:t xml:space="preserve">) </w:t>
      </w:r>
      <w:r w:rsidRPr="00AF7547">
        <w:rPr>
          <w:rFonts w:ascii="Book Antiqua" w:eastAsia="Book Antiqua" w:hAnsi="Book Antiqua"/>
          <w:color w:val="000000"/>
        </w:rPr>
        <w:t xml:space="preserve">infection. Majority of the sporadic FGPD/CAs occurred in the body of the stomach and were sessile and small with a mean size of 5.4 mm. The sporadic FGPs with carcinoma showed redness, irregular surface structure, depression, or erosion during white light observation and irregular microvessels on the lesion surface during magnifying narrow-band imaging. In addition, sporadic FGPs, even with dysplasia, are likely to progress to cancer slowly. Therefore, frequent endoscopy is not required for patients with sporadic FGPs. However, histopathological evaluation is necessary if endoscopic findings different from ordinary FGPs are observed, regardless of their size. In the future, the prevalence of FGPs is expected to further increase along with the widespread and frequent use of PPIs and decreasing infection rate of </w:t>
      </w:r>
      <w:r w:rsidRPr="00AF7547">
        <w:rPr>
          <w:rFonts w:ascii="Book Antiqua" w:eastAsia="Book Antiqua" w:hAnsi="Book Antiqua"/>
          <w:i/>
          <w:iCs/>
          <w:color w:val="000000"/>
        </w:rPr>
        <w:t>H. pylori</w:t>
      </w:r>
      <w:r w:rsidRPr="00AF7547">
        <w:rPr>
          <w:rFonts w:ascii="Book Antiqua" w:eastAsia="Book Antiqua" w:hAnsi="Book Antiqua"/>
          <w:color w:val="000000"/>
        </w:rPr>
        <w:t>. Currently, it is unclear whether FGPD/CAs will also increase in the same way as FGPs. However, the trends of these lesions warrant further attention in the future.</w:t>
      </w:r>
    </w:p>
    <w:p w14:paraId="65D9A0B1" w14:textId="77777777" w:rsidR="00A77B3E" w:rsidRPr="00AF7547" w:rsidRDefault="00A77B3E" w:rsidP="00AF7547">
      <w:pPr>
        <w:adjustRightInd w:val="0"/>
        <w:snapToGrid w:val="0"/>
        <w:spacing w:line="360" w:lineRule="auto"/>
        <w:jc w:val="both"/>
        <w:rPr>
          <w:rFonts w:ascii="Book Antiqua" w:hAnsi="Book Antiqua"/>
        </w:rPr>
      </w:pPr>
    </w:p>
    <w:p w14:paraId="68F68FA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Key Words: </w:t>
      </w:r>
      <w:r w:rsidRPr="00AF7547">
        <w:rPr>
          <w:rFonts w:ascii="Book Antiqua" w:eastAsia="Book Antiqua" w:hAnsi="Book Antiqua"/>
          <w:color w:val="000000"/>
        </w:rPr>
        <w:t xml:space="preserve">Sporadic; Fundic gland polyp; Dysplasia; Carcinoma; Proton pump inhibitor; </w:t>
      </w:r>
      <w:r w:rsidRPr="00AF7547">
        <w:rPr>
          <w:rFonts w:ascii="Book Antiqua" w:eastAsia="Book Antiqua" w:hAnsi="Book Antiqua"/>
          <w:i/>
          <w:iCs/>
          <w:color w:val="000000"/>
        </w:rPr>
        <w:t>Helicobacter pylori</w:t>
      </w:r>
    </w:p>
    <w:p w14:paraId="3F7E75C3" w14:textId="77777777" w:rsidR="0022351B" w:rsidRPr="00BA2B87" w:rsidRDefault="0022351B" w:rsidP="0022351B">
      <w:pPr>
        <w:spacing w:line="360" w:lineRule="auto"/>
        <w:jc w:val="both"/>
        <w:rPr>
          <w:rFonts w:ascii="Book Antiqua" w:hAnsi="Book Antiqua"/>
        </w:rPr>
      </w:pPr>
    </w:p>
    <w:p w14:paraId="7178933A" w14:textId="77777777" w:rsidR="0022351B" w:rsidRDefault="0022351B" w:rsidP="0022351B">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9B50CA9" w14:textId="77777777" w:rsidR="0022351B" w:rsidRPr="00026CB8" w:rsidRDefault="0022351B" w:rsidP="0022351B">
      <w:pPr>
        <w:spacing w:line="360" w:lineRule="auto"/>
        <w:rPr>
          <w:rFonts w:ascii="Book Antiqua" w:eastAsia="Book Antiqua" w:hAnsi="Book Antiqua" w:cs="Book Antiqua"/>
          <w:color w:val="000000"/>
        </w:rPr>
      </w:pPr>
    </w:p>
    <w:p w14:paraId="06D9DD85" w14:textId="37B5DE69" w:rsidR="0022351B" w:rsidRDefault="0022351B" w:rsidP="00AF7547">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color w:val="000000"/>
          <w:lang w:val="pt-BR"/>
        </w:rPr>
        <w:lastRenderedPageBreak/>
        <w:t>Citation:</w:t>
      </w:r>
      <w:r>
        <w:rPr>
          <w:rFonts w:ascii="Book Antiqua" w:hAnsi="Book Antiqua" w:hint="eastAsia"/>
          <w:lang w:eastAsia="zh-CN"/>
        </w:rPr>
        <w:t xml:space="preserve"> </w:t>
      </w:r>
      <w:r w:rsidR="00EE15D1" w:rsidRPr="00AF7547">
        <w:rPr>
          <w:rFonts w:ascii="Book Antiqua" w:eastAsia="Book Antiqua" w:hAnsi="Book Antiqua"/>
          <w:color w:val="000000"/>
        </w:rPr>
        <w:t xml:space="preserve">Sano W, Inoue F, Hirata D, Iwatate M, Hattori S, Fujita M, Sano Y. Sporadic fundic gland polyps with dysplasia or carcinoma: Clinical and endoscopic characteristics. </w:t>
      </w:r>
      <w:r w:rsidR="00EE15D1" w:rsidRPr="00AF7547">
        <w:rPr>
          <w:rFonts w:ascii="Book Antiqua" w:eastAsia="Book Antiqua" w:hAnsi="Book Antiqua"/>
          <w:i/>
          <w:iCs/>
          <w:color w:val="000000"/>
        </w:rPr>
        <w:t>World J Gastrointest Oncol</w:t>
      </w:r>
      <w:r w:rsidR="00EE15D1" w:rsidRPr="00AF7547">
        <w:rPr>
          <w:rFonts w:ascii="Book Antiqua" w:eastAsia="Book Antiqua" w:hAnsi="Book Antiqua"/>
          <w:color w:val="000000"/>
        </w:rPr>
        <w:t xml:space="preserve"> </w:t>
      </w:r>
      <w:r w:rsidR="00730E9D" w:rsidRPr="001B53E4">
        <w:rPr>
          <w:rFonts w:ascii="Book Antiqua" w:eastAsia="Book Antiqua" w:hAnsi="Book Antiqua" w:cs="Book Antiqua"/>
        </w:rPr>
        <w:t xml:space="preserve">2021; 13(7): </w:t>
      </w:r>
      <w:r w:rsidR="00105AB9" w:rsidRPr="00105AB9">
        <w:rPr>
          <w:rFonts w:ascii="Book Antiqua" w:hAnsi="Book Antiqua" w:cs="Arial"/>
        </w:rPr>
        <w:t>662-672</w:t>
      </w:r>
      <w:r w:rsidR="00730E9D" w:rsidRPr="001B53E4">
        <w:rPr>
          <w:rFonts w:ascii="Book Antiqua" w:eastAsia="Book Antiqua" w:hAnsi="Book Antiqua" w:cs="Book Antiqua"/>
        </w:rPr>
        <w:t xml:space="preserve">  </w:t>
      </w:r>
    </w:p>
    <w:p w14:paraId="6A73BBCB" w14:textId="236B05E0" w:rsidR="0022351B" w:rsidRDefault="00730E9D" w:rsidP="00AF7547">
      <w:pPr>
        <w:adjustRightInd w:val="0"/>
        <w:snapToGrid w:val="0"/>
        <w:spacing w:line="360" w:lineRule="auto"/>
        <w:jc w:val="both"/>
        <w:rPr>
          <w:rFonts w:ascii="Book Antiqua" w:eastAsia="Book Antiqua" w:hAnsi="Book Antiqua" w:cs="Book Antiqua"/>
        </w:rPr>
      </w:pPr>
      <w:r w:rsidRPr="0022351B">
        <w:rPr>
          <w:rFonts w:ascii="Book Antiqua" w:eastAsia="Book Antiqua" w:hAnsi="Book Antiqua" w:cs="Book Antiqua"/>
          <w:b/>
          <w:bCs/>
        </w:rPr>
        <w:t>URL:</w:t>
      </w:r>
      <w:r w:rsidRPr="001B53E4">
        <w:rPr>
          <w:rFonts w:ascii="Book Antiqua" w:eastAsia="Book Antiqua" w:hAnsi="Book Antiqua" w:cs="Book Antiqua"/>
        </w:rPr>
        <w:t xml:space="preserve"> https://www.wjgnet.com/</w:t>
      </w:r>
      <w:r w:rsidRPr="001B53E4">
        <w:rPr>
          <w:rFonts w:ascii="Book Antiqua" w:eastAsia="Book Antiqua" w:hAnsi="Book Antiqua" w:cs="Book Antiqua"/>
          <w:kern w:val="2"/>
        </w:rPr>
        <w:t>1948-5204</w:t>
      </w:r>
      <w:r w:rsidRPr="001B53E4">
        <w:rPr>
          <w:rFonts w:ascii="Book Antiqua" w:eastAsia="Book Antiqua" w:hAnsi="Book Antiqua" w:cs="Book Antiqua"/>
        </w:rPr>
        <w:t>/full/v13/i7/</w:t>
      </w:r>
      <w:r w:rsidR="00105AB9" w:rsidRPr="00105AB9">
        <w:rPr>
          <w:rFonts w:ascii="Book Antiqua" w:hAnsi="Book Antiqua" w:cs="Arial"/>
        </w:rPr>
        <w:t>662</w:t>
      </w:r>
      <w:r w:rsidRPr="001B53E4">
        <w:rPr>
          <w:rFonts w:ascii="Book Antiqua" w:eastAsia="Book Antiqua" w:hAnsi="Book Antiqua" w:cs="Book Antiqua"/>
        </w:rPr>
        <w:t xml:space="preserve">.htm  </w:t>
      </w:r>
    </w:p>
    <w:p w14:paraId="35C55C82" w14:textId="20895887" w:rsidR="00A77B3E" w:rsidRPr="00AF7547" w:rsidRDefault="00730E9D" w:rsidP="00AF7547">
      <w:pPr>
        <w:adjustRightInd w:val="0"/>
        <w:snapToGrid w:val="0"/>
        <w:spacing w:line="360" w:lineRule="auto"/>
        <w:jc w:val="both"/>
        <w:rPr>
          <w:rFonts w:ascii="Book Antiqua" w:hAnsi="Book Antiqua"/>
        </w:rPr>
      </w:pPr>
      <w:r w:rsidRPr="0022351B">
        <w:rPr>
          <w:rFonts w:ascii="Book Antiqua" w:eastAsia="Book Antiqua" w:hAnsi="Book Antiqua" w:cs="Book Antiqua"/>
          <w:b/>
          <w:bCs/>
        </w:rPr>
        <w:t>DOI:</w:t>
      </w:r>
      <w:r w:rsidRPr="001B53E4">
        <w:rPr>
          <w:rFonts w:ascii="Book Antiqua" w:eastAsia="Book Antiqua" w:hAnsi="Book Antiqua" w:cs="Book Antiqua"/>
        </w:rPr>
        <w:t xml:space="preserve"> https://dx.doi.org/10.4251/wjgo.v13.i7.</w:t>
      </w:r>
      <w:r w:rsidR="00105AB9" w:rsidRPr="00105AB9">
        <w:rPr>
          <w:rFonts w:ascii="Book Antiqua" w:hAnsi="Book Antiqua" w:cs="Arial"/>
        </w:rPr>
        <w:t>662</w:t>
      </w:r>
    </w:p>
    <w:p w14:paraId="6F7AB646" w14:textId="77777777" w:rsidR="00A77B3E" w:rsidRPr="00AF7547" w:rsidRDefault="00A77B3E" w:rsidP="00AF7547">
      <w:pPr>
        <w:adjustRightInd w:val="0"/>
        <w:snapToGrid w:val="0"/>
        <w:spacing w:line="360" w:lineRule="auto"/>
        <w:jc w:val="both"/>
        <w:rPr>
          <w:rFonts w:ascii="Book Antiqua" w:hAnsi="Book Antiqua"/>
        </w:rPr>
      </w:pPr>
    </w:p>
    <w:p w14:paraId="51AF8D78" w14:textId="6B81093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Core Tip: </w:t>
      </w:r>
      <w:r w:rsidRPr="00AF7547">
        <w:rPr>
          <w:rFonts w:ascii="Book Antiqua" w:eastAsia="Book Antiqua" w:hAnsi="Book Antiqua"/>
          <w:color w:val="000000"/>
        </w:rPr>
        <w:t xml:space="preserve">Majority of the patients harboring sporadic fundic gland polyps with dysplasia or carcinoma were middle-aged women receiving proton pump inhibitor therapy who did not have </w:t>
      </w:r>
      <w:r w:rsidRPr="00AF7547">
        <w:rPr>
          <w:rFonts w:ascii="Book Antiqua" w:eastAsia="Book Antiqua" w:hAnsi="Book Antiqua"/>
          <w:i/>
          <w:iCs/>
          <w:color w:val="000000"/>
        </w:rPr>
        <w:t>Helicobacter pylori</w:t>
      </w:r>
      <w:r w:rsidRPr="00AF7547">
        <w:rPr>
          <w:rFonts w:ascii="Book Antiqua" w:eastAsia="Book Antiqua" w:hAnsi="Book Antiqua"/>
          <w:color w:val="000000"/>
        </w:rPr>
        <w:t xml:space="preserve"> infection. Majority of the sporadic </w:t>
      </w:r>
      <w:r w:rsidR="00380406" w:rsidRPr="00AF7547">
        <w:rPr>
          <w:rFonts w:ascii="Book Antiqua" w:eastAsia="Book Antiqua" w:hAnsi="Book Antiqua"/>
          <w:color w:val="000000"/>
        </w:rPr>
        <w:t xml:space="preserve">fundic gland polyps </w:t>
      </w:r>
      <w:r w:rsidRPr="00AF7547">
        <w:rPr>
          <w:rFonts w:ascii="Book Antiqua" w:eastAsia="Book Antiqua" w:hAnsi="Book Antiqua"/>
          <w:color w:val="000000"/>
        </w:rPr>
        <w:t xml:space="preserve">with dysplasia or carcinoma occurred in the body of the stomach and were sessile and small with a mean size of 5.4 mm. The sporadic </w:t>
      </w:r>
      <w:r w:rsidR="00380406" w:rsidRPr="00AF7547">
        <w:rPr>
          <w:rFonts w:ascii="Book Antiqua" w:eastAsia="Book Antiqua" w:hAnsi="Book Antiqua"/>
          <w:color w:val="000000"/>
        </w:rPr>
        <w:t xml:space="preserve">fundic gland polyps </w:t>
      </w:r>
      <w:r w:rsidRPr="00AF7547">
        <w:rPr>
          <w:rFonts w:ascii="Book Antiqua" w:eastAsia="Book Antiqua" w:hAnsi="Book Antiqua"/>
          <w:color w:val="000000"/>
        </w:rPr>
        <w:t xml:space="preserve">with carcinoma showed redness, irregular surface structure, depression, or erosion during white light observation and irregular microvessels on the lesion surface during magnifying narrow-band imaging. </w:t>
      </w:r>
    </w:p>
    <w:p w14:paraId="56D3201D" w14:textId="2493A128" w:rsidR="00526D66" w:rsidRDefault="00526D66">
      <w:pPr>
        <w:rPr>
          <w:rFonts w:ascii="Book Antiqua" w:hAnsi="Book Antiqua"/>
        </w:rPr>
      </w:pPr>
      <w:r>
        <w:rPr>
          <w:rFonts w:ascii="Book Antiqua" w:hAnsi="Book Antiqua"/>
        </w:rPr>
        <w:br w:type="page"/>
      </w:r>
    </w:p>
    <w:p w14:paraId="7C83EB7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lastRenderedPageBreak/>
        <w:t>INTRODUCTION</w:t>
      </w:r>
    </w:p>
    <w:p w14:paraId="6BED7338" w14:textId="4A7FF1F4"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Fundic gland polyps (FGPs) are the most common gastric polyps</w:t>
      </w:r>
      <w:r w:rsidRPr="00AF7547">
        <w:rPr>
          <w:rFonts w:ascii="Book Antiqua" w:eastAsia="Book Antiqua" w:hAnsi="Book Antiqua"/>
          <w:color w:val="000000"/>
          <w:vertAlign w:val="superscript"/>
        </w:rPr>
        <w:t>[1]</w:t>
      </w:r>
      <w:r w:rsidRPr="00AF7547">
        <w:rPr>
          <w:rFonts w:ascii="Book Antiqua" w:eastAsia="Book Antiqua" w:hAnsi="Book Antiqua"/>
          <w:color w:val="000000"/>
        </w:rPr>
        <w:t>. FGPs are divided into two types: a syndromic type that occurs in familial adenomatous polyposis (FAP) patients in the form of polyposis and a sporadic type that occurs in non-FAP patients. Coexistence with dysplasia is more common in the former and has been rare in the latter</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w:t>
      </w:r>
    </w:p>
    <w:p w14:paraId="0F6A2BB3" w14:textId="504C8370"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Proton pump inhibitors (PPIs) were launched around 1990, and it has since been reported that PPI use increases the number and size of sporadic FGPs</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8]</w:t>
      </w:r>
      <w:r w:rsidRPr="00AF7547">
        <w:rPr>
          <w:rFonts w:ascii="Book Antiqua" w:eastAsia="Book Antiqua" w:hAnsi="Book Antiqua"/>
          <w:color w:val="000000"/>
        </w:rPr>
        <w:t>. With the widespread and frequent use of PPIs in recent years, the prevalence of FGPs has been increasing, and several cases of sporadic FGPs with dysplasia or carcinoma (FGPD/CAs) have been reported. However, the number of reported cases of FGPD/CAs is still small, and their characteristic features have not yet been fully clarified. Therefore, this review mainly aim</w:t>
      </w:r>
      <w:r w:rsidR="008E4EB8">
        <w:rPr>
          <w:rFonts w:ascii="Book Antiqua" w:eastAsia="Book Antiqua" w:hAnsi="Book Antiqua"/>
          <w:color w:val="000000"/>
        </w:rPr>
        <w:t>s</w:t>
      </w:r>
      <w:r w:rsidRPr="00AF7547">
        <w:rPr>
          <w:rFonts w:ascii="Book Antiqua" w:eastAsia="Book Antiqua" w:hAnsi="Book Antiqua"/>
          <w:color w:val="000000"/>
        </w:rPr>
        <w:t xml:space="preserve"> to evaluate the clinical and endoscopic characteristics of sporadic FGPD/CAs.</w:t>
      </w:r>
    </w:p>
    <w:p w14:paraId="771B2B58" w14:textId="77777777" w:rsidR="00A77B3E" w:rsidRPr="00AF7547" w:rsidRDefault="00A77B3E" w:rsidP="00AF7547">
      <w:pPr>
        <w:adjustRightInd w:val="0"/>
        <w:snapToGrid w:val="0"/>
        <w:spacing w:line="360" w:lineRule="auto"/>
        <w:jc w:val="both"/>
        <w:rPr>
          <w:rFonts w:ascii="Book Antiqua" w:hAnsi="Book Antiqua"/>
        </w:rPr>
      </w:pPr>
    </w:p>
    <w:p w14:paraId="685ACD7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PREVALENCE OF FGP WITH OR WITHOUT DYSPLASIA</w:t>
      </w:r>
    </w:p>
    <w:p w14:paraId="7E887FA1" w14:textId="735DA2D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In the 1990s, FGPs were reported to be prevalent in 0.21%</w:t>
      </w:r>
      <w:r w:rsidR="00DD6BDC">
        <w:rPr>
          <w:rFonts w:ascii="Book Antiqua" w:eastAsia="Book Antiqua" w:hAnsi="Book Antiqua"/>
          <w:color w:val="000000"/>
        </w:rPr>
        <w:t>-</w:t>
      </w:r>
      <w:r w:rsidRPr="00AF7547">
        <w:rPr>
          <w:rFonts w:ascii="Book Antiqua" w:eastAsia="Book Antiqua" w:hAnsi="Book Antiqua"/>
          <w:color w:val="000000"/>
        </w:rPr>
        <w:t>2.0% of patients undergoing esophagogastroduodenoscopy</w:t>
      </w:r>
      <w:r w:rsidRPr="00AF7547">
        <w:rPr>
          <w:rFonts w:ascii="Book Antiqua" w:eastAsia="Book Antiqua" w:hAnsi="Book Antiqua"/>
          <w:color w:val="000000"/>
          <w:vertAlign w:val="superscript"/>
        </w:rPr>
        <w:t>[9</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11]</w:t>
      </w:r>
      <w:r w:rsidRPr="00AF7547">
        <w:rPr>
          <w:rFonts w:ascii="Book Antiqua" w:eastAsia="Book Antiqua" w:hAnsi="Book Antiqua"/>
          <w:color w:val="000000"/>
        </w:rPr>
        <w:t>. However, since the launch of PPIs around 1990, an increase in the number and size of FGPs associated with PPI use has been reported, and reports since 2000 have shown an obvious increase in the prevalence of FGPs at 5.9%</w:t>
      </w:r>
      <w:r w:rsidR="00DD6BDC">
        <w:rPr>
          <w:rFonts w:ascii="Book Antiqua" w:eastAsia="Book Antiqua" w:hAnsi="Book Antiqua"/>
          <w:color w:val="000000"/>
        </w:rPr>
        <w:t>-</w:t>
      </w:r>
      <w:r w:rsidRPr="00AF7547">
        <w:rPr>
          <w:rFonts w:ascii="Book Antiqua" w:eastAsia="Book Antiqua" w:hAnsi="Book Antiqua"/>
          <w:color w:val="000000"/>
        </w:rPr>
        <w:t>30.3%</w:t>
      </w:r>
      <w:r w:rsidRPr="00AF7547">
        <w:rPr>
          <w:rFonts w:ascii="Book Antiqua" w:eastAsia="Book Antiqua" w:hAnsi="Book Antiqua"/>
          <w:color w:val="000000"/>
          <w:vertAlign w:val="superscript"/>
        </w:rPr>
        <w:t>[12,13]</w:t>
      </w:r>
      <w:r w:rsidRPr="00AF7547">
        <w:rPr>
          <w:rFonts w:ascii="Book Antiqua" w:eastAsia="Book Antiqua" w:hAnsi="Book Antiqua"/>
          <w:color w:val="000000"/>
        </w:rPr>
        <w:t>. FGPs have been reported to occur in 13.6%</w:t>
      </w:r>
      <w:r w:rsidR="00DD6BDC">
        <w:rPr>
          <w:rFonts w:ascii="Book Antiqua" w:eastAsia="Book Antiqua" w:hAnsi="Book Antiqua"/>
          <w:color w:val="000000"/>
        </w:rPr>
        <w:t>-</w:t>
      </w:r>
      <w:r w:rsidRPr="00AF7547">
        <w:rPr>
          <w:rFonts w:ascii="Book Antiqua" w:eastAsia="Book Antiqua" w:hAnsi="Book Antiqua"/>
          <w:color w:val="000000"/>
        </w:rPr>
        <w:t>36% of patients receiving PPI therapy</w:t>
      </w:r>
      <w:r w:rsidRPr="00AF7547">
        <w:rPr>
          <w:rFonts w:ascii="Book Antiqua" w:eastAsia="Book Antiqua" w:hAnsi="Book Antiqua"/>
          <w:color w:val="000000"/>
          <w:vertAlign w:val="superscript"/>
        </w:rPr>
        <w:t>[5,14]</w:t>
      </w:r>
      <w:r w:rsidRPr="00AF7547">
        <w:rPr>
          <w:rFonts w:ascii="Book Antiqua" w:eastAsia="Book Antiqua" w:hAnsi="Book Antiqua"/>
          <w:color w:val="000000"/>
        </w:rPr>
        <w:t xml:space="preserve">. Carmack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[1]</w:t>
      </w:r>
      <w:r w:rsidRPr="00AF7547">
        <w:rPr>
          <w:rFonts w:ascii="Book Antiqua" w:eastAsia="Book Antiqua" w:hAnsi="Book Antiqua"/>
          <w:color w:val="000000"/>
        </w:rPr>
        <w:t xml:space="preserve"> compared the prevalence of various polyps in the </w:t>
      </w:r>
      <w:r w:rsidR="00EC6112" w:rsidRPr="00AF7547">
        <w:rPr>
          <w:rFonts w:ascii="Book Antiqua" w:eastAsia="Book Antiqua" w:hAnsi="Book Antiqua"/>
          <w:color w:val="000000"/>
        </w:rPr>
        <w:t>United States</w:t>
      </w:r>
      <w:r w:rsidRPr="00AF7547">
        <w:rPr>
          <w:rFonts w:ascii="Book Antiqua" w:eastAsia="Book Antiqua" w:hAnsi="Book Antiqua"/>
          <w:color w:val="000000"/>
        </w:rPr>
        <w:t xml:space="preserve"> population over a one-year period from April 2007 to March 2008 with that in previous reports and noted an increase in FGP prevalence with PPI use. In addition, FGPs can occur in </w:t>
      </w:r>
      <w:r w:rsidRPr="00AF7547">
        <w:rPr>
          <w:rFonts w:ascii="Book Antiqua" w:eastAsia="Book Antiqua" w:hAnsi="Book Antiqua"/>
          <w:i/>
          <w:iCs/>
          <w:color w:val="000000"/>
        </w:rPr>
        <w:t>Helicobacter pylori</w:t>
      </w:r>
      <w:r w:rsidR="00426A95">
        <w:rPr>
          <w:rFonts w:ascii="Book Antiqua" w:eastAsia="Book Antiqua" w:hAnsi="Book Antiqua"/>
          <w:i/>
          <w:iCs/>
          <w:color w:val="000000"/>
        </w:rPr>
        <w:t xml:space="preserve"> </w:t>
      </w:r>
      <w:r w:rsidR="00426A95">
        <w:rPr>
          <w:rFonts w:ascii="Book Antiqua" w:eastAsia="Book Antiqua" w:hAnsi="Book Antiqua"/>
          <w:color w:val="000000"/>
        </w:rPr>
        <w:t>(</w:t>
      </w:r>
      <w:r w:rsidR="00426A95" w:rsidRPr="00AF7547">
        <w:rPr>
          <w:rFonts w:ascii="Book Antiqua" w:eastAsia="Book Antiqua" w:hAnsi="Book Antiqua"/>
          <w:i/>
          <w:iCs/>
          <w:color w:val="000000"/>
        </w:rPr>
        <w:t>H. pylori</w:t>
      </w:r>
      <w:r w:rsidR="00426A95">
        <w:rPr>
          <w:rFonts w:ascii="Book Antiqua" w:eastAsia="Book Antiqua" w:hAnsi="Book Antiqua"/>
          <w:color w:val="000000"/>
        </w:rPr>
        <w:t>)</w:t>
      </w:r>
      <w:r w:rsidRPr="00AF7547">
        <w:rPr>
          <w:rFonts w:ascii="Book Antiqua" w:eastAsia="Book Antiqua" w:hAnsi="Book Antiqua"/>
          <w:color w:val="000000"/>
        </w:rPr>
        <w:t>-negative stomachs</w:t>
      </w:r>
      <w:r w:rsidRPr="00AF7547">
        <w:rPr>
          <w:rFonts w:ascii="Book Antiqua" w:eastAsia="Book Antiqua" w:hAnsi="Book Antiqua"/>
          <w:color w:val="000000"/>
          <w:vertAlign w:val="superscript"/>
        </w:rPr>
        <w:t>[1,12,13]</w:t>
      </w:r>
      <w:r w:rsidRPr="00AF7547">
        <w:rPr>
          <w:rFonts w:ascii="Book Antiqua" w:eastAsia="Book Antiqua" w:hAnsi="Book Antiqua"/>
          <w:color w:val="000000"/>
        </w:rPr>
        <w:t xml:space="preserve">. In the future, considering that the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rate has been decreasing in recent years</w:t>
      </w:r>
      <w:r w:rsidRPr="00AF7547">
        <w:rPr>
          <w:rFonts w:ascii="Book Antiqua" w:eastAsia="Book Antiqua" w:hAnsi="Book Antiqua"/>
          <w:color w:val="000000"/>
          <w:vertAlign w:val="superscript"/>
        </w:rPr>
        <w:t>[15,16]</w:t>
      </w:r>
      <w:r w:rsidRPr="00AF7547">
        <w:rPr>
          <w:rFonts w:ascii="Book Antiqua" w:eastAsia="Book Antiqua" w:hAnsi="Book Antiqua"/>
          <w:color w:val="000000"/>
        </w:rPr>
        <w:t>, the prevalence of FGPs is expected to further increase along with the widespread and frequent use of PPIs.</w:t>
      </w:r>
    </w:p>
    <w:p w14:paraId="55952EEF" w14:textId="0F5FEADC"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lastRenderedPageBreak/>
        <w:t>Furthermore, dysplasia has been reported to occur in 25%</w:t>
      </w:r>
      <w:r w:rsidR="00DD6BDC">
        <w:rPr>
          <w:rFonts w:ascii="Book Antiqua" w:eastAsia="Book Antiqua" w:hAnsi="Book Antiqua"/>
          <w:color w:val="000000"/>
        </w:rPr>
        <w:t>-</w:t>
      </w:r>
      <w:r w:rsidRPr="00AF7547">
        <w:rPr>
          <w:rFonts w:ascii="Book Antiqua" w:eastAsia="Book Antiqua" w:hAnsi="Book Antiqua"/>
          <w:color w:val="000000"/>
        </w:rPr>
        <w:t>54% of syndromic FGPs and 1%</w:t>
      </w:r>
      <w:r w:rsidR="00DD6BDC">
        <w:rPr>
          <w:rFonts w:ascii="Book Antiqua" w:eastAsia="Book Antiqua" w:hAnsi="Book Antiqua"/>
          <w:color w:val="000000"/>
        </w:rPr>
        <w:t>-</w:t>
      </w:r>
      <w:r w:rsidRPr="00AF7547">
        <w:rPr>
          <w:rFonts w:ascii="Book Antiqua" w:eastAsia="Book Antiqua" w:hAnsi="Book Antiqua"/>
          <w:color w:val="000000"/>
        </w:rPr>
        <w:t>6% of sporadic FGPs, showing a significant difference between FAP and non-FAP patients</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 Given the rarity of FAP patients, FGPD/CAs are less likely to be encountered in daily practice. However, as mentioned above, the prevalence of FGPs is expected to further increase in the future, and the prevalence of FGPD/CAs may increase accordingly. Therefore, it will be necessary to pay attention to the trends of these lesions.</w:t>
      </w:r>
    </w:p>
    <w:p w14:paraId="573672F2" w14:textId="77777777" w:rsidR="00A77B3E" w:rsidRPr="00AF7547" w:rsidRDefault="00A77B3E" w:rsidP="00AF7547">
      <w:pPr>
        <w:adjustRightInd w:val="0"/>
        <w:snapToGrid w:val="0"/>
        <w:spacing w:line="360" w:lineRule="auto"/>
        <w:jc w:val="both"/>
        <w:rPr>
          <w:rFonts w:ascii="Book Antiqua" w:hAnsi="Book Antiqua"/>
        </w:rPr>
      </w:pPr>
    </w:p>
    <w:p w14:paraId="5EE48BD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CLINICAL CHARACTERISTICS OF SPORADIC FGP WITH OR WITHOUT DYSPLASIA/CARCINOMA</w:t>
      </w:r>
    </w:p>
    <w:p w14:paraId="00D6E1AD" w14:textId="052BD33E"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Syndromic FGPs associated with FAP patients are common among young people in their 20</w:t>
      </w:r>
      <w:r w:rsidR="008E4EB8">
        <w:rPr>
          <w:rFonts w:ascii="Book Antiqua" w:eastAsia="Book Antiqua" w:hAnsi="Book Antiqua"/>
          <w:color w:val="000000"/>
        </w:rPr>
        <w:t>s, 30s and 40s</w:t>
      </w:r>
      <w:r w:rsidRPr="00AF7547">
        <w:rPr>
          <w:rFonts w:ascii="Book Antiqua" w:eastAsia="Book Antiqua" w:hAnsi="Book Antiqua"/>
          <w:color w:val="000000"/>
        </w:rPr>
        <w:t xml:space="preserve"> and do not exhibit gender differences</w:t>
      </w:r>
      <w:r w:rsidRPr="00AF7547">
        <w:rPr>
          <w:rFonts w:ascii="Book Antiqua" w:eastAsia="Book Antiqua" w:hAnsi="Book Antiqua"/>
          <w:color w:val="000000"/>
          <w:vertAlign w:val="superscript"/>
        </w:rPr>
        <w:t>[17</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20]</w:t>
      </w:r>
      <w:r w:rsidRPr="00AF7547">
        <w:rPr>
          <w:rFonts w:ascii="Book Antiqua" w:eastAsia="Book Antiqua" w:hAnsi="Book Antiqua"/>
          <w:color w:val="000000"/>
        </w:rPr>
        <w:t>. Conversely, sporadic FGPs in non-FAP patients are common among middle-aged women in their 50s and 60s</w:t>
      </w:r>
      <w:r w:rsidRPr="00AF7547">
        <w:rPr>
          <w:rFonts w:ascii="Book Antiqua" w:eastAsia="Book Antiqua" w:hAnsi="Book Antiqua"/>
          <w:color w:val="000000"/>
          <w:vertAlign w:val="superscript"/>
        </w:rPr>
        <w:t>[18,21,22]</w:t>
      </w:r>
      <w:r w:rsidRPr="00AF7547">
        <w:rPr>
          <w:rFonts w:ascii="Book Antiqua" w:eastAsia="Book Antiqua" w:hAnsi="Book Antiqua"/>
          <w:color w:val="000000"/>
        </w:rPr>
        <w:t xml:space="preserve">. Sipponen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[22]</w:t>
      </w:r>
      <w:r w:rsidRPr="00AF7547">
        <w:rPr>
          <w:rFonts w:ascii="Book Antiqua" w:eastAsia="Book Antiqua" w:hAnsi="Book Antiqua"/>
          <w:color w:val="000000"/>
        </w:rPr>
        <w:t xml:space="preserve"> have reported that hormonal levels and imbalance during menopause may play a pathogenetic role in the predominance of women presenting with sporadic FGPs. However, considering that PPI use can cause the development of FGPs in a medicine-related manner</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7,14]</w:t>
      </w:r>
      <w:r w:rsidRPr="00AF7547">
        <w:rPr>
          <w:rFonts w:ascii="Book Antiqua" w:eastAsia="Book Antiqua" w:hAnsi="Book Antiqua"/>
          <w:color w:val="000000"/>
        </w:rPr>
        <w:t>, the distribution of age and gender may change in the future owing to the widespread and frequent use of PPIs.</w:t>
      </w:r>
    </w:p>
    <w:p w14:paraId="4E9C6065" w14:textId="7D5396E9"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Sporadic FGPs are negatively correlated with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w:t>
      </w:r>
      <w:r w:rsidR="008E4EB8">
        <w:rPr>
          <w:rFonts w:ascii="Book Antiqua" w:eastAsia="Book Antiqua" w:hAnsi="Book Antiqua"/>
          <w:color w:val="000000"/>
        </w:rPr>
        <w:t>.</w:t>
      </w:r>
      <w:r w:rsidRPr="00AF7547">
        <w:rPr>
          <w:rFonts w:ascii="Book Antiqua" w:eastAsia="Book Antiqua" w:hAnsi="Book Antiqua"/>
          <w:color w:val="000000"/>
        </w:rPr>
        <w:t xml:space="preserve"> </w:t>
      </w:r>
      <w:r w:rsidR="008E4EB8">
        <w:rPr>
          <w:rFonts w:ascii="Book Antiqua" w:eastAsia="Book Antiqua" w:hAnsi="Book Antiqua"/>
          <w:color w:val="000000"/>
        </w:rPr>
        <w:t>They</w:t>
      </w:r>
      <w:r w:rsidRPr="00AF7547">
        <w:rPr>
          <w:rFonts w:ascii="Book Antiqua" w:eastAsia="Book Antiqua" w:hAnsi="Book Antiqua"/>
          <w:color w:val="000000"/>
        </w:rPr>
        <w:t xml:space="preserve"> are ordinarily observed in the </w:t>
      </w:r>
      <w:r w:rsidRPr="00AF7547">
        <w:rPr>
          <w:rFonts w:ascii="Book Antiqua" w:eastAsia="Book Antiqua" w:hAnsi="Book Antiqua"/>
          <w:i/>
          <w:iCs/>
          <w:color w:val="000000"/>
        </w:rPr>
        <w:t>H. pylori</w:t>
      </w:r>
      <w:r w:rsidRPr="00AF7547">
        <w:rPr>
          <w:rFonts w:ascii="Book Antiqua" w:eastAsia="Book Antiqua" w:hAnsi="Book Antiqua"/>
          <w:color w:val="000000"/>
        </w:rPr>
        <w:t>-uninfected stomachs without mucosal atrophy and occasionally in the post-eradication setting</w:t>
      </w:r>
      <w:r w:rsidRPr="00AF7547">
        <w:rPr>
          <w:rFonts w:ascii="Book Antiqua" w:eastAsia="Book Antiqua" w:hAnsi="Book Antiqua"/>
          <w:color w:val="000000"/>
          <w:vertAlign w:val="superscript"/>
        </w:rPr>
        <w:t>[1,12,13,23]</w:t>
      </w:r>
      <w:r w:rsidRPr="00AF7547">
        <w:rPr>
          <w:rFonts w:ascii="Book Antiqua" w:eastAsia="Book Antiqua" w:hAnsi="Book Antiqua"/>
          <w:color w:val="000000"/>
        </w:rPr>
        <w:t>. In addition, sporadic FGPs exhibit a positive correlation with PPI use; long-term PPI use has been reported to increase the number and size of FGPs</w:t>
      </w:r>
      <w:r w:rsidRPr="00AF7547">
        <w:rPr>
          <w:rFonts w:ascii="Book Antiqua" w:eastAsia="Book Antiqua" w:hAnsi="Book Antiqua"/>
          <w:color w:val="000000"/>
          <w:vertAlign w:val="superscript"/>
        </w:rPr>
        <w:t>[5</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8]</w:t>
      </w:r>
      <w:r w:rsidRPr="00AF7547">
        <w:rPr>
          <w:rFonts w:ascii="Book Antiqua" w:eastAsia="Book Antiqua" w:hAnsi="Book Antiqua"/>
          <w:color w:val="000000"/>
        </w:rPr>
        <w:t>. However, this change is reversible, and reducing or discontinuing PPI or switching to H2-receptor antagonists has been reported to reduce the increased number and size of FGPs</w:t>
      </w:r>
      <w:r w:rsidRPr="00AF7547">
        <w:rPr>
          <w:rFonts w:ascii="Book Antiqua" w:eastAsia="Book Antiqua" w:hAnsi="Book Antiqua"/>
          <w:color w:val="000000"/>
          <w:vertAlign w:val="superscript"/>
        </w:rPr>
        <w:t>[13,24,25]</w:t>
      </w:r>
      <w:r w:rsidRPr="00AF7547">
        <w:rPr>
          <w:rFonts w:ascii="Book Antiqua" w:eastAsia="Book Antiqua" w:hAnsi="Book Antiqua"/>
          <w:color w:val="000000"/>
        </w:rPr>
        <w:t>.</w:t>
      </w:r>
    </w:p>
    <w:p w14:paraId="602AE585" w14:textId="1C9C5695"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The clinical characteristics of sporadic FGPD/CA cases reported so far are shown in Table 1</w:t>
      </w:r>
      <w:r w:rsidRPr="00AF7547">
        <w:rPr>
          <w:rFonts w:ascii="Book Antiqua" w:eastAsia="Book Antiqua" w:hAnsi="Book Antiqua"/>
          <w:color w:val="000000"/>
          <w:vertAlign w:val="superscript"/>
        </w:rPr>
        <w:t>[26</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36]</w:t>
      </w:r>
      <w:r w:rsidRPr="00AF7547">
        <w:rPr>
          <w:rFonts w:ascii="Book Antiqua" w:eastAsia="Book Antiqua" w:hAnsi="Book Antiqua"/>
          <w:color w:val="000000"/>
        </w:rPr>
        <w:t xml:space="preserve">. </w:t>
      </w:r>
      <w:r w:rsidR="008E4EB8">
        <w:rPr>
          <w:rFonts w:ascii="Book Antiqua" w:eastAsia="Book Antiqua" w:hAnsi="Book Antiqua"/>
          <w:color w:val="000000"/>
        </w:rPr>
        <w:t>The m</w:t>
      </w:r>
      <w:r w:rsidRPr="00AF7547">
        <w:rPr>
          <w:rFonts w:ascii="Book Antiqua" w:eastAsia="Book Antiqua" w:hAnsi="Book Antiqua"/>
          <w:color w:val="000000"/>
        </w:rPr>
        <w:t>ajority of the patients with FGPD/CAs were middle-aged women (65.7%) with a mean age of 56.7 years</w:t>
      </w:r>
      <w:r w:rsidR="008E4EB8">
        <w:rPr>
          <w:rFonts w:ascii="Book Antiqua" w:eastAsia="Book Antiqua" w:hAnsi="Book Antiqua"/>
          <w:color w:val="000000"/>
        </w:rPr>
        <w:t xml:space="preserve">, most of whom </w:t>
      </w:r>
      <w:r w:rsidRPr="00AF7547">
        <w:rPr>
          <w:rFonts w:ascii="Book Antiqua" w:eastAsia="Book Antiqua" w:hAnsi="Book Antiqua"/>
          <w:color w:val="000000"/>
        </w:rPr>
        <w:t xml:space="preserve">were receiving PPI therapy and were negative for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All these characteristics were similar to those of FGPs without dysplasia, and no clinical characteristics different from those of ordinary </w:t>
      </w:r>
      <w:r w:rsidRPr="00AF7547">
        <w:rPr>
          <w:rFonts w:ascii="Book Antiqua" w:eastAsia="Book Antiqua" w:hAnsi="Book Antiqua"/>
          <w:color w:val="000000"/>
        </w:rPr>
        <w:lastRenderedPageBreak/>
        <w:t xml:space="preserve">FGPs were obtained, which implies that it is difficult to discern FGPD/CAs based on the clinical characteristics alone and that </w:t>
      </w:r>
      <w:r w:rsidRPr="00AF7547">
        <w:rPr>
          <w:rFonts w:ascii="Book Antiqua" w:eastAsia="Book Antiqua" w:hAnsi="Book Antiqua"/>
          <w:i/>
          <w:iCs/>
          <w:color w:val="000000"/>
        </w:rPr>
        <w:t>H. pylori</w:t>
      </w:r>
      <w:r w:rsidRPr="00AF7547">
        <w:rPr>
          <w:rFonts w:ascii="Book Antiqua" w:eastAsia="Book Antiqua" w:hAnsi="Book Antiqua"/>
          <w:color w:val="000000"/>
        </w:rPr>
        <w:t xml:space="preserve"> infection is not likely to be involved in the malignant transformation of FGPs. In addition, Lloyd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[32]</w:t>
      </w:r>
      <w:r w:rsidRPr="00AF7547">
        <w:rPr>
          <w:rFonts w:ascii="Book Antiqua" w:eastAsia="Book Antiqua" w:hAnsi="Book Antiqua"/>
          <w:color w:val="000000"/>
        </w:rPr>
        <w:t xml:space="preserve"> and Arnason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[37]</w:t>
      </w:r>
      <w:r w:rsidRPr="00AF7547">
        <w:rPr>
          <w:rFonts w:ascii="Book Antiqua" w:eastAsia="Book Antiqua" w:hAnsi="Book Antiqua"/>
          <w:color w:val="000000"/>
        </w:rPr>
        <w:t xml:space="preserve"> have reported that the proportion of the patients with non-steroidal anti-inflammatory drug use, alcohol use, or smoking among the patients with sporadic FGPDs was low (20%</w:t>
      </w:r>
      <w:r w:rsidR="00DD6BDC">
        <w:rPr>
          <w:rFonts w:ascii="Book Antiqua" w:eastAsia="Book Antiqua" w:hAnsi="Book Antiqua"/>
          <w:color w:val="000000"/>
        </w:rPr>
        <w:t>-</w:t>
      </w:r>
      <w:r w:rsidRPr="00AF7547">
        <w:rPr>
          <w:rFonts w:ascii="Book Antiqua" w:eastAsia="Book Antiqua" w:hAnsi="Book Antiqua"/>
          <w:color w:val="000000"/>
        </w:rPr>
        <w:t>36%), suggesting that these factors are also not likely to be involved in the malignant transformation of FGPs.</w:t>
      </w:r>
    </w:p>
    <w:p w14:paraId="68B41B05" w14:textId="77777777"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Attard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w:t>
      </w:r>
      <w:r w:rsidRPr="00AF7547">
        <w:rPr>
          <w:rFonts w:ascii="Book Antiqua" w:eastAsia="Book Antiqua" w:hAnsi="Book Antiqua"/>
          <w:color w:val="000000"/>
        </w:rPr>
        <w:t xml:space="preserve"> have reported that dysplasia within FGPs was more common in FAP patients on long-term PPI therapy than in those without PPI therapy. Fukuda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[33]</w:t>
      </w:r>
      <w:r w:rsidRPr="00AF7547">
        <w:rPr>
          <w:rFonts w:ascii="Book Antiqua" w:eastAsia="Book Antiqua" w:hAnsi="Book Antiqua"/>
          <w:color w:val="000000"/>
        </w:rPr>
        <w:t xml:space="preserve"> have stated that PPI therapy may affect the progression of dysplasia within FGPs through their research on the PPI-treated patient harboring FGPD/CA with long-term follow-up. Currently, it remains unclear whether PPI therapy is involved in the malignant transformation of FGPs. However, considering that the development of FGPs in association with PPI therapy is reversible, reducing or discontinuing PPIs or switching to H2-receptor antagonists is recommended for carcinogenesis prevention, at least in cases with multiple FGPs.</w:t>
      </w:r>
    </w:p>
    <w:p w14:paraId="607D8ABF" w14:textId="77777777" w:rsidR="00A77B3E" w:rsidRPr="00AF7547" w:rsidRDefault="00A77B3E" w:rsidP="00AF7547">
      <w:pPr>
        <w:adjustRightInd w:val="0"/>
        <w:snapToGrid w:val="0"/>
        <w:spacing w:line="360" w:lineRule="auto"/>
        <w:jc w:val="both"/>
        <w:rPr>
          <w:rFonts w:ascii="Book Antiqua" w:hAnsi="Book Antiqua"/>
        </w:rPr>
      </w:pPr>
    </w:p>
    <w:p w14:paraId="4B40ABD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ENDOSCOPIC CHARACTERISTICS OF SPORADIC FGP WITH OR WITHOUT DYSPLASIA/CARCINOMA</w:t>
      </w:r>
    </w:p>
    <w:p w14:paraId="0B0DF509" w14:textId="7E5DB2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Sporadic FGPs without dysplasia ordinarily occur in the body or fundus of the </w:t>
      </w:r>
      <w:r w:rsidRPr="00AF7547">
        <w:rPr>
          <w:rFonts w:ascii="Book Antiqua" w:eastAsia="Book Antiqua" w:hAnsi="Book Antiqua"/>
          <w:i/>
          <w:iCs/>
          <w:color w:val="000000"/>
        </w:rPr>
        <w:t>H. pylori</w:t>
      </w:r>
      <w:r w:rsidRPr="00AF7547">
        <w:rPr>
          <w:rFonts w:ascii="Book Antiqua" w:eastAsia="Book Antiqua" w:hAnsi="Book Antiqua"/>
          <w:color w:val="000000"/>
        </w:rPr>
        <w:t>-uninfected stomachs without mucosal atrophy. The polyps are often small (≤</w:t>
      </w:r>
      <w:r w:rsidR="00EC6112" w:rsidRPr="00AF7547">
        <w:rPr>
          <w:rFonts w:ascii="Book Antiqua" w:eastAsia="Book Antiqua" w:hAnsi="Book Antiqua"/>
          <w:color w:val="000000"/>
        </w:rPr>
        <w:t xml:space="preserve"> </w:t>
      </w:r>
      <w:r w:rsidRPr="00AF7547">
        <w:rPr>
          <w:rFonts w:ascii="Book Antiqua" w:eastAsia="Book Antiqua" w:hAnsi="Book Antiqua"/>
          <w:color w:val="000000"/>
        </w:rPr>
        <w:t>5</w:t>
      </w:r>
      <w:r w:rsidR="00EC6112" w:rsidRPr="00AF7547">
        <w:rPr>
          <w:rFonts w:ascii="Book Antiqua" w:eastAsia="Book Antiqua" w:hAnsi="Book Antiqua"/>
          <w:color w:val="000000"/>
        </w:rPr>
        <w:t xml:space="preserve"> </w:t>
      </w:r>
      <w:r w:rsidRPr="00AF7547">
        <w:rPr>
          <w:rFonts w:ascii="Book Antiqua" w:eastAsia="Book Antiqua" w:hAnsi="Book Antiqua"/>
          <w:color w:val="000000"/>
        </w:rPr>
        <w:t>mm) and exhibit a smooth lesion surface structure. During white light observation, they are often recognized as isochromatic sessile polyps, and regular arrangements of collecting venules</w:t>
      </w:r>
      <w:r w:rsidRPr="00AF7547">
        <w:rPr>
          <w:rFonts w:ascii="Book Antiqua" w:eastAsia="Book Antiqua" w:hAnsi="Book Antiqua"/>
          <w:color w:val="000000"/>
          <w:vertAlign w:val="superscript"/>
        </w:rPr>
        <w:t>[38]</w:t>
      </w:r>
      <w:r w:rsidRPr="00AF7547">
        <w:rPr>
          <w:rFonts w:ascii="Book Antiqua" w:eastAsia="Book Antiqua" w:hAnsi="Book Antiqua"/>
          <w:color w:val="000000"/>
        </w:rPr>
        <w:t xml:space="preserve"> are observed on the lesion surface as well as on the surrounding non-atrophic mucosa (Figure 1A). During magnifying narrow-band imaging (NBI), regularly arranged, white, dot-shaped crypt openings resembling surrounding mucosa are observed (Figure 1B). During chromoendoscopic observation using indigo carmine dye, lesion margins and smooth surface structures are more clearly recognized (Figure 1C).</w:t>
      </w:r>
    </w:p>
    <w:p w14:paraId="317E1324" w14:textId="34B24E39"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lastRenderedPageBreak/>
        <w:t>The endoscopic characteristics of sporadic FGPD/CA cases are shown in Table 1</w:t>
      </w:r>
      <w:r w:rsidRPr="00AF7547">
        <w:rPr>
          <w:rFonts w:ascii="Book Antiqua" w:eastAsia="Book Antiqua" w:hAnsi="Book Antiqua"/>
          <w:color w:val="000000"/>
          <w:vertAlign w:val="superscript"/>
        </w:rPr>
        <w:t>[26</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36]</w:t>
      </w:r>
      <w:r w:rsidRPr="00AF7547">
        <w:rPr>
          <w:rFonts w:ascii="Book Antiqua" w:eastAsia="Book Antiqua" w:hAnsi="Book Antiqua"/>
          <w:color w:val="000000"/>
        </w:rPr>
        <w:t>. Majority of the FGPD/CAs occurred in the body of the stomach and were sessile and small with a mean size of 5.4 mm. Of these, all seven FGPs with carcinoma (FGPCAs) were in the body of the stomach and were slightly larger with a mean size of 8.7 mm, although one of them was diminutive (3 mm). During white light observation, some FGPDs (without carcinoma) were isochromatic lesions with smooth surfaces and were thus difficult to distinguish from ordinary FGPs without dysplasia. However, all the FGPCAs exhibited characteristics unobserved in ordinary FGPs, such as redness, irregular surface structure, depression, and erosion. In addition, irregular microvessels were observed on the lesion surface of all four FGPCAs on which magnifying NBI observation was performed. It has been reported that redness during white light observation and presence of irregular microvessels during magnifying NBI are useful for diagnosing gastric cancer</w:t>
      </w:r>
      <w:r w:rsidRPr="00AF7547">
        <w:rPr>
          <w:rFonts w:ascii="Book Antiqua" w:eastAsia="Book Antiqua" w:hAnsi="Book Antiqua"/>
          <w:color w:val="000000"/>
          <w:vertAlign w:val="superscript"/>
        </w:rPr>
        <w:t>[39</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41]</w:t>
      </w:r>
      <w:r w:rsidRPr="00AF7547">
        <w:rPr>
          <w:rFonts w:ascii="Book Antiqua" w:eastAsia="Book Antiqua" w:hAnsi="Book Antiqua"/>
          <w:color w:val="000000"/>
        </w:rPr>
        <w:t>. This suggests that similar findings may be useful for diagnosing FGPCAs. Therefore, FGPDs (without carcinoma) may be difficult to distinguish from ordinary FGPs, whereas FGPCAs may be diagnosable by white light or magnifying NBI. One of our cases of FGPCA is shown in Figure 2.</w:t>
      </w:r>
    </w:p>
    <w:p w14:paraId="4CB120BF" w14:textId="77777777" w:rsidR="00A77B3E" w:rsidRPr="00AF7547" w:rsidRDefault="00A77B3E" w:rsidP="00AF7547">
      <w:pPr>
        <w:adjustRightInd w:val="0"/>
        <w:snapToGrid w:val="0"/>
        <w:spacing w:line="360" w:lineRule="auto"/>
        <w:jc w:val="both"/>
        <w:rPr>
          <w:rFonts w:ascii="Book Antiqua" w:hAnsi="Book Antiqua"/>
        </w:rPr>
      </w:pPr>
    </w:p>
    <w:p w14:paraId="424222F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HISTOPATHOLOGICAL, GENETIC, AND MOLECULAR FINDINGS OF FGP WITH OR WITHOUT DYSPLASIA</w:t>
      </w:r>
    </w:p>
    <w:p w14:paraId="7E4446ED" w14:textId="6D4C88E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FGPs are histopathologically characterized by hyperplastic proliferation of oxyntic glands with distorted glandular architecture and cystically dilated glands (Figure 1D</w:t>
      </w:r>
      <w:r w:rsidR="00EC6112" w:rsidRPr="00AF7547">
        <w:rPr>
          <w:rFonts w:ascii="Book Antiqua" w:eastAsia="Book Antiqua" w:hAnsi="Book Antiqua"/>
          <w:color w:val="000000"/>
        </w:rPr>
        <w:t xml:space="preserve"> and</w:t>
      </w:r>
      <w:r w:rsidRPr="00AF7547">
        <w:rPr>
          <w:rFonts w:ascii="Book Antiqua" w:eastAsia="Book Antiqua" w:hAnsi="Book Antiqua"/>
          <w:color w:val="000000"/>
        </w:rPr>
        <w:t xml:space="preserve"> E)</w:t>
      </w:r>
      <w:r w:rsidRPr="00AF7547">
        <w:rPr>
          <w:rFonts w:ascii="Book Antiqua" w:eastAsia="Book Antiqua" w:hAnsi="Book Antiqua"/>
          <w:color w:val="000000"/>
          <w:vertAlign w:val="superscript"/>
        </w:rPr>
        <w:t>[18]</w:t>
      </w:r>
      <w:r w:rsidRPr="00AF7547">
        <w:rPr>
          <w:rFonts w:ascii="Book Antiqua" w:eastAsia="Book Antiqua" w:hAnsi="Book Antiqua"/>
          <w:color w:val="000000"/>
        </w:rPr>
        <w:t>. Epithelial dysplasia is common in syndromic FGPs but rare in sporadic FGPs</w:t>
      </w:r>
      <w:r w:rsidRPr="00AF7547">
        <w:rPr>
          <w:rFonts w:ascii="Book Antiqua" w:eastAsia="Book Antiqua" w:hAnsi="Book Antiqua"/>
          <w:color w:val="000000"/>
          <w:vertAlign w:val="superscript"/>
        </w:rPr>
        <w:t>[2</w:t>
      </w:r>
      <w:r w:rsidR="00DD6BDC">
        <w:rPr>
          <w:rFonts w:ascii="Book Antiqua" w:eastAsia="Book Antiqua" w:hAnsi="Book Antiqua"/>
          <w:color w:val="000000"/>
          <w:vertAlign w:val="superscript"/>
        </w:rPr>
        <w:t>-</w:t>
      </w:r>
      <w:r w:rsidRPr="00AF7547">
        <w:rPr>
          <w:rFonts w:ascii="Book Antiqua" w:eastAsia="Book Antiqua" w:hAnsi="Book Antiqua"/>
          <w:color w:val="000000"/>
          <w:vertAlign w:val="superscript"/>
        </w:rPr>
        <w:t>4]</w:t>
      </w:r>
      <w:r w:rsidRPr="00AF7547">
        <w:rPr>
          <w:rFonts w:ascii="Book Antiqua" w:eastAsia="Book Antiqua" w:hAnsi="Book Antiqua"/>
          <w:color w:val="000000"/>
        </w:rPr>
        <w:t xml:space="preserve">. Long-term PPI use is known to increase the size of FGPs </w:t>
      </w:r>
      <w:r w:rsidRPr="00AF7547">
        <w:rPr>
          <w:rFonts w:ascii="Book Antiqua" w:eastAsia="Book Antiqua" w:hAnsi="Book Antiqua"/>
          <w:i/>
          <w:iCs/>
          <w:color w:val="000000"/>
        </w:rPr>
        <w:t>via</w:t>
      </w:r>
      <w:r w:rsidRPr="00AF7547">
        <w:rPr>
          <w:rFonts w:ascii="Book Antiqua" w:eastAsia="Book Antiqua" w:hAnsi="Book Antiqua"/>
          <w:color w:val="000000"/>
        </w:rPr>
        <w:t xml:space="preserve"> fundic gland cyst enlargement due to foveolar cell proliferation and parietal cell protrusion</w:t>
      </w:r>
      <w:r w:rsidRPr="00AF7547">
        <w:rPr>
          <w:rFonts w:ascii="Book Antiqua" w:eastAsia="Book Antiqua" w:hAnsi="Book Antiqua"/>
          <w:color w:val="000000"/>
          <w:vertAlign w:val="superscript"/>
        </w:rPr>
        <w:t>[8]</w:t>
      </w:r>
      <w:r w:rsidRPr="00AF7547">
        <w:rPr>
          <w:rFonts w:ascii="Book Antiqua" w:eastAsia="Book Antiqua" w:hAnsi="Book Antiqua"/>
          <w:color w:val="000000"/>
        </w:rPr>
        <w:t xml:space="preserve">. Fukuda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[8]</w:t>
      </w:r>
      <w:r w:rsidRPr="00AF7547">
        <w:rPr>
          <w:rFonts w:ascii="Book Antiqua" w:eastAsia="Book Antiqua" w:hAnsi="Book Antiqua"/>
          <w:color w:val="000000"/>
        </w:rPr>
        <w:t xml:space="preserve"> have reported that in addition to the obstruction of isthmus glands by parietal cell protrusion, a large amount of mucinous product from proliferating foveolar cells in the deeper layer of fundic glands (which is promoted by PPI-induced hypergastrinemia due to decreased acid secretion and related factors) might enlarge fundic gland cysts and result in FGP enlargement.</w:t>
      </w:r>
    </w:p>
    <w:p w14:paraId="1C61F334" w14:textId="77777777"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lastRenderedPageBreak/>
        <w:t xml:space="preserve">Abraham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[42,43]</w:t>
      </w:r>
      <w:r w:rsidRPr="00AF7547">
        <w:rPr>
          <w:rFonts w:ascii="Book Antiqua" w:eastAsia="Book Antiqua" w:hAnsi="Book Antiqua"/>
          <w:color w:val="000000"/>
        </w:rPr>
        <w:t xml:space="preserve"> have reported that adenomatous polyposis coli (APC) gene alteration is more frequent in syndromic FGPs (47%) but less frequent in sporadic FGPs (8%), whereas β-catenin gene alteration is more frequent in sporadic FGPs (91%) but absent in syndromic FGPs. Although APC and β-catenin are both constituent genes of the canonical Wnt signaling pathway, these differences in genetic background may explain, in part, why syndromic FGPs exhibit more dysplasia, whereas sporadic FGPs exhibit less dysplasia</w:t>
      </w:r>
      <w:r w:rsidRPr="00AF7547">
        <w:rPr>
          <w:rFonts w:ascii="Book Antiqua" w:eastAsia="Book Antiqua" w:hAnsi="Book Antiqua"/>
          <w:color w:val="000000"/>
          <w:vertAlign w:val="superscript"/>
        </w:rPr>
        <w:t>[43]</w:t>
      </w:r>
      <w:r w:rsidRPr="00AF7547">
        <w:rPr>
          <w:rFonts w:ascii="Book Antiqua" w:eastAsia="Book Antiqua" w:hAnsi="Book Antiqua"/>
          <w:color w:val="000000"/>
        </w:rPr>
        <w:t xml:space="preserve">. In fact, Abraham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[44]</w:t>
      </w:r>
      <w:r w:rsidRPr="00AF7547">
        <w:rPr>
          <w:rFonts w:ascii="Book Antiqua" w:eastAsia="Book Antiqua" w:hAnsi="Book Antiqua"/>
          <w:color w:val="000000"/>
        </w:rPr>
        <w:t xml:space="preserve"> have reported that sporadic FGPDs harbored APC gene alteration (53.8%) rather than β-catenin gene alteration (15.4%), which indicates that sporadic FGPDs are molecularly similar to syndromic FGPs.</w:t>
      </w:r>
    </w:p>
    <w:p w14:paraId="74BBC42A" w14:textId="2A406291" w:rsidR="00A77B3E" w:rsidRPr="00AF7547" w:rsidRDefault="00EE15D1" w:rsidP="00AF7547">
      <w:pPr>
        <w:adjustRightInd w:val="0"/>
        <w:snapToGrid w:val="0"/>
        <w:spacing w:line="360" w:lineRule="auto"/>
        <w:ind w:firstLineChars="200" w:firstLine="480"/>
        <w:jc w:val="both"/>
        <w:rPr>
          <w:rFonts w:ascii="Book Antiqua" w:hAnsi="Book Antiqua"/>
        </w:rPr>
      </w:pPr>
      <w:r w:rsidRPr="00AF7547">
        <w:rPr>
          <w:rFonts w:ascii="Book Antiqua" w:eastAsia="Book Antiqua" w:hAnsi="Book Antiqua"/>
          <w:color w:val="000000"/>
        </w:rPr>
        <w:t xml:space="preserve">Moreover, Hassan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[45]</w:t>
      </w:r>
      <w:r w:rsidRPr="00AF7547">
        <w:rPr>
          <w:rFonts w:ascii="Book Antiqua" w:eastAsia="Book Antiqua" w:hAnsi="Book Antiqua"/>
          <w:color w:val="000000"/>
        </w:rPr>
        <w:t xml:space="preserve"> genetically evaluated syndromic and sporadic FGPs, including dysplastic lesions, and demonstrated no differences in protein expression of c-Myc and cyclin D1 (which are regulated by the APC/β-catenin signaling pathway) between both types of FGPs, despite their different genetic abnormalities. These lesions exhibited no aberrant nuclear localization of β-catenin and exhibited negative nuclear expression of p53 protein and positive nuclear expression of retinoblastoma protein. Additionally, Levy </w:t>
      </w:r>
      <w:r w:rsidR="00CE77C4" w:rsidRPr="00AF7547">
        <w:rPr>
          <w:rFonts w:ascii="Book Antiqua" w:eastAsia="Book Antiqua" w:hAnsi="Book Antiqua"/>
          <w:color w:val="000000"/>
        </w:rPr>
        <w:t>and</w:t>
      </w:r>
      <w:r w:rsidR="00CE77C4" w:rsidRPr="00AF7547">
        <w:rPr>
          <w:rFonts w:ascii="Book Antiqua" w:eastAsia="Book Antiqua" w:hAnsi="Book Antiqua"/>
          <w:i/>
          <w:iCs/>
          <w:color w:val="000000"/>
        </w:rPr>
        <w:t xml:space="preserve"> </w:t>
      </w:r>
      <w:r w:rsidR="00CE77C4" w:rsidRPr="00AF7547">
        <w:rPr>
          <w:rFonts w:ascii="Book Antiqua" w:eastAsia="Book Antiqua" w:hAnsi="Book Antiqua"/>
          <w:color w:val="000000"/>
        </w:rPr>
        <w:t>Bhattacharya</w:t>
      </w:r>
      <w:r w:rsidRPr="00AF7547">
        <w:rPr>
          <w:rFonts w:ascii="Book Antiqua" w:eastAsia="Book Antiqua" w:hAnsi="Book Antiqua"/>
          <w:color w:val="000000"/>
          <w:vertAlign w:val="superscript"/>
        </w:rPr>
        <w:t>[30]</w:t>
      </w:r>
      <w:r w:rsidRPr="00AF7547">
        <w:rPr>
          <w:rFonts w:ascii="Book Antiqua" w:eastAsia="Book Antiqua" w:hAnsi="Book Antiqua"/>
          <w:color w:val="000000"/>
        </w:rPr>
        <w:t xml:space="preserve"> and Straub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[34]</w:t>
      </w:r>
      <w:r w:rsidRPr="00AF7547">
        <w:rPr>
          <w:rFonts w:ascii="Book Antiqua" w:eastAsia="Book Antiqua" w:hAnsi="Book Antiqua"/>
          <w:color w:val="000000"/>
        </w:rPr>
        <w:t xml:space="preserve"> have reported that even FGPDs harbored less aberrant nuclear localization of β-catenin and no alteration of p53 gene in both syndromic and sporadic settings. These findings may explain, in part, why both syndromic and sporadic FGPs are less likely to become cancerous, even when exhibiting dysplasia.</w:t>
      </w:r>
    </w:p>
    <w:p w14:paraId="62617AE3" w14:textId="77777777" w:rsidR="00A77B3E" w:rsidRPr="00AF7547" w:rsidRDefault="00A77B3E" w:rsidP="00AF7547">
      <w:pPr>
        <w:adjustRightInd w:val="0"/>
        <w:snapToGrid w:val="0"/>
        <w:spacing w:line="360" w:lineRule="auto"/>
        <w:jc w:val="both"/>
        <w:rPr>
          <w:rFonts w:ascii="Book Antiqua" w:hAnsi="Book Antiqua"/>
        </w:rPr>
      </w:pPr>
    </w:p>
    <w:p w14:paraId="50B44B9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PROPOSAL OF A MANAGEMENT ALGORITHM FOR SPORADIC FGPs</w:t>
      </w:r>
    </w:p>
    <w:p w14:paraId="2FC442EF" w14:textId="376FAE1C"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Although FGPs are the most common gastric polyps</w:t>
      </w:r>
      <w:r w:rsidRPr="00AF7547">
        <w:rPr>
          <w:rFonts w:ascii="Book Antiqua" w:eastAsia="Book Antiqua" w:hAnsi="Book Antiqua"/>
          <w:color w:val="000000"/>
          <w:vertAlign w:val="superscript"/>
        </w:rPr>
        <w:t>[1]</w:t>
      </w:r>
      <w:r w:rsidRPr="00AF7547">
        <w:rPr>
          <w:rFonts w:ascii="Book Antiqua" w:eastAsia="Book Antiqua" w:hAnsi="Book Antiqua"/>
          <w:color w:val="000000"/>
        </w:rPr>
        <w:t>, they are rarely associated with dysplasia or carcinoma in non-FAP patients</w:t>
      </w:r>
      <w:r w:rsidRPr="00AF7547">
        <w:rPr>
          <w:rFonts w:ascii="Book Antiqua" w:eastAsia="Book Antiqua" w:hAnsi="Book Antiqua"/>
          <w:color w:val="000000"/>
          <w:vertAlign w:val="superscript"/>
        </w:rPr>
        <w:t>[2,4]</w:t>
      </w:r>
      <w:r w:rsidRPr="00AF7547">
        <w:rPr>
          <w:rFonts w:ascii="Book Antiqua" w:eastAsia="Book Antiqua" w:hAnsi="Book Antiqua"/>
          <w:color w:val="000000"/>
        </w:rPr>
        <w:t>. Additionally, even if sporadic FGPs are accompanied by dysplasia, they are likely to only slowly progress to cancer</w:t>
      </w:r>
      <w:r w:rsidRPr="00AF7547">
        <w:rPr>
          <w:rFonts w:ascii="Book Antiqua" w:eastAsia="Book Antiqua" w:hAnsi="Book Antiqua"/>
          <w:color w:val="000000"/>
          <w:vertAlign w:val="superscript"/>
        </w:rPr>
        <w:t>[30,32,33,37]</w:t>
      </w:r>
      <w:r w:rsidRPr="00AF7547">
        <w:rPr>
          <w:rFonts w:ascii="Book Antiqua" w:eastAsia="Book Antiqua" w:hAnsi="Book Antiqua"/>
          <w:color w:val="000000"/>
        </w:rPr>
        <w:t xml:space="preserve">. Therefore, we believe that it is not always necessary to identify FGPDs at the early stage, and that it would be sufficient if FGPCAs could be removed without being overlooked. </w:t>
      </w:r>
      <w:r w:rsidR="008E4EB8">
        <w:rPr>
          <w:rFonts w:ascii="Book Antiqua" w:eastAsia="Book Antiqua" w:hAnsi="Book Antiqua"/>
          <w:color w:val="000000"/>
        </w:rPr>
        <w:t>A s</w:t>
      </w:r>
      <w:r w:rsidRPr="00AF7547">
        <w:rPr>
          <w:rFonts w:ascii="Book Antiqua" w:eastAsia="Book Antiqua" w:hAnsi="Book Antiqua"/>
          <w:color w:val="000000"/>
        </w:rPr>
        <w:t xml:space="preserve">ummary of the clinical and endoscopic characteristics of sporadic FGPs with or without dysplasia/carcinoma and our proposed management algorithm for sporadic </w:t>
      </w:r>
      <w:r w:rsidRPr="00AF7547">
        <w:rPr>
          <w:rFonts w:ascii="Book Antiqua" w:eastAsia="Book Antiqua" w:hAnsi="Book Antiqua"/>
          <w:color w:val="000000"/>
        </w:rPr>
        <w:lastRenderedPageBreak/>
        <w:t xml:space="preserve">FGPs are shown in Table 2 and Figure 3, respectively. The procedure is as follows: (1) </w:t>
      </w:r>
      <w:r w:rsidR="00CE77C4" w:rsidRPr="00AF7547">
        <w:rPr>
          <w:rFonts w:ascii="Book Antiqua" w:eastAsia="Book Antiqua" w:hAnsi="Book Antiqua"/>
          <w:color w:val="000000"/>
        </w:rPr>
        <w:t>W</w:t>
      </w:r>
      <w:r w:rsidRPr="00AF7547">
        <w:rPr>
          <w:rFonts w:ascii="Book Antiqua" w:eastAsia="Book Antiqua" w:hAnsi="Book Antiqua"/>
          <w:color w:val="000000"/>
        </w:rPr>
        <w:t xml:space="preserve">hen a sporadic FGP is detected, regardless of its size, perform white light observation and, if possible, additional magnifying NBI; (2) </w:t>
      </w:r>
      <w:r w:rsidR="00CE77C4" w:rsidRPr="00AF7547">
        <w:rPr>
          <w:rFonts w:ascii="Book Antiqua" w:eastAsia="Book Antiqua" w:hAnsi="Book Antiqua"/>
          <w:color w:val="000000"/>
        </w:rPr>
        <w:t>D</w:t>
      </w:r>
      <w:r w:rsidRPr="00AF7547">
        <w:rPr>
          <w:rFonts w:ascii="Book Antiqua" w:eastAsia="Book Antiqua" w:hAnsi="Book Antiqua"/>
          <w:color w:val="000000"/>
        </w:rPr>
        <w:t xml:space="preserve">uring white light observation, pay attention to the presence of redness, irregular surface structure, depression, or erosion in the lesions; (3) </w:t>
      </w:r>
      <w:r w:rsidR="00CE77C4" w:rsidRPr="00AF7547">
        <w:rPr>
          <w:rFonts w:ascii="Book Antiqua" w:eastAsia="Book Antiqua" w:hAnsi="Book Antiqua"/>
          <w:color w:val="000000"/>
        </w:rPr>
        <w:t>D</w:t>
      </w:r>
      <w:r w:rsidRPr="00AF7547">
        <w:rPr>
          <w:rFonts w:ascii="Book Antiqua" w:eastAsia="Book Antiqua" w:hAnsi="Book Antiqua"/>
          <w:color w:val="000000"/>
        </w:rPr>
        <w:t xml:space="preserve">uring magnifying NBI observation, pay attention to the presence of irregular microvessels on the lesion surface; (4) </w:t>
      </w:r>
      <w:r w:rsidR="00CE77C4" w:rsidRPr="00AF7547">
        <w:rPr>
          <w:rFonts w:ascii="Book Antiqua" w:eastAsia="Book Antiqua" w:hAnsi="Book Antiqua"/>
          <w:color w:val="000000"/>
        </w:rPr>
        <w:t>I</w:t>
      </w:r>
      <w:r w:rsidRPr="00AF7547">
        <w:rPr>
          <w:rFonts w:ascii="Book Antiqua" w:eastAsia="Book Antiqua" w:hAnsi="Book Antiqua"/>
          <w:color w:val="000000"/>
        </w:rPr>
        <w:t xml:space="preserve">f none of the above findings are present, a follow-up is acceptable; however, if any of them are present, perform histological evaluation with biopsy; (5) </w:t>
      </w:r>
      <w:r w:rsidR="00CE77C4" w:rsidRPr="00AF7547">
        <w:rPr>
          <w:rFonts w:ascii="Book Antiqua" w:eastAsia="Book Antiqua" w:hAnsi="Book Antiqua"/>
          <w:color w:val="000000"/>
        </w:rPr>
        <w:t>I</w:t>
      </w:r>
      <w:r w:rsidRPr="00AF7547">
        <w:rPr>
          <w:rFonts w:ascii="Book Antiqua" w:eastAsia="Book Antiqua" w:hAnsi="Book Antiqua"/>
          <w:color w:val="000000"/>
        </w:rPr>
        <w:t xml:space="preserve">f no findings of dysplasia or carcinoma are identified through biopsy, a follow-up is acceptable; however, if either of them is identified, remove it endoscopically; and (6) </w:t>
      </w:r>
      <w:r w:rsidR="00CE77C4" w:rsidRPr="00AF7547">
        <w:rPr>
          <w:rFonts w:ascii="Book Antiqua" w:eastAsia="Book Antiqua" w:hAnsi="Book Antiqua"/>
          <w:color w:val="000000"/>
        </w:rPr>
        <w:t>I</w:t>
      </w:r>
      <w:r w:rsidRPr="00AF7547">
        <w:rPr>
          <w:rFonts w:ascii="Book Antiqua" w:eastAsia="Book Antiqua" w:hAnsi="Book Antiqua"/>
          <w:color w:val="000000"/>
        </w:rPr>
        <w:t>f multiple FGPs (</w:t>
      </w:r>
      <w:r w:rsidRPr="00AF7547">
        <w:rPr>
          <w:rFonts w:ascii="Book Antiqua" w:eastAsia="Book Antiqua" w:hAnsi="Book Antiqua"/>
          <w:i/>
          <w:iCs/>
          <w:color w:val="000000"/>
        </w:rPr>
        <w:t>e.g</w:t>
      </w:r>
      <w:r w:rsidRPr="00AF7547">
        <w:rPr>
          <w:rFonts w:ascii="Book Antiqua" w:eastAsia="Book Antiqua" w:hAnsi="Book Antiqua"/>
          <w:color w:val="000000"/>
        </w:rPr>
        <w:t>., ≥</w:t>
      </w:r>
      <w:r w:rsidR="00CE77C4" w:rsidRPr="00AF7547">
        <w:rPr>
          <w:rFonts w:ascii="Book Antiqua" w:eastAsia="Book Antiqua" w:hAnsi="Book Antiqua"/>
          <w:color w:val="000000"/>
        </w:rPr>
        <w:t xml:space="preserve"> </w:t>
      </w:r>
      <w:r w:rsidRPr="00AF7547">
        <w:rPr>
          <w:rFonts w:ascii="Book Antiqua" w:eastAsia="Book Antiqua" w:hAnsi="Book Antiqua"/>
          <w:color w:val="000000"/>
        </w:rPr>
        <w:t xml:space="preserve">20) are detected in patients receiving PPI therapy, consider reducing or discontinuing PPI or switching to H2-receptor antagonists. We believe that the above procedure can detect and remove FGPCAs with high sensitivity. Moreover, considering that some FGPDs may be difficult to distinguish from ordinary FGPs and that Lloyd </w:t>
      </w:r>
      <w:r w:rsidRPr="00AF7547">
        <w:rPr>
          <w:rFonts w:ascii="Book Antiqua" w:eastAsia="Book Antiqua" w:hAnsi="Book Antiqua"/>
          <w:i/>
          <w:iCs/>
          <w:color w:val="000000"/>
        </w:rPr>
        <w:t>et al</w:t>
      </w:r>
      <w:r w:rsidRPr="00AF7547">
        <w:rPr>
          <w:rFonts w:ascii="Book Antiqua" w:eastAsia="Book Antiqua" w:hAnsi="Book Antiqua"/>
          <w:color w:val="000000"/>
          <w:vertAlign w:val="superscript"/>
        </w:rPr>
        <w:t>[32]</w:t>
      </w:r>
      <w:r w:rsidRPr="00AF7547">
        <w:rPr>
          <w:rFonts w:ascii="Book Antiqua" w:eastAsia="Book Antiqua" w:hAnsi="Book Antiqua"/>
          <w:color w:val="000000"/>
        </w:rPr>
        <w:t xml:space="preserve"> have reported that no gastric cancer occurred during the average follow-up period of 4.4 years for sporadic FGPDs, the appropriate endoscopy intervals should be set to every 3</w:t>
      </w:r>
      <w:r w:rsidR="00DD6BDC">
        <w:rPr>
          <w:rFonts w:ascii="Book Antiqua" w:eastAsia="Book Antiqua" w:hAnsi="Book Antiqua"/>
          <w:color w:val="000000"/>
        </w:rPr>
        <w:t>-</w:t>
      </w:r>
      <w:r w:rsidRPr="00AF7547">
        <w:rPr>
          <w:rFonts w:ascii="Book Antiqua" w:eastAsia="Book Antiqua" w:hAnsi="Book Antiqua"/>
          <w:color w:val="000000"/>
        </w:rPr>
        <w:t xml:space="preserve">5 years in both the non-removal follow-up and post-removal surveillance groups. However, a shorter endoscopy interval is necessary for the </w:t>
      </w:r>
      <w:r w:rsidRPr="00AF7547">
        <w:rPr>
          <w:rFonts w:ascii="Book Antiqua" w:eastAsia="Book Antiqua" w:hAnsi="Book Antiqua"/>
          <w:i/>
          <w:iCs/>
          <w:color w:val="000000"/>
        </w:rPr>
        <w:t>H. pylori</w:t>
      </w:r>
      <w:r w:rsidRPr="00AF7547">
        <w:rPr>
          <w:rFonts w:ascii="Book Antiqua" w:eastAsia="Book Antiqua" w:hAnsi="Book Antiqua"/>
          <w:color w:val="000000"/>
        </w:rPr>
        <w:t>-eradicated patients with sporadic FGP because of the higher risk of developing conventional gastric cancer, which does not originate from an FGP, in the atrophic mucosa</w:t>
      </w:r>
      <w:r w:rsidRPr="00AF7547">
        <w:rPr>
          <w:rFonts w:ascii="Book Antiqua" w:eastAsia="Book Antiqua" w:hAnsi="Book Antiqua"/>
          <w:color w:val="000000"/>
          <w:vertAlign w:val="superscript"/>
        </w:rPr>
        <w:t>[46]</w:t>
      </w:r>
      <w:r w:rsidRPr="00AF7547">
        <w:rPr>
          <w:rFonts w:ascii="Book Antiqua" w:eastAsia="Book Antiqua" w:hAnsi="Book Antiqua"/>
          <w:color w:val="000000"/>
        </w:rPr>
        <w:t>.</w:t>
      </w:r>
    </w:p>
    <w:p w14:paraId="1748A052" w14:textId="77777777" w:rsidR="00A77B3E" w:rsidRPr="00AF7547" w:rsidRDefault="00A77B3E" w:rsidP="00AF7547">
      <w:pPr>
        <w:adjustRightInd w:val="0"/>
        <w:snapToGrid w:val="0"/>
        <w:spacing w:line="360" w:lineRule="auto"/>
        <w:jc w:val="both"/>
        <w:rPr>
          <w:rFonts w:ascii="Book Antiqua" w:hAnsi="Book Antiqua"/>
        </w:rPr>
      </w:pPr>
    </w:p>
    <w:p w14:paraId="583B26EE"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aps/>
          <w:color w:val="000000"/>
          <w:u w:val="single"/>
        </w:rPr>
        <w:t>LIMITATIONS</w:t>
      </w:r>
    </w:p>
    <w:p w14:paraId="70515AB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The limitation of this review is the small sample size. Despite including our case that has been presented in this manuscript, the number of sporadic FGPCAs comprised eight lesions, and the magnifying NBI findings of FGPCAs were limited to five lesions. Although the number of cases of sporadic FGPCAs was small, we found common findings among these cases. Therefore, we have proposed a management algorithm for sporadic FGPs based on these limited cases. However, further case reports are needed to evaluate the applicability of this algorithm. We hope that further cases of FGPD/CAs will </w:t>
      </w:r>
      <w:r w:rsidRPr="00AF7547">
        <w:rPr>
          <w:rFonts w:ascii="Book Antiqua" w:eastAsia="Book Antiqua" w:hAnsi="Book Antiqua"/>
          <w:color w:val="000000"/>
        </w:rPr>
        <w:lastRenderedPageBreak/>
        <w:t xml:space="preserve">be reported, and that this algorithm will be widely used with sufficient applicability, contributing to reduced gastric cancer morbidity and mortality in the future </w:t>
      </w:r>
      <w:r w:rsidRPr="00AF7547">
        <w:rPr>
          <w:rFonts w:ascii="Book Antiqua" w:eastAsia="Book Antiqua" w:hAnsi="Book Antiqua"/>
          <w:i/>
          <w:iCs/>
          <w:color w:val="000000"/>
        </w:rPr>
        <w:t>H. pylori</w:t>
      </w:r>
      <w:r w:rsidRPr="00AF7547">
        <w:rPr>
          <w:rFonts w:ascii="Book Antiqua" w:eastAsia="Book Antiqua" w:hAnsi="Book Antiqua"/>
          <w:color w:val="000000"/>
        </w:rPr>
        <w:t>-negative era.</w:t>
      </w:r>
    </w:p>
    <w:p w14:paraId="7C111728" w14:textId="77777777" w:rsidR="00A77B3E" w:rsidRPr="00AF7547" w:rsidRDefault="00A77B3E" w:rsidP="00AF7547">
      <w:pPr>
        <w:adjustRightInd w:val="0"/>
        <w:snapToGrid w:val="0"/>
        <w:spacing w:line="360" w:lineRule="auto"/>
        <w:jc w:val="both"/>
        <w:rPr>
          <w:rFonts w:ascii="Book Antiqua" w:hAnsi="Book Antiqua"/>
        </w:rPr>
      </w:pPr>
    </w:p>
    <w:p w14:paraId="36B2583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t>CONCLUSION</w:t>
      </w:r>
    </w:p>
    <w:p w14:paraId="72EFD5A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In this review, we evaluated the clinical and endoscopic characteristics of sporadic FGPD/CAs and proposed a management algorithm for sporadic FGPs. In the future, the prevalence of FGPs is expected to further increase along with the widespread and frequent use of PPIs and decreasing infection rate of </w:t>
      </w:r>
      <w:r w:rsidRPr="00AF7547">
        <w:rPr>
          <w:rFonts w:ascii="Book Antiqua" w:eastAsia="Book Antiqua" w:hAnsi="Book Antiqua"/>
          <w:i/>
          <w:iCs/>
          <w:color w:val="000000"/>
        </w:rPr>
        <w:t>H. pylori</w:t>
      </w:r>
      <w:r w:rsidRPr="00AF7547">
        <w:rPr>
          <w:rFonts w:ascii="Book Antiqua" w:eastAsia="Book Antiqua" w:hAnsi="Book Antiqua"/>
          <w:color w:val="000000"/>
        </w:rPr>
        <w:t>. Currently, it is unclear whether FGPD/CAs will also increase in the same way as FGPs. However, the trends of these lesions warrant further attention in the future.</w:t>
      </w:r>
    </w:p>
    <w:p w14:paraId="75E3678A" w14:textId="77777777" w:rsidR="00A77B3E" w:rsidRPr="00AF7547" w:rsidRDefault="00A77B3E" w:rsidP="00AF7547">
      <w:pPr>
        <w:adjustRightInd w:val="0"/>
        <w:snapToGrid w:val="0"/>
        <w:spacing w:line="360" w:lineRule="auto"/>
        <w:jc w:val="both"/>
        <w:rPr>
          <w:rFonts w:ascii="Book Antiqua" w:hAnsi="Book Antiqua"/>
        </w:rPr>
      </w:pPr>
    </w:p>
    <w:p w14:paraId="3008024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aps/>
          <w:color w:val="000000"/>
          <w:u w:val="single"/>
        </w:rPr>
        <w:t>ACKNOWLEDGEMENTS</w:t>
      </w:r>
    </w:p>
    <w:p w14:paraId="3E4B71D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We would like to thank Dr. Takahiro Fujimori for acquiring the histopathological images and for his useful advice regarding histopathological assessment.</w:t>
      </w:r>
    </w:p>
    <w:p w14:paraId="6F5A68F1" w14:textId="77777777" w:rsidR="00A77B3E" w:rsidRPr="00AF7547" w:rsidRDefault="00A77B3E" w:rsidP="00AF7547">
      <w:pPr>
        <w:adjustRightInd w:val="0"/>
        <w:snapToGrid w:val="0"/>
        <w:spacing w:line="360" w:lineRule="auto"/>
        <w:jc w:val="both"/>
        <w:rPr>
          <w:rFonts w:ascii="Book Antiqua" w:hAnsi="Book Antiqua"/>
        </w:rPr>
      </w:pPr>
    </w:p>
    <w:p w14:paraId="7A78D5B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REFERENCES</w:t>
      </w:r>
    </w:p>
    <w:p w14:paraId="08ABCA8A"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 </w:t>
      </w:r>
      <w:r w:rsidRPr="00AF7547">
        <w:rPr>
          <w:rFonts w:ascii="Book Antiqua" w:eastAsia="Book Antiqua" w:hAnsi="Book Antiqua"/>
          <w:b/>
          <w:bCs/>
          <w:color w:val="000000"/>
        </w:rPr>
        <w:t>Carmack SW</w:t>
      </w:r>
      <w:r w:rsidRPr="00AF7547">
        <w:rPr>
          <w:rFonts w:ascii="Book Antiqua" w:eastAsia="Book Antiqua" w:hAnsi="Book Antiqua"/>
          <w:color w:val="000000"/>
        </w:rPr>
        <w:t xml:space="preserve">, Genta RM, Schuler CM, Saboorian MH. The current spectrum of gastric polyps: a 1-year national study of over 120,000 patients.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104</w:t>
      </w:r>
      <w:r w:rsidRPr="00AF7547">
        <w:rPr>
          <w:rFonts w:ascii="Book Antiqua" w:eastAsia="Book Antiqua" w:hAnsi="Book Antiqua"/>
          <w:color w:val="000000"/>
        </w:rPr>
        <w:t>: 1524-1532 [PMID: 19491866 DOI: 10.1038/ajg.2009.139]</w:t>
      </w:r>
    </w:p>
    <w:p w14:paraId="4185C9C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 </w:t>
      </w:r>
      <w:r w:rsidRPr="00AF7547">
        <w:rPr>
          <w:rFonts w:ascii="Book Antiqua" w:eastAsia="Book Antiqua" w:hAnsi="Book Antiqua"/>
          <w:b/>
          <w:bCs/>
          <w:color w:val="000000"/>
        </w:rPr>
        <w:t>Wu TT</w:t>
      </w:r>
      <w:r w:rsidRPr="00AF7547">
        <w:rPr>
          <w:rFonts w:ascii="Book Antiqua" w:eastAsia="Book Antiqua" w:hAnsi="Book Antiqua"/>
          <w:color w:val="000000"/>
        </w:rPr>
        <w:t xml:space="preserve">, Kornacki S, Rashid A, Yardley JH, Hamilton SR. Dysplasia and dysregulation of proliferation in foveolar and surface epithelia of fundic gland polyps from patients with familial adenomatous polyposis. </w:t>
      </w:r>
      <w:r w:rsidRPr="00AF7547">
        <w:rPr>
          <w:rFonts w:ascii="Book Antiqua" w:eastAsia="Book Antiqua" w:hAnsi="Book Antiqua"/>
          <w:i/>
          <w:iCs/>
          <w:color w:val="000000"/>
        </w:rPr>
        <w:t>Am J Surg Pathol</w:t>
      </w:r>
      <w:r w:rsidRPr="00AF7547">
        <w:rPr>
          <w:rFonts w:ascii="Book Antiqua" w:eastAsia="Book Antiqua" w:hAnsi="Book Antiqua"/>
          <w:color w:val="000000"/>
        </w:rPr>
        <w:t xml:space="preserve"> 1998; </w:t>
      </w:r>
      <w:r w:rsidRPr="00AF7547">
        <w:rPr>
          <w:rFonts w:ascii="Book Antiqua" w:eastAsia="Book Antiqua" w:hAnsi="Book Antiqua"/>
          <w:b/>
          <w:bCs/>
          <w:color w:val="000000"/>
        </w:rPr>
        <w:t>22</w:t>
      </w:r>
      <w:r w:rsidRPr="00AF7547">
        <w:rPr>
          <w:rFonts w:ascii="Book Antiqua" w:eastAsia="Book Antiqua" w:hAnsi="Book Antiqua"/>
          <w:color w:val="000000"/>
        </w:rPr>
        <w:t>: 293-298 [PMID: 9500770 DOI: 10.1097/00000478-199803000-00003]</w:t>
      </w:r>
    </w:p>
    <w:p w14:paraId="4499BEBD" w14:textId="77777777" w:rsidR="00A77B3E" w:rsidRPr="0007337D" w:rsidRDefault="00EE15D1" w:rsidP="00AF7547">
      <w:pPr>
        <w:adjustRightInd w:val="0"/>
        <w:snapToGrid w:val="0"/>
        <w:spacing w:line="360" w:lineRule="auto"/>
        <w:jc w:val="both"/>
        <w:rPr>
          <w:rFonts w:ascii="Book Antiqua" w:hAnsi="Book Antiqua"/>
          <w:lang w:val="nl-NL"/>
        </w:rPr>
      </w:pPr>
      <w:r w:rsidRPr="00AF7547">
        <w:rPr>
          <w:rFonts w:ascii="Book Antiqua" w:eastAsia="Book Antiqua" w:hAnsi="Book Antiqua"/>
          <w:color w:val="000000"/>
        </w:rPr>
        <w:t xml:space="preserve">3 </w:t>
      </w:r>
      <w:r w:rsidRPr="00AF7547">
        <w:rPr>
          <w:rFonts w:ascii="Book Antiqua" w:eastAsia="Book Antiqua" w:hAnsi="Book Antiqua"/>
          <w:b/>
          <w:bCs/>
          <w:color w:val="000000"/>
        </w:rPr>
        <w:t>Attard TM</w:t>
      </w:r>
      <w:r w:rsidRPr="00AF7547">
        <w:rPr>
          <w:rFonts w:ascii="Book Antiqua" w:eastAsia="Book Antiqua" w:hAnsi="Book Antiqua"/>
          <w:color w:val="000000"/>
        </w:rPr>
        <w:t xml:space="preserve">, Yardley JH, Cuffari C. Gastric polyps in pediatrics: an 18-year hospital-based analysis. </w:t>
      </w:r>
      <w:r w:rsidRPr="0007337D">
        <w:rPr>
          <w:rFonts w:ascii="Book Antiqua" w:eastAsia="Book Antiqua" w:hAnsi="Book Antiqua"/>
          <w:i/>
          <w:iCs/>
          <w:color w:val="000000"/>
          <w:lang w:val="nl-NL"/>
        </w:rPr>
        <w:t>Am J Gastroenterol</w:t>
      </w:r>
      <w:r w:rsidRPr="0007337D">
        <w:rPr>
          <w:rFonts w:ascii="Book Antiqua" w:eastAsia="Book Antiqua" w:hAnsi="Book Antiqua"/>
          <w:color w:val="000000"/>
          <w:lang w:val="nl-NL"/>
        </w:rPr>
        <w:t xml:space="preserve"> 2002; </w:t>
      </w:r>
      <w:r w:rsidRPr="0007337D">
        <w:rPr>
          <w:rFonts w:ascii="Book Antiqua" w:eastAsia="Book Antiqua" w:hAnsi="Book Antiqua"/>
          <w:b/>
          <w:bCs/>
          <w:color w:val="000000"/>
          <w:lang w:val="nl-NL"/>
        </w:rPr>
        <w:t>97</w:t>
      </w:r>
      <w:r w:rsidRPr="0007337D">
        <w:rPr>
          <w:rFonts w:ascii="Book Antiqua" w:eastAsia="Book Antiqua" w:hAnsi="Book Antiqua"/>
          <w:color w:val="000000"/>
          <w:lang w:val="nl-NL"/>
        </w:rPr>
        <w:t>: 298-301 [PMID: 11866265 DOI: 10.1111/j.1572-0241.2002.05461.x]</w:t>
      </w:r>
    </w:p>
    <w:p w14:paraId="59373964" w14:textId="77777777" w:rsidR="00A77B3E" w:rsidRPr="0007337D" w:rsidRDefault="00EE15D1" w:rsidP="00AF7547">
      <w:pPr>
        <w:adjustRightInd w:val="0"/>
        <w:snapToGrid w:val="0"/>
        <w:spacing w:line="360" w:lineRule="auto"/>
        <w:jc w:val="both"/>
        <w:rPr>
          <w:rFonts w:ascii="Book Antiqua" w:hAnsi="Book Antiqua"/>
          <w:lang w:val="nl-NL"/>
        </w:rPr>
      </w:pPr>
      <w:r w:rsidRPr="0007337D">
        <w:rPr>
          <w:rFonts w:ascii="Book Antiqua" w:eastAsia="Book Antiqua" w:hAnsi="Book Antiqua"/>
          <w:color w:val="000000"/>
          <w:lang w:val="nl-NL"/>
        </w:rPr>
        <w:t xml:space="preserve">4 </w:t>
      </w:r>
      <w:r w:rsidRPr="0007337D">
        <w:rPr>
          <w:rFonts w:ascii="Book Antiqua" w:eastAsia="Book Antiqua" w:hAnsi="Book Antiqua"/>
          <w:b/>
          <w:bCs/>
          <w:color w:val="000000"/>
          <w:lang w:val="nl-NL"/>
        </w:rPr>
        <w:t>Jalving M</w:t>
      </w:r>
      <w:r w:rsidRPr="0007337D">
        <w:rPr>
          <w:rFonts w:ascii="Book Antiqua" w:eastAsia="Book Antiqua" w:hAnsi="Book Antiqua"/>
          <w:color w:val="000000"/>
          <w:lang w:val="nl-NL"/>
        </w:rPr>
        <w:t xml:space="preserve">, Koornstra JJ, Boersma-van Ek W, de Jong S, Karrenbeld A, Hollema H, de Vries EG, Kleibeuker JH. </w:t>
      </w:r>
      <w:r w:rsidRPr="00AF7547">
        <w:rPr>
          <w:rFonts w:ascii="Book Antiqua" w:eastAsia="Book Antiqua" w:hAnsi="Book Antiqua"/>
          <w:color w:val="000000"/>
        </w:rPr>
        <w:t xml:space="preserve">Dysplasia in fundic gland polyps is associated with nuclear </w:t>
      </w:r>
      <w:r w:rsidRPr="00AF7547">
        <w:rPr>
          <w:rFonts w:ascii="Book Antiqua" w:eastAsia="Book Antiqua" w:hAnsi="Book Antiqua"/>
          <w:color w:val="000000"/>
        </w:rPr>
        <w:lastRenderedPageBreak/>
        <w:t xml:space="preserve">beta-catenin expression and relatively high cell turnover rates. </w:t>
      </w:r>
      <w:r w:rsidRPr="0007337D">
        <w:rPr>
          <w:rFonts w:ascii="Book Antiqua" w:eastAsia="Book Antiqua" w:hAnsi="Book Antiqua"/>
          <w:i/>
          <w:iCs/>
          <w:color w:val="000000"/>
          <w:lang w:val="nl-NL"/>
        </w:rPr>
        <w:t>Scand J Gastroenterol</w:t>
      </w:r>
      <w:r w:rsidRPr="0007337D">
        <w:rPr>
          <w:rFonts w:ascii="Book Antiqua" w:eastAsia="Book Antiqua" w:hAnsi="Book Antiqua"/>
          <w:color w:val="000000"/>
          <w:lang w:val="nl-NL"/>
        </w:rPr>
        <w:t xml:space="preserve"> 2003; </w:t>
      </w:r>
      <w:r w:rsidRPr="0007337D">
        <w:rPr>
          <w:rFonts w:ascii="Book Antiqua" w:eastAsia="Book Antiqua" w:hAnsi="Book Antiqua"/>
          <w:b/>
          <w:bCs/>
          <w:color w:val="000000"/>
          <w:lang w:val="nl-NL"/>
        </w:rPr>
        <w:t>38</w:t>
      </w:r>
      <w:r w:rsidRPr="0007337D">
        <w:rPr>
          <w:rFonts w:ascii="Book Antiqua" w:eastAsia="Book Antiqua" w:hAnsi="Book Antiqua"/>
          <w:color w:val="000000"/>
          <w:lang w:val="nl-NL"/>
        </w:rPr>
        <w:t>: 916-922 [PMID: 14531526 DOI: 10.1080/00365520310005433]</w:t>
      </w:r>
    </w:p>
    <w:p w14:paraId="36A19E46" w14:textId="77777777" w:rsidR="00A77B3E" w:rsidRPr="00AF7547" w:rsidRDefault="00EE15D1" w:rsidP="00AF7547">
      <w:pPr>
        <w:adjustRightInd w:val="0"/>
        <w:snapToGrid w:val="0"/>
        <w:spacing w:line="360" w:lineRule="auto"/>
        <w:jc w:val="both"/>
        <w:rPr>
          <w:rFonts w:ascii="Book Antiqua" w:hAnsi="Book Antiqua"/>
        </w:rPr>
      </w:pPr>
      <w:r w:rsidRPr="0007337D">
        <w:rPr>
          <w:rFonts w:ascii="Book Antiqua" w:eastAsia="Book Antiqua" w:hAnsi="Book Antiqua"/>
          <w:color w:val="000000"/>
          <w:lang w:val="nl-NL"/>
        </w:rPr>
        <w:t xml:space="preserve">5 </w:t>
      </w:r>
      <w:r w:rsidRPr="0007337D">
        <w:rPr>
          <w:rFonts w:ascii="Book Antiqua" w:eastAsia="Book Antiqua" w:hAnsi="Book Antiqua"/>
          <w:b/>
          <w:bCs/>
          <w:color w:val="000000"/>
          <w:lang w:val="nl-NL"/>
        </w:rPr>
        <w:t>Jalving M</w:t>
      </w:r>
      <w:r w:rsidRPr="0007337D">
        <w:rPr>
          <w:rFonts w:ascii="Book Antiqua" w:eastAsia="Book Antiqua" w:hAnsi="Book Antiqua"/>
          <w:color w:val="000000"/>
          <w:lang w:val="nl-NL"/>
        </w:rPr>
        <w:t xml:space="preserve">, Koornstra JJ, Wesseling J, Boezen HM, DE Jong S, Kleibeuker JH. </w:t>
      </w:r>
      <w:r w:rsidRPr="00AF7547">
        <w:rPr>
          <w:rFonts w:ascii="Book Antiqua" w:eastAsia="Book Antiqua" w:hAnsi="Book Antiqua"/>
          <w:color w:val="000000"/>
        </w:rPr>
        <w:t xml:space="preserve">Increased risk of fundic gland polyps during long-term proton pump inhibitor therapy. </w:t>
      </w:r>
      <w:r w:rsidRPr="00AF7547">
        <w:rPr>
          <w:rFonts w:ascii="Book Antiqua" w:eastAsia="Book Antiqua" w:hAnsi="Book Antiqua"/>
          <w:i/>
          <w:iCs/>
          <w:color w:val="000000"/>
        </w:rPr>
        <w:t>Aliment Pharmacol Ther</w:t>
      </w:r>
      <w:r w:rsidRPr="00AF7547">
        <w:rPr>
          <w:rFonts w:ascii="Book Antiqua" w:eastAsia="Book Antiqua" w:hAnsi="Book Antiqua"/>
          <w:color w:val="000000"/>
        </w:rPr>
        <w:t xml:space="preserve"> 2006; </w:t>
      </w:r>
      <w:r w:rsidRPr="00AF7547">
        <w:rPr>
          <w:rFonts w:ascii="Book Antiqua" w:eastAsia="Book Antiqua" w:hAnsi="Book Antiqua"/>
          <w:b/>
          <w:bCs/>
          <w:color w:val="000000"/>
        </w:rPr>
        <w:t>24</w:t>
      </w:r>
      <w:r w:rsidRPr="00AF7547">
        <w:rPr>
          <w:rFonts w:ascii="Book Antiqua" w:eastAsia="Book Antiqua" w:hAnsi="Book Antiqua"/>
          <w:color w:val="000000"/>
        </w:rPr>
        <w:t>: 1341-1348 [PMID: 17059515 DOI: 10.1111/j.1365-2036.2006.03127.x]</w:t>
      </w:r>
    </w:p>
    <w:p w14:paraId="7141C15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6 </w:t>
      </w:r>
      <w:r w:rsidRPr="00AF7547">
        <w:rPr>
          <w:rFonts w:ascii="Book Antiqua" w:eastAsia="Book Antiqua" w:hAnsi="Book Antiqua"/>
          <w:b/>
          <w:bCs/>
          <w:color w:val="000000"/>
        </w:rPr>
        <w:t>Martin FC</w:t>
      </w:r>
      <w:r w:rsidRPr="00AF7547">
        <w:rPr>
          <w:rFonts w:ascii="Book Antiqua" w:eastAsia="Book Antiqua" w:hAnsi="Book Antiqua"/>
          <w:color w:val="000000"/>
        </w:rPr>
        <w:t xml:space="preserve">, Chenevix-Trench G, Yeomans ND. Systematic review with meta-analysis: fundic gland polyps and proton pump inhibitors. </w:t>
      </w:r>
      <w:r w:rsidRPr="00AF7547">
        <w:rPr>
          <w:rFonts w:ascii="Book Antiqua" w:eastAsia="Book Antiqua" w:hAnsi="Book Antiqua"/>
          <w:i/>
          <w:iCs/>
          <w:color w:val="000000"/>
        </w:rPr>
        <w:t>Aliment Pharmacol Ther</w:t>
      </w:r>
      <w:r w:rsidRPr="00AF7547">
        <w:rPr>
          <w:rFonts w:ascii="Book Antiqua" w:eastAsia="Book Antiqua" w:hAnsi="Book Antiqua"/>
          <w:color w:val="000000"/>
        </w:rPr>
        <w:t xml:space="preserve"> 2016; </w:t>
      </w:r>
      <w:r w:rsidRPr="00AF7547">
        <w:rPr>
          <w:rFonts w:ascii="Book Antiqua" w:eastAsia="Book Antiqua" w:hAnsi="Book Antiqua"/>
          <w:b/>
          <w:bCs/>
          <w:color w:val="000000"/>
        </w:rPr>
        <w:t>44</w:t>
      </w:r>
      <w:r w:rsidRPr="00AF7547">
        <w:rPr>
          <w:rFonts w:ascii="Book Antiqua" w:eastAsia="Book Antiqua" w:hAnsi="Book Antiqua"/>
          <w:color w:val="000000"/>
        </w:rPr>
        <w:t>: 915-925 [PMID: 27634363 DOI: 10.1111/apt.13800]</w:t>
      </w:r>
    </w:p>
    <w:p w14:paraId="02A20AC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7 </w:t>
      </w:r>
      <w:r w:rsidRPr="00AF7547">
        <w:rPr>
          <w:rFonts w:ascii="Book Antiqua" w:eastAsia="Book Antiqua" w:hAnsi="Book Antiqua"/>
          <w:b/>
          <w:bCs/>
          <w:color w:val="000000"/>
        </w:rPr>
        <w:t>Tran-Duy A</w:t>
      </w:r>
      <w:r w:rsidRPr="00AF7547">
        <w:rPr>
          <w:rFonts w:ascii="Book Antiqua" w:eastAsia="Book Antiqua" w:hAnsi="Book Antiqua"/>
          <w:color w:val="000000"/>
        </w:rPr>
        <w:t xml:space="preserve">, Spaetgens B, Hoes AW, de Wit NJ, Stehouwer CD. Use of Proton Pump Inhibitors and Risks of Fundic Gland Polyps and Gastric Cancer: Systematic Review and Meta-analysis. </w:t>
      </w:r>
      <w:r w:rsidRPr="00AF7547">
        <w:rPr>
          <w:rFonts w:ascii="Book Antiqua" w:eastAsia="Book Antiqua" w:hAnsi="Book Antiqua"/>
          <w:i/>
          <w:iCs/>
          <w:color w:val="000000"/>
        </w:rPr>
        <w:t>Clin Gastroenterol Hepatol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14</w:t>
      </w:r>
      <w:r w:rsidRPr="00AF7547">
        <w:rPr>
          <w:rFonts w:ascii="Book Antiqua" w:eastAsia="Book Antiqua" w:hAnsi="Book Antiqua"/>
          <w:color w:val="000000"/>
        </w:rPr>
        <w:t>: 1706-1719.e5 [PMID: 27211501 DOI: 10.1016/j.cgh.2016.05.018]</w:t>
      </w:r>
    </w:p>
    <w:p w14:paraId="1D836F2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8 </w:t>
      </w:r>
      <w:r w:rsidRPr="00AF7547">
        <w:rPr>
          <w:rFonts w:ascii="Book Antiqua" w:eastAsia="Book Antiqua" w:hAnsi="Book Antiqua"/>
          <w:b/>
          <w:bCs/>
          <w:color w:val="000000"/>
        </w:rPr>
        <w:t>Fukuda M</w:t>
      </w:r>
      <w:r w:rsidRPr="00AF7547">
        <w:rPr>
          <w:rFonts w:ascii="Book Antiqua" w:eastAsia="Book Antiqua" w:hAnsi="Book Antiqua"/>
          <w:color w:val="000000"/>
        </w:rPr>
        <w:t xml:space="preserve">, Ishigaki H, Sugimoto M, Mukaisho KI, Matsubara A, Ishida H, Moritani S, Itoh Y, Sugihara H, Andoh A, Ogasawara K, Murakami K, Kushima R. Histological analysis of fundic gland polyps secondary to PPI therapy.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2019; </w:t>
      </w:r>
      <w:r w:rsidRPr="00AF7547">
        <w:rPr>
          <w:rFonts w:ascii="Book Antiqua" w:eastAsia="Book Antiqua" w:hAnsi="Book Antiqua"/>
          <w:b/>
          <w:bCs/>
          <w:color w:val="000000"/>
        </w:rPr>
        <w:t>75</w:t>
      </w:r>
      <w:r w:rsidRPr="00AF7547">
        <w:rPr>
          <w:rFonts w:ascii="Book Antiqua" w:eastAsia="Book Antiqua" w:hAnsi="Book Antiqua"/>
          <w:color w:val="000000"/>
        </w:rPr>
        <w:t>: 537-545 [PMID: 31087669 DOI: 10.1111/his.13902]</w:t>
      </w:r>
    </w:p>
    <w:p w14:paraId="564BC0E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9 </w:t>
      </w:r>
      <w:r w:rsidRPr="00AF7547">
        <w:rPr>
          <w:rFonts w:ascii="Book Antiqua" w:eastAsia="Book Antiqua" w:hAnsi="Book Antiqua"/>
          <w:b/>
          <w:bCs/>
          <w:color w:val="000000"/>
        </w:rPr>
        <w:t>Kinoshita Y</w:t>
      </w:r>
      <w:r w:rsidRPr="00AF7547">
        <w:rPr>
          <w:rFonts w:ascii="Book Antiqua" w:eastAsia="Book Antiqua" w:hAnsi="Book Antiqua"/>
          <w:color w:val="000000"/>
        </w:rPr>
        <w:t xml:space="preserve">, Tojo M, Yano T, Kitajima N, Itoh T, Nishiyama K, Inatome T, Fukuzaki H, Watanabe M, Chiba T. Incidence of fundic gland polyps in patients without familial adenomatous polyposis. </w:t>
      </w:r>
      <w:r w:rsidRPr="00AF7547">
        <w:rPr>
          <w:rFonts w:ascii="Book Antiqua" w:eastAsia="Book Antiqua" w:hAnsi="Book Antiqua"/>
          <w:i/>
          <w:iCs/>
          <w:color w:val="000000"/>
        </w:rPr>
        <w:t>Gastrointest Endosc</w:t>
      </w:r>
      <w:r w:rsidRPr="00AF7547">
        <w:rPr>
          <w:rFonts w:ascii="Book Antiqua" w:eastAsia="Book Antiqua" w:hAnsi="Book Antiqua"/>
          <w:color w:val="000000"/>
        </w:rPr>
        <w:t xml:space="preserve"> 1993; </w:t>
      </w:r>
      <w:r w:rsidRPr="00AF7547">
        <w:rPr>
          <w:rFonts w:ascii="Book Antiqua" w:eastAsia="Book Antiqua" w:hAnsi="Book Antiqua"/>
          <w:b/>
          <w:bCs/>
          <w:color w:val="000000"/>
        </w:rPr>
        <w:t>39</w:t>
      </w:r>
      <w:r w:rsidRPr="00AF7547">
        <w:rPr>
          <w:rFonts w:ascii="Book Antiqua" w:eastAsia="Book Antiqua" w:hAnsi="Book Antiqua"/>
          <w:color w:val="000000"/>
        </w:rPr>
        <w:t>: 161-163 [PMID: 8388344 DOI: 10.1016/s0016-5107(93)70057-7]</w:t>
      </w:r>
    </w:p>
    <w:p w14:paraId="33341BF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10 </w:t>
      </w:r>
      <w:r w:rsidRPr="00AF7547">
        <w:rPr>
          <w:rFonts w:ascii="Book Antiqua" w:eastAsia="Book Antiqua" w:hAnsi="Book Antiqua"/>
          <w:b/>
          <w:bCs/>
          <w:color w:val="000000"/>
        </w:rPr>
        <w:t>Declich P</w:t>
      </w:r>
      <w:r w:rsidRPr="00AF7547">
        <w:rPr>
          <w:rFonts w:ascii="Book Antiqua" w:eastAsia="Book Antiqua" w:hAnsi="Book Antiqua"/>
          <w:color w:val="000000"/>
        </w:rPr>
        <w:t xml:space="preserve">, Isimbaldi G, Sironi M, Galli C, Ferrara A, Caruso S, Baldacci MP, Stioui S, Privitera O, Boccazzi G, Federici S. Sporadic fundic gland polyps: an immunohistochemical study of their antigenic profile. </w:t>
      </w:r>
      <w:r w:rsidRPr="00AF7547">
        <w:rPr>
          <w:rFonts w:ascii="Book Antiqua" w:eastAsia="Book Antiqua" w:hAnsi="Book Antiqua"/>
          <w:i/>
          <w:iCs/>
          <w:color w:val="000000"/>
        </w:rPr>
        <w:t>Pathol Res Pract</w:t>
      </w:r>
      <w:r w:rsidRPr="00AF7547">
        <w:rPr>
          <w:rFonts w:ascii="Book Antiqua" w:eastAsia="Book Antiqua" w:hAnsi="Book Antiqua"/>
          <w:color w:val="000000"/>
        </w:rPr>
        <w:t xml:space="preserve"> 1996; </w:t>
      </w:r>
      <w:r w:rsidRPr="00AF7547">
        <w:rPr>
          <w:rFonts w:ascii="Book Antiqua" w:eastAsia="Book Antiqua" w:hAnsi="Book Antiqua"/>
          <w:b/>
          <w:bCs/>
          <w:color w:val="000000"/>
        </w:rPr>
        <w:t>192</w:t>
      </w:r>
      <w:r w:rsidRPr="00AF7547">
        <w:rPr>
          <w:rFonts w:ascii="Book Antiqua" w:eastAsia="Book Antiqua" w:hAnsi="Book Antiqua"/>
          <w:color w:val="000000"/>
        </w:rPr>
        <w:t>: 808-815 [PMID: 8897516 DOI: 10.1016/S0344-0338(96)80054-9]</w:t>
      </w:r>
    </w:p>
    <w:p w14:paraId="71216F2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11 </w:t>
      </w:r>
      <w:r w:rsidRPr="00AF7547">
        <w:rPr>
          <w:rFonts w:ascii="Book Antiqua" w:eastAsia="Book Antiqua" w:hAnsi="Book Antiqua"/>
          <w:b/>
          <w:bCs/>
          <w:color w:val="000000"/>
        </w:rPr>
        <w:t>Dickey W</w:t>
      </w:r>
      <w:r w:rsidRPr="00AF7547">
        <w:rPr>
          <w:rFonts w:ascii="Book Antiqua" w:eastAsia="Book Antiqua" w:hAnsi="Book Antiqua"/>
          <w:color w:val="000000"/>
        </w:rPr>
        <w:t xml:space="preserve">, Kenny BD, McConnell JB. Prevalence of fundic gland polyps in a western European population. </w:t>
      </w:r>
      <w:r w:rsidRPr="00AF7547">
        <w:rPr>
          <w:rFonts w:ascii="Book Antiqua" w:eastAsia="Book Antiqua" w:hAnsi="Book Antiqua"/>
          <w:i/>
          <w:iCs/>
          <w:color w:val="000000"/>
        </w:rPr>
        <w:t>J Clin Gastroenterol</w:t>
      </w:r>
      <w:r w:rsidRPr="00AF7547">
        <w:rPr>
          <w:rFonts w:ascii="Book Antiqua" w:eastAsia="Book Antiqua" w:hAnsi="Book Antiqua"/>
          <w:color w:val="000000"/>
        </w:rPr>
        <w:t xml:space="preserve"> 1996; </w:t>
      </w:r>
      <w:r w:rsidRPr="00AF7547">
        <w:rPr>
          <w:rFonts w:ascii="Book Antiqua" w:eastAsia="Book Antiqua" w:hAnsi="Book Antiqua"/>
          <w:b/>
          <w:bCs/>
          <w:color w:val="000000"/>
        </w:rPr>
        <w:t>23</w:t>
      </w:r>
      <w:r w:rsidRPr="00AF7547">
        <w:rPr>
          <w:rFonts w:ascii="Book Antiqua" w:eastAsia="Book Antiqua" w:hAnsi="Book Antiqua"/>
          <w:color w:val="000000"/>
        </w:rPr>
        <w:t>: 73-75 [PMID: 8835909 DOI: 10.1097/00004836-199607000-00022]</w:t>
      </w:r>
    </w:p>
    <w:p w14:paraId="2AB118C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12 </w:t>
      </w:r>
      <w:r w:rsidRPr="00AF7547">
        <w:rPr>
          <w:rFonts w:ascii="Book Antiqua" w:eastAsia="Book Antiqua" w:hAnsi="Book Antiqua"/>
          <w:b/>
          <w:bCs/>
          <w:color w:val="000000"/>
        </w:rPr>
        <w:t>Genta RM</w:t>
      </w:r>
      <w:r w:rsidRPr="00AF7547">
        <w:rPr>
          <w:rFonts w:ascii="Book Antiqua" w:eastAsia="Book Antiqua" w:hAnsi="Book Antiqua"/>
          <w:color w:val="000000"/>
        </w:rPr>
        <w:t xml:space="preserve">, Schuler CM, Robiou CI, Lash RH. No association between gastric fundic gland polyps and gastrointestinal neoplasia in a study of over 100,000 patients. </w:t>
      </w:r>
      <w:r w:rsidRPr="00AF7547">
        <w:rPr>
          <w:rFonts w:ascii="Book Antiqua" w:eastAsia="Book Antiqua" w:hAnsi="Book Antiqua"/>
          <w:i/>
          <w:iCs/>
          <w:color w:val="000000"/>
        </w:rPr>
        <w:t>Clin Gastroenterol Hepatol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7</w:t>
      </w:r>
      <w:r w:rsidRPr="00AF7547">
        <w:rPr>
          <w:rFonts w:ascii="Book Antiqua" w:eastAsia="Book Antiqua" w:hAnsi="Book Antiqua"/>
          <w:color w:val="000000"/>
        </w:rPr>
        <w:t>: 849-854 [PMID: 19465154 DOI: 10.1016/j.cgh.2009.05.015]</w:t>
      </w:r>
    </w:p>
    <w:p w14:paraId="670FA75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13 </w:t>
      </w:r>
      <w:r w:rsidRPr="00AF7547">
        <w:rPr>
          <w:rFonts w:ascii="Book Antiqua" w:eastAsia="Book Antiqua" w:hAnsi="Book Antiqua"/>
          <w:b/>
          <w:bCs/>
          <w:color w:val="000000"/>
        </w:rPr>
        <w:t>Notsu T</w:t>
      </w:r>
      <w:r w:rsidRPr="00AF7547">
        <w:rPr>
          <w:rFonts w:ascii="Book Antiqua" w:eastAsia="Book Antiqua" w:hAnsi="Book Antiqua"/>
          <w:color w:val="000000"/>
        </w:rPr>
        <w:t xml:space="preserve">, Adachi K, Mishiro T, Ishimura N, Ishihara S. Fundic gland polyp prevalence according to Helicobacter pylori infection status. </w:t>
      </w:r>
      <w:r w:rsidRPr="00AF7547">
        <w:rPr>
          <w:rFonts w:ascii="Book Antiqua" w:eastAsia="Book Antiqua" w:hAnsi="Book Antiqua"/>
          <w:i/>
          <w:iCs/>
          <w:color w:val="000000"/>
        </w:rPr>
        <w:t>J Gastroenterol Hepatol</w:t>
      </w:r>
      <w:r w:rsidRPr="00AF7547">
        <w:rPr>
          <w:rFonts w:ascii="Book Antiqua" w:eastAsia="Book Antiqua" w:hAnsi="Book Antiqua"/>
          <w:color w:val="000000"/>
        </w:rPr>
        <w:t xml:space="preserve"> 2020; </w:t>
      </w:r>
      <w:r w:rsidRPr="00AF7547">
        <w:rPr>
          <w:rFonts w:ascii="Book Antiqua" w:eastAsia="Book Antiqua" w:hAnsi="Book Antiqua"/>
          <w:b/>
          <w:bCs/>
          <w:color w:val="000000"/>
        </w:rPr>
        <w:t>35</w:t>
      </w:r>
      <w:r w:rsidRPr="00AF7547">
        <w:rPr>
          <w:rFonts w:ascii="Book Antiqua" w:eastAsia="Book Antiqua" w:hAnsi="Book Antiqua"/>
          <w:color w:val="000000"/>
        </w:rPr>
        <w:t>: 1158-1162 [PMID: 31734951 DOI: 10.1111/jgh.14934]</w:t>
      </w:r>
    </w:p>
    <w:p w14:paraId="5E9283E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14 </w:t>
      </w:r>
      <w:r w:rsidRPr="00AF7547">
        <w:rPr>
          <w:rFonts w:ascii="Book Antiqua" w:eastAsia="Book Antiqua" w:hAnsi="Book Antiqua"/>
          <w:b/>
          <w:bCs/>
          <w:color w:val="000000"/>
        </w:rPr>
        <w:t>Hongo M</w:t>
      </w:r>
      <w:r w:rsidRPr="00AF7547">
        <w:rPr>
          <w:rFonts w:ascii="Book Antiqua" w:eastAsia="Book Antiqua" w:hAnsi="Book Antiqua"/>
          <w:color w:val="000000"/>
        </w:rPr>
        <w:t xml:space="preserve">, Fujimoto K; Gastric Polyps Study Group. Incidence and risk factor of fundic gland polyp and hyperplastic polyp in long-term proton pump inhibitor therapy: a prospective study in Japan. </w:t>
      </w:r>
      <w:r w:rsidRPr="00AF7547">
        <w:rPr>
          <w:rFonts w:ascii="Book Antiqua" w:eastAsia="Book Antiqua" w:hAnsi="Book Antiqua"/>
          <w:i/>
          <w:iCs/>
          <w:color w:val="000000"/>
        </w:rPr>
        <w:t>J Gastroenterol</w:t>
      </w:r>
      <w:r w:rsidRPr="00AF7547">
        <w:rPr>
          <w:rFonts w:ascii="Book Antiqua" w:eastAsia="Book Antiqua" w:hAnsi="Book Antiqua"/>
          <w:color w:val="000000"/>
        </w:rPr>
        <w:t xml:space="preserve"> 2010; </w:t>
      </w:r>
      <w:r w:rsidRPr="00AF7547">
        <w:rPr>
          <w:rFonts w:ascii="Book Antiqua" w:eastAsia="Book Antiqua" w:hAnsi="Book Antiqua"/>
          <w:b/>
          <w:bCs/>
          <w:color w:val="000000"/>
        </w:rPr>
        <w:t>45</w:t>
      </w:r>
      <w:r w:rsidRPr="00AF7547">
        <w:rPr>
          <w:rFonts w:ascii="Book Antiqua" w:eastAsia="Book Antiqua" w:hAnsi="Book Antiqua"/>
          <w:color w:val="000000"/>
        </w:rPr>
        <w:t>: 618-624 [PMID: 20177714 DOI: 10.1007/s00535-010-0207-7]</w:t>
      </w:r>
    </w:p>
    <w:p w14:paraId="35DBE91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15 </w:t>
      </w:r>
      <w:r w:rsidRPr="00AF7547">
        <w:rPr>
          <w:rFonts w:ascii="Book Antiqua" w:eastAsia="Book Antiqua" w:hAnsi="Book Antiqua"/>
          <w:b/>
          <w:bCs/>
          <w:color w:val="000000"/>
        </w:rPr>
        <w:t>Kamada T</w:t>
      </w:r>
      <w:r w:rsidRPr="00AF7547">
        <w:rPr>
          <w:rFonts w:ascii="Book Antiqua" w:eastAsia="Book Antiqua" w:hAnsi="Book Antiqua"/>
          <w:color w:val="000000"/>
        </w:rPr>
        <w:t xml:space="preserve">, Haruma K, Ito M, Inoue K, Manabe N, Matsumoto H, Kusunoki H, Hata J, Yoshihara M, Sumii K, Akiyama T, Tanaka S, Shiotani A, Graham DY. Time Trends in Helicobacter pylori Infection and Atrophic Gastritis Over 40 Years in Japan. </w:t>
      </w:r>
      <w:r w:rsidRPr="00AF7547">
        <w:rPr>
          <w:rFonts w:ascii="Book Antiqua" w:eastAsia="Book Antiqua" w:hAnsi="Book Antiqua"/>
          <w:i/>
          <w:iCs/>
          <w:color w:val="000000"/>
        </w:rPr>
        <w:t>Helicobacter</w:t>
      </w:r>
      <w:r w:rsidRPr="00AF7547">
        <w:rPr>
          <w:rFonts w:ascii="Book Antiqua" w:eastAsia="Book Antiqua" w:hAnsi="Book Antiqua"/>
          <w:color w:val="000000"/>
        </w:rPr>
        <w:t xml:space="preserve"> 2015; </w:t>
      </w:r>
      <w:r w:rsidRPr="00AF7547">
        <w:rPr>
          <w:rFonts w:ascii="Book Antiqua" w:eastAsia="Book Antiqua" w:hAnsi="Book Antiqua"/>
          <w:b/>
          <w:bCs/>
          <w:color w:val="000000"/>
        </w:rPr>
        <w:t>20</w:t>
      </w:r>
      <w:r w:rsidRPr="00AF7547">
        <w:rPr>
          <w:rFonts w:ascii="Book Antiqua" w:eastAsia="Book Antiqua" w:hAnsi="Book Antiqua"/>
          <w:color w:val="000000"/>
        </w:rPr>
        <w:t>: 192-198 [PMID: 25581708 DOI: 10.1111/hel.12193]</w:t>
      </w:r>
    </w:p>
    <w:p w14:paraId="508A414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16 </w:t>
      </w:r>
      <w:r w:rsidRPr="00AF7547">
        <w:rPr>
          <w:rFonts w:ascii="Book Antiqua" w:eastAsia="Book Antiqua" w:hAnsi="Book Antiqua"/>
          <w:b/>
          <w:bCs/>
          <w:color w:val="000000"/>
        </w:rPr>
        <w:t>Leja M</w:t>
      </w:r>
      <w:r w:rsidRPr="00AF7547">
        <w:rPr>
          <w:rFonts w:ascii="Book Antiqua" w:eastAsia="Book Antiqua" w:hAnsi="Book Antiqua"/>
          <w:color w:val="000000"/>
        </w:rPr>
        <w:t xml:space="preserve">, Grinberga-Derica I, Bilgilier C, Steininger C. Review: Epidemiology of Helicobacter pylori infection. </w:t>
      </w:r>
      <w:r w:rsidRPr="00AF7547">
        <w:rPr>
          <w:rFonts w:ascii="Book Antiqua" w:eastAsia="Book Antiqua" w:hAnsi="Book Antiqua"/>
          <w:i/>
          <w:iCs/>
          <w:color w:val="000000"/>
        </w:rPr>
        <w:t>Helicobacter</w:t>
      </w:r>
      <w:r w:rsidRPr="00AF7547">
        <w:rPr>
          <w:rFonts w:ascii="Book Antiqua" w:eastAsia="Book Antiqua" w:hAnsi="Book Antiqua"/>
          <w:color w:val="000000"/>
        </w:rPr>
        <w:t xml:space="preserve"> 2019; </w:t>
      </w:r>
      <w:r w:rsidRPr="00AF7547">
        <w:rPr>
          <w:rFonts w:ascii="Book Antiqua" w:eastAsia="Book Antiqua" w:hAnsi="Book Antiqua"/>
          <w:b/>
          <w:bCs/>
          <w:color w:val="000000"/>
        </w:rPr>
        <w:t xml:space="preserve">24 </w:t>
      </w:r>
      <w:r w:rsidRPr="00AF7547">
        <w:rPr>
          <w:rFonts w:ascii="Book Antiqua" w:eastAsia="Book Antiqua" w:hAnsi="Book Antiqua"/>
          <w:color w:val="000000"/>
        </w:rPr>
        <w:t>Suppl 1: e12635 [PMID: 31486242 DOI: 10.1111/hel.12635]</w:t>
      </w:r>
    </w:p>
    <w:p w14:paraId="62F7B29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17 </w:t>
      </w:r>
      <w:r w:rsidRPr="00AF7547">
        <w:rPr>
          <w:rFonts w:ascii="Book Antiqua" w:eastAsia="Book Antiqua" w:hAnsi="Book Antiqua"/>
          <w:b/>
          <w:bCs/>
          <w:color w:val="000000"/>
        </w:rPr>
        <w:t>Iida M</w:t>
      </w:r>
      <w:r w:rsidRPr="00AF7547">
        <w:rPr>
          <w:rFonts w:ascii="Book Antiqua" w:eastAsia="Book Antiqua" w:hAnsi="Book Antiqua"/>
          <w:color w:val="000000"/>
        </w:rPr>
        <w:t xml:space="preserve">, Yao T, Itoh H, Watanabe H, Kohrogi N, Shigematsu A, Iwashita A, Fujishima M. Natural history of fundic gland polyposis in patients with familial adenomatosis coli/Gardner's syndrome. </w:t>
      </w:r>
      <w:r w:rsidRPr="00AF7547">
        <w:rPr>
          <w:rFonts w:ascii="Book Antiqua" w:eastAsia="Book Antiqua" w:hAnsi="Book Antiqua"/>
          <w:i/>
          <w:iCs/>
          <w:color w:val="000000"/>
        </w:rPr>
        <w:t>Gastroenterology</w:t>
      </w:r>
      <w:r w:rsidRPr="00AF7547">
        <w:rPr>
          <w:rFonts w:ascii="Book Antiqua" w:eastAsia="Book Antiqua" w:hAnsi="Book Antiqua"/>
          <w:color w:val="000000"/>
        </w:rPr>
        <w:t xml:space="preserve"> 1985; </w:t>
      </w:r>
      <w:r w:rsidRPr="00AF7547">
        <w:rPr>
          <w:rFonts w:ascii="Book Antiqua" w:eastAsia="Book Antiqua" w:hAnsi="Book Antiqua"/>
          <w:b/>
          <w:bCs/>
          <w:color w:val="000000"/>
        </w:rPr>
        <w:t>89</w:t>
      </w:r>
      <w:r w:rsidRPr="00AF7547">
        <w:rPr>
          <w:rFonts w:ascii="Book Antiqua" w:eastAsia="Book Antiqua" w:hAnsi="Book Antiqua"/>
          <w:color w:val="000000"/>
        </w:rPr>
        <w:t>: 1021-1025 [PMID: 4043660 DOI: 10.1016/0016-5085(85)90203-3]</w:t>
      </w:r>
    </w:p>
    <w:p w14:paraId="538B044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18 </w:t>
      </w:r>
      <w:r w:rsidRPr="00AF7547">
        <w:rPr>
          <w:rFonts w:ascii="Book Antiqua" w:eastAsia="Book Antiqua" w:hAnsi="Book Antiqua"/>
          <w:b/>
          <w:bCs/>
          <w:color w:val="000000"/>
        </w:rPr>
        <w:t>Odze RD</w:t>
      </w:r>
      <w:r w:rsidRPr="00AF7547">
        <w:rPr>
          <w:rFonts w:ascii="Book Antiqua" w:eastAsia="Book Antiqua" w:hAnsi="Book Antiqua"/>
          <w:color w:val="000000"/>
        </w:rPr>
        <w:t xml:space="preserve">, Marcial MA, Antonioli D. Gastric fundic gland polyps: a morphological study including mucin histochemistry, stereometry, and MIB-1 immunohistochemistry. </w:t>
      </w:r>
      <w:r w:rsidRPr="00AF7547">
        <w:rPr>
          <w:rFonts w:ascii="Book Antiqua" w:eastAsia="Book Antiqua" w:hAnsi="Book Antiqua"/>
          <w:i/>
          <w:iCs/>
          <w:color w:val="000000"/>
        </w:rPr>
        <w:t>Hum Pathol</w:t>
      </w:r>
      <w:r w:rsidRPr="00AF7547">
        <w:rPr>
          <w:rFonts w:ascii="Book Antiqua" w:eastAsia="Book Antiqua" w:hAnsi="Book Antiqua"/>
          <w:color w:val="000000"/>
        </w:rPr>
        <w:t xml:space="preserve"> 1996; </w:t>
      </w:r>
      <w:r w:rsidRPr="00AF7547">
        <w:rPr>
          <w:rFonts w:ascii="Book Antiqua" w:eastAsia="Book Antiqua" w:hAnsi="Book Antiqua"/>
          <w:b/>
          <w:bCs/>
          <w:color w:val="000000"/>
        </w:rPr>
        <w:t>27</w:t>
      </w:r>
      <w:r w:rsidRPr="00AF7547">
        <w:rPr>
          <w:rFonts w:ascii="Book Antiqua" w:eastAsia="Book Antiqua" w:hAnsi="Book Antiqua"/>
          <w:color w:val="000000"/>
        </w:rPr>
        <w:t>: 896-903 [PMID: 8816883 DOI: 10.1016/s0046-8177(96)90215-4]</w:t>
      </w:r>
    </w:p>
    <w:p w14:paraId="172EEA56"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19 </w:t>
      </w:r>
      <w:r w:rsidRPr="00AF7547">
        <w:rPr>
          <w:rFonts w:ascii="Book Antiqua" w:eastAsia="Book Antiqua" w:hAnsi="Book Antiqua"/>
          <w:b/>
          <w:bCs/>
          <w:color w:val="000000"/>
        </w:rPr>
        <w:t>Bertoni G</w:t>
      </w:r>
      <w:r w:rsidRPr="00AF7547">
        <w:rPr>
          <w:rFonts w:ascii="Book Antiqua" w:eastAsia="Book Antiqua" w:hAnsi="Book Antiqua"/>
          <w:color w:val="000000"/>
        </w:rPr>
        <w:t xml:space="preserve">, Sassatelli R, Nigrisoli E, Pennazio M, Tansini P, Arrigoni A, Rossini FP, Ponz de Leon M, Bedogni G. Dysplastic changes in gastric fundic gland polyps of patients with familial adenomatous polyposis. </w:t>
      </w:r>
      <w:r w:rsidRPr="00AF7547">
        <w:rPr>
          <w:rFonts w:ascii="Book Antiqua" w:eastAsia="Book Antiqua" w:hAnsi="Book Antiqua"/>
          <w:i/>
          <w:iCs/>
          <w:color w:val="000000"/>
        </w:rPr>
        <w:t>Ital J Gastroenterol Hepatol</w:t>
      </w:r>
      <w:r w:rsidRPr="00AF7547">
        <w:rPr>
          <w:rFonts w:ascii="Book Antiqua" w:eastAsia="Book Antiqua" w:hAnsi="Book Antiqua"/>
          <w:color w:val="000000"/>
        </w:rPr>
        <w:t xml:space="preserve"> 1999; </w:t>
      </w:r>
      <w:r w:rsidRPr="00AF7547">
        <w:rPr>
          <w:rFonts w:ascii="Book Antiqua" w:eastAsia="Book Antiqua" w:hAnsi="Book Antiqua"/>
          <w:b/>
          <w:bCs/>
          <w:color w:val="000000"/>
        </w:rPr>
        <w:t>31</w:t>
      </w:r>
      <w:r w:rsidRPr="00AF7547">
        <w:rPr>
          <w:rFonts w:ascii="Book Antiqua" w:eastAsia="Book Antiqua" w:hAnsi="Book Antiqua"/>
          <w:color w:val="000000"/>
        </w:rPr>
        <w:t>: 192-197 [PMID: 10379478]</w:t>
      </w:r>
    </w:p>
    <w:p w14:paraId="7DE0ABF9" w14:textId="77777777" w:rsidR="00A77B3E" w:rsidRPr="0007337D"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20 </w:t>
      </w:r>
      <w:r w:rsidRPr="00AF7547">
        <w:rPr>
          <w:rFonts w:ascii="Book Antiqua" w:eastAsia="Book Antiqua" w:hAnsi="Book Antiqua"/>
          <w:b/>
          <w:bCs/>
          <w:color w:val="000000"/>
        </w:rPr>
        <w:t>Bianchi LK</w:t>
      </w:r>
      <w:r w:rsidRPr="00AF7547">
        <w:rPr>
          <w:rFonts w:ascii="Book Antiqua" w:eastAsia="Book Antiqua" w:hAnsi="Book Antiqua"/>
          <w:color w:val="000000"/>
        </w:rPr>
        <w:t xml:space="preserve">, Burke CA, Bennett AE, Lopez R, Hasson H, Church JM. Fundic gland polyp dysplasia is common in familial adenomatous polyposis. </w:t>
      </w:r>
      <w:r w:rsidRPr="0007337D">
        <w:rPr>
          <w:rFonts w:ascii="Book Antiqua" w:eastAsia="Book Antiqua" w:hAnsi="Book Antiqua"/>
          <w:i/>
          <w:iCs/>
          <w:color w:val="000000"/>
        </w:rPr>
        <w:t>Clin Gastroenterol Hepatol</w:t>
      </w:r>
      <w:r w:rsidRPr="0007337D">
        <w:rPr>
          <w:rFonts w:ascii="Book Antiqua" w:eastAsia="Book Antiqua" w:hAnsi="Book Antiqua"/>
          <w:color w:val="000000"/>
        </w:rPr>
        <w:t xml:space="preserve"> 2008; </w:t>
      </w:r>
      <w:r w:rsidRPr="0007337D">
        <w:rPr>
          <w:rFonts w:ascii="Book Antiqua" w:eastAsia="Book Antiqua" w:hAnsi="Book Antiqua"/>
          <w:b/>
          <w:bCs/>
          <w:color w:val="000000"/>
        </w:rPr>
        <w:t>6</w:t>
      </w:r>
      <w:r w:rsidRPr="0007337D">
        <w:rPr>
          <w:rFonts w:ascii="Book Antiqua" w:eastAsia="Book Antiqua" w:hAnsi="Book Antiqua"/>
          <w:color w:val="000000"/>
        </w:rPr>
        <w:t>: 180-185 [PMID: 18237868 DOI: 10.1016/j.cgh.2007.11.018]</w:t>
      </w:r>
    </w:p>
    <w:p w14:paraId="2F325B48" w14:textId="77777777" w:rsidR="00A77B3E" w:rsidRPr="00AF7547" w:rsidRDefault="00EE15D1" w:rsidP="00AF7547">
      <w:pPr>
        <w:adjustRightInd w:val="0"/>
        <w:snapToGrid w:val="0"/>
        <w:spacing w:line="360" w:lineRule="auto"/>
        <w:jc w:val="both"/>
        <w:rPr>
          <w:rFonts w:ascii="Book Antiqua" w:hAnsi="Book Antiqua"/>
        </w:rPr>
      </w:pPr>
      <w:r w:rsidRPr="0007337D">
        <w:rPr>
          <w:rFonts w:ascii="Book Antiqua" w:eastAsia="Book Antiqua" w:hAnsi="Book Antiqua"/>
          <w:color w:val="000000"/>
        </w:rPr>
        <w:t xml:space="preserve">21 </w:t>
      </w:r>
      <w:r w:rsidRPr="0007337D">
        <w:rPr>
          <w:rFonts w:ascii="Book Antiqua" w:eastAsia="Book Antiqua" w:hAnsi="Book Antiqua"/>
          <w:b/>
          <w:bCs/>
          <w:color w:val="000000"/>
        </w:rPr>
        <w:t>Marcial MA</w:t>
      </w:r>
      <w:r w:rsidRPr="0007337D">
        <w:rPr>
          <w:rFonts w:ascii="Book Antiqua" w:eastAsia="Book Antiqua" w:hAnsi="Book Antiqua"/>
          <w:color w:val="000000"/>
        </w:rPr>
        <w:t xml:space="preserve">, Villafaña M, Hernandez-Denton J, Colon-Pagan JR. </w:t>
      </w:r>
      <w:r w:rsidRPr="00AF7547">
        <w:rPr>
          <w:rFonts w:ascii="Book Antiqua" w:eastAsia="Book Antiqua" w:hAnsi="Book Antiqua"/>
          <w:color w:val="000000"/>
        </w:rPr>
        <w:t xml:space="preserve">Fundic gland polyps: prevalence and clinicopathologic features.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1993; </w:t>
      </w:r>
      <w:r w:rsidRPr="00AF7547">
        <w:rPr>
          <w:rFonts w:ascii="Book Antiqua" w:eastAsia="Book Antiqua" w:hAnsi="Book Antiqua"/>
          <w:b/>
          <w:bCs/>
          <w:color w:val="000000"/>
        </w:rPr>
        <w:t>88</w:t>
      </w:r>
      <w:r w:rsidRPr="00AF7547">
        <w:rPr>
          <w:rFonts w:ascii="Book Antiqua" w:eastAsia="Book Antiqua" w:hAnsi="Book Antiqua"/>
          <w:color w:val="000000"/>
        </w:rPr>
        <w:t>: 1711-1713 [PMID: 8213712]</w:t>
      </w:r>
    </w:p>
    <w:p w14:paraId="39E49B5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22 </w:t>
      </w:r>
      <w:r w:rsidRPr="00AF7547">
        <w:rPr>
          <w:rFonts w:ascii="Book Antiqua" w:eastAsia="Book Antiqua" w:hAnsi="Book Antiqua"/>
          <w:b/>
          <w:bCs/>
          <w:color w:val="000000"/>
        </w:rPr>
        <w:t>Sipponen P</w:t>
      </w:r>
      <w:r w:rsidRPr="00AF7547">
        <w:rPr>
          <w:rFonts w:ascii="Book Antiqua" w:eastAsia="Book Antiqua" w:hAnsi="Book Antiqua"/>
          <w:color w:val="000000"/>
        </w:rPr>
        <w:t xml:space="preserve">, Laxén F, Seppälä K. Cystic 'hamartomatous' gastric polyps: a disorder of oxyntic glands.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1983; </w:t>
      </w:r>
      <w:r w:rsidRPr="00AF7547">
        <w:rPr>
          <w:rFonts w:ascii="Book Antiqua" w:eastAsia="Book Antiqua" w:hAnsi="Book Antiqua"/>
          <w:b/>
          <w:bCs/>
          <w:color w:val="000000"/>
        </w:rPr>
        <w:t>7</w:t>
      </w:r>
      <w:r w:rsidRPr="00AF7547">
        <w:rPr>
          <w:rFonts w:ascii="Book Antiqua" w:eastAsia="Book Antiqua" w:hAnsi="Book Antiqua"/>
          <w:color w:val="000000"/>
        </w:rPr>
        <w:t>: 729-737 [PMID: 6195074 DOI: 10.1111/j.1365-2559.1983.tb02285.x]</w:t>
      </w:r>
    </w:p>
    <w:p w14:paraId="12275B2E" w14:textId="540B0FBB"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23 </w:t>
      </w:r>
      <w:r w:rsidRPr="00AF7547">
        <w:rPr>
          <w:rFonts w:ascii="Book Antiqua" w:eastAsia="Book Antiqua" w:hAnsi="Book Antiqua"/>
          <w:b/>
          <w:bCs/>
          <w:color w:val="000000"/>
        </w:rPr>
        <w:t>Okano A,</w:t>
      </w:r>
      <w:r w:rsidRPr="00AF7547">
        <w:rPr>
          <w:rFonts w:ascii="Book Antiqua" w:eastAsia="Book Antiqua" w:hAnsi="Book Antiqua"/>
          <w:color w:val="000000"/>
        </w:rPr>
        <w:t xml:space="preserve"> Takakuwa H, Matsubayashi Y. Development of sporadic gastric fundic gland polyp after eradication of Helicobacter pylori</w:t>
      </w:r>
      <w:r w:rsidR="00CE77C4" w:rsidRPr="00AF7547">
        <w:rPr>
          <w:rFonts w:ascii="Book Antiqua" w:eastAsia="Book Antiqua" w:hAnsi="Book Antiqua"/>
          <w:color w:val="000000"/>
        </w:rPr>
        <w:t>.</w:t>
      </w:r>
      <w:r w:rsidRPr="00AF7547">
        <w:rPr>
          <w:rFonts w:ascii="Book Antiqua" w:eastAsia="Book Antiqua" w:hAnsi="Book Antiqua"/>
          <w:color w:val="000000"/>
        </w:rPr>
        <w:t xml:space="preserve"> </w:t>
      </w:r>
      <w:r w:rsidRPr="00AF7547">
        <w:rPr>
          <w:rFonts w:ascii="Book Antiqua" w:eastAsia="Book Antiqua" w:hAnsi="Book Antiqua"/>
          <w:i/>
          <w:iCs/>
          <w:color w:val="000000"/>
        </w:rPr>
        <w:t>Dig Endosc</w:t>
      </w:r>
      <w:r w:rsidRPr="00AF7547">
        <w:rPr>
          <w:rFonts w:ascii="Book Antiqua" w:eastAsia="Book Antiqua" w:hAnsi="Book Antiqua"/>
          <w:color w:val="000000"/>
        </w:rPr>
        <w:t xml:space="preserve"> 2008; </w:t>
      </w:r>
      <w:r w:rsidRPr="00AF7547">
        <w:rPr>
          <w:rFonts w:ascii="Book Antiqua" w:eastAsia="Book Antiqua" w:hAnsi="Book Antiqua"/>
          <w:b/>
          <w:bCs/>
          <w:color w:val="000000"/>
        </w:rPr>
        <w:t>20</w:t>
      </w:r>
      <w:r w:rsidRPr="00AF7547">
        <w:rPr>
          <w:rFonts w:ascii="Book Antiqua" w:eastAsia="Book Antiqua" w:hAnsi="Book Antiqua"/>
          <w:color w:val="000000"/>
        </w:rPr>
        <w:t>: 41-43 [DOI: 10.1111/j.1443-1661.2007.00762.x]</w:t>
      </w:r>
    </w:p>
    <w:p w14:paraId="0AE1A4A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24 </w:t>
      </w:r>
      <w:r w:rsidRPr="00AF7547">
        <w:rPr>
          <w:rFonts w:ascii="Book Antiqua" w:eastAsia="Book Antiqua" w:hAnsi="Book Antiqua"/>
          <w:b/>
          <w:bCs/>
          <w:color w:val="000000"/>
        </w:rPr>
        <w:t>Choudhry U</w:t>
      </w:r>
      <w:r w:rsidRPr="00AF7547">
        <w:rPr>
          <w:rFonts w:ascii="Book Antiqua" w:eastAsia="Book Antiqua" w:hAnsi="Book Antiqua"/>
          <w:color w:val="000000"/>
        </w:rPr>
        <w:t xml:space="preserve">, Boyce HW Jr, Coppola D. Proton pump inhibitor-associated gastric polyps: a retrospective analysis of their frequency, and endoscopic, histologic, and ultrastructural characteristics. </w:t>
      </w:r>
      <w:r w:rsidRPr="00AF7547">
        <w:rPr>
          <w:rFonts w:ascii="Book Antiqua" w:eastAsia="Book Antiqua" w:hAnsi="Book Antiqua"/>
          <w:i/>
          <w:iCs/>
          <w:color w:val="000000"/>
        </w:rPr>
        <w:t>Am J Clin Pathol</w:t>
      </w:r>
      <w:r w:rsidRPr="00AF7547">
        <w:rPr>
          <w:rFonts w:ascii="Book Antiqua" w:eastAsia="Book Antiqua" w:hAnsi="Book Antiqua"/>
          <w:color w:val="000000"/>
        </w:rPr>
        <w:t xml:space="preserve"> 1998; </w:t>
      </w:r>
      <w:r w:rsidRPr="00AF7547">
        <w:rPr>
          <w:rFonts w:ascii="Book Antiqua" w:eastAsia="Book Antiqua" w:hAnsi="Book Antiqua"/>
          <w:b/>
          <w:bCs/>
          <w:color w:val="000000"/>
        </w:rPr>
        <w:t>110</w:t>
      </w:r>
      <w:r w:rsidRPr="00AF7547">
        <w:rPr>
          <w:rFonts w:ascii="Book Antiqua" w:eastAsia="Book Antiqua" w:hAnsi="Book Antiqua"/>
          <w:color w:val="000000"/>
        </w:rPr>
        <w:t>: 615-621 [PMID: 9802346 DOI: 10.1093/ajcp/110.5.615]</w:t>
      </w:r>
    </w:p>
    <w:p w14:paraId="0D75F28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25 </w:t>
      </w:r>
      <w:r w:rsidRPr="00AF7547">
        <w:rPr>
          <w:rFonts w:ascii="Book Antiqua" w:eastAsia="Book Antiqua" w:hAnsi="Book Antiqua"/>
          <w:b/>
          <w:bCs/>
          <w:color w:val="000000"/>
        </w:rPr>
        <w:t>Hamada K</w:t>
      </w:r>
      <w:r w:rsidRPr="00AF7547">
        <w:rPr>
          <w:rFonts w:ascii="Book Antiqua" w:eastAsia="Book Antiqua" w:hAnsi="Book Antiqua"/>
          <w:color w:val="000000"/>
        </w:rPr>
        <w:t xml:space="preserve">, Takeuchi Y, Akasaka T, Iishi H. Fundic Gland Polyposis Associated with Proton-Pump Inhibitor Use. </w:t>
      </w:r>
      <w:r w:rsidRPr="00AF7547">
        <w:rPr>
          <w:rFonts w:ascii="Book Antiqua" w:eastAsia="Book Antiqua" w:hAnsi="Book Antiqua"/>
          <w:i/>
          <w:iCs/>
          <w:color w:val="000000"/>
        </w:rPr>
        <w:t>Eur J Case Rep Intern Med</w:t>
      </w:r>
      <w:r w:rsidRPr="00AF7547">
        <w:rPr>
          <w:rFonts w:ascii="Book Antiqua" w:eastAsia="Book Antiqua" w:hAnsi="Book Antiqua"/>
          <w:color w:val="000000"/>
        </w:rPr>
        <w:t xml:space="preserve"> 2017; </w:t>
      </w:r>
      <w:r w:rsidRPr="00AF7547">
        <w:rPr>
          <w:rFonts w:ascii="Book Antiqua" w:eastAsia="Book Antiqua" w:hAnsi="Book Antiqua"/>
          <w:b/>
          <w:bCs/>
          <w:color w:val="000000"/>
        </w:rPr>
        <w:t>4</w:t>
      </w:r>
      <w:r w:rsidRPr="00AF7547">
        <w:rPr>
          <w:rFonts w:ascii="Book Antiqua" w:eastAsia="Book Antiqua" w:hAnsi="Book Antiqua"/>
          <w:color w:val="000000"/>
        </w:rPr>
        <w:t>: 000607 [PMID: 30755947 DOI: 10.12890/2017_000607]</w:t>
      </w:r>
    </w:p>
    <w:p w14:paraId="00E53148"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26 </w:t>
      </w:r>
      <w:r w:rsidRPr="00AF7547">
        <w:rPr>
          <w:rFonts w:ascii="Book Antiqua" w:eastAsia="Book Antiqua" w:hAnsi="Book Antiqua"/>
          <w:b/>
          <w:bCs/>
          <w:color w:val="000000"/>
        </w:rPr>
        <w:t>Jalving M</w:t>
      </w:r>
      <w:r w:rsidRPr="00AF7547">
        <w:rPr>
          <w:rFonts w:ascii="Book Antiqua" w:eastAsia="Book Antiqua" w:hAnsi="Book Antiqua"/>
          <w:color w:val="000000"/>
        </w:rPr>
        <w:t xml:space="preserve">, Koornstra JJ, Götz JM, van der Waaij LA, de Jong S, Zwart N, Karrenbeld A, Kleibeuker JH. High-grade dysplasia in sporadic fundic gland polyps: a case report and review of the literature. </w:t>
      </w:r>
      <w:r w:rsidRPr="00AF7547">
        <w:rPr>
          <w:rFonts w:ascii="Book Antiqua" w:eastAsia="Book Antiqua" w:hAnsi="Book Antiqua"/>
          <w:i/>
          <w:iCs/>
          <w:color w:val="000000"/>
        </w:rPr>
        <w:t>Eur J Gastroenterol Hepatol</w:t>
      </w:r>
      <w:r w:rsidRPr="00AF7547">
        <w:rPr>
          <w:rFonts w:ascii="Book Antiqua" w:eastAsia="Book Antiqua" w:hAnsi="Book Antiqua"/>
          <w:color w:val="000000"/>
        </w:rPr>
        <w:t xml:space="preserve"> 2003; </w:t>
      </w:r>
      <w:r w:rsidRPr="00AF7547">
        <w:rPr>
          <w:rFonts w:ascii="Book Antiqua" w:eastAsia="Book Antiqua" w:hAnsi="Book Antiqua"/>
          <w:b/>
          <w:bCs/>
          <w:color w:val="000000"/>
        </w:rPr>
        <w:t>15</w:t>
      </w:r>
      <w:r w:rsidRPr="00AF7547">
        <w:rPr>
          <w:rFonts w:ascii="Book Antiqua" w:eastAsia="Book Antiqua" w:hAnsi="Book Antiqua"/>
          <w:color w:val="000000"/>
        </w:rPr>
        <w:t>: 1229-1233 [PMID: 14560158 DOI: 10.1097/00042737-200311000-00013]</w:t>
      </w:r>
    </w:p>
    <w:p w14:paraId="73A058A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27 </w:t>
      </w:r>
      <w:r w:rsidRPr="00AF7547">
        <w:rPr>
          <w:rFonts w:ascii="Book Antiqua" w:eastAsia="Book Antiqua" w:hAnsi="Book Antiqua"/>
          <w:b/>
          <w:bCs/>
          <w:color w:val="000000"/>
        </w:rPr>
        <w:t>Kawase R</w:t>
      </w:r>
      <w:r w:rsidRPr="00AF7547">
        <w:rPr>
          <w:rFonts w:ascii="Book Antiqua" w:eastAsia="Book Antiqua" w:hAnsi="Book Antiqua"/>
          <w:color w:val="000000"/>
        </w:rPr>
        <w:t xml:space="preserve">, Nagata S, Onoyama M, Nakayama N, Honda Y, Kuwahara K, Kimura S, Tsuji K, Ohgoshi H, Sakatani A, Kaneko M, Ito M, Shimamoto F, Hidaka T. A case of gastric adenocarcinoma arising from a fundic gland polyp. </w:t>
      </w:r>
      <w:r w:rsidRPr="00AF7547">
        <w:rPr>
          <w:rFonts w:ascii="Book Antiqua" w:eastAsia="Book Antiqua" w:hAnsi="Book Antiqua"/>
          <w:i/>
          <w:iCs/>
          <w:color w:val="000000"/>
        </w:rPr>
        <w:t>Clin J Gastroenterol</w:t>
      </w:r>
      <w:r w:rsidRPr="00AF7547">
        <w:rPr>
          <w:rFonts w:ascii="Book Antiqua" w:eastAsia="Book Antiqua" w:hAnsi="Book Antiqua"/>
          <w:color w:val="000000"/>
        </w:rPr>
        <w:t xml:space="preserve"> 2009; </w:t>
      </w:r>
      <w:r w:rsidRPr="00AF7547">
        <w:rPr>
          <w:rFonts w:ascii="Book Antiqua" w:eastAsia="Book Antiqua" w:hAnsi="Book Antiqua"/>
          <w:b/>
          <w:bCs/>
          <w:color w:val="000000"/>
        </w:rPr>
        <w:t>2</w:t>
      </w:r>
      <w:r w:rsidRPr="00AF7547">
        <w:rPr>
          <w:rFonts w:ascii="Book Antiqua" w:eastAsia="Book Antiqua" w:hAnsi="Book Antiqua"/>
          <w:color w:val="000000"/>
        </w:rPr>
        <w:t>: 279-283 [PMID: 26192425 DOI: 10.1007/s12328-009-0096-6]</w:t>
      </w:r>
    </w:p>
    <w:p w14:paraId="6975825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28 </w:t>
      </w:r>
      <w:r w:rsidRPr="00AF7547">
        <w:rPr>
          <w:rFonts w:ascii="Book Antiqua" w:eastAsia="Book Antiqua" w:hAnsi="Book Antiqua"/>
          <w:b/>
          <w:bCs/>
          <w:color w:val="000000"/>
        </w:rPr>
        <w:t>Tazaki S</w:t>
      </w:r>
      <w:r w:rsidRPr="00AF7547">
        <w:rPr>
          <w:rFonts w:ascii="Book Antiqua" w:eastAsia="Book Antiqua" w:hAnsi="Book Antiqua"/>
          <w:color w:val="000000"/>
        </w:rPr>
        <w:t>, Nozu F, Yosikawa N, Imawari M, Suzuki N, Tominaga K, Hoshino M, Suzuki S, Hayashi K. Sporadic fundic gland polyp-related adenomas occurred in non-</w:t>
      </w:r>
      <w:r w:rsidRPr="00AF7547">
        <w:rPr>
          <w:rFonts w:ascii="Book Antiqua" w:eastAsia="Book Antiqua" w:hAnsi="Book Antiqua"/>
          <w:color w:val="000000"/>
        </w:rPr>
        <w:lastRenderedPageBreak/>
        <w:t xml:space="preserve">atrophic gastric mucosa without helicobacter pylori infection. </w:t>
      </w:r>
      <w:r w:rsidRPr="00AF7547">
        <w:rPr>
          <w:rFonts w:ascii="Book Antiqua" w:eastAsia="Book Antiqua" w:hAnsi="Book Antiqua"/>
          <w:i/>
          <w:iCs/>
          <w:color w:val="000000"/>
        </w:rPr>
        <w:t>Dig Endosc</w:t>
      </w:r>
      <w:r w:rsidRPr="00AF7547">
        <w:rPr>
          <w:rFonts w:ascii="Book Antiqua" w:eastAsia="Book Antiqua" w:hAnsi="Book Antiqua"/>
          <w:color w:val="000000"/>
        </w:rPr>
        <w:t xml:space="preserve"> 2011; </w:t>
      </w:r>
      <w:r w:rsidRPr="00AF7547">
        <w:rPr>
          <w:rFonts w:ascii="Book Antiqua" w:eastAsia="Book Antiqua" w:hAnsi="Book Antiqua"/>
          <w:b/>
          <w:bCs/>
          <w:color w:val="000000"/>
        </w:rPr>
        <w:t>23</w:t>
      </w:r>
      <w:r w:rsidRPr="00AF7547">
        <w:rPr>
          <w:rFonts w:ascii="Book Antiqua" w:eastAsia="Book Antiqua" w:hAnsi="Book Antiqua"/>
          <w:color w:val="000000"/>
        </w:rPr>
        <w:t>: 182-186 [PMID: 21429026 DOI: 10.1111/j.1443-1661.2010.01082.x]</w:t>
      </w:r>
    </w:p>
    <w:p w14:paraId="5C16253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29 </w:t>
      </w:r>
      <w:r w:rsidRPr="00AF7547">
        <w:rPr>
          <w:rFonts w:ascii="Book Antiqua" w:eastAsia="Book Antiqua" w:hAnsi="Book Antiqua"/>
          <w:b/>
          <w:bCs/>
          <w:color w:val="000000"/>
        </w:rPr>
        <w:t>Jeong YS</w:t>
      </w:r>
      <w:r w:rsidRPr="00AF7547">
        <w:rPr>
          <w:rFonts w:ascii="Book Antiqua" w:eastAsia="Book Antiqua" w:hAnsi="Book Antiqua"/>
          <w:color w:val="000000"/>
        </w:rPr>
        <w:t xml:space="preserve">, Kim SE, Kwon MJ, Seo JY, Lim H, Park JW, Kang HS, Moon SH, Kim JH, Park CK. Signet-ring cell carcinoma arising from a fundic gland polyp in the stomach. </w:t>
      </w:r>
      <w:r w:rsidRPr="00AF7547">
        <w:rPr>
          <w:rFonts w:ascii="Book Antiqua" w:eastAsia="Book Antiqua" w:hAnsi="Book Antiqua"/>
          <w:i/>
          <w:iCs/>
          <w:color w:val="000000"/>
        </w:rPr>
        <w:t>World J Gastroenterol</w:t>
      </w:r>
      <w:r w:rsidRPr="00AF7547">
        <w:rPr>
          <w:rFonts w:ascii="Book Antiqua" w:eastAsia="Book Antiqua" w:hAnsi="Book Antiqua"/>
          <w:color w:val="000000"/>
        </w:rPr>
        <w:t xml:space="preserve"> 2014; </w:t>
      </w:r>
      <w:r w:rsidRPr="00AF7547">
        <w:rPr>
          <w:rFonts w:ascii="Book Antiqua" w:eastAsia="Book Antiqua" w:hAnsi="Book Antiqua"/>
          <w:b/>
          <w:bCs/>
          <w:color w:val="000000"/>
        </w:rPr>
        <w:t>20</w:t>
      </w:r>
      <w:r w:rsidRPr="00AF7547">
        <w:rPr>
          <w:rFonts w:ascii="Book Antiqua" w:eastAsia="Book Antiqua" w:hAnsi="Book Antiqua"/>
          <w:color w:val="000000"/>
        </w:rPr>
        <w:t>: 18044-18047 [PMID: 25548505 DOI: 10.3748/wjg.v20.i47.18044]</w:t>
      </w:r>
    </w:p>
    <w:p w14:paraId="589F62A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30 </w:t>
      </w:r>
      <w:r w:rsidRPr="00AF7547">
        <w:rPr>
          <w:rFonts w:ascii="Book Antiqua" w:eastAsia="Book Antiqua" w:hAnsi="Book Antiqua"/>
          <w:b/>
          <w:bCs/>
          <w:color w:val="000000"/>
        </w:rPr>
        <w:t>Levy MD</w:t>
      </w:r>
      <w:r w:rsidRPr="00AF7547">
        <w:rPr>
          <w:rFonts w:ascii="Book Antiqua" w:eastAsia="Book Antiqua" w:hAnsi="Book Antiqua"/>
          <w:color w:val="000000"/>
        </w:rPr>
        <w:t xml:space="preserve">, Bhattacharya B. Sporadic Fundic Gland Polyps With Low-Grade Dysplasia: A Large Case Series Evaluating Pathologic and Immunohistochemical Findings and Clinical Behavior. </w:t>
      </w:r>
      <w:r w:rsidRPr="00AF7547">
        <w:rPr>
          <w:rFonts w:ascii="Book Antiqua" w:eastAsia="Book Antiqua" w:hAnsi="Book Antiqua"/>
          <w:i/>
          <w:iCs/>
          <w:color w:val="000000"/>
        </w:rPr>
        <w:t>Am J Clin Pathol</w:t>
      </w:r>
      <w:r w:rsidRPr="00AF7547">
        <w:rPr>
          <w:rFonts w:ascii="Book Antiqua" w:eastAsia="Book Antiqua" w:hAnsi="Book Antiqua"/>
          <w:color w:val="000000"/>
        </w:rPr>
        <w:t xml:space="preserve"> 2015; </w:t>
      </w:r>
      <w:r w:rsidRPr="00AF7547">
        <w:rPr>
          <w:rFonts w:ascii="Book Antiqua" w:eastAsia="Book Antiqua" w:hAnsi="Book Antiqua"/>
          <w:b/>
          <w:bCs/>
          <w:color w:val="000000"/>
        </w:rPr>
        <w:t>144</w:t>
      </w:r>
      <w:r w:rsidRPr="00AF7547">
        <w:rPr>
          <w:rFonts w:ascii="Book Antiqua" w:eastAsia="Book Antiqua" w:hAnsi="Book Antiqua"/>
          <w:color w:val="000000"/>
        </w:rPr>
        <w:t>: 592-600 [PMID: 26386080 DOI: 10.1309/AJCPGK8QTYPUQJYL]</w:t>
      </w:r>
    </w:p>
    <w:p w14:paraId="7597DA02"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31 </w:t>
      </w:r>
      <w:r w:rsidRPr="00AF7547">
        <w:rPr>
          <w:rFonts w:ascii="Book Antiqua" w:eastAsia="Book Antiqua" w:hAnsi="Book Antiqua"/>
          <w:b/>
          <w:bCs/>
          <w:color w:val="000000"/>
        </w:rPr>
        <w:t>Togo K</w:t>
      </w:r>
      <w:r w:rsidRPr="00AF7547">
        <w:rPr>
          <w:rFonts w:ascii="Book Antiqua" w:eastAsia="Book Antiqua" w:hAnsi="Book Antiqua"/>
          <w:color w:val="000000"/>
        </w:rPr>
        <w:t xml:space="preserve">, Ueo T, Yonemasu H, Honda H, Ishida T, Tanabe H, Yao K, Iwashita A, Murakami K. Two cases of adenocarcinoma occurring in sporadic fundic gland polyps observed by magnifying endoscopy with narrow band imaging. </w:t>
      </w:r>
      <w:r w:rsidRPr="00AF7547">
        <w:rPr>
          <w:rFonts w:ascii="Book Antiqua" w:eastAsia="Book Antiqua" w:hAnsi="Book Antiqua"/>
          <w:i/>
          <w:iCs/>
          <w:color w:val="000000"/>
        </w:rPr>
        <w:t>World J Gastroenterol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22</w:t>
      </w:r>
      <w:r w:rsidRPr="00AF7547">
        <w:rPr>
          <w:rFonts w:ascii="Book Antiqua" w:eastAsia="Book Antiqua" w:hAnsi="Book Antiqua"/>
          <w:color w:val="000000"/>
        </w:rPr>
        <w:t>: 9028-9034 [PMID: 27833394 DOI: 10.3748/wjg.v22.i40.9028]</w:t>
      </w:r>
    </w:p>
    <w:p w14:paraId="5D9373EA"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32 </w:t>
      </w:r>
      <w:r w:rsidRPr="00AF7547">
        <w:rPr>
          <w:rFonts w:ascii="Book Antiqua" w:eastAsia="Book Antiqua" w:hAnsi="Book Antiqua"/>
          <w:b/>
          <w:bCs/>
          <w:color w:val="000000"/>
        </w:rPr>
        <w:t>Lloyd IE</w:t>
      </w:r>
      <w:r w:rsidRPr="00AF7547">
        <w:rPr>
          <w:rFonts w:ascii="Book Antiqua" w:eastAsia="Book Antiqua" w:hAnsi="Book Antiqua"/>
          <w:color w:val="000000"/>
        </w:rPr>
        <w:t xml:space="preserve">, Kohlmann WK, Gligorich K, Hall A, Lyon E, Downs-Kelly E, Samowitz WS, Bronner MP. A Clinicopathologic Evaluation of Incidental Fundic Gland Polyps With Dysplasia: Implications for Clinical Management. </w:t>
      </w:r>
      <w:r w:rsidRPr="00AF7547">
        <w:rPr>
          <w:rFonts w:ascii="Book Antiqua" w:eastAsia="Book Antiqua" w:hAnsi="Book Antiqua"/>
          <w:i/>
          <w:iCs/>
          <w:color w:val="000000"/>
        </w:rPr>
        <w:t>Am J Gastroenterol</w:t>
      </w:r>
      <w:r w:rsidRPr="00AF7547">
        <w:rPr>
          <w:rFonts w:ascii="Book Antiqua" w:eastAsia="Book Antiqua" w:hAnsi="Book Antiqua"/>
          <w:color w:val="000000"/>
        </w:rPr>
        <w:t xml:space="preserve"> 2017; </w:t>
      </w:r>
      <w:r w:rsidRPr="00AF7547">
        <w:rPr>
          <w:rFonts w:ascii="Book Antiqua" w:eastAsia="Book Antiqua" w:hAnsi="Book Antiqua"/>
          <w:b/>
          <w:bCs/>
          <w:color w:val="000000"/>
        </w:rPr>
        <w:t>112</w:t>
      </w:r>
      <w:r w:rsidRPr="00AF7547">
        <w:rPr>
          <w:rFonts w:ascii="Book Antiqua" w:eastAsia="Book Antiqua" w:hAnsi="Book Antiqua"/>
          <w:color w:val="000000"/>
        </w:rPr>
        <w:t>: 1094-1102 [PMID: 28462913 DOI: 10.1038/ajg.2017.125]</w:t>
      </w:r>
    </w:p>
    <w:p w14:paraId="7CD2B52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33 </w:t>
      </w:r>
      <w:r w:rsidRPr="00AF7547">
        <w:rPr>
          <w:rFonts w:ascii="Book Antiqua" w:eastAsia="Book Antiqua" w:hAnsi="Book Antiqua"/>
          <w:b/>
          <w:bCs/>
          <w:color w:val="000000"/>
        </w:rPr>
        <w:t>Fukuda M</w:t>
      </w:r>
      <w:r w:rsidRPr="00AF7547">
        <w:rPr>
          <w:rFonts w:ascii="Book Antiqua" w:eastAsia="Book Antiqua" w:hAnsi="Book Antiqua"/>
          <w:color w:val="000000"/>
        </w:rPr>
        <w:t xml:space="preserve">, Ishigaki H, Ban H, Sugimoto M, Tanaka E, Yonemaru J, Kuroe S, Namura T, Matsubara A, Moritani S, Murakami K, Andoh A, Kushima R. No transformation of a fundic gland polyp with dysplasia into invasive carcinoma after 14 years of follow-up in a proton pump inhibitor-treated patient: A case report. </w:t>
      </w:r>
      <w:r w:rsidRPr="00AF7547">
        <w:rPr>
          <w:rFonts w:ascii="Book Antiqua" w:eastAsia="Book Antiqua" w:hAnsi="Book Antiqua"/>
          <w:i/>
          <w:iCs/>
          <w:color w:val="000000"/>
        </w:rPr>
        <w:t>Pathol Int</w:t>
      </w:r>
      <w:r w:rsidRPr="00AF7547">
        <w:rPr>
          <w:rFonts w:ascii="Book Antiqua" w:eastAsia="Book Antiqua" w:hAnsi="Book Antiqua"/>
          <w:color w:val="000000"/>
        </w:rPr>
        <w:t xml:space="preserve"> 2018; </w:t>
      </w:r>
      <w:r w:rsidRPr="00AF7547">
        <w:rPr>
          <w:rFonts w:ascii="Book Antiqua" w:eastAsia="Book Antiqua" w:hAnsi="Book Antiqua"/>
          <w:b/>
          <w:bCs/>
          <w:color w:val="000000"/>
        </w:rPr>
        <w:t>68</w:t>
      </w:r>
      <w:r w:rsidRPr="00AF7547">
        <w:rPr>
          <w:rFonts w:ascii="Book Antiqua" w:eastAsia="Book Antiqua" w:hAnsi="Book Antiqua"/>
          <w:color w:val="000000"/>
        </w:rPr>
        <w:t>: 706-711 [PMID: 30511782 DOI: 10.1111/pin.12739]</w:t>
      </w:r>
    </w:p>
    <w:p w14:paraId="3A7C1DD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34 </w:t>
      </w:r>
      <w:r w:rsidRPr="00AF7547">
        <w:rPr>
          <w:rFonts w:ascii="Book Antiqua" w:eastAsia="Book Antiqua" w:hAnsi="Book Antiqua"/>
          <w:b/>
          <w:bCs/>
          <w:color w:val="000000"/>
        </w:rPr>
        <w:t>Straub SF</w:t>
      </w:r>
      <w:r w:rsidRPr="00AF7547">
        <w:rPr>
          <w:rFonts w:ascii="Book Antiqua" w:eastAsia="Book Antiqua" w:hAnsi="Book Antiqua"/>
          <w:color w:val="000000"/>
        </w:rPr>
        <w:t xml:space="preserve">, Drage MG, Gonzalez RS. Comparison of dysplastic fundic gland polyps in patients with and without familial adenomatous polyposis.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2018; </w:t>
      </w:r>
      <w:r w:rsidRPr="00AF7547">
        <w:rPr>
          <w:rFonts w:ascii="Book Antiqua" w:eastAsia="Book Antiqua" w:hAnsi="Book Antiqua"/>
          <w:b/>
          <w:bCs/>
          <w:color w:val="000000"/>
        </w:rPr>
        <w:t>72</w:t>
      </w:r>
      <w:r w:rsidRPr="00AF7547">
        <w:rPr>
          <w:rFonts w:ascii="Book Antiqua" w:eastAsia="Book Antiqua" w:hAnsi="Book Antiqua"/>
          <w:color w:val="000000"/>
        </w:rPr>
        <w:t>: 1172-1179 [PMID: 29436014 DOI: 10.1111/his.13485]</w:t>
      </w:r>
    </w:p>
    <w:p w14:paraId="4690989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35 </w:t>
      </w:r>
      <w:r w:rsidRPr="00AF7547">
        <w:rPr>
          <w:rFonts w:ascii="Book Antiqua" w:eastAsia="Book Antiqua" w:hAnsi="Book Antiqua"/>
          <w:b/>
          <w:bCs/>
          <w:color w:val="000000"/>
        </w:rPr>
        <w:t>Shibukawa N</w:t>
      </w:r>
      <w:r w:rsidRPr="00AF7547">
        <w:rPr>
          <w:rFonts w:ascii="Book Antiqua" w:eastAsia="Book Antiqua" w:hAnsi="Book Antiqua"/>
          <w:color w:val="000000"/>
        </w:rPr>
        <w:t xml:space="preserve">, Wakahara Y, Ouchi S, Wakamatsu S, Kaneko A. Synchronous Three Gastric Fundic Gland Polyps with Low-grade Dysplasia Treated with Endoscopic Mucosal Resection after Being Diagnosed to Be Tubular Adenocarcinoma Based on a </w:t>
      </w:r>
      <w:r w:rsidRPr="00AF7547">
        <w:rPr>
          <w:rFonts w:ascii="Book Antiqua" w:eastAsia="Book Antiqua" w:hAnsi="Book Antiqua"/>
          <w:color w:val="000000"/>
        </w:rPr>
        <w:lastRenderedPageBreak/>
        <w:t xml:space="preserve">Biopsy Specimen. </w:t>
      </w:r>
      <w:r w:rsidRPr="00AF7547">
        <w:rPr>
          <w:rFonts w:ascii="Book Antiqua" w:eastAsia="Book Antiqua" w:hAnsi="Book Antiqua"/>
          <w:i/>
          <w:iCs/>
          <w:color w:val="000000"/>
        </w:rPr>
        <w:t>Intern Med</w:t>
      </w:r>
      <w:r w:rsidRPr="00AF7547">
        <w:rPr>
          <w:rFonts w:ascii="Book Antiqua" w:eastAsia="Book Antiqua" w:hAnsi="Book Antiqua"/>
          <w:color w:val="000000"/>
        </w:rPr>
        <w:t xml:space="preserve"> 2019; </w:t>
      </w:r>
      <w:r w:rsidRPr="00AF7547">
        <w:rPr>
          <w:rFonts w:ascii="Book Antiqua" w:eastAsia="Book Antiqua" w:hAnsi="Book Antiqua"/>
          <w:b/>
          <w:bCs/>
          <w:color w:val="000000"/>
        </w:rPr>
        <w:t>58</w:t>
      </w:r>
      <w:r w:rsidRPr="00AF7547">
        <w:rPr>
          <w:rFonts w:ascii="Book Antiqua" w:eastAsia="Book Antiqua" w:hAnsi="Book Antiqua"/>
          <w:color w:val="000000"/>
        </w:rPr>
        <w:t>: 1871-1875 [PMID: 30918177 DOI: 10.2169/internalmedicine.2081-18]</w:t>
      </w:r>
    </w:p>
    <w:p w14:paraId="343AC58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36 </w:t>
      </w:r>
      <w:r w:rsidRPr="00AF7547">
        <w:rPr>
          <w:rFonts w:ascii="Book Antiqua" w:eastAsia="Book Antiqua" w:hAnsi="Book Antiqua"/>
          <w:b/>
          <w:bCs/>
          <w:color w:val="000000"/>
        </w:rPr>
        <w:t>Nawata Y</w:t>
      </w:r>
      <w:r w:rsidRPr="00AF7547">
        <w:rPr>
          <w:rFonts w:ascii="Book Antiqua" w:eastAsia="Book Antiqua" w:hAnsi="Book Antiqua"/>
          <w:color w:val="000000"/>
        </w:rPr>
        <w:t xml:space="preserve">, Ichihara S, Hirasawa D, Tanaka I, Unno S, Igarashi K, Matsuda T. A case of gastric adenocarcinoma considered to originate from a sporadic fundic gland polyp in a Helicobacter pylori-uninfected stomach. </w:t>
      </w:r>
      <w:r w:rsidRPr="00AF7547">
        <w:rPr>
          <w:rFonts w:ascii="Book Antiqua" w:eastAsia="Book Antiqua" w:hAnsi="Book Antiqua"/>
          <w:i/>
          <w:iCs/>
          <w:color w:val="000000"/>
        </w:rPr>
        <w:t>Clin J Gastroenterol</w:t>
      </w:r>
      <w:r w:rsidRPr="00AF7547">
        <w:rPr>
          <w:rFonts w:ascii="Book Antiqua" w:eastAsia="Book Antiqua" w:hAnsi="Book Antiqua"/>
          <w:color w:val="000000"/>
        </w:rPr>
        <w:t xml:space="preserve"> 2020; </w:t>
      </w:r>
      <w:r w:rsidRPr="00AF7547">
        <w:rPr>
          <w:rFonts w:ascii="Book Antiqua" w:eastAsia="Book Antiqua" w:hAnsi="Book Antiqua"/>
          <w:b/>
          <w:bCs/>
          <w:color w:val="000000"/>
        </w:rPr>
        <w:t>13</w:t>
      </w:r>
      <w:r w:rsidRPr="00AF7547">
        <w:rPr>
          <w:rFonts w:ascii="Book Antiqua" w:eastAsia="Book Antiqua" w:hAnsi="Book Antiqua"/>
          <w:color w:val="000000"/>
        </w:rPr>
        <w:t>: 740-745 [PMID: 32468503 DOI: 10.1007/s12328-020-01139-y]</w:t>
      </w:r>
    </w:p>
    <w:p w14:paraId="4DB7A7E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37 </w:t>
      </w:r>
      <w:r w:rsidRPr="00AF7547">
        <w:rPr>
          <w:rFonts w:ascii="Book Antiqua" w:eastAsia="Book Antiqua" w:hAnsi="Book Antiqua"/>
          <w:b/>
          <w:bCs/>
          <w:color w:val="000000"/>
        </w:rPr>
        <w:t>Arnason T</w:t>
      </w:r>
      <w:r w:rsidRPr="00AF7547">
        <w:rPr>
          <w:rFonts w:ascii="Book Antiqua" w:eastAsia="Book Antiqua" w:hAnsi="Book Antiqua"/>
          <w:color w:val="000000"/>
        </w:rPr>
        <w:t xml:space="preserve">, Liang WY, Alfaro E, Kelly P, Chung DC, Odze RD, Lauwers GY. Morphology and natural history of familial adenomatous polyposis-associated dysplastic fundic gland polyps. </w:t>
      </w:r>
      <w:r w:rsidRPr="00AF7547">
        <w:rPr>
          <w:rFonts w:ascii="Book Antiqua" w:eastAsia="Book Antiqua" w:hAnsi="Book Antiqua"/>
          <w:i/>
          <w:iCs/>
          <w:color w:val="000000"/>
        </w:rPr>
        <w:t>Histopathology</w:t>
      </w:r>
      <w:r w:rsidRPr="00AF7547">
        <w:rPr>
          <w:rFonts w:ascii="Book Antiqua" w:eastAsia="Book Antiqua" w:hAnsi="Book Antiqua"/>
          <w:color w:val="000000"/>
        </w:rPr>
        <w:t xml:space="preserve"> 2014; </w:t>
      </w:r>
      <w:r w:rsidRPr="00AF7547">
        <w:rPr>
          <w:rFonts w:ascii="Book Antiqua" w:eastAsia="Book Antiqua" w:hAnsi="Book Antiqua"/>
          <w:b/>
          <w:bCs/>
          <w:color w:val="000000"/>
        </w:rPr>
        <w:t>65</w:t>
      </w:r>
      <w:r w:rsidRPr="00AF7547">
        <w:rPr>
          <w:rFonts w:ascii="Book Antiqua" w:eastAsia="Book Antiqua" w:hAnsi="Book Antiqua"/>
          <w:color w:val="000000"/>
        </w:rPr>
        <w:t>: 353-362 [PMID: 24548295 DOI: 10.1111/his.12393]</w:t>
      </w:r>
    </w:p>
    <w:p w14:paraId="19B01731"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38 </w:t>
      </w:r>
      <w:r w:rsidRPr="00AF7547">
        <w:rPr>
          <w:rFonts w:ascii="Book Antiqua" w:eastAsia="Book Antiqua" w:hAnsi="Book Antiqua"/>
          <w:b/>
          <w:bCs/>
          <w:color w:val="000000"/>
        </w:rPr>
        <w:t>Yagi K</w:t>
      </w:r>
      <w:r w:rsidRPr="00AF7547">
        <w:rPr>
          <w:rFonts w:ascii="Book Antiqua" w:eastAsia="Book Antiqua" w:hAnsi="Book Antiqua"/>
          <w:color w:val="000000"/>
        </w:rPr>
        <w:t xml:space="preserve">, Aruga Y, Nakamura A, Sekine A. Regular arrangement of collecting venules (RAC): a characteristic endoscopic feature of Helicobacter pylori-negative normal stomach and its relationship with esophago-gastric adenocarcinoma. </w:t>
      </w:r>
      <w:r w:rsidRPr="00AF7547">
        <w:rPr>
          <w:rFonts w:ascii="Book Antiqua" w:eastAsia="Book Antiqua" w:hAnsi="Book Antiqua"/>
          <w:i/>
          <w:iCs/>
          <w:color w:val="000000"/>
        </w:rPr>
        <w:t>J Gastroenterol</w:t>
      </w:r>
      <w:r w:rsidRPr="00AF7547">
        <w:rPr>
          <w:rFonts w:ascii="Book Antiqua" w:eastAsia="Book Antiqua" w:hAnsi="Book Antiqua"/>
          <w:color w:val="000000"/>
        </w:rPr>
        <w:t xml:space="preserve"> 2005; </w:t>
      </w:r>
      <w:r w:rsidRPr="00AF7547">
        <w:rPr>
          <w:rFonts w:ascii="Book Antiqua" w:eastAsia="Book Antiqua" w:hAnsi="Book Antiqua"/>
          <w:b/>
          <w:bCs/>
          <w:color w:val="000000"/>
        </w:rPr>
        <w:t>40</w:t>
      </w:r>
      <w:r w:rsidRPr="00AF7547">
        <w:rPr>
          <w:rFonts w:ascii="Book Antiqua" w:eastAsia="Book Antiqua" w:hAnsi="Book Antiqua"/>
          <w:color w:val="000000"/>
        </w:rPr>
        <w:t>: 443-452 [PMID: 15942708 DOI: 10.1007/s00535-005-1605-0]</w:t>
      </w:r>
    </w:p>
    <w:p w14:paraId="13766BF9"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39 </w:t>
      </w:r>
      <w:r w:rsidRPr="00AF7547">
        <w:rPr>
          <w:rFonts w:ascii="Book Antiqua" w:eastAsia="Book Antiqua" w:hAnsi="Book Antiqua"/>
          <w:b/>
          <w:bCs/>
          <w:color w:val="000000"/>
        </w:rPr>
        <w:t>Maki S</w:t>
      </w:r>
      <w:r w:rsidRPr="00AF7547">
        <w:rPr>
          <w:rFonts w:ascii="Book Antiqua" w:eastAsia="Book Antiqua" w:hAnsi="Book Antiqua"/>
          <w:color w:val="000000"/>
        </w:rPr>
        <w:t xml:space="preserve">, Yao K, Nagahama T, Beppu T, Hisabe T, Takaki Y, Hirai F, Matsui T, Tanabe H, Iwashita A. Magnifying endoscopy with narrow-band imaging is useful in the differential diagnosis between low-grade adenoma and early cancer of superficial elevated gastric lesions. </w:t>
      </w:r>
      <w:r w:rsidRPr="00AF7547">
        <w:rPr>
          <w:rFonts w:ascii="Book Antiqua" w:eastAsia="Book Antiqua" w:hAnsi="Book Antiqua"/>
          <w:i/>
          <w:iCs/>
          <w:color w:val="000000"/>
        </w:rPr>
        <w:t>Gastric Cancer</w:t>
      </w:r>
      <w:r w:rsidRPr="00AF7547">
        <w:rPr>
          <w:rFonts w:ascii="Book Antiqua" w:eastAsia="Book Antiqua" w:hAnsi="Book Antiqua"/>
          <w:color w:val="000000"/>
        </w:rPr>
        <w:t xml:space="preserve"> 2013; </w:t>
      </w:r>
      <w:r w:rsidRPr="00AF7547">
        <w:rPr>
          <w:rFonts w:ascii="Book Antiqua" w:eastAsia="Book Antiqua" w:hAnsi="Book Antiqua"/>
          <w:b/>
          <w:bCs/>
          <w:color w:val="000000"/>
        </w:rPr>
        <w:t>16</w:t>
      </w:r>
      <w:r w:rsidRPr="00AF7547">
        <w:rPr>
          <w:rFonts w:ascii="Book Antiqua" w:eastAsia="Book Antiqua" w:hAnsi="Book Antiqua"/>
          <w:color w:val="000000"/>
        </w:rPr>
        <w:t>: 140-146 [PMID: 22592604 DOI: 10.1007/s10120-012-0160-7]</w:t>
      </w:r>
    </w:p>
    <w:p w14:paraId="4118F9A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40 </w:t>
      </w:r>
      <w:r w:rsidRPr="00AF7547">
        <w:rPr>
          <w:rFonts w:ascii="Book Antiqua" w:eastAsia="Book Antiqua" w:hAnsi="Book Antiqua"/>
          <w:b/>
          <w:bCs/>
          <w:color w:val="000000"/>
        </w:rPr>
        <w:t>Yao K</w:t>
      </w:r>
      <w:r w:rsidRPr="00AF7547">
        <w:rPr>
          <w:rFonts w:ascii="Book Antiqua" w:eastAsia="Book Antiqua" w:hAnsi="Book Antiqua"/>
          <w:color w:val="000000"/>
        </w:rPr>
        <w:t xml:space="preserve">, Anagnostopoulos GK, Ragunath K. Magnifying endoscopy for diagnosing and delineating early gastric cancer. </w:t>
      </w:r>
      <w:r w:rsidRPr="00AF7547">
        <w:rPr>
          <w:rFonts w:ascii="Book Antiqua" w:eastAsia="Book Antiqua" w:hAnsi="Book Antiqua"/>
          <w:i/>
          <w:iCs/>
          <w:color w:val="000000"/>
        </w:rPr>
        <w:t>Endoscopy</w:t>
      </w:r>
      <w:r w:rsidRPr="00AF7547">
        <w:rPr>
          <w:rFonts w:ascii="Book Antiqua" w:eastAsia="Book Antiqua" w:hAnsi="Book Antiqua"/>
          <w:color w:val="000000"/>
        </w:rPr>
        <w:t xml:space="preserve"> 2009; </w:t>
      </w:r>
      <w:r w:rsidRPr="00AF7547">
        <w:rPr>
          <w:rFonts w:ascii="Book Antiqua" w:eastAsia="Book Antiqua" w:hAnsi="Book Antiqua"/>
          <w:b/>
          <w:bCs/>
          <w:color w:val="000000"/>
        </w:rPr>
        <w:t>41</w:t>
      </w:r>
      <w:r w:rsidRPr="00AF7547">
        <w:rPr>
          <w:rFonts w:ascii="Book Antiqua" w:eastAsia="Book Antiqua" w:hAnsi="Book Antiqua"/>
          <w:color w:val="000000"/>
        </w:rPr>
        <w:t>: 462-467 [PMID: 19418401 DOI: 10.1055/s-0029-1214594]</w:t>
      </w:r>
    </w:p>
    <w:p w14:paraId="762DB54F"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41 </w:t>
      </w:r>
      <w:r w:rsidRPr="00AF7547">
        <w:rPr>
          <w:rFonts w:ascii="Book Antiqua" w:eastAsia="Book Antiqua" w:hAnsi="Book Antiqua"/>
          <w:b/>
          <w:bCs/>
          <w:color w:val="000000"/>
        </w:rPr>
        <w:t>Yao K</w:t>
      </w:r>
      <w:r w:rsidRPr="00AF7547">
        <w:rPr>
          <w:rFonts w:ascii="Book Antiqua" w:eastAsia="Book Antiqua" w:hAnsi="Book Antiqua"/>
          <w:color w:val="000000"/>
        </w:rPr>
        <w:t xml:space="preserve">. Clinical Application of Magnifying Endoscopy with Narrow-Band Imaging in the Stomach. </w:t>
      </w:r>
      <w:r w:rsidRPr="00AF7547">
        <w:rPr>
          <w:rFonts w:ascii="Book Antiqua" w:eastAsia="Book Antiqua" w:hAnsi="Book Antiqua"/>
          <w:i/>
          <w:iCs/>
          <w:color w:val="000000"/>
        </w:rPr>
        <w:t>Clin Endosc</w:t>
      </w:r>
      <w:r w:rsidRPr="00AF7547">
        <w:rPr>
          <w:rFonts w:ascii="Book Antiqua" w:eastAsia="Book Antiqua" w:hAnsi="Book Antiqua"/>
          <w:color w:val="000000"/>
        </w:rPr>
        <w:t xml:space="preserve"> 2015; </w:t>
      </w:r>
      <w:r w:rsidRPr="00AF7547">
        <w:rPr>
          <w:rFonts w:ascii="Book Antiqua" w:eastAsia="Book Antiqua" w:hAnsi="Book Antiqua"/>
          <w:b/>
          <w:bCs/>
          <w:color w:val="000000"/>
        </w:rPr>
        <w:t>48</w:t>
      </w:r>
      <w:r w:rsidRPr="00AF7547">
        <w:rPr>
          <w:rFonts w:ascii="Book Antiqua" w:eastAsia="Book Antiqua" w:hAnsi="Book Antiqua"/>
          <w:color w:val="000000"/>
        </w:rPr>
        <w:t>: 481-490 [PMID: 26668793 DOI: 10.5946/ce.2015.48.6.481]</w:t>
      </w:r>
    </w:p>
    <w:p w14:paraId="5291826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42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Nobukawa B, Giardiello FM, Hamilton SR, Wu TT. Fundic gland polyps in familial adenomatous polyposis: neoplasms with frequent somatic adenomatous polyposis coli gene alterations. </w:t>
      </w:r>
      <w:r w:rsidRPr="00AF7547">
        <w:rPr>
          <w:rFonts w:ascii="Book Antiqua" w:eastAsia="Book Antiqua" w:hAnsi="Book Antiqua"/>
          <w:i/>
          <w:iCs/>
          <w:color w:val="000000"/>
        </w:rPr>
        <w:t>Am J Pathol</w:t>
      </w:r>
      <w:r w:rsidRPr="00AF7547">
        <w:rPr>
          <w:rFonts w:ascii="Book Antiqua" w:eastAsia="Book Antiqua" w:hAnsi="Book Antiqua"/>
          <w:color w:val="000000"/>
        </w:rPr>
        <w:t xml:space="preserve"> 2000; </w:t>
      </w:r>
      <w:r w:rsidRPr="00AF7547">
        <w:rPr>
          <w:rFonts w:ascii="Book Antiqua" w:eastAsia="Book Antiqua" w:hAnsi="Book Antiqua"/>
          <w:b/>
          <w:bCs/>
          <w:color w:val="000000"/>
        </w:rPr>
        <w:t>157</w:t>
      </w:r>
      <w:r w:rsidRPr="00AF7547">
        <w:rPr>
          <w:rFonts w:ascii="Book Antiqua" w:eastAsia="Book Antiqua" w:hAnsi="Book Antiqua"/>
          <w:color w:val="000000"/>
        </w:rPr>
        <w:t>: 747-754 [PMID: 10980114 DOI: 10.1016/S0002-9440(10)64588-9]</w:t>
      </w:r>
    </w:p>
    <w:p w14:paraId="33444FB5"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lastRenderedPageBreak/>
        <w:t xml:space="preserve">43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Nobukawa B, Giardiello FM, Hamilton SR, Wu TT. Sporadic fundic gland polyps: common gastric polyps arising through activating mutations in the beta-catenin gene. </w:t>
      </w:r>
      <w:r w:rsidRPr="00AF7547">
        <w:rPr>
          <w:rFonts w:ascii="Book Antiqua" w:eastAsia="Book Antiqua" w:hAnsi="Book Antiqua"/>
          <w:i/>
          <w:iCs/>
          <w:color w:val="000000"/>
        </w:rPr>
        <w:t>Am J Pathol</w:t>
      </w:r>
      <w:r w:rsidRPr="00AF7547">
        <w:rPr>
          <w:rFonts w:ascii="Book Antiqua" w:eastAsia="Book Antiqua" w:hAnsi="Book Antiqua"/>
          <w:color w:val="000000"/>
        </w:rPr>
        <w:t xml:space="preserve"> 2001; </w:t>
      </w:r>
      <w:r w:rsidRPr="00AF7547">
        <w:rPr>
          <w:rFonts w:ascii="Book Antiqua" w:eastAsia="Book Antiqua" w:hAnsi="Book Antiqua"/>
          <w:b/>
          <w:bCs/>
          <w:color w:val="000000"/>
        </w:rPr>
        <w:t>158</w:t>
      </w:r>
      <w:r w:rsidRPr="00AF7547">
        <w:rPr>
          <w:rFonts w:ascii="Book Antiqua" w:eastAsia="Book Antiqua" w:hAnsi="Book Antiqua"/>
          <w:color w:val="000000"/>
        </w:rPr>
        <w:t>: 1005-1010 [PMID: 11238048 DOI: 10.1016/s0002-9440(10)64047-3]</w:t>
      </w:r>
    </w:p>
    <w:p w14:paraId="5EB2A5A0"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44 </w:t>
      </w:r>
      <w:r w:rsidRPr="00AF7547">
        <w:rPr>
          <w:rFonts w:ascii="Book Antiqua" w:eastAsia="Book Antiqua" w:hAnsi="Book Antiqua"/>
          <w:b/>
          <w:bCs/>
          <w:color w:val="000000"/>
        </w:rPr>
        <w:t>Abraham SC</w:t>
      </w:r>
      <w:r w:rsidRPr="00AF7547">
        <w:rPr>
          <w:rFonts w:ascii="Book Antiqua" w:eastAsia="Book Antiqua" w:hAnsi="Book Antiqua"/>
          <w:color w:val="000000"/>
        </w:rPr>
        <w:t xml:space="preserve">, Park SJ, Mugartegui L, Hamilton SR, Wu TT. Sporadic fundic gland polyps with epithelial dysplasia : evidence for preferential targeting for mutations in the adenomatous polyposis coli gene. </w:t>
      </w:r>
      <w:r w:rsidRPr="00AF7547">
        <w:rPr>
          <w:rFonts w:ascii="Book Antiqua" w:eastAsia="Book Antiqua" w:hAnsi="Book Antiqua"/>
          <w:i/>
          <w:iCs/>
          <w:color w:val="000000"/>
        </w:rPr>
        <w:t>Am J Pathol</w:t>
      </w:r>
      <w:r w:rsidRPr="00AF7547">
        <w:rPr>
          <w:rFonts w:ascii="Book Antiqua" w:eastAsia="Book Antiqua" w:hAnsi="Book Antiqua"/>
          <w:color w:val="000000"/>
        </w:rPr>
        <w:t xml:space="preserve"> 2002; </w:t>
      </w:r>
      <w:r w:rsidRPr="00AF7547">
        <w:rPr>
          <w:rFonts w:ascii="Book Antiqua" w:eastAsia="Book Antiqua" w:hAnsi="Book Antiqua"/>
          <w:b/>
          <w:bCs/>
          <w:color w:val="000000"/>
        </w:rPr>
        <w:t>161</w:t>
      </w:r>
      <w:r w:rsidRPr="00AF7547">
        <w:rPr>
          <w:rFonts w:ascii="Book Antiqua" w:eastAsia="Book Antiqua" w:hAnsi="Book Antiqua"/>
          <w:color w:val="000000"/>
        </w:rPr>
        <w:t>: 1735-1742 [PMID: 12414520 DOI: 10.1016/S0002-9440(10)64450-1]</w:t>
      </w:r>
    </w:p>
    <w:p w14:paraId="0688C0EC"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45 </w:t>
      </w:r>
      <w:r w:rsidRPr="00AF7547">
        <w:rPr>
          <w:rFonts w:ascii="Book Antiqua" w:eastAsia="Book Antiqua" w:hAnsi="Book Antiqua"/>
          <w:b/>
          <w:bCs/>
          <w:color w:val="000000"/>
        </w:rPr>
        <w:t>Hassan A</w:t>
      </w:r>
      <w:r w:rsidRPr="00AF7547">
        <w:rPr>
          <w:rFonts w:ascii="Book Antiqua" w:eastAsia="Book Antiqua" w:hAnsi="Book Antiqua"/>
          <w:color w:val="000000"/>
        </w:rPr>
        <w:t xml:space="preserve">, Yerian LM, Kuan SF, Xiao SY, Hart J, Wang HL. Immunohistochemical evaluation of adenomatous polyposis coli, beta-catenin, c-Myc, cyclin D1, p53, and retinoblastoma protein expression in syndromic and sporadic fundic gland polyps. </w:t>
      </w:r>
      <w:r w:rsidRPr="00AF7547">
        <w:rPr>
          <w:rFonts w:ascii="Book Antiqua" w:eastAsia="Book Antiqua" w:hAnsi="Book Antiqua"/>
          <w:i/>
          <w:iCs/>
          <w:color w:val="000000"/>
        </w:rPr>
        <w:t>Hum Pathol</w:t>
      </w:r>
      <w:r w:rsidRPr="00AF7547">
        <w:rPr>
          <w:rFonts w:ascii="Book Antiqua" w:eastAsia="Book Antiqua" w:hAnsi="Book Antiqua"/>
          <w:color w:val="000000"/>
        </w:rPr>
        <w:t xml:space="preserve"> 2004; </w:t>
      </w:r>
      <w:r w:rsidRPr="00AF7547">
        <w:rPr>
          <w:rFonts w:ascii="Book Antiqua" w:eastAsia="Book Antiqua" w:hAnsi="Book Antiqua"/>
          <w:b/>
          <w:bCs/>
          <w:color w:val="000000"/>
        </w:rPr>
        <w:t>35</w:t>
      </w:r>
      <w:r w:rsidRPr="00AF7547">
        <w:rPr>
          <w:rFonts w:ascii="Book Antiqua" w:eastAsia="Book Antiqua" w:hAnsi="Book Antiqua"/>
          <w:color w:val="000000"/>
        </w:rPr>
        <w:t>: 328-334 [PMID: 15017589 DOI: 10.1016/j.humpath.2003.10.010]</w:t>
      </w:r>
    </w:p>
    <w:p w14:paraId="475DD06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 xml:space="preserve">46 </w:t>
      </w:r>
      <w:r w:rsidRPr="00AF7547">
        <w:rPr>
          <w:rFonts w:ascii="Book Antiqua" w:eastAsia="Book Antiqua" w:hAnsi="Book Antiqua"/>
          <w:b/>
          <w:bCs/>
          <w:color w:val="000000"/>
        </w:rPr>
        <w:t>Ohba R</w:t>
      </w:r>
      <w:r w:rsidRPr="00AF7547">
        <w:rPr>
          <w:rFonts w:ascii="Book Antiqua" w:eastAsia="Book Antiqua" w:hAnsi="Book Antiqua"/>
          <w:color w:val="000000"/>
        </w:rPr>
        <w:t xml:space="preserve">, Iijima K. Pathogenesis and risk factors for gastric cancer after Helicobacter pylori eradication. </w:t>
      </w:r>
      <w:r w:rsidRPr="00AF7547">
        <w:rPr>
          <w:rFonts w:ascii="Book Antiqua" w:eastAsia="Book Antiqua" w:hAnsi="Book Antiqua"/>
          <w:i/>
          <w:iCs/>
          <w:color w:val="000000"/>
        </w:rPr>
        <w:t>World J Gastrointest Oncol</w:t>
      </w:r>
      <w:r w:rsidRPr="00AF7547">
        <w:rPr>
          <w:rFonts w:ascii="Book Antiqua" w:eastAsia="Book Antiqua" w:hAnsi="Book Antiqua"/>
          <w:color w:val="000000"/>
        </w:rPr>
        <w:t xml:space="preserve"> 2016; </w:t>
      </w:r>
      <w:r w:rsidRPr="00AF7547">
        <w:rPr>
          <w:rFonts w:ascii="Book Antiqua" w:eastAsia="Book Antiqua" w:hAnsi="Book Antiqua"/>
          <w:b/>
          <w:bCs/>
          <w:color w:val="000000"/>
        </w:rPr>
        <w:t>8</w:t>
      </w:r>
      <w:r w:rsidRPr="00AF7547">
        <w:rPr>
          <w:rFonts w:ascii="Book Antiqua" w:eastAsia="Book Antiqua" w:hAnsi="Book Antiqua"/>
          <w:color w:val="000000"/>
        </w:rPr>
        <w:t>: 663-672 [PMID: 27672424 DOI: 10.4251/wjgo.v8.i9.663]</w:t>
      </w:r>
    </w:p>
    <w:p w14:paraId="751037B5" w14:textId="77777777" w:rsidR="00A77B3E" w:rsidRPr="00AF7547" w:rsidRDefault="00A77B3E" w:rsidP="00AF7547">
      <w:pPr>
        <w:adjustRightInd w:val="0"/>
        <w:snapToGrid w:val="0"/>
        <w:spacing w:line="360" w:lineRule="auto"/>
        <w:jc w:val="both"/>
        <w:rPr>
          <w:rFonts w:ascii="Book Antiqua" w:hAnsi="Book Antiqua"/>
        </w:rPr>
        <w:sectPr w:rsidR="00A77B3E" w:rsidRPr="00AF7547" w:rsidSect="008E4EB8">
          <w:pgSz w:w="12240" w:h="15840"/>
          <w:pgMar w:top="1440" w:right="1440" w:bottom="1440" w:left="1440" w:header="720" w:footer="720" w:gutter="0"/>
          <w:cols w:space="720"/>
          <w:docGrid w:linePitch="360"/>
        </w:sectPr>
      </w:pPr>
    </w:p>
    <w:p w14:paraId="0A36217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lastRenderedPageBreak/>
        <w:t>Footnotes</w:t>
      </w:r>
    </w:p>
    <w:p w14:paraId="59AF0F9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Conflict-of-interest statement: </w:t>
      </w:r>
      <w:r w:rsidRPr="00AF7547">
        <w:rPr>
          <w:rFonts w:ascii="Book Antiqua" w:eastAsia="Book Antiqua" w:hAnsi="Book Antiqua"/>
          <w:color w:val="000000"/>
        </w:rPr>
        <w:t>The authors declare no conflict of interest associated with this manuscript.</w:t>
      </w:r>
    </w:p>
    <w:p w14:paraId="2BF55478" w14:textId="77777777" w:rsidR="00A77B3E" w:rsidRPr="00AF7547" w:rsidRDefault="00A77B3E" w:rsidP="00AF7547">
      <w:pPr>
        <w:adjustRightInd w:val="0"/>
        <w:snapToGrid w:val="0"/>
        <w:spacing w:line="360" w:lineRule="auto"/>
        <w:jc w:val="both"/>
        <w:rPr>
          <w:rFonts w:ascii="Book Antiqua" w:hAnsi="Book Antiqua"/>
        </w:rPr>
      </w:pPr>
    </w:p>
    <w:p w14:paraId="7DB63FCE"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bCs/>
          <w:color w:val="000000"/>
        </w:rPr>
        <w:t xml:space="preserve">Open-Access: </w:t>
      </w:r>
      <w:r w:rsidRPr="00AF7547">
        <w:rPr>
          <w:rFonts w:ascii="Book Antiqua" w:eastAsia="Book Antiqua" w:hAnsi="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BAB53A" w14:textId="77777777" w:rsidR="00A77B3E" w:rsidRPr="00AF7547" w:rsidRDefault="00A77B3E" w:rsidP="00AF7547">
      <w:pPr>
        <w:adjustRightInd w:val="0"/>
        <w:snapToGrid w:val="0"/>
        <w:spacing w:line="360" w:lineRule="auto"/>
        <w:jc w:val="both"/>
        <w:rPr>
          <w:rFonts w:ascii="Book Antiqua" w:hAnsi="Book Antiqua"/>
        </w:rPr>
      </w:pPr>
    </w:p>
    <w:p w14:paraId="3CC7416B" w14:textId="62D95C59" w:rsidR="00A77B3E" w:rsidRDefault="00EE15D1" w:rsidP="00AF7547">
      <w:pPr>
        <w:adjustRightInd w:val="0"/>
        <w:snapToGrid w:val="0"/>
        <w:spacing w:line="360" w:lineRule="auto"/>
        <w:jc w:val="both"/>
        <w:rPr>
          <w:rFonts w:ascii="Book Antiqua" w:eastAsia="Book Antiqua" w:hAnsi="Book Antiqua"/>
          <w:color w:val="000000"/>
        </w:rPr>
      </w:pPr>
      <w:r w:rsidRPr="00AF7547">
        <w:rPr>
          <w:rFonts w:ascii="Book Antiqua" w:eastAsia="Book Antiqua" w:hAnsi="Book Antiqua"/>
          <w:b/>
          <w:color w:val="000000"/>
        </w:rPr>
        <w:t xml:space="preserve">Manuscript source: </w:t>
      </w:r>
      <w:r w:rsidRPr="00AF7547">
        <w:rPr>
          <w:rFonts w:ascii="Book Antiqua" w:eastAsia="Book Antiqua" w:hAnsi="Book Antiqua"/>
          <w:color w:val="000000"/>
        </w:rPr>
        <w:t xml:space="preserve">Invited </w:t>
      </w:r>
      <w:r w:rsidR="00CE77C4" w:rsidRPr="00AF7547">
        <w:rPr>
          <w:rFonts w:ascii="Book Antiqua" w:eastAsia="Book Antiqua" w:hAnsi="Book Antiqua"/>
          <w:color w:val="000000"/>
        </w:rPr>
        <w:t>m</w:t>
      </w:r>
      <w:r w:rsidRPr="00AF7547">
        <w:rPr>
          <w:rFonts w:ascii="Book Antiqua" w:eastAsia="Book Antiqua" w:hAnsi="Book Antiqua"/>
          <w:color w:val="000000"/>
        </w:rPr>
        <w:t>anuscript</w:t>
      </w:r>
    </w:p>
    <w:p w14:paraId="6A3CF742" w14:textId="77777777" w:rsidR="00DD6BDC" w:rsidRPr="00AF7547" w:rsidRDefault="00DD6BDC" w:rsidP="00AF7547">
      <w:pPr>
        <w:adjustRightInd w:val="0"/>
        <w:snapToGrid w:val="0"/>
        <w:spacing w:line="360" w:lineRule="auto"/>
        <w:jc w:val="both"/>
        <w:rPr>
          <w:rFonts w:ascii="Book Antiqua" w:hAnsi="Book Antiqua"/>
        </w:rPr>
      </w:pPr>
    </w:p>
    <w:p w14:paraId="43258D6C" w14:textId="54128709"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Corresponding Author's Membership in Professional Societies: </w:t>
      </w:r>
      <w:r w:rsidRPr="00AF7547">
        <w:rPr>
          <w:rFonts w:ascii="Book Antiqua" w:eastAsia="Book Antiqua" w:hAnsi="Book Antiqua"/>
          <w:color w:val="000000"/>
        </w:rPr>
        <w:t xml:space="preserve">The Japanese Society of Gastroenterology, </w:t>
      </w:r>
      <w:r w:rsidR="006D362A">
        <w:rPr>
          <w:rFonts w:ascii="Book Antiqua" w:eastAsia="Book Antiqua" w:hAnsi="Book Antiqua"/>
          <w:color w:val="000000"/>
        </w:rPr>
        <w:t xml:space="preserve">No. </w:t>
      </w:r>
      <w:r w:rsidRPr="00AF7547">
        <w:rPr>
          <w:rFonts w:ascii="Book Antiqua" w:eastAsia="Book Antiqua" w:hAnsi="Book Antiqua"/>
          <w:color w:val="000000"/>
        </w:rPr>
        <w:t>032993.</w:t>
      </w:r>
    </w:p>
    <w:p w14:paraId="12AF4320" w14:textId="77777777" w:rsidR="00A77B3E" w:rsidRPr="00AF7547" w:rsidRDefault="00A77B3E" w:rsidP="00AF7547">
      <w:pPr>
        <w:adjustRightInd w:val="0"/>
        <w:snapToGrid w:val="0"/>
        <w:spacing w:line="360" w:lineRule="auto"/>
        <w:jc w:val="both"/>
        <w:rPr>
          <w:rFonts w:ascii="Book Antiqua" w:hAnsi="Book Antiqua"/>
        </w:rPr>
      </w:pPr>
    </w:p>
    <w:p w14:paraId="68AEE2C3"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Peer-review started: </w:t>
      </w:r>
      <w:r w:rsidRPr="00AF7547">
        <w:rPr>
          <w:rFonts w:ascii="Book Antiqua" w:eastAsia="Book Antiqua" w:hAnsi="Book Antiqua"/>
          <w:color w:val="000000"/>
        </w:rPr>
        <w:t>February 7, 2021</w:t>
      </w:r>
    </w:p>
    <w:p w14:paraId="183E3F4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First decision: </w:t>
      </w:r>
      <w:r w:rsidRPr="00AF7547">
        <w:rPr>
          <w:rFonts w:ascii="Book Antiqua" w:eastAsia="Book Antiqua" w:hAnsi="Book Antiqua"/>
          <w:color w:val="000000"/>
        </w:rPr>
        <w:t>April 19, 2021</w:t>
      </w:r>
    </w:p>
    <w:p w14:paraId="270DC0D0" w14:textId="1D4B08AA"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Article in press: </w:t>
      </w:r>
      <w:r w:rsidR="00014B96" w:rsidRPr="00DB6EC9">
        <w:rPr>
          <w:rFonts w:ascii="Book Antiqua" w:eastAsia="Book Antiqua" w:hAnsi="Book Antiqua"/>
          <w:bCs/>
          <w:color w:val="000000"/>
        </w:rPr>
        <w:t>June 2, 2021</w:t>
      </w:r>
    </w:p>
    <w:p w14:paraId="55AAAC60" w14:textId="77777777" w:rsidR="00A77B3E" w:rsidRPr="00AF7547" w:rsidRDefault="00A77B3E" w:rsidP="00AF7547">
      <w:pPr>
        <w:adjustRightInd w:val="0"/>
        <w:snapToGrid w:val="0"/>
        <w:spacing w:line="360" w:lineRule="auto"/>
        <w:jc w:val="both"/>
        <w:rPr>
          <w:rFonts w:ascii="Book Antiqua" w:hAnsi="Book Antiqua"/>
        </w:rPr>
      </w:pPr>
    </w:p>
    <w:p w14:paraId="0FA3BD4A" w14:textId="13FDCB1C"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Specialty type: </w:t>
      </w:r>
      <w:r w:rsidRPr="00AF7547">
        <w:rPr>
          <w:rFonts w:ascii="Book Antiqua" w:eastAsia="Book Antiqua" w:hAnsi="Book Antiqua"/>
          <w:color w:val="000000"/>
        </w:rPr>
        <w:t>Gastroenterology and</w:t>
      </w:r>
      <w:r w:rsidR="00CE77C4" w:rsidRPr="00AF7547">
        <w:rPr>
          <w:rFonts w:ascii="Book Antiqua" w:eastAsia="Book Antiqua" w:hAnsi="Book Antiqua"/>
          <w:color w:val="000000"/>
        </w:rPr>
        <w:t xml:space="preserve"> h</w:t>
      </w:r>
      <w:r w:rsidRPr="00AF7547">
        <w:rPr>
          <w:rFonts w:ascii="Book Antiqua" w:eastAsia="Book Antiqua" w:hAnsi="Book Antiqua"/>
          <w:color w:val="000000"/>
        </w:rPr>
        <w:t>epatology</w:t>
      </w:r>
    </w:p>
    <w:p w14:paraId="17A16E4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 xml:space="preserve">Country/Territory of origin: </w:t>
      </w:r>
      <w:r w:rsidRPr="00AF7547">
        <w:rPr>
          <w:rFonts w:ascii="Book Antiqua" w:eastAsia="Book Antiqua" w:hAnsi="Book Antiqua"/>
          <w:color w:val="000000"/>
        </w:rPr>
        <w:t>Japan</w:t>
      </w:r>
    </w:p>
    <w:p w14:paraId="270FEAE4"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b/>
          <w:color w:val="000000"/>
        </w:rPr>
        <w:t>Peer-review report’s scientific quality classification</w:t>
      </w:r>
    </w:p>
    <w:p w14:paraId="28B2EB8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A (Excellent): 0</w:t>
      </w:r>
    </w:p>
    <w:p w14:paraId="73030E9B"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B (Very good): B</w:t>
      </w:r>
    </w:p>
    <w:p w14:paraId="57544BB7"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C (Good): C</w:t>
      </w:r>
    </w:p>
    <w:p w14:paraId="57E98B9D" w14:textId="77777777" w:rsidR="00A77B3E" w:rsidRPr="00AF7547" w:rsidRDefault="00EE15D1" w:rsidP="00AF7547">
      <w:pPr>
        <w:adjustRightInd w:val="0"/>
        <w:snapToGrid w:val="0"/>
        <w:spacing w:line="360" w:lineRule="auto"/>
        <w:jc w:val="both"/>
        <w:rPr>
          <w:rFonts w:ascii="Book Antiqua" w:hAnsi="Book Antiqua"/>
        </w:rPr>
      </w:pPr>
      <w:r w:rsidRPr="00AF7547">
        <w:rPr>
          <w:rFonts w:ascii="Book Antiqua" w:eastAsia="Book Antiqua" w:hAnsi="Book Antiqua"/>
          <w:color w:val="000000"/>
        </w:rPr>
        <w:t>Grade D (Fair): 0</w:t>
      </w:r>
    </w:p>
    <w:p w14:paraId="359DE199" w14:textId="77777777" w:rsidR="00A77B3E" w:rsidRPr="0007337D" w:rsidRDefault="00EE15D1" w:rsidP="00AF7547">
      <w:pPr>
        <w:adjustRightInd w:val="0"/>
        <w:snapToGrid w:val="0"/>
        <w:spacing w:line="360" w:lineRule="auto"/>
        <w:jc w:val="both"/>
        <w:rPr>
          <w:rFonts w:ascii="Book Antiqua" w:hAnsi="Book Antiqua"/>
          <w:lang w:val="pt-BR"/>
        </w:rPr>
      </w:pPr>
      <w:r w:rsidRPr="0007337D">
        <w:rPr>
          <w:rFonts w:ascii="Book Antiqua" w:eastAsia="Book Antiqua" w:hAnsi="Book Antiqua"/>
          <w:color w:val="000000"/>
          <w:lang w:val="pt-BR"/>
        </w:rPr>
        <w:t>Grade E (Poor): 0</w:t>
      </w:r>
    </w:p>
    <w:p w14:paraId="04E48314" w14:textId="77777777" w:rsidR="00A77B3E" w:rsidRPr="0007337D" w:rsidRDefault="00A77B3E" w:rsidP="00AF7547">
      <w:pPr>
        <w:adjustRightInd w:val="0"/>
        <w:snapToGrid w:val="0"/>
        <w:spacing w:line="360" w:lineRule="auto"/>
        <w:jc w:val="both"/>
        <w:rPr>
          <w:rFonts w:ascii="Book Antiqua" w:hAnsi="Book Antiqua"/>
          <w:lang w:val="pt-BR"/>
        </w:rPr>
      </w:pPr>
    </w:p>
    <w:p w14:paraId="4D85373C" w14:textId="01509A85" w:rsidR="00A77B3E" w:rsidRPr="0007337D" w:rsidRDefault="00EE15D1" w:rsidP="00AF7547">
      <w:pPr>
        <w:adjustRightInd w:val="0"/>
        <w:snapToGrid w:val="0"/>
        <w:spacing w:line="360" w:lineRule="auto"/>
        <w:jc w:val="both"/>
        <w:rPr>
          <w:rFonts w:ascii="Book Antiqua" w:hAnsi="Book Antiqua"/>
          <w:lang w:val="pt-BR"/>
        </w:rPr>
        <w:sectPr w:rsidR="00A77B3E" w:rsidRPr="0007337D">
          <w:pgSz w:w="12240" w:h="15840"/>
          <w:pgMar w:top="1440" w:right="1440" w:bottom="1440" w:left="1440" w:header="720" w:footer="720" w:gutter="0"/>
          <w:cols w:space="720"/>
          <w:docGrid w:linePitch="360"/>
        </w:sectPr>
      </w:pPr>
      <w:r w:rsidRPr="0007337D">
        <w:rPr>
          <w:rFonts w:ascii="Book Antiqua" w:eastAsia="Book Antiqua" w:hAnsi="Book Antiqua"/>
          <w:b/>
          <w:color w:val="000000"/>
          <w:lang w:val="pt-BR"/>
        </w:rPr>
        <w:lastRenderedPageBreak/>
        <w:t xml:space="preserve">P-Reviewer: </w:t>
      </w:r>
      <w:r w:rsidRPr="0007337D">
        <w:rPr>
          <w:rFonts w:ascii="Book Antiqua" w:eastAsia="Book Antiqua" w:hAnsi="Book Antiqua"/>
          <w:color w:val="000000"/>
          <w:lang w:val="pt-BR"/>
        </w:rPr>
        <w:t>Jamali R, Shahidi N</w:t>
      </w:r>
      <w:r w:rsidRPr="0007337D">
        <w:rPr>
          <w:rFonts w:ascii="Book Antiqua" w:eastAsia="Book Antiqua" w:hAnsi="Book Antiqua"/>
          <w:b/>
          <w:color w:val="000000"/>
          <w:lang w:val="pt-BR"/>
        </w:rPr>
        <w:t xml:space="preserve"> S-Editor: </w:t>
      </w:r>
      <w:r w:rsidRPr="0007337D">
        <w:rPr>
          <w:rFonts w:ascii="Book Antiqua" w:eastAsia="Book Antiqua" w:hAnsi="Book Antiqua"/>
          <w:color w:val="000000"/>
          <w:lang w:val="pt-BR"/>
        </w:rPr>
        <w:t>Liu M</w:t>
      </w:r>
      <w:r w:rsidRPr="0007337D">
        <w:rPr>
          <w:rFonts w:ascii="Book Antiqua" w:eastAsia="Book Antiqua" w:hAnsi="Book Antiqua"/>
          <w:b/>
          <w:color w:val="000000"/>
          <w:lang w:val="pt-BR"/>
        </w:rPr>
        <w:t xml:space="preserve"> L-Editor: </w:t>
      </w:r>
      <w:r w:rsidR="005806B9" w:rsidRPr="0007337D">
        <w:rPr>
          <w:rFonts w:ascii="Book Antiqua" w:eastAsia="Book Antiqua" w:hAnsi="Book Antiqua"/>
          <w:bCs/>
          <w:color w:val="000000"/>
          <w:lang w:val="pt-BR"/>
        </w:rPr>
        <w:t>Filipodia</w:t>
      </w:r>
      <w:r w:rsidRPr="0007337D">
        <w:rPr>
          <w:rFonts w:ascii="Book Antiqua" w:eastAsia="Book Antiqua" w:hAnsi="Book Antiqua"/>
          <w:b/>
          <w:color w:val="000000"/>
          <w:lang w:val="pt-BR"/>
        </w:rPr>
        <w:t xml:space="preserve"> P-Editor: </w:t>
      </w:r>
      <w:r w:rsidR="0016016F">
        <w:rPr>
          <w:rFonts w:ascii="Book Antiqua" w:eastAsia="Book Antiqua" w:hAnsi="Book Antiqua" w:cs="Book Antiqua"/>
          <w:bCs/>
        </w:rPr>
        <w:t>Wang LYT</w:t>
      </w:r>
    </w:p>
    <w:p w14:paraId="0AA4CFA4" w14:textId="0D15032F" w:rsidR="00A77B3E" w:rsidRPr="00AF7547" w:rsidRDefault="00EE15D1" w:rsidP="00AF7547">
      <w:pPr>
        <w:adjustRightInd w:val="0"/>
        <w:snapToGrid w:val="0"/>
        <w:spacing w:line="360" w:lineRule="auto"/>
        <w:jc w:val="both"/>
        <w:rPr>
          <w:rFonts w:ascii="Book Antiqua" w:eastAsia="Book Antiqua" w:hAnsi="Book Antiqua"/>
          <w:b/>
          <w:color w:val="000000"/>
        </w:rPr>
      </w:pPr>
      <w:r w:rsidRPr="00AF7547">
        <w:rPr>
          <w:rFonts w:ascii="Book Antiqua" w:eastAsia="Book Antiqua" w:hAnsi="Book Antiqua"/>
          <w:b/>
          <w:color w:val="000000"/>
        </w:rPr>
        <w:lastRenderedPageBreak/>
        <w:t>Figure Legends</w:t>
      </w:r>
    </w:p>
    <w:p w14:paraId="7A27D6AC" w14:textId="5D3443AD" w:rsidR="00CE77C4" w:rsidRPr="00AF7547" w:rsidRDefault="00CE77C4" w:rsidP="00AF7547">
      <w:pPr>
        <w:adjustRightInd w:val="0"/>
        <w:snapToGrid w:val="0"/>
        <w:spacing w:line="360" w:lineRule="auto"/>
        <w:jc w:val="both"/>
        <w:rPr>
          <w:rFonts w:ascii="Book Antiqua" w:hAnsi="Book Antiqua"/>
        </w:rPr>
      </w:pPr>
      <w:r w:rsidRPr="00AF7547">
        <w:rPr>
          <w:rFonts w:ascii="Book Antiqua" w:hAnsi="Book Antiqua"/>
          <w:noProof/>
          <w:lang w:eastAsia="zh-CN"/>
        </w:rPr>
        <w:drawing>
          <wp:inline distT="0" distB="0" distL="0" distR="0" wp14:anchorId="1C0FA466" wp14:editId="4FA9BEBD">
            <wp:extent cx="5866315" cy="318314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585" cy="3201200"/>
                    </a:xfrm>
                    <a:prstGeom prst="rect">
                      <a:avLst/>
                    </a:prstGeom>
                    <a:noFill/>
                  </pic:spPr>
                </pic:pic>
              </a:graphicData>
            </a:graphic>
          </wp:inline>
        </w:drawing>
      </w:r>
    </w:p>
    <w:p w14:paraId="63B1942D" w14:textId="4212B6F2" w:rsidR="00CE77C4" w:rsidRPr="00AF7547" w:rsidRDefault="00EE15D1" w:rsidP="00AF7547">
      <w:pPr>
        <w:adjustRightInd w:val="0"/>
        <w:snapToGrid w:val="0"/>
        <w:spacing w:line="360" w:lineRule="auto"/>
        <w:jc w:val="both"/>
        <w:rPr>
          <w:rFonts w:ascii="Book Antiqua" w:hAnsi="Book Antiqua"/>
          <w:bCs/>
        </w:rPr>
      </w:pPr>
      <w:r w:rsidRPr="00AF7547">
        <w:rPr>
          <w:rFonts w:ascii="Book Antiqua" w:hAnsi="Book Antiqua"/>
          <w:b/>
        </w:rPr>
        <w:t xml:space="preserve">Figure 1 A case of sporadic fundic gland polyp without dysplasia. </w:t>
      </w:r>
      <w:r w:rsidR="007D7FE6" w:rsidRPr="00AF7547">
        <w:rPr>
          <w:rFonts w:ascii="Book Antiqua" w:hAnsi="Book Antiqua"/>
        </w:rPr>
        <w:t xml:space="preserve">A: White light endoscopic view. </w:t>
      </w:r>
      <w:r w:rsidR="00CE77C4" w:rsidRPr="00AF7547">
        <w:rPr>
          <w:rFonts w:ascii="Book Antiqua" w:hAnsi="Book Antiqua"/>
          <w:bCs/>
        </w:rPr>
        <w:t xml:space="preserve">A 47-year-old man with a complaint of heartburn underwent esophagogastroduodenoscopy. He had no medical history of receiving long-term proton pump inhibitor therapy and no family history of familial adenomatous polyposis (FAP). White light endoscopy identified several fundic gland polyp-like lesions in the body of the stomach without atrophic mucosa, suggesting a </w:t>
      </w:r>
      <w:r w:rsidR="00CE77C4" w:rsidRPr="00AF7547">
        <w:rPr>
          <w:rFonts w:ascii="Book Antiqua" w:hAnsi="Book Antiqua"/>
          <w:bCs/>
          <w:i/>
          <w:iCs/>
        </w:rPr>
        <w:t>Helicobacter pylori</w:t>
      </w:r>
      <w:r w:rsidR="00CE77C4" w:rsidRPr="00AF7547">
        <w:rPr>
          <w:rFonts w:ascii="Book Antiqua" w:hAnsi="Book Antiqua"/>
          <w:bCs/>
        </w:rPr>
        <w:t>-uninfected setting. Among them, a 3</w:t>
      </w:r>
      <w:r w:rsidR="00DC0467">
        <w:rPr>
          <w:rFonts w:ascii="Book Antiqua" w:hAnsi="Book Antiqua"/>
          <w:bCs/>
        </w:rPr>
        <w:t xml:space="preserve"> </w:t>
      </w:r>
      <w:r w:rsidR="00CE77C4" w:rsidRPr="00AF7547">
        <w:rPr>
          <w:rFonts w:ascii="Book Antiqua" w:hAnsi="Book Antiqua"/>
          <w:bCs/>
        </w:rPr>
        <w:t>mm isochromatic sessile polyp with a smooth surface structure was detected in the middle body</w:t>
      </w:r>
      <w:r w:rsidR="007D7FE6" w:rsidRPr="00AF7547">
        <w:rPr>
          <w:rFonts w:ascii="Book Antiqua" w:hAnsi="Book Antiqua"/>
          <w:bCs/>
        </w:rPr>
        <w:t>; B: Magnifying narrow-band imaging (NBI) endoscopic view.</w:t>
      </w:r>
      <w:r w:rsidR="00CE77C4" w:rsidRPr="00AF7547">
        <w:rPr>
          <w:rFonts w:ascii="Book Antiqua" w:hAnsi="Book Antiqua"/>
          <w:bCs/>
        </w:rPr>
        <w:t xml:space="preserve"> Magnifying NBI endoscopy revealed regularly arranged, white, dot-shaped crypt openings resembling surrounding mucosa</w:t>
      </w:r>
      <w:r w:rsidR="007D7FE6" w:rsidRPr="00AF7547">
        <w:rPr>
          <w:rFonts w:ascii="Book Antiqua" w:hAnsi="Book Antiqua"/>
          <w:bCs/>
        </w:rPr>
        <w:t>; C</w:t>
      </w:r>
      <w:r w:rsidR="00AF7547">
        <w:rPr>
          <w:rFonts w:ascii="Book Antiqua" w:hAnsi="Book Antiqua"/>
          <w:bCs/>
        </w:rPr>
        <w:t xml:space="preserve">: </w:t>
      </w:r>
      <w:r w:rsidR="007D7FE6" w:rsidRPr="00AF7547">
        <w:rPr>
          <w:rFonts w:ascii="Book Antiqua" w:hAnsi="Book Antiqua"/>
          <w:bCs/>
        </w:rPr>
        <w:t>Chromoendoscopic view.</w:t>
      </w:r>
      <w:r w:rsidR="00CE77C4" w:rsidRPr="00AF7547">
        <w:rPr>
          <w:rFonts w:ascii="Book Antiqua" w:hAnsi="Book Antiqua"/>
          <w:bCs/>
        </w:rPr>
        <w:t xml:space="preserve"> Chromoendoscopy using indigo carmine dye revealed less irregularity of the lesion surface. This lesion was endoscopically diagnosed as a fundic gland polyp without dysplasia and was biopsied</w:t>
      </w:r>
      <w:r w:rsidR="006979D8" w:rsidRPr="00AF7547">
        <w:rPr>
          <w:rFonts w:ascii="Book Antiqua" w:hAnsi="Book Antiqua"/>
          <w:bCs/>
        </w:rPr>
        <w:t>;</w:t>
      </w:r>
      <w:r w:rsidR="00CE77C4" w:rsidRPr="00AF7547">
        <w:rPr>
          <w:rFonts w:ascii="Book Antiqua" w:hAnsi="Book Antiqua"/>
          <w:bCs/>
        </w:rPr>
        <w:t xml:space="preserve"> </w:t>
      </w:r>
      <w:r w:rsidR="007D7FE6" w:rsidRPr="00AF7547">
        <w:rPr>
          <w:rFonts w:ascii="Book Antiqua" w:hAnsi="Book Antiqua"/>
          <w:bCs/>
        </w:rPr>
        <w:t>D</w:t>
      </w:r>
      <w:r w:rsidR="00AF7547" w:rsidRPr="00AF7547">
        <w:rPr>
          <w:rFonts w:ascii="Book Antiqua" w:hAnsi="Book Antiqua"/>
          <w:bCs/>
        </w:rPr>
        <w:t xml:space="preserve"> </w:t>
      </w:r>
      <w:r w:rsidR="00AF7547" w:rsidRPr="00AF7547">
        <w:rPr>
          <w:rFonts w:ascii="Book Antiqua" w:hAnsi="Book Antiqua"/>
          <w:bCs/>
          <w:lang w:eastAsia="zh-CN"/>
        </w:rPr>
        <w:t>and</w:t>
      </w:r>
      <w:r w:rsidR="007D7FE6" w:rsidRPr="00AF7547">
        <w:rPr>
          <w:rFonts w:ascii="Book Antiqua" w:hAnsi="Book Antiqua"/>
          <w:bCs/>
        </w:rPr>
        <w:t xml:space="preserve"> E: Histopathological view. </w:t>
      </w:r>
      <w:r w:rsidR="00CE77C4" w:rsidRPr="00AF7547">
        <w:rPr>
          <w:rFonts w:ascii="Book Antiqua" w:hAnsi="Book Antiqua"/>
          <w:bCs/>
        </w:rPr>
        <w:t>The histopathological examination revealed a non-dysplastic fundic gland polyp with hyperplastic proliferation of the oxyntic glands and several cystically dilated glands. Colonoscopy did not reveal indications for FAP.</w:t>
      </w:r>
    </w:p>
    <w:p w14:paraId="697FEA59" w14:textId="14930CEB" w:rsidR="00A77B3E" w:rsidRPr="00AF7547" w:rsidRDefault="00CE77C4" w:rsidP="00AF7547">
      <w:pPr>
        <w:adjustRightInd w:val="0"/>
        <w:snapToGrid w:val="0"/>
        <w:spacing w:line="360" w:lineRule="auto"/>
        <w:jc w:val="both"/>
        <w:rPr>
          <w:rFonts w:ascii="Book Antiqua" w:hAnsi="Book Antiqua"/>
          <w:bCs/>
        </w:rPr>
      </w:pPr>
      <w:r w:rsidRPr="00AF7547">
        <w:rPr>
          <w:rFonts w:ascii="Book Antiqua" w:hAnsi="Book Antiqua"/>
          <w:b/>
        </w:rPr>
        <w:br w:type="page"/>
      </w:r>
      <w:r w:rsidRPr="00AF7547">
        <w:rPr>
          <w:rFonts w:ascii="Book Antiqua" w:hAnsi="Book Antiqua"/>
          <w:b/>
          <w:noProof/>
          <w:lang w:eastAsia="zh-CN"/>
        </w:rPr>
        <w:lastRenderedPageBreak/>
        <w:drawing>
          <wp:inline distT="0" distB="0" distL="0" distR="0" wp14:anchorId="5EB48973" wp14:editId="42B8C714">
            <wp:extent cx="5849095" cy="23074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4074" cy="2313389"/>
                    </a:xfrm>
                    <a:prstGeom prst="rect">
                      <a:avLst/>
                    </a:prstGeom>
                    <a:noFill/>
                  </pic:spPr>
                </pic:pic>
              </a:graphicData>
            </a:graphic>
          </wp:inline>
        </w:drawing>
      </w:r>
    </w:p>
    <w:p w14:paraId="3EFFF089" w14:textId="63013EAC" w:rsidR="00CE77C4" w:rsidRPr="00AF7547" w:rsidRDefault="00CE77C4" w:rsidP="00AF7547">
      <w:pPr>
        <w:adjustRightInd w:val="0"/>
        <w:snapToGrid w:val="0"/>
        <w:spacing w:line="360" w:lineRule="auto"/>
        <w:jc w:val="both"/>
        <w:rPr>
          <w:rFonts w:ascii="Book Antiqua" w:hAnsi="Book Antiqua"/>
        </w:rPr>
      </w:pPr>
      <w:r w:rsidRPr="00AF7547">
        <w:rPr>
          <w:rFonts w:ascii="Book Antiqua" w:hAnsi="Book Antiqua"/>
          <w:b/>
          <w:bCs/>
        </w:rPr>
        <w:t>Figure 2 A case of sporadic fundic gland polyp with carcinoma</w:t>
      </w:r>
      <w:r w:rsidR="00EE15D1" w:rsidRPr="00E7662F">
        <w:rPr>
          <w:rFonts w:ascii="Book Antiqua" w:hAnsi="Book Antiqua"/>
          <w:b/>
          <w:bCs/>
          <w:lang w:eastAsia="zh-CN"/>
        </w:rPr>
        <w:t>.</w:t>
      </w:r>
      <w:r w:rsidR="00EE15D1" w:rsidRPr="00AF7547">
        <w:rPr>
          <w:rFonts w:ascii="Book Antiqua" w:hAnsi="Book Antiqua"/>
          <w:lang w:eastAsia="zh-CN"/>
        </w:rPr>
        <w:t xml:space="preserve"> </w:t>
      </w:r>
      <w:r w:rsidR="007D7FE6" w:rsidRPr="00AF7547">
        <w:rPr>
          <w:rFonts w:ascii="Book Antiqua" w:hAnsi="Book Antiqua"/>
          <w:lang w:eastAsia="zh-CN"/>
        </w:rPr>
        <w:t xml:space="preserve">A: White light endoscopic view. </w:t>
      </w:r>
      <w:r w:rsidRPr="00AF7547">
        <w:rPr>
          <w:rFonts w:ascii="Book Antiqua" w:hAnsi="Book Antiqua"/>
        </w:rPr>
        <w:t xml:space="preserve">A 73-year-old woman with a complaint of upper abdominal discomfort underwent esophagogastroduodenoscopy. She had received long-term proton pump inhibitor (PPI) therapy for gastroesophageal reflux disease. White light endoscopy identified several fundic gland polyp-like lesions in the body and fundus of the stomach without atrophic mucosa, suggesting a </w:t>
      </w:r>
      <w:r w:rsidRPr="00AF7547">
        <w:rPr>
          <w:rFonts w:ascii="Book Antiqua" w:hAnsi="Book Antiqua"/>
          <w:i/>
          <w:iCs/>
        </w:rPr>
        <w:t>Helicobacter pylori</w:t>
      </w:r>
      <w:r w:rsidR="00F45C2E">
        <w:rPr>
          <w:rFonts w:ascii="Book Antiqua" w:hAnsi="Book Antiqua"/>
          <w:i/>
          <w:iCs/>
        </w:rPr>
        <w:t xml:space="preserve"> </w:t>
      </w:r>
      <w:r w:rsidR="00F45C2E" w:rsidRPr="00F45C2E">
        <w:rPr>
          <w:rFonts w:ascii="Book Antiqua" w:hAnsi="Book Antiqua"/>
          <w:iCs/>
        </w:rPr>
        <w:t>(</w:t>
      </w:r>
      <w:r w:rsidR="00F45C2E" w:rsidRPr="00AF7547">
        <w:rPr>
          <w:rFonts w:ascii="Book Antiqua" w:hAnsi="Book Antiqua"/>
          <w:i/>
          <w:iCs/>
        </w:rPr>
        <w:t>H. pylori</w:t>
      </w:r>
      <w:r w:rsidR="00F45C2E" w:rsidRPr="00F45C2E">
        <w:rPr>
          <w:rFonts w:ascii="Book Antiqua" w:hAnsi="Book Antiqua"/>
          <w:iCs/>
        </w:rPr>
        <w:t>)</w:t>
      </w:r>
      <w:r w:rsidRPr="00AF7547">
        <w:rPr>
          <w:rFonts w:ascii="Book Antiqua" w:hAnsi="Book Antiqua"/>
        </w:rPr>
        <w:t>-uninfected setting. Among them, a 6</w:t>
      </w:r>
      <w:r w:rsidR="00DC0467">
        <w:rPr>
          <w:rFonts w:ascii="Book Antiqua" w:hAnsi="Book Antiqua"/>
        </w:rPr>
        <w:t xml:space="preserve"> </w:t>
      </w:r>
      <w:r w:rsidRPr="00AF7547">
        <w:rPr>
          <w:rFonts w:ascii="Book Antiqua" w:hAnsi="Book Antiqua"/>
        </w:rPr>
        <w:t>mm isochromatic sessile polyp with a slightly irregular surface structure was detected in the fundus</w:t>
      </w:r>
      <w:r w:rsidR="007D7FE6" w:rsidRPr="00AF7547">
        <w:rPr>
          <w:rFonts w:ascii="Book Antiqua" w:hAnsi="Book Antiqua"/>
        </w:rPr>
        <w:t>; B:</w:t>
      </w:r>
      <w:r w:rsidRPr="00AF7547">
        <w:rPr>
          <w:rFonts w:ascii="Book Antiqua" w:hAnsi="Book Antiqua"/>
        </w:rPr>
        <w:t xml:space="preserve"> </w:t>
      </w:r>
      <w:r w:rsidR="007D7FE6" w:rsidRPr="00AF7547">
        <w:rPr>
          <w:rFonts w:ascii="Book Antiqua" w:hAnsi="Book Antiqua"/>
        </w:rPr>
        <w:t xml:space="preserve">Magnifying narrow-band imaging (NBI) endoscopic view. </w:t>
      </w:r>
      <w:r w:rsidRPr="00AF7547">
        <w:rPr>
          <w:rFonts w:ascii="Book Antiqua" w:hAnsi="Book Antiqua"/>
        </w:rPr>
        <w:t>Magnifying NBI endoscopy revealed irregular microvessels on the lesion surface</w:t>
      </w:r>
      <w:r w:rsidR="007D7FE6" w:rsidRPr="00AF7547">
        <w:rPr>
          <w:rFonts w:ascii="Book Antiqua" w:hAnsi="Book Antiqua"/>
        </w:rPr>
        <w:t>; C: Chromoendoscopic view.</w:t>
      </w:r>
      <w:r w:rsidRPr="00AF7547">
        <w:rPr>
          <w:rFonts w:ascii="Book Antiqua" w:hAnsi="Book Antiqua"/>
        </w:rPr>
        <w:t xml:space="preserve"> Chromoendoscopy using indigo carmine dye more clearly revealed the irregularity of the lesion surface. This lesion was endoscopically diagnosed as a fundic gland polyp with dysplasia or carcinoma and was removed by the endoscopic mucosal resection technique</w:t>
      </w:r>
      <w:r w:rsidR="006979D8" w:rsidRPr="00AF7547">
        <w:rPr>
          <w:rFonts w:ascii="Book Antiqua" w:hAnsi="Book Antiqua"/>
        </w:rPr>
        <w:t>;</w:t>
      </w:r>
      <w:r w:rsidRPr="00AF7547">
        <w:rPr>
          <w:rFonts w:ascii="Book Antiqua" w:hAnsi="Book Antiqua"/>
        </w:rPr>
        <w:t xml:space="preserve"> </w:t>
      </w:r>
      <w:r w:rsidR="006979D8" w:rsidRPr="00AF7547">
        <w:rPr>
          <w:rFonts w:ascii="Book Antiqua" w:hAnsi="Book Antiqua"/>
        </w:rPr>
        <w:t xml:space="preserve">D: Histopathological view (low magnification). </w:t>
      </w:r>
      <w:r w:rsidRPr="00AF7547">
        <w:rPr>
          <w:rFonts w:ascii="Book Antiqua" w:hAnsi="Book Antiqua"/>
        </w:rPr>
        <w:t>The histopathological examination revealed a fundic gland polyp with prominent dilated cystic glands often observed in patients receiving PPI therapy</w:t>
      </w:r>
      <w:r w:rsidR="006979D8" w:rsidRPr="00AF7547">
        <w:rPr>
          <w:rFonts w:ascii="Book Antiqua" w:hAnsi="Book Antiqua"/>
        </w:rPr>
        <w:t>; E</w:t>
      </w:r>
      <w:r w:rsidR="00DD6BDC">
        <w:rPr>
          <w:rFonts w:ascii="Book Antiqua" w:hAnsi="Book Antiqua"/>
        </w:rPr>
        <w:t>-</w:t>
      </w:r>
      <w:r w:rsidR="006979D8" w:rsidRPr="00AF7547">
        <w:rPr>
          <w:rFonts w:ascii="Book Antiqua" w:hAnsi="Book Antiqua"/>
        </w:rPr>
        <w:t>G: Histopathological view (higher magnification</w:t>
      </w:r>
      <w:r w:rsidR="00DE30A0" w:rsidRPr="00AF7547">
        <w:rPr>
          <w:rFonts w:ascii="Book Antiqua" w:hAnsi="Book Antiqua"/>
        </w:rPr>
        <w:t xml:space="preserve"> of D</w:t>
      </w:r>
      <w:r w:rsidR="006979D8" w:rsidRPr="00AF7547">
        <w:rPr>
          <w:rFonts w:ascii="Book Antiqua" w:hAnsi="Book Antiqua"/>
        </w:rPr>
        <w:t xml:space="preserve">). </w:t>
      </w:r>
      <w:r w:rsidRPr="00AF7547">
        <w:rPr>
          <w:rFonts w:ascii="Book Antiqua" w:hAnsi="Book Antiqua"/>
        </w:rPr>
        <w:t xml:space="preserve">This lesion coexisted with epithelial dysplasia and intramucosal well-differentiated adenocarcinoma. Serological examination confirmed that she was negative for </w:t>
      </w:r>
      <w:r w:rsidRPr="00AF7547">
        <w:rPr>
          <w:rFonts w:ascii="Book Antiqua" w:hAnsi="Book Antiqua"/>
          <w:i/>
          <w:iCs/>
        </w:rPr>
        <w:t>H. pylori</w:t>
      </w:r>
      <w:r w:rsidRPr="00AF7547">
        <w:rPr>
          <w:rFonts w:ascii="Book Antiqua" w:hAnsi="Book Antiqua"/>
        </w:rPr>
        <w:t xml:space="preserve"> infection. Colonoscopy as well as her family history showed no familial adenomatous polyposis.</w:t>
      </w:r>
    </w:p>
    <w:p w14:paraId="4F3D5BB8" w14:textId="79FB3065" w:rsidR="00CE77C4" w:rsidRPr="00AF7547" w:rsidRDefault="00CE77C4" w:rsidP="00AF7547">
      <w:pPr>
        <w:adjustRightInd w:val="0"/>
        <w:snapToGrid w:val="0"/>
        <w:spacing w:line="360" w:lineRule="auto"/>
        <w:ind w:firstLineChars="200" w:firstLine="480"/>
        <w:jc w:val="both"/>
        <w:rPr>
          <w:rFonts w:ascii="Book Antiqua" w:hAnsi="Book Antiqua"/>
        </w:rPr>
      </w:pPr>
      <w:r w:rsidRPr="00AF7547">
        <w:rPr>
          <w:rFonts w:ascii="Book Antiqua" w:hAnsi="Book Antiqua"/>
        </w:rPr>
        <w:br w:type="page"/>
      </w:r>
      <w:r w:rsidRPr="00AF7547">
        <w:rPr>
          <w:rFonts w:ascii="Book Antiqua" w:hAnsi="Book Antiqua"/>
          <w:noProof/>
          <w:lang w:eastAsia="zh-CN"/>
        </w:rPr>
        <w:lastRenderedPageBreak/>
        <w:drawing>
          <wp:inline distT="0" distB="0" distL="0" distR="0" wp14:anchorId="084C2D78" wp14:editId="3AD32EAF">
            <wp:extent cx="5586060" cy="425282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816" cy="4264057"/>
                    </a:xfrm>
                    <a:prstGeom prst="rect">
                      <a:avLst/>
                    </a:prstGeom>
                    <a:noFill/>
                  </pic:spPr>
                </pic:pic>
              </a:graphicData>
            </a:graphic>
          </wp:inline>
        </w:drawing>
      </w:r>
    </w:p>
    <w:p w14:paraId="3256FBA4" w14:textId="2404D569" w:rsidR="000C461C" w:rsidRPr="00AF7547" w:rsidRDefault="00CE77C4" w:rsidP="00AF7547">
      <w:pPr>
        <w:adjustRightInd w:val="0"/>
        <w:snapToGrid w:val="0"/>
        <w:spacing w:line="360" w:lineRule="auto"/>
        <w:jc w:val="both"/>
        <w:rPr>
          <w:rFonts w:ascii="Book Antiqua" w:hAnsi="Book Antiqua"/>
        </w:rPr>
      </w:pPr>
      <w:r w:rsidRPr="00AF7547">
        <w:rPr>
          <w:rFonts w:ascii="Book Antiqua" w:hAnsi="Book Antiqua"/>
          <w:b/>
          <w:bCs/>
        </w:rPr>
        <w:t>Figure 3</w:t>
      </w:r>
      <w:r w:rsidR="00A81EC4">
        <w:rPr>
          <w:rFonts w:ascii="Book Antiqua" w:eastAsia="MS Mincho" w:hAnsi="Book Antiqua"/>
          <w:b/>
          <w:bCs/>
          <w:lang w:eastAsia="ja-JP"/>
        </w:rPr>
        <w:t xml:space="preserve"> </w:t>
      </w:r>
      <w:r w:rsidRPr="00AF7547">
        <w:rPr>
          <w:rFonts w:ascii="Book Antiqua" w:hAnsi="Book Antiqua"/>
          <w:b/>
          <w:bCs/>
        </w:rPr>
        <w:t>Proposal of a management algorithm for sporadic fundic gland polyps</w:t>
      </w:r>
      <w:r w:rsidR="000C461C" w:rsidRPr="00AF7547">
        <w:rPr>
          <w:rFonts w:ascii="Book Antiqua" w:hAnsi="Book Antiqua"/>
          <w:b/>
          <w:bCs/>
        </w:rPr>
        <w:t xml:space="preserve">. </w:t>
      </w:r>
      <w:r w:rsidRPr="00AF7547">
        <w:rPr>
          <w:rFonts w:ascii="Book Antiqua" w:hAnsi="Book Antiqua"/>
          <w:vertAlign w:val="superscript"/>
        </w:rPr>
        <w:t>1</w:t>
      </w:r>
      <w:r w:rsidRPr="00AF7547">
        <w:rPr>
          <w:rFonts w:ascii="Book Antiqua" w:hAnsi="Book Antiqua"/>
        </w:rPr>
        <w:t>If multiple fundic gland polyps are detected in patients receiving proton pump inhibitor therapy, reducing or discontinuing proton pump inhibitor therapy or switching to H2-receptor antagonists is recommended.</w:t>
      </w:r>
      <w:r w:rsidR="000C461C" w:rsidRPr="00AF7547">
        <w:rPr>
          <w:rFonts w:ascii="Book Antiqua" w:hAnsi="Book Antiqua"/>
        </w:rPr>
        <w:t xml:space="preserve"> NBI: </w:t>
      </w:r>
      <w:r w:rsidR="000C461C" w:rsidRPr="00407E9E">
        <w:rPr>
          <w:rFonts w:ascii="Book Antiqua" w:hAnsi="Book Antiqua"/>
          <w:caps/>
        </w:rPr>
        <w:t>n</w:t>
      </w:r>
      <w:r w:rsidR="000C461C" w:rsidRPr="00AF7547">
        <w:rPr>
          <w:rFonts w:ascii="Book Antiqua" w:hAnsi="Book Antiqua"/>
        </w:rPr>
        <w:t>arrow-band imaging.</w:t>
      </w:r>
    </w:p>
    <w:p w14:paraId="17B9C9D7" w14:textId="41CE47BE"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rPr>
        <w:br w:type="page"/>
      </w:r>
      <w:commentRangeStart w:id="0"/>
      <w:r w:rsidRPr="00AF7547">
        <w:rPr>
          <w:rFonts w:ascii="Book Antiqua" w:hAnsi="Book Antiqua"/>
          <w:b/>
        </w:rPr>
        <w:lastRenderedPageBreak/>
        <w:t>Table 1</w:t>
      </w:r>
      <w:commentRangeEnd w:id="0"/>
      <w:r w:rsidR="000A2AAB">
        <w:rPr>
          <w:rStyle w:val="a7"/>
        </w:rPr>
        <w:commentReference w:id="0"/>
      </w:r>
      <w:r w:rsidR="008D4892">
        <w:rPr>
          <w:rFonts w:ascii="Book Antiqua" w:hAnsi="Book Antiqua"/>
          <w:b/>
        </w:rPr>
        <w:t xml:space="preserve"> </w:t>
      </w:r>
      <w:r w:rsidRPr="00AF7547">
        <w:rPr>
          <w:rFonts w:ascii="Book Antiqua" w:hAnsi="Book Antiqua"/>
          <w:b/>
        </w:rPr>
        <w:t>Summary of reported cases of sporadic fundic gland polyps with dysplasia or carcinoma</w:t>
      </w:r>
    </w:p>
    <w:tbl>
      <w:tblPr>
        <w:tblStyle w:val="ac"/>
        <w:tblW w:w="542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4"/>
        <w:gridCol w:w="836"/>
        <w:gridCol w:w="751"/>
        <w:gridCol w:w="968"/>
        <w:gridCol w:w="753"/>
        <w:gridCol w:w="1267"/>
        <w:gridCol w:w="1068"/>
        <w:gridCol w:w="1171"/>
        <w:gridCol w:w="942"/>
        <w:gridCol w:w="1340"/>
      </w:tblGrid>
      <w:tr w:rsidR="000C461C" w:rsidRPr="00AF7547" w14:paraId="14ED9BEA" w14:textId="77777777" w:rsidTr="000C461C">
        <w:tc>
          <w:tcPr>
            <w:tcW w:w="519" w:type="pct"/>
            <w:tcBorders>
              <w:top w:val="single" w:sz="4" w:space="0" w:color="auto"/>
              <w:bottom w:val="single" w:sz="4" w:space="0" w:color="auto"/>
            </w:tcBorders>
            <w:vAlign w:val="center"/>
          </w:tcPr>
          <w:p w14:paraId="6B06E2D8" w14:textId="732E7593" w:rsidR="000C461C" w:rsidRPr="00AF7547" w:rsidRDefault="000C461C" w:rsidP="00AF7547">
            <w:pPr>
              <w:adjustRightInd w:val="0"/>
              <w:snapToGrid w:val="0"/>
              <w:spacing w:line="360" w:lineRule="auto"/>
              <w:jc w:val="both"/>
              <w:rPr>
                <w:rFonts w:ascii="Book Antiqua" w:eastAsia="MS Mincho" w:hAnsi="Book Antiqua"/>
                <w:b/>
              </w:rPr>
            </w:pPr>
            <w:r w:rsidRPr="00AF7547">
              <w:rPr>
                <w:rFonts w:ascii="Book Antiqua" w:hAnsi="Book Antiqua"/>
                <w:b/>
              </w:rPr>
              <w:t>R</w:t>
            </w:r>
            <w:r w:rsidRPr="00AF7547">
              <w:rPr>
                <w:rFonts w:ascii="Book Antiqua" w:hAnsi="Book Antiqua"/>
                <w:b/>
                <w:lang w:eastAsia="zh-CN"/>
              </w:rPr>
              <w:t>ef.</w:t>
            </w:r>
          </w:p>
        </w:tc>
        <w:tc>
          <w:tcPr>
            <w:tcW w:w="412" w:type="pct"/>
            <w:tcBorders>
              <w:top w:val="single" w:sz="4" w:space="0" w:color="auto"/>
              <w:bottom w:val="single" w:sz="4" w:space="0" w:color="auto"/>
            </w:tcBorders>
            <w:vAlign w:val="center"/>
          </w:tcPr>
          <w:p w14:paraId="6FE8C679" w14:textId="08956648"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Age</w:t>
            </w:r>
            <w:r w:rsidR="005E77D7">
              <w:rPr>
                <w:rFonts w:ascii="Book Antiqua" w:hAnsi="Book Antiqua" w:hint="eastAsia"/>
                <w:b/>
                <w:lang w:eastAsia="zh-CN"/>
              </w:rPr>
              <w:t xml:space="preserve"> </w:t>
            </w:r>
            <w:r w:rsidR="007129DA">
              <w:rPr>
                <w:rFonts w:ascii="Book Antiqua" w:hAnsi="Book Antiqua"/>
                <w:b/>
              </w:rPr>
              <w:t xml:space="preserve">in </w:t>
            </w:r>
            <w:r w:rsidR="005E77D7" w:rsidRPr="00AF7547">
              <w:rPr>
                <w:rFonts w:ascii="Book Antiqua" w:hAnsi="Book Antiqua"/>
                <w:b/>
              </w:rPr>
              <w:t>y</w:t>
            </w:r>
            <w:r w:rsidRPr="00AF7547">
              <w:rPr>
                <w:rFonts w:ascii="Book Antiqua" w:hAnsi="Book Antiqua"/>
                <w:b/>
              </w:rPr>
              <w:t>r</w:t>
            </w:r>
          </w:p>
        </w:tc>
        <w:tc>
          <w:tcPr>
            <w:tcW w:w="370" w:type="pct"/>
            <w:tcBorders>
              <w:top w:val="single" w:sz="4" w:space="0" w:color="auto"/>
              <w:bottom w:val="single" w:sz="4" w:space="0" w:color="auto"/>
            </w:tcBorders>
            <w:vAlign w:val="center"/>
          </w:tcPr>
          <w:p w14:paraId="0457950E" w14:textId="13243409"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Gender</w:t>
            </w:r>
            <w:r w:rsidR="007129DA">
              <w:rPr>
                <w:rFonts w:ascii="Book Antiqua" w:hAnsi="Book Antiqua"/>
                <w:b/>
              </w:rPr>
              <w:t>,</w:t>
            </w:r>
            <w:r w:rsidR="005E77D7">
              <w:rPr>
                <w:rFonts w:ascii="Book Antiqua" w:hAnsi="Book Antiqua" w:hint="eastAsia"/>
                <w:b/>
                <w:lang w:eastAsia="zh-CN"/>
              </w:rPr>
              <w:t xml:space="preserve"> </w:t>
            </w:r>
            <w:r w:rsidRPr="00AF7547">
              <w:rPr>
                <w:rFonts w:ascii="Book Antiqua" w:hAnsi="Book Antiqua"/>
                <w:b/>
              </w:rPr>
              <w:t>M/F</w:t>
            </w:r>
          </w:p>
        </w:tc>
        <w:tc>
          <w:tcPr>
            <w:tcW w:w="477" w:type="pct"/>
            <w:tcBorders>
              <w:top w:val="single" w:sz="4" w:space="0" w:color="auto"/>
              <w:bottom w:val="single" w:sz="4" w:space="0" w:color="auto"/>
            </w:tcBorders>
            <w:vAlign w:val="center"/>
          </w:tcPr>
          <w:p w14:paraId="2EFDFC0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Location</w:t>
            </w:r>
          </w:p>
        </w:tc>
        <w:tc>
          <w:tcPr>
            <w:tcW w:w="371" w:type="pct"/>
            <w:tcBorders>
              <w:top w:val="single" w:sz="4" w:space="0" w:color="auto"/>
              <w:bottom w:val="single" w:sz="4" w:space="0" w:color="auto"/>
            </w:tcBorders>
            <w:vAlign w:val="center"/>
          </w:tcPr>
          <w:p w14:paraId="651D37D5" w14:textId="135DFB3E" w:rsidR="000C461C" w:rsidRPr="00AF7547" w:rsidRDefault="000C461C" w:rsidP="005E77D7">
            <w:pPr>
              <w:adjustRightInd w:val="0"/>
              <w:snapToGrid w:val="0"/>
              <w:spacing w:line="360" w:lineRule="auto"/>
              <w:ind w:left="120" w:hangingChars="50" w:hanging="120"/>
              <w:jc w:val="both"/>
              <w:rPr>
                <w:rFonts w:ascii="Book Antiqua" w:hAnsi="Book Antiqua"/>
                <w:b/>
              </w:rPr>
            </w:pPr>
            <w:r w:rsidRPr="00AF7547">
              <w:rPr>
                <w:rFonts w:ascii="Book Antiqua" w:hAnsi="Book Antiqua"/>
                <w:b/>
              </w:rPr>
              <w:t>Size</w:t>
            </w:r>
            <w:r w:rsidR="007129DA">
              <w:rPr>
                <w:rFonts w:ascii="Book Antiqua" w:hAnsi="Book Antiqua"/>
                <w:b/>
              </w:rPr>
              <w:t xml:space="preserve"> in </w:t>
            </w:r>
            <w:r w:rsidRPr="00AF7547">
              <w:rPr>
                <w:rFonts w:ascii="Book Antiqua" w:hAnsi="Book Antiqua"/>
                <w:b/>
              </w:rPr>
              <w:t>mm</w:t>
            </w:r>
          </w:p>
        </w:tc>
        <w:tc>
          <w:tcPr>
            <w:tcW w:w="624" w:type="pct"/>
            <w:tcBorders>
              <w:top w:val="single" w:sz="4" w:space="0" w:color="auto"/>
              <w:bottom w:val="single" w:sz="4" w:space="0" w:color="auto"/>
            </w:tcBorders>
            <w:vAlign w:val="center"/>
          </w:tcPr>
          <w:p w14:paraId="2CF3D68C"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Macroscopic</w:t>
            </w:r>
          </w:p>
          <w:p w14:paraId="217A8F7B"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type</w:t>
            </w:r>
          </w:p>
        </w:tc>
        <w:tc>
          <w:tcPr>
            <w:tcW w:w="526" w:type="pct"/>
            <w:tcBorders>
              <w:top w:val="single" w:sz="4" w:space="0" w:color="auto"/>
              <w:bottom w:val="single" w:sz="4" w:space="0" w:color="auto"/>
            </w:tcBorders>
            <w:vAlign w:val="center"/>
          </w:tcPr>
          <w:p w14:paraId="0A19191F" w14:textId="6BC77E30"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 xml:space="preserve">Endoscopic </w:t>
            </w:r>
            <w:r w:rsidR="00462BDC">
              <w:rPr>
                <w:rFonts w:ascii="Book Antiqua" w:hAnsi="Book Antiqua"/>
                <w:b/>
              </w:rPr>
              <w:t>finding</w:t>
            </w:r>
            <w:r w:rsidR="00462BDC">
              <w:rPr>
                <w:rFonts w:ascii="Book Antiqua" w:hAnsi="Book Antiqua" w:hint="eastAsia"/>
                <w:b/>
                <w:lang w:eastAsia="zh-CN"/>
              </w:rPr>
              <w:t xml:space="preserve"> </w:t>
            </w:r>
            <w:r w:rsidRPr="00AF7547">
              <w:rPr>
                <w:rFonts w:ascii="Book Antiqua" w:hAnsi="Book Antiqua"/>
                <w:b/>
              </w:rPr>
              <w:t>(white light)</w:t>
            </w:r>
          </w:p>
        </w:tc>
        <w:tc>
          <w:tcPr>
            <w:tcW w:w="577" w:type="pct"/>
            <w:tcBorders>
              <w:top w:val="single" w:sz="4" w:space="0" w:color="auto"/>
              <w:bottom w:val="single" w:sz="4" w:space="0" w:color="auto"/>
            </w:tcBorders>
            <w:vAlign w:val="center"/>
          </w:tcPr>
          <w:p w14:paraId="7FE5788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Pathology</w:t>
            </w:r>
          </w:p>
        </w:tc>
        <w:tc>
          <w:tcPr>
            <w:tcW w:w="464" w:type="pct"/>
            <w:tcBorders>
              <w:top w:val="single" w:sz="4" w:space="0" w:color="auto"/>
              <w:bottom w:val="single" w:sz="4" w:space="0" w:color="auto"/>
            </w:tcBorders>
            <w:vAlign w:val="center"/>
          </w:tcPr>
          <w:p w14:paraId="214DAAB6"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PPI</w:t>
            </w:r>
          </w:p>
          <w:p w14:paraId="3B9ACFAD"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use</w:t>
            </w:r>
          </w:p>
        </w:tc>
        <w:tc>
          <w:tcPr>
            <w:tcW w:w="662" w:type="pct"/>
            <w:tcBorders>
              <w:top w:val="single" w:sz="4" w:space="0" w:color="auto"/>
              <w:bottom w:val="single" w:sz="4" w:space="0" w:color="auto"/>
            </w:tcBorders>
            <w:vAlign w:val="center"/>
          </w:tcPr>
          <w:p w14:paraId="3D1DE53B" w14:textId="77777777" w:rsidR="000C461C" w:rsidRPr="00AF7547" w:rsidRDefault="000C461C" w:rsidP="00AF7547">
            <w:pPr>
              <w:adjustRightInd w:val="0"/>
              <w:snapToGrid w:val="0"/>
              <w:spacing w:line="360" w:lineRule="auto"/>
              <w:jc w:val="both"/>
              <w:rPr>
                <w:rFonts w:ascii="Book Antiqua" w:hAnsi="Book Antiqua"/>
                <w:b/>
                <w:i/>
              </w:rPr>
            </w:pPr>
            <w:r w:rsidRPr="00AF7547">
              <w:rPr>
                <w:rFonts w:ascii="Book Antiqua" w:hAnsi="Book Antiqua"/>
                <w:b/>
                <w:i/>
              </w:rPr>
              <w:t>H. pylori</w:t>
            </w:r>
          </w:p>
          <w:p w14:paraId="3EEFE9EA" w14:textId="77777777" w:rsidR="000C461C" w:rsidRPr="00AF7547" w:rsidRDefault="000C461C" w:rsidP="00AF7547">
            <w:pPr>
              <w:adjustRightInd w:val="0"/>
              <w:snapToGrid w:val="0"/>
              <w:spacing w:line="360" w:lineRule="auto"/>
              <w:jc w:val="both"/>
              <w:rPr>
                <w:rFonts w:ascii="Book Antiqua" w:hAnsi="Book Antiqua"/>
                <w:b/>
              </w:rPr>
            </w:pPr>
            <w:r w:rsidRPr="00AF7547">
              <w:rPr>
                <w:rFonts w:ascii="Book Antiqua" w:hAnsi="Book Antiqua"/>
                <w:b/>
              </w:rPr>
              <w:t>infection</w:t>
            </w:r>
          </w:p>
        </w:tc>
      </w:tr>
      <w:tr w:rsidR="000C461C" w:rsidRPr="00AF7547" w14:paraId="2B91F527" w14:textId="77777777" w:rsidTr="000C461C">
        <w:tc>
          <w:tcPr>
            <w:tcW w:w="519" w:type="pct"/>
            <w:tcBorders>
              <w:top w:val="single" w:sz="4" w:space="0" w:color="auto"/>
            </w:tcBorders>
            <w:vAlign w:val="center"/>
          </w:tcPr>
          <w:p w14:paraId="260C03A3" w14:textId="339ABDFA" w:rsidR="000C461C" w:rsidRPr="00AF7547" w:rsidRDefault="000C461C" w:rsidP="00526D66">
            <w:pPr>
              <w:adjustRightInd w:val="0"/>
              <w:snapToGrid w:val="0"/>
              <w:spacing w:line="360" w:lineRule="auto"/>
              <w:jc w:val="both"/>
              <w:rPr>
                <w:rFonts w:ascii="Book Antiqua" w:hAnsi="Book Antiqua"/>
              </w:rPr>
            </w:pPr>
            <w:r w:rsidRPr="00AF7547">
              <w:rPr>
                <w:rFonts w:ascii="Book Antiqua" w:hAnsi="Book Antiqua"/>
              </w:rPr>
              <w:t>Jalving</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[26]</w:t>
            </w:r>
            <w:r w:rsidRPr="00AF7547">
              <w:rPr>
                <w:rFonts w:ascii="Book Antiqua" w:hAnsi="Book Antiqua"/>
              </w:rPr>
              <w:t>, 2003</w:t>
            </w:r>
          </w:p>
        </w:tc>
        <w:tc>
          <w:tcPr>
            <w:tcW w:w="412" w:type="pct"/>
            <w:tcBorders>
              <w:top w:val="single" w:sz="4" w:space="0" w:color="auto"/>
            </w:tcBorders>
            <w:vAlign w:val="center"/>
          </w:tcPr>
          <w:p w14:paraId="35F4400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68</w:t>
            </w:r>
          </w:p>
        </w:tc>
        <w:tc>
          <w:tcPr>
            <w:tcW w:w="370" w:type="pct"/>
            <w:tcBorders>
              <w:top w:val="single" w:sz="4" w:space="0" w:color="auto"/>
            </w:tcBorders>
            <w:vAlign w:val="center"/>
          </w:tcPr>
          <w:p w14:paraId="7648649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w:t>
            </w:r>
          </w:p>
        </w:tc>
        <w:tc>
          <w:tcPr>
            <w:tcW w:w="477" w:type="pct"/>
            <w:tcBorders>
              <w:top w:val="single" w:sz="4" w:space="0" w:color="auto"/>
            </w:tcBorders>
            <w:vAlign w:val="center"/>
          </w:tcPr>
          <w:p w14:paraId="506E6090" w14:textId="5524303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 fundus</w:t>
            </w:r>
          </w:p>
        </w:tc>
        <w:tc>
          <w:tcPr>
            <w:tcW w:w="371" w:type="pct"/>
            <w:tcBorders>
              <w:top w:val="single" w:sz="4" w:space="0" w:color="auto"/>
            </w:tcBorders>
            <w:vAlign w:val="center"/>
          </w:tcPr>
          <w:p w14:paraId="357B5F2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24" w:type="pct"/>
            <w:tcBorders>
              <w:top w:val="single" w:sz="4" w:space="0" w:color="auto"/>
            </w:tcBorders>
            <w:vAlign w:val="center"/>
          </w:tcPr>
          <w:p w14:paraId="58FE827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tcBorders>
              <w:top w:val="single" w:sz="4" w:space="0" w:color="auto"/>
            </w:tcBorders>
            <w:vAlign w:val="center"/>
          </w:tcPr>
          <w:p w14:paraId="36E099A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tcBorders>
              <w:top w:val="single" w:sz="4" w:space="0" w:color="auto"/>
            </w:tcBorders>
            <w:vAlign w:val="center"/>
          </w:tcPr>
          <w:p w14:paraId="476FC64D" w14:textId="41BED6C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(high grade)</w:t>
            </w:r>
          </w:p>
        </w:tc>
        <w:tc>
          <w:tcPr>
            <w:tcW w:w="464" w:type="pct"/>
            <w:tcBorders>
              <w:top w:val="single" w:sz="4" w:space="0" w:color="auto"/>
            </w:tcBorders>
            <w:vAlign w:val="center"/>
          </w:tcPr>
          <w:p w14:paraId="261746E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tcBorders>
              <w:top w:val="single" w:sz="4" w:space="0" w:color="auto"/>
            </w:tcBorders>
            <w:vAlign w:val="center"/>
          </w:tcPr>
          <w:p w14:paraId="6606BD1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1F3BDD94" w14:textId="77777777" w:rsidTr="000C461C">
        <w:tc>
          <w:tcPr>
            <w:tcW w:w="519" w:type="pct"/>
            <w:vAlign w:val="center"/>
          </w:tcPr>
          <w:p w14:paraId="62154A3A" w14:textId="3022BEE6" w:rsidR="000C461C" w:rsidRPr="00AF7547" w:rsidRDefault="000C461C" w:rsidP="00E7662F">
            <w:pPr>
              <w:adjustRightInd w:val="0"/>
              <w:snapToGrid w:val="0"/>
              <w:spacing w:line="360" w:lineRule="auto"/>
              <w:jc w:val="both"/>
              <w:rPr>
                <w:rFonts w:ascii="Book Antiqua" w:eastAsia="MS Mincho" w:hAnsi="Book Antiqua"/>
                <w:i/>
                <w:iCs/>
              </w:rPr>
            </w:pPr>
            <w:r w:rsidRPr="00AF7547">
              <w:rPr>
                <w:rFonts w:ascii="Book Antiqua" w:hAnsi="Book Antiqua"/>
              </w:rPr>
              <w:t>Kawase</w:t>
            </w:r>
            <w:r w:rsidRPr="00AF7547">
              <w:rPr>
                <w:rFonts w:ascii="Book Antiqua" w:hAnsi="Book Antiqua"/>
                <w:i/>
                <w:iCs/>
              </w:rPr>
              <w:t>et al</w:t>
            </w:r>
            <w:r w:rsidRPr="00AF7547">
              <w:rPr>
                <w:rFonts w:ascii="Book Antiqua" w:hAnsi="Book Antiqua"/>
                <w:vertAlign w:val="superscript"/>
              </w:rPr>
              <w:t>[27]</w:t>
            </w:r>
            <w:r w:rsidRPr="00AF7547">
              <w:rPr>
                <w:rFonts w:ascii="Book Antiqua" w:hAnsi="Book Antiqua"/>
              </w:rPr>
              <w:t>, 2009</w:t>
            </w:r>
          </w:p>
        </w:tc>
        <w:tc>
          <w:tcPr>
            <w:tcW w:w="412" w:type="pct"/>
            <w:vAlign w:val="center"/>
          </w:tcPr>
          <w:p w14:paraId="65CD6F0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36</w:t>
            </w:r>
          </w:p>
        </w:tc>
        <w:tc>
          <w:tcPr>
            <w:tcW w:w="370" w:type="pct"/>
            <w:vAlign w:val="center"/>
          </w:tcPr>
          <w:p w14:paraId="152874B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4C11A9C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w:t>
            </w:r>
          </w:p>
        </w:tc>
        <w:tc>
          <w:tcPr>
            <w:tcW w:w="371" w:type="pct"/>
            <w:vAlign w:val="center"/>
          </w:tcPr>
          <w:p w14:paraId="5CAA29D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0713864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1312361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Irregular depression on the top</w:t>
            </w:r>
          </w:p>
        </w:tc>
        <w:tc>
          <w:tcPr>
            <w:tcW w:w="577" w:type="pct"/>
            <w:vAlign w:val="center"/>
          </w:tcPr>
          <w:p w14:paraId="139CED5E" w14:textId="7831371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064AFD4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62" w:type="pct"/>
            <w:vAlign w:val="center"/>
          </w:tcPr>
          <w:p w14:paraId="05E437C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Positive</w:t>
            </w:r>
          </w:p>
        </w:tc>
      </w:tr>
      <w:tr w:rsidR="000C461C" w:rsidRPr="00AF7547" w14:paraId="704F933A" w14:textId="77777777" w:rsidTr="000C461C">
        <w:tc>
          <w:tcPr>
            <w:tcW w:w="519" w:type="pct"/>
            <w:vMerge w:val="restart"/>
            <w:vAlign w:val="center"/>
          </w:tcPr>
          <w:p w14:paraId="06124DD4" w14:textId="3739669F"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Tazaki</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[28]</w:t>
            </w:r>
            <w:r w:rsidRPr="00AF7547">
              <w:rPr>
                <w:rFonts w:ascii="Book Antiqua" w:hAnsi="Book Antiqua"/>
              </w:rPr>
              <w:t>, 2011</w:t>
            </w:r>
          </w:p>
        </w:tc>
        <w:tc>
          <w:tcPr>
            <w:tcW w:w="412" w:type="pct"/>
            <w:vAlign w:val="center"/>
          </w:tcPr>
          <w:p w14:paraId="074060D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28</w:t>
            </w:r>
          </w:p>
        </w:tc>
        <w:tc>
          <w:tcPr>
            <w:tcW w:w="370" w:type="pct"/>
            <w:vAlign w:val="center"/>
          </w:tcPr>
          <w:p w14:paraId="4BD09D2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69C6560B" w14:textId="07B552C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DB4531">
              <w:rPr>
                <w:rFonts w:ascii="Book Antiqua" w:hAnsi="Book Antiqua" w:hint="eastAsia"/>
                <w:lang w:eastAsia="zh-CN"/>
              </w:rPr>
              <w:t xml:space="preserve"> </w:t>
            </w:r>
            <w:r w:rsidRPr="00AF7547">
              <w:rPr>
                <w:rFonts w:ascii="Book Antiqua" w:hAnsi="Book Antiqua"/>
              </w:rPr>
              <w:t>(posterior wall)</w:t>
            </w:r>
          </w:p>
        </w:tc>
        <w:tc>
          <w:tcPr>
            <w:tcW w:w="371" w:type="pct"/>
            <w:vAlign w:val="center"/>
          </w:tcPr>
          <w:p w14:paraId="78DFE4A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4053896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2AA769D1" w14:textId="1B1B85F9"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577" w:type="pct"/>
            <w:vAlign w:val="center"/>
          </w:tcPr>
          <w:p w14:paraId="70473DA8" w14:textId="17258AB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(adenoma)</w:t>
            </w:r>
          </w:p>
        </w:tc>
        <w:tc>
          <w:tcPr>
            <w:tcW w:w="464" w:type="pct"/>
            <w:vAlign w:val="center"/>
          </w:tcPr>
          <w:p w14:paraId="7815422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6297B03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4BB2C82" w14:textId="77777777" w:rsidTr="000C461C">
        <w:tc>
          <w:tcPr>
            <w:tcW w:w="519" w:type="pct"/>
            <w:vMerge/>
            <w:vAlign w:val="center"/>
          </w:tcPr>
          <w:p w14:paraId="37D01E31"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46231D0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60</w:t>
            </w:r>
          </w:p>
        </w:tc>
        <w:tc>
          <w:tcPr>
            <w:tcW w:w="370" w:type="pct"/>
            <w:vAlign w:val="center"/>
          </w:tcPr>
          <w:p w14:paraId="4C1DB6F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38F76067" w14:textId="62BF70C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053A2A2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2370191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21855C53" w14:textId="5CF416C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577" w:type="pct"/>
            <w:vAlign w:val="center"/>
          </w:tcPr>
          <w:p w14:paraId="1C27C1FC" w14:textId="75E026A2"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(adenoma)</w:t>
            </w:r>
          </w:p>
        </w:tc>
        <w:tc>
          <w:tcPr>
            <w:tcW w:w="464" w:type="pct"/>
            <w:vAlign w:val="center"/>
          </w:tcPr>
          <w:p w14:paraId="3C49B18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722D08E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5611AA0F" w14:textId="77777777" w:rsidTr="000C461C">
        <w:tc>
          <w:tcPr>
            <w:tcW w:w="519" w:type="pct"/>
            <w:vMerge/>
            <w:vAlign w:val="center"/>
          </w:tcPr>
          <w:p w14:paraId="5BA73FAE"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3A42E8D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39</w:t>
            </w:r>
          </w:p>
        </w:tc>
        <w:tc>
          <w:tcPr>
            <w:tcW w:w="370" w:type="pct"/>
            <w:vAlign w:val="center"/>
          </w:tcPr>
          <w:p w14:paraId="33EBC99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066826F9" w14:textId="2AA462E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(greate</w:t>
            </w:r>
            <w:r w:rsidRPr="00AF7547">
              <w:rPr>
                <w:rFonts w:ascii="Book Antiqua" w:hAnsi="Book Antiqua"/>
              </w:rPr>
              <w:lastRenderedPageBreak/>
              <w:t>r curvature)</w:t>
            </w:r>
          </w:p>
        </w:tc>
        <w:tc>
          <w:tcPr>
            <w:tcW w:w="371" w:type="pct"/>
            <w:vAlign w:val="center"/>
          </w:tcPr>
          <w:p w14:paraId="64ABDB8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8</w:t>
            </w:r>
          </w:p>
        </w:tc>
        <w:tc>
          <w:tcPr>
            <w:tcW w:w="624" w:type="pct"/>
            <w:vAlign w:val="center"/>
          </w:tcPr>
          <w:p w14:paraId="30117EF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6BB02738" w14:textId="4CBD11D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Partially discolor</w:t>
            </w:r>
            <w:r w:rsidRPr="00AF7547">
              <w:rPr>
                <w:rFonts w:ascii="Book Antiqua" w:hAnsi="Book Antiqua"/>
              </w:rPr>
              <w:lastRenderedPageBreak/>
              <w:t>ed/Smooth surface</w:t>
            </w:r>
          </w:p>
        </w:tc>
        <w:tc>
          <w:tcPr>
            <w:tcW w:w="577" w:type="pct"/>
            <w:vAlign w:val="center"/>
          </w:tcPr>
          <w:p w14:paraId="512C475D" w14:textId="7B321E3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Dysplasia</w:t>
            </w:r>
            <w:r w:rsidR="00CB6BBC">
              <w:rPr>
                <w:rFonts w:ascii="Book Antiqua" w:hAnsi="Book Antiqua" w:hint="eastAsia"/>
                <w:lang w:eastAsia="zh-CN"/>
              </w:rPr>
              <w:t xml:space="preserve"> </w:t>
            </w:r>
            <w:r w:rsidRPr="00AF7547">
              <w:rPr>
                <w:rFonts w:ascii="Book Antiqua" w:hAnsi="Book Antiqua"/>
              </w:rPr>
              <w:lastRenderedPageBreak/>
              <w:t>(adenoma)</w:t>
            </w:r>
          </w:p>
        </w:tc>
        <w:tc>
          <w:tcPr>
            <w:tcW w:w="464" w:type="pct"/>
            <w:vAlign w:val="center"/>
          </w:tcPr>
          <w:p w14:paraId="2ABAAC3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No</w:t>
            </w:r>
          </w:p>
        </w:tc>
        <w:tc>
          <w:tcPr>
            <w:tcW w:w="662" w:type="pct"/>
            <w:vAlign w:val="center"/>
          </w:tcPr>
          <w:p w14:paraId="566E070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6B79D13" w14:textId="77777777" w:rsidTr="000C461C">
        <w:tc>
          <w:tcPr>
            <w:tcW w:w="519" w:type="pct"/>
            <w:vAlign w:val="center"/>
          </w:tcPr>
          <w:p w14:paraId="2BD160CF" w14:textId="1125DB7D"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Jeong</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[29]</w:t>
            </w:r>
            <w:r w:rsidRPr="00AF7547">
              <w:rPr>
                <w:rFonts w:ascii="Book Antiqua" w:hAnsi="Book Antiqua"/>
              </w:rPr>
              <w:t>, 2014</w:t>
            </w:r>
          </w:p>
        </w:tc>
        <w:tc>
          <w:tcPr>
            <w:tcW w:w="412" w:type="pct"/>
            <w:vAlign w:val="center"/>
          </w:tcPr>
          <w:p w14:paraId="1A7BBC4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49</w:t>
            </w:r>
          </w:p>
        </w:tc>
        <w:tc>
          <w:tcPr>
            <w:tcW w:w="370" w:type="pct"/>
            <w:vAlign w:val="center"/>
          </w:tcPr>
          <w:p w14:paraId="17F2591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7B0E2F4A" w14:textId="51EF85C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6A392B3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8</w:t>
            </w:r>
          </w:p>
        </w:tc>
        <w:tc>
          <w:tcPr>
            <w:tcW w:w="624" w:type="pct"/>
            <w:vAlign w:val="center"/>
          </w:tcPr>
          <w:p w14:paraId="2E3B7DE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Pedunculated</w:t>
            </w:r>
          </w:p>
        </w:tc>
        <w:tc>
          <w:tcPr>
            <w:tcW w:w="526" w:type="pct"/>
            <w:vAlign w:val="center"/>
          </w:tcPr>
          <w:p w14:paraId="5853C4DA" w14:textId="0C636A5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Reddish/Erosive surface</w:t>
            </w:r>
          </w:p>
        </w:tc>
        <w:tc>
          <w:tcPr>
            <w:tcW w:w="577" w:type="pct"/>
            <w:vAlign w:val="center"/>
          </w:tcPr>
          <w:p w14:paraId="2B63ADB5" w14:textId="6F95846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2A0BCC8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21B20D5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4A3E3C16" w14:textId="77777777" w:rsidTr="000C461C">
        <w:tc>
          <w:tcPr>
            <w:tcW w:w="519" w:type="pct"/>
            <w:vAlign w:val="center"/>
          </w:tcPr>
          <w:p w14:paraId="4BEA604D" w14:textId="07F3A3E4"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Levy</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[30]</w:t>
            </w:r>
            <w:r w:rsidRPr="00AF7547">
              <w:rPr>
                <w:rFonts w:ascii="Book Antiqua" w:hAnsi="Book Antiqua"/>
              </w:rPr>
              <w:t>, 2015</w:t>
            </w:r>
          </w:p>
        </w:tc>
        <w:tc>
          <w:tcPr>
            <w:tcW w:w="412" w:type="pct"/>
            <w:vAlign w:val="center"/>
          </w:tcPr>
          <w:p w14:paraId="56F284F9" w14:textId="677B9DDE" w:rsidR="000C461C" w:rsidRPr="00AF7547" w:rsidRDefault="000C461C" w:rsidP="0030523D">
            <w:pPr>
              <w:adjustRightInd w:val="0"/>
              <w:snapToGrid w:val="0"/>
              <w:spacing w:line="360" w:lineRule="auto"/>
              <w:jc w:val="both"/>
              <w:rPr>
                <w:rFonts w:ascii="Book Antiqua" w:hAnsi="Book Antiqua"/>
              </w:rPr>
            </w:pPr>
            <w:r w:rsidRPr="00AF7547">
              <w:rPr>
                <w:rFonts w:ascii="Book Antiqua" w:hAnsi="Book Antiqua"/>
              </w:rPr>
              <w:t>56</w:t>
            </w:r>
            <w:r w:rsidR="0030523D">
              <w:rPr>
                <w:rFonts w:ascii="Book Antiqua" w:hAnsi="Book Antiqua"/>
              </w:rPr>
              <w:t xml:space="preserve"> </w:t>
            </w:r>
            <w:r w:rsidRPr="00AF7547">
              <w:rPr>
                <w:rFonts w:ascii="Book Antiqua" w:hAnsi="Book Antiqua"/>
              </w:rPr>
              <w:t>(median)</w:t>
            </w:r>
          </w:p>
        </w:tc>
        <w:tc>
          <w:tcPr>
            <w:tcW w:w="370" w:type="pct"/>
            <w:vAlign w:val="center"/>
          </w:tcPr>
          <w:p w14:paraId="3C370697" w14:textId="7FEDB517" w:rsidR="000C461C" w:rsidRPr="00AF7547" w:rsidRDefault="000C461C" w:rsidP="0030523D">
            <w:pPr>
              <w:adjustRightInd w:val="0"/>
              <w:snapToGrid w:val="0"/>
              <w:spacing w:line="360" w:lineRule="auto"/>
              <w:jc w:val="both"/>
              <w:rPr>
                <w:rFonts w:ascii="Book Antiqua" w:hAnsi="Book Antiqua"/>
              </w:rPr>
            </w:pPr>
            <w:r w:rsidRPr="00AF7547">
              <w:rPr>
                <w:rFonts w:ascii="Book Antiqua" w:hAnsi="Book Antiqua"/>
              </w:rPr>
              <w:t>M: 29</w:t>
            </w:r>
            <w:r w:rsidR="0030523D">
              <w:rPr>
                <w:rFonts w:ascii="Book Antiqua" w:hAnsi="Book Antiqua"/>
              </w:rPr>
              <w:t xml:space="preserve">; </w:t>
            </w:r>
            <w:r w:rsidRPr="00AF7547">
              <w:rPr>
                <w:rFonts w:ascii="Book Antiqua" w:hAnsi="Book Antiqua"/>
              </w:rPr>
              <w:t>F: 33</w:t>
            </w:r>
          </w:p>
        </w:tc>
        <w:tc>
          <w:tcPr>
            <w:tcW w:w="477" w:type="pct"/>
            <w:vAlign w:val="center"/>
          </w:tcPr>
          <w:p w14:paraId="2604A10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371" w:type="pct"/>
            <w:vAlign w:val="center"/>
          </w:tcPr>
          <w:p w14:paraId="06C839CA" w14:textId="6657BAFF" w:rsidR="000C461C" w:rsidRPr="00AF7547" w:rsidRDefault="000C461C" w:rsidP="0030523D">
            <w:pPr>
              <w:adjustRightInd w:val="0"/>
              <w:snapToGrid w:val="0"/>
              <w:spacing w:line="360" w:lineRule="auto"/>
              <w:jc w:val="both"/>
              <w:rPr>
                <w:rFonts w:ascii="Book Antiqua" w:hAnsi="Book Antiqua"/>
              </w:rPr>
            </w:pPr>
            <w:r w:rsidRPr="00AF7547">
              <w:rPr>
                <w:rFonts w:ascii="Book Antiqua" w:hAnsi="Book Antiqua"/>
              </w:rPr>
              <w:t>5</w:t>
            </w:r>
            <w:r w:rsidR="0030523D">
              <w:rPr>
                <w:rFonts w:ascii="Book Antiqua" w:hAnsi="Book Antiqua"/>
              </w:rPr>
              <w:t xml:space="preserve"> </w:t>
            </w:r>
            <w:r w:rsidRPr="00AF7547">
              <w:rPr>
                <w:rFonts w:ascii="Book Antiqua" w:hAnsi="Book Antiqua"/>
              </w:rPr>
              <w:t>(mean)</w:t>
            </w:r>
          </w:p>
        </w:tc>
        <w:tc>
          <w:tcPr>
            <w:tcW w:w="624" w:type="pct"/>
            <w:vAlign w:val="center"/>
          </w:tcPr>
          <w:p w14:paraId="4A5DA26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vAlign w:val="center"/>
          </w:tcPr>
          <w:p w14:paraId="052BD66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1D8D91E0" w14:textId="47DE275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(low grade)</w:t>
            </w:r>
          </w:p>
        </w:tc>
        <w:tc>
          <w:tcPr>
            <w:tcW w:w="464" w:type="pct"/>
            <w:vAlign w:val="center"/>
          </w:tcPr>
          <w:p w14:paraId="0E6754FE" w14:textId="49591CD0" w:rsidR="000C461C" w:rsidRPr="00AF7547" w:rsidRDefault="000C461C" w:rsidP="0030523D">
            <w:pPr>
              <w:adjustRightInd w:val="0"/>
              <w:snapToGrid w:val="0"/>
              <w:spacing w:line="360" w:lineRule="auto"/>
              <w:jc w:val="both"/>
              <w:rPr>
                <w:rFonts w:ascii="Book Antiqua" w:hAnsi="Book Antiqua"/>
              </w:rPr>
            </w:pPr>
            <w:r w:rsidRPr="00AF7547">
              <w:rPr>
                <w:rFonts w:ascii="Book Antiqua" w:hAnsi="Book Antiqua"/>
              </w:rPr>
              <w:t>Yes: 49</w:t>
            </w:r>
            <w:r w:rsidR="0030523D">
              <w:rPr>
                <w:rFonts w:ascii="Book Antiqua" w:hAnsi="Book Antiqua"/>
              </w:rPr>
              <w:t xml:space="preserve">; </w:t>
            </w:r>
            <w:r w:rsidRPr="00AF7547">
              <w:rPr>
                <w:rFonts w:ascii="Book Antiqua" w:hAnsi="Book Antiqua"/>
              </w:rPr>
              <w:t>No: 3</w:t>
            </w:r>
            <w:r w:rsidR="0030523D">
              <w:rPr>
                <w:rFonts w:ascii="Book Antiqua" w:hAnsi="Book Antiqua"/>
              </w:rPr>
              <w:t xml:space="preserve">; </w:t>
            </w:r>
            <w:r w:rsidRPr="00AF7547">
              <w:rPr>
                <w:rFonts w:ascii="Book Antiqua" w:hAnsi="Book Antiqua"/>
              </w:rPr>
              <w:t>ND:</w:t>
            </w:r>
            <w:r w:rsidR="0030523D">
              <w:rPr>
                <w:rFonts w:ascii="Book Antiqua" w:hAnsi="Book Antiqua"/>
              </w:rPr>
              <w:t xml:space="preserve"> </w:t>
            </w:r>
            <w:r w:rsidRPr="00AF7547">
              <w:rPr>
                <w:rFonts w:ascii="Book Antiqua" w:hAnsi="Book Antiqua"/>
              </w:rPr>
              <w:t>10</w:t>
            </w:r>
          </w:p>
        </w:tc>
        <w:tc>
          <w:tcPr>
            <w:tcW w:w="662" w:type="pct"/>
            <w:vAlign w:val="center"/>
          </w:tcPr>
          <w:p w14:paraId="2D344B6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1165A13" w14:textId="77777777" w:rsidTr="000C461C">
        <w:tc>
          <w:tcPr>
            <w:tcW w:w="519" w:type="pct"/>
            <w:vMerge w:val="restart"/>
            <w:vAlign w:val="center"/>
          </w:tcPr>
          <w:p w14:paraId="2DAA5B88" w14:textId="290BB626"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Togo</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 xml:space="preserve"> [31]</w:t>
            </w:r>
            <w:r w:rsidRPr="00AF7547">
              <w:rPr>
                <w:rFonts w:ascii="Book Antiqua" w:hAnsi="Book Antiqua"/>
              </w:rPr>
              <w:t>, 2016</w:t>
            </w:r>
          </w:p>
        </w:tc>
        <w:tc>
          <w:tcPr>
            <w:tcW w:w="412" w:type="pct"/>
            <w:vAlign w:val="center"/>
          </w:tcPr>
          <w:p w14:paraId="7B86302B"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68</w:t>
            </w:r>
          </w:p>
        </w:tc>
        <w:tc>
          <w:tcPr>
            <w:tcW w:w="370" w:type="pct"/>
            <w:vAlign w:val="center"/>
          </w:tcPr>
          <w:p w14:paraId="65F2D19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w:t>
            </w:r>
          </w:p>
        </w:tc>
        <w:tc>
          <w:tcPr>
            <w:tcW w:w="477" w:type="pct"/>
            <w:vAlign w:val="center"/>
          </w:tcPr>
          <w:p w14:paraId="5403A002" w14:textId="3A904343"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2A1E548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w:t>
            </w:r>
          </w:p>
        </w:tc>
        <w:tc>
          <w:tcPr>
            <w:tcW w:w="624" w:type="pct"/>
            <w:vAlign w:val="center"/>
          </w:tcPr>
          <w:p w14:paraId="689CA24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5C0AF16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34ECBCB6" w14:textId="6AB99DB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791061D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0486592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D8CEDA8" w14:textId="77777777" w:rsidTr="000C461C">
        <w:tc>
          <w:tcPr>
            <w:tcW w:w="519" w:type="pct"/>
            <w:vMerge/>
            <w:vAlign w:val="center"/>
          </w:tcPr>
          <w:p w14:paraId="418A53E2" w14:textId="77777777" w:rsidR="000C461C" w:rsidRPr="00AF7547" w:rsidRDefault="000C461C">
            <w:pPr>
              <w:adjustRightInd w:val="0"/>
              <w:snapToGrid w:val="0"/>
              <w:spacing w:line="360" w:lineRule="auto"/>
              <w:jc w:val="both"/>
              <w:rPr>
                <w:rFonts w:ascii="Book Antiqua" w:hAnsi="Book Antiqua"/>
              </w:rPr>
            </w:pPr>
          </w:p>
        </w:tc>
        <w:tc>
          <w:tcPr>
            <w:tcW w:w="412" w:type="pct"/>
            <w:vAlign w:val="center"/>
          </w:tcPr>
          <w:p w14:paraId="72C0DBC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63</w:t>
            </w:r>
          </w:p>
        </w:tc>
        <w:tc>
          <w:tcPr>
            <w:tcW w:w="370" w:type="pct"/>
            <w:vAlign w:val="center"/>
          </w:tcPr>
          <w:p w14:paraId="6BBCDAA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443BB5DE" w14:textId="1F0676F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Upper body</w:t>
            </w:r>
            <w:r w:rsidR="00CB6BBC">
              <w:rPr>
                <w:rFonts w:ascii="Book Antiqua" w:hAnsi="Book Antiqua" w:hint="eastAsia"/>
                <w:lang w:eastAsia="zh-CN"/>
              </w:rPr>
              <w:t xml:space="preserve"> </w:t>
            </w:r>
            <w:r w:rsidRPr="00AF7547">
              <w:rPr>
                <w:rFonts w:ascii="Book Antiqua" w:hAnsi="Book Antiqua"/>
              </w:rPr>
              <w:t>(anterior wall)</w:t>
            </w:r>
          </w:p>
        </w:tc>
        <w:tc>
          <w:tcPr>
            <w:tcW w:w="371" w:type="pct"/>
            <w:vAlign w:val="center"/>
          </w:tcPr>
          <w:p w14:paraId="41BCD2D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3</w:t>
            </w:r>
          </w:p>
        </w:tc>
        <w:tc>
          <w:tcPr>
            <w:tcW w:w="624" w:type="pct"/>
            <w:vAlign w:val="center"/>
          </w:tcPr>
          <w:p w14:paraId="03F0C5F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46E6677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4F63E163" w14:textId="129A839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B6BBC">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45CA7C8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No</w:t>
            </w:r>
          </w:p>
        </w:tc>
        <w:tc>
          <w:tcPr>
            <w:tcW w:w="662" w:type="pct"/>
            <w:vAlign w:val="center"/>
          </w:tcPr>
          <w:p w14:paraId="0418915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59FABC8E" w14:textId="77777777" w:rsidTr="000C461C">
        <w:tc>
          <w:tcPr>
            <w:tcW w:w="519" w:type="pct"/>
            <w:vAlign w:val="center"/>
          </w:tcPr>
          <w:p w14:paraId="4790DA11" w14:textId="2B0E92C5"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Lloyd</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[32]</w:t>
            </w:r>
            <w:r w:rsidRPr="00AF7547">
              <w:rPr>
                <w:rFonts w:ascii="Book Antiqua" w:hAnsi="Book Antiqua"/>
              </w:rPr>
              <w:t>, 2017</w:t>
            </w:r>
          </w:p>
        </w:tc>
        <w:tc>
          <w:tcPr>
            <w:tcW w:w="412" w:type="pct"/>
            <w:vAlign w:val="center"/>
          </w:tcPr>
          <w:p w14:paraId="02FA8629" w14:textId="210C17C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53</w:t>
            </w:r>
            <w:r w:rsidR="008C0417">
              <w:rPr>
                <w:rFonts w:ascii="Book Antiqua" w:hAnsi="Book Antiqua" w:hint="eastAsia"/>
                <w:lang w:eastAsia="zh-CN"/>
              </w:rPr>
              <w:t xml:space="preserve"> </w:t>
            </w:r>
            <w:r w:rsidRPr="00AF7547">
              <w:rPr>
                <w:rFonts w:ascii="Book Antiqua" w:hAnsi="Book Antiqua"/>
              </w:rPr>
              <w:t>(mean)</w:t>
            </w:r>
          </w:p>
        </w:tc>
        <w:tc>
          <w:tcPr>
            <w:tcW w:w="370" w:type="pct"/>
            <w:vAlign w:val="center"/>
          </w:tcPr>
          <w:p w14:paraId="0237811B" w14:textId="3AA217C1"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5</w:t>
            </w:r>
            <w:r w:rsidR="008C0417">
              <w:rPr>
                <w:rFonts w:ascii="Book Antiqua" w:hAnsi="Book Antiqua" w:hint="eastAsia"/>
                <w:lang w:eastAsia="zh-CN"/>
              </w:rPr>
              <w:t>;</w:t>
            </w:r>
            <w:r w:rsidR="008C0417">
              <w:rPr>
                <w:rFonts w:ascii="Book Antiqua" w:hAnsi="Book Antiqua"/>
                <w:lang w:eastAsia="zh-CN"/>
              </w:rPr>
              <w:t xml:space="preserve"> </w:t>
            </w:r>
            <w:r w:rsidRPr="00AF7547">
              <w:rPr>
                <w:rFonts w:ascii="Book Antiqua" w:hAnsi="Book Antiqua"/>
              </w:rPr>
              <w:t>F: 20</w:t>
            </w:r>
          </w:p>
        </w:tc>
        <w:tc>
          <w:tcPr>
            <w:tcW w:w="477" w:type="pct"/>
            <w:vAlign w:val="center"/>
          </w:tcPr>
          <w:p w14:paraId="2265D70F" w14:textId="6841C1F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 14</w:t>
            </w:r>
            <w:r w:rsidR="001B6815">
              <w:rPr>
                <w:rFonts w:ascii="Book Antiqua" w:hAnsi="Book Antiqua" w:hint="eastAsia"/>
                <w:lang w:eastAsia="zh-CN"/>
              </w:rPr>
              <w:t>;</w:t>
            </w:r>
            <w:r w:rsidR="001B6815">
              <w:rPr>
                <w:rFonts w:ascii="Book Antiqua" w:hAnsi="Book Antiqua"/>
                <w:lang w:eastAsia="zh-CN"/>
              </w:rPr>
              <w:t xml:space="preserve"> </w:t>
            </w:r>
            <w:r w:rsidRPr="00AF7547">
              <w:rPr>
                <w:rFonts w:ascii="Book Antiqua" w:hAnsi="Book Antiqua"/>
              </w:rPr>
              <w:t>Fundus: 11</w:t>
            </w:r>
            <w:r w:rsidR="001B6815">
              <w:rPr>
                <w:rFonts w:ascii="Book Antiqua" w:hAnsi="Book Antiqua" w:hint="eastAsia"/>
                <w:lang w:eastAsia="zh-CN"/>
              </w:rPr>
              <w:t>;</w:t>
            </w:r>
            <w:r w:rsidR="001B6815">
              <w:rPr>
                <w:rFonts w:ascii="Book Antiqua" w:hAnsi="Book Antiqua"/>
                <w:lang w:eastAsia="zh-CN"/>
              </w:rPr>
              <w:t xml:space="preserve"> </w:t>
            </w:r>
            <w:r w:rsidRPr="00AF7547">
              <w:rPr>
                <w:rFonts w:ascii="Book Antiqua" w:hAnsi="Book Antiqua"/>
              </w:rPr>
              <w:t>Cardia</w:t>
            </w:r>
            <w:r w:rsidRPr="00AF7547">
              <w:rPr>
                <w:rFonts w:ascii="Book Antiqua" w:hAnsi="Book Antiqua"/>
              </w:rPr>
              <w:lastRenderedPageBreak/>
              <w:t>: 1</w:t>
            </w:r>
            <w:r w:rsidR="001B6815">
              <w:rPr>
                <w:rFonts w:ascii="Book Antiqua" w:hAnsi="Book Antiqua" w:hint="eastAsia"/>
                <w:lang w:eastAsia="zh-CN"/>
              </w:rPr>
              <w:t>;</w:t>
            </w:r>
            <w:r w:rsidR="001B6815">
              <w:rPr>
                <w:rFonts w:ascii="Book Antiqua" w:hAnsi="Book Antiqua"/>
                <w:lang w:eastAsia="zh-CN"/>
              </w:rPr>
              <w:t xml:space="preserve"> </w:t>
            </w:r>
            <w:r w:rsidRPr="00AF7547">
              <w:rPr>
                <w:rFonts w:ascii="Book Antiqua" w:hAnsi="Book Antiqua"/>
              </w:rPr>
              <w:t>ND: 4</w:t>
            </w:r>
          </w:p>
        </w:tc>
        <w:tc>
          <w:tcPr>
            <w:tcW w:w="371" w:type="pct"/>
            <w:vAlign w:val="center"/>
          </w:tcPr>
          <w:p w14:paraId="6AE09AAA" w14:textId="4C8980F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&lt;</w:t>
            </w:r>
            <w:r w:rsidR="00362ED3" w:rsidRPr="00AF7547">
              <w:rPr>
                <w:rFonts w:ascii="Book Antiqua" w:hAnsi="Book Antiqua"/>
              </w:rPr>
              <w:t xml:space="preserve"> </w:t>
            </w:r>
            <w:r w:rsidRPr="00AF7547">
              <w:rPr>
                <w:rFonts w:ascii="Book Antiqua" w:hAnsi="Book Antiqua"/>
              </w:rPr>
              <w:t>5: 13</w:t>
            </w:r>
            <w:r w:rsidR="00B70348">
              <w:rPr>
                <w:rFonts w:ascii="Book Antiqua" w:hAnsi="Book Antiqua" w:hint="eastAsia"/>
                <w:lang w:eastAsia="zh-CN"/>
              </w:rPr>
              <w:t>;</w:t>
            </w:r>
            <w:r w:rsidR="00B70348">
              <w:rPr>
                <w:rFonts w:ascii="Book Antiqua" w:hAnsi="Book Antiqua"/>
                <w:lang w:eastAsia="zh-CN"/>
              </w:rPr>
              <w:t xml:space="preserve"> </w:t>
            </w:r>
            <w:r w:rsidRPr="00AF7547">
              <w:rPr>
                <w:rFonts w:ascii="Book Antiqua" w:hAnsi="Book Antiqua"/>
              </w:rPr>
              <w:t>5</w:t>
            </w:r>
            <w:r w:rsidR="00DD6BDC">
              <w:rPr>
                <w:rFonts w:ascii="Book Antiqua" w:hAnsi="Book Antiqua"/>
              </w:rPr>
              <w:t>-</w:t>
            </w:r>
            <w:r w:rsidRPr="00AF7547">
              <w:rPr>
                <w:rFonts w:ascii="Book Antiqua" w:hAnsi="Book Antiqua"/>
              </w:rPr>
              <w:t>10: 10</w:t>
            </w:r>
            <w:r w:rsidR="00B70348">
              <w:rPr>
                <w:rFonts w:ascii="Book Antiqua" w:hAnsi="Book Antiqua" w:hint="eastAsia"/>
                <w:lang w:eastAsia="zh-CN"/>
              </w:rPr>
              <w:t>;</w:t>
            </w:r>
            <w:r w:rsidR="00B70348">
              <w:rPr>
                <w:rFonts w:ascii="Book Antiqua" w:hAnsi="Book Antiqua"/>
                <w:lang w:eastAsia="zh-CN"/>
              </w:rPr>
              <w:t xml:space="preserve"> </w:t>
            </w:r>
            <w:r w:rsidRPr="00AF7547">
              <w:rPr>
                <w:rFonts w:ascii="Book Antiqua" w:hAnsi="Book Antiqua"/>
              </w:rPr>
              <w:t>&gt;</w:t>
            </w:r>
            <w:r w:rsidR="00362ED3" w:rsidRPr="00AF7547">
              <w:rPr>
                <w:rFonts w:ascii="Book Antiqua" w:hAnsi="Book Antiqua"/>
              </w:rPr>
              <w:t xml:space="preserve"> </w:t>
            </w:r>
            <w:r w:rsidRPr="00AF7547">
              <w:rPr>
                <w:rFonts w:ascii="Book Antiqua" w:hAnsi="Book Antiqua"/>
              </w:rPr>
              <w:t>10: 1</w:t>
            </w:r>
            <w:r w:rsidR="00B70348">
              <w:rPr>
                <w:rFonts w:ascii="Book Antiqua" w:hAnsi="Book Antiqua" w:hint="eastAsia"/>
                <w:lang w:eastAsia="zh-CN"/>
              </w:rPr>
              <w:t>;</w:t>
            </w:r>
            <w:r w:rsidR="00B70348">
              <w:rPr>
                <w:rFonts w:ascii="Book Antiqua" w:hAnsi="Book Antiqua"/>
                <w:lang w:eastAsia="zh-CN"/>
              </w:rPr>
              <w:t xml:space="preserve"> </w:t>
            </w:r>
            <w:r w:rsidRPr="00AF7547">
              <w:rPr>
                <w:rFonts w:ascii="Book Antiqua" w:hAnsi="Book Antiqua"/>
              </w:rPr>
              <w:lastRenderedPageBreak/>
              <w:t>ND: 1</w:t>
            </w:r>
          </w:p>
        </w:tc>
        <w:tc>
          <w:tcPr>
            <w:tcW w:w="624" w:type="pct"/>
            <w:vAlign w:val="center"/>
          </w:tcPr>
          <w:p w14:paraId="7C063552" w14:textId="22B71AA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lastRenderedPageBreak/>
              <w:t>Sessile: 20</w:t>
            </w:r>
            <w:r w:rsidR="00986ECB">
              <w:rPr>
                <w:rFonts w:ascii="Book Antiqua" w:hAnsi="Book Antiqua" w:hint="eastAsia"/>
                <w:lang w:eastAsia="zh-CN"/>
              </w:rPr>
              <w:t>;</w:t>
            </w:r>
            <w:r w:rsidR="00986ECB">
              <w:rPr>
                <w:rFonts w:ascii="Book Antiqua" w:hAnsi="Book Antiqua"/>
                <w:lang w:eastAsia="zh-CN"/>
              </w:rPr>
              <w:t xml:space="preserve"> </w:t>
            </w:r>
            <w:r w:rsidRPr="00AF7547">
              <w:rPr>
                <w:rFonts w:ascii="Book Antiqua" w:hAnsi="Book Antiqua"/>
              </w:rPr>
              <w:t>Pedunculated: 2</w:t>
            </w:r>
            <w:r w:rsidR="00986ECB">
              <w:rPr>
                <w:rFonts w:ascii="Book Antiqua" w:hAnsi="Book Antiqua" w:hint="eastAsia"/>
                <w:lang w:eastAsia="zh-CN"/>
              </w:rPr>
              <w:t>;</w:t>
            </w:r>
            <w:r w:rsidR="00986ECB">
              <w:rPr>
                <w:rFonts w:ascii="Book Antiqua" w:hAnsi="Book Antiqua"/>
                <w:lang w:eastAsia="zh-CN"/>
              </w:rPr>
              <w:t xml:space="preserve"> </w:t>
            </w:r>
            <w:r w:rsidRPr="00AF7547">
              <w:rPr>
                <w:rFonts w:ascii="Book Antiqua" w:hAnsi="Book Antiqua"/>
              </w:rPr>
              <w:t>ND: 3</w:t>
            </w:r>
          </w:p>
        </w:tc>
        <w:tc>
          <w:tcPr>
            <w:tcW w:w="526" w:type="pct"/>
            <w:vAlign w:val="center"/>
          </w:tcPr>
          <w:p w14:paraId="15389689"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3DB7C756" w14:textId="609D5CF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B6BBC">
              <w:rPr>
                <w:rFonts w:ascii="Book Antiqua" w:hAnsi="Book Antiqua" w:hint="eastAsia"/>
                <w:lang w:eastAsia="zh-CN"/>
              </w:rPr>
              <w:t xml:space="preserve"> </w:t>
            </w:r>
            <w:r w:rsidRPr="00AF7547">
              <w:rPr>
                <w:rFonts w:ascii="Book Antiqua" w:hAnsi="Book Antiqua"/>
              </w:rPr>
              <w:t>(low grade)</w:t>
            </w:r>
          </w:p>
        </w:tc>
        <w:tc>
          <w:tcPr>
            <w:tcW w:w="464" w:type="pct"/>
            <w:vAlign w:val="center"/>
          </w:tcPr>
          <w:p w14:paraId="1390411E" w14:textId="5E591AF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 17</w:t>
            </w:r>
            <w:r w:rsidR="003672E9">
              <w:rPr>
                <w:rFonts w:ascii="Book Antiqua" w:hAnsi="Book Antiqua" w:hint="eastAsia"/>
                <w:lang w:eastAsia="zh-CN"/>
              </w:rPr>
              <w:t>;</w:t>
            </w:r>
            <w:r w:rsidR="003672E9">
              <w:rPr>
                <w:rFonts w:ascii="Book Antiqua" w:hAnsi="Book Antiqua"/>
                <w:lang w:eastAsia="zh-CN"/>
              </w:rPr>
              <w:t xml:space="preserve"> </w:t>
            </w:r>
            <w:r w:rsidRPr="00AF7547">
              <w:rPr>
                <w:rFonts w:ascii="Book Antiqua" w:hAnsi="Book Antiqua"/>
              </w:rPr>
              <w:t>No: 1</w:t>
            </w:r>
            <w:r w:rsidR="003672E9">
              <w:rPr>
                <w:rFonts w:ascii="Book Antiqua" w:hAnsi="Book Antiqua" w:hint="eastAsia"/>
                <w:lang w:eastAsia="zh-CN"/>
              </w:rPr>
              <w:t>;</w:t>
            </w:r>
            <w:r w:rsidR="003672E9">
              <w:rPr>
                <w:rFonts w:ascii="Book Antiqua" w:hAnsi="Book Antiqua"/>
                <w:lang w:eastAsia="zh-CN"/>
              </w:rPr>
              <w:t xml:space="preserve"> </w:t>
            </w:r>
            <w:r w:rsidRPr="00AF7547">
              <w:rPr>
                <w:rFonts w:ascii="Book Antiqua" w:hAnsi="Book Antiqua"/>
              </w:rPr>
              <w:t>ND: 7</w:t>
            </w:r>
          </w:p>
        </w:tc>
        <w:tc>
          <w:tcPr>
            <w:tcW w:w="662" w:type="pct"/>
            <w:vAlign w:val="center"/>
          </w:tcPr>
          <w:p w14:paraId="201ED5B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r>
      <w:tr w:rsidR="000C461C" w:rsidRPr="00AF7547" w14:paraId="27182DE2" w14:textId="77777777" w:rsidTr="000C461C">
        <w:tc>
          <w:tcPr>
            <w:tcW w:w="519" w:type="pct"/>
            <w:vAlign w:val="center"/>
          </w:tcPr>
          <w:p w14:paraId="0E52BE71" w14:textId="45B0E5AA" w:rsidR="000C461C" w:rsidRPr="00AF7547" w:rsidRDefault="000C461C" w:rsidP="00E7662F">
            <w:pPr>
              <w:adjustRightInd w:val="0"/>
              <w:snapToGrid w:val="0"/>
              <w:spacing w:line="360" w:lineRule="auto"/>
              <w:jc w:val="both"/>
              <w:rPr>
                <w:rFonts w:ascii="Book Antiqua" w:hAnsi="Book Antiqua"/>
                <w:i/>
                <w:iCs/>
              </w:rPr>
            </w:pPr>
            <w:r w:rsidRPr="00AF7547">
              <w:rPr>
                <w:rFonts w:ascii="Book Antiqua" w:hAnsi="Book Antiqua"/>
              </w:rPr>
              <w:t>Fukuda</w:t>
            </w:r>
            <w:r w:rsidRPr="00AF7547">
              <w:rPr>
                <w:rFonts w:ascii="Book Antiqua" w:hAnsi="Book Antiqua"/>
                <w:i/>
                <w:iCs/>
              </w:rPr>
              <w:t>et al</w:t>
            </w:r>
            <w:r w:rsidRPr="00AF7547">
              <w:rPr>
                <w:rFonts w:ascii="Book Antiqua" w:hAnsi="Book Antiqua"/>
                <w:vertAlign w:val="superscript"/>
              </w:rPr>
              <w:t>[33]</w:t>
            </w:r>
            <w:r w:rsidRPr="00AF7547">
              <w:rPr>
                <w:rFonts w:ascii="Book Antiqua" w:hAnsi="Book Antiqua"/>
              </w:rPr>
              <w:t>, 2018</w:t>
            </w:r>
          </w:p>
        </w:tc>
        <w:tc>
          <w:tcPr>
            <w:tcW w:w="412" w:type="pct"/>
            <w:vAlign w:val="center"/>
          </w:tcPr>
          <w:p w14:paraId="1760BEE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55</w:t>
            </w:r>
          </w:p>
        </w:tc>
        <w:tc>
          <w:tcPr>
            <w:tcW w:w="370" w:type="pct"/>
            <w:vAlign w:val="center"/>
          </w:tcPr>
          <w:p w14:paraId="758932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217FEE31" w14:textId="1ED32BA1"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2163B5">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43E1802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3CFE346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7F2D444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Distorted surface structure</w:t>
            </w:r>
          </w:p>
        </w:tc>
        <w:tc>
          <w:tcPr>
            <w:tcW w:w="577" w:type="pct"/>
            <w:vAlign w:val="center"/>
          </w:tcPr>
          <w:p w14:paraId="7BD47FC0" w14:textId="3590520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2163B5">
              <w:rPr>
                <w:rFonts w:ascii="Book Antiqua" w:hAnsi="Book Antiqua" w:hint="eastAsia"/>
                <w:lang w:eastAsia="zh-CN"/>
              </w:rPr>
              <w:t xml:space="preserve"> </w:t>
            </w:r>
            <w:r w:rsidRPr="00AF7547">
              <w:rPr>
                <w:rFonts w:ascii="Book Antiqua" w:hAnsi="Book Antiqua"/>
              </w:rPr>
              <w:t>(low grade)</w:t>
            </w:r>
            <w:r w:rsidR="00FF2FB6">
              <w:rPr>
                <w:rFonts w:ascii="Book Antiqua" w:hAnsi="Book Antiqua"/>
              </w:rPr>
              <w:t xml:space="preserve">; </w:t>
            </w:r>
            <w:r w:rsidRPr="00AF7547">
              <w:rPr>
                <w:rFonts w:ascii="Book Antiqua" w:hAnsi="Book Antiqua"/>
              </w:rPr>
              <w:t>Carcinoma</w:t>
            </w:r>
            <w:r w:rsidR="00FF2FB6">
              <w:rPr>
                <w:rFonts w:ascii="Book Antiqua" w:hAnsi="Book Antiqua"/>
              </w:rPr>
              <w:t xml:space="preserve"> </w:t>
            </w:r>
            <w:r w:rsidRPr="00AF7547">
              <w:rPr>
                <w:rFonts w:ascii="Book Antiqua" w:hAnsi="Book Antiqua"/>
              </w:rPr>
              <w:t>(intramucosal)</w:t>
            </w:r>
          </w:p>
        </w:tc>
        <w:tc>
          <w:tcPr>
            <w:tcW w:w="464" w:type="pct"/>
            <w:vAlign w:val="center"/>
          </w:tcPr>
          <w:p w14:paraId="2235DFA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Align w:val="center"/>
          </w:tcPr>
          <w:p w14:paraId="07D23A6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3C8FCF85" w14:textId="77777777" w:rsidTr="000C461C">
        <w:tc>
          <w:tcPr>
            <w:tcW w:w="519" w:type="pct"/>
            <w:vAlign w:val="center"/>
          </w:tcPr>
          <w:p w14:paraId="5F483DDD" w14:textId="4798F18F"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Straub</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[34]</w:t>
            </w:r>
            <w:r w:rsidRPr="00AF7547">
              <w:rPr>
                <w:rFonts w:ascii="Book Antiqua" w:hAnsi="Book Antiqua"/>
              </w:rPr>
              <w:t>, 2018</w:t>
            </w:r>
          </w:p>
        </w:tc>
        <w:tc>
          <w:tcPr>
            <w:tcW w:w="412" w:type="pct"/>
            <w:vAlign w:val="center"/>
          </w:tcPr>
          <w:p w14:paraId="78BC931C" w14:textId="71FE3059" w:rsidR="000C461C" w:rsidRPr="00AF7547" w:rsidRDefault="000C461C" w:rsidP="00FF2FB6">
            <w:pPr>
              <w:adjustRightInd w:val="0"/>
              <w:snapToGrid w:val="0"/>
              <w:spacing w:line="360" w:lineRule="auto"/>
              <w:jc w:val="both"/>
              <w:rPr>
                <w:rFonts w:ascii="Book Antiqua" w:hAnsi="Book Antiqua"/>
              </w:rPr>
            </w:pPr>
            <w:r w:rsidRPr="00AF7547">
              <w:rPr>
                <w:rFonts w:ascii="Book Antiqua" w:hAnsi="Book Antiqua"/>
              </w:rPr>
              <w:t>61</w:t>
            </w:r>
            <w:r w:rsidR="00FF2FB6">
              <w:rPr>
                <w:rFonts w:ascii="Book Antiqua" w:hAnsi="Book Antiqua" w:hint="eastAsia"/>
                <w:lang w:eastAsia="zh-CN"/>
              </w:rPr>
              <w:t xml:space="preserve"> </w:t>
            </w:r>
            <w:r w:rsidRPr="00AF7547">
              <w:rPr>
                <w:rFonts w:ascii="Book Antiqua" w:hAnsi="Book Antiqua"/>
              </w:rPr>
              <w:t>(median)</w:t>
            </w:r>
          </w:p>
        </w:tc>
        <w:tc>
          <w:tcPr>
            <w:tcW w:w="370" w:type="pct"/>
            <w:vAlign w:val="center"/>
          </w:tcPr>
          <w:p w14:paraId="2C26AE9C" w14:textId="1EA439E3"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11</w:t>
            </w:r>
            <w:r w:rsidR="00FF2FB6">
              <w:rPr>
                <w:rFonts w:ascii="Book Antiqua" w:hAnsi="Book Antiqua" w:hint="eastAsia"/>
                <w:lang w:eastAsia="zh-CN"/>
              </w:rPr>
              <w:t>;</w:t>
            </w:r>
            <w:r w:rsidR="00FF2FB6">
              <w:rPr>
                <w:rFonts w:ascii="Book Antiqua" w:hAnsi="Book Antiqua"/>
                <w:lang w:eastAsia="zh-CN"/>
              </w:rPr>
              <w:t xml:space="preserve"> </w:t>
            </w:r>
            <w:r w:rsidRPr="00AF7547">
              <w:rPr>
                <w:rFonts w:ascii="Book Antiqua" w:hAnsi="Book Antiqua"/>
              </w:rPr>
              <w:t>F: 28</w:t>
            </w:r>
          </w:p>
        </w:tc>
        <w:tc>
          <w:tcPr>
            <w:tcW w:w="477" w:type="pct"/>
            <w:vAlign w:val="center"/>
          </w:tcPr>
          <w:p w14:paraId="63056C7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371" w:type="pct"/>
            <w:vAlign w:val="center"/>
          </w:tcPr>
          <w:p w14:paraId="621EEA3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624" w:type="pct"/>
            <w:vAlign w:val="center"/>
          </w:tcPr>
          <w:p w14:paraId="570D44A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26" w:type="pct"/>
            <w:vAlign w:val="center"/>
          </w:tcPr>
          <w:p w14:paraId="330EDB3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2473ECB3" w14:textId="629A6E5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AF4FD4">
              <w:rPr>
                <w:rFonts w:ascii="Book Antiqua" w:hAnsi="Book Antiqua" w:hint="eastAsia"/>
                <w:lang w:eastAsia="zh-CN"/>
              </w:rPr>
              <w:t xml:space="preserve"> </w:t>
            </w:r>
            <w:r w:rsidRPr="00AF7547">
              <w:rPr>
                <w:rFonts w:ascii="Book Antiqua" w:hAnsi="Book Antiqua"/>
              </w:rPr>
              <w:t>(low grade/high grade)</w:t>
            </w:r>
          </w:p>
        </w:tc>
        <w:tc>
          <w:tcPr>
            <w:tcW w:w="464" w:type="pct"/>
            <w:vAlign w:val="center"/>
          </w:tcPr>
          <w:p w14:paraId="225A759A" w14:textId="1C887E5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 32</w:t>
            </w:r>
            <w:r w:rsidR="00FF2FB6">
              <w:rPr>
                <w:rFonts w:ascii="Book Antiqua" w:hAnsi="Book Antiqua" w:hint="eastAsia"/>
                <w:lang w:eastAsia="zh-CN"/>
              </w:rPr>
              <w:t>;</w:t>
            </w:r>
            <w:r w:rsidR="00FF2FB6">
              <w:rPr>
                <w:rFonts w:ascii="Book Antiqua" w:hAnsi="Book Antiqua"/>
                <w:lang w:eastAsia="zh-CN"/>
              </w:rPr>
              <w:t xml:space="preserve"> </w:t>
            </w:r>
            <w:r w:rsidRPr="00AF7547">
              <w:rPr>
                <w:rFonts w:ascii="Book Antiqua" w:hAnsi="Book Antiqua"/>
              </w:rPr>
              <w:t>No/ND: 7</w:t>
            </w:r>
          </w:p>
        </w:tc>
        <w:tc>
          <w:tcPr>
            <w:tcW w:w="662" w:type="pct"/>
            <w:vAlign w:val="center"/>
          </w:tcPr>
          <w:p w14:paraId="54EA5370" w14:textId="75597F01"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Positive: 1</w:t>
            </w:r>
            <w:r w:rsidR="00134A0D">
              <w:rPr>
                <w:rFonts w:ascii="Book Antiqua" w:hAnsi="Book Antiqua" w:hint="eastAsia"/>
                <w:lang w:eastAsia="zh-CN"/>
              </w:rPr>
              <w:t>;</w:t>
            </w:r>
            <w:r w:rsidR="00134A0D">
              <w:rPr>
                <w:rFonts w:ascii="Book Antiqua" w:hAnsi="Book Antiqua"/>
                <w:lang w:eastAsia="zh-CN"/>
              </w:rPr>
              <w:t xml:space="preserve"> </w:t>
            </w:r>
            <w:r w:rsidRPr="00AF7547">
              <w:rPr>
                <w:rFonts w:ascii="Book Antiqua" w:hAnsi="Book Antiqua"/>
              </w:rPr>
              <w:t>Negative/ND: 38</w:t>
            </w:r>
          </w:p>
        </w:tc>
      </w:tr>
      <w:tr w:rsidR="000C461C" w:rsidRPr="00AF7547" w14:paraId="2A59A928" w14:textId="77777777" w:rsidTr="000C461C">
        <w:tc>
          <w:tcPr>
            <w:tcW w:w="519" w:type="pct"/>
            <w:vMerge w:val="restart"/>
            <w:vAlign w:val="center"/>
          </w:tcPr>
          <w:p w14:paraId="508BB388" w14:textId="4C9A00DD" w:rsidR="000C461C" w:rsidRPr="00AF7547" w:rsidRDefault="000C461C" w:rsidP="00526D66">
            <w:pPr>
              <w:adjustRightInd w:val="0"/>
              <w:snapToGrid w:val="0"/>
              <w:spacing w:line="360" w:lineRule="auto"/>
              <w:jc w:val="both"/>
              <w:rPr>
                <w:rFonts w:ascii="Book Antiqua" w:hAnsi="Book Antiqua"/>
                <w:i/>
                <w:iCs/>
              </w:rPr>
            </w:pPr>
            <w:r w:rsidRPr="00AF7547">
              <w:rPr>
                <w:rFonts w:ascii="Book Antiqua" w:hAnsi="Book Antiqua"/>
              </w:rPr>
              <w:t>Shibukawa</w:t>
            </w:r>
            <w:r w:rsidR="00362ED3" w:rsidRPr="00AF7547">
              <w:rPr>
                <w:rFonts w:ascii="Book Antiqua" w:hAnsi="Book Antiqua"/>
              </w:rPr>
              <w:t xml:space="preserve"> </w:t>
            </w:r>
            <w:r w:rsidRPr="00AF7547">
              <w:rPr>
                <w:rFonts w:ascii="Book Antiqua" w:hAnsi="Book Antiqua"/>
                <w:i/>
                <w:iCs/>
              </w:rPr>
              <w:t>et al</w:t>
            </w:r>
            <w:r w:rsidRPr="00AF7547">
              <w:rPr>
                <w:rFonts w:ascii="Book Antiqua" w:hAnsi="Book Antiqua"/>
                <w:vertAlign w:val="superscript"/>
              </w:rPr>
              <w:t>[35]</w:t>
            </w:r>
            <w:r w:rsidRPr="00AF7547">
              <w:rPr>
                <w:rFonts w:ascii="Book Antiqua" w:hAnsi="Book Antiqua"/>
              </w:rPr>
              <w:t>, 2019</w:t>
            </w:r>
          </w:p>
        </w:tc>
        <w:tc>
          <w:tcPr>
            <w:tcW w:w="412" w:type="pct"/>
            <w:vMerge w:val="restart"/>
            <w:vAlign w:val="center"/>
          </w:tcPr>
          <w:p w14:paraId="1A73546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51</w:t>
            </w:r>
          </w:p>
        </w:tc>
        <w:tc>
          <w:tcPr>
            <w:tcW w:w="370" w:type="pct"/>
            <w:vMerge w:val="restart"/>
            <w:vAlign w:val="center"/>
          </w:tcPr>
          <w:p w14:paraId="5578DD43"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Merge w:val="restart"/>
            <w:vAlign w:val="center"/>
          </w:tcPr>
          <w:p w14:paraId="123F8FE7" w14:textId="463C222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Middle body</w:t>
            </w:r>
            <w:r w:rsidR="00695FE4">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2B80546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7533CCAF"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Pedunculated</w:t>
            </w:r>
          </w:p>
        </w:tc>
        <w:tc>
          <w:tcPr>
            <w:tcW w:w="526" w:type="pct"/>
            <w:vAlign w:val="center"/>
          </w:tcPr>
          <w:p w14:paraId="5F4055C6"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0127B0FF" w14:textId="494012D2"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B74DD6">
              <w:rPr>
                <w:rFonts w:ascii="Book Antiqua" w:hAnsi="Book Antiqua" w:hint="eastAsia"/>
                <w:lang w:eastAsia="zh-CN"/>
              </w:rPr>
              <w:t xml:space="preserve"> </w:t>
            </w:r>
            <w:r w:rsidRPr="00AF7547">
              <w:rPr>
                <w:rFonts w:ascii="Book Antiqua" w:hAnsi="Book Antiqua"/>
              </w:rPr>
              <w:t>(low grade)</w:t>
            </w:r>
            <w:r w:rsidR="00016157">
              <w:rPr>
                <w:rFonts w:ascii="Book Antiqua" w:hAnsi="Book Antiqua"/>
              </w:rPr>
              <w:t xml:space="preserve">; </w:t>
            </w:r>
          </w:p>
          <w:p w14:paraId="0E09B75F" w14:textId="7C2864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282EFA">
              <w:rPr>
                <w:rFonts w:ascii="Book Antiqua" w:hAnsi="Book Antiqua" w:hint="eastAsia"/>
                <w:lang w:eastAsia="zh-CN"/>
              </w:rPr>
              <w:t xml:space="preserve"> </w:t>
            </w:r>
            <w:r w:rsidRPr="00AF7547">
              <w:rPr>
                <w:rFonts w:ascii="Book Antiqua" w:hAnsi="Book Antiqua"/>
              </w:rPr>
              <w:t>(biopsy specimen)</w:t>
            </w:r>
          </w:p>
        </w:tc>
        <w:tc>
          <w:tcPr>
            <w:tcW w:w="464" w:type="pct"/>
            <w:vMerge w:val="restart"/>
            <w:vAlign w:val="center"/>
          </w:tcPr>
          <w:p w14:paraId="25CC65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Merge w:val="restart"/>
            <w:vAlign w:val="center"/>
          </w:tcPr>
          <w:p w14:paraId="2D4E27C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r w:rsidR="000C461C" w:rsidRPr="00AF7547" w14:paraId="0C0E1466" w14:textId="77777777" w:rsidTr="000C461C">
        <w:tc>
          <w:tcPr>
            <w:tcW w:w="519" w:type="pct"/>
            <w:vMerge/>
            <w:vAlign w:val="center"/>
          </w:tcPr>
          <w:p w14:paraId="4CBB3A86" w14:textId="77777777" w:rsidR="000C461C" w:rsidRPr="00AF7547" w:rsidRDefault="000C461C">
            <w:pPr>
              <w:adjustRightInd w:val="0"/>
              <w:snapToGrid w:val="0"/>
              <w:spacing w:line="360" w:lineRule="auto"/>
              <w:jc w:val="both"/>
              <w:rPr>
                <w:rFonts w:ascii="Book Antiqua" w:hAnsi="Book Antiqua"/>
              </w:rPr>
            </w:pPr>
          </w:p>
        </w:tc>
        <w:tc>
          <w:tcPr>
            <w:tcW w:w="412" w:type="pct"/>
            <w:vMerge/>
            <w:vAlign w:val="center"/>
          </w:tcPr>
          <w:p w14:paraId="45C0FC19" w14:textId="77777777" w:rsidR="000C461C" w:rsidRPr="00AF7547" w:rsidRDefault="000C461C" w:rsidP="00AF7547">
            <w:pPr>
              <w:adjustRightInd w:val="0"/>
              <w:snapToGrid w:val="0"/>
              <w:spacing w:line="360" w:lineRule="auto"/>
              <w:jc w:val="both"/>
              <w:rPr>
                <w:rFonts w:ascii="Book Antiqua" w:hAnsi="Book Antiqua"/>
              </w:rPr>
            </w:pPr>
          </w:p>
        </w:tc>
        <w:tc>
          <w:tcPr>
            <w:tcW w:w="370" w:type="pct"/>
            <w:vMerge/>
            <w:vAlign w:val="center"/>
          </w:tcPr>
          <w:p w14:paraId="1794279F" w14:textId="77777777" w:rsidR="000C461C" w:rsidRPr="00AF7547" w:rsidRDefault="000C461C" w:rsidP="00AF7547">
            <w:pPr>
              <w:adjustRightInd w:val="0"/>
              <w:snapToGrid w:val="0"/>
              <w:spacing w:line="360" w:lineRule="auto"/>
              <w:jc w:val="both"/>
              <w:rPr>
                <w:rFonts w:ascii="Book Antiqua" w:hAnsi="Book Antiqua"/>
              </w:rPr>
            </w:pPr>
          </w:p>
        </w:tc>
        <w:tc>
          <w:tcPr>
            <w:tcW w:w="477" w:type="pct"/>
            <w:vMerge/>
            <w:vAlign w:val="center"/>
          </w:tcPr>
          <w:p w14:paraId="29C0BEC1" w14:textId="77777777" w:rsidR="000C461C" w:rsidRPr="00AF7547" w:rsidRDefault="000C461C" w:rsidP="00AF7547">
            <w:pPr>
              <w:adjustRightInd w:val="0"/>
              <w:snapToGrid w:val="0"/>
              <w:spacing w:line="360" w:lineRule="auto"/>
              <w:jc w:val="both"/>
              <w:rPr>
                <w:rFonts w:ascii="Book Antiqua" w:hAnsi="Book Antiqua"/>
              </w:rPr>
            </w:pPr>
          </w:p>
        </w:tc>
        <w:tc>
          <w:tcPr>
            <w:tcW w:w="371" w:type="pct"/>
            <w:vAlign w:val="center"/>
          </w:tcPr>
          <w:p w14:paraId="6262AA3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7E299B8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1D3FB0A8"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64D448B9" w14:textId="256EC99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AD6431">
              <w:rPr>
                <w:rFonts w:ascii="Book Antiqua" w:hAnsi="Book Antiqua" w:hint="eastAsia"/>
                <w:lang w:eastAsia="zh-CN"/>
              </w:rPr>
              <w:t xml:space="preserve"> </w:t>
            </w:r>
            <w:r w:rsidRPr="00AF7547">
              <w:rPr>
                <w:rFonts w:ascii="Book Antiqua" w:hAnsi="Book Antiqua"/>
              </w:rPr>
              <w:t>(low grade)</w:t>
            </w:r>
          </w:p>
        </w:tc>
        <w:tc>
          <w:tcPr>
            <w:tcW w:w="464" w:type="pct"/>
            <w:vMerge/>
            <w:vAlign w:val="center"/>
          </w:tcPr>
          <w:p w14:paraId="3EF6C3E3" w14:textId="77777777" w:rsidR="000C461C" w:rsidRPr="00AF7547" w:rsidRDefault="000C461C" w:rsidP="00AF7547">
            <w:pPr>
              <w:adjustRightInd w:val="0"/>
              <w:snapToGrid w:val="0"/>
              <w:spacing w:line="360" w:lineRule="auto"/>
              <w:jc w:val="both"/>
              <w:rPr>
                <w:rFonts w:ascii="Book Antiqua" w:hAnsi="Book Antiqua"/>
              </w:rPr>
            </w:pPr>
          </w:p>
        </w:tc>
        <w:tc>
          <w:tcPr>
            <w:tcW w:w="662" w:type="pct"/>
            <w:vMerge/>
            <w:vAlign w:val="center"/>
          </w:tcPr>
          <w:p w14:paraId="1BC5BDC6" w14:textId="77777777" w:rsidR="000C461C" w:rsidRPr="00AF7547" w:rsidRDefault="000C461C" w:rsidP="00AF7547">
            <w:pPr>
              <w:adjustRightInd w:val="0"/>
              <w:snapToGrid w:val="0"/>
              <w:spacing w:line="360" w:lineRule="auto"/>
              <w:jc w:val="both"/>
              <w:rPr>
                <w:rFonts w:ascii="Book Antiqua" w:hAnsi="Book Antiqua"/>
              </w:rPr>
            </w:pPr>
          </w:p>
        </w:tc>
      </w:tr>
      <w:tr w:rsidR="000C461C" w:rsidRPr="00AF7547" w14:paraId="7C9259DA" w14:textId="77777777" w:rsidTr="000C461C">
        <w:tc>
          <w:tcPr>
            <w:tcW w:w="519" w:type="pct"/>
            <w:vMerge/>
            <w:vAlign w:val="center"/>
          </w:tcPr>
          <w:p w14:paraId="13313AC4" w14:textId="77777777" w:rsidR="000C461C" w:rsidRPr="00AF7547" w:rsidRDefault="000C461C">
            <w:pPr>
              <w:adjustRightInd w:val="0"/>
              <w:snapToGrid w:val="0"/>
              <w:spacing w:line="360" w:lineRule="auto"/>
              <w:jc w:val="both"/>
              <w:rPr>
                <w:rFonts w:ascii="Book Antiqua" w:hAnsi="Book Antiqua"/>
              </w:rPr>
            </w:pPr>
          </w:p>
        </w:tc>
        <w:tc>
          <w:tcPr>
            <w:tcW w:w="412" w:type="pct"/>
            <w:vMerge/>
            <w:vAlign w:val="center"/>
          </w:tcPr>
          <w:p w14:paraId="62A81D09" w14:textId="77777777" w:rsidR="000C461C" w:rsidRPr="00AF7547" w:rsidRDefault="000C461C" w:rsidP="00AF7547">
            <w:pPr>
              <w:adjustRightInd w:val="0"/>
              <w:snapToGrid w:val="0"/>
              <w:spacing w:line="360" w:lineRule="auto"/>
              <w:jc w:val="both"/>
              <w:rPr>
                <w:rFonts w:ascii="Book Antiqua" w:hAnsi="Book Antiqua"/>
              </w:rPr>
            </w:pPr>
          </w:p>
        </w:tc>
        <w:tc>
          <w:tcPr>
            <w:tcW w:w="370" w:type="pct"/>
            <w:vMerge/>
            <w:vAlign w:val="center"/>
          </w:tcPr>
          <w:p w14:paraId="666EC612" w14:textId="77777777" w:rsidR="000C461C" w:rsidRPr="00AF7547" w:rsidRDefault="000C461C" w:rsidP="00AF7547">
            <w:pPr>
              <w:adjustRightInd w:val="0"/>
              <w:snapToGrid w:val="0"/>
              <w:spacing w:line="360" w:lineRule="auto"/>
              <w:jc w:val="both"/>
              <w:rPr>
                <w:rFonts w:ascii="Book Antiqua" w:hAnsi="Book Antiqua"/>
              </w:rPr>
            </w:pPr>
          </w:p>
        </w:tc>
        <w:tc>
          <w:tcPr>
            <w:tcW w:w="477" w:type="pct"/>
            <w:vMerge/>
            <w:vAlign w:val="center"/>
          </w:tcPr>
          <w:p w14:paraId="42B19EA5" w14:textId="77777777" w:rsidR="000C461C" w:rsidRPr="00AF7547" w:rsidRDefault="000C461C" w:rsidP="00AF7547">
            <w:pPr>
              <w:adjustRightInd w:val="0"/>
              <w:snapToGrid w:val="0"/>
              <w:spacing w:line="360" w:lineRule="auto"/>
              <w:jc w:val="both"/>
              <w:rPr>
                <w:rFonts w:ascii="Book Antiqua" w:hAnsi="Book Antiqua"/>
              </w:rPr>
            </w:pPr>
          </w:p>
        </w:tc>
        <w:tc>
          <w:tcPr>
            <w:tcW w:w="371" w:type="pct"/>
            <w:vAlign w:val="center"/>
          </w:tcPr>
          <w:p w14:paraId="331FEE51"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10</w:t>
            </w:r>
          </w:p>
        </w:tc>
        <w:tc>
          <w:tcPr>
            <w:tcW w:w="624" w:type="pct"/>
            <w:vAlign w:val="center"/>
          </w:tcPr>
          <w:p w14:paraId="6B06731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Semi-pedunculated</w:t>
            </w:r>
          </w:p>
        </w:tc>
        <w:tc>
          <w:tcPr>
            <w:tcW w:w="526" w:type="pct"/>
            <w:vAlign w:val="center"/>
          </w:tcPr>
          <w:p w14:paraId="717B09A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577" w:type="pct"/>
            <w:vAlign w:val="center"/>
          </w:tcPr>
          <w:p w14:paraId="21CDFB9A" w14:textId="4A6E37D0"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Dysplasia</w:t>
            </w:r>
            <w:r w:rsidR="00CF55D4">
              <w:rPr>
                <w:rFonts w:ascii="Book Antiqua" w:hAnsi="Book Antiqua" w:hint="eastAsia"/>
                <w:lang w:eastAsia="zh-CN"/>
              </w:rPr>
              <w:t xml:space="preserve"> </w:t>
            </w:r>
            <w:r w:rsidRPr="00AF7547">
              <w:rPr>
                <w:rFonts w:ascii="Book Antiqua" w:hAnsi="Book Antiqua"/>
              </w:rPr>
              <w:t>(low grade)</w:t>
            </w:r>
          </w:p>
        </w:tc>
        <w:tc>
          <w:tcPr>
            <w:tcW w:w="464" w:type="pct"/>
            <w:vMerge/>
            <w:vAlign w:val="center"/>
          </w:tcPr>
          <w:p w14:paraId="7639F658" w14:textId="77777777" w:rsidR="000C461C" w:rsidRPr="00AF7547" w:rsidRDefault="000C461C" w:rsidP="00AF7547">
            <w:pPr>
              <w:adjustRightInd w:val="0"/>
              <w:snapToGrid w:val="0"/>
              <w:spacing w:line="360" w:lineRule="auto"/>
              <w:jc w:val="both"/>
              <w:rPr>
                <w:rFonts w:ascii="Book Antiqua" w:hAnsi="Book Antiqua"/>
              </w:rPr>
            </w:pPr>
          </w:p>
        </w:tc>
        <w:tc>
          <w:tcPr>
            <w:tcW w:w="662" w:type="pct"/>
            <w:vMerge/>
            <w:vAlign w:val="center"/>
          </w:tcPr>
          <w:p w14:paraId="28AC7F0A" w14:textId="77777777" w:rsidR="000C461C" w:rsidRPr="00AF7547" w:rsidRDefault="000C461C" w:rsidP="00AF7547">
            <w:pPr>
              <w:adjustRightInd w:val="0"/>
              <w:snapToGrid w:val="0"/>
              <w:spacing w:line="360" w:lineRule="auto"/>
              <w:jc w:val="both"/>
              <w:rPr>
                <w:rFonts w:ascii="Book Antiqua" w:hAnsi="Book Antiqua"/>
              </w:rPr>
            </w:pPr>
          </w:p>
        </w:tc>
      </w:tr>
      <w:tr w:rsidR="000C461C" w:rsidRPr="00AF7547" w14:paraId="12BD3B33" w14:textId="77777777" w:rsidTr="000C461C">
        <w:tc>
          <w:tcPr>
            <w:tcW w:w="519" w:type="pct"/>
            <w:vAlign w:val="center"/>
          </w:tcPr>
          <w:p w14:paraId="064A744A" w14:textId="23484344" w:rsidR="000C461C" w:rsidRPr="00AF7547" w:rsidRDefault="000C461C" w:rsidP="00E7662F">
            <w:pPr>
              <w:adjustRightInd w:val="0"/>
              <w:snapToGrid w:val="0"/>
              <w:spacing w:line="360" w:lineRule="auto"/>
              <w:jc w:val="both"/>
              <w:rPr>
                <w:rFonts w:ascii="Book Antiqua" w:hAnsi="Book Antiqua"/>
                <w:i/>
                <w:iCs/>
              </w:rPr>
            </w:pPr>
            <w:r w:rsidRPr="00AF7547">
              <w:rPr>
                <w:rFonts w:ascii="Book Antiqua" w:hAnsi="Book Antiqua"/>
              </w:rPr>
              <w:lastRenderedPageBreak/>
              <w:t>Nawata</w:t>
            </w:r>
            <w:r w:rsidRPr="00AF7547">
              <w:rPr>
                <w:rFonts w:ascii="Book Antiqua" w:hAnsi="Book Antiqua"/>
                <w:i/>
                <w:iCs/>
              </w:rPr>
              <w:t>et al</w:t>
            </w:r>
            <w:r w:rsidRPr="00AF7547">
              <w:rPr>
                <w:rFonts w:ascii="Book Antiqua" w:hAnsi="Book Antiqua"/>
                <w:vertAlign w:val="superscript"/>
              </w:rPr>
              <w:t>[36]</w:t>
            </w:r>
            <w:r w:rsidRPr="00AF7547">
              <w:rPr>
                <w:rFonts w:ascii="Book Antiqua" w:hAnsi="Book Antiqua"/>
              </w:rPr>
              <w:t>, 2020</w:t>
            </w:r>
          </w:p>
        </w:tc>
        <w:tc>
          <w:tcPr>
            <w:tcW w:w="412" w:type="pct"/>
            <w:vAlign w:val="center"/>
          </w:tcPr>
          <w:p w14:paraId="715BF00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70</w:t>
            </w:r>
          </w:p>
        </w:tc>
        <w:tc>
          <w:tcPr>
            <w:tcW w:w="370" w:type="pct"/>
            <w:vAlign w:val="center"/>
          </w:tcPr>
          <w:p w14:paraId="6F13653D"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F</w:t>
            </w:r>
          </w:p>
        </w:tc>
        <w:tc>
          <w:tcPr>
            <w:tcW w:w="477" w:type="pct"/>
            <w:vAlign w:val="center"/>
          </w:tcPr>
          <w:p w14:paraId="1E3DA30D" w14:textId="2AA3C4BB"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Body</w:t>
            </w:r>
            <w:r w:rsidR="00E95081">
              <w:rPr>
                <w:rFonts w:ascii="Book Antiqua" w:hAnsi="Book Antiqua" w:hint="eastAsia"/>
                <w:lang w:eastAsia="zh-CN"/>
              </w:rPr>
              <w:t xml:space="preserve"> </w:t>
            </w:r>
            <w:r w:rsidRPr="00AF7547">
              <w:rPr>
                <w:rFonts w:ascii="Book Antiqua" w:hAnsi="Book Antiqua"/>
              </w:rPr>
              <w:t>(greater curvature)</w:t>
            </w:r>
          </w:p>
        </w:tc>
        <w:tc>
          <w:tcPr>
            <w:tcW w:w="371" w:type="pct"/>
            <w:vAlign w:val="center"/>
          </w:tcPr>
          <w:p w14:paraId="3DA4F43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15</w:t>
            </w:r>
          </w:p>
        </w:tc>
        <w:tc>
          <w:tcPr>
            <w:tcW w:w="624" w:type="pct"/>
            <w:vAlign w:val="center"/>
          </w:tcPr>
          <w:p w14:paraId="7C39377E"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Sessile</w:t>
            </w:r>
          </w:p>
        </w:tc>
        <w:tc>
          <w:tcPr>
            <w:tcW w:w="526" w:type="pct"/>
            <w:vAlign w:val="center"/>
          </w:tcPr>
          <w:p w14:paraId="3A12DD5A"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Reddish</w:t>
            </w:r>
          </w:p>
        </w:tc>
        <w:tc>
          <w:tcPr>
            <w:tcW w:w="577" w:type="pct"/>
            <w:vAlign w:val="center"/>
          </w:tcPr>
          <w:p w14:paraId="43AEB09E" w14:textId="72A55B5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Carcinoma</w:t>
            </w:r>
            <w:r w:rsidR="00CF55D4">
              <w:rPr>
                <w:rFonts w:ascii="Book Antiqua" w:hAnsi="Book Antiqua" w:hint="eastAsia"/>
                <w:lang w:eastAsia="zh-CN"/>
              </w:rPr>
              <w:t xml:space="preserve"> </w:t>
            </w:r>
            <w:r w:rsidRPr="00AF7547">
              <w:rPr>
                <w:rFonts w:ascii="Book Antiqua" w:hAnsi="Book Antiqua"/>
              </w:rPr>
              <w:t>(intramucosal)</w:t>
            </w:r>
          </w:p>
        </w:tc>
        <w:tc>
          <w:tcPr>
            <w:tcW w:w="464" w:type="pct"/>
            <w:vAlign w:val="center"/>
          </w:tcPr>
          <w:p w14:paraId="1FBA6D80"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Yes</w:t>
            </w:r>
          </w:p>
        </w:tc>
        <w:tc>
          <w:tcPr>
            <w:tcW w:w="662" w:type="pct"/>
            <w:vAlign w:val="center"/>
          </w:tcPr>
          <w:p w14:paraId="4E078D1C"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Negative</w:t>
            </w:r>
          </w:p>
        </w:tc>
      </w:tr>
    </w:tbl>
    <w:p w14:paraId="6697C38D" w14:textId="5187D39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xml:space="preserve">F: </w:t>
      </w:r>
      <w:r w:rsidR="00362ED3" w:rsidRPr="00AF7547">
        <w:rPr>
          <w:rFonts w:ascii="Book Antiqua" w:hAnsi="Book Antiqua"/>
        </w:rPr>
        <w:t>F</w:t>
      </w:r>
      <w:r w:rsidRPr="00AF7547">
        <w:rPr>
          <w:rFonts w:ascii="Book Antiqua" w:hAnsi="Book Antiqua"/>
        </w:rPr>
        <w:t xml:space="preserve">emale; </w:t>
      </w:r>
      <w:r w:rsidR="007129DA" w:rsidRPr="00AF7547">
        <w:rPr>
          <w:rFonts w:ascii="Book Antiqua" w:hAnsi="Book Antiqua"/>
          <w:i/>
        </w:rPr>
        <w:t>H. pylori</w:t>
      </w:r>
      <w:r w:rsidR="007129DA" w:rsidRPr="006409B7">
        <w:rPr>
          <w:rFonts w:ascii="Book Antiqua" w:hAnsi="Book Antiqua"/>
        </w:rPr>
        <w:t xml:space="preserve">: </w:t>
      </w:r>
      <w:r w:rsidR="007129DA" w:rsidRPr="00AF7547">
        <w:rPr>
          <w:rFonts w:ascii="Book Antiqua" w:hAnsi="Book Antiqua"/>
          <w:i/>
        </w:rPr>
        <w:t>Helicobacter pylori</w:t>
      </w:r>
      <w:r w:rsidR="007129DA" w:rsidRPr="00AF7547">
        <w:rPr>
          <w:rFonts w:ascii="Book Antiqua" w:hAnsi="Book Antiqua"/>
        </w:rPr>
        <w:t>; M: Male; ND: No data</w:t>
      </w:r>
      <w:r w:rsidR="007129DA">
        <w:rPr>
          <w:rFonts w:ascii="Book Antiqua" w:hAnsi="Book Antiqua"/>
        </w:rPr>
        <w:t>;</w:t>
      </w:r>
      <w:r w:rsidR="007129DA" w:rsidRPr="00AF7547">
        <w:rPr>
          <w:rFonts w:ascii="Book Antiqua" w:hAnsi="Book Antiqua"/>
        </w:rPr>
        <w:t xml:space="preserve"> </w:t>
      </w:r>
      <w:r w:rsidRPr="00AF7547">
        <w:rPr>
          <w:rFonts w:ascii="Book Antiqua" w:hAnsi="Book Antiqua"/>
        </w:rPr>
        <w:t xml:space="preserve">PPI: </w:t>
      </w:r>
      <w:r w:rsidR="00362ED3" w:rsidRPr="00AF7547">
        <w:rPr>
          <w:rFonts w:ascii="Book Antiqua" w:hAnsi="Book Antiqua"/>
        </w:rPr>
        <w:t>P</w:t>
      </w:r>
      <w:r w:rsidRPr="00AF7547">
        <w:rPr>
          <w:rFonts w:ascii="Book Antiqua" w:hAnsi="Book Antiqua"/>
        </w:rPr>
        <w:t>roton pump inhibitor</w:t>
      </w:r>
      <w:r w:rsidR="00362ED3" w:rsidRPr="00AF7547">
        <w:rPr>
          <w:rFonts w:ascii="Book Antiqua" w:hAnsi="Book Antiqua"/>
        </w:rPr>
        <w:t>.</w:t>
      </w:r>
    </w:p>
    <w:p w14:paraId="113D397D" w14:textId="6030EF0A"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rPr>
        <w:br w:type="page"/>
      </w:r>
      <w:r w:rsidRPr="00AF7547">
        <w:rPr>
          <w:rFonts w:ascii="Book Antiqua" w:hAnsi="Book Antiqua"/>
          <w:b/>
          <w:bCs/>
        </w:rPr>
        <w:lastRenderedPageBreak/>
        <w:t>Table 2 Summary of the clinical and endoscopic characteristics of sporadic fundic gland polyps with or without dysplasia/carcinoma</w:t>
      </w:r>
    </w:p>
    <w:tbl>
      <w:tblPr>
        <w:tblStyle w:val="ac"/>
        <w:tblW w:w="97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528"/>
        <w:gridCol w:w="2403"/>
        <w:gridCol w:w="2415"/>
      </w:tblGrid>
      <w:tr w:rsidR="000C461C" w:rsidRPr="00AF7547" w14:paraId="4499FAA2" w14:textId="77777777" w:rsidTr="000C461C">
        <w:tc>
          <w:tcPr>
            <w:tcW w:w="2438" w:type="dxa"/>
            <w:tcBorders>
              <w:top w:val="single" w:sz="4" w:space="0" w:color="auto"/>
              <w:bottom w:val="single" w:sz="4" w:space="0" w:color="auto"/>
            </w:tcBorders>
            <w:vAlign w:val="center"/>
          </w:tcPr>
          <w:p w14:paraId="74D336B1" w14:textId="77777777" w:rsidR="000C461C" w:rsidRPr="00AF7547" w:rsidRDefault="000C461C" w:rsidP="00AF7547">
            <w:pPr>
              <w:adjustRightInd w:val="0"/>
              <w:snapToGrid w:val="0"/>
              <w:spacing w:line="360" w:lineRule="auto"/>
              <w:jc w:val="both"/>
              <w:rPr>
                <w:rFonts w:ascii="Book Antiqua" w:hAnsi="Book Antiqua"/>
                <w:b/>
                <w:bCs/>
              </w:rPr>
            </w:pPr>
          </w:p>
        </w:tc>
        <w:tc>
          <w:tcPr>
            <w:tcW w:w="2437" w:type="dxa"/>
            <w:tcBorders>
              <w:top w:val="single" w:sz="4" w:space="0" w:color="auto"/>
              <w:bottom w:val="single" w:sz="4" w:space="0" w:color="auto"/>
            </w:tcBorders>
            <w:vAlign w:val="center"/>
          </w:tcPr>
          <w:p w14:paraId="458123BC" w14:textId="771116D4" w:rsidR="000C461C" w:rsidRPr="00AF7547" w:rsidRDefault="000C461C" w:rsidP="00E4293E">
            <w:pPr>
              <w:adjustRightInd w:val="0"/>
              <w:snapToGrid w:val="0"/>
              <w:spacing w:line="360" w:lineRule="auto"/>
              <w:jc w:val="both"/>
              <w:rPr>
                <w:rFonts w:ascii="Book Antiqua" w:hAnsi="Book Antiqua"/>
                <w:b/>
                <w:bCs/>
              </w:rPr>
            </w:pPr>
            <w:r w:rsidRPr="00AF7547">
              <w:rPr>
                <w:rFonts w:ascii="Book Antiqua" w:hAnsi="Book Antiqua"/>
                <w:b/>
                <w:bCs/>
              </w:rPr>
              <w:t>Fundic gland polyps</w:t>
            </w:r>
            <w:r w:rsidR="00E4293E">
              <w:rPr>
                <w:rFonts w:ascii="Book Antiqua" w:hAnsi="Book Antiqua" w:hint="eastAsia"/>
                <w:b/>
                <w:bCs/>
                <w:lang w:eastAsia="zh-CN"/>
              </w:rPr>
              <w:t xml:space="preserve"> </w:t>
            </w:r>
            <w:r w:rsidRPr="00AF7547">
              <w:rPr>
                <w:rFonts w:ascii="Book Antiqua" w:hAnsi="Book Antiqua"/>
                <w:b/>
                <w:bCs/>
              </w:rPr>
              <w:t>(without dysplasia)</w:t>
            </w:r>
          </w:p>
        </w:tc>
        <w:tc>
          <w:tcPr>
            <w:tcW w:w="2438" w:type="dxa"/>
            <w:tcBorders>
              <w:top w:val="single" w:sz="4" w:space="0" w:color="auto"/>
              <w:bottom w:val="single" w:sz="4" w:space="0" w:color="auto"/>
            </w:tcBorders>
            <w:vAlign w:val="center"/>
          </w:tcPr>
          <w:p w14:paraId="17FE8389" w14:textId="4E3A5345"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Fundic gland polyps</w:t>
            </w:r>
            <w:r w:rsidR="003C1179">
              <w:rPr>
                <w:rFonts w:ascii="Book Antiqua" w:hAnsi="Book Antiqua" w:hint="eastAsia"/>
                <w:b/>
                <w:bCs/>
                <w:lang w:eastAsia="zh-CN"/>
              </w:rPr>
              <w:t xml:space="preserve"> </w:t>
            </w:r>
            <w:r w:rsidRPr="00AF7547">
              <w:rPr>
                <w:rFonts w:ascii="Book Antiqua" w:hAnsi="Book Antiqua"/>
                <w:b/>
                <w:bCs/>
              </w:rPr>
              <w:t>with dysplasia</w:t>
            </w:r>
          </w:p>
        </w:tc>
        <w:tc>
          <w:tcPr>
            <w:tcW w:w="2442" w:type="dxa"/>
            <w:tcBorders>
              <w:top w:val="single" w:sz="4" w:space="0" w:color="auto"/>
              <w:bottom w:val="single" w:sz="4" w:space="0" w:color="auto"/>
            </w:tcBorders>
            <w:vAlign w:val="center"/>
          </w:tcPr>
          <w:p w14:paraId="5E82378D" w14:textId="2CCBE390" w:rsidR="000C461C" w:rsidRPr="00AF7547" w:rsidRDefault="000C461C" w:rsidP="00AF7547">
            <w:pPr>
              <w:adjustRightInd w:val="0"/>
              <w:snapToGrid w:val="0"/>
              <w:spacing w:line="360" w:lineRule="auto"/>
              <w:jc w:val="both"/>
              <w:rPr>
                <w:rFonts w:ascii="Book Antiqua" w:hAnsi="Book Antiqua"/>
                <w:b/>
                <w:bCs/>
              </w:rPr>
            </w:pPr>
            <w:r w:rsidRPr="00AF7547">
              <w:rPr>
                <w:rFonts w:ascii="Book Antiqua" w:hAnsi="Book Antiqua"/>
                <w:b/>
                <w:bCs/>
              </w:rPr>
              <w:t>Fundic gland polyps</w:t>
            </w:r>
            <w:r w:rsidR="00991632">
              <w:rPr>
                <w:rFonts w:ascii="Book Antiqua" w:hAnsi="Book Antiqua" w:hint="eastAsia"/>
                <w:b/>
                <w:bCs/>
                <w:lang w:eastAsia="zh-CN"/>
              </w:rPr>
              <w:t xml:space="preserve"> </w:t>
            </w:r>
            <w:r w:rsidRPr="00AF7547">
              <w:rPr>
                <w:rFonts w:ascii="Book Antiqua" w:hAnsi="Book Antiqua"/>
                <w:b/>
                <w:bCs/>
              </w:rPr>
              <w:t>with carcinoma</w:t>
            </w:r>
          </w:p>
        </w:tc>
      </w:tr>
      <w:tr w:rsidR="000C461C" w:rsidRPr="00AF7547" w14:paraId="7259F344" w14:textId="77777777" w:rsidTr="000C461C">
        <w:tc>
          <w:tcPr>
            <w:tcW w:w="2438" w:type="dxa"/>
            <w:vMerge w:val="restart"/>
            <w:tcBorders>
              <w:top w:val="single" w:sz="4" w:space="0" w:color="auto"/>
            </w:tcBorders>
            <w:vAlign w:val="center"/>
          </w:tcPr>
          <w:p w14:paraId="6230ED98" w14:textId="0D3B1827" w:rsidR="000C461C" w:rsidRPr="00AF7547" w:rsidRDefault="00702E0B" w:rsidP="00AF7547">
            <w:pPr>
              <w:adjustRightInd w:val="0"/>
              <w:snapToGrid w:val="0"/>
              <w:spacing w:line="360" w:lineRule="auto"/>
              <w:jc w:val="both"/>
              <w:rPr>
                <w:rFonts w:ascii="Book Antiqua" w:hAnsi="Book Antiqua"/>
              </w:rPr>
            </w:pPr>
            <w:r>
              <w:rPr>
                <w:rFonts w:ascii="Book Antiqua" w:hAnsi="Book Antiqua"/>
              </w:rPr>
              <w:t xml:space="preserve">Age </w:t>
            </w:r>
            <w:r w:rsidR="007129DA">
              <w:rPr>
                <w:rFonts w:ascii="Book Antiqua" w:hAnsi="Book Antiqua"/>
              </w:rPr>
              <w:t xml:space="preserve">in </w:t>
            </w:r>
            <w:r>
              <w:rPr>
                <w:rFonts w:ascii="Book Antiqua" w:hAnsi="Book Antiqua"/>
              </w:rPr>
              <w:t>yr</w:t>
            </w:r>
            <w:r w:rsidR="000C461C" w:rsidRPr="00AF7547">
              <w:rPr>
                <w:rFonts w:ascii="Book Antiqua" w:hAnsi="Book Antiqua"/>
              </w:rPr>
              <w:t xml:space="preserve"> [range]</w:t>
            </w:r>
          </w:p>
        </w:tc>
        <w:tc>
          <w:tcPr>
            <w:tcW w:w="2437" w:type="dxa"/>
            <w:vMerge w:val="restart"/>
            <w:tcBorders>
              <w:top w:val="single" w:sz="4" w:space="0" w:color="auto"/>
            </w:tcBorders>
            <w:vAlign w:val="center"/>
          </w:tcPr>
          <w:p w14:paraId="0A17CAC5" w14:textId="2514FE80" w:rsidR="000C461C" w:rsidRPr="00AF7547" w:rsidRDefault="008F4E47" w:rsidP="00AF7547">
            <w:pPr>
              <w:adjustRightInd w:val="0"/>
              <w:snapToGrid w:val="0"/>
              <w:spacing w:line="360" w:lineRule="auto"/>
              <w:jc w:val="both"/>
              <w:rPr>
                <w:rFonts w:ascii="Book Antiqua" w:hAnsi="Book Antiqua"/>
              </w:rPr>
            </w:pPr>
            <w:r>
              <w:rPr>
                <w:rFonts w:ascii="Book Antiqua" w:hAnsi="Book Antiqua"/>
              </w:rPr>
              <w:t>50</w:t>
            </w:r>
            <w:r w:rsidR="00DD6BDC">
              <w:rPr>
                <w:rFonts w:ascii="Book Antiqua" w:hAnsi="Book Antiqua"/>
              </w:rPr>
              <w:t>-</w:t>
            </w:r>
            <w:r w:rsidR="000C461C" w:rsidRPr="00AF7547">
              <w:rPr>
                <w:rFonts w:ascii="Book Antiqua" w:hAnsi="Book Antiqua"/>
              </w:rPr>
              <w:t>60 s</w:t>
            </w:r>
          </w:p>
        </w:tc>
        <w:tc>
          <w:tcPr>
            <w:tcW w:w="4880" w:type="dxa"/>
            <w:gridSpan w:val="2"/>
            <w:tcBorders>
              <w:top w:val="single" w:sz="4" w:space="0" w:color="auto"/>
            </w:tcBorders>
            <w:vAlign w:val="center"/>
          </w:tcPr>
          <w:p w14:paraId="4DCAA648" w14:textId="6E4A8A1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56.7</w:t>
            </w:r>
            <w:r w:rsidRPr="00AF7547">
              <w:rPr>
                <w:rFonts w:ascii="Book Antiqua" w:hAnsi="Book Antiqua"/>
                <w:vertAlign w:val="superscript"/>
              </w:rPr>
              <w:t>1</w:t>
            </w:r>
            <w:r w:rsidRPr="00AF7547">
              <w:rPr>
                <w:rFonts w:ascii="Book Antiqua" w:hAnsi="Book Antiqua"/>
              </w:rPr>
              <w:t>[24</w:t>
            </w:r>
            <w:r w:rsidR="00DD6BDC">
              <w:rPr>
                <w:rFonts w:ascii="Book Antiqua" w:hAnsi="Book Antiqua"/>
              </w:rPr>
              <w:t>-</w:t>
            </w:r>
            <w:r w:rsidRPr="00AF7547">
              <w:rPr>
                <w:rFonts w:ascii="Book Antiqua" w:hAnsi="Book Antiqua"/>
              </w:rPr>
              <w:t>88]</w:t>
            </w:r>
          </w:p>
        </w:tc>
      </w:tr>
      <w:tr w:rsidR="000C461C" w:rsidRPr="00AF7547" w14:paraId="43076DBB" w14:textId="77777777" w:rsidTr="000C461C">
        <w:tc>
          <w:tcPr>
            <w:tcW w:w="2438" w:type="dxa"/>
            <w:vMerge/>
            <w:vAlign w:val="center"/>
          </w:tcPr>
          <w:p w14:paraId="7FD6731B" w14:textId="77777777" w:rsidR="000C461C" w:rsidRPr="00AF7547" w:rsidRDefault="000C461C" w:rsidP="00AF7547">
            <w:pPr>
              <w:adjustRightInd w:val="0"/>
              <w:snapToGrid w:val="0"/>
              <w:spacing w:line="360" w:lineRule="auto"/>
              <w:jc w:val="both"/>
              <w:rPr>
                <w:rFonts w:ascii="Book Antiqua" w:hAnsi="Book Antiqua"/>
              </w:rPr>
            </w:pPr>
          </w:p>
        </w:tc>
        <w:tc>
          <w:tcPr>
            <w:tcW w:w="2437" w:type="dxa"/>
            <w:vMerge/>
            <w:vAlign w:val="center"/>
          </w:tcPr>
          <w:p w14:paraId="610AD94E" w14:textId="77777777" w:rsidR="000C461C" w:rsidRPr="00AF7547" w:rsidRDefault="000C461C" w:rsidP="00AF7547">
            <w:pPr>
              <w:adjustRightInd w:val="0"/>
              <w:snapToGrid w:val="0"/>
              <w:spacing w:line="360" w:lineRule="auto"/>
              <w:jc w:val="both"/>
              <w:rPr>
                <w:rFonts w:ascii="Book Antiqua" w:hAnsi="Book Antiqua"/>
              </w:rPr>
            </w:pPr>
          </w:p>
        </w:tc>
        <w:tc>
          <w:tcPr>
            <w:tcW w:w="2440" w:type="dxa"/>
            <w:vAlign w:val="center"/>
          </w:tcPr>
          <w:p w14:paraId="783F60F8" w14:textId="3CA042BD"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56.7</w:t>
            </w:r>
            <w:r w:rsidRPr="00AF7547">
              <w:rPr>
                <w:rFonts w:ascii="Book Antiqua" w:hAnsi="Book Antiqua"/>
                <w:vertAlign w:val="superscript"/>
              </w:rPr>
              <w:t>1</w:t>
            </w:r>
            <w:r w:rsidRPr="00AF7547">
              <w:rPr>
                <w:rFonts w:ascii="Book Antiqua" w:hAnsi="Book Antiqua"/>
              </w:rPr>
              <w:t>[24</w:t>
            </w:r>
            <w:r w:rsidR="00DD6BDC">
              <w:rPr>
                <w:rFonts w:ascii="Book Antiqua" w:hAnsi="Book Antiqua"/>
              </w:rPr>
              <w:t>-</w:t>
            </w:r>
            <w:r w:rsidRPr="00AF7547">
              <w:rPr>
                <w:rFonts w:ascii="Book Antiqua" w:hAnsi="Book Antiqua"/>
              </w:rPr>
              <w:t>88]</w:t>
            </w:r>
          </w:p>
        </w:tc>
        <w:tc>
          <w:tcPr>
            <w:tcW w:w="2440" w:type="dxa"/>
            <w:vAlign w:val="center"/>
          </w:tcPr>
          <w:p w14:paraId="32780FEB" w14:textId="508389B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56.0</w:t>
            </w:r>
            <w:r w:rsidRPr="00AF7547">
              <w:rPr>
                <w:rFonts w:ascii="Book Antiqua" w:hAnsi="Book Antiqua"/>
                <w:vertAlign w:val="superscript"/>
              </w:rPr>
              <w:t>1</w:t>
            </w:r>
            <w:r w:rsidRPr="00AF7547">
              <w:rPr>
                <w:rFonts w:ascii="Book Antiqua" w:hAnsi="Book Antiqua"/>
              </w:rPr>
              <w:t>[36</w:t>
            </w:r>
            <w:r w:rsidR="00DD6BDC">
              <w:rPr>
                <w:rFonts w:ascii="Book Antiqua" w:hAnsi="Book Antiqua"/>
              </w:rPr>
              <w:t>-</w:t>
            </w:r>
            <w:r w:rsidRPr="00AF7547">
              <w:rPr>
                <w:rFonts w:ascii="Book Antiqua" w:hAnsi="Book Antiqua"/>
              </w:rPr>
              <w:t>70]</w:t>
            </w:r>
          </w:p>
        </w:tc>
      </w:tr>
      <w:tr w:rsidR="000C461C" w:rsidRPr="00AF7547" w14:paraId="4CEC9616" w14:textId="77777777" w:rsidTr="000C461C">
        <w:tc>
          <w:tcPr>
            <w:tcW w:w="2438" w:type="dxa"/>
            <w:vAlign w:val="center"/>
          </w:tcPr>
          <w:p w14:paraId="0F098417"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Gender</w:t>
            </w:r>
          </w:p>
        </w:tc>
        <w:tc>
          <w:tcPr>
            <w:tcW w:w="2437" w:type="dxa"/>
            <w:vAlign w:val="center"/>
          </w:tcPr>
          <w:p w14:paraId="7B1D2212"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&lt; F</w:t>
            </w:r>
          </w:p>
        </w:tc>
        <w:tc>
          <w:tcPr>
            <w:tcW w:w="4880" w:type="dxa"/>
            <w:gridSpan w:val="2"/>
            <w:vAlign w:val="center"/>
          </w:tcPr>
          <w:p w14:paraId="27B103D4"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M &lt; F</w:t>
            </w:r>
          </w:p>
        </w:tc>
      </w:tr>
      <w:tr w:rsidR="000C461C" w:rsidRPr="00AF7547" w14:paraId="613B2F09" w14:textId="77777777" w:rsidTr="000C461C">
        <w:tc>
          <w:tcPr>
            <w:tcW w:w="2438" w:type="dxa"/>
            <w:vMerge w:val="restart"/>
            <w:vAlign w:val="center"/>
          </w:tcPr>
          <w:p w14:paraId="2B469B11" w14:textId="1D1508F4"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xml:space="preserve">Size </w:t>
            </w:r>
            <w:r w:rsidR="007129DA">
              <w:rPr>
                <w:rFonts w:ascii="Book Antiqua" w:hAnsi="Book Antiqua"/>
              </w:rPr>
              <w:t xml:space="preserve">in </w:t>
            </w:r>
            <w:r w:rsidRPr="00AF7547">
              <w:rPr>
                <w:rFonts w:ascii="Book Antiqua" w:hAnsi="Book Antiqua"/>
              </w:rPr>
              <w:t>mm [range]</w:t>
            </w:r>
          </w:p>
        </w:tc>
        <w:tc>
          <w:tcPr>
            <w:tcW w:w="2437" w:type="dxa"/>
            <w:vMerge w:val="restart"/>
            <w:vAlign w:val="center"/>
          </w:tcPr>
          <w:p w14:paraId="4EB7A32E" w14:textId="785C5A19"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 5</w:t>
            </w:r>
          </w:p>
        </w:tc>
        <w:tc>
          <w:tcPr>
            <w:tcW w:w="4880" w:type="dxa"/>
            <w:gridSpan w:val="2"/>
            <w:vAlign w:val="center"/>
          </w:tcPr>
          <w:p w14:paraId="75FC0AE7" w14:textId="6B2D10EB"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5.4</w:t>
            </w:r>
            <w:r w:rsidRPr="00AF7547">
              <w:rPr>
                <w:rFonts w:ascii="Book Antiqua" w:hAnsi="Book Antiqua"/>
                <w:vertAlign w:val="superscript"/>
              </w:rPr>
              <w:t>1</w:t>
            </w:r>
            <w:r w:rsidRPr="00AF7547">
              <w:rPr>
                <w:rFonts w:ascii="Book Antiqua" w:hAnsi="Book Antiqua"/>
              </w:rPr>
              <w:t>[1</w:t>
            </w:r>
            <w:r w:rsidR="00DD6BDC">
              <w:rPr>
                <w:rFonts w:ascii="Book Antiqua" w:hAnsi="Book Antiqua"/>
              </w:rPr>
              <w:t>-</w:t>
            </w:r>
            <w:r w:rsidRPr="00AF7547">
              <w:rPr>
                <w:rFonts w:ascii="Book Antiqua" w:hAnsi="Book Antiqua"/>
              </w:rPr>
              <w:t>20]</w:t>
            </w:r>
          </w:p>
        </w:tc>
      </w:tr>
      <w:tr w:rsidR="000C461C" w:rsidRPr="00AF7547" w14:paraId="63EC5667" w14:textId="77777777" w:rsidTr="000C461C">
        <w:tc>
          <w:tcPr>
            <w:tcW w:w="2438" w:type="dxa"/>
            <w:vMerge/>
            <w:vAlign w:val="center"/>
          </w:tcPr>
          <w:p w14:paraId="3688547F" w14:textId="77777777" w:rsidR="000C461C" w:rsidRPr="00AF7547" w:rsidRDefault="000C461C" w:rsidP="00AF7547">
            <w:pPr>
              <w:adjustRightInd w:val="0"/>
              <w:snapToGrid w:val="0"/>
              <w:spacing w:line="360" w:lineRule="auto"/>
              <w:jc w:val="both"/>
              <w:rPr>
                <w:rFonts w:ascii="Book Antiqua" w:hAnsi="Book Antiqua"/>
              </w:rPr>
            </w:pPr>
          </w:p>
        </w:tc>
        <w:tc>
          <w:tcPr>
            <w:tcW w:w="2437" w:type="dxa"/>
            <w:vMerge/>
            <w:vAlign w:val="center"/>
          </w:tcPr>
          <w:p w14:paraId="271E5904" w14:textId="77777777" w:rsidR="000C461C" w:rsidRPr="00AF7547" w:rsidRDefault="000C461C" w:rsidP="00AF7547">
            <w:pPr>
              <w:adjustRightInd w:val="0"/>
              <w:snapToGrid w:val="0"/>
              <w:spacing w:line="360" w:lineRule="auto"/>
              <w:jc w:val="both"/>
              <w:rPr>
                <w:rFonts w:ascii="Book Antiqua" w:hAnsi="Book Antiqua"/>
              </w:rPr>
            </w:pPr>
          </w:p>
        </w:tc>
        <w:tc>
          <w:tcPr>
            <w:tcW w:w="2438" w:type="dxa"/>
            <w:vAlign w:val="center"/>
          </w:tcPr>
          <w:p w14:paraId="5249AFDD" w14:textId="6146A591"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5.2</w:t>
            </w:r>
            <w:r w:rsidRPr="00AF7547">
              <w:rPr>
                <w:rFonts w:ascii="Book Antiqua" w:hAnsi="Book Antiqua"/>
                <w:vertAlign w:val="superscript"/>
              </w:rPr>
              <w:t>1</w:t>
            </w:r>
            <w:r w:rsidRPr="00AF7547">
              <w:rPr>
                <w:rFonts w:ascii="Book Antiqua" w:hAnsi="Book Antiqua"/>
              </w:rPr>
              <w:t>[1</w:t>
            </w:r>
            <w:r w:rsidR="00DD6BDC">
              <w:rPr>
                <w:rFonts w:ascii="Book Antiqua" w:hAnsi="Book Antiqua"/>
              </w:rPr>
              <w:t>-</w:t>
            </w:r>
            <w:r w:rsidRPr="00AF7547">
              <w:rPr>
                <w:rFonts w:ascii="Book Antiqua" w:hAnsi="Book Antiqua"/>
              </w:rPr>
              <w:t>20]</w:t>
            </w:r>
          </w:p>
        </w:tc>
        <w:tc>
          <w:tcPr>
            <w:tcW w:w="2442" w:type="dxa"/>
            <w:vAlign w:val="center"/>
          </w:tcPr>
          <w:p w14:paraId="6FECA113" w14:textId="44AA336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8.7</w:t>
            </w:r>
            <w:r w:rsidRPr="00AF7547">
              <w:rPr>
                <w:rFonts w:ascii="Book Antiqua" w:hAnsi="Book Antiqua"/>
                <w:vertAlign w:val="superscript"/>
              </w:rPr>
              <w:t>1</w:t>
            </w:r>
            <w:r w:rsidRPr="00AF7547">
              <w:rPr>
                <w:rFonts w:ascii="Book Antiqua" w:hAnsi="Book Antiqua"/>
              </w:rPr>
              <w:t>[3</w:t>
            </w:r>
            <w:r w:rsidR="00DD6BDC">
              <w:rPr>
                <w:rFonts w:ascii="Book Antiqua" w:hAnsi="Book Antiqua"/>
              </w:rPr>
              <w:t>-</w:t>
            </w:r>
            <w:r w:rsidRPr="00AF7547">
              <w:rPr>
                <w:rFonts w:ascii="Book Antiqua" w:hAnsi="Book Antiqua"/>
              </w:rPr>
              <w:t>15]</w:t>
            </w:r>
          </w:p>
        </w:tc>
      </w:tr>
      <w:tr w:rsidR="000C461C" w:rsidRPr="00AF7547" w14:paraId="6F3644CF" w14:textId="77777777" w:rsidTr="000C461C">
        <w:tc>
          <w:tcPr>
            <w:tcW w:w="2438" w:type="dxa"/>
            <w:vAlign w:val="center"/>
          </w:tcPr>
          <w:p w14:paraId="44379E82" w14:textId="13CCE4BF"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Endoscopic findings</w:t>
            </w:r>
            <w:r w:rsidR="000E5D5A">
              <w:rPr>
                <w:rFonts w:ascii="Book Antiqua" w:hAnsi="Book Antiqua" w:hint="eastAsia"/>
                <w:lang w:eastAsia="zh-CN"/>
              </w:rPr>
              <w:t xml:space="preserve"> </w:t>
            </w:r>
            <w:r w:rsidRPr="00AF7547">
              <w:rPr>
                <w:rFonts w:ascii="Book Antiqua" w:hAnsi="Book Antiqua"/>
              </w:rPr>
              <w:t>(white light)</w:t>
            </w:r>
          </w:p>
        </w:tc>
        <w:tc>
          <w:tcPr>
            <w:tcW w:w="2437" w:type="dxa"/>
            <w:vAlign w:val="center"/>
          </w:tcPr>
          <w:p w14:paraId="41A0E529" w14:textId="128967AE"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Isochromatic/smooth surface</w:t>
            </w:r>
          </w:p>
        </w:tc>
        <w:tc>
          <w:tcPr>
            <w:tcW w:w="4880" w:type="dxa"/>
            <w:gridSpan w:val="2"/>
            <w:vAlign w:val="center"/>
          </w:tcPr>
          <w:p w14:paraId="548436C7" w14:textId="10C21126"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Redness, irregular surface structure, depression, or erosion</w:t>
            </w:r>
            <w:r w:rsidRPr="00AF7547">
              <w:rPr>
                <w:rFonts w:ascii="Book Antiqua" w:hAnsi="Book Antiqua"/>
                <w:vertAlign w:val="superscript"/>
              </w:rPr>
              <w:t>2</w:t>
            </w:r>
          </w:p>
        </w:tc>
      </w:tr>
      <w:tr w:rsidR="000C461C" w:rsidRPr="00AF7547" w14:paraId="23E571F8" w14:textId="77777777" w:rsidTr="000C461C">
        <w:tc>
          <w:tcPr>
            <w:tcW w:w="2438" w:type="dxa"/>
            <w:vAlign w:val="center"/>
          </w:tcPr>
          <w:p w14:paraId="20067D69" w14:textId="0A755C98"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Endoscopic findings</w:t>
            </w:r>
            <w:r w:rsidR="000E5D5A">
              <w:rPr>
                <w:rFonts w:ascii="Book Antiqua" w:hAnsi="Book Antiqua" w:hint="eastAsia"/>
                <w:lang w:eastAsia="zh-CN"/>
              </w:rPr>
              <w:t xml:space="preserve"> </w:t>
            </w:r>
            <w:r w:rsidRPr="00AF7547">
              <w:rPr>
                <w:rFonts w:ascii="Book Antiqua" w:hAnsi="Book Antiqua"/>
              </w:rPr>
              <w:t>(magnifying NBI)</w:t>
            </w:r>
          </w:p>
        </w:tc>
        <w:tc>
          <w:tcPr>
            <w:tcW w:w="2437" w:type="dxa"/>
            <w:vAlign w:val="center"/>
          </w:tcPr>
          <w:p w14:paraId="3405DFBD" w14:textId="387072B5"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Regularly arranged, white, dot-shaped crypt openings</w:t>
            </w:r>
          </w:p>
        </w:tc>
        <w:tc>
          <w:tcPr>
            <w:tcW w:w="2438" w:type="dxa"/>
            <w:vAlign w:val="center"/>
          </w:tcPr>
          <w:p w14:paraId="60653125" w14:textId="77777777"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ND</w:t>
            </w:r>
          </w:p>
        </w:tc>
        <w:tc>
          <w:tcPr>
            <w:tcW w:w="2442" w:type="dxa"/>
            <w:vAlign w:val="center"/>
          </w:tcPr>
          <w:p w14:paraId="251B5054" w14:textId="4CB0234C" w:rsidR="000C461C" w:rsidRPr="00AF7547" w:rsidRDefault="000C461C" w:rsidP="00AF7547">
            <w:pPr>
              <w:adjustRightInd w:val="0"/>
              <w:snapToGrid w:val="0"/>
              <w:spacing w:line="360" w:lineRule="auto"/>
              <w:jc w:val="both"/>
              <w:rPr>
                <w:rFonts w:ascii="Book Antiqua" w:hAnsi="Book Antiqua"/>
              </w:rPr>
            </w:pPr>
            <w:r w:rsidRPr="00AF7547">
              <w:rPr>
                <w:rFonts w:ascii="Book Antiqua" w:hAnsi="Book Antiqua"/>
              </w:rPr>
              <w:t>Irregular microvessels</w:t>
            </w:r>
          </w:p>
        </w:tc>
      </w:tr>
    </w:tbl>
    <w:p w14:paraId="258B1A00" w14:textId="4248C6DC" w:rsidR="00BD37E2" w:rsidRDefault="000C461C" w:rsidP="00AF7547">
      <w:pPr>
        <w:adjustRightInd w:val="0"/>
        <w:snapToGrid w:val="0"/>
        <w:spacing w:line="360" w:lineRule="auto"/>
        <w:jc w:val="both"/>
        <w:rPr>
          <w:rFonts w:ascii="Book Antiqua" w:hAnsi="Book Antiqua"/>
        </w:rPr>
      </w:pPr>
      <w:r w:rsidRPr="00AF7547">
        <w:rPr>
          <w:rFonts w:ascii="Book Antiqua" w:hAnsi="Book Antiqua"/>
          <w:vertAlign w:val="superscript"/>
        </w:rPr>
        <w:t>1</w:t>
      </w:r>
      <w:r w:rsidRPr="00AF7547">
        <w:rPr>
          <w:rFonts w:ascii="Book Antiqua" w:hAnsi="Book Antiqua"/>
        </w:rPr>
        <w:t>Mean values of the cases presented in Table 1</w:t>
      </w:r>
      <w:r w:rsidR="00925583">
        <w:rPr>
          <w:rFonts w:ascii="Book Antiqua" w:hAnsi="Book Antiqua" w:hint="eastAsia"/>
          <w:lang w:eastAsia="zh-CN"/>
        </w:rPr>
        <w:t>.</w:t>
      </w:r>
      <w:r w:rsidRPr="00AF7547">
        <w:rPr>
          <w:rFonts w:ascii="Book Antiqua" w:hAnsi="Book Antiqua"/>
        </w:rPr>
        <w:t xml:space="preserve"> </w:t>
      </w:r>
    </w:p>
    <w:p w14:paraId="276927C0" w14:textId="77777777" w:rsidR="007B095D" w:rsidRDefault="000C461C" w:rsidP="00AF7547">
      <w:pPr>
        <w:adjustRightInd w:val="0"/>
        <w:snapToGrid w:val="0"/>
        <w:spacing w:line="360" w:lineRule="auto"/>
        <w:jc w:val="both"/>
        <w:rPr>
          <w:rFonts w:ascii="Book Antiqua" w:hAnsi="Book Antiqua"/>
        </w:rPr>
        <w:sectPr w:rsidR="007B095D">
          <w:pgSz w:w="12240" w:h="15840"/>
          <w:pgMar w:top="1440" w:right="1440" w:bottom="1440" w:left="1440" w:header="720" w:footer="720" w:gutter="0"/>
          <w:cols w:space="720"/>
          <w:docGrid w:linePitch="360"/>
        </w:sectPr>
      </w:pPr>
      <w:r w:rsidRPr="00AF7547">
        <w:rPr>
          <w:rFonts w:ascii="Book Antiqua" w:hAnsi="Book Antiqua"/>
          <w:vertAlign w:val="superscript"/>
        </w:rPr>
        <w:t xml:space="preserve">2 </w:t>
      </w:r>
      <w:r w:rsidRPr="00AF7547">
        <w:rPr>
          <w:rFonts w:ascii="Book Antiqua" w:hAnsi="Book Antiqua"/>
        </w:rPr>
        <w:t xml:space="preserve">Some fundic gland polyps with dysplasia are isochromatic lesions with smooth surfaces. F: </w:t>
      </w:r>
      <w:r w:rsidR="00362ED3" w:rsidRPr="00AF7547">
        <w:rPr>
          <w:rFonts w:ascii="Book Antiqua" w:hAnsi="Book Antiqua"/>
        </w:rPr>
        <w:t>F</w:t>
      </w:r>
      <w:r w:rsidRPr="00AF7547">
        <w:rPr>
          <w:rFonts w:ascii="Book Antiqua" w:hAnsi="Book Antiqua"/>
        </w:rPr>
        <w:t xml:space="preserve">emale; </w:t>
      </w:r>
      <w:r w:rsidR="007129DA" w:rsidRPr="00AF7547">
        <w:rPr>
          <w:rFonts w:ascii="Book Antiqua" w:hAnsi="Book Antiqua"/>
        </w:rPr>
        <w:t xml:space="preserve">M: Male; </w:t>
      </w:r>
      <w:r w:rsidRPr="00AF7547">
        <w:rPr>
          <w:rFonts w:ascii="Book Antiqua" w:hAnsi="Book Antiqua"/>
        </w:rPr>
        <w:t xml:space="preserve">NBI: </w:t>
      </w:r>
      <w:r w:rsidR="00362ED3" w:rsidRPr="00AF7547">
        <w:rPr>
          <w:rFonts w:ascii="Book Antiqua" w:hAnsi="Book Antiqua"/>
        </w:rPr>
        <w:t>N</w:t>
      </w:r>
      <w:r w:rsidRPr="00AF7547">
        <w:rPr>
          <w:rFonts w:ascii="Book Antiqua" w:hAnsi="Book Antiqua"/>
        </w:rPr>
        <w:t>arrow-band imaging; ND: No data.</w:t>
      </w:r>
    </w:p>
    <w:p w14:paraId="0826BC95" w14:textId="77777777" w:rsidR="007B095D" w:rsidRDefault="007B095D" w:rsidP="007B095D">
      <w:pPr>
        <w:jc w:val="center"/>
        <w:rPr>
          <w:rFonts w:ascii="Book Antiqua" w:hAnsi="Book Antiqua"/>
        </w:rPr>
      </w:pPr>
    </w:p>
    <w:p w14:paraId="511D4CB6" w14:textId="77777777" w:rsidR="007B095D" w:rsidRDefault="007B095D" w:rsidP="007B095D">
      <w:pPr>
        <w:jc w:val="center"/>
        <w:rPr>
          <w:rFonts w:ascii="Book Antiqua" w:hAnsi="Book Antiqua"/>
        </w:rPr>
      </w:pPr>
      <w:r>
        <w:rPr>
          <w:rFonts w:ascii="Book Antiqua" w:hAnsi="Book Antiqua"/>
          <w:noProof/>
        </w:rPr>
        <w:drawing>
          <wp:inline distT="0" distB="0" distL="0" distR="0" wp14:anchorId="546FCBDB" wp14:editId="5FEC640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C14BEE0" w14:textId="77777777" w:rsidR="007B095D" w:rsidRDefault="007B095D" w:rsidP="007B095D">
      <w:pPr>
        <w:jc w:val="center"/>
        <w:rPr>
          <w:rFonts w:ascii="Book Antiqua" w:hAnsi="Book Antiqua"/>
        </w:rPr>
      </w:pPr>
    </w:p>
    <w:p w14:paraId="72EB92A1" w14:textId="77777777" w:rsidR="007B095D" w:rsidRPr="00763D22" w:rsidRDefault="007B095D" w:rsidP="007B095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265230C" w14:textId="77777777" w:rsidR="007B095D" w:rsidRPr="00763D22" w:rsidRDefault="007B095D" w:rsidP="007B09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CFE673E" w14:textId="77777777" w:rsidR="007B095D" w:rsidRPr="00763D22" w:rsidRDefault="007B095D" w:rsidP="007B095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6CB6DDF" w14:textId="77777777" w:rsidR="007B095D" w:rsidRPr="00763D22" w:rsidRDefault="007B095D" w:rsidP="007B09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42CE45" w14:textId="77777777" w:rsidR="007B095D" w:rsidRPr="00763D22" w:rsidRDefault="007B095D" w:rsidP="007B095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EEFE0C4" w14:textId="77777777" w:rsidR="007B095D" w:rsidRPr="00763D22" w:rsidRDefault="007B095D" w:rsidP="007B095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38EA5C8" w14:textId="77777777" w:rsidR="007B095D" w:rsidRDefault="007B095D" w:rsidP="007B095D">
      <w:pPr>
        <w:jc w:val="center"/>
        <w:rPr>
          <w:rFonts w:ascii="Book Antiqua" w:hAnsi="Book Antiqua"/>
        </w:rPr>
      </w:pPr>
    </w:p>
    <w:p w14:paraId="627AB6AE" w14:textId="77777777" w:rsidR="007B095D" w:rsidRDefault="007B095D" w:rsidP="007B095D">
      <w:pPr>
        <w:jc w:val="center"/>
        <w:rPr>
          <w:rFonts w:ascii="Book Antiqua" w:hAnsi="Book Antiqua"/>
        </w:rPr>
      </w:pPr>
    </w:p>
    <w:p w14:paraId="18BF26ED" w14:textId="77777777" w:rsidR="007B095D" w:rsidRDefault="007B095D" w:rsidP="007B095D">
      <w:pPr>
        <w:jc w:val="center"/>
        <w:rPr>
          <w:rFonts w:ascii="Book Antiqua" w:hAnsi="Book Antiqua"/>
        </w:rPr>
      </w:pPr>
    </w:p>
    <w:p w14:paraId="78451348" w14:textId="77777777" w:rsidR="007B095D" w:rsidRDefault="007B095D" w:rsidP="007B095D">
      <w:pPr>
        <w:jc w:val="center"/>
        <w:rPr>
          <w:rFonts w:ascii="Book Antiqua" w:hAnsi="Book Antiqua"/>
        </w:rPr>
      </w:pPr>
      <w:r>
        <w:rPr>
          <w:rFonts w:ascii="Book Antiqua" w:hAnsi="Book Antiqua"/>
          <w:noProof/>
        </w:rPr>
        <w:drawing>
          <wp:inline distT="0" distB="0" distL="0" distR="0" wp14:anchorId="0AC647B9" wp14:editId="73BA3C4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01B269" w14:textId="77777777" w:rsidR="007B095D" w:rsidRDefault="007B095D" w:rsidP="007B095D">
      <w:pPr>
        <w:jc w:val="center"/>
        <w:rPr>
          <w:rFonts w:ascii="Book Antiqua" w:hAnsi="Book Antiqua"/>
        </w:rPr>
      </w:pPr>
    </w:p>
    <w:p w14:paraId="1526265C" w14:textId="77777777" w:rsidR="007B095D" w:rsidRDefault="007B095D" w:rsidP="007B095D">
      <w:pPr>
        <w:jc w:val="center"/>
        <w:rPr>
          <w:rFonts w:ascii="Book Antiqua" w:hAnsi="Book Antiqua"/>
        </w:rPr>
      </w:pPr>
    </w:p>
    <w:p w14:paraId="739A6472" w14:textId="77777777" w:rsidR="007B095D" w:rsidRDefault="007B095D" w:rsidP="007B095D">
      <w:pPr>
        <w:jc w:val="center"/>
        <w:rPr>
          <w:rFonts w:ascii="Book Antiqua" w:hAnsi="Book Antiqua"/>
        </w:rPr>
      </w:pPr>
    </w:p>
    <w:p w14:paraId="050C5F21" w14:textId="77777777" w:rsidR="007B095D" w:rsidRDefault="007B095D" w:rsidP="007B095D">
      <w:pPr>
        <w:jc w:val="center"/>
        <w:rPr>
          <w:rFonts w:ascii="Book Antiqua" w:hAnsi="Book Antiqua"/>
        </w:rPr>
      </w:pPr>
    </w:p>
    <w:p w14:paraId="46AA3640" w14:textId="77777777" w:rsidR="007B095D" w:rsidRDefault="007B095D" w:rsidP="007B095D">
      <w:pPr>
        <w:jc w:val="center"/>
        <w:rPr>
          <w:rFonts w:ascii="Book Antiqua" w:hAnsi="Book Antiqua"/>
        </w:rPr>
      </w:pPr>
    </w:p>
    <w:p w14:paraId="0AF0171C" w14:textId="77777777" w:rsidR="007B095D" w:rsidRDefault="007B095D" w:rsidP="007B095D">
      <w:pPr>
        <w:jc w:val="center"/>
        <w:rPr>
          <w:rFonts w:ascii="Book Antiqua" w:hAnsi="Book Antiqua"/>
        </w:rPr>
      </w:pPr>
    </w:p>
    <w:p w14:paraId="37B34931" w14:textId="77777777" w:rsidR="007B095D" w:rsidRDefault="007B095D" w:rsidP="007B095D">
      <w:pPr>
        <w:jc w:val="center"/>
        <w:rPr>
          <w:rFonts w:ascii="Book Antiqua" w:hAnsi="Book Antiqua"/>
        </w:rPr>
      </w:pPr>
    </w:p>
    <w:p w14:paraId="740BA33B" w14:textId="77777777" w:rsidR="007B095D" w:rsidRDefault="007B095D" w:rsidP="007B095D">
      <w:pPr>
        <w:jc w:val="center"/>
        <w:rPr>
          <w:rFonts w:ascii="Book Antiqua" w:hAnsi="Book Antiqua"/>
        </w:rPr>
      </w:pPr>
    </w:p>
    <w:p w14:paraId="7D8204BE" w14:textId="77777777" w:rsidR="007B095D" w:rsidRDefault="007B095D" w:rsidP="007B095D">
      <w:pPr>
        <w:jc w:val="center"/>
        <w:rPr>
          <w:rFonts w:ascii="Book Antiqua" w:hAnsi="Book Antiqua"/>
        </w:rPr>
      </w:pPr>
    </w:p>
    <w:p w14:paraId="7FFCE607" w14:textId="77777777" w:rsidR="007B095D" w:rsidRPr="00763D22" w:rsidRDefault="007B095D" w:rsidP="007B095D">
      <w:pPr>
        <w:jc w:val="right"/>
        <w:rPr>
          <w:rFonts w:ascii="Book Antiqua" w:hAnsi="Book Antiqua"/>
          <w:color w:val="000000" w:themeColor="text1"/>
        </w:rPr>
      </w:pPr>
    </w:p>
    <w:p w14:paraId="6FE4A7D1" w14:textId="76C00641" w:rsidR="00CE77C4" w:rsidRPr="007B095D" w:rsidRDefault="007B095D" w:rsidP="007B095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CE77C4" w:rsidRPr="007B095D" w:rsidSect="003430C5">
      <w:pgSz w:w="11906" w:h="16838" w:code="9"/>
      <w:pgMar w:top="1440" w:right="1800" w:bottom="1440" w:left="1800" w:header="851" w:footer="992" w:gutter="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user" w:date="2021-06-07T15:42:00Z" w:initials="u">
    <w:p w14:paraId="6188ED82" w14:textId="7083B91B" w:rsidR="000A2AAB" w:rsidRDefault="000A2AAB">
      <w:pPr>
        <w:pStyle w:val="a8"/>
      </w:pPr>
      <w:r>
        <w:rPr>
          <w:rStyle w:val="a7"/>
        </w:rPr>
        <w:annotationRef/>
      </w:r>
      <w:r w:rsidRPr="000A2AAB">
        <w:t>We are concerned that the characters in Table 1 are out of alignment, so please correct them appropriately.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188ED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188ED82" w16cid:durableId="2468BD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0B3DB" w14:textId="77777777" w:rsidR="00340DF8" w:rsidRDefault="00340DF8" w:rsidP="00EC6112">
      <w:r>
        <w:separator/>
      </w:r>
    </w:p>
  </w:endnote>
  <w:endnote w:type="continuationSeparator" w:id="0">
    <w:p w14:paraId="1DBC6D99" w14:textId="77777777" w:rsidR="00340DF8" w:rsidRDefault="00340DF8" w:rsidP="00EC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7863"/>
      <w:docPartObj>
        <w:docPartGallery w:val="Page Numbers (Bottom of Page)"/>
        <w:docPartUnique/>
      </w:docPartObj>
    </w:sdtPr>
    <w:sdtEndPr/>
    <w:sdtContent>
      <w:sdt>
        <w:sdtPr>
          <w:id w:val="-1705238520"/>
          <w:docPartObj>
            <w:docPartGallery w:val="Page Numbers (Top of Page)"/>
            <w:docPartUnique/>
          </w:docPartObj>
        </w:sdtPr>
        <w:sdtEndPr/>
        <w:sdtContent>
          <w:p w14:paraId="69B06DBE" w14:textId="2D12EFA9" w:rsidR="00AF7547" w:rsidRPr="007129DA" w:rsidRDefault="00AF7547" w:rsidP="00AF7547">
            <w:pPr>
              <w:pStyle w:val="a5"/>
              <w:jc w:val="right"/>
            </w:pPr>
            <w:r w:rsidRPr="00AF7547">
              <w:rPr>
                <w:rFonts w:ascii="Book Antiqua" w:hAnsi="Book Antiqua"/>
                <w:sz w:val="24"/>
                <w:szCs w:val="24"/>
                <w:lang w:val="zh-CN" w:eastAsia="zh-CN"/>
              </w:rPr>
              <w:t xml:space="preserve"> </w:t>
            </w:r>
            <w:r w:rsidRPr="00E7662F">
              <w:rPr>
                <w:rFonts w:ascii="Book Antiqua" w:hAnsi="Book Antiqua"/>
                <w:sz w:val="24"/>
                <w:szCs w:val="24"/>
              </w:rPr>
              <w:fldChar w:fldCharType="begin"/>
            </w:r>
            <w:r w:rsidRPr="00E7662F">
              <w:rPr>
                <w:rFonts w:ascii="Book Antiqua" w:hAnsi="Book Antiqua"/>
                <w:sz w:val="24"/>
                <w:szCs w:val="24"/>
              </w:rPr>
              <w:instrText>PAGE</w:instrText>
            </w:r>
            <w:r w:rsidRPr="00E7662F">
              <w:rPr>
                <w:rFonts w:ascii="Book Antiqua" w:hAnsi="Book Antiqua"/>
                <w:sz w:val="24"/>
                <w:szCs w:val="24"/>
              </w:rPr>
              <w:fldChar w:fldCharType="separate"/>
            </w:r>
            <w:r w:rsidR="00702E0B" w:rsidRPr="00E7662F">
              <w:rPr>
                <w:rFonts w:ascii="Book Antiqua" w:hAnsi="Book Antiqua"/>
                <w:noProof/>
                <w:sz w:val="24"/>
                <w:szCs w:val="24"/>
              </w:rPr>
              <w:t>23</w:t>
            </w:r>
            <w:r w:rsidRPr="00E7662F">
              <w:rPr>
                <w:rFonts w:ascii="Book Antiqua" w:hAnsi="Book Antiqua"/>
                <w:sz w:val="24"/>
                <w:szCs w:val="24"/>
              </w:rPr>
              <w:fldChar w:fldCharType="end"/>
            </w:r>
            <w:r w:rsidRPr="007129DA">
              <w:rPr>
                <w:rFonts w:ascii="Book Antiqua" w:hAnsi="Book Antiqua"/>
                <w:sz w:val="24"/>
                <w:szCs w:val="24"/>
                <w:lang w:val="zh-CN" w:eastAsia="zh-CN"/>
              </w:rPr>
              <w:t xml:space="preserve"> / </w:t>
            </w:r>
            <w:r w:rsidRPr="00E7662F">
              <w:rPr>
                <w:rFonts w:ascii="Book Antiqua" w:hAnsi="Book Antiqua"/>
                <w:sz w:val="24"/>
                <w:szCs w:val="24"/>
              </w:rPr>
              <w:fldChar w:fldCharType="begin"/>
            </w:r>
            <w:r w:rsidRPr="00E7662F">
              <w:rPr>
                <w:rFonts w:ascii="Book Antiqua" w:hAnsi="Book Antiqua"/>
                <w:sz w:val="24"/>
                <w:szCs w:val="24"/>
              </w:rPr>
              <w:instrText>NUMPAGES</w:instrText>
            </w:r>
            <w:r w:rsidRPr="00E7662F">
              <w:rPr>
                <w:rFonts w:ascii="Book Antiqua" w:hAnsi="Book Antiqua"/>
                <w:sz w:val="24"/>
                <w:szCs w:val="24"/>
              </w:rPr>
              <w:fldChar w:fldCharType="separate"/>
            </w:r>
            <w:r w:rsidR="00702E0B" w:rsidRPr="00E7662F">
              <w:rPr>
                <w:rFonts w:ascii="Book Antiqua" w:hAnsi="Book Antiqua"/>
                <w:noProof/>
                <w:sz w:val="24"/>
                <w:szCs w:val="24"/>
              </w:rPr>
              <w:t>25</w:t>
            </w:r>
            <w:r w:rsidRPr="00E7662F">
              <w:rPr>
                <w:rFonts w:ascii="Book Antiqua" w:hAnsi="Book Antiqua"/>
                <w:sz w:val="24"/>
                <w:szCs w:val="24"/>
              </w:rPr>
              <w:fldChar w:fldCharType="end"/>
            </w:r>
          </w:p>
        </w:sdtContent>
      </w:sdt>
    </w:sdtContent>
  </w:sdt>
  <w:p w14:paraId="6F07A263" w14:textId="77777777" w:rsidR="00AF7547" w:rsidRDefault="00AF75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6AB62" w14:textId="77777777" w:rsidR="00340DF8" w:rsidRDefault="00340DF8" w:rsidP="00EC6112">
      <w:r>
        <w:separator/>
      </w:r>
    </w:p>
  </w:footnote>
  <w:footnote w:type="continuationSeparator" w:id="0">
    <w:p w14:paraId="342FD947" w14:textId="77777777" w:rsidR="00340DF8" w:rsidRDefault="00340DF8" w:rsidP="00EC611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Windows Live" w15:userId="197496162e2c1b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B96"/>
    <w:rsid w:val="00016157"/>
    <w:rsid w:val="0007337D"/>
    <w:rsid w:val="000A2AAB"/>
    <w:rsid w:val="000C35E0"/>
    <w:rsid w:val="000C461C"/>
    <w:rsid w:val="000D3D5C"/>
    <w:rsid w:val="000E5D5A"/>
    <w:rsid w:val="00105AB9"/>
    <w:rsid w:val="00134A0D"/>
    <w:rsid w:val="0016016F"/>
    <w:rsid w:val="001A13FD"/>
    <w:rsid w:val="001B6815"/>
    <w:rsid w:val="002163B5"/>
    <w:rsid w:val="0022351B"/>
    <w:rsid w:val="00233BDE"/>
    <w:rsid w:val="00236892"/>
    <w:rsid w:val="00282EFA"/>
    <w:rsid w:val="0030523D"/>
    <w:rsid w:val="00315E5F"/>
    <w:rsid w:val="00340DF8"/>
    <w:rsid w:val="003430C5"/>
    <w:rsid w:val="00354241"/>
    <w:rsid w:val="00362ED3"/>
    <w:rsid w:val="003672E9"/>
    <w:rsid w:val="003725B4"/>
    <w:rsid w:val="00380406"/>
    <w:rsid w:val="00394495"/>
    <w:rsid w:val="003C1179"/>
    <w:rsid w:val="00407E9E"/>
    <w:rsid w:val="00426A95"/>
    <w:rsid w:val="00462BDC"/>
    <w:rsid w:val="004911A0"/>
    <w:rsid w:val="004931E6"/>
    <w:rsid w:val="00526D66"/>
    <w:rsid w:val="00544F45"/>
    <w:rsid w:val="005806B9"/>
    <w:rsid w:val="005E374F"/>
    <w:rsid w:val="005E77D7"/>
    <w:rsid w:val="00601A2F"/>
    <w:rsid w:val="006170A4"/>
    <w:rsid w:val="006356E7"/>
    <w:rsid w:val="006409B7"/>
    <w:rsid w:val="0064134D"/>
    <w:rsid w:val="00695677"/>
    <w:rsid w:val="00695FE4"/>
    <w:rsid w:val="006979D8"/>
    <w:rsid w:val="006D362A"/>
    <w:rsid w:val="00702E0B"/>
    <w:rsid w:val="00710424"/>
    <w:rsid w:val="007129DA"/>
    <w:rsid w:val="00727B0C"/>
    <w:rsid w:val="00730E9D"/>
    <w:rsid w:val="00741884"/>
    <w:rsid w:val="00750C23"/>
    <w:rsid w:val="00753F49"/>
    <w:rsid w:val="00792856"/>
    <w:rsid w:val="007B095D"/>
    <w:rsid w:val="007D7FE6"/>
    <w:rsid w:val="00801F2F"/>
    <w:rsid w:val="008C0417"/>
    <w:rsid w:val="008D4892"/>
    <w:rsid w:val="008E4EB8"/>
    <w:rsid w:val="008F4E47"/>
    <w:rsid w:val="00925583"/>
    <w:rsid w:val="00936671"/>
    <w:rsid w:val="009503A2"/>
    <w:rsid w:val="00986ECB"/>
    <w:rsid w:val="00991632"/>
    <w:rsid w:val="00A3135E"/>
    <w:rsid w:val="00A77B3E"/>
    <w:rsid w:val="00A80E77"/>
    <w:rsid w:val="00A81EC4"/>
    <w:rsid w:val="00AD6431"/>
    <w:rsid w:val="00AF4FD4"/>
    <w:rsid w:val="00AF7547"/>
    <w:rsid w:val="00B27CFD"/>
    <w:rsid w:val="00B63048"/>
    <w:rsid w:val="00B70348"/>
    <w:rsid w:val="00B74DD6"/>
    <w:rsid w:val="00B978B3"/>
    <w:rsid w:val="00BD37E2"/>
    <w:rsid w:val="00CA2A55"/>
    <w:rsid w:val="00CB6BBC"/>
    <w:rsid w:val="00CB6ED7"/>
    <w:rsid w:val="00CE6F6B"/>
    <w:rsid w:val="00CE77C4"/>
    <w:rsid w:val="00CF55D4"/>
    <w:rsid w:val="00D43D5B"/>
    <w:rsid w:val="00D45B5A"/>
    <w:rsid w:val="00DB4531"/>
    <w:rsid w:val="00DB6EC9"/>
    <w:rsid w:val="00DC0467"/>
    <w:rsid w:val="00DC3200"/>
    <w:rsid w:val="00DD6BDC"/>
    <w:rsid w:val="00DE30A0"/>
    <w:rsid w:val="00E102DA"/>
    <w:rsid w:val="00E105F0"/>
    <w:rsid w:val="00E279F6"/>
    <w:rsid w:val="00E4293E"/>
    <w:rsid w:val="00E43FAC"/>
    <w:rsid w:val="00E7662F"/>
    <w:rsid w:val="00E91E22"/>
    <w:rsid w:val="00E95081"/>
    <w:rsid w:val="00EC6112"/>
    <w:rsid w:val="00EE15D1"/>
    <w:rsid w:val="00F45C2E"/>
    <w:rsid w:val="00F53562"/>
    <w:rsid w:val="00F7649F"/>
    <w:rsid w:val="00F97DB8"/>
    <w:rsid w:val="00FF2F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2E22657"/>
  <w15:docId w15:val="{753D4319-651B-43EE-9BF8-49752E5D9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C611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C6112"/>
    <w:rPr>
      <w:sz w:val="18"/>
      <w:szCs w:val="18"/>
    </w:rPr>
  </w:style>
  <w:style w:type="paragraph" w:styleId="a5">
    <w:name w:val="footer"/>
    <w:basedOn w:val="a"/>
    <w:link w:val="a6"/>
    <w:uiPriority w:val="99"/>
    <w:unhideWhenUsed/>
    <w:rsid w:val="00EC6112"/>
    <w:pPr>
      <w:tabs>
        <w:tab w:val="center" w:pos="4153"/>
        <w:tab w:val="right" w:pos="8306"/>
      </w:tabs>
      <w:snapToGrid w:val="0"/>
    </w:pPr>
    <w:rPr>
      <w:sz w:val="18"/>
      <w:szCs w:val="18"/>
    </w:rPr>
  </w:style>
  <w:style w:type="character" w:customStyle="1" w:styleId="a6">
    <w:name w:val="页脚 字符"/>
    <w:basedOn w:val="a0"/>
    <w:link w:val="a5"/>
    <w:uiPriority w:val="99"/>
    <w:rsid w:val="00EC6112"/>
    <w:rPr>
      <w:sz w:val="18"/>
      <w:szCs w:val="18"/>
    </w:rPr>
  </w:style>
  <w:style w:type="character" w:styleId="a7">
    <w:name w:val="annotation reference"/>
    <w:basedOn w:val="a0"/>
    <w:semiHidden/>
    <w:unhideWhenUsed/>
    <w:rsid w:val="00EC6112"/>
    <w:rPr>
      <w:sz w:val="21"/>
      <w:szCs w:val="21"/>
    </w:rPr>
  </w:style>
  <w:style w:type="paragraph" w:styleId="a8">
    <w:name w:val="annotation text"/>
    <w:basedOn w:val="a"/>
    <w:link w:val="a9"/>
    <w:semiHidden/>
    <w:unhideWhenUsed/>
    <w:rsid w:val="00EC6112"/>
  </w:style>
  <w:style w:type="character" w:customStyle="1" w:styleId="a9">
    <w:name w:val="批注文字 字符"/>
    <w:basedOn w:val="a0"/>
    <w:link w:val="a8"/>
    <w:semiHidden/>
    <w:rsid w:val="00EC6112"/>
    <w:rPr>
      <w:sz w:val="24"/>
      <w:szCs w:val="24"/>
    </w:rPr>
  </w:style>
  <w:style w:type="paragraph" w:styleId="aa">
    <w:name w:val="annotation subject"/>
    <w:basedOn w:val="a8"/>
    <w:next w:val="a8"/>
    <w:link w:val="ab"/>
    <w:semiHidden/>
    <w:unhideWhenUsed/>
    <w:rsid w:val="00EC6112"/>
    <w:rPr>
      <w:b/>
      <w:bCs/>
    </w:rPr>
  </w:style>
  <w:style w:type="character" w:customStyle="1" w:styleId="ab">
    <w:name w:val="批注主题 字符"/>
    <w:basedOn w:val="a9"/>
    <w:link w:val="aa"/>
    <w:semiHidden/>
    <w:rsid w:val="00EC6112"/>
    <w:rPr>
      <w:b/>
      <w:bCs/>
      <w:sz w:val="24"/>
      <w:szCs w:val="24"/>
    </w:rPr>
  </w:style>
  <w:style w:type="character" w:customStyle="1" w:styleId="15">
    <w:name w:val="15"/>
    <w:basedOn w:val="a0"/>
    <w:rsid w:val="00EE15D1"/>
    <w:rPr>
      <w:rFonts w:ascii="等线" w:eastAsia="等线" w:hAnsi="等线" w:hint="eastAsia"/>
    </w:rPr>
  </w:style>
  <w:style w:type="table" w:styleId="ac">
    <w:name w:val="Table Grid"/>
    <w:basedOn w:val="a1"/>
    <w:uiPriority w:val="39"/>
    <w:rsid w:val="000C461C"/>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354241"/>
    <w:rPr>
      <w:rFonts w:asciiTheme="majorHAnsi" w:eastAsiaTheme="majorEastAsia" w:hAnsiTheme="majorHAnsi" w:cstheme="majorBidi"/>
      <w:sz w:val="18"/>
      <w:szCs w:val="18"/>
    </w:rPr>
  </w:style>
  <w:style w:type="character" w:customStyle="1" w:styleId="ae">
    <w:name w:val="批注框文本 字符"/>
    <w:basedOn w:val="a0"/>
    <w:link w:val="ad"/>
    <w:rsid w:val="0035424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7227">
      <w:bodyDiv w:val="1"/>
      <w:marLeft w:val="0"/>
      <w:marRight w:val="0"/>
      <w:marTop w:val="0"/>
      <w:marBottom w:val="0"/>
      <w:divBdr>
        <w:top w:val="none" w:sz="0" w:space="0" w:color="auto"/>
        <w:left w:val="none" w:sz="0" w:space="0" w:color="auto"/>
        <w:bottom w:val="none" w:sz="0" w:space="0" w:color="auto"/>
        <w:right w:val="none" w:sz="0" w:space="0" w:color="auto"/>
      </w:divBdr>
    </w:div>
    <w:div w:id="412315428">
      <w:bodyDiv w:val="1"/>
      <w:marLeft w:val="0"/>
      <w:marRight w:val="0"/>
      <w:marTop w:val="0"/>
      <w:marBottom w:val="0"/>
      <w:divBdr>
        <w:top w:val="none" w:sz="0" w:space="0" w:color="auto"/>
        <w:left w:val="none" w:sz="0" w:space="0" w:color="auto"/>
        <w:bottom w:val="none" w:sz="0" w:space="0" w:color="auto"/>
        <w:right w:val="none" w:sz="0" w:space="0" w:color="auto"/>
      </w:divBdr>
    </w:div>
    <w:div w:id="1454133557">
      <w:bodyDiv w:val="1"/>
      <w:marLeft w:val="0"/>
      <w:marRight w:val="0"/>
      <w:marTop w:val="0"/>
      <w:marBottom w:val="0"/>
      <w:divBdr>
        <w:top w:val="none" w:sz="0" w:space="0" w:color="auto"/>
        <w:left w:val="none" w:sz="0" w:space="0" w:color="auto"/>
        <w:bottom w:val="none" w:sz="0" w:space="0" w:color="auto"/>
        <w:right w:val="none" w:sz="0" w:space="0" w:color="auto"/>
      </w:divBdr>
    </w:div>
    <w:div w:id="1482119494">
      <w:bodyDiv w:val="1"/>
      <w:marLeft w:val="0"/>
      <w:marRight w:val="0"/>
      <w:marTop w:val="0"/>
      <w:marBottom w:val="0"/>
      <w:divBdr>
        <w:top w:val="none" w:sz="0" w:space="0" w:color="auto"/>
        <w:left w:val="none" w:sz="0" w:space="0" w:color="auto"/>
        <w:bottom w:val="none" w:sz="0" w:space="0" w:color="auto"/>
        <w:right w:val="none" w:sz="0" w:space="0" w:color="auto"/>
      </w:divBdr>
    </w:div>
    <w:div w:id="1919056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796B0-979A-4B6D-8144-237C84E1F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27</Pages>
  <Words>5609</Words>
  <Characters>31973</Characters>
  <Application>Microsoft Office Word</Application>
  <DocSecurity>0</DocSecurity>
  <Lines>266</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xiang</cp:lastModifiedBy>
  <cp:revision>34</cp:revision>
  <dcterms:created xsi:type="dcterms:W3CDTF">2021-06-08T02:06:00Z</dcterms:created>
  <dcterms:modified xsi:type="dcterms:W3CDTF">2021-07-12T11:19:00Z</dcterms:modified>
</cp:coreProperties>
</file>