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6D2881" w14:textId="77777777" w:rsidR="006A0C4B" w:rsidRPr="00B7408D" w:rsidRDefault="006A0C4B" w:rsidP="006A0C4B">
      <w:pPr>
        <w:pStyle w:val="CorpoA"/>
        <w:snapToGrid w:val="0"/>
        <w:spacing w:after="0" w:line="360" w:lineRule="auto"/>
        <w:ind w:firstLine="0"/>
        <w:rPr>
          <w:rFonts w:ascii="Book Antiqua" w:eastAsia="Book Antiqua" w:hAnsi="Book Antiqua" w:cs="Arial"/>
          <w:b/>
          <w:bCs/>
          <w:i/>
          <w:sz w:val="24"/>
          <w:szCs w:val="24"/>
          <w:lang w:val="en-US"/>
        </w:rPr>
      </w:pPr>
      <w:r w:rsidRPr="00B7408D">
        <w:rPr>
          <w:rFonts w:ascii="Book Antiqua" w:hAnsi="Book Antiqua" w:cs="Arial"/>
          <w:b/>
          <w:bCs/>
          <w:sz w:val="24"/>
          <w:szCs w:val="24"/>
          <w:lang w:val="en-US"/>
        </w:rPr>
        <w:t xml:space="preserve">Name of Journal: </w:t>
      </w:r>
      <w:r w:rsidRPr="00B7408D">
        <w:rPr>
          <w:rFonts w:ascii="Book Antiqua" w:hAnsi="Book Antiqua" w:cs="Arial"/>
          <w:bCs/>
          <w:i/>
          <w:sz w:val="24"/>
          <w:szCs w:val="24"/>
          <w:lang w:val="en-US"/>
        </w:rPr>
        <w:t>World Journal of Stem Cells</w:t>
      </w:r>
    </w:p>
    <w:p w14:paraId="00B7961D" w14:textId="370C45AD" w:rsidR="006A0C4B" w:rsidRPr="00B7408D" w:rsidRDefault="006A0C4B" w:rsidP="006A0C4B">
      <w:pPr>
        <w:pStyle w:val="CorpoA"/>
        <w:snapToGrid w:val="0"/>
        <w:spacing w:after="0" w:line="360" w:lineRule="auto"/>
        <w:ind w:firstLine="0"/>
        <w:rPr>
          <w:rFonts w:ascii="Book Antiqua" w:eastAsia="Book Antiqua" w:hAnsi="Book Antiqua" w:cs="Arial"/>
          <w:b/>
          <w:bCs/>
          <w:sz w:val="24"/>
          <w:szCs w:val="24"/>
          <w:lang w:val="en-US"/>
        </w:rPr>
      </w:pPr>
      <w:r w:rsidRPr="00B7408D">
        <w:rPr>
          <w:rFonts w:ascii="Book Antiqua" w:hAnsi="Book Antiqua" w:cs="Arial"/>
          <w:b/>
          <w:bCs/>
          <w:sz w:val="24"/>
          <w:szCs w:val="24"/>
          <w:lang w:val="en-US"/>
        </w:rPr>
        <w:t>Manuscript NO:</w:t>
      </w:r>
      <w:r w:rsidRPr="00B7408D">
        <w:rPr>
          <w:rFonts w:ascii="Book Antiqua" w:hAnsi="Book Antiqua" w:cs="Arial"/>
          <w:b/>
          <w:bCs/>
          <w:color w:val="auto"/>
          <w:sz w:val="24"/>
          <w:szCs w:val="24"/>
          <w:lang w:val="en-US"/>
        </w:rPr>
        <w:t xml:space="preserve"> </w:t>
      </w:r>
      <w:r w:rsidR="008B42A0" w:rsidRPr="00B7408D">
        <w:rPr>
          <w:rFonts w:ascii="Book Antiqua" w:hAnsi="Book Antiqua" w:cs="Arial"/>
          <w:bCs/>
          <w:color w:val="auto"/>
          <w:sz w:val="24"/>
          <w:szCs w:val="24"/>
          <w:lang w:val="en-US"/>
        </w:rPr>
        <w:t>49287</w:t>
      </w:r>
    </w:p>
    <w:p w14:paraId="1E068152" w14:textId="77777777" w:rsidR="006A0C4B" w:rsidRPr="00B7408D" w:rsidRDefault="006A0C4B" w:rsidP="006A0C4B">
      <w:pPr>
        <w:pStyle w:val="CorpoA"/>
        <w:snapToGrid w:val="0"/>
        <w:spacing w:after="0" w:line="360" w:lineRule="auto"/>
        <w:ind w:firstLine="0"/>
        <w:rPr>
          <w:rFonts w:ascii="Book Antiqua" w:hAnsi="Book Antiqua" w:cs="Arial"/>
          <w:b/>
          <w:bCs/>
          <w:i/>
          <w:sz w:val="24"/>
          <w:szCs w:val="24"/>
          <w:lang w:val="en-US"/>
        </w:rPr>
      </w:pPr>
      <w:r w:rsidRPr="00B7408D">
        <w:rPr>
          <w:rFonts w:ascii="Book Antiqua" w:hAnsi="Book Antiqua" w:cs="Arial"/>
          <w:b/>
          <w:bCs/>
          <w:sz w:val="24"/>
          <w:szCs w:val="24"/>
          <w:lang w:val="en-US"/>
        </w:rPr>
        <w:t xml:space="preserve">Manuscript Type: </w:t>
      </w:r>
      <w:r w:rsidRPr="00B7408D">
        <w:rPr>
          <w:rFonts w:ascii="Book Antiqua" w:hAnsi="Book Antiqua" w:cs="Arial"/>
          <w:bCs/>
          <w:sz w:val="24"/>
          <w:szCs w:val="24"/>
          <w:lang w:val="en-US"/>
        </w:rPr>
        <w:t>REVIEW</w:t>
      </w:r>
    </w:p>
    <w:p w14:paraId="7A9BF5C3" w14:textId="77777777" w:rsidR="006A0C4B" w:rsidRPr="00B7408D" w:rsidRDefault="006A0C4B" w:rsidP="006A0C4B">
      <w:pPr>
        <w:snapToGrid w:val="0"/>
        <w:spacing w:line="360" w:lineRule="auto"/>
        <w:jc w:val="both"/>
        <w:rPr>
          <w:rFonts w:ascii="Book Antiqua" w:hAnsi="Book Antiqua"/>
          <w:lang w:val="en-US"/>
        </w:rPr>
      </w:pPr>
    </w:p>
    <w:p w14:paraId="4C30306A" w14:textId="77777777" w:rsidR="006A0C4B" w:rsidRPr="00B7408D" w:rsidRDefault="006A0C4B" w:rsidP="006A0C4B">
      <w:pPr>
        <w:snapToGrid w:val="0"/>
        <w:spacing w:line="360" w:lineRule="auto"/>
        <w:jc w:val="both"/>
        <w:rPr>
          <w:rFonts w:ascii="Book Antiqua" w:hAnsi="Book Antiqua" w:cs="Arial"/>
          <w:lang w:val="en-US"/>
        </w:rPr>
      </w:pPr>
      <w:bookmarkStart w:id="0" w:name="OLE_LINK5"/>
      <w:r w:rsidRPr="00B7408D">
        <w:rPr>
          <w:rFonts w:ascii="Book Antiqua" w:hAnsi="Book Antiqua" w:cs="Arial"/>
          <w:b/>
          <w:lang w:val="en-US"/>
        </w:rPr>
        <w:t>Influence of olive oil and its components on mesenchymal stem cell biology</w:t>
      </w:r>
      <w:bookmarkEnd w:id="0"/>
    </w:p>
    <w:p w14:paraId="6FBE2A65" w14:textId="77777777" w:rsidR="006A0C4B" w:rsidRPr="00B7408D" w:rsidRDefault="006A0C4B" w:rsidP="006A0C4B">
      <w:pPr>
        <w:snapToGrid w:val="0"/>
        <w:spacing w:line="360" w:lineRule="auto"/>
        <w:jc w:val="both"/>
        <w:rPr>
          <w:rFonts w:ascii="Book Antiqua" w:hAnsi="Book Antiqua"/>
          <w:lang w:val="en-US"/>
        </w:rPr>
      </w:pPr>
    </w:p>
    <w:p w14:paraId="6D6D675D" w14:textId="77777777" w:rsidR="006A0C4B" w:rsidRPr="00B7408D" w:rsidRDefault="006A0C4B" w:rsidP="006A0C4B">
      <w:pPr>
        <w:snapToGrid w:val="0"/>
        <w:spacing w:line="360" w:lineRule="auto"/>
        <w:jc w:val="both"/>
        <w:rPr>
          <w:rFonts w:ascii="Book Antiqua" w:hAnsi="Book Antiqua"/>
          <w:lang w:val="en-US"/>
        </w:rPr>
      </w:pPr>
      <w:r w:rsidRPr="00B7408D">
        <w:rPr>
          <w:rFonts w:ascii="Book Antiqua" w:hAnsi="Book Antiqua" w:cs="Arial"/>
        </w:rPr>
        <w:t>Casado-Díaz</w:t>
      </w:r>
      <w:r w:rsidRPr="00B7408D">
        <w:rPr>
          <w:rFonts w:ascii="Book Antiqua" w:hAnsi="Book Antiqua"/>
        </w:rPr>
        <w:t xml:space="preserve"> A </w:t>
      </w:r>
      <w:r w:rsidRPr="00B7408D">
        <w:rPr>
          <w:rFonts w:ascii="Book Antiqua" w:hAnsi="Book Antiqua"/>
          <w:i/>
        </w:rPr>
        <w:t>et al</w:t>
      </w:r>
      <w:r w:rsidRPr="00B7408D">
        <w:rPr>
          <w:rFonts w:ascii="Book Antiqua" w:hAnsi="Book Antiqua"/>
        </w:rPr>
        <w:t xml:space="preserve">. </w:t>
      </w:r>
      <w:r w:rsidRPr="00B7408D">
        <w:rPr>
          <w:rFonts w:ascii="Book Antiqua" w:hAnsi="Book Antiqua" w:cstheme="majorBidi"/>
          <w:color w:val="222222"/>
          <w:shd w:val="clear" w:color="auto" w:fill="FFFFFF"/>
          <w:lang w:val="en-US"/>
        </w:rPr>
        <w:t>Olive oil and mesenchymal stem cells</w:t>
      </w:r>
    </w:p>
    <w:p w14:paraId="19235299" w14:textId="77777777" w:rsidR="006A0C4B" w:rsidRPr="00B7408D" w:rsidRDefault="006A0C4B" w:rsidP="006A0C4B">
      <w:pPr>
        <w:snapToGrid w:val="0"/>
        <w:spacing w:line="360" w:lineRule="auto"/>
        <w:jc w:val="both"/>
        <w:rPr>
          <w:rFonts w:ascii="Book Antiqua" w:hAnsi="Book Antiqua" w:cs="Arial"/>
          <w:lang w:val="en-US"/>
        </w:rPr>
      </w:pPr>
    </w:p>
    <w:p w14:paraId="7B247C23" w14:textId="77777777" w:rsidR="006A0C4B" w:rsidRPr="00B7408D" w:rsidRDefault="006A0C4B" w:rsidP="006A0C4B">
      <w:pPr>
        <w:snapToGrid w:val="0"/>
        <w:spacing w:line="360" w:lineRule="auto"/>
        <w:jc w:val="both"/>
        <w:rPr>
          <w:rFonts w:ascii="Book Antiqua" w:hAnsi="Book Antiqua" w:cs="Arial"/>
          <w:bCs/>
        </w:rPr>
      </w:pPr>
      <w:r w:rsidRPr="00B7408D">
        <w:rPr>
          <w:rFonts w:ascii="Book Antiqua" w:hAnsi="Book Antiqua" w:cs="Arial"/>
          <w:bCs/>
        </w:rPr>
        <w:t>Antonio Casado-Díaz, Gabriel Dorado, José Manuel Quesada-Gómez</w:t>
      </w:r>
    </w:p>
    <w:p w14:paraId="41BB52A3" w14:textId="77777777" w:rsidR="006A0C4B" w:rsidRPr="00B7408D" w:rsidRDefault="006A0C4B" w:rsidP="006A0C4B">
      <w:pPr>
        <w:snapToGrid w:val="0"/>
        <w:spacing w:line="360" w:lineRule="auto"/>
        <w:jc w:val="both"/>
        <w:rPr>
          <w:rFonts w:ascii="Book Antiqua" w:hAnsi="Book Antiqua" w:cs="Arial"/>
          <w:b/>
        </w:rPr>
      </w:pPr>
    </w:p>
    <w:p w14:paraId="4A5DFDDF" w14:textId="0A85A99D" w:rsidR="006A0C4B" w:rsidRPr="00B7408D" w:rsidRDefault="006A0C4B" w:rsidP="006A0C4B">
      <w:pPr>
        <w:snapToGrid w:val="0"/>
        <w:spacing w:line="360" w:lineRule="auto"/>
        <w:jc w:val="both"/>
        <w:rPr>
          <w:rFonts w:ascii="Book Antiqua" w:hAnsi="Book Antiqua" w:cs="Arial"/>
        </w:rPr>
      </w:pPr>
      <w:r w:rsidRPr="00B7408D">
        <w:rPr>
          <w:rFonts w:ascii="Book Antiqua" w:hAnsi="Book Antiqua" w:cs="Arial"/>
          <w:b/>
        </w:rPr>
        <w:t xml:space="preserve">Antonio Casado-Díaz, </w:t>
      </w:r>
      <w:r w:rsidRPr="00B7408D">
        <w:rPr>
          <w:rFonts w:ascii="Book Antiqua" w:hAnsi="Book Antiqua" w:cs="Arial"/>
        </w:rPr>
        <w:t>CIBER de Fragilidad y Envejecimiento Saludable (CIBERFES), Instituto Maimónides de Investigación Biomédica de Córdoba (IMIBIC), Hospital Universitario Reina Sofía, Córdoba</w:t>
      </w:r>
      <w:r w:rsidR="005D5FDB" w:rsidRPr="00B7408D">
        <w:rPr>
          <w:rFonts w:ascii="Book Antiqua" w:hAnsi="Book Antiqua" w:cs="Arial"/>
        </w:rPr>
        <w:t xml:space="preserve"> 14004</w:t>
      </w:r>
      <w:r w:rsidRPr="00B7408D">
        <w:rPr>
          <w:rFonts w:ascii="Book Antiqua" w:hAnsi="Book Antiqua" w:cs="Arial"/>
        </w:rPr>
        <w:t>, Spain</w:t>
      </w:r>
    </w:p>
    <w:p w14:paraId="12E138DE" w14:textId="77777777" w:rsidR="006A0C4B" w:rsidRPr="00B7408D" w:rsidRDefault="006A0C4B" w:rsidP="006A0C4B">
      <w:pPr>
        <w:snapToGrid w:val="0"/>
        <w:spacing w:line="360" w:lineRule="auto"/>
        <w:jc w:val="both"/>
        <w:rPr>
          <w:rFonts w:ascii="Book Antiqua" w:hAnsi="Book Antiqua" w:cs="Arial"/>
          <w:b/>
        </w:rPr>
      </w:pPr>
    </w:p>
    <w:p w14:paraId="654F62DB" w14:textId="342ACC0A" w:rsidR="006A0C4B" w:rsidRPr="00B7408D" w:rsidRDefault="006A0C4B" w:rsidP="006A0C4B">
      <w:pPr>
        <w:snapToGrid w:val="0"/>
        <w:spacing w:line="360" w:lineRule="auto"/>
        <w:jc w:val="both"/>
        <w:rPr>
          <w:rFonts w:ascii="Book Antiqua" w:hAnsi="Book Antiqua" w:cs="Arial"/>
        </w:rPr>
      </w:pPr>
      <w:r w:rsidRPr="00B7408D">
        <w:rPr>
          <w:rFonts w:ascii="Book Antiqua" w:hAnsi="Book Antiqua" w:cs="Arial"/>
          <w:b/>
        </w:rPr>
        <w:t xml:space="preserve">Gabriel Dorado, </w:t>
      </w:r>
      <w:r w:rsidRPr="00B7408D">
        <w:rPr>
          <w:rFonts w:ascii="Book Antiqua" w:hAnsi="Book Antiqua" w:cs="Arial"/>
        </w:rPr>
        <w:t>Dep</w:t>
      </w:r>
      <w:r w:rsidR="005D5FDB" w:rsidRPr="00B7408D">
        <w:rPr>
          <w:rFonts w:ascii="Book Antiqua" w:hAnsi="Book Antiqua" w:cs="Arial"/>
        </w:rPr>
        <w:t>artement</w:t>
      </w:r>
      <w:r w:rsidRPr="00B7408D">
        <w:rPr>
          <w:rFonts w:ascii="Book Antiqua" w:hAnsi="Book Antiqua" w:cs="Arial"/>
        </w:rPr>
        <w:t xml:space="preserve"> Bioquímica y Biología Molecular, Campus Rabanales C6-1-E17, Campus de Excelencia Internacional Agroalimentario (ceiA3), Universidad de Córdoba, CIBERFES, Córdoba</w:t>
      </w:r>
      <w:r w:rsidR="005D5FDB" w:rsidRPr="00B7408D">
        <w:rPr>
          <w:rFonts w:ascii="Book Antiqua" w:hAnsi="Book Antiqua" w:cs="Arial"/>
        </w:rPr>
        <w:t xml:space="preserve"> 14071</w:t>
      </w:r>
      <w:r w:rsidRPr="00B7408D">
        <w:rPr>
          <w:rFonts w:ascii="Book Antiqua" w:hAnsi="Book Antiqua" w:cs="Arial"/>
        </w:rPr>
        <w:t>, Spain</w:t>
      </w:r>
    </w:p>
    <w:p w14:paraId="31904CF7" w14:textId="77777777" w:rsidR="006A0C4B" w:rsidRPr="00B7408D" w:rsidRDefault="006A0C4B" w:rsidP="006A0C4B">
      <w:pPr>
        <w:snapToGrid w:val="0"/>
        <w:spacing w:line="360" w:lineRule="auto"/>
        <w:jc w:val="both"/>
        <w:rPr>
          <w:rFonts w:ascii="Book Antiqua" w:hAnsi="Book Antiqua" w:cs="Arial"/>
          <w:b/>
        </w:rPr>
      </w:pPr>
    </w:p>
    <w:p w14:paraId="07E57EAB" w14:textId="393ADCC4" w:rsidR="006A0C4B" w:rsidRPr="00B7408D" w:rsidRDefault="006A0C4B" w:rsidP="006A0C4B">
      <w:pPr>
        <w:snapToGrid w:val="0"/>
        <w:spacing w:line="360" w:lineRule="auto"/>
        <w:jc w:val="both"/>
        <w:rPr>
          <w:rFonts w:ascii="Book Antiqua" w:hAnsi="Book Antiqua" w:cs="Arial"/>
        </w:rPr>
      </w:pPr>
      <w:r w:rsidRPr="00B7408D">
        <w:rPr>
          <w:rFonts w:ascii="Book Antiqua" w:hAnsi="Book Antiqua" w:cs="Arial"/>
          <w:b/>
        </w:rPr>
        <w:t xml:space="preserve">José Manuel Quesada-Gómez, </w:t>
      </w:r>
      <w:r w:rsidRPr="00B7408D">
        <w:rPr>
          <w:rFonts w:ascii="Book Antiqua" w:hAnsi="Book Antiqua" w:cs="Arial"/>
        </w:rPr>
        <w:t>Unidad de Gestión Clínica de Endocrinología y Nutrición, CIBER de Fragilidad y Envejecimiento Saludable (CIBERFES), Instituto Maimónides de Investigación Biomédica de Córdoba (IMIBIC), Hospital Universitario Reina Sofía, Córdoba</w:t>
      </w:r>
      <w:r w:rsidR="005D5FDB" w:rsidRPr="00B7408D">
        <w:rPr>
          <w:rFonts w:ascii="Book Antiqua" w:hAnsi="Book Antiqua" w:cs="Arial"/>
        </w:rPr>
        <w:t xml:space="preserve"> 14004</w:t>
      </w:r>
      <w:r w:rsidRPr="00B7408D">
        <w:rPr>
          <w:rFonts w:ascii="Book Antiqua" w:hAnsi="Book Antiqua" w:cs="Arial"/>
        </w:rPr>
        <w:t>, Spain</w:t>
      </w:r>
    </w:p>
    <w:p w14:paraId="0A391EEC" w14:textId="77777777" w:rsidR="006A0C4B" w:rsidRPr="00B7408D" w:rsidRDefault="006A0C4B" w:rsidP="006A0C4B">
      <w:pPr>
        <w:snapToGrid w:val="0"/>
        <w:spacing w:line="360" w:lineRule="auto"/>
        <w:jc w:val="both"/>
        <w:rPr>
          <w:rFonts w:ascii="Book Antiqua" w:hAnsi="Book Antiqua" w:cs="Arial"/>
        </w:rPr>
      </w:pPr>
    </w:p>
    <w:p w14:paraId="4C63EB12" w14:textId="77777777" w:rsidR="006A0C4B" w:rsidRPr="00B7408D" w:rsidRDefault="006A0C4B" w:rsidP="006A0C4B">
      <w:pPr>
        <w:snapToGrid w:val="0"/>
        <w:spacing w:line="360" w:lineRule="auto"/>
        <w:jc w:val="both"/>
        <w:rPr>
          <w:rFonts w:ascii="Book Antiqua" w:hAnsi="Book Antiqua" w:cs="Arial"/>
        </w:rPr>
      </w:pPr>
      <w:r w:rsidRPr="00B7408D">
        <w:rPr>
          <w:rStyle w:val="tlid-translation"/>
          <w:rFonts w:ascii="Book Antiqua" w:hAnsi="Book Antiqua"/>
          <w:b/>
        </w:rPr>
        <w:t>ORCID number:</w:t>
      </w:r>
      <w:r w:rsidRPr="00B7408D">
        <w:rPr>
          <w:rStyle w:val="tlid-translation"/>
          <w:rFonts w:ascii="Book Antiqua" w:hAnsi="Book Antiqua"/>
        </w:rPr>
        <w:t xml:space="preserve"> </w:t>
      </w:r>
      <w:r w:rsidRPr="00B7408D">
        <w:rPr>
          <w:rFonts w:ascii="Book Antiqua" w:hAnsi="Book Antiqua" w:cs="Arial"/>
        </w:rPr>
        <w:t>Antonio Casado-Díaz (0000-0002-8520-8278); Gabriel Dorado (0000-0002-0648-5278); José Manuel Quesada-Gómez (0000-0003-0990-5650).</w:t>
      </w:r>
    </w:p>
    <w:p w14:paraId="303DF93E" w14:textId="77777777" w:rsidR="006A0C4B" w:rsidRPr="00B7408D" w:rsidRDefault="006A0C4B" w:rsidP="006A0C4B">
      <w:pPr>
        <w:snapToGrid w:val="0"/>
        <w:spacing w:line="360" w:lineRule="auto"/>
        <w:jc w:val="both"/>
        <w:rPr>
          <w:rStyle w:val="tlid-translation"/>
          <w:rFonts w:ascii="Book Antiqua" w:hAnsi="Book Antiqua"/>
        </w:rPr>
      </w:pPr>
    </w:p>
    <w:p w14:paraId="548F81FC" w14:textId="77777777" w:rsidR="006A0C4B" w:rsidRPr="00B7408D" w:rsidRDefault="006A0C4B" w:rsidP="006A0C4B">
      <w:pPr>
        <w:snapToGrid w:val="0"/>
        <w:spacing w:line="360" w:lineRule="auto"/>
        <w:jc w:val="both"/>
        <w:rPr>
          <w:rStyle w:val="tlid-translation"/>
          <w:rFonts w:ascii="Book Antiqua" w:hAnsi="Book Antiqua"/>
          <w:lang w:val="en-US"/>
        </w:rPr>
      </w:pPr>
      <w:r w:rsidRPr="00B7408D">
        <w:rPr>
          <w:rFonts w:ascii="Book Antiqua" w:hAnsi="Book Antiqua" w:cs="Arial"/>
          <w:b/>
          <w:lang w:val="en-US"/>
        </w:rPr>
        <w:t>Author contributions</w:t>
      </w:r>
      <w:r w:rsidRPr="00B7408D">
        <w:rPr>
          <w:rFonts w:ascii="Book Antiqua" w:hAnsi="Book Antiqua" w:cs="Arial"/>
          <w:lang w:val="en-US"/>
        </w:rPr>
        <w:t xml:space="preserve">: </w:t>
      </w:r>
      <w:r w:rsidRPr="00B7408D">
        <w:rPr>
          <w:rStyle w:val="tlid-translation"/>
          <w:rFonts w:ascii="Book Antiqua" w:hAnsi="Book Antiqua"/>
          <w:lang w:val="en-US"/>
        </w:rPr>
        <w:t>Casado-Díaz A and Quesada Gómez JM designed the study; Casado-Díaz A, Dorado G and Quesada Gómez JM conducted reviews and literature analyses, and drafted, edited and approved the manuscript.</w:t>
      </w:r>
    </w:p>
    <w:p w14:paraId="207A7ECF" w14:textId="77777777" w:rsidR="006A0C4B" w:rsidRPr="00B7408D" w:rsidRDefault="006A0C4B" w:rsidP="006A0C4B">
      <w:pPr>
        <w:snapToGrid w:val="0"/>
        <w:spacing w:line="360" w:lineRule="auto"/>
        <w:jc w:val="both"/>
        <w:rPr>
          <w:rStyle w:val="tlid-translation"/>
          <w:rFonts w:ascii="Book Antiqua" w:hAnsi="Book Antiqua"/>
          <w:lang w:val="en-US"/>
        </w:rPr>
      </w:pPr>
    </w:p>
    <w:p w14:paraId="165F9202" w14:textId="3C3D424E" w:rsidR="006A0C4B" w:rsidRPr="00B7408D" w:rsidRDefault="006A0C4B" w:rsidP="006A0C4B">
      <w:pPr>
        <w:snapToGrid w:val="0"/>
        <w:spacing w:line="360" w:lineRule="auto"/>
        <w:jc w:val="both"/>
        <w:rPr>
          <w:rStyle w:val="tlid-translation"/>
          <w:rFonts w:ascii="Book Antiqua" w:hAnsi="Book Antiqua"/>
        </w:rPr>
      </w:pPr>
      <w:r w:rsidRPr="00B7408D">
        <w:rPr>
          <w:rStyle w:val="tlid-translation"/>
          <w:rFonts w:ascii="Book Antiqua" w:hAnsi="Book Antiqua"/>
          <w:b/>
        </w:rPr>
        <w:lastRenderedPageBreak/>
        <w:t>Supported by</w:t>
      </w:r>
      <w:r w:rsidRPr="00B7408D">
        <w:rPr>
          <w:rStyle w:val="tlid-translation"/>
          <w:rFonts w:ascii="Book Antiqua" w:hAnsi="Book Antiqua"/>
        </w:rPr>
        <w:t xml:space="preserve"> grants </w:t>
      </w:r>
      <w:bookmarkStart w:id="1" w:name="OLE_LINK4"/>
      <w:r w:rsidRPr="00B7408D">
        <w:rPr>
          <w:rStyle w:val="tlid-translation"/>
          <w:rFonts w:ascii="Book Antiqua" w:hAnsi="Book Antiqua"/>
        </w:rPr>
        <w:t>“Fragilidad y Envejecimiento Saludable” (CIBERFES) of “Instituto de Salud Carlos III” (ISCIII)</w:t>
      </w:r>
      <w:bookmarkEnd w:id="1"/>
      <w:r w:rsidRPr="00B7408D">
        <w:rPr>
          <w:rStyle w:val="tlid-translation"/>
          <w:rFonts w:ascii="Book Antiqua" w:hAnsi="Book Antiqua"/>
        </w:rPr>
        <w:t xml:space="preserve">, </w:t>
      </w:r>
      <w:r w:rsidR="00950640" w:rsidRPr="00B7408D">
        <w:rPr>
          <w:rStyle w:val="tlid-translation"/>
          <w:rFonts w:ascii="Book Antiqua" w:hAnsi="Book Antiqua"/>
        </w:rPr>
        <w:t>No. PI15/01857, PI18/01659 and CIBER.</w:t>
      </w:r>
    </w:p>
    <w:p w14:paraId="6B712327" w14:textId="77777777" w:rsidR="006A0C4B" w:rsidRPr="00B7408D" w:rsidRDefault="006A0C4B" w:rsidP="006A0C4B">
      <w:pPr>
        <w:snapToGrid w:val="0"/>
        <w:spacing w:line="360" w:lineRule="auto"/>
        <w:jc w:val="both"/>
        <w:rPr>
          <w:rStyle w:val="tlid-translation"/>
          <w:rFonts w:ascii="Book Antiqua" w:hAnsi="Book Antiqua"/>
        </w:rPr>
      </w:pPr>
    </w:p>
    <w:p w14:paraId="6E5E737F" w14:textId="77777777" w:rsidR="006A0C4B" w:rsidRPr="00B7408D" w:rsidRDefault="006A0C4B" w:rsidP="006A0C4B">
      <w:pPr>
        <w:snapToGrid w:val="0"/>
        <w:spacing w:line="360" w:lineRule="auto"/>
        <w:jc w:val="both"/>
        <w:rPr>
          <w:rStyle w:val="tlid-translation"/>
          <w:rFonts w:ascii="Book Antiqua" w:hAnsi="Book Antiqua"/>
          <w:lang w:val="en-US"/>
        </w:rPr>
      </w:pPr>
      <w:r w:rsidRPr="00B7408D">
        <w:rPr>
          <w:rStyle w:val="tlid-translation"/>
          <w:rFonts w:ascii="Book Antiqua" w:hAnsi="Book Antiqua"/>
          <w:b/>
          <w:lang w:val="en-US"/>
        </w:rPr>
        <w:t>Conflict of interest statement:</w:t>
      </w:r>
      <w:r w:rsidRPr="00B7408D">
        <w:rPr>
          <w:rStyle w:val="tlid-translation"/>
          <w:rFonts w:ascii="Book Antiqua" w:hAnsi="Book Antiqua"/>
          <w:lang w:val="en-US"/>
        </w:rPr>
        <w:t xml:space="preserve"> The authors declare no conflicts of interest.</w:t>
      </w:r>
    </w:p>
    <w:p w14:paraId="3881B15E" w14:textId="77777777" w:rsidR="006A0C4B" w:rsidRPr="00B7408D" w:rsidRDefault="006A0C4B" w:rsidP="006A0C4B">
      <w:pPr>
        <w:snapToGrid w:val="0"/>
        <w:spacing w:line="360" w:lineRule="auto"/>
        <w:jc w:val="both"/>
        <w:rPr>
          <w:rStyle w:val="tlid-translation"/>
          <w:rFonts w:ascii="Book Antiqua" w:hAnsi="Book Antiqua"/>
          <w:lang w:val="en-US"/>
        </w:rPr>
      </w:pPr>
    </w:p>
    <w:p w14:paraId="627E4215" w14:textId="057A3305" w:rsidR="006A0C4B" w:rsidRPr="00B7408D" w:rsidRDefault="006A0C4B" w:rsidP="006A0C4B">
      <w:pPr>
        <w:spacing w:line="360" w:lineRule="auto"/>
        <w:jc w:val="both"/>
        <w:rPr>
          <w:rFonts w:ascii="Book Antiqua" w:hAnsi="Book Antiqua"/>
          <w:color w:val="000000"/>
          <w:lang w:val="en-US"/>
        </w:rPr>
      </w:pPr>
      <w:r w:rsidRPr="00B7408D">
        <w:rPr>
          <w:rFonts w:ascii="Book Antiqua" w:hAnsi="Book Antiqua"/>
          <w:b/>
          <w:color w:val="000000"/>
          <w:lang w:val="en-US"/>
        </w:rPr>
        <w:t xml:space="preserve">Open-Access: </w:t>
      </w:r>
      <w:r w:rsidR="000C70A9" w:rsidRPr="00B7408D">
        <w:rPr>
          <w:rFonts w:ascii="Book Antiqua" w:hAnsi="Book Antiqua"/>
          <w:color w:val="000000"/>
          <w:lang w:val="en-US"/>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B9FECA" w14:textId="77777777" w:rsidR="006A0C4B" w:rsidRPr="00B7408D" w:rsidRDefault="006A0C4B" w:rsidP="006A0C4B">
      <w:pPr>
        <w:snapToGrid w:val="0"/>
        <w:spacing w:line="360" w:lineRule="auto"/>
        <w:jc w:val="both"/>
        <w:rPr>
          <w:rStyle w:val="tlid-translation"/>
          <w:rFonts w:ascii="Book Antiqua" w:hAnsi="Book Antiqua"/>
          <w:b/>
          <w:lang w:val="en-US"/>
        </w:rPr>
      </w:pPr>
    </w:p>
    <w:p w14:paraId="1A705916" w14:textId="77777777" w:rsidR="006A0C4B" w:rsidRPr="00B7408D" w:rsidRDefault="006A0C4B" w:rsidP="006A0C4B">
      <w:pPr>
        <w:spacing w:line="360" w:lineRule="auto"/>
        <w:jc w:val="both"/>
        <w:rPr>
          <w:rFonts w:ascii="Book Antiqua" w:hAnsi="Book Antiqua" w:cs="Arial"/>
          <w:color w:val="222222"/>
          <w:shd w:val="clear" w:color="auto" w:fill="FFFFFF"/>
          <w:lang w:val="en-US"/>
        </w:rPr>
      </w:pPr>
      <w:r w:rsidRPr="00B7408D">
        <w:rPr>
          <w:rFonts w:ascii="Book Antiqua" w:eastAsia="宋体" w:hAnsi="Book Antiqua" w:cs="Arial"/>
          <w:b/>
          <w:lang w:val="en-US"/>
        </w:rPr>
        <w:t>Manuscript source:</w:t>
      </w:r>
      <w:r w:rsidRPr="00B7408D">
        <w:rPr>
          <w:rFonts w:ascii="Book Antiqua" w:eastAsia="宋体" w:hAnsi="Book Antiqua" w:cs="Arial"/>
          <w:lang w:val="en-US"/>
        </w:rPr>
        <w:t xml:space="preserve"> </w:t>
      </w:r>
      <w:r w:rsidRPr="00B7408D">
        <w:rPr>
          <w:rFonts w:ascii="Book Antiqua" w:hAnsi="Book Antiqua" w:cs="Arial"/>
          <w:color w:val="222222"/>
          <w:shd w:val="clear" w:color="auto" w:fill="FFFFFF"/>
          <w:lang w:val="en-US"/>
        </w:rPr>
        <w:t>Invited manuscript.</w:t>
      </w:r>
    </w:p>
    <w:p w14:paraId="63166254" w14:textId="77777777" w:rsidR="006A0C4B" w:rsidRPr="00B7408D" w:rsidRDefault="006A0C4B" w:rsidP="006A0C4B">
      <w:pPr>
        <w:snapToGrid w:val="0"/>
        <w:spacing w:line="360" w:lineRule="auto"/>
        <w:jc w:val="both"/>
        <w:rPr>
          <w:rStyle w:val="tlid-translation"/>
          <w:rFonts w:ascii="Book Antiqua" w:hAnsi="Book Antiqua"/>
          <w:b/>
          <w:lang w:val="en-US"/>
        </w:rPr>
      </w:pPr>
    </w:p>
    <w:p w14:paraId="6CC71957" w14:textId="45F259F1" w:rsidR="006A0C4B" w:rsidRPr="00B7408D" w:rsidRDefault="00857A59" w:rsidP="006A0C4B">
      <w:pPr>
        <w:snapToGrid w:val="0"/>
        <w:spacing w:line="360" w:lineRule="auto"/>
        <w:jc w:val="both"/>
        <w:rPr>
          <w:rStyle w:val="tlid-translation"/>
          <w:rFonts w:ascii="Book Antiqua" w:hAnsi="Book Antiqua"/>
        </w:rPr>
      </w:pPr>
      <w:r w:rsidRPr="00B7408D">
        <w:rPr>
          <w:rFonts w:ascii="Book Antiqua" w:hAnsi="Book Antiqua"/>
          <w:b/>
          <w:lang w:val="es-ES_tradnl"/>
        </w:rPr>
        <w:t xml:space="preserve">Corresponding author: </w:t>
      </w:r>
      <w:r w:rsidR="006A0C4B" w:rsidRPr="00B7408D">
        <w:rPr>
          <w:rStyle w:val="tlid-translation"/>
          <w:rFonts w:ascii="Book Antiqua" w:hAnsi="Book Antiqua"/>
          <w:b/>
        </w:rPr>
        <w:t xml:space="preserve">José Manuel Quesada-Gómez, </w:t>
      </w:r>
      <w:r w:rsidR="00D02960" w:rsidRPr="00B7408D">
        <w:rPr>
          <w:rStyle w:val="tlid-translation"/>
          <w:rFonts w:ascii="Book Antiqua" w:hAnsi="Book Antiqua" w:hint="eastAsia"/>
          <w:b/>
        </w:rPr>
        <w:t xml:space="preserve">MD, </w:t>
      </w:r>
      <w:r w:rsidR="006A0C4B" w:rsidRPr="00B7408D">
        <w:rPr>
          <w:rStyle w:val="tlid-translation"/>
          <w:rFonts w:ascii="Book Antiqua" w:hAnsi="Book Antiqua"/>
          <w:b/>
        </w:rPr>
        <w:t>Doctor,</w:t>
      </w:r>
      <w:r w:rsidR="006A0C4B" w:rsidRPr="00B7408D">
        <w:rPr>
          <w:rStyle w:val="tlid-translation"/>
          <w:rFonts w:ascii="Book Antiqua" w:hAnsi="Book Antiqua"/>
        </w:rPr>
        <w:t xml:space="preserve"> CIBER de Fragilidad y Envejecimiento Saludable (CIBERFES), Unidad de Gestión Clínica de Endocrinología y Nutrición, Instituto Maimónides de Investigación Biomédica de Córdoba (IMIBIC), Hospital Universitario Reina Sofía, 14004 Córdoba, Spain. </w:t>
      </w:r>
      <w:hyperlink r:id="rId7" w:history="1">
        <w:r w:rsidR="00D02960" w:rsidRPr="00B7408D">
          <w:rPr>
            <w:rStyle w:val="ad"/>
            <w:rFonts w:ascii="Book Antiqua" w:hAnsi="Book Antiqua"/>
          </w:rPr>
          <w:t>md1qugoj@uco.es</w:t>
        </w:r>
      </w:hyperlink>
    </w:p>
    <w:p w14:paraId="2D23FCDE" w14:textId="616909A9" w:rsidR="006A0C4B" w:rsidRPr="00B7408D" w:rsidRDefault="006A0C4B" w:rsidP="006A0C4B">
      <w:pPr>
        <w:snapToGrid w:val="0"/>
        <w:spacing w:line="360" w:lineRule="auto"/>
        <w:jc w:val="both"/>
        <w:rPr>
          <w:rStyle w:val="tlid-translation"/>
          <w:rFonts w:ascii="Book Antiqua" w:hAnsi="Book Antiqua"/>
          <w:lang w:val="en-US"/>
        </w:rPr>
      </w:pPr>
      <w:r w:rsidRPr="00B7408D">
        <w:rPr>
          <w:rStyle w:val="tlid-translation"/>
          <w:rFonts w:ascii="Book Antiqua" w:hAnsi="Book Antiqua"/>
          <w:b/>
          <w:lang w:val="en-US"/>
        </w:rPr>
        <w:t>Telephone:</w:t>
      </w:r>
      <w:r w:rsidRPr="00B7408D">
        <w:rPr>
          <w:rStyle w:val="tlid-translation"/>
          <w:rFonts w:ascii="Book Antiqua" w:hAnsi="Book Antiqua"/>
          <w:lang w:val="en-US"/>
        </w:rPr>
        <w:t xml:space="preserve"> +34</w:t>
      </w:r>
      <w:r w:rsidR="00857A59" w:rsidRPr="00B7408D">
        <w:rPr>
          <w:rStyle w:val="tlid-translation"/>
          <w:rFonts w:ascii="Book Antiqua" w:hAnsi="Book Antiqua"/>
          <w:lang w:val="en-US"/>
        </w:rPr>
        <w:t>-</w:t>
      </w:r>
      <w:r w:rsidRPr="00B7408D">
        <w:rPr>
          <w:rStyle w:val="tlid-translation"/>
          <w:rFonts w:ascii="Book Antiqua" w:hAnsi="Book Antiqua"/>
          <w:lang w:val="en-US"/>
        </w:rPr>
        <w:t>95</w:t>
      </w:r>
      <w:r w:rsidR="00857A59" w:rsidRPr="00B7408D">
        <w:rPr>
          <w:rStyle w:val="tlid-translation"/>
          <w:rFonts w:ascii="Book Antiqua" w:hAnsi="Book Antiqua"/>
          <w:lang w:val="en-US"/>
        </w:rPr>
        <w:t>-</w:t>
      </w:r>
      <w:r w:rsidRPr="00B7408D">
        <w:rPr>
          <w:rStyle w:val="tlid-translation"/>
          <w:rFonts w:ascii="Book Antiqua" w:hAnsi="Book Antiqua"/>
          <w:lang w:val="en-US"/>
        </w:rPr>
        <w:t>7213814</w:t>
      </w:r>
    </w:p>
    <w:p w14:paraId="58A8979B" w14:textId="77777777" w:rsidR="006A0C4B" w:rsidRPr="00B7408D" w:rsidRDefault="006A0C4B" w:rsidP="006A0C4B">
      <w:pPr>
        <w:snapToGrid w:val="0"/>
        <w:spacing w:line="360" w:lineRule="auto"/>
        <w:jc w:val="both"/>
        <w:rPr>
          <w:rStyle w:val="tlid-translation"/>
          <w:rFonts w:ascii="Book Antiqua" w:hAnsi="Book Antiqua"/>
          <w:lang w:val="en-US"/>
        </w:rPr>
      </w:pPr>
    </w:p>
    <w:p w14:paraId="56CCEFAC" w14:textId="1E871D4D" w:rsidR="006A0C4B" w:rsidRPr="00B7408D" w:rsidRDefault="006A0C4B" w:rsidP="006A0C4B">
      <w:pPr>
        <w:spacing w:line="360" w:lineRule="auto"/>
        <w:jc w:val="both"/>
        <w:rPr>
          <w:rFonts w:ascii="Book Antiqua" w:hAnsi="Book Antiqua"/>
          <w:lang w:val="en-US"/>
        </w:rPr>
      </w:pPr>
      <w:r w:rsidRPr="00B7408D">
        <w:rPr>
          <w:rFonts w:ascii="Book Antiqua" w:hAnsi="Book Antiqua"/>
          <w:b/>
          <w:lang w:val="en-US"/>
        </w:rPr>
        <w:t xml:space="preserve">Received: </w:t>
      </w:r>
      <w:r w:rsidR="007E2849" w:rsidRPr="00B7408D">
        <w:rPr>
          <w:rFonts w:ascii="Book Antiqua" w:hAnsi="Book Antiqua"/>
          <w:lang w:val="en-US"/>
        </w:rPr>
        <w:t xml:space="preserve">March </w:t>
      </w:r>
      <w:r w:rsidRPr="00B7408D">
        <w:rPr>
          <w:rFonts w:ascii="Book Antiqua" w:hAnsi="Book Antiqua"/>
          <w:lang w:val="en-US"/>
        </w:rPr>
        <w:t>15</w:t>
      </w:r>
      <w:r w:rsidR="007E2849" w:rsidRPr="00B7408D">
        <w:rPr>
          <w:rFonts w:ascii="Book Antiqua" w:hAnsi="Book Antiqua"/>
          <w:lang w:val="en-US"/>
        </w:rPr>
        <w:t>, 2019</w:t>
      </w:r>
    </w:p>
    <w:p w14:paraId="0F137593" w14:textId="6F3303F4" w:rsidR="006A0C4B" w:rsidRPr="00B7408D" w:rsidRDefault="006A0C4B" w:rsidP="006A0C4B">
      <w:pPr>
        <w:spacing w:line="360" w:lineRule="auto"/>
        <w:jc w:val="both"/>
        <w:rPr>
          <w:rFonts w:ascii="Book Antiqua" w:hAnsi="Book Antiqua"/>
          <w:b/>
          <w:lang w:val="en-US"/>
        </w:rPr>
      </w:pPr>
      <w:r w:rsidRPr="00B7408D">
        <w:rPr>
          <w:rFonts w:ascii="Book Antiqua" w:hAnsi="Book Antiqua"/>
          <w:b/>
          <w:lang w:val="en-US"/>
        </w:rPr>
        <w:t xml:space="preserve">Peer-review started: </w:t>
      </w:r>
      <w:r w:rsidR="007E2849" w:rsidRPr="00B7408D">
        <w:rPr>
          <w:rFonts w:ascii="Book Antiqua" w:hAnsi="Book Antiqua"/>
          <w:lang w:val="en-US"/>
        </w:rPr>
        <w:t>March 18, 2019</w:t>
      </w:r>
    </w:p>
    <w:p w14:paraId="789244F1" w14:textId="18467FBA" w:rsidR="006A0C4B" w:rsidRPr="00B7408D" w:rsidRDefault="006A0C4B" w:rsidP="006A0C4B">
      <w:pPr>
        <w:spacing w:line="360" w:lineRule="auto"/>
        <w:jc w:val="both"/>
        <w:rPr>
          <w:rFonts w:ascii="Book Antiqua" w:hAnsi="Book Antiqua"/>
          <w:lang w:val="en-US"/>
        </w:rPr>
      </w:pPr>
      <w:r w:rsidRPr="00B7408D">
        <w:rPr>
          <w:rFonts w:ascii="Book Antiqua" w:hAnsi="Book Antiqua"/>
          <w:b/>
          <w:lang w:val="en-US"/>
        </w:rPr>
        <w:t xml:space="preserve">First decision: </w:t>
      </w:r>
      <w:r w:rsidR="007E2849" w:rsidRPr="00B7408D">
        <w:rPr>
          <w:rFonts w:ascii="Book Antiqua" w:hAnsi="Book Antiqua"/>
          <w:lang w:val="en-US"/>
        </w:rPr>
        <w:t>June 18, 2019</w:t>
      </w:r>
    </w:p>
    <w:p w14:paraId="1E6BC8C4" w14:textId="7EBA6727" w:rsidR="006A0C4B" w:rsidRPr="00B7408D" w:rsidRDefault="006A0C4B" w:rsidP="006A0C4B">
      <w:pPr>
        <w:spacing w:line="360" w:lineRule="auto"/>
        <w:jc w:val="both"/>
        <w:rPr>
          <w:rFonts w:ascii="Book Antiqua" w:hAnsi="Book Antiqua"/>
          <w:b/>
          <w:lang w:val="en-US"/>
        </w:rPr>
      </w:pPr>
      <w:r w:rsidRPr="00B7408D">
        <w:rPr>
          <w:rFonts w:ascii="Book Antiqua" w:hAnsi="Book Antiqua"/>
          <w:b/>
          <w:lang w:val="en-US"/>
        </w:rPr>
        <w:t>Revised:</w:t>
      </w:r>
      <w:r w:rsidR="008B42A0" w:rsidRPr="00B7408D">
        <w:rPr>
          <w:rFonts w:ascii="Book Antiqua" w:hAnsi="Book Antiqua"/>
          <w:b/>
          <w:lang w:val="en-US"/>
        </w:rPr>
        <w:t xml:space="preserve"> </w:t>
      </w:r>
      <w:r w:rsidR="007E2849" w:rsidRPr="00B7408D">
        <w:rPr>
          <w:rFonts w:ascii="Book Antiqua" w:hAnsi="Book Antiqua"/>
          <w:lang w:val="en-US"/>
        </w:rPr>
        <w:t>August 2</w:t>
      </w:r>
      <w:r w:rsidR="00191BFC" w:rsidRPr="00B7408D">
        <w:rPr>
          <w:rFonts w:ascii="Book Antiqua" w:hAnsi="Book Antiqua"/>
          <w:lang w:val="en-US"/>
        </w:rPr>
        <w:t>9,</w:t>
      </w:r>
      <w:r w:rsidR="007E2849" w:rsidRPr="00B7408D">
        <w:rPr>
          <w:rFonts w:ascii="Book Antiqua" w:hAnsi="Book Antiqua"/>
          <w:lang w:val="en-US"/>
        </w:rPr>
        <w:t xml:space="preserve"> 2019</w:t>
      </w:r>
    </w:p>
    <w:p w14:paraId="2801BA62" w14:textId="7C8434F2" w:rsidR="006A0C4B" w:rsidRPr="00B7408D" w:rsidRDefault="006A0C4B" w:rsidP="006A0C4B">
      <w:pPr>
        <w:spacing w:line="360" w:lineRule="auto"/>
        <w:jc w:val="both"/>
        <w:rPr>
          <w:rFonts w:ascii="Book Antiqua" w:hAnsi="Book Antiqua"/>
          <w:b/>
          <w:lang w:val="en-US"/>
        </w:rPr>
      </w:pPr>
      <w:r w:rsidRPr="00B7408D">
        <w:rPr>
          <w:rFonts w:ascii="Book Antiqua" w:hAnsi="Book Antiqua"/>
          <w:b/>
          <w:lang w:val="en-US"/>
        </w:rPr>
        <w:t>Accepted:</w:t>
      </w:r>
      <w:r w:rsidR="00C42A55" w:rsidRPr="00B7408D">
        <w:rPr>
          <w:rFonts w:ascii="Book Antiqua" w:hAnsi="Book Antiqua"/>
          <w:b/>
          <w:lang w:val="en-US"/>
        </w:rPr>
        <w:t xml:space="preserve"> </w:t>
      </w:r>
      <w:r w:rsidR="00C42A55" w:rsidRPr="00B7408D">
        <w:rPr>
          <w:rFonts w:ascii="Book Antiqua" w:hAnsi="Book Antiqua"/>
          <w:bCs/>
          <w:lang w:val="en-US"/>
        </w:rPr>
        <w:t>November 4, 2019</w:t>
      </w:r>
    </w:p>
    <w:p w14:paraId="6557F766" w14:textId="4E70A7A9" w:rsidR="006A0C4B" w:rsidRPr="00B7408D" w:rsidRDefault="006A0C4B" w:rsidP="006A0C4B">
      <w:pPr>
        <w:spacing w:line="360" w:lineRule="auto"/>
        <w:jc w:val="both"/>
        <w:rPr>
          <w:rFonts w:ascii="Book Antiqua" w:hAnsi="Book Antiqua"/>
          <w:b/>
          <w:lang w:val="en-US"/>
        </w:rPr>
      </w:pPr>
      <w:r w:rsidRPr="00B7408D">
        <w:rPr>
          <w:rFonts w:ascii="Book Antiqua" w:hAnsi="Book Antiqua"/>
          <w:b/>
          <w:lang w:val="en-US"/>
        </w:rPr>
        <w:t>Article in press:</w:t>
      </w:r>
      <w:r w:rsidR="00A77934" w:rsidRPr="00B7408D">
        <w:rPr>
          <w:rFonts w:ascii="Book Antiqua" w:hAnsi="Book Antiqua" w:hint="eastAsia"/>
          <w:b/>
          <w:lang w:val="en-US"/>
        </w:rPr>
        <w:t xml:space="preserve"> </w:t>
      </w:r>
      <w:r w:rsidR="00A77934" w:rsidRPr="00B7408D">
        <w:rPr>
          <w:rFonts w:ascii="Book Antiqua" w:hAnsi="Book Antiqua"/>
          <w:bCs/>
          <w:lang w:val="en-US"/>
        </w:rPr>
        <w:t>November 4, 2019</w:t>
      </w:r>
    </w:p>
    <w:p w14:paraId="5E165B46" w14:textId="5D6AA73A" w:rsidR="006A0C4B" w:rsidRPr="00B7408D" w:rsidRDefault="006A0C4B" w:rsidP="007E2849">
      <w:pPr>
        <w:spacing w:line="360" w:lineRule="auto"/>
        <w:jc w:val="both"/>
        <w:rPr>
          <w:rFonts w:ascii="Book Antiqua" w:hAnsi="Book Antiqua" w:cs="Arial"/>
          <w:b/>
          <w:lang w:val="en-US"/>
        </w:rPr>
      </w:pPr>
      <w:r w:rsidRPr="00B7408D">
        <w:rPr>
          <w:rFonts w:ascii="Book Antiqua" w:hAnsi="Book Antiqua"/>
          <w:b/>
          <w:lang w:val="en-US"/>
        </w:rPr>
        <w:t>Published online:</w:t>
      </w:r>
      <w:bookmarkStart w:id="2" w:name="_Hlk3289226"/>
      <w:r w:rsidR="00AF1B37" w:rsidRPr="00B7408D">
        <w:rPr>
          <w:rFonts w:ascii="Book Antiqua" w:hAnsi="Book Antiqua" w:hint="eastAsia"/>
          <w:b/>
          <w:lang w:val="en-US"/>
        </w:rPr>
        <w:t xml:space="preserve"> </w:t>
      </w:r>
      <w:r w:rsidR="00E049DB" w:rsidRPr="00B7408D">
        <w:rPr>
          <w:rFonts w:ascii="Book Antiqua" w:hAnsi="Book Antiqua"/>
          <w:lang w:val="en-US"/>
        </w:rPr>
        <w:t xml:space="preserve">December </w:t>
      </w:r>
      <w:r w:rsidR="00E049DB" w:rsidRPr="00B7408D">
        <w:rPr>
          <w:rFonts w:ascii="Book Antiqua" w:hAnsi="Book Antiqua" w:hint="eastAsia"/>
          <w:lang w:val="en-US"/>
        </w:rPr>
        <w:t>26</w:t>
      </w:r>
      <w:r w:rsidR="00AF1B37" w:rsidRPr="00B7408D">
        <w:rPr>
          <w:rFonts w:ascii="Book Antiqua" w:hAnsi="Book Antiqua"/>
          <w:lang w:val="en-US"/>
        </w:rPr>
        <w:t>, 2019</w:t>
      </w:r>
      <w:r w:rsidRPr="00B7408D">
        <w:rPr>
          <w:rFonts w:ascii="Book Antiqua" w:hAnsi="Book Antiqua" w:cs="Arial"/>
          <w:b/>
          <w:lang w:val="en-US"/>
        </w:rPr>
        <w:br w:type="page"/>
      </w:r>
    </w:p>
    <w:p w14:paraId="1AB8848B" w14:textId="77777777" w:rsidR="006A0C4B" w:rsidRPr="00B7408D" w:rsidRDefault="006A0C4B" w:rsidP="006A0C4B">
      <w:pPr>
        <w:snapToGrid w:val="0"/>
        <w:spacing w:line="360" w:lineRule="auto"/>
        <w:jc w:val="both"/>
        <w:rPr>
          <w:rFonts w:ascii="Book Antiqua" w:hAnsi="Book Antiqua" w:cs="Arial"/>
          <w:b/>
          <w:lang w:val="en-US"/>
        </w:rPr>
      </w:pPr>
      <w:r w:rsidRPr="00B7408D">
        <w:rPr>
          <w:rFonts w:ascii="Book Antiqua" w:hAnsi="Book Antiqua" w:cs="Arial"/>
          <w:b/>
          <w:lang w:val="en-US"/>
        </w:rPr>
        <w:lastRenderedPageBreak/>
        <w:t>Abstract</w:t>
      </w:r>
    </w:p>
    <w:p w14:paraId="33C1827E" w14:textId="77777777" w:rsidR="006A0C4B" w:rsidRPr="00B7408D" w:rsidRDefault="006A0C4B" w:rsidP="006A0C4B">
      <w:pPr>
        <w:snapToGrid w:val="0"/>
        <w:spacing w:line="360" w:lineRule="auto"/>
        <w:jc w:val="both"/>
        <w:rPr>
          <w:rFonts w:ascii="Book Antiqua" w:hAnsi="Book Antiqua" w:cs="Arial"/>
          <w:lang w:val="en-US"/>
        </w:rPr>
      </w:pPr>
      <w:r w:rsidRPr="00B7408D">
        <w:rPr>
          <w:rFonts w:ascii="Book Antiqua" w:hAnsi="Book Antiqua" w:cs="Arial"/>
          <w:lang w:val="en-US"/>
        </w:rPr>
        <w:t xml:space="preserve">Extra virgin olive oil is characterized by its high content of unsaturated fatty acid residues in triglycerides, mainly oleic acid, and the presence of bioactive and antioxidant compounds. Its consumption is associated with lower risk of suffering chronic diseases and unwanted processes linked to aging, due to the antioxidant capacity and capability of its components to modulate cellular signaling pathways. Consumption of olive oil can alter the physiology of mesenchymal stem cells (MSCs). This may explain part of the </w:t>
      </w:r>
      <w:proofErr w:type="spellStart"/>
      <w:r w:rsidRPr="00B7408D">
        <w:rPr>
          <w:rFonts w:ascii="Book Antiqua" w:hAnsi="Book Antiqua" w:cs="Arial"/>
          <w:lang w:val="en-US"/>
        </w:rPr>
        <w:t>healthy</w:t>
      </w:r>
      <w:proofErr w:type="spellEnd"/>
      <w:r w:rsidRPr="00B7408D">
        <w:rPr>
          <w:rFonts w:ascii="Book Antiqua" w:hAnsi="Book Antiqua" w:cs="Arial"/>
          <w:lang w:val="en-US"/>
        </w:rPr>
        <w:t xml:space="preserve"> effects of olive oil consumption, such as prevention of unwanted aging processes. To date, there are no specific studies on the action of olive oil on MSCs, but effects of many components of such food on cell viability and differentiation have been evaluated. The objective of this article is to review existing literature on how different compounds of extra virgin olive oil, including residues of fatty acids, vitamins, squalene, triterpenes, pigments and phenols, affect MSC maintenance and differentiation, in order to provide a better understanding of the </w:t>
      </w:r>
      <w:proofErr w:type="spellStart"/>
      <w:r w:rsidRPr="00B7408D">
        <w:rPr>
          <w:rFonts w:ascii="Book Antiqua" w:hAnsi="Book Antiqua" w:cs="Arial"/>
          <w:lang w:val="en-US"/>
        </w:rPr>
        <w:t>healthy</w:t>
      </w:r>
      <w:proofErr w:type="spellEnd"/>
      <w:r w:rsidRPr="00B7408D">
        <w:rPr>
          <w:rFonts w:ascii="Book Antiqua" w:hAnsi="Book Antiqua" w:cs="Arial"/>
          <w:lang w:val="en-US"/>
        </w:rPr>
        <w:t xml:space="preserve"> effects of this food. Interestingly, most studies have shown a positive effect of these compounds on MSCs. The collective findings support the hypothesis that at least part of the beneficial effects of extra virgin olive oil consumption on health may be mediated by its effects on MSCs.</w:t>
      </w:r>
    </w:p>
    <w:p w14:paraId="21B7E5E1" w14:textId="77777777" w:rsidR="006A0C4B" w:rsidRPr="00B7408D" w:rsidRDefault="006A0C4B" w:rsidP="006A0C4B">
      <w:pPr>
        <w:snapToGrid w:val="0"/>
        <w:spacing w:line="360" w:lineRule="auto"/>
        <w:jc w:val="both"/>
        <w:rPr>
          <w:rFonts w:ascii="Book Antiqua" w:hAnsi="Book Antiqua" w:cs="Arial"/>
          <w:lang w:val="en-US"/>
        </w:rPr>
      </w:pPr>
    </w:p>
    <w:p w14:paraId="26FAB4DE" w14:textId="77777777" w:rsidR="006A0C4B" w:rsidRPr="00B7408D" w:rsidRDefault="006A0C4B" w:rsidP="006A0C4B">
      <w:pPr>
        <w:snapToGrid w:val="0"/>
        <w:spacing w:line="360" w:lineRule="auto"/>
        <w:jc w:val="both"/>
        <w:rPr>
          <w:rFonts w:ascii="Book Antiqua" w:hAnsi="Book Antiqua" w:cs="Arial"/>
          <w:lang w:val="en-US"/>
        </w:rPr>
      </w:pPr>
      <w:r w:rsidRPr="00B7408D">
        <w:rPr>
          <w:rFonts w:ascii="Book Antiqua" w:hAnsi="Book Antiqua" w:cs="Arial"/>
          <w:b/>
          <w:lang w:val="en-US"/>
        </w:rPr>
        <w:t>Key words:</w:t>
      </w:r>
      <w:r w:rsidRPr="00B7408D">
        <w:rPr>
          <w:rFonts w:ascii="Book Antiqua" w:hAnsi="Book Antiqua" w:cs="Arial"/>
          <w:lang w:val="en-US"/>
        </w:rPr>
        <w:t xml:space="preserve"> </w:t>
      </w:r>
      <w:bookmarkStart w:id="3" w:name="OLE_LINK6"/>
      <w:r w:rsidRPr="00B7408D">
        <w:rPr>
          <w:rFonts w:ascii="Book Antiqua" w:hAnsi="Book Antiqua" w:cs="Arial"/>
          <w:lang w:val="en-US"/>
        </w:rPr>
        <w:t>Olive oil</w:t>
      </w:r>
      <w:bookmarkEnd w:id="3"/>
      <w:r w:rsidRPr="00B7408D">
        <w:rPr>
          <w:rFonts w:ascii="Book Antiqua" w:hAnsi="Book Antiqua" w:cs="Arial"/>
          <w:lang w:val="en-US"/>
        </w:rPr>
        <w:t xml:space="preserve">; </w:t>
      </w:r>
      <w:bookmarkStart w:id="4" w:name="OLE_LINK7"/>
      <w:r w:rsidRPr="00B7408D">
        <w:rPr>
          <w:rFonts w:ascii="Book Antiqua" w:hAnsi="Book Antiqua" w:cs="Arial"/>
          <w:lang w:val="en-US"/>
        </w:rPr>
        <w:t>Mesenchymal stem cells</w:t>
      </w:r>
      <w:bookmarkEnd w:id="4"/>
      <w:r w:rsidRPr="00B7408D">
        <w:rPr>
          <w:rFonts w:ascii="Book Antiqua" w:hAnsi="Book Antiqua" w:cs="Arial"/>
          <w:lang w:val="en-US"/>
        </w:rPr>
        <w:t xml:space="preserve">; </w:t>
      </w:r>
      <w:bookmarkStart w:id="5" w:name="OLE_LINK8"/>
      <w:r w:rsidRPr="00B7408D">
        <w:rPr>
          <w:rFonts w:ascii="Book Antiqua" w:hAnsi="Book Antiqua" w:cs="Arial"/>
          <w:lang w:val="en-US"/>
        </w:rPr>
        <w:t>Cellular differentiation</w:t>
      </w:r>
      <w:bookmarkEnd w:id="5"/>
      <w:r w:rsidRPr="00B7408D">
        <w:rPr>
          <w:rFonts w:ascii="Book Antiqua" w:hAnsi="Book Antiqua" w:cs="Arial"/>
          <w:lang w:val="en-US"/>
        </w:rPr>
        <w:t xml:space="preserve">; </w:t>
      </w:r>
      <w:bookmarkStart w:id="6" w:name="OLE_LINK9"/>
      <w:r w:rsidRPr="00B7408D">
        <w:rPr>
          <w:rFonts w:ascii="Book Antiqua" w:hAnsi="Book Antiqua" w:cs="Arial"/>
          <w:lang w:val="en-US"/>
        </w:rPr>
        <w:t>Aging</w:t>
      </w:r>
      <w:bookmarkEnd w:id="6"/>
      <w:r w:rsidRPr="00B7408D">
        <w:rPr>
          <w:rFonts w:ascii="Book Antiqua" w:hAnsi="Book Antiqua" w:cs="Arial"/>
          <w:lang w:val="en-US"/>
        </w:rPr>
        <w:t xml:space="preserve">; </w:t>
      </w:r>
      <w:bookmarkStart w:id="7" w:name="OLE_LINK10"/>
      <w:r w:rsidRPr="00B7408D">
        <w:rPr>
          <w:rFonts w:ascii="Book Antiqua" w:hAnsi="Book Antiqua" w:cs="Arial"/>
          <w:lang w:val="en-US"/>
        </w:rPr>
        <w:t>Cellular niche</w:t>
      </w:r>
      <w:bookmarkEnd w:id="7"/>
      <w:r w:rsidRPr="00B7408D">
        <w:rPr>
          <w:rFonts w:ascii="Book Antiqua" w:hAnsi="Book Antiqua" w:cs="Arial"/>
          <w:lang w:val="en-US"/>
        </w:rPr>
        <w:t xml:space="preserve">; </w:t>
      </w:r>
      <w:bookmarkStart w:id="8" w:name="OLE_LINK11"/>
      <w:r w:rsidRPr="00B7408D">
        <w:rPr>
          <w:rFonts w:ascii="Book Antiqua" w:hAnsi="Book Antiqua" w:cs="Arial"/>
          <w:lang w:val="en-US"/>
        </w:rPr>
        <w:t>Mediterranean diet</w:t>
      </w:r>
      <w:bookmarkEnd w:id="8"/>
    </w:p>
    <w:p w14:paraId="7AF9711A" w14:textId="77777777" w:rsidR="006A0C4B" w:rsidRPr="00B7408D" w:rsidRDefault="006A0C4B" w:rsidP="006A0C4B">
      <w:pPr>
        <w:snapToGrid w:val="0"/>
        <w:spacing w:line="360" w:lineRule="auto"/>
        <w:jc w:val="both"/>
        <w:rPr>
          <w:rFonts w:ascii="Book Antiqua" w:hAnsi="Book Antiqua" w:cs="Arial"/>
          <w:lang w:val="en-US"/>
        </w:rPr>
      </w:pPr>
    </w:p>
    <w:p w14:paraId="4E74E516" w14:textId="77777777" w:rsidR="006A0C4B" w:rsidRPr="00B7408D" w:rsidRDefault="006A0C4B" w:rsidP="006A0C4B">
      <w:pPr>
        <w:spacing w:line="360" w:lineRule="auto"/>
        <w:jc w:val="both"/>
        <w:rPr>
          <w:rFonts w:ascii="Book Antiqua" w:hAnsi="Book Antiqua" w:cs="Times New Roman"/>
          <w:lang w:val="en-US"/>
        </w:rPr>
      </w:pPr>
      <w:r w:rsidRPr="00B7408D">
        <w:rPr>
          <w:rFonts w:ascii="Book Antiqua" w:hAnsi="Book Antiqua"/>
          <w:b/>
          <w:color w:val="000000"/>
          <w:lang w:val="en-US"/>
        </w:rPr>
        <w:t xml:space="preserve">© </w:t>
      </w:r>
      <w:r w:rsidRPr="00B7408D">
        <w:rPr>
          <w:rFonts w:ascii="Book Antiqua" w:eastAsia="AdvTimes" w:hAnsi="Book Antiqua" w:cs="AdvTimes"/>
          <w:b/>
          <w:color w:val="000000"/>
          <w:lang w:val="en-US"/>
        </w:rPr>
        <w:t>The Author(s) 201</w:t>
      </w:r>
      <w:r w:rsidRPr="00B7408D">
        <w:rPr>
          <w:rFonts w:ascii="Book Antiqua" w:hAnsi="Book Antiqua" w:cs="AdvTimes"/>
          <w:b/>
          <w:color w:val="000000"/>
          <w:lang w:val="en-US"/>
        </w:rPr>
        <w:t>9</w:t>
      </w:r>
      <w:r w:rsidRPr="00B7408D">
        <w:rPr>
          <w:rFonts w:ascii="Book Antiqua" w:eastAsia="AdvTimes" w:hAnsi="Book Antiqua" w:cs="AdvTimes"/>
          <w:b/>
          <w:color w:val="000000"/>
          <w:lang w:val="en-US"/>
        </w:rPr>
        <w:t>.</w:t>
      </w:r>
      <w:r w:rsidRPr="00B7408D">
        <w:rPr>
          <w:rFonts w:ascii="Book Antiqua" w:eastAsia="AdvTimes" w:hAnsi="Book Antiqua" w:cs="AdvTimes"/>
          <w:color w:val="000000"/>
          <w:lang w:val="en-US"/>
        </w:rPr>
        <w:t xml:space="preserve"> Published by </w:t>
      </w:r>
      <w:proofErr w:type="spellStart"/>
      <w:r w:rsidRPr="00B7408D">
        <w:rPr>
          <w:rFonts w:ascii="Book Antiqua" w:hAnsi="Book Antiqua" w:cs="Arial Unicode MS"/>
          <w:color w:val="000000"/>
          <w:lang w:val="en-US"/>
        </w:rPr>
        <w:t>Baishideng</w:t>
      </w:r>
      <w:proofErr w:type="spellEnd"/>
      <w:r w:rsidRPr="00B7408D">
        <w:rPr>
          <w:rFonts w:ascii="Book Antiqua" w:hAnsi="Book Antiqua" w:cs="Arial Unicode MS"/>
          <w:color w:val="000000"/>
          <w:lang w:val="en-US"/>
        </w:rPr>
        <w:t xml:space="preserve"> Publishing Group Inc.</w:t>
      </w:r>
      <w:r w:rsidRPr="00B7408D">
        <w:rPr>
          <w:rFonts w:ascii="Book Antiqua" w:hAnsi="Book Antiqua" w:cs="Arial Unicode MS"/>
          <w:lang w:val="en-US"/>
        </w:rPr>
        <w:t xml:space="preserve"> All rights reserved.</w:t>
      </w:r>
    </w:p>
    <w:p w14:paraId="75855388" w14:textId="77777777" w:rsidR="006A0C4B" w:rsidRPr="00B7408D" w:rsidRDefault="006A0C4B" w:rsidP="006A0C4B">
      <w:pPr>
        <w:snapToGrid w:val="0"/>
        <w:spacing w:line="360" w:lineRule="auto"/>
        <w:jc w:val="both"/>
        <w:rPr>
          <w:rFonts w:ascii="Book Antiqua" w:hAnsi="Book Antiqua" w:cs="Arial"/>
          <w:lang w:val="en-US"/>
        </w:rPr>
      </w:pPr>
    </w:p>
    <w:p w14:paraId="16E280BE" w14:textId="77777777" w:rsidR="006A0C4B" w:rsidRPr="00B7408D" w:rsidRDefault="006A0C4B" w:rsidP="006A0C4B">
      <w:pPr>
        <w:snapToGrid w:val="0"/>
        <w:spacing w:line="360" w:lineRule="auto"/>
        <w:jc w:val="both"/>
        <w:rPr>
          <w:rFonts w:ascii="Book Antiqua" w:hAnsi="Book Antiqua" w:cs="Arial"/>
          <w:lang w:val="en-US"/>
        </w:rPr>
      </w:pPr>
      <w:r w:rsidRPr="00B7408D">
        <w:rPr>
          <w:rFonts w:ascii="Book Antiqua" w:hAnsi="Book Antiqua" w:cs="Arial"/>
          <w:b/>
          <w:lang w:val="en-US"/>
        </w:rPr>
        <w:t>Core tip:</w:t>
      </w:r>
      <w:r w:rsidRPr="00B7408D">
        <w:rPr>
          <w:rFonts w:ascii="Book Antiqua" w:hAnsi="Book Antiqua" w:cs="Arial"/>
          <w:lang w:val="en-US"/>
        </w:rPr>
        <w:t xml:space="preserve"> Extra virgin olive oil consumption is healthy and prevents unwanted effects of aging. Mesenchymal stem cell (MSC) populations may be positively affected by olive oil components, through their antioxidant capacity and interactions with cell signaling pathways, accounting for at least part of olive oil’s beneficial health effects. In the absence of specific studies on olive oil and </w:t>
      </w:r>
      <w:r w:rsidRPr="00B7408D">
        <w:rPr>
          <w:rFonts w:ascii="Book Antiqua" w:hAnsi="Book Antiqua" w:cs="Arial"/>
          <w:lang w:val="en-US"/>
        </w:rPr>
        <w:lastRenderedPageBreak/>
        <w:t>MSCs, the objective of this work is to provide a critical review of the current information on how compounds that are part of extra virgin olive oil, including residues of fatty acids, vitamins, squalene, triterpenes, pigments and phenols, affect MSC maintenance and differentiation.</w:t>
      </w:r>
    </w:p>
    <w:p w14:paraId="0A71C814" w14:textId="77777777" w:rsidR="006A0C4B" w:rsidRPr="00B7408D" w:rsidRDefault="006A0C4B" w:rsidP="006A0C4B">
      <w:pPr>
        <w:snapToGrid w:val="0"/>
        <w:spacing w:line="360" w:lineRule="auto"/>
        <w:jc w:val="both"/>
        <w:rPr>
          <w:rFonts w:ascii="Book Antiqua" w:hAnsi="Book Antiqua" w:cs="Arial"/>
          <w:lang w:val="en-US"/>
        </w:rPr>
      </w:pPr>
    </w:p>
    <w:p w14:paraId="2E27B524" w14:textId="34159302" w:rsidR="006A0C4B" w:rsidRPr="00B7408D" w:rsidRDefault="006A0C4B" w:rsidP="006A0C4B">
      <w:pPr>
        <w:snapToGrid w:val="0"/>
        <w:spacing w:line="360" w:lineRule="auto"/>
        <w:jc w:val="both"/>
        <w:rPr>
          <w:rFonts w:ascii="Book Antiqua" w:hAnsi="Book Antiqua" w:cs="Arial"/>
          <w:lang w:val="en-US"/>
        </w:rPr>
      </w:pPr>
      <w:r w:rsidRPr="00B7408D">
        <w:rPr>
          <w:rFonts w:ascii="Book Antiqua" w:hAnsi="Book Antiqua" w:cs="Arial"/>
        </w:rPr>
        <w:t>Casado-Díaz</w:t>
      </w:r>
      <w:r w:rsidRPr="00B7408D">
        <w:rPr>
          <w:rFonts w:ascii="Book Antiqua" w:hAnsi="Book Antiqua"/>
        </w:rPr>
        <w:t xml:space="preserve"> A, Dorado G, </w:t>
      </w:r>
      <w:r w:rsidRPr="00B7408D">
        <w:rPr>
          <w:rFonts w:ascii="Book Antiqua" w:hAnsi="Book Antiqua" w:cs="Arial"/>
        </w:rPr>
        <w:t>Quesada-Gómez JM.</w:t>
      </w:r>
      <w:r w:rsidRPr="00B7408D">
        <w:rPr>
          <w:rFonts w:ascii="Book Antiqua" w:hAnsi="Book Antiqua"/>
        </w:rPr>
        <w:t xml:space="preserve"> </w:t>
      </w:r>
      <w:r w:rsidRPr="00B7408D">
        <w:rPr>
          <w:rFonts w:ascii="Book Antiqua" w:hAnsi="Book Antiqua" w:cs="Arial"/>
          <w:lang w:val="en-US"/>
        </w:rPr>
        <w:t xml:space="preserve">Influence of olive oil and its components on mesenchymal stem cell biology. </w:t>
      </w:r>
      <w:r w:rsidRPr="00B7408D">
        <w:rPr>
          <w:rFonts w:ascii="Book Antiqua" w:hAnsi="Book Antiqua" w:cs="Arial"/>
          <w:i/>
          <w:lang w:val="en-US"/>
        </w:rPr>
        <w:t>World J Stem Cells</w:t>
      </w:r>
      <w:r w:rsidRPr="00B7408D">
        <w:rPr>
          <w:rFonts w:ascii="Book Antiqua" w:hAnsi="Book Antiqua" w:cs="Arial"/>
          <w:lang w:val="en-US"/>
        </w:rPr>
        <w:t xml:space="preserve"> </w:t>
      </w:r>
      <w:r w:rsidR="001F2900" w:rsidRPr="00B7408D">
        <w:rPr>
          <w:rFonts w:ascii="Book Antiqua" w:hAnsi="Book Antiqua" w:cs="Arial"/>
          <w:lang w:val="en-US"/>
        </w:rPr>
        <w:t xml:space="preserve">2019; 11(12): </w:t>
      </w:r>
      <w:r w:rsidR="00B7408D">
        <w:rPr>
          <w:rFonts w:ascii="Book Antiqua" w:hAnsi="Book Antiqua" w:cs="Arial" w:hint="eastAsia"/>
          <w:lang w:val="en-US"/>
        </w:rPr>
        <w:t>1045</w:t>
      </w:r>
      <w:r w:rsidR="001F2900" w:rsidRPr="00B7408D">
        <w:rPr>
          <w:rFonts w:ascii="Book Antiqua" w:hAnsi="Book Antiqua" w:cs="Arial"/>
          <w:lang w:val="en-US"/>
        </w:rPr>
        <w:t>-</w:t>
      </w:r>
      <w:r w:rsidR="00B7408D">
        <w:rPr>
          <w:rFonts w:ascii="Book Antiqua" w:hAnsi="Book Antiqua" w:cs="Arial" w:hint="eastAsia"/>
          <w:lang w:val="en-US"/>
        </w:rPr>
        <w:t>1064</w:t>
      </w:r>
      <w:r w:rsidR="001F2900" w:rsidRPr="00B7408D">
        <w:rPr>
          <w:rFonts w:ascii="Book Antiqua" w:hAnsi="Book Antiqua" w:cs="Arial"/>
          <w:lang w:val="en-US"/>
        </w:rPr>
        <w:t xml:space="preserve"> URL: https://www.wjgnet.com/1948-0210/full/v11/i12/</w:t>
      </w:r>
      <w:r w:rsidR="00B7408D">
        <w:rPr>
          <w:rFonts w:ascii="Book Antiqua" w:hAnsi="Book Antiqua" w:cs="Arial" w:hint="eastAsia"/>
          <w:lang w:val="en-US"/>
        </w:rPr>
        <w:t>1045</w:t>
      </w:r>
      <w:r w:rsidR="001F2900" w:rsidRPr="00B7408D">
        <w:rPr>
          <w:rFonts w:ascii="Book Antiqua" w:hAnsi="Book Antiqua" w:cs="Arial"/>
          <w:lang w:val="en-US"/>
        </w:rPr>
        <w:t>.htm DOI: https://dx.doi.org/10.4252/wj</w:t>
      </w:r>
      <w:r w:rsidR="00F10F2F">
        <w:rPr>
          <w:rFonts w:ascii="Book Antiqua" w:hAnsi="Book Antiqua" w:cs="Arial" w:hint="eastAsia"/>
          <w:lang w:val="en-US"/>
        </w:rPr>
        <w:t>sc</w:t>
      </w:r>
      <w:bookmarkStart w:id="9" w:name="_GoBack"/>
      <w:bookmarkEnd w:id="9"/>
      <w:r w:rsidR="001F2900" w:rsidRPr="00B7408D">
        <w:rPr>
          <w:rFonts w:ascii="Book Antiqua" w:hAnsi="Book Antiqua" w:cs="Arial"/>
          <w:lang w:val="en-US"/>
        </w:rPr>
        <w:t>.v11.i12.</w:t>
      </w:r>
      <w:r w:rsidR="00B7408D">
        <w:rPr>
          <w:rFonts w:ascii="Book Antiqua" w:hAnsi="Book Antiqua" w:cs="Arial" w:hint="eastAsia"/>
          <w:lang w:val="en-US"/>
        </w:rPr>
        <w:t>1045</w:t>
      </w:r>
    </w:p>
    <w:p w14:paraId="445CE4B8" w14:textId="77777777" w:rsidR="006A0C4B" w:rsidRPr="00B7408D" w:rsidRDefault="006A0C4B" w:rsidP="006A0C4B">
      <w:pPr>
        <w:jc w:val="both"/>
        <w:rPr>
          <w:rFonts w:ascii="Book Antiqua" w:hAnsi="Book Antiqua" w:cs="Arial"/>
          <w:b/>
          <w:bCs/>
          <w:lang w:val="en-US"/>
        </w:rPr>
      </w:pPr>
      <w:bookmarkStart w:id="10" w:name="_Hlk7626607"/>
      <w:bookmarkEnd w:id="2"/>
      <w:r w:rsidRPr="00B7408D">
        <w:rPr>
          <w:rFonts w:ascii="Book Antiqua" w:hAnsi="Book Antiqua" w:cs="Arial"/>
          <w:b/>
          <w:bCs/>
          <w:lang w:val="en-US"/>
        </w:rPr>
        <w:br w:type="page"/>
      </w:r>
    </w:p>
    <w:p w14:paraId="3ABF3AFD" w14:textId="77777777" w:rsidR="006A0C4B" w:rsidRPr="00B7408D" w:rsidRDefault="006A0C4B" w:rsidP="006A0C4B">
      <w:pPr>
        <w:snapToGrid w:val="0"/>
        <w:spacing w:line="360" w:lineRule="auto"/>
        <w:jc w:val="both"/>
        <w:rPr>
          <w:rFonts w:ascii="Book Antiqua" w:hAnsi="Book Antiqua" w:cs="Arial"/>
          <w:b/>
          <w:bCs/>
          <w:lang w:val="en-US"/>
        </w:rPr>
      </w:pPr>
      <w:r w:rsidRPr="00B7408D">
        <w:rPr>
          <w:rFonts w:ascii="Book Antiqua" w:hAnsi="Book Antiqua" w:cs="Arial"/>
          <w:b/>
          <w:bCs/>
          <w:lang w:val="en-US"/>
        </w:rPr>
        <w:lastRenderedPageBreak/>
        <w:t>INTRODUCTION</w:t>
      </w:r>
    </w:p>
    <w:p w14:paraId="5546D513" w14:textId="27979361" w:rsidR="006A0C4B" w:rsidRPr="00B7408D" w:rsidRDefault="006A0C4B" w:rsidP="006A0C4B">
      <w:pPr>
        <w:snapToGrid w:val="0"/>
        <w:spacing w:line="360" w:lineRule="auto"/>
        <w:jc w:val="both"/>
        <w:rPr>
          <w:rFonts w:ascii="Book Antiqua" w:hAnsi="Book Antiqua" w:cs="Arial"/>
          <w:lang w:val="en-US"/>
        </w:rPr>
      </w:pPr>
      <w:r w:rsidRPr="00B7408D">
        <w:rPr>
          <w:rFonts w:ascii="Book Antiqua" w:hAnsi="Book Antiqua" w:cs="Arial"/>
          <w:lang w:val="en-US"/>
        </w:rPr>
        <w:t xml:space="preserve">Olive oil is obtained from olives, which are the fruits of the olive tree. Depending on the extraction method and fruit quality, different oils can be produced: </w:t>
      </w:r>
      <w:r w:rsidR="007E2849" w:rsidRPr="00B7408D">
        <w:rPr>
          <w:rFonts w:ascii="Book Antiqua" w:hAnsi="Book Antiqua" w:cs="Arial"/>
          <w:lang w:val="en-US"/>
        </w:rPr>
        <w:t>(</w:t>
      </w:r>
      <w:r w:rsidR="007E2849" w:rsidRPr="00B7408D">
        <w:rPr>
          <w:rFonts w:ascii="Book Antiqua" w:hAnsi="Book Antiqua" w:cs="Arial"/>
          <w:iCs/>
          <w:lang w:val="en-US"/>
        </w:rPr>
        <w:t>1</w:t>
      </w:r>
      <w:r w:rsidRPr="00B7408D">
        <w:rPr>
          <w:rFonts w:ascii="Book Antiqua" w:hAnsi="Book Antiqua" w:cs="Arial"/>
          <w:lang w:val="en-US"/>
        </w:rPr>
        <w:t xml:space="preserve">) </w:t>
      </w:r>
      <w:r w:rsidR="007E2849" w:rsidRPr="00B7408D">
        <w:rPr>
          <w:rFonts w:ascii="Book Antiqua" w:hAnsi="Book Antiqua" w:cs="Arial"/>
          <w:lang w:val="en-US"/>
        </w:rPr>
        <w:t>E</w:t>
      </w:r>
      <w:r w:rsidRPr="00B7408D">
        <w:rPr>
          <w:rFonts w:ascii="Book Antiqua" w:hAnsi="Book Antiqua" w:cs="Arial"/>
          <w:lang w:val="en-US"/>
        </w:rPr>
        <w:t xml:space="preserve">xtra virgin olive oil, resulting from the first pressing of olives, harvested the same day, to avoid spoilage. Extraction is mechanical only, at temperatures below 28 °C, with acidity (content of free fatty acids) below 0.8%. Such oil retains the highest amount of hydrophilic compounds, including both simple and complex phenols, as well as lignans. The total content of polyphenols is about 55 mg/100 g for this oil; </w:t>
      </w:r>
      <w:r w:rsidR="007E2849" w:rsidRPr="00B7408D">
        <w:rPr>
          <w:rFonts w:ascii="Book Antiqua" w:hAnsi="Book Antiqua" w:cs="Arial"/>
          <w:lang w:val="en-US"/>
        </w:rPr>
        <w:t>(</w:t>
      </w:r>
      <w:r w:rsidR="007E2849" w:rsidRPr="00B7408D">
        <w:rPr>
          <w:rFonts w:ascii="Book Antiqua" w:hAnsi="Book Antiqua" w:cs="Arial"/>
          <w:iCs/>
          <w:lang w:val="en-US"/>
        </w:rPr>
        <w:t>2</w:t>
      </w:r>
      <w:r w:rsidRPr="00B7408D">
        <w:rPr>
          <w:rFonts w:ascii="Book Antiqua" w:hAnsi="Book Antiqua" w:cs="Arial"/>
          <w:lang w:val="en-US"/>
        </w:rPr>
        <w:t xml:space="preserve">) </w:t>
      </w:r>
      <w:r w:rsidR="007E2849" w:rsidRPr="00B7408D">
        <w:rPr>
          <w:rFonts w:ascii="Book Antiqua" w:hAnsi="Book Antiqua" w:cs="Arial"/>
          <w:lang w:val="en-US"/>
        </w:rPr>
        <w:t>V</w:t>
      </w:r>
      <w:r w:rsidRPr="00B7408D">
        <w:rPr>
          <w:rFonts w:ascii="Book Antiqua" w:hAnsi="Book Antiqua" w:cs="Arial"/>
          <w:lang w:val="en-US"/>
        </w:rPr>
        <w:t>irgin olive oil is similar to the previous one but with slightly higher acidity, below 2%. It also contains a high amount of hydrophilic phenolic compounds, albeit less than half of the previous one (</w:t>
      </w:r>
      <w:r w:rsidR="00A07220" w:rsidRPr="00B7408D">
        <w:rPr>
          <w:rFonts w:ascii="Book Antiqua" w:hAnsi="Book Antiqua" w:cs="Arial" w:hint="eastAsia"/>
          <w:lang w:val="en-US"/>
        </w:rPr>
        <w:t xml:space="preserve">about </w:t>
      </w:r>
      <w:r w:rsidRPr="00B7408D">
        <w:rPr>
          <w:rFonts w:ascii="Book Antiqua" w:hAnsi="Book Antiqua" w:cs="Arial"/>
          <w:lang w:val="en-US"/>
        </w:rPr>
        <w:t xml:space="preserve">21 mg/100 g); </w:t>
      </w:r>
      <w:r w:rsidR="007E2849" w:rsidRPr="00B7408D">
        <w:rPr>
          <w:rFonts w:ascii="Book Antiqua" w:hAnsi="Book Antiqua" w:cs="Arial"/>
          <w:lang w:val="en-US"/>
        </w:rPr>
        <w:t>(</w:t>
      </w:r>
      <w:r w:rsidR="007E2849" w:rsidRPr="00B7408D">
        <w:rPr>
          <w:rFonts w:ascii="Book Antiqua" w:hAnsi="Book Antiqua" w:cs="Arial"/>
          <w:iCs/>
          <w:lang w:val="en-US"/>
        </w:rPr>
        <w:t>3</w:t>
      </w:r>
      <w:r w:rsidRPr="00B7408D">
        <w:rPr>
          <w:rFonts w:ascii="Book Antiqua" w:hAnsi="Book Antiqua" w:cs="Arial"/>
          <w:lang w:val="en-US"/>
        </w:rPr>
        <w:t xml:space="preserve">) </w:t>
      </w:r>
      <w:r w:rsidR="007E2849" w:rsidRPr="00B7408D">
        <w:rPr>
          <w:rFonts w:ascii="Book Antiqua" w:hAnsi="Book Antiqua" w:cs="Arial"/>
          <w:lang w:val="en-US"/>
        </w:rPr>
        <w:t>R</w:t>
      </w:r>
      <w:r w:rsidRPr="00B7408D">
        <w:rPr>
          <w:rFonts w:ascii="Book Antiqua" w:hAnsi="Book Antiqua" w:cs="Arial"/>
          <w:lang w:val="en-US"/>
        </w:rPr>
        <w:t>efined olive oil is obtained from olive pulp (generated after first pressing), using chemicals (acids and bases) and higher temperatures than the former ones. It has lower phenolic content, without significant antioxidant capacity; and finally</w:t>
      </w:r>
      <w:r w:rsidR="00A07220" w:rsidRPr="00B7408D">
        <w:rPr>
          <w:rFonts w:ascii="Book Antiqua" w:hAnsi="Book Antiqua" w:cs="Arial" w:hint="eastAsia"/>
          <w:lang w:val="en-US"/>
        </w:rPr>
        <w:t>;</w:t>
      </w:r>
      <w:r w:rsidRPr="00B7408D">
        <w:rPr>
          <w:rFonts w:ascii="Book Antiqua" w:hAnsi="Book Antiqua" w:cs="Arial"/>
          <w:lang w:val="en-US"/>
        </w:rPr>
        <w:t xml:space="preserve"> </w:t>
      </w:r>
      <w:r w:rsidR="00A07220" w:rsidRPr="00B7408D">
        <w:rPr>
          <w:rFonts w:ascii="Book Antiqua" w:hAnsi="Book Antiqua" w:cs="Arial" w:hint="eastAsia"/>
          <w:lang w:val="en-US"/>
        </w:rPr>
        <w:t xml:space="preserve">and </w:t>
      </w:r>
      <w:r w:rsidR="007E2849" w:rsidRPr="00B7408D">
        <w:rPr>
          <w:rFonts w:ascii="Book Antiqua" w:hAnsi="Book Antiqua" w:cs="Arial"/>
          <w:lang w:val="en-US"/>
        </w:rPr>
        <w:t>(</w:t>
      </w:r>
      <w:r w:rsidR="007E2849" w:rsidRPr="00B7408D">
        <w:rPr>
          <w:rFonts w:ascii="Book Antiqua" w:hAnsi="Book Antiqua" w:cs="Arial"/>
          <w:iCs/>
          <w:lang w:val="en-US"/>
        </w:rPr>
        <w:t>4</w:t>
      </w:r>
      <w:r w:rsidRPr="00B7408D">
        <w:rPr>
          <w:rFonts w:ascii="Book Antiqua" w:hAnsi="Book Antiqua" w:cs="Arial"/>
          <w:lang w:val="en-US"/>
        </w:rPr>
        <w:t xml:space="preserve">) </w:t>
      </w:r>
      <w:r w:rsidR="007E2849" w:rsidRPr="00B7408D">
        <w:rPr>
          <w:rFonts w:ascii="Book Antiqua" w:hAnsi="Book Antiqua" w:cs="Arial"/>
          <w:lang w:val="en-US"/>
        </w:rPr>
        <w:t>O</w:t>
      </w:r>
      <w:r w:rsidRPr="00B7408D">
        <w:rPr>
          <w:rFonts w:ascii="Book Antiqua" w:hAnsi="Book Antiqua" w:cs="Arial"/>
          <w:lang w:val="en-US"/>
        </w:rPr>
        <w:t>live pomace oil, produced from olive pulp and skin remains from the previous processes. Hexane is used as solvent, being further refined. It has the lowest antioxidant activity and is of less quality than the previous three.</w:t>
      </w:r>
    </w:p>
    <w:p w14:paraId="19691997" w14:textId="410B70A1" w:rsidR="006A0C4B" w:rsidRPr="00B7408D" w:rsidRDefault="006A0C4B" w:rsidP="007E2849">
      <w:pPr>
        <w:snapToGrid w:val="0"/>
        <w:spacing w:line="360" w:lineRule="auto"/>
        <w:ind w:firstLineChars="100" w:firstLine="240"/>
        <w:jc w:val="both"/>
        <w:rPr>
          <w:rFonts w:ascii="Book Antiqua" w:hAnsi="Book Antiqua" w:cs="Arial"/>
          <w:lang w:val="en-US"/>
        </w:rPr>
      </w:pPr>
      <w:r w:rsidRPr="00B7408D">
        <w:rPr>
          <w:rFonts w:ascii="Book Antiqua" w:hAnsi="Book Antiqua" w:cs="Arial"/>
          <w:lang w:val="en-US"/>
        </w:rPr>
        <w:t>Olive oil is a fundamental component of the Mediterranean diet and is associated with human health benefits</w:t>
      </w:r>
      <w:r w:rsidRPr="00B7408D">
        <w:rPr>
          <w:rFonts w:ascii="Book Antiqua" w:hAnsi="Book Antiqua" w:cs="Arial"/>
          <w:lang w:val="en-US"/>
        </w:rPr>
        <w:fldChar w:fldCharType="begin" w:fldLock="1"/>
      </w:r>
      <w:r w:rsidRPr="00B7408D">
        <w:rPr>
          <w:rFonts w:ascii="Book Antiqua" w:hAnsi="Book Antiqua" w:cs="Arial"/>
          <w:lang w:val="en-US"/>
        </w:rPr>
        <w:instrText>ADDIN CSL_CITATION {"citationItems":[{"id":"ITEM-1","itemData":{"DOI":"10.1016/j.numecd.2018.04.004","ISSN":"15903729","PMID":"29804831","abstract":"Olive oil is the foremost source of fat in the Mediterranean area and, among other features, sets the Mediterranean diet apart from other dietary regimens. In January 2018, the International Olive Council convened several worldwide experts at the Robert Mondavi Institute (Davis, CA), to discuss and summarize the available data on the effects of olive oil consumption on human health. In this paper, we critically provide a synthesis of the main reported findings, which underscore how and why consuming this oil as part of a balanced diet and healthful lifestyle improves prognosis and extends life- and health-spans.","author":[{"dropping-particle":"","family":"Visioli","given":"F.","non-dropping-particle":"","parse-names":false,"suffix":""},{"dropping-particle":"","family":"Franco","given":"M.","non-dropping-particle":"","parse-names":false,"suffix":""},{"dropping-particle":"","family":"Toledo","given":"E.","non-dropping-particle":"","parse-names":false,"suffix":""},{"dropping-particle":"","family":"Luchsinger","given":"J.","non-dropping-particle":"","parse-names":false,"suffix":""},{"dropping-particle":"","family":"Willett","given":"W. C.","non-dropping-particle":"","parse-names":false,"suffix":""},{"dropping-particle":"","family":"Hu","given":"F. B.","non-dropping-particle":"","parse-names":false,"suffix":""},{"dropping-particle":"","family":"Martinez-Gonzalez","given":"M. A.","non-dropping-particle":"","parse-names":false,"suffix":""}],"container-title":"Nutrition, Metabolism and Cardiovascular Diseases","id":"ITEM-1","issue":"7","issued":{"date-parts":[["2018"]]},"page":"649-656","title":"Olive oil and prevention of chronic diseases: Summary of an International conference","type":"article-journal","volume":"28"},"uris":["http://www.mendeley.com/documents/?uuid=673bb9a4-2abf-4f05-b38d-3c19174ed2c3"]},{"id":"ITEM-2","itemData":{"DOI":"10.1080/10408398.2011.626874","ISBN":"1549-7852 (Electronic) 1040-8398 (Linking)","ISSN":"1549-7852","PMID":"24499124","abstract":"The olive tree (Olea europaea) is widely cultivated for the production of both oil and table olives and very significant because of its economic value. Olive and olive oil, a traditional food product with thousands of years of history, are the essential components of the Mediterranean diet and are largely consumed in the world. Beside of their economical contribution to national economy, these are an important food in terms of their nutritional value. Olive and olive oil may have a role in the prevention of coronary heart disease and certain cancers because of their high levels of monosaturated fatty acids and phenolic compounds. In addition, olives (Olea europaea L.) and olive oils provide a rich source of natural antioxidants. These make them both fairly stable against auto-oxidation and suitable for human health. The aim of this paper is to define the historical development and nutritional importance of olive and olive oil constituted an important part of the Mediterranean diet.","author":[{"dropping-particle":"","family":"Uylaşer","given":"Vildan","non-dropping-particle":"","parse-names":false,"suffix":""},{"dropping-particle":"","family":"Yildiz","given":"Gökçen","non-dropping-particle":"","parse-names":false,"suffix":""}],"container-title":"Critical reviews in food science and nutrition","id":"ITEM-2","issue":"8","issued":{"date-parts":[["2014"]]},"page":"1092-101","title":"The historical development and nutritional importance of olive and olive oil constituted an important part of the Mediterranean diet.","type":"article-journal","volume":"54"},"uris":["http://www.mendeley.com/documents/?uuid=b99ff437-f067-4d3a-a076-274fbd790123"]}],"mendeley":{"formattedCitation":"&lt;sup&gt;[1,2]&lt;/sup&gt;","plainTextFormattedCitation":"[1,2]","previouslyFormattedCitation":"&lt;sup&gt;[1,2]&lt;/sup&gt;"},"properties":{"noteIndex":0},"schema":"https://github.com/citation-style-language/schema/raw/master/csl-citation.json"}</w:instrText>
      </w:r>
      <w:r w:rsidRPr="00B7408D">
        <w:rPr>
          <w:rFonts w:ascii="Book Antiqua" w:hAnsi="Book Antiqua" w:cs="Arial"/>
          <w:lang w:val="en-US"/>
        </w:rPr>
        <w:fldChar w:fldCharType="separate"/>
      </w:r>
      <w:r w:rsidRPr="00B7408D">
        <w:rPr>
          <w:rFonts w:ascii="Book Antiqua" w:hAnsi="Book Antiqua" w:cs="Arial"/>
          <w:vertAlign w:val="superscript"/>
          <w:lang w:val="en-US"/>
        </w:rPr>
        <w:t>[1,2]</w:t>
      </w:r>
      <w:r w:rsidRPr="00B7408D">
        <w:rPr>
          <w:rFonts w:ascii="Book Antiqua" w:hAnsi="Book Antiqua" w:cs="Arial"/>
          <w:lang w:val="en-US"/>
        </w:rPr>
        <w:fldChar w:fldCharType="end"/>
      </w:r>
      <w:r w:rsidRPr="00B7408D">
        <w:rPr>
          <w:rFonts w:ascii="Book Antiqua" w:hAnsi="Book Antiqua" w:cs="Arial"/>
          <w:lang w:val="en-US"/>
        </w:rPr>
        <w:t xml:space="preserve">. This diet was first described by </w:t>
      </w:r>
      <w:proofErr w:type="spellStart"/>
      <w:r w:rsidRPr="00B7408D">
        <w:rPr>
          <w:rFonts w:ascii="Book Antiqua" w:hAnsi="Book Antiqua" w:cs="Arial"/>
          <w:lang w:val="en-US"/>
        </w:rPr>
        <w:t>Ancel</w:t>
      </w:r>
      <w:proofErr w:type="spellEnd"/>
      <w:r w:rsidRPr="00B7408D">
        <w:rPr>
          <w:rFonts w:ascii="Book Antiqua" w:hAnsi="Book Antiqua" w:cs="Arial"/>
          <w:lang w:val="en-US"/>
        </w:rPr>
        <w:t xml:space="preserve"> Keys, and it is based on preferential consumption of unprocessed food from plant origin (</w:t>
      </w:r>
      <w:r w:rsidRPr="00B7408D">
        <w:rPr>
          <w:rFonts w:ascii="Book Antiqua" w:hAnsi="Book Antiqua" w:cs="Arial"/>
          <w:i/>
          <w:lang w:val="en-US"/>
        </w:rPr>
        <w:t>i.e.</w:t>
      </w:r>
      <w:r w:rsidR="007E2849" w:rsidRPr="00B7408D">
        <w:rPr>
          <w:rFonts w:ascii="Book Antiqua" w:hAnsi="Book Antiqua" w:cs="Arial"/>
          <w:iCs/>
          <w:lang w:val="en-US"/>
        </w:rPr>
        <w:t>,</w:t>
      </w:r>
      <w:r w:rsidRPr="00B7408D">
        <w:rPr>
          <w:rFonts w:ascii="Book Antiqua" w:hAnsi="Book Antiqua" w:cs="Arial"/>
          <w:lang w:val="en-US"/>
        </w:rPr>
        <w:t xml:space="preserve"> fruits, vegetables and cereals), fish and poultry meat as the main protein sources, with low consumption of meat, dairy products, eggs and animal grease, and with extra virgin olive oil being the main lipid source</w:t>
      </w:r>
      <w:r w:rsidRPr="00B7408D">
        <w:rPr>
          <w:rFonts w:ascii="Book Antiqua" w:hAnsi="Book Antiqua" w:cs="Arial"/>
          <w:lang w:val="en-US"/>
        </w:rPr>
        <w:fldChar w:fldCharType="begin" w:fldLock="1"/>
      </w:r>
      <w:r w:rsidRPr="00B7408D">
        <w:rPr>
          <w:rFonts w:ascii="Book Antiqua" w:hAnsi="Book Antiqua" w:cs="Arial"/>
          <w:lang w:val="en-US"/>
        </w:rPr>
        <w:instrText>ADDIN CSL_CITATION {"citationItems":[{"id":"ITEM-1","itemData":{"DOI":"10.1177/156482650702800213","ISSN":"0379-5721","PMID":"24683683","abstract":"BACKGROUND For more than 50 years, the traditional Mediterranean diet has been considered health-promoting, but it was not until the mid-1990s that the topic began to receive increased scrutiny and prominence. OBJECTIVE To highlight the health benefits of the Mediterranean diet as documented by studies undertaken mostly within a large countrywide general population cohort in Greece. METHODS The Greek EPIC (European Prospective Investigation into Cancer) cohort, a prospective study based on volunteers from the general population of Greece, and other investigations with converging objectives. In the Greek EPIC cohort of more than 28,000 volunteers being followed for more than 10 years, several findings on the association of diet with chronic diseases have been published in the international scientific literature. RESULTS The traditional Mediterranean diet of Greece is associated with reduced total mortality as well as reduced mortality from coronary heart disease and cancer. It is applicable in other Western populations, where it has also been shown to be inversely related to total mortality. Moreover, the traditional Mediterranean diet may be optimal for patients who have suffered a coronary infarct, and it does not promote obesity. Traditional foods are integral components of the Mediterranean diet and may contribute to its health-promoting attributes. CONCLUSIONS The traditional Mediterranean diet may be an optimal diet both for healthy people and for patients with coronary heart disease and other chronic conditions.","author":[{"dropping-particle":"","family":"Trichopoulou","given":"Antonia","non-dropping-particle":"","parse-names":false,"suffix":""}],"container-title":"Food and nutrition bulletin","id":"ITEM-1","issue":"2","issued":{"date-parts":[["2007","6"]]},"page":"236-40","title":"Mediterranean diet, traditional foods, and health: evidence from the Greek EPIC cohort.","type":"article-journal","volume":"28"},"uris":["http://www.mendeley.com/documents/?uuid=db3fa19b-2853-3bf7-af40-06a9f7319868"]}],"mendeley":{"formattedCitation":"&lt;sup&gt;[3]&lt;/sup&gt;","plainTextFormattedCitation":"[3]","previouslyFormattedCitation":"&lt;sup&gt;[3]&lt;/sup&gt;"},"properties":{"noteIndex":0},"schema":"https://github.com/citation-style-language/schema/raw/master/csl-citation.json"}</w:instrText>
      </w:r>
      <w:r w:rsidRPr="00B7408D">
        <w:rPr>
          <w:rFonts w:ascii="Book Antiqua" w:hAnsi="Book Antiqua" w:cs="Arial"/>
          <w:lang w:val="en-US"/>
        </w:rPr>
        <w:fldChar w:fldCharType="separate"/>
      </w:r>
      <w:r w:rsidRPr="00B7408D">
        <w:rPr>
          <w:rFonts w:ascii="Book Antiqua" w:hAnsi="Book Antiqua" w:cs="Arial"/>
          <w:vertAlign w:val="superscript"/>
          <w:lang w:val="en-US"/>
        </w:rPr>
        <w:t>[3]</w:t>
      </w:r>
      <w:r w:rsidRPr="00B7408D">
        <w:rPr>
          <w:rFonts w:ascii="Book Antiqua" w:hAnsi="Book Antiqua" w:cs="Arial"/>
          <w:lang w:val="en-US"/>
        </w:rPr>
        <w:fldChar w:fldCharType="end"/>
      </w:r>
      <w:r w:rsidRPr="00B7408D">
        <w:rPr>
          <w:rFonts w:ascii="Book Antiqua" w:hAnsi="Book Antiqua" w:cs="Arial"/>
          <w:lang w:val="en-US"/>
        </w:rPr>
        <w:t>. The effects of olive oil on prevention of several diseases have been revealed in cohort studies</w:t>
      </w:r>
      <w:r w:rsidRPr="00B7408D">
        <w:rPr>
          <w:rFonts w:ascii="Book Antiqua" w:hAnsi="Book Antiqua" w:cs="Arial"/>
          <w:lang w:val="en-US"/>
        </w:rPr>
        <w:fldChar w:fldCharType="begin" w:fldLock="1"/>
      </w:r>
      <w:r w:rsidRPr="00B7408D">
        <w:rPr>
          <w:rFonts w:ascii="Book Antiqua" w:hAnsi="Book Antiqua" w:cs="Arial"/>
          <w:lang w:val="en-US"/>
        </w:rPr>
        <w:instrText>ADDIN CSL_CITATION {"citationItems":[{"id":"ITEM-1","itemData":{"DOI":"10.1017/S000711451200298X","ISSN":"1475-2662","PMID":"23006416","abstract":"Olive oil is well known for its cardioprotective properties; however, epidemiological data showing that olive oil consumption reduces incident CHD events are still limited. Therefore, we studied the association between olive oil and CHD in the European Prospective Investigation into Cancer and Nutrition (EPIC) Spanish cohort study. The analysis included 40 142 participants (38 % male), free of CHD events at baseline, recruited from five EPIC-Spain centres from 1992 to 1996 and followed up until 2004. Baseline dietary and lifestyle information was collected using interview-administered questionnaires. Cox proportional regression models were used to assess the relationship between validated incident CHD events and olive oil intake (energy-adjusted quartiles and each 10 g/d per 8368 kJ (2000 kcal) increment), while adjusting for potential confounders. During a 10·4-year follow-up, 587 (79 % male) CHD events were recorded. Olive oil intake was negatively associated with CHD risk after excluding dietary mis-reporters (hazard ratio (HR) 0·93; 95 % CI 0·87, 1·00 for each 10 g/d per 8368 kJ (2000 kcal) and HR 0·78; 95 % CI 0·59, 1·03 for upper v. lower quartile). The inverse association between olive oil intake (per 10 g/d per 8368 kJ (2000 kcal)) and CHD was more pronounced in never smokers (11 % reduced CHD risk (P = 0·048)), in never/low alcohol drinkers (25 % reduced CHD risk (P &lt; 0·001)) and in virgin olive oil consumers (14 % reduced CHD risk (P = 0·072)). In conclusion, olive oil consumption was related to a reduced risk of incident CHD events. This emphasises the need to conserve the traditional culinary use of olive oil within the Mediterranean diet to reduce the CHD burden.","author":[{"dropping-particle":"","family":"Buckland","given":"Genevieve","non-dropping-particle":"","parse-names":false,"suffix":""},{"dropping-particle":"","family":"Travier","given":"Noemie","non-dropping-particle":"","parse-names":false,"suffix":""},{"dropping-particle":"","family":"Barricarte","given":"Aurelio","non-dropping-particle":"","parse-names":false,"suffix":""},{"dropping-particle":"","family":"Ardanaz","given":"Eva","non-dropping-particle":"","parse-names":false,"suffix":""},{"dropping-particle":"","family":"Moreno-Iribas","given":"Conchi","non-dropping-particle":"","parse-names":false,"suffix":""},{"dropping-particle":"","family":"Sánchez","given":"María-José","non-dropping-particle":"","parse-names":false,"suffix":""},{"dropping-particle":"","family":"Molina-Montes","given":"Esther","non-dropping-particle":"","parse-names":false,"suffix":""},{"dropping-particle":"","family":"Chirlaque","given":"María Dolores","non-dropping-particle":"","parse-names":false,"suffix":""},{"dropping-particle":"","family":"Huerta","given":"José María","non-dropping-particle":"","parse-names":false,"suffix":""},{"dropping-particle":"","family":"Navarro","given":"Carmen","non-dropping-particle":"","parse-names":false,"suffix":""},{"dropping-particle":"","family":"Redondo","given":"Maria Luisa","non-dropping-particle":"","parse-names":false,"suffix":""},{"dropping-particle":"","family":"Amiano","given":"Pilar","non-dropping-particle":"","parse-names":false,"suffix":""},{"dropping-particle":"","family":"Dorronsoro","given":"Miren","non-dropping-particle":"","parse-names":false,"suffix":""},{"dropping-particle":"","family":"Larrañaga","given":"Nerea","non-dropping-particle":"","parse-names":false,"suffix":""},{"dropping-particle":"","family":"Gonzalez","given":"Carlos A","non-dropping-particle":"","parse-names":false,"suffix":""}],"container-title":"The British journal of nutrition","id":"ITEM-1","issue":"11","issued":{"date-parts":[["2012","12","14"]]},"page":"2075-82","title":"Olive oil intake and CHD in the European Prospective Investigation into Cancer and Nutrition Spanish cohort.","type":"article-journal","volume":"108"},"uris":["http://www.mendeley.com/documents/?uuid=45537e24-7bbe-3b0c-957a-4ccd79e28d70"]},{"id":"ITEM-2","itemData":{"DOI":"10.1002/ijc.27516","ISSN":"1097-0215","PMID":"22392404","abstract":"Although there is some evidence suggesting that olive oil could reduce breast cancer (BC) risk, the epidemiological data are still relatively limited, not entirely consistent and mainly based on case-control studies. Therefore, we prospectively assessed the association between olive oil and BC risk in postmenopausal women from the Mediterranean cohorts within the European Prospective Investigation into Cancer and Nutrition. The analysis included 62,284 postmenopausal women recruited from Spain, Italy and Greece who had complete dietary data (collected from validated country-specific dietary questionnaires). The risk of BC (overall and by hormone receptor subtypes) was assessed using hazards ratios (HRs) obtained from Cox proportional hazards regression, while adjusting for known BC risk factors. After a mean follow-up of 9 years, 1,256 women were diagnosed with a primary incident invasive BC. The multivariate HRs for BC risk by olive oil intake (highest vs. lowest tertile of g/day/2,000 kcal) were 1.07 (95% CI = 0.91-1.25) in the adjusted model, 1.06 (95% CI = 0.91-1.24) in the model additionally adjusted for reproductive-related factors and 1.10 (95% CI = 0.92-1.31) for the model additionally adjusted for dietary factors. There was no association between olive oil and risk of estrogen or progesterone receptor-positive tumors, but a suggestion of a negative association with estrogens and progesterone receptor-negative tumors. The results from our prospective study showed that olive oil consumption during adult life was not associated with the risk of BC. However, larger prospective studies are still needed to explore possible differences related to hormone receptor status.","author":[{"dropping-particle":"","family":"Buckland","given":"Genevieve","non-dropping-particle":"","parse-names":false,"suffix":""},{"dropping-particle":"","family":"Travier","given":"Noemie","non-dropping-particle":"","parse-names":false,"suffix":""},{"dropping-particle":"","family":"Agudo","given":"Antonio","non-dropping-particle":"","parse-names":false,"suffix":""},{"dropping-particle":"","family":"Fonseca-Nunes","given":"Ana","non-dropping-particle":"","parse-names":false,"suffix":""},{"dropping-particle":"","family":"Navarro","given":"Carmen","non-dropping-particle":"","parse-names":false,"suffix":""},{"dropping-particle":"","family":"Lagiou","given":"Pagona","non-dropping-particle":"","parse-names":false,"suffix":""},{"dropping-particle":"","family":"Demetriou","given":"Christiana","non-dropping-particle":"","parse-names":false,"suffix":""},{"dropping-particle":"","family":"Amiano","given":"Pilar","non-dropping-particle":"","parse-names":false,"suffix":""},{"dropping-particle":"","family":"Dorronsoro","given":"Miren","non-dropping-particle":"","parse-names":false,"suffix":""},{"dropping-particle":"","family":"Chirlaque","given":"María-Dolores","non-dropping-particle":"","parse-names":false,"suffix":""},{"dropping-particle":"","family":"Huerta","given":"José-María","non-dropping-particle":"","parse-names":false,"suffix":""},{"dropping-particle":"","family":"Molina","given":"Esther","non-dropping-particle":"","parse-names":false,"suffix":""},{"dropping-particle":"","family":"Pérez","given":"Maria-José Sánchez","non-dropping-particle":"","parse-names":false,"suffix":""},{"dropping-particle":"","family":"Ardanaz","given":"Eva","non-dropping-particle":"","parse-names":false,"suffix":""},{"dropping-particle":"","family":"Moreno-Iribas","given":"Conchi","non-dropping-particle":"","parse-names":false,"suffix":""},{"dropping-particle":"","family":"Quirós","given":"J Ramón","non-dropping-particle":"","parse-names":false,"suffix":""},{"dropping-particle":"","family":"Naska","given":"Androniki","non-dropping-particle":"","parse-names":false,"suffix":""},{"dropping-particle":"","family":"Trichopoulos","given":"Dimitrios","non-dropping-particle":"","parse-names":false,"suffix":""},{"dropping-particle":"","family":"Giurdanella","given":"Maria Concetta","non-dropping-particle":"","parse-names":false,"suffix":""},{"dropping-particle":"","family":"Tumino","given":"Rosario","non-dropping-particle":"","parse-names":false,"suffix":""},{"dropping-particle":"","family":"Agnoli","given":"Claudia","non-dropping-particle":"","parse-names":false,"suffix":""},{"dropping-particle":"","family":"Grioni","given":"Sara","non-dropping-particle":"","parse-names":false,"suffix":""},{"dropping-particle":"","family":"Panico","given":"Salvatore","non-dropping-particle":"","parse-names":false,"suffix":""},{"dropping-particle":"","family":"Mattiello","given":"Amalia","non-dropping-particle":"","parse-names":false,"suffix":""},{"dropping-particle":"","family":"Masala","given":"Giovanna","non-dropping-particle":"","parse-names":false,"suffix":""},{"dropping-particle":"","family":"Sacerdote","given":"Carlotta","non-dropping-particle":"","parse-names":false,"suffix":""},{"dropping-particle":"","family":"Polidoro","given":"Silvia","non-dropping-particle":"","parse-names":false,"suffix":""},{"dropping-particle":"","family":"Palli","given":"Domenico","non-dropping-particle":"","parse-names":false,"suffix":""},{"dropping-particle":"","family":"Trichopoulou","given":"Antonia","non-dropping-particle":"","parse-names":false,"suffix":""},{"dropping-particle":"","family":"González","given":"Carlos A","non-dropping-particle":"","parse-names":false,"suffix":""}],"container-title":"International journal of cancer","id":"ITEM-2","issue":"10","issued":{"date-parts":[["2012","11","15"]]},"page":"2465-9","title":"Olive oil intake and breast cancer risk in the Mediterranean countries of the European Prospective Investigation into Cancer and Nutrition study.","type":"article-journal","volume":"131"},"uris":["http://www.mendeley.com/documents/?uuid=8ac74f62-0e0c-315f-891b-4b67b9ba2b79"]},{"id":"ITEM-3","itemData":{"DOI":"10.3945/ajcn.111.024216","ISSN":"1938-3207","PMID":"22648725","abstract":"BACKGROUND Olive oil consumption is associated with a decreased risk of several chronic diseases, in particular cardiovascular disease (CVD). However, data on the effects of olive oil on overall mortality are scarce. OBJECTIVE We evaluated the association between olive oil and overall and cause-specific mortality in the Spanish population in the European Prospective Investigation into Cancer and Nutrition (EPIC-Spain). DESIGN A total of 40,622 participants (62% female) aged 29-69 y were recruited from 5 Spanish regions in 1992-1996. The association between olive oil (analyzed as a categorical and continuous variable) and overall and cause-specific mortality (CVD, cancer, and other causes) was analyzed by using Cox proportional hazards regression models adjusted for potential confounders. RESULTS A total of 1915 deaths were reported during 13.4 y of follow-up: 416 CVD deaths, 956 cancer deaths, and 417 deaths from other causes (for 126 deaths the cause was not available). In comparison with nonconsumers, the highest quartile of olive oil consumption was associated with a 26% (95% CI: 13%, 36%) reduction in risk of overall mortality and a 44% (95% CI: 21%, 60%) reduction in CVD mortality. For each increase in olive oil of 10 g · 2000 kcal</w:instrText>
      </w:r>
      <w:r w:rsidRPr="00B7408D">
        <w:rPr>
          <w:rFonts w:ascii="Times New Roman" w:hAnsi="Times New Roman" w:cs="Times New Roman"/>
          <w:lang w:val="en-US"/>
        </w:rPr>
        <w:instrText>⁻</w:instrText>
      </w:r>
      <w:r w:rsidRPr="00B7408D">
        <w:rPr>
          <w:rFonts w:ascii="Book Antiqua" w:hAnsi="Book Antiqua" w:cs="Book Antiqua"/>
          <w:lang w:val="en-US"/>
        </w:rPr>
        <w:instrText>¹</w:instrText>
      </w:r>
      <w:r w:rsidRPr="00B7408D">
        <w:rPr>
          <w:rFonts w:ascii="Book Antiqua" w:hAnsi="Book Antiqua" w:cs="Arial"/>
          <w:lang w:val="en-US"/>
        </w:rPr>
        <w:instrText xml:space="preserve"> </w:instrText>
      </w:r>
      <w:r w:rsidRPr="00B7408D">
        <w:rPr>
          <w:rFonts w:ascii="Book Antiqua" w:hAnsi="Book Antiqua" w:cs="Book Antiqua"/>
          <w:lang w:val="en-US"/>
        </w:rPr>
        <w:instrText>·</w:instrText>
      </w:r>
      <w:r w:rsidRPr="00B7408D">
        <w:rPr>
          <w:rFonts w:ascii="Book Antiqua" w:hAnsi="Book Antiqua" w:cs="Arial"/>
          <w:lang w:val="en-US"/>
        </w:rPr>
        <w:instrText xml:space="preserve"> d</w:instrText>
      </w:r>
      <w:r w:rsidRPr="00B7408D">
        <w:rPr>
          <w:rFonts w:ascii="Times New Roman" w:hAnsi="Times New Roman" w:cs="Times New Roman"/>
          <w:lang w:val="en-US"/>
        </w:rPr>
        <w:instrText>⁻</w:instrText>
      </w:r>
      <w:r w:rsidRPr="00B7408D">
        <w:rPr>
          <w:rFonts w:ascii="Book Antiqua" w:hAnsi="Book Antiqua" w:cs="Book Antiqua"/>
          <w:lang w:val="en-US"/>
        </w:rPr>
        <w:instrText>¹</w:instrText>
      </w:r>
      <w:r w:rsidRPr="00B7408D">
        <w:rPr>
          <w:rFonts w:ascii="Book Antiqua" w:hAnsi="Book Antiqua" w:cs="Arial"/>
          <w:lang w:val="en-US"/>
        </w:rPr>
        <w:instrText>, there was a 7% (95% CI: 3%, 10%) decreased risk of overall mortality and a 13% (95% CI: 6%, 20%) decreased risk of CVD mortality. No significant association was observed between olive oil and cancer mortality. CONCLUSIONS Olive oil was associated with a decreased risk of overall mortality and an important reduction in CVD mortality in this large Mediterranean cohort. This provides further evidence on the beneficial effects of one of the key Mediterranean dietary components.","author":[{"dropping-particle":"","family":"Buckland","given":"Genevieve","non-dropping-particle":"","parse-names":false,"suffix":""},{"dropping-particle":"","family":"Mayén","given":"Ana Lucia","non-dropping-particle":"","parse-names":false,"suffix":""},{"dropping-particle":"","family":"Agudo","given":"Antonio","non-dropping-particle":"","parse-names":false,"suffix":""},{"dropping-particle":"","family":"Travier","given":"Noemie","non-dropping-particle":"","parse-names":false,"suffix":""},{"dropping-particle":"","family":"Navarro","given":"Carmen","non-dropping-particle":"","parse-names":false,"suffix":""},{"dropping-particle":"","family":"Huerta","given":"José María","non-dropping-particle":"","parse-names":false,"suffix":""},{"dropping-particle":"","family":"Chirlaque","given":"María Dolores","non-dropping-particle":"","parse-names":false,"suffix":""},{"dropping-particle":"","family":"Barricarte","given":"Aurelio","non-dropping-particle":"","parse-names":false,"suffix":""},{"dropping-particle":"","family":"Ardanaz","given":"Eva","non-dropping-particle":"","parse-names":false,"suffix":""},{"dropping-particle":"","family":"Moreno-Iribas","given":"Conchi","non-dropping-particle":"","parse-names":false,"suffix":""},{"dropping-particle":"","family":"Marin","given":"Pilar","non-dropping-particle":"","parse-names":false,"suffix":""},{"dropping-particle":"","family":"Quirós","given":"J Ramón","non-dropping-particle":"","parse-names":false,"suffix":""},{"dropping-particle":"","family":"Redondo","given":"María-Luisa","non-dropping-particle":"","parse-names":false,"suffix":""},{"dropping-particle":"","family":"Amiano","given":"Pilar","non-dropping-particle":"","parse-names":false,"suffix":""},{"dropping-particle":"","family":"Dorronsoro","given":"Miren","non-dropping-particle":"","parse-names":false,"suffix":""},{"dropping-particle":"","family":"Arriola","given":"Larraitz","non-dropping-particle":"","parse-names":false,"suffix":""},{"dropping-particle":"","family":"Molina","given":"Esther","non-dropping-particle":"","parse-names":false,"suffix":""},{"dropping-particle":"","family":"Sanchez","given":"María-José","non-dropping-particle":"","parse-names":false,"suffix":""},{"dropping-particle":"","family":"Gonzalez","given":"Carlos A","non-dropping-particle":"","parse-names":false,"suffix":""}],"container-title":"The American journal of clinical nutrition","id":"ITEM-3","issue":"1","issued":{"date-parts":[["2012","7","1"]]},"page":"142-9","title":"Olive oil intake and mortality within the Spanish population (EPIC-Spain).","type":"article-journal","volume":"96"},"uris":["http://www.mendeley.com/documents/?uuid=fabb6533-8d0e-3005-9757-0b55bd93adef"]}],"mendeley":{"formattedCitation":"&lt;sup&gt;[4–6]&lt;/sup&gt;","plainTextFormattedCitation":"[4–6]","previouslyFormattedCitation":"&lt;sup&gt;[4–6]&lt;/sup&gt;"},"properties":{"noteIndex":0},"schema":"https://github.com/citation-style-language/schema/raw/master/csl-citation.json"}</w:instrText>
      </w:r>
      <w:r w:rsidRPr="00B7408D">
        <w:rPr>
          <w:rFonts w:ascii="Book Antiqua" w:hAnsi="Book Antiqua" w:cs="Arial"/>
          <w:lang w:val="en-US"/>
        </w:rPr>
        <w:fldChar w:fldCharType="separate"/>
      </w:r>
      <w:r w:rsidRPr="00B7408D">
        <w:rPr>
          <w:rFonts w:ascii="Book Antiqua" w:hAnsi="Book Antiqua" w:cs="Arial"/>
          <w:vertAlign w:val="superscript"/>
          <w:lang w:val="en-US"/>
        </w:rPr>
        <w:t>[4</w:t>
      </w:r>
      <w:r w:rsidR="007E2849" w:rsidRPr="00B7408D">
        <w:rPr>
          <w:rFonts w:ascii="Book Antiqua" w:hAnsi="Book Antiqua" w:cs="Arial"/>
          <w:vertAlign w:val="superscript"/>
          <w:lang w:val="en-US"/>
        </w:rPr>
        <w:t>-</w:t>
      </w:r>
      <w:r w:rsidRPr="00B7408D">
        <w:rPr>
          <w:rFonts w:ascii="Book Antiqua" w:hAnsi="Book Antiqua" w:cs="Arial"/>
          <w:vertAlign w:val="superscript"/>
          <w:lang w:val="en-US"/>
        </w:rPr>
        <w:t>6]</w:t>
      </w:r>
      <w:r w:rsidRPr="00B7408D">
        <w:rPr>
          <w:rFonts w:ascii="Book Antiqua" w:hAnsi="Book Antiqua" w:cs="Arial"/>
          <w:lang w:val="en-US"/>
        </w:rPr>
        <w:fldChar w:fldCharType="end"/>
      </w:r>
      <w:r w:rsidRPr="00B7408D">
        <w:rPr>
          <w:rFonts w:ascii="Book Antiqua" w:hAnsi="Book Antiqua" w:cs="Arial"/>
          <w:lang w:val="en-US"/>
        </w:rPr>
        <w:t xml:space="preserve"> and randomized controlled trials</w:t>
      </w:r>
      <w:r w:rsidRPr="00B7408D">
        <w:rPr>
          <w:rFonts w:ascii="Book Antiqua" w:hAnsi="Book Antiqua" w:cs="Arial"/>
          <w:lang w:val="en-US"/>
        </w:rPr>
        <w:fldChar w:fldCharType="begin" w:fldLock="1"/>
      </w:r>
      <w:r w:rsidRPr="00B7408D">
        <w:rPr>
          <w:rFonts w:ascii="Book Antiqua" w:hAnsi="Book Antiqua" w:cs="Arial"/>
          <w:lang w:val="en-US"/>
        </w:rPr>
        <w:instrText>ADDIN CSL_CITATION {"citationItems":[{"id":"ITEM-1","itemData":{"DOI":"10.1056/NEJMoa1200303","ISSN":"1533-4406","PMID":"23432189","abstract":"BACKGROUND Observational cohort studies and a secondary prevention trial have shown an inverse association between adherence to the Mediterranean diet and cardiovascular risk. We conducted a randomized trial of this diet pattern for the primary prevention of cardiovascular events. METHODS In a multicenter trial in Spain, we randomly assigned participants who were at high cardiovascular risk, but with no cardiovascular disease at enrollment, to one of three diets: a Mediterranean diet supplemented with extra-virgin olive oil, a Mediterranean diet supplemented with mixed nuts, or a control diet (advice to reduce dietary fat). Participants received quarterly individual and group educational sessions and, depending on group assignment, free provision of extra-virgin olive oil, mixed nuts, or small nonfood gifts. The primary end point was the rate of major cardiovascular events (myocardial infarction, stroke, or death from cardiovascular causes). On the basis of the results of an interim analysis, the trial was stopped after a median follow-up of 4.8 years. RESULTS A total of 7447 persons were enrolled (age range, 55 to 80 years); 57% were women. The two Mediterranean-diet groups had good adherence to the intervention, according to self-reported intake and biomarker analyses. A primary end-point event occurred in 288 participants. The multivariable-adjusted hazard ratios were 0.70 (95% confidence interval [CI], 0.54 to 0.92) and 0.72 (95% CI, 0.54 to 0.96) for the group assigned to a Mediterranean diet with extra-virgin olive oil (96 events) and the group assigned to a Mediterranean diet with nuts (83 events), respectively, versus the control group (109 events). No diet-related adverse effects were reported. CONCLUSIONS Among persons at high cardiovascular risk, a Mediterranean diet supplemented with extra-virgin olive oil or nuts reduced the incidence of major cardiovascular events. (Funded by the Spanish government's Instituto de Salud Carlos III and others; Controlled-Trials.com number, ISRCTN35739639.).","author":[{"dropping-particle":"","family":"Estruch","given":"Ramón","non-dropping-particle":"","parse-names":false,"suffix":""},{"dropping-particle":"","family":"Ros","given":"Emilio","non-dropping-particle":"","parse-names":false,"suffix":""},{"dropping-particle":"","family":"Salas-Salvadó","given":"Jordi","non-dropping-particle":"","parse-names":false,"suffix":""},{"dropping-particle":"","family":"Covas","given":"Maria-Isabel","non-dropping-particle":"","parse-names":false,"suffix":""},{"dropping-particle":"","family":"Corella","given":"Dolores","non-dropping-particle":"","parse-names":false,"suffix":""},{"dropping-particle":"","family":"Arós","given":"Fernando","non-dropping-particle":"","parse-names":false,"suffix":""},{"dropping-particle":"","family":"Gómez-Gracia","given":"Enrique","non-dropping-particle":"","parse-names":false,"suffix":""},{"dropping-particle":"","family":"Ruiz-Gutiérrez","given":"Valentina","non-dropping-particle":"","parse-names":false,"suffix":""},{"dropping-particle":"","family":"Fiol","given":"Miquel","non-dropping-particle":"","parse-names":false,"suffix":""},{"dropping-particle":"","family":"Lapetra","given":"José","non-dropping-particle":"","parse-names":false,"suffix":""},{"dropping-particle":"","family":"Lamuela-Raventos","given":"Rosa Maria","non-dropping-particle":"","parse-names":false,"suffix":""},{"dropping-particle":"","family":"Serra-Majem","given":"Lluís","non-dropping-particle":"","parse-names":false,"suffix":""},{"dropping-particle":"","family":"Pintó","given":"Xavier","non-dropping-particle":"","parse-names":false,"suffix":""},{"dropping-particle":"","family":"Basora","given":"Josep","non-dropping-particle":"","parse-names":false,"suffix":""},{"dropping-particle":"","family":"Muñoz","given":"Miguel Angel","non-dropping-particle":"","parse-names":false,"suffix":""},{"dropping-particle":"V","family":"Sorlí","given":"José","non-dropping-particle":"","parse-names":false,"suffix":""},{"dropping-particle":"","family":"Martínez","given":"José Alfredo","non-dropping-particle":"","parse-names":false,"suffix":""},{"dropping-particle":"","family":"Martínez-González","given":"Miguel Angel","non-dropping-particle":"","parse-names":false,"suffix":""},{"dropping-particle":"","family":"PREDIMED Study Investigators","given":"","non-dropping-particle":"","parse-names":false,"suffix":""}],"container-title":"The New England journal of medicine","id":"ITEM-1","issue":"14","issued":{"date-parts":[["2013","4","4"]]},"page":"1279-90","title":"Primary prevention of cardiovascular disease with a Mediterranean diet.","type":"article-journal","volume":"368"},"uris":["http://www.mendeley.com/documents/?uuid=5ee0b6b5-c8e6-3f90-9e96-2edc3dcef6b2"]}],"mendeley":{"formattedCitation":"&lt;sup&gt;[7]&lt;/sup&gt;","plainTextFormattedCitation":"[7]","previouslyFormattedCitation":"&lt;sup&gt;[7]&lt;/sup&gt;"},"properties":{"noteIndex":0},"schema":"https://github.com/citation-style-language/schema/raw/master/csl-citation.json"}</w:instrText>
      </w:r>
      <w:r w:rsidRPr="00B7408D">
        <w:rPr>
          <w:rFonts w:ascii="Book Antiqua" w:hAnsi="Book Antiqua" w:cs="Arial"/>
          <w:lang w:val="en-US"/>
        </w:rPr>
        <w:fldChar w:fldCharType="separate"/>
      </w:r>
      <w:r w:rsidRPr="00B7408D">
        <w:rPr>
          <w:rFonts w:ascii="Book Antiqua" w:hAnsi="Book Antiqua" w:cs="Arial"/>
          <w:vertAlign w:val="superscript"/>
          <w:lang w:val="en-US"/>
        </w:rPr>
        <w:t>[7]</w:t>
      </w:r>
      <w:r w:rsidRPr="00B7408D">
        <w:rPr>
          <w:rFonts w:ascii="Book Antiqua" w:hAnsi="Book Antiqua" w:cs="Arial"/>
          <w:lang w:val="en-US"/>
        </w:rPr>
        <w:fldChar w:fldCharType="end"/>
      </w:r>
      <w:r w:rsidRPr="00B7408D">
        <w:rPr>
          <w:rFonts w:ascii="Book Antiqua" w:hAnsi="Book Antiqua" w:cs="Arial"/>
          <w:lang w:val="en-US"/>
        </w:rPr>
        <w:t xml:space="preserve">. As an example, the Spanish cohort of the European Prospective Investigation into Cancer and nutrition (commonly referred to as EPIC-Spain) has provided some of the most clear evidence to date that olive oil consumption, independent of the Mediterranean diet pattern, is related to reduction in global mortality, with a </w:t>
      </w:r>
      <w:r w:rsidRPr="00B7408D">
        <w:rPr>
          <w:rFonts w:ascii="Book Antiqua" w:hAnsi="Book Antiqua" w:cs="Arial"/>
          <w:lang w:val="en-US"/>
        </w:rPr>
        <w:lastRenderedPageBreak/>
        <w:t>strong inverse association to other death causes (</w:t>
      </w:r>
      <w:r w:rsidRPr="00B7408D">
        <w:rPr>
          <w:rFonts w:ascii="Book Antiqua" w:hAnsi="Book Antiqua" w:cs="Arial"/>
          <w:i/>
          <w:lang w:val="en-US"/>
        </w:rPr>
        <w:t>i.e</w:t>
      </w:r>
      <w:r w:rsidRPr="00B7408D">
        <w:rPr>
          <w:rFonts w:ascii="Book Antiqua" w:hAnsi="Book Antiqua" w:cs="Arial"/>
          <w:i/>
          <w:iCs/>
          <w:lang w:val="en-US"/>
        </w:rPr>
        <w:t>.</w:t>
      </w:r>
      <w:r w:rsidR="007E2849" w:rsidRPr="00B7408D">
        <w:rPr>
          <w:rFonts w:ascii="Book Antiqua" w:hAnsi="Book Antiqua" w:cs="Arial"/>
          <w:lang w:val="en-US"/>
        </w:rPr>
        <w:t>,</w:t>
      </w:r>
      <w:r w:rsidRPr="00B7408D">
        <w:rPr>
          <w:rFonts w:ascii="Book Antiqua" w:hAnsi="Book Antiqua" w:cs="Arial"/>
          <w:lang w:val="en-US"/>
        </w:rPr>
        <w:t xml:space="preserve"> respiratory, digestive, and nervous system diseases)</w:t>
      </w:r>
      <w:r w:rsidRPr="00B7408D">
        <w:rPr>
          <w:rFonts w:ascii="Book Antiqua" w:hAnsi="Book Antiqua" w:cs="Arial"/>
          <w:lang w:val="en-US"/>
        </w:rPr>
        <w:fldChar w:fldCharType="begin" w:fldLock="1"/>
      </w:r>
      <w:r w:rsidRPr="00B7408D">
        <w:rPr>
          <w:rFonts w:ascii="Book Antiqua" w:hAnsi="Book Antiqua" w:cs="Arial"/>
          <w:lang w:val="en-US"/>
        </w:rPr>
        <w:instrText>ADDIN CSL_CITATION {"citationItems":[{"id":"ITEM-1","itemData":{"DOI":"10.1017/S0007114511002078","ISSN":"1475-2662","PMID":"21736834","abstract":"Epidemiological studies show that adherence to a Mediterranean diet (MD) increases longevity; however, few studies are restricted to Mediterranean populations or explore the effect of a MD pattern that directly incorporates olive oil. Therefore the relationship between adherence to the MD and mortality was studied within the the Spanish cohort of the European Prospective Investigation into Cancer and Nutrition (EPIC-Spain). The EPIC-Spain analysis included 40 622 participants (37·7 % males) aged 29-69 years who were recruited from five Spanish regions in 1992-1996. During a mean follow-up of 13·4 years, 1855 deaths were documented: 913 from cancer, 399 from CVD, 425 from other causes and 118 from unknown causes of death. Risk of all-cause and cause-specific mortality was assessed according to the level of adherence to a relative MD (rMED) score, measured using an 18-unit scale incorporating nine selected dietary components. A high compared with a low rMED score was associated with a significant reduction in mortality from all causes (hazard ratio (HR) 0·79; 95 % CI 0·69, 0·91), from CVD (HR 0·66; 95 % CI 0·49, 0·89), but not from overall cancer (HR 0·92; 95 % CI 0·75, 1·12). A 2-unit increase in rMED score was associated with a 6 % (P &lt; 0·001) decreased risk of all-cause mortality. A high olive oil intake and moderate alcohol consumption contributed most to this association. In this Spanish cohort, following an olive oil-rich MD was related to a significant reduction in all-cause mortality, and reduced the risk of mortality from CVD. These results support the important role that the MD pattern has on reducing mortality in Mediterranean countries.","author":[{"dropping-particle":"","family":"Buckland","given":"Genevieve","non-dropping-particle":"","parse-names":false,"suffix":""},{"dropping-particle":"","family":"Agudo","given":"Antonio","non-dropping-particle":"","parse-names":false,"suffix":""},{"dropping-particle":"","family":"Travier","given":"Noemie","non-dropping-particle":"","parse-names":false,"suffix":""},{"dropping-particle":"","family":"Huerta","given":"José María","non-dropping-particle":"","parse-names":false,"suffix":""},{"dropping-particle":"","family":"Cirera","given":"Lluís","non-dropping-particle":"","parse-names":false,"suffix":""},{"dropping-particle":"","family":"Tormo","given":"María-José","non-dropping-particle":"","parse-names":false,"suffix":""},{"dropping-particle":"","family":"Navarro","given":"Carmen","non-dropping-particle":"","parse-names":false,"suffix":""},{"dropping-particle":"","family":"Chirlaque","given":"María Dolores","non-dropping-particle":"","parse-names":false,"suffix":""},{"dropping-particle":"","family":"Moreno-Iribas","given":"Conchi","non-dropping-particle":"","parse-names":false,"suffix":""},{"dropping-particle":"","family":"Ardanaz","given":"Eva","non-dropping-particle":"","parse-names":false,"suffix":""},{"dropping-particle":"","family":"Barricarte","given":"Aurelio","non-dropping-particle":"","parse-names":false,"suffix":""},{"dropping-particle":"","family":"Etxeberria","given":"Jaione","non-dropping-particle":"","parse-names":false,"suffix":""},{"dropping-particle":"","family":"Marin","given":"Pilar","non-dropping-particle":"","parse-names":false,"suffix":""},{"dropping-particle":"","family":"Quirós","given":"J Ramón","non-dropping-particle":"","parse-names":false,"suffix":""},{"dropping-particle":"","family":"Redondo","given":"María-Luisa","non-dropping-particle":"","parse-names":false,"suffix":""},{"dropping-particle":"","family":"Larrañaga","given":"Nerea","non-dropping-particle":"","parse-names":false,"suffix":""},{"dropping-particle":"","family":"Amiano","given":"Pilar","non-dropping-particle":"","parse-names":false,"suffix":""},{"dropping-particle":"","family":"Dorronsoro","given":"Miren","non-dropping-particle":"","parse-names":false,"suffix":""},{"dropping-particle":"","family":"Arriola","given":"Larraitz","non-dropping-particle":"","parse-names":false,"suffix":""},{"dropping-particle":"","family":"Basterretxea","given":"Mikel","non-dropping-particle":"","parse-names":false,"suffix":""},{"dropping-particle":"","family":"Sanchez","given":"María-José","non-dropping-particle":"","parse-names":false,"suffix":""},{"dropping-particle":"","family":"Molina","given":"Esther","non-dropping-particle":"","parse-names":false,"suffix":""},{"dropping-particle":"","family":"González","given":"Carlos A","non-dropping-particle":"","parse-names":false,"suffix":""}],"container-title":"The British journal of nutrition","id":"ITEM-1","issue":"10","issued":{"date-parts":[["2011","11","17"]]},"page":"1581-91","title":"Adherence to the Mediterranean diet reduces mortality in the Spanish cohort of the European Prospective Investigation into Cancer and Nutrition (EPIC-Spain).","type":"article-journal","volume":"106"},"uris":["http://www.mendeley.com/documents/?uuid=7dfe6426-5912-3982-9a23-7bcad7b6b072"]}],"mendeley":{"formattedCitation":"&lt;sup&gt;[8]&lt;/sup&gt;","plainTextFormattedCitation":"[8]","previouslyFormattedCitation":"&lt;sup&gt;[8]&lt;/sup&gt;"},"properties":{"noteIndex":0},"schema":"https://github.com/citation-style-language/schema/raw/master/csl-citation.json"}</w:instrText>
      </w:r>
      <w:r w:rsidRPr="00B7408D">
        <w:rPr>
          <w:rFonts w:ascii="Book Antiqua" w:hAnsi="Book Antiqua" w:cs="Arial"/>
          <w:lang w:val="en-US"/>
        </w:rPr>
        <w:fldChar w:fldCharType="separate"/>
      </w:r>
      <w:r w:rsidRPr="00B7408D">
        <w:rPr>
          <w:rFonts w:ascii="Book Antiqua" w:hAnsi="Book Antiqua" w:cs="Arial"/>
          <w:vertAlign w:val="superscript"/>
          <w:lang w:val="en-US"/>
        </w:rPr>
        <w:t>[8]</w:t>
      </w:r>
      <w:r w:rsidRPr="00B7408D">
        <w:rPr>
          <w:rFonts w:ascii="Book Antiqua" w:hAnsi="Book Antiqua" w:cs="Arial"/>
          <w:lang w:val="en-US"/>
        </w:rPr>
        <w:fldChar w:fldCharType="end"/>
      </w:r>
      <w:r w:rsidRPr="00B7408D">
        <w:rPr>
          <w:rFonts w:ascii="Book Antiqua" w:hAnsi="Book Antiqua" w:cs="Arial"/>
          <w:lang w:val="en-US"/>
        </w:rPr>
        <w:t>.</w:t>
      </w:r>
    </w:p>
    <w:p w14:paraId="7007679B" w14:textId="0A17B3B9" w:rsidR="006A0C4B" w:rsidRPr="00B7408D" w:rsidRDefault="006A0C4B" w:rsidP="003F4E36">
      <w:pPr>
        <w:snapToGrid w:val="0"/>
        <w:spacing w:line="360" w:lineRule="auto"/>
        <w:ind w:firstLineChars="100" w:firstLine="240"/>
        <w:jc w:val="both"/>
        <w:rPr>
          <w:rFonts w:ascii="Book Antiqua" w:hAnsi="Book Antiqua" w:cs="Arial"/>
          <w:lang w:val="en-US"/>
        </w:rPr>
      </w:pPr>
      <w:r w:rsidRPr="00B7408D">
        <w:rPr>
          <w:rFonts w:ascii="Book Antiqua" w:hAnsi="Book Antiqua" w:cs="Arial"/>
          <w:lang w:val="en-US"/>
        </w:rPr>
        <w:t xml:space="preserve">Beneficial effects of extra virgin olive oil on health are due to its particular profile of healthy residues of fatty acids, which are mainly monounsaturated (one double bond between carbons of the hydrocarbon chain), rendering olive oil more resistant to oxidation, in comparison to oils that are rich in polyunsaturated fatty acid residues. Besides, extra virgin olive has a large group of bioactive compounds. They may reach 1% to 2% of total content, including </w:t>
      </w:r>
      <w:proofErr w:type="spellStart"/>
      <w:r w:rsidRPr="00B7408D">
        <w:rPr>
          <w:rFonts w:ascii="Book Antiqua" w:hAnsi="Book Antiqua" w:cs="Arial"/>
          <w:lang w:val="en-US"/>
        </w:rPr>
        <w:t>unsaponifiable</w:t>
      </w:r>
      <w:proofErr w:type="spellEnd"/>
      <w:r w:rsidRPr="00B7408D">
        <w:rPr>
          <w:rFonts w:ascii="Book Antiqua" w:hAnsi="Book Antiqua" w:cs="Arial"/>
          <w:lang w:val="en-US"/>
        </w:rPr>
        <w:t xml:space="preserve"> </w:t>
      </w:r>
      <w:bookmarkStart w:id="11" w:name="_Hlk3289309"/>
      <w:r w:rsidRPr="00B7408D">
        <w:rPr>
          <w:rFonts w:ascii="Book Antiqua" w:hAnsi="Book Antiqua" w:cs="Arial"/>
          <w:lang w:val="en-US"/>
        </w:rPr>
        <w:t xml:space="preserve">(squalene, </w:t>
      </w:r>
      <w:proofErr w:type="spellStart"/>
      <w:r w:rsidRPr="00B7408D">
        <w:rPr>
          <w:rFonts w:ascii="Book Antiqua" w:hAnsi="Book Antiqua" w:cs="Arial"/>
          <w:lang w:val="en-US"/>
        </w:rPr>
        <w:t>sitosterols</w:t>
      </w:r>
      <w:proofErr w:type="spellEnd"/>
      <w:r w:rsidRPr="00B7408D">
        <w:rPr>
          <w:rFonts w:ascii="Book Antiqua" w:hAnsi="Book Antiqua" w:cs="Arial"/>
          <w:lang w:val="en-US"/>
        </w:rPr>
        <w:t xml:space="preserve">, triterpenes, </w:t>
      </w:r>
      <w:r w:rsidRPr="00B7408D">
        <w:rPr>
          <w:rFonts w:ascii="Book Antiqua" w:hAnsi="Book Antiqua" w:cs="Arial"/>
          <w:i/>
          <w:lang w:val="en-US"/>
        </w:rPr>
        <w:t>etc</w:t>
      </w:r>
      <w:r w:rsidR="00A07220" w:rsidRPr="00B7408D">
        <w:rPr>
          <w:rFonts w:ascii="Book Antiqua" w:hAnsi="Book Antiqua" w:cs="Arial" w:hint="eastAsia"/>
          <w:i/>
          <w:lang w:val="en-US"/>
        </w:rPr>
        <w:t>.</w:t>
      </w:r>
      <w:r w:rsidRPr="00B7408D">
        <w:rPr>
          <w:rFonts w:ascii="Book Antiqua" w:hAnsi="Book Antiqua" w:cs="Arial"/>
          <w:lang w:val="en-US"/>
        </w:rPr>
        <w:t>) and soluble (</w:t>
      </w:r>
      <w:r w:rsidR="004C0061" w:rsidRPr="00B7408D">
        <w:rPr>
          <w:rFonts w:ascii="Book Antiqua" w:hAnsi="Book Antiqua" w:cs="Arial"/>
          <w:lang w:val="en-US"/>
        </w:rPr>
        <w:t>α</w:t>
      </w:r>
      <w:r w:rsidRPr="00B7408D">
        <w:rPr>
          <w:rFonts w:ascii="Book Antiqua" w:hAnsi="Book Antiqua" w:cs="Arial"/>
          <w:lang w:val="en-US"/>
        </w:rPr>
        <w:t>-tocopherol and other phenols) fractions</w:t>
      </w:r>
      <w:bookmarkEnd w:id="11"/>
      <w:r w:rsidRPr="00B7408D">
        <w:rPr>
          <w:rFonts w:ascii="Book Antiqua" w:hAnsi="Book Antiqua" w:cs="Arial"/>
          <w:lang w:val="en-US"/>
        </w:rPr>
        <w:t xml:space="preserve"> (Table 1)</w:t>
      </w:r>
      <w:r w:rsidRPr="00B7408D">
        <w:rPr>
          <w:rFonts w:ascii="Book Antiqua" w:hAnsi="Book Antiqua" w:cs="Arial"/>
          <w:lang w:val="en-US"/>
        </w:rPr>
        <w:fldChar w:fldCharType="begin" w:fldLock="1"/>
      </w:r>
      <w:r w:rsidRPr="00B7408D">
        <w:rPr>
          <w:rFonts w:ascii="Book Antiqua" w:hAnsi="Book Antiqua" w:cs="Arial"/>
          <w:lang w:val="en-US"/>
        </w:rPr>
        <w:instrText>ADDIN CSL_CITATION {"citationItems":[{"id":"ITEM-1","itemData":{"DOI":"10.1038/s41430-018-0304-x","ISSN":"14765640","PMID":"30487558","abstract":"The beneficial effects of a Mediterranean diet on human health and, in particular, on lowering risk of cardiovascular disease, has been mainly attributed to its high content to extra virgin olive oil (EVOO). While its main fatty acid, oleic acid, is considered important to these effects, EVOO has other biological properties that depend on, or are potentiated by other minor components of this oil. Initially, the mechanisms considered as possible causes of this cardioprotective effect of EVOO were based on the incidence on the so-called traditional risk factors (especially lipids and blood pressure). However, the high relative reduction in the prevalence of cardiovascular morbidity and mortality were not proportional to the limited findings about regulation of those traditional risk factors. In addition to several studies confirming the above effects, current research on beneficial effect of EVOO, and in particular in conjunction with Mediterranean style diets, is being focused on defining its effects on newer cardiovascular risk factors, such as inflammation, oxidative stress, coagulation, platelet aggregation, fibrinolysis, endothelial function or lipids or on the modulation of the conditions which predispose people to cardiovascular events, such as obesity, metabolic syndrome or type 2 diabetes mellitus. In the current review, we will mainly focus on reviewing the current evidence about the effects that EVOO exerts on alternative factors, including postprandial lipemia or coagulation, among others, discussing the underlying mechanism by which it exerts its effect, as well as providing a short review on future directions.","author":[{"dropping-particle":"","family":"Yubero-Serrano","given":"Elena M.","non-dropping-particle":"","parse-names":false,"suffix":""},{"dropping-particle":"","family":"Lopez-Moreno","given":"Javier","non-dropping-particle":"","parse-names":false,"suffix":""},{"dropping-particle":"","family":"Gomez-Delgado","given":"Francisco","non-dropping-particle":"","parse-names":false,"suffix":""},{"dropping-particle":"","family":"Lopez-Miranda","given":"Jose","non-dropping-particle":"","parse-names":false,"suffix":""}],"container-title":"European Journal of Clinical Nutrition","id":"ITEM-1","issue":"Table 1","issued":{"date-parts":[["2018"]]},"publisher":"Springer US","title":"Extra virgin olive oil: More than a healthy fat","type":"article-journal"},"uris":["http://www.mendeley.com/documents/?uuid=c51556c7-3ed5-4706-85a5-9b2f060bc5bc"]}],"mendeley":{"formattedCitation":"&lt;sup&gt;[9]&lt;/sup&gt;","plainTextFormattedCitation":"[9]","previouslyFormattedCitation":"&lt;sup&gt;[9]&lt;/sup&gt;"},"properties":{"noteIndex":0},"schema":"https://github.com/citation-style-language/schema/raw/master/csl-citation.json"}</w:instrText>
      </w:r>
      <w:r w:rsidRPr="00B7408D">
        <w:rPr>
          <w:rFonts w:ascii="Book Antiqua" w:hAnsi="Book Antiqua" w:cs="Arial"/>
          <w:lang w:val="en-US"/>
        </w:rPr>
        <w:fldChar w:fldCharType="separate"/>
      </w:r>
      <w:r w:rsidRPr="00B7408D">
        <w:rPr>
          <w:rFonts w:ascii="Book Antiqua" w:hAnsi="Book Antiqua" w:cs="Arial"/>
          <w:vertAlign w:val="superscript"/>
          <w:lang w:val="en-US"/>
        </w:rPr>
        <w:t>[9]</w:t>
      </w:r>
      <w:r w:rsidRPr="00B7408D">
        <w:rPr>
          <w:rFonts w:ascii="Book Antiqua" w:hAnsi="Book Antiqua" w:cs="Arial"/>
          <w:lang w:val="en-US"/>
        </w:rPr>
        <w:fldChar w:fldCharType="end"/>
      </w:r>
      <w:r w:rsidRPr="00B7408D">
        <w:rPr>
          <w:rFonts w:ascii="Book Antiqua" w:hAnsi="Book Antiqua" w:cs="Arial"/>
          <w:lang w:val="en-US"/>
        </w:rPr>
        <w:t xml:space="preserve">. They have </w:t>
      </w:r>
      <w:proofErr w:type="spellStart"/>
      <w:r w:rsidRPr="00B7408D">
        <w:rPr>
          <w:rFonts w:ascii="Book Antiqua" w:hAnsi="Book Antiqua" w:cs="Arial"/>
          <w:lang w:val="en-US"/>
        </w:rPr>
        <w:t>antiinflammatory</w:t>
      </w:r>
      <w:proofErr w:type="spellEnd"/>
      <w:r w:rsidRPr="00B7408D">
        <w:rPr>
          <w:rFonts w:ascii="Book Antiqua" w:hAnsi="Book Antiqua" w:cs="Arial"/>
          <w:lang w:val="en-US"/>
        </w:rPr>
        <w:t xml:space="preserve"> activities, promoting cholesterol metabolism, reducing oxidative stress, having antiaggregating effect, and improving mitochondrial function</w:t>
      </w:r>
      <w:r w:rsidRPr="00B7408D">
        <w:rPr>
          <w:rFonts w:ascii="Book Antiqua" w:hAnsi="Book Antiqua" w:cs="Arial"/>
          <w:lang w:val="en-US"/>
        </w:rPr>
        <w:fldChar w:fldCharType="begin" w:fldLock="1"/>
      </w:r>
      <w:r w:rsidRPr="00B7408D">
        <w:rPr>
          <w:rFonts w:ascii="Book Antiqua" w:hAnsi="Book Antiqua" w:cs="Arial"/>
          <w:lang w:val="en-US"/>
        </w:rPr>
        <w:instrText>ADDIN CSL_CITATION {"citationItems":[{"id":"ITEM-1","itemData":{"DOI":"10.1016/j.numecd.2018.04.004","ISSN":"15903729","PMID":"29804831","abstract":"Olive oil is the foremost source of fat in the Mediterranean area and, among other features, sets the Mediterranean diet apart from other dietary regimens. In January 2018, the International Olive Council convened several worldwide experts at the Robert Mondavi Institute (Davis, CA), to discuss and summarize the available data on the effects of olive oil consumption on human health. In this paper, we critically provide a synthesis of the main reported findings, which underscore how and why consuming this oil as part of a balanced diet and healthful lifestyle improves prognosis and extends life- and health-spans.","author":[{"dropping-particle":"","family":"Visioli","given":"F.","non-dropping-particle":"","parse-names":false,"suffix":""},{"dropping-particle":"","family":"Franco","given":"M.","non-dropping-particle":"","parse-names":false,"suffix":""},{"dropping-particle":"","family":"Toledo","given":"E.","non-dropping-particle":"","parse-names":false,"suffix":""},{"dropping-particle":"","family":"Luchsinger","given":"J.","non-dropping-particle":"","parse-names":false,"suffix":""},{"dropping-particle":"","family":"Willett","given":"W. C.","non-dropping-particle":"","parse-names":false,"suffix":""},{"dropping-particle":"","family":"Hu","given":"F. B.","non-dropping-particle":"","parse-names":false,"suffix":""},{"dropping-particle":"","family":"Martinez-Gonzalez","given":"M. A.","non-dropping-particle":"","parse-names":false,"suffix":""}],"container-title":"Nutrition, Metabolism and Cardiovascular Diseases","id":"ITEM-1","issue":"7","issued":{"date-parts":[["2018"]]},"page":"649-656","title":"Olive oil and prevention of chronic diseases: Summary of an International conference","type":"article-journal","volume":"28"},"uris":["http://www.mendeley.com/documents/?uuid=673bb9a4-2abf-4f05-b38d-3c19174ed2c3"]}],"mendeley":{"formattedCitation":"&lt;sup&gt;[1]&lt;/sup&gt;","plainTextFormattedCitation":"[1]","previouslyFormattedCitation":"&lt;sup&gt;[1]&lt;/sup&gt;"},"properties":{"noteIndex":0},"schema":"https://github.com/citation-style-language/schema/raw/master/csl-citation.json"}</w:instrText>
      </w:r>
      <w:r w:rsidRPr="00B7408D">
        <w:rPr>
          <w:rFonts w:ascii="Book Antiqua" w:hAnsi="Book Antiqua" w:cs="Arial"/>
          <w:lang w:val="en-US"/>
        </w:rPr>
        <w:fldChar w:fldCharType="separate"/>
      </w:r>
      <w:r w:rsidRPr="00B7408D">
        <w:rPr>
          <w:rFonts w:ascii="Book Antiqua" w:hAnsi="Book Antiqua" w:cs="Arial"/>
          <w:vertAlign w:val="superscript"/>
          <w:lang w:val="en-US"/>
        </w:rPr>
        <w:t>[1]</w:t>
      </w:r>
      <w:r w:rsidRPr="00B7408D">
        <w:rPr>
          <w:rFonts w:ascii="Book Antiqua" w:hAnsi="Book Antiqua" w:cs="Arial"/>
          <w:lang w:val="en-US"/>
        </w:rPr>
        <w:fldChar w:fldCharType="end"/>
      </w:r>
      <w:r w:rsidRPr="00B7408D">
        <w:rPr>
          <w:rFonts w:ascii="Book Antiqua" w:hAnsi="Book Antiqua" w:cs="Arial"/>
          <w:lang w:val="en-US"/>
        </w:rPr>
        <w:t>. Because of that, olive oil can be considered a nutraceutical functional food.</w:t>
      </w:r>
    </w:p>
    <w:p w14:paraId="671E9686" w14:textId="030A56C2" w:rsidR="006A0C4B" w:rsidRPr="00B7408D" w:rsidRDefault="006A0C4B" w:rsidP="007E2849">
      <w:pPr>
        <w:snapToGrid w:val="0"/>
        <w:spacing w:line="360" w:lineRule="auto"/>
        <w:ind w:firstLineChars="100" w:firstLine="240"/>
        <w:jc w:val="both"/>
        <w:rPr>
          <w:rFonts w:ascii="Book Antiqua" w:hAnsi="Book Antiqua" w:cs="Arial"/>
          <w:color w:val="000000"/>
          <w:lang w:val="en-US"/>
        </w:rPr>
      </w:pPr>
      <w:r w:rsidRPr="00B7408D">
        <w:rPr>
          <w:rFonts w:ascii="Book Antiqua" w:hAnsi="Book Antiqua" w:cs="Arial"/>
          <w:lang w:val="en-US"/>
        </w:rPr>
        <w:t>Olive oil has cardioprotective, antitumoral, neuroprotective, antidiabetic and antiaging effects. Beneficial cardioprotective effects of this food have been partially associated with reduction of low-density lipoprotein oxidation. This is mostly due to the protective effects from its phenolic compounds</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{"citationItems":[{"id":"ITEM-1","itemData":{"DOI":"10.1007/s00394-016-1188-y","ISSN":"1436-6215","PMID":"26951205","abstract":"PURPOSE Dietary polyphenols have been demonstrated to favourably modify a number of cardiovascular risk markers such as blood pressure (BP), endothelial function and plasma lipids. We conducted a randomised, double-blind, controlled, crossover trial to investigate the effects of a phenolic-rich olive leaf extract (OLE) on BP and a number of associated vascular and metabolic measures. METHODS A total of 60 pre-hypertensive [systolic blood pressure (SBP): 121-140 mmHg; diastolic blood pressure (DBP): 81-90 mmHg] males [mean age 45 (±SD 12.7 years, BMI 26.7 (±3.21) kg/m2] consumed either OLE (136 mg oleuropein; 6 mg hydroxytyrosol) or a polyphenol-free control daily for 6 weeks before switching to the alternate arm after a 4-week washout. RESULTS Daytime [-3.95 (±SD 11.48) mmHg, p = 0.027] and 24-h SBP [-3.33 (±SD 10.81) mmHg, p = 0.045] and daytime and 24-h DBP [-3.00 (±SD 8.54) mmHg, p = 0.025; -2.42 (±SD 7.61) mmHg, p = 0.039] were all significantly lower following OLE intake, relative to the control. Reductions in plasma total cholesterol [-0.32 (±SD 0.70) mmol/L, p = 0.002], LDL cholesterol [-0.19 (±SD 0.56) mmol/L, p = 0.017] and triglycerides [-0.18 (±SD 0.48), p = 0.008] were also induced by OLE compared to control, whilst a reduction in interleukin-8 [-0.63 (±SD 1.13) pg/ml; p = 0.026] was also detected. Other markers of inflammation, vascular function and glucose metabolism were not affected. CONCLUSION Our data support previous research, suggesting that OLE intake engenders hypotensive and lipid-lowering effects in vivo.","author":[{"dropping-particle":"","family":"Lockyer","given":"Stacey","non-dropping-particle":"","parse-names":false,"suffix":""},{"dropping-particle":"","family":"Rowland","given":"Ian","non-dropping-particle":"","parse-names":false,"suffix":""},{"dropping-particle":"","family":"Spencer","given":"Jeremy Paul Edward","non-dropping-particle":"","parse-names":false,"suffix":""},{"dropping-particle":"","family":"Yaqoob","given":"Parveen","non-dropping-particle":"","parse-names":false,"suffix":""},{"dropping-particle":"","family":"Stonehouse","given":"Welma","non-dropping-particle":"","parse-names":false,"suffix":""}],"container-title":"European journal of nutrition","id":"ITEM-1","issue":"4","issued":{"date-parts":[["2017","6","7"]]},"page":"1421-1432","title":"Impact of phenolic-rich olive leaf extract on blood pressure, plasma lipids and inflammatory markers: a randomised controlled trial.","type":"article-journal","volume":"56"},"uris":["http://www.mendeley.com/documents/?uuid=9e1bf9b2-6cf7-348c-96f5-2cfa8ed47fd8"]}],"mendeley":{"formattedCitation":"&lt;sup&gt;[10]&lt;/sup&gt;","plainTextFormattedCitation":"[10]","previouslyFormattedCitation":"&lt;sup&gt;[10]&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[10]</w:t>
      </w:r>
      <w:r w:rsidRPr="00B7408D">
        <w:rPr>
          <w:rFonts w:ascii="Book Antiqua" w:hAnsi="Book Antiqua" w:cs="Arial"/>
          <w:color w:val="000000"/>
          <w:lang w:val="en-US"/>
        </w:rPr>
        <w:fldChar w:fldCharType="end"/>
      </w:r>
      <w:r w:rsidRPr="00B7408D">
        <w:rPr>
          <w:rFonts w:ascii="Book Antiqua" w:hAnsi="Book Antiqua" w:cs="Arial"/>
          <w:color w:val="000000"/>
          <w:lang w:val="en-US"/>
        </w:rPr>
        <w:t>. Additionally, olive oil improves functionality of high-density lipoprotein particles</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{"citationItems":[{"id":"ITEM-1","itemData":{"DOI":"10.1161/CIRCULATIONAHA.116.023712","ISSN":"1524-4539","PMID":"28193797","abstract":"BACKGROUND The biological functions of high-density lipoproteins (HDLs) contribute to explaining the cardioprotective role of the lipoprotein beyond quantitative HDL cholesterol levels. A few small-scale interventions with a single antioxidant have improved some HDL functions. However, to date, no long-term, large-scale, randomized controlled trial has been conducted to assess the effects of an antioxidant-rich dietary pattern (such as a traditional Mediterranean diet [TMD]) on HDL function in humans. METHODS This study was performed in a random subsample of volunteers from the PREDIMED Study (Prevención con Dieta Mediterránea; n=296) after a 1-year intervention. We compared the effects of 2 TMDs, one enriched with virgin olive oil (TMD-VOO; n=100) and the other enriched with nuts (TMD-Nuts; n=100), with respect to a low-fat control diet (n=96). We assessed the effects of both TMDs on the role of HDL particles on reverse cholesterol transport (cholesterol efflux capacity, HDL ability to esterify cholesterol, and cholesteryl ester transfer protein activity), HDL antioxidant properties (paraoxonase-1 arylesterase activity and total HDL antioxidant capacity on low-density lipoproteins), and HDL vasodilatory capacity (HDL ability to induce the release of nitric oxide in endothelial cells). We also studied the effects of a TMD on several HDL quality-related characteristics (HDL particle oxidation, resistance against oxidative modification, main lipid and protein composition, and size distribution). RESULTS Both TMDs increased cholesterol efflux capacity relative to baseline (P=0.018 and P=0.013 for TMD-VOO and TMD-Nuts, respectively). The TMD-VOO intervention decreased cholesteryl ester transfer protein activity (relative to baseline, P=0.028) and increased HDL ability to esterify cholesterol, paraoxonase-1 arylesterase activity, and HDL vasodilatory capacity (relative to control, P=0.039, P=0.012, and P=0.026, respectively). Adherence to a TMD induced these beneficial changes by improving HDL oxidative status and composition. The 3 diets increased the percentage of large HDL particles (relative to baseline, P&lt;0.001). CONCLUSIONS The TMD, especially when enriched with virgin olive oil, improved HDL atheroprotective functions in humans. CLINICAL TRIAL REGISTRATION URL: http://www.controlled-trials.com. Unique identifier: ISRCTN35739639.","author":[{"dropping-particle":"","family":"Hernáez","given":"Álvaro","non-dropping-particle":"","parse-names":false,"suffix":""},{"dropping-particle":"","family":"Castañer","given":"Olga","non-dropping-particle":"","parse-names":false,"suffix":""},{"dropping-particle":"","family":"Elosua","given":"Roberto","non-dropping-particle":"","parse-names":false,"suffix":""},{"dropping-particle":"","family":"Pintó","given":"Xavier","non-dropping-particle":"","parse-names":false,"suffix":""},{"dropping-particle":"","family":"Estruch","given":"Ramón","non-dropping-particle":"","parse-names":false,"suffix":""},{"dropping-particle":"","family":"Salas-Salvadó","given":"Jordi","non-dropping-particle":"","parse-names":false,"suffix":""},{"dropping-particle":"","family":"Corella","given":"Dolores","non-dropping-particle":"","parse-names":false,"suffix":""},{"dropping-particle":"","family":"Arós","given":"Fernando","non-dropping-particle":"","parse-names":false,"suffix":""},{"dropping-particle":"","family":"Serra-Majem","given":"Lluis","non-dropping-particle":"","parse-names":false,"suffix":""},{"dropping-particle":"","family":"Fiol","given":"Miquel","non-dropping-particle":"","parse-names":false,"suffix":""},{"dropping-particle":"","family":"Ortega-Calvo","given":"Manuel","non-dropping-particle":"","parse-names":false,"suffix":""},{"dropping-particle":"","family":"Ros","given":"Emilio","non-dropping-particle":"","parse-names":false,"suffix":""},{"dropping-particle":"","family":"Martínez-González","given":"Miguel Ángel","non-dropping-particle":"","parse-names":false,"suffix":""},{"dropping-particle":"","family":"la Torre","given":"Rafael","non-dropping-particle":"de","parse-names":false,"suffix":""},{"dropping-particle":"","family":"López-Sabater","given":"M Carmen","non-dropping-particle":"","parse-names":false,"suffix":""},{"dropping-particle":"","family":"Fitó","given":"Montserrat","non-dropping-particle":"","parse-names":false,"suffix":""}],"container-title":"Circulation","id":"ITEM-1","issue":"7","issued":{"date-parts":[["2017","2","14"]]},"page":"633-643","title":"Mediterranean Diet Improves High-Density Lipoprotein Function in High-Cardiovascular-Risk Individuals: A Randomized Controlled Trial.","type":"article-journal","volume":"135"},"uris":["http://www.mendeley.com/documents/?uuid=57a6d306-c454-3574-8cb1-15eadd83bec7"]}],"mendeley":{"formattedCitation":"&lt;sup&gt;[11]&lt;/sup&gt;","plainTextFormattedCitation":"[11]","previouslyFormattedCitation":"&lt;sup&gt;[11]&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[11]</w:t>
      </w:r>
      <w:r w:rsidRPr="00B7408D">
        <w:rPr>
          <w:rFonts w:ascii="Book Antiqua" w:hAnsi="Book Antiqua" w:cs="Arial"/>
          <w:color w:val="000000"/>
          <w:lang w:val="en-US"/>
        </w:rPr>
        <w:fldChar w:fldCharType="end"/>
      </w:r>
      <w:r w:rsidRPr="00B7408D">
        <w:rPr>
          <w:rFonts w:ascii="Book Antiqua" w:hAnsi="Book Antiqua" w:cs="Arial"/>
          <w:color w:val="000000"/>
          <w:lang w:val="en-US"/>
        </w:rPr>
        <w:t xml:space="preserve">. That represents a protective factor, preventing atherosclerosis. Also, its </w:t>
      </w:r>
      <w:proofErr w:type="spellStart"/>
      <w:r w:rsidRPr="00B7408D">
        <w:rPr>
          <w:rFonts w:ascii="Book Antiqua" w:hAnsi="Book Antiqua" w:cs="Arial"/>
          <w:color w:val="000000"/>
          <w:lang w:val="en-US"/>
        </w:rPr>
        <w:t>antiinflammatory</w:t>
      </w:r>
      <w:proofErr w:type="spellEnd"/>
      <w:r w:rsidRPr="00B7408D">
        <w:rPr>
          <w:rFonts w:ascii="Book Antiqua" w:hAnsi="Book Antiqua" w:cs="Arial"/>
          <w:color w:val="000000"/>
          <w:lang w:val="en-US"/>
        </w:rPr>
        <w:t xml:space="preserve"> effects and ability to reduce platelet aggregation have been associated with reduction of cardiovascular risks</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{"citationItems":[{"id":"ITEM-1","itemData":{"DOI":"10.1038/s41430-018-0304-x","ISSN":"14765640","PMID":"30487558","abstract":"The beneficial effects of a Mediterranean diet on human health and, in particular, on lowering risk of cardiovascular disease, has been mainly attributed to its high content to extra virgin olive oil (EVOO). While its main fatty acid, oleic acid, is considered important to these effects, EVOO has other biological properties that depend on, or are potentiated by other minor components of this oil. Initially, the mechanisms considered as possible causes of this cardioprotective effect of EVOO were based on the incidence on the so-called traditional risk factors (especially lipids and blood pressure). However, the high relative reduction in the prevalence of cardiovascular morbidity and mortality were not proportional to the limited findings about regulation of those traditional risk factors. In addition to several studies confirming the above effects, current research on beneficial effect of EVOO, and in particular in conjunction with Mediterranean style diets, is being focused on defining its effects on newer cardiovascular risk factors, such as inflammation, oxidative stress, coagulation, platelet aggregation, fibrinolysis, endothelial function or lipids or on the modulation of the conditions which predispose people to cardiovascular events, such as obesity, metabolic syndrome or type 2 diabetes mellitus. In the current review, we will mainly focus on reviewing the current evidence about the effects that EVOO exerts on alternative factors, including postprandial lipemia or coagulation, among others, discussing the underlying mechanism by which it exerts its effect, as well as providing a short review on future directions.","author":[{"dropping-particle":"","family":"Yubero-Serrano","given":"Elena M.","non-dropping-particle":"","parse-names":false,"suffix":""},{"dropping-particle":"","family":"Lopez-Moreno","given":"Javier","non-dropping-particle":"","parse-names":false,"suffix":""},{"dropping-particle":"","family":"Gomez-Delgado","given":"Francisco","non-dropping-particle":"","parse-names":false,"suffix":""},{"dropping-particle":"","family":"Lopez-Miranda","given":"Jose","non-dropping-particle":"","parse-names":false,"suffix":""}],"container-title":"European Journal of Clinical Nutrition","id":"ITEM-1","issue":"Table 1","issued":{"date-parts":[["2018"]]},"publisher":"Springer US","title":"Extra virgin olive oil: More than a healthy fat","type":"article-journal"},"uris":["http://www.mendeley.com/documents/?uuid=c51556c7-3ed5-4706-85a5-9b2f060bc5bc"]},{"id":"ITEM-2","itemData":{"DOI":"10.1016/j.diabres.2005.09.003","ISSN":"0168-8227","PMID":"16236380","abstract":"OBJECTIVE The aim of our work was to carry out a randomized clinical trial with a fast-food Mediterranean type diet rich in platelet activating factor (PAF) antagonist to investigate the effect on type 2 diabetics and healthy human subject's platelet aggregation. RESEARCH DESIGN AND METHODS We extracted lipids from fast-food Mediterranean type foodstuffs, and tested them in vitro for their ability to inhibit or antagonize PAF towards washed rabbit platelets. We chose the foodstuffs that exerted the most potent in vitro anti-PAF activity and fed 22 healthy (group A) and 23 type 2 diabetics (group B) subjects on a diet containing the chosen foodstuffs. The 22 type 2 diabetics (group C) subjects were kept on their regular diet that was being followed before entering the study. Before and after a 4-week diet, all enrolled subjects underwent the following examinations; measurement of total cholesterol, low density lipoprotein (LDL-cholesterol), high density lipoprotein (HDL-cholesterol), triglycerides, glucose, HbA(1c), body mass index (BMI), and platelet aggregation in response to PAF, adenosine 5' diphosphate (ADP) and arachidonic acid (AA). RESULTS The chosen diet significantly increased the EC(50) values of PAF and ADP to groups A and B (p&lt;0.05). No statistical difference was observed on the EC(50) value of group C. No statistical differences were detected among Cholesterol, LDL-cholesterol, triglycerides, glucose, HBA(1c), BMI, and EC(50) for AA values, for any of the three groups. CONCLUSIONS Consumption of a fast-food Mediterranean type diet rich in PAF antagonist improved platelet response of type 2 diabetics and healthy human subjects against thrombotic, inflammatory and proatherogenic factors.","author":[{"dropping-particle":"","family":"Karantonis","given":"Haralabos C","non-dropping-particle":"","parse-names":false,"suffix":""},{"dropping-particle":"","family":"Fragopoulou","given":"Elizabeth","non-dropping-particle":"","parse-names":false,"suffix":""},{"dropping-particle":"","family":"Antonopoulou","given":"Smaragdi","non-dropping-particle":"","parse-names":false,"suffix":""},{"dropping-particle":"","family":"Rementzis","given":"John","non-dropping-particle":"","parse-names":false,"suffix":""},{"dropping-particle":"","family":"Phenekos","given":"Costas","non-dropping-particle":"","parse-names":false,"suffix":""},{"dropping-particle":"","family":"Demopoulos","given":"Constantinos A","non-dropping-particle":"","parse-names":false,"suffix":""}],"container-title":"Diabetes research and clinical practice","id":"ITEM-2","issue":"1","issued":{"date-parts":[["2006","4"]]},"page":"33-41","title":"Effect of fast-food Mediterranean-type diet on type 2 diabetics and healthy human subjects' platelet aggregation.","type":"article-journal","volume":"72"},"uris":["http://www.mendeley.com/documents/?uuid=f7b80ea5-45ed-37e2-a55f-6a16eda04cbe"]}],"mendeley":{"formattedCitation":"&lt;sup&gt;[9,12]&lt;/sup&gt;","plainTextFormattedCitation":"[9,12]","previouslyFormattedCitation":"&lt;sup&gt;[9,12]&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[9,12]</w:t>
      </w:r>
      <w:r w:rsidRPr="00B7408D">
        <w:rPr>
          <w:rFonts w:ascii="Book Antiqua" w:hAnsi="Book Antiqua" w:cs="Arial"/>
          <w:color w:val="000000"/>
          <w:lang w:val="en-US"/>
        </w:rPr>
        <w:fldChar w:fldCharType="end"/>
      </w:r>
      <w:r w:rsidRPr="00B7408D">
        <w:rPr>
          <w:rFonts w:ascii="Book Antiqua" w:hAnsi="Book Antiqua" w:cs="Arial"/>
          <w:color w:val="000000"/>
          <w:lang w:val="en-US"/>
        </w:rPr>
        <w:t>. Olive oil consumption has also been associated with reduced cancer risks, including for prostate, colorectal, and breast</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{"citationItems":[{"id":"ITEM-1","itemData":{"DOI":"10.1002/cam4.539","ISSN":"20457634","PMID":"26471010","abstract":"The aim of the present systematic review and meta-analysis of observational studies was to gain further insight into the effects of adherence to Mediterranean Diet (MD) on overall cancer mortality, incidence of different types of cancer, and cancer mortality risk in cancer survivors. Literature search was performed using the electronic databases PubMed, and EMBASE until 2 July 2015. We included either cohort (for specific tumors only incidence cases were used) or case-control studies. Study specific risk ratios, hazard ratios, and odds ratios (RR/HR/OR) were pooled using a random effect model. The updated review process showed 23 observational studies that were not included in the previous meta-analysis (total number of studies evaluated: 56 observational studies). An overall population of 1,784,404 subjects was included in the present update. The highest adherence score to an MD was significantly associated with a lower risk of all-cause cancer mortality (RR: 0.87, 95% CI 0.81-0.93, I(2) = 84%), colorectal cancer (RR: 0.83, 95% CI 0.76-0.89, I(2) = 56%), breast cancer (RR: 0.93, 95% CI 0.87-0.99, I(2) =15%), gastric cancer (RR: 0.73, 95% CI 0.55-0.97, I(2) = 66%), prostate cancer (RR: 0.96, 95% CI 0.92-1.00, I(2) = 0%), liver cancer (RR: 0.58, 95% CI 0.46-0.73, I(2) = 0%), head and neck cancer (RR: 0.40, 95% CI 0.24-0.66, I(2) = 90%), pancreatic cancer (RR: 0.48, 95% CI 0.35-0.66), and respiratory cancer (RR: 0.10, 95% CI 0.01-0.70). No significant association could be observed for esophageal/ovarian/endometrial/and bladder cancer, respectively. Among cancer survivors, the association between the adherence to the highest MD category and risk of cancer mortality, and cancer recurrence was not statistically significant. The updated meta-analyses confirm a prominent and consistent inverse association provided by adherence to an MD in relation to cancer mortality and risk of several cancer types.","author":[{"dropping-particle":"","family":"Schwingshackl","given":"Lukas","non-dropping-particle":"","parse-names":false,"suffix":""},{"dropping-particle":"","family":"Hoffmann","given":"Georg","non-dropping-particle":"","parse-names":false,"suffix":""}],"container-title":"Cancer Medicine","id":"ITEM-1","issue":"12","issued":{"date-parts":[["2015","12"]]},"page":"1933-1947","title":"Adherence to Mediterranean diet and risk of cancer: an updated systematic review and meta-analysis of observational studies","type":"article-journal","volume":"4"},"uris":["http://www.mendeley.com/documents/?uuid=e8fc327c-269d-3b2f-81b2-6e25d6e89f8a"]},{"id":"ITEM-2","itemData":{"DOI":"10.1093/ije/dyx155","ISSN":"1464-3685","PMID":"29025095","abstract":"Background Evidence from epidemiological studies investigating associations between adherence to the Mediterranean diet and colorectal cancer is inconsistent. The aim of this study is to assess in the UK Women's Cohort Study whether adherence to the Mediterranean dietary pattern is associated with reduced incidence of cancers of the colon and rectum. Method A total of 35 372 women were followed for a median of 17.4 years. A 10-component score indicating adherence to the Mediterranean diet was generated for each cohort participant, using a 217-item food frequency questionnaire. The Mediterranean diet score ranged from 0 for minimal adherence to 10 for maximal adherence. Cox proportional hazards regression was used to provide adjusted hazard ratios (HRs) and 95% confidence intervals (CIs) for colon and rectal cancer risk. Results A total of 465 incident colorectal cancer cases were documented. In the multivariable adjusted model, the test for trend was positive (HR = 0.88, 95% CI: 0.78 to 0.99; Ptrend = 0.03) for a 2-point increment in the Mediterranean diet score. For rectal cancer, a 2-point increment in the Mediterranean diet score resulted in an HR (95% CI) of 0.69 (0.56 to 0.86), whereas a 62% linear reduced risk (HR 0.38; 95% CI: 0.20 to 0.74; Ptrend &lt; 0.001) was observed for women within the highest vs the lowest category of the MD score. Estimates for an association with colon cancer were weak (Ptrend = 0.41). Conclusions Findings suggest that women adhering to a Mediterranean dietary pattern may have a lower risk of colorectal cancer, especially rectal cancer.","author":[{"dropping-particle":"","family":"Jones","given":"Petra","non-dropping-particle":"","parse-names":false,"suffix":""},{"dropping-particle":"","family":"Cade","given":"Janet E","non-dropping-particle":"","parse-names":false,"suffix":""},{"dropping-particle":"","family":"Evans","given":"Charlotte E L","non-dropping-particle":"","parse-names":false,"suffix":""},{"dropping-particle":"","family":"Hancock","given":"Neil","non-dropping-particle":"","parse-names":false,"suffix":""},{"dropping-particle":"","family":"Greenwood","given":"Darren C","non-dropping-particle":"","parse-names":false,"suffix":""}],"container-title":"International journal of epidemiology","id":"ITEM-2","issue":"6","issued":{"date-parts":[["2017","12","1"]]},"page":"1786-1796","title":"The Mediterranean diet and risk of colorectal cancer in the UK Women's Cohort Study.","type":"article-journal","volume":"46"},"uris":["http://www.mendeley.com/documents/?uuid=8c65d01d-eaa5-36c5-ac0c-4938aeac9f8c"]}],"mendeley":{"formattedCitation":"&lt;sup&gt;[13,14]&lt;/sup&gt;","plainTextFormattedCitation":"[13,14]","previouslyFormattedCitation":"&lt;sup&gt;[13,14]&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[13,14]</w:t>
      </w:r>
      <w:r w:rsidRPr="00B7408D">
        <w:rPr>
          <w:rFonts w:ascii="Book Antiqua" w:hAnsi="Book Antiqua" w:cs="Arial"/>
          <w:color w:val="000000"/>
          <w:lang w:val="en-US"/>
        </w:rPr>
        <w:fldChar w:fldCharType="end"/>
      </w:r>
      <w:r w:rsidRPr="00B7408D">
        <w:rPr>
          <w:rFonts w:ascii="Book Antiqua" w:hAnsi="Book Antiqua" w:cs="Arial"/>
          <w:color w:val="000000"/>
          <w:lang w:val="en-US"/>
        </w:rPr>
        <w:t>. Such beneficial effects are mainly attributed to its minor components</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{"citationItems":[{"id":"ITEM-1","itemData":{"DOI":"10.3390/ijms19030686","ISSN":"1422-0067","PMID":"29495598","abstract":"Beneficial effects of natural plant polyphenols on the human body have been evaluated in a number of scientific research projects. Bioactive polyphenols are natural compounds of various chemical structures. Their sources are mostly fruits, vegetables, nuts and seeds, roots, bark, leaves of different plants, herbs, whole grain products, processed foods (dark chocolate), as well as tea, coffee, and red wine. Polyphenols are believed to reduce morbidity and/or slow down the development of cardiovascular and neurodegenerative diseases as well as cancer. Biological activity of polyphenols is strongly related to their antioxidant properties. They tend to reduce the pool of reactive oxygen species as well as to neutralize potentially carcinogenic metabolites. A broad spectrum of health-promoting properties of plant polyphenols comprises antioxidant, anti-inflammatory, anti-allergic, anti-atherogenic, anti-thrombotic, and anti-mutagenic effects. Scientific studies present the ability of polyphenols to modulate the human immune system by affecting the proliferation of white blood cells, and also the production of cytokines or other factors that participate in the immunological defense. The aim of the review is to focus on polyphenols of olive oil in context of their biological activities.","author":[{"dropping-particle":"","family":"Gorzynik-Debicka","given":"Monika","non-dropping-particle":"","parse-names":false,"suffix":""},{"dropping-particle":"","family":"Przychodzen","given":"Paulina","non-dropping-particle":"","parse-names":false,"suffix":""},{"dropping-particle":"","family":"Cappello","given":"Francesco","non-dropping-particle":"","parse-names":false,"suffix":""},{"dropping-particle":"","family":"Kuban-Jankowska","given":"Alicja","non-dropping-particle":"","parse-names":false,"suffix":""},{"dropping-particle":"","family":"Marino Gammazza","given":"Antonella","non-dropping-particle":"","parse-names":false,"suffix":""},{"dropping-particle":"","family":"Knap","given":"Narcyz","non-dropping-particle":"","parse-names":false,"suffix":""},{"dropping-particle":"","family":"Wozniak","given":"Michal","non-dropping-particle":"","parse-names":false,"suffix":""},{"dropping-particle":"","family":"Gorska-Ponikowska","given":"Magdalena","non-dropping-particle":"","parse-names":false,"suffix":""}],"container-title":"International Journal of Molecular Sciences","id":"ITEM-1","issue":"3","issued":{"date-parts":[["2018","2","28"]]},"page":"686","title":"Potential Health Benefits of Olive Oil and Plant Polyphenols","type":"article-journal","volume":"19"},"uris":["http://www.mendeley.com/documents/?uuid=5ab6964c-1f44-300d-8823-7ba4ca3ccfb9"]}],"mendeley":{"formattedCitation":"&lt;sup&gt;[15]&lt;/sup&gt;","plainTextFormattedCitation":"[15]","previouslyFormattedCitation":"&lt;sup&gt;[15]&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[15]</w:t>
      </w:r>
      <w:r w:rsidRPr="00B7408D">
        <w:rPr>
          <w:rFonts w:ascii="Book Antiqua" w:hAnsi="Book Antiqua" w:cs="Arial"/>
          <w:color w:val="000000"/>
          <w:lang w:val="en-US"/>
        </w:rPr>
        <w:fldChar w:fldCharType="end"/>
      </w:r>
      <w:r w:rsidRPr="00B7408D">
        <w:rPr>
          <w:rFonts w:ascii="Book Antiqua" w:hAnsi="Book Antiqua" w:cs="Arial"/>
          <w:color w:val="000000"/>
          <w:lang w:val="en-US"/>
        </w:rPr>
        <w:t>.</w:t>
      </w:r>
    </w:p>
    <w:p w14:paraId="1B817E34" w14:textId="3EAF1530" w:rsidR="006A0C4B" w:rsidRPr="00B7408D" w:rsidRDefault="006A0C4B" w:rsidP="007E2849">
      <w:pPr>
        <w:snapToGrid w:val="0"/>
        <w:spacing w:line="360" w:lineRule="auto"/>
        <w:ind w:firstLineChars="100" w:firstLine="240"/>
        <w:jc w:val="both"/>
        <w:rPr>
          <w:rFonts w:ascii="Book Antiqua" w:hAnsi="Book Antiqua" w:cs="Arial"/>
          <w:lang w:val="en-US"/>
        </w:rPr>
      </w:pPr>
      <w:r w:rsidRPr="00B7408D">
        <w:rPr>
          <w:rFonts w:ascii="Book Antiqua" w:hAnsi="Book Antiqua" w:cs="Arial"/>
          <w:color w:val="000000"/>
          <w:lang w:val="en-US"/>
        </w:rPr>
        <w:t>The Mediterranean diet, including olive oil, has been associated with risk reduction of mild cognitive impairment and Alzheimer’s disease</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{"citationItems":[{"id":"ITEM-1","itemData":{"DOI":"10.1002/ana.20854","ISSN":"03645134","PMID":"16622828","abstract":"OBJECTIVE Previous research in Alzheimer's disease (AD) has focused on individual dietary components. There is converging evidence that composite dietary patterns such as the Mediterranean diet (MeDi) is related to lower risk for cardiovascular disease, several forms of cancer, and overall mortality. We sought to investigate the association between MeDi and risk for AD. METHODS A total of 2,258 community-based nondemented individuals in New York were prospectively evaluated every 1.5 years. Adherence to the MeDi (zero- to nine-point scale with higher scores indicating higher adherence) was the main predictor in models that were adjusted for cohort, age, sex, ethnicity, education, apolipoprotein E genotype, caloric intake, smoking, medical comorbidity index, and body mass index. RESULTS There were 262 incident AD cases during the course of 4 (+/-3.0; range, 0.2-13.9) years of follow-up. Higher adherence to the MeDi was associated with lower risk for AD (hazard ratio, 0.91; 95% confidence interval, 0.83-0.98; p=0.015). Compared with subjects in the lowest MeDi tertile, subjects in the middle MeDi tertile had a hazard ratio of 0.85 (95% confidence interval, 0.63-1.16) and those at the highest tertile had a hazard ratio of 0.60 (95% confidence interval, 0.42-0.87) for AD (p for trend=0.007). INTERPRETATION We conclude that higher adherence to the MeDi is associated with a reduction in risk for AD.","author":[{"dropping-particle":"","family":"Scarmeas","given":"Nikolaos","non-dropping-particle":"","parse-names":false,"suffix":""},{"dropping-particle":"","family":"Stern","given":"Yaakov","non-dropping-particle":"","parse-names":false,"suffix":""},{"dropping-particle":"","family":"Tang","given":"Ming-Xin","non-dropping-particle":"","parse-names":false,"suffix":""},{"dropping-particle":"","family":"Mayeux","given":"Richard","non-dropping-particle":"","parse-names":false,"suffix":""},{"dropping-particle":"","family":"Luchsinger","given":"Jose A.","non-dropping-particle":"","parse-names":false,"suffix":""}],"container-title":"Annals of Neurology","id":"ITEM-1","issue":"6","issued":{"date-parts":[["2006","6"]]},"page":"912-921","title":"Mediterranean diet and risk for Alzheimer's disease","type":"article-journal","volume":"59"},"uris":["http://www.mendeley.com/documents/?uuid=cf785522-3cc8-3f4c-84f6-20763fc16134"]}],"mendeley":{"formattedCitation":"&lt;sup&gt;[16]&lt;/sup&gt;","plainTextFormattedCitation":"[16]","previouslyFormattedCitation":"&lt;sup&gt;[16]&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[16]</w:t>
      </w:r>
      <w:r w:rsidRPr="00B7408D">
        <w:rPr>
          <w:rFonts w:ascii="Book Antiqua" w:hAnsi="Book Antiqua" w:cs="Arial"/>
          <w:color w:val="000000"/>
          <w:lang w:val="en-US"/>
        </w:rPr>
        <w:fldChar w:fldCharType="end"/>
      </w:r>
      <w:r w:rsidRPr="00B7408D">
        <w:rPr>
          <w:rFonts w:ascii="Book Antiqua" w:hAnsi="Book Antiqua" w:cs="Arial"/>
          <w:color w:val="000000"/>
          <w:lang w:val="en-US"/>
        </w:rPr>
        <w:t xml:space="preserve">. For instance, mice with diet including extra virgin olive oil showed reduction in </w:t>
      </w:r>
      <w:proofErr w:type="spellStart"/>
      <w:r w:rsidRPr="00B7408D">
        <w:rPr>
          <w:rFonts w:ascii="Book Antiqua" w:hAnsi="Book Antiqua" w:cs="Arial"/>
          <w:color w:val="000000"/>
          <w:lang w:val="en-US"/>
        </w:rPr>
        <w:t>neuropathologies</w:t>
      </w:r>
      <w:proofErr w:type="spellEnd"/>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{"citationItems":[{"id":"ITEM-1","itemData":{"DOI":"10.1016/j.jnutbio.2015.07.022","ISSN":"1873-4847","PMID":"26344778","abstract":"Extra-virgin olive oil (EVOO) is one of the main elements of Mediterranean diet. Several studies have suggested that EVOO has several health promoting effects that could protect from and decrease the risk of Alzheimer's disease (AD). In this study, we investigated the effect of consumption of EVOO-enriched diet on amyloid- and tau-related pathological alterations that are associated with the progression of AD and cerebral amyloid angiopathy (CAA) in TgSwDI mice. Feeding mice with EVOO-enriched diet for 6months, beginning at an age before amyloid-β (Aβ) accumulation starts, has significantly reduced total Aβ and tau brain levels with a significant improvement in mouse cognitive behavior. This reduction in brain Aβ was explained by the enhanced Aβ clearance pathways and reduced brain production of Aβ via modulation of amyloid-β precursor protein processing. On the other hand, although feeding mice with EVOO-enriched diet for 3months, beginning at an age after Aβ accumulation starts, showed improved clearance across the blood-brain barrier and significant reduction in Aβ levels, it did not affect tau levels or improve cognitive functions of TgSwDI mouse. Collectively, results of this study suggest that the long-term consumption of EVOO-containing diet starting at early age provides a protective effect against AD and its related disorder CAA.","author":[{"dropping-particle":"","family":"Qosa","given":"Hisham","non-dropping-particle":"","parse-names":false,"suffix":""},{"dropping-particle":"","family":"Mohamed","given":"Loqman A","non-dropping-particle":"","parse-names":false,"suffix":""},{"dropping-particle":"","family":"Batarseh","given":"Yazan S","non-dropping-particle":"","parse-names":false,"suffix":""},{"dropping-particle":"","family":"Alqahtani","given":"Saeed","non-dropping-particle":"","parse-names":false,"suffix":""},{"dropping-particle":"","family":"Ibrahim","given":"Baher","non-dropping-particle":"","parse-names":false,"suffix":""},{"dropping-particle":"","family":"LeVine","given":"Harry","non-dropping-particle":"","parse-names":false,"suffix":""},{"dropping-particle":"","family":"Keller","given":"Jeffrey N","non-dropping-particle":"","parse-names":false,"suffix":""},{"dropping-particle":"","family":"Kaddoumi","given":"Amal","non-dropping-particle":"","parse-names":false,"suffix":""}],"container-title":"The Journal of nutritional biochemistry","id":"ITEM-1","issue":"12","issued":{"date-parts":[["2015","12"]]},"page":"1479-90","title":"Extra-virgin olive oil attenuates amyloid-β and tau pathologies in the brains of TgSwDI mice.","type":"article-journal","volume":"26"},"uris":["http://www.mendeley.com/documents/?uuid=46061b4e-a35e-3c17-9a3c-dedaf3c1e5cc"]}],"mendeley":{"formattedCitation":"&lt;sup&gt;[17]&lt;/sup&gt;","plainTextFormattedCitation":"[17]","previouslyFormattedCitation":"&lt;sup&gt;[17]&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[17]</w:t>
      </w:r>
      <w:r w:rsidRPr="00B7408D">
        <w:rPr>
          <w:rFonts w:ascii="Book Antiqua" w:hAnsi="Book Antiqua" w:cs="Arial"/>
          <w:color w:val="000000"/>
          <w:lang w:val="en-US"/>
        </w:rPr>
        <w:fldChar w:fldCharType="end"/>
      </w:r>
      <w:r w:rsidRPr="00B7408D">
        <w:rPr>
          <w:rFonts w:ascii="Book Antiqua" w:hAnsi="Book Antiqua" w:cs="Arial"/>
          <w:color w:val="000000"/>
          <w:lang w:val="en-US"/>
        </w:rPr>
        <w:t xml:space="preserve">. Risk of type 2 diabetes was also reduced with a diet having high olive oil intake. That is mainly due to its high content of monounsaturated fatty acid residues, as well as to the presence of </w:t>
      </w:r>
      <w:r w:rsidRPr="00B7408D">
        <w:rPr>
          <w:rFonts w:ascii="Book Antiqua" w:hAnsi="Book Antiqua" w:cs="Arial"/>
          <w:color w:val="000000"/>
          <w:lang w:val="en-US"/>
        </w:rPr>
        <w:lastRenderedPageBreak/>
        <w:t>polyphenols</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{"citationItems":[{"id":"ITEM-1","itemData":{"DOI":"10.7326/M13-1725","PMID":"24573661","abstract":"BACKGROUND Interventions promoting weight loss can reduce the incidence of type 2 diabetes mellitus. Whether dietary changes without calorie restriction also protect from diabetes has not been evaluated. OBJECTIVE To assess the efficacy of Mediterranean diets for the primary prevention of diabetes in the Prevención con Dieta Mediterránea trial, from October 2003 to December 2010 (median follow-up, 4.1 years). DESIGN Subgroup analysis of a multicenter, randomized trial. (Current Controlled Trials: ISRCTN35739639) SETTING: Primary care centers in Spain. PARTICIPANTS Men and women without diabetes (3541 patients aged 55 to 80 years) at high cardiovascular risk. INTERVENTION Participants were randomly assigned and stratified by site, sex, and age but not diabetes status to receive 1 of 3 diets: Mediterranean diet supplemented with extra-virgin olive oil (EVOO), Mediterranean diet supplemented with nuts, or a control diet (advice on a low-fat diet). No intervention to increase physical activity or lose weight was included. MEASUREMENTS Incidence of new-onset type 2 diabetes mellitus (prespecified secondary outcome). RESULTS During follow-up, 80, 92, and 101 new-onset cases of diabetes occurred in the Mediterranean diet supplemented with EVOO, Mediterranean diet supplemented with mixed nuts, and control diet groups, respectively, corresponding to rates of 16.0, 18.7, and 23.6 cases per 1000 person-years. Multivariate-adjusted hazard ratios were 0.60 (95% CI, 0.43 to 0.85) for the Mediterranean diet supplemented with EVOO and 0.82 (CI, 0.61 to 1.10) for the Mediterranean diet supplemented with nuts compared with the control diet. LIMITATIONS Randomization was not stratified by diabetes status. Withdrawals were greater in the control group. CONCLUSION A Mediterranean diet enriched with EVOO but without energy restrictions reduced diabetes risk among persons with high cardiovascular risk. PRIMARY FUNDING SOURCE Instituto de Salud Carlos III.","author":[{"dropping-particle":"","family":"Salas-Salvadó","given":"Jordi","non-dropping-particle":"","parse-names":false,"suffix":""},{"dropping-particle":"","family":"Bulló","given":"Mònica","non-dropping-particle":"","parse-names":false,"suffix":""},{"dropping-particle":"","family":"Estruch","given":"Ramón","non-dropping-particle":"","parse-names":false,"suffix":""},{"dropping-particle":"","family":"Ros","given":"Emilio","non-dropping-particle":"","parse-names":false,"suffix":""},{"dropping-particle":"","family":"Covas","given":"Maria-Isabel","non-dropping-particle":"","parse-names":false,"suffix":""},{"dropping-particle":"","family":"Ibarrola-Jurado","given":"Núria","non-dropping-particle":"","parse-names":false,"suffix":""},{"dropping-particle":"","family":"Corella","given":"Dolores","non-dropping-particle":"","parse-names":false,"suffix":""},{"dropping-particle":"","family":"Arós","given":"Fernando","non-dropping-particle":"","parse-names":false,"suffix":""},{"dropping-particle":"","family":"Gómez-Gracia","given":"Enrique","non-dropping-particle":"","parse-names":false,"suffix":""},{"dropping-particle":"","family":"Ruiz-Gutiérrez","given":"Valentina","non-dropping-particle":"","parse-names":false,"suffix":""},{"dropping-particle":"","family":"Romaguera","given":"Dora","non-dropping-particle":"","parse-names":false,"suffix":""},{"dropping-particle":"","family":"Lapetra","given":"José","non-dropping-particle":"","parse-names":false,"suffix":""},{"dropping-particle":"","family":"Lamuela-Raventós","given":"Rosa Maria","non-dropping-particle":"","parse-names":false,"suffix":""},{"dropping-particle":"","family":"Serra-Majem","given":"Lluís","non-dropping-particle":"","parse-names":false,"suffix":""},{"dropping-particle":"","family":"Pintó","given":"Xavier","non-dropping-particle":"","parse-names":false,"suffix":""},{"dropping-particle":"","family":"Basora","given":"Josep","non-dropping-particle":"","parse-names":false,"suffix":""},{"dropping-particle":"","family":"Muñoz","given":"Miguel Angel","non-dropping-particle":"","parse-names":false,"suffix":""},{"dropping-particle":"V.","family":"Sorlí","given":"José","non-dropping-particle":"","parse-names":false,"suffix":""},{"dropping-particle":"","family":"Martínez-González","given":"Miguel A.","non-dropping-particle":"","parse-names":false,"suffix":""}],"container-title":"Annals of Internal Medicine","id":"ITEM-1","issue":"1","issued":{"date-parts":[["2014","1","7"]]},"page":"1-10","title":"Prevention of Diabetes With Mediterranean Diets: a subgroup analysis of a randomized trial","type":"article-journal","volume":"160"},"uris":["http://www.mendeley.com/documents/?uuid=69a88096-3bf1-3587-bbf8-7bfba7fcb513"]}],"mendeley":{"formattedCitation":"&lt;sup&gt;[18]&lt;/sup&gt;","plainTextFormattedCitation":"[18]","previouslyFormattedCitation":"&lt;sup&gt;[18]&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[18]</w:t>
      </w:r>
      <w:r w:rsidRPr="00B7408D">
        <w:rPr>
          <w:rFonts w:ascii="Book Antiqua" w:hAnsi="Book Antiqua" w:cs="Arial"/>
          <w:color w:val="000000"/>
          <w:lang w:val="en-US"/>
        </w:rPr>
        <w:fldChar w:fldCharType="end"/>
      </w:r>
      <w:r w:rsidRPr="00B7408D">
        <w:rPr>
          <w:rFonts w:ascii="Book Antiqua" w:hAnsi="Book Antiqua" w:cs="Arial"/>
          <w:color w:val="000000"/>
          <w:lang w:val="en-US"/>
        </w:rPr>
        <w:t>. Indeed, replacement of a diet rich in saturated fatty acid residues by extra virgin olive reduced glycosylated hemoglobin between 0.3% and 2.0%</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{"citationItems":[{"id":"ITEM-1","itemData":{"DOI":"10.1038/s41430-018-0304-x","ISSN":"14765640","PMID":"30487558","abstract":"The beneficial effects of a Mediterranean diet on human health and, in particular, on lowering risk of cardiovascular disease, has been mainly attributed to its high content to extra virgin olive oil (EVOO). While its main fatty acid, oleic acid, is considered important to these effects, EVOO has other biological properties that depend on, or are potentiated by other minor components of this oil. Initially, the mechanisms considered as possible causes of this cardioprotective effect of EVOO were based on the incidence on the so-called traditional risk factors (especially lipids and blood pressure). However, the high relative reduction in the prevalence of cardiovascular morbidity and mortality were not proportional to the limited findings about regulation of those traditional risk factors. In addition to several studies confirming the above effects, current research on beneficial effect of EVOO, and in particular in conjunction with Mediterranean style diets, is being focused on defining its effects on newer cardiovascular risk factors, such as inflammation, oxidative stress, coagulation, platelet aggregation, fibrinolysis, endothelial function or lipids or on the modulation of the conditions which predispose people to cardiovascular events, such as obesity, metabolic syndrome or type 2 diabetes mellitus. In the current review, we will mainly focus on reviewing the current evidence about the effects that EVOO exerts on alternative factors, including postprandial lipemia or coagulation, among others, discussing the underlying mechanism by which it exerts its effect, as well as providing a short review on future directions.","author":[{"dropping-particle":"","family":"Yubero-Serrano","given":"Elena M.","non-dropping-particle":"","parse-names":false,"suffix":""},{"dropping-particle":"","family":"Lopez-Moreno","given":"Javier","non-dropping-particle":"","parse-names":false,"suffix":""},{"dropping-particle":"","family":"Gomez-Delgado","given":"Francisco","non-dropping-particle":"","parse-names":false,"suffix":""},{"dropping-particle":"","family":"Lopez-Miranda","given":"Jose","non-dropping-particle":"","parse-names":false,"suffix":""}],"container-title":"European Journal of Clinical Nutrition","id":"ITEM-1","issue":"Table 1","issued":{"date-parts":[["2018"]]},"publisher":"Springer US","title":"Extra virgin olive oil: More than a healthy fat","type":"article-journal"},"uris":["http://www.mendeley.com/documents/?uuid=c51556c7-3ed5-4706-85a5-9b2f060bc5bc"]}],"mendeley":{"formattedCitation":"&lt;sup&gt;[9]&lt;/sup&gt;","plainTextFormattedCitation":"[9]","previouslyFormattedCitation":"&lt;sup&gt;[9]&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[9]</w:t>
      </w:r>
      <w:r w:rsidRPr="00B7408D">
        <w:rPr>
          <w:rFonts w:ascii="Book Antiqua" w:hAnsi="Book Antiqua" w:cs="Arial"/>
          <w:color w:val="000000"/>
          <w:lang w:val="en-US"/>
        </w:rPr>
        <w:fldChar w:fldCharType="end"/>
      </w:r>
      <w:r w:rsidRPr="00B7408D">
        <w:rPr>
          <w:rFonts w:ascii="Book Antiqua" w:hAnsi="Book Antiqua" w:cs="Arial"/>
          <w:color w:val="000000"/>
          <w:lang w:val="en-US"/>
        </w:rPr>
        <w:t>.</w:t>
      </w:r>
    </w:p>
    <w:p w14:paraId="51D35D77" w14:textId="77777777" w:rsidR="006A0C4B" w:rsidRPr="00B7408D" w:rsidRDefault="006A0C4B" w:rsidP="004D452C">
      <w:pPr>
        <w:snapToGrid w:val="0"/>
        <w:spacing w:line="360" w:lineRule="auto"/>
        <w:ind w:firstLineChars="100" w:firstLine="240"/>
        <w:jc w:val="both"/>
        <w:rPr>
          <w:rFonts w:ascii="Book Antiqua" w:hAnsi="Book Antiqua" w:cs="Arial"/>
          <w:lang w:val="en-US"/>
        </w:rPr>
      </w:pPr>
      <w:r w:rsidRPr="00B7408D">
        <w:rPr>
          <w:rFonts w:ascii="Book Antiqua" w:hAnsi="Book Antiqua" w:cs="Arial"/>
          <w:color w:val="000000"/>
          <w:lang w:val="en-US"/>
        </w:rPr>
        <w:t xml:space="preserve">Aging is characterized by oxidative stress, telomer shortage, genomic instability, epigenetic alterations, </w:t>
      </w:r>
      <w:proofErr w:type="spellStart"/>
      <w:r w:rsidRPr="00B7408D">
        <w:rPr>
          <w:rFonts w:ascii="Book Antiqua" w:hAnsi="Book Antiqua" w:cs="Arial"/>
          <w:color w:val="000000"/>
          <w:lang w:val="en-US"/>
        </w:rPr>
        <w:t>proteostasis</w:t>
      </w:r>
      <w:proofErr w:type="spellEnd"/>
      <w:r w:rsidRPr="00B7408D">
        <w:rPr>
          <w:rFonts w:ascii="Book Antiqua" w:hAnsi="Book Antiqua" w:cs="Arial"/>
          <w:color w:val="000000"/>
          <w:lang w:val="en-US"/>
        </w:rPr>
        <w:t xml:space="preserve"> (protein homeostasis) reduction, nutrition deregulation, mitochondrial dysfunction, cellular senescence, dysfunction of stem cell populations, and altered cellular communications. Interestingly, beneficial effects of olive oil and its components on health include attenuation of the negative alterations of aging</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{"citationItems":[{"id":"ITEM-1","itemData":{"DOI":"10.3390/molecules21020163","ISBN":"1420-3049 (Electronic)\\r1420-3049 (Linking)","ISSN":"14203049","PMID":"26840281","abstract":"Aging is a multifactorial and tissue-specific process involving diverse alterations regarded as the “hallmarks of aging”, which include genomic instability, telomere attrition, epigenetic alterations, loss of proteostasis, deregulated nutrient sensing, mitochondrial dysfunction, cellular senescence, stem cell exhaustion and altered intracellular communication. Virtually all these hallmarks are targeted by dietary olive oil, particularly by virgin olive oil, since many of its beneficial effects can be accounted not only for the monounsaturated nature of its predominant fatty acid (oleic acid), but also for the bioactivity of its minor compounds, which can act on cells though both direct and indirect mechanisms due to their ability to modulate gene expression. Among the minor constituents of virgin olive oil, secoiridoids stand out for their capacity to modulate many pathways that are relevant for the aging process. Attenuation of aging-related alterations by olive oil or its minor compounds has been observed in cellular, animal and human models. How olive oil targets the hallmarks of aging could explain the improvement of health, reduced risk of aging-associated diseases, and increased longevity which have been associated with consumption of a typical Mediterranean diet containing this edible oil as the predominant fat source.","author":[{"dropping-particle":"","family":"Río","given":"Lucía Fernández","non-dropping-particle":"Del","parse-names":false,"suffix":""},{"dropping-particle":"","family":"Gutiérrez-Casado","given":"Elena","non-dropping-particle":"","parse-names":false,"suffix":""},{"dropping-particle":"","family":"Varela-López","given":"Alfonso","non-dropping-particle":"","parse-names":false,"suffix":""},{"dropping-particle":"","family":"Villalba","given":"José M.","non-dropping-particle":"","parse-names":false,"suffix":""}],"container-title":"Molecules","id":"ITEM-1","issue":"2","issued":{"date-parts":[["2016"]]},"page":"1-30","title":"Olive oil and the hallmarks of aging","type":"article-journal","volume":"21"},"uris":["http://www.mendeley.com/documents/?uuid=86ffe768-f585-445f-b312-f1c4e1265c16"]}],"mendeley":{"formattedCitation":"&lt;sup&gt;[19]&lt;/sup&gt;","plainTextFormattedCitation":"[19]","previouslyFormattedCitation":"&lt;sup&gt;[19]&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[19]</w:t>
      </w:r>
      <w:r w:rsidRPr="00B7408D">
        <w:rPr>
          <w:rFonts w:ascii="Book Antiqua" w:hAnsi="Book Antiqua" w:cs="Arial"/>
          <w:color w:val="000000"/>
          <w:lang w:val="en-US"/>
        </w:rPr>
        <w:fldChar w:fldCharType="end"/>
      </w:r>
      <w:r w:rsidRPr="00B7408D">
        <w:rPr>
          <w:rFonts w:ascii="Book Antiqua" w:hAnsi="Book Antiqua" w:cs="Arial"/>
          <w:color w:val="000000"/>
          <w:lang w:val="en-US"/>
        </w:rPr>
        <w:t>. For example, polyphenols of olive oil prevented DNA breakage induced by oxidizing agents by scavenging free radicals, as well as modulating DNA repair mechanisms</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{"citationItems":[{"id":"ITEM-1","itemData":{"DOI":"10.1093/jn/138.8.1411","ISSN":"1541-6100","PMID":"18641183","abstract":"Our aim in this study was to provide further support to the hypothesis that phenolic compounds may play an important role in the anticarcinogenic properties of olive oil. We measured the effect of olive oil phenols on hydrogen peroxide (H(2)O(2))-induced DNA damage in human peripheral blood mononuclear cells (PBMC) and promyelocytic leukemia cells (HL60) using single-cell gel electrophoresis (comet assay). Hydroxytyrosol [3,4-dyhydroxyphenyl-ethanol (3,4-DHPEA)] and a complex mixture of phenols extracted from both virgin olive oil (OO-PE) and olive mill wastewater (WW-PE) reduced the DNA damage at concentrations as low as 1 micromol/L when coincubated in the medium with H(2)O(2) (40 micromol/L). At 10 micromol/L 3,4-DHPEA, the protection was 93% in HL60 and 89% in PBMC. A similar protective activity was also shown by the dialdehydic form of elenoic acid linked to hydroxytyrosol (3,4-DHPEA-EDA) on both kinds of cells. Other purified compounds such as isomer of oleuropein aglycon (3,4-DHPEA-EA), oleuropein, tyrosol, [p-hydroxyphenyl-ethanol (p-HPEA)] the dialdehydic form of elenoic acid linked to tyrosol, caffeic acid, and verbascoside also protected the cells against H(2)O(2)-induced DNA damage although with a lower efficacy (range of protection, 25-75%). On the other hand, when tested in a model system in which the oxidative stress was induced by phorbole 12-myristate 13-acetate-activated monocytes, p-HPEA was more effective than 3,4-DHPEA in preventing the oxidative DNA damage. Overall, these results suggest that OO-PE and WW-PE may efficiently prevent the initiation step of carcinogenesis in vivo, because the concentrations effective against the oxidative DNA damage could be easily reached with normal intake of olive oil.","author":[{"dropping-particle":"","family":"Fabiani","given":"Roberto","non-dropping-particle":"","parse-names":false,"suffix":""},{"dropping-particle":"","family":"Rosignoli","given":"Patrizia","non-dropping-particle":"","parse-names":false,"suffix":""},{"dropping-particle":"","family":"Bartolomeo","given":"Angelo","non-dropping-particle":"De","parse-names":false,"suffix":""},{"dropping-particle":"","family":"Fuccelli","given":"Raffaela","non-dropping-particle":"","parse-names":false,"suffix":""},{"dropping-particle":"","family":"Servili","given":"Maurizio","non-dropping-particle":"","parse-names":false,"suffix":""},{"dropping-particle":"","family":"Montedoro","given":"Gian Francesco","non-dropping-particle":"","parse-names":false,"suffix":""},{"dropping-particle":"","family":"Morozzi","given":"Guido","non-dropping-particle":"","parse-names":false,"suffix":""}],"container-title":"The Journal of nutrition","id":"ITEM-1","issue":"8","issued":{"date-parts":[["2008","8","1"]]},"page":"1411-6","title":"Oxidative DNA damage is prevented by extracts of olive oil, hydroxytyrosol, and other olive phenolic compounds in human blood mononuclear cells and HL60 cells.","type":"article-journal","volume":"138"},"uris":["http://www.mendeley.com/documents/?uuid=a8f362dd-626d-375b-b166-a1015570feda"]}],"mendeley":{"formattedCitation":"&lt;sup&gt;[20]&lt;/sup&gt;","plainTextFormattedCitation":"[20]","previouslyFormattedCitation":"&lt;sup&gt;[20]&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[20]</w:t>
      </w:r>
      <w:r w:rsidRPr="00B7408D">
        <w:rPr>
          <w:rFonts w:ascii="Book Antiqua" w:hAnsi="Book Antiqua" w:cs="Arial"/>
          <w:color w:val="000000"/>
          <w:lang w:val="en-US"/>
        </w:rPr>
        <w:fldChar w:fldCharType="end"/>
      </w:r>
      <w:r w:rsidRPr="00B7408D">
        <w:rPr>
          <w:rFonts w:ascii="Book Antiqua" w:hAnsi="Book Antiqua" w:cs="Arial"/>
          <w:color w:val="000000"/>
          <w:lang w:val="en-US"/>
        </w:rPr>
        <w:t>. Indeed, a Mediterranean diet rich in extra virgin olive both reduced adiposity and increased telomer length</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{"citationItems":[{"id":"ITEM-1","itemData":{"DOI":"10.1038/ijo.2013.68","ISSN":"1476-5497","PMID":"23711776","abstract":"BACKGROUND Telomeres are nucleoprotein structures that protect the ends of eukaryote chromosomes. Shorter telomere length (TL) is associated with some age-related human disorders, but its relationship with obesity or adiposity parameters remains unclear. OBJECTIVE The aim of this study was to assess the relationship between TL and changes in adiposity indices after a 5-year nutritional intervention. DESIGN AND SUBJECTS TL was measured by quantitative real-time PCR in 521 subjects (55-80 years, 55% women). Participants were randomly selected from the PREDIMED-NAVARRA centre after they completed a 5-year intervention programme. Anthropometric parameters were directly measured by trained personnel at baseline and on a yearly basis thereafter. TL at baseline and changes in TL after a 5-year intervention were assessed. RESULTS Higher baseline TL significantly predicted a greater decrease in body weight (B=-1.09</w:instrText>
      </w:r>
      <w:r w:rsidRPr="00B7408D">
        <w:rPr>
          <w:rFonts w:ascii="Times New Roman" w:hAnsi="Times New Roman" w:cs="Times New Roman"/>
          <w:color w:val="000000"/>
          <w:lang w:val="en-US"/>
        </w:rPr>
        <w:instrText> </w:instrText>
      </w:r>
      <w:r w:rsidRPr="00B7408D">
        <w:rPr>
          <w:rFonts w:ascii="Book Antiqua" w:hAnsi="Book Antiqua" w:cs="Arial"/>
          <w:color w:val="000000"/>
          <w:lang w:val="en-US"/>
        </w:rPr>
        <w:instrText>kg, 95% confidence interval (CI): -2.01 to -0.16), body mass index (BMI) (B=-0.47</w:instrText>
      </w:r>
      <w:r w:rsidRPr="00B7408D">
        <w:rPr>
          <w:rFonts w:ascii="Times New Roman" w:hAnsi="Times New Roman" w:cs="Times New Roman"/>
          <w:color w:val="000000"/>
          <w:lang w:val="en-US"/>
        </w:rPr>
        <w:instrText> </w:instrText>
      </w:r>
      <w:r w:rsidRPr="00B7408D">
        <w:rPr>
          <w:rFonts w:ascii="Book Antiqua" w:hAnsi="Book Antiqua" w:cs="Arial"/>
          <w:color w:val="000000"/>
          <w:lang w:val="en-US"/>
        </w:rPr>
        <w:instrText>kg</w:instrText>
      </w:r>
      <w:r w:rsidRPr="00B7408D">
        <w:rPr>
          <w:rFonts w:ascii="Times New Roman" w:hAnsi="Times New Roman" w:cs="Times New Roman"/>
          <w:color w:val="000000"/>
          <w:lang w:val="en-US"/>
        </w:rPr>
        <w:instrText> </w:instrText>
      </w:r>
      <w:r w:rsidRPr="00B7408D">
        <w:rPr>
          <w:rFonts w:ascii="Book Antiqua" w:hAnsi="Book Antiqua" w:cs="Arial"/>
          <w:color w:val="000000"/>
          <w:lang w:val="en-US"/>
        </w:rPr>
        <w:instrText>m(-2), 95% CI: -0.83 to -0.11), waist circumference (B=-1.15</w:instrText>
      </w:r>
      <w:r w:rsidRPr="00B7408D">
        <w:rPr>
          <w:rFonts w:ascii="Times New Roman" w:hAnsi="Times New Roman" w:cs="Times New Roman"/>
          <w:color w:val="000000"/>
          <w:lang w:val="en-US"/>
        </w:rPr>
        <w:instrText> </w:instrText>
      </w:r>
      <w:r w:rsidRPr="00B7408D">
        <w:rPr>
          <w:rFonts w:ascii="Book Antiqua" w:hAnsi="Book Antiqua" w:cs="Arial"/>
          <w:color w:val="000000"/>
          <w:lang w:val="en-US"/>
        </w:rPr>
        <w:instrText>cm, 95% CI: -2.28 to -0.01) and waist to height ratio (B=-0.008, 95% CI: -0.010 to -0.001) in multiple-adjusted models. In addition, changes in TL during the 5-year intervention were inversely associated with changes in the four anthropometric variables. The reduction in adiposity indices during the intervention, associated with increasing TL, was even higher among subjects with the longest telomeres at baseline. Logistic regression analysis showed that the risk of remaining obese after 5 years was lower in those participants who initially had the longest telomeres and increased their TL after intervention (odds ratio=0.27, 95% CI: 0.03-2.03). CONCLUSIONS Our research suggests that TL is inversely associated with changes in obesity parameters. The assessment of TL can provide further insights for biological pathways leading to adiposity. We show for the first time an improvement of obesity indices when an increase in TL is observed after a 5-year Mediterranean diet intervention.","author":[{"dropping-particle":"","family":"García-Calzón","given":"S","non-dropping-particle":"","parse-names":false,"suffix":""},{"dropping-particle":"","family":"Gea","given":"A","non-dropping-particle":"","parse-names":false,"suffix":""},{"dropping-particle":"","family":"Razquin","given":"C","non-dropping-particle":"","parse-names":false,"suffix":""},{"dropping-particle":"","family":"Corella","given":"D","non-dropping-particle":"","parse-names":false,"suffix":""},{"dropping-particle":"","family":"Lamuela-Raventós","given":"R M","non-dropping-particle":"","parse-names":false,"suffix":""},{"dropping-particle":"","family":"Martínez","given":"J A","non-dropping-particle":"","parse-names":false,"suffix":""},{"dropping-particle":"","family":"Martínez-González","given":"M A","non-dropping-particle":"","parse-names":false,"suffix":""},{"dropping-particle":"","family":"Zalba","given":"G","non-dropping-particle":"","parse-names":false,"suffix":""},{"dropping-particle":"","family":"Marti","given":"A","non-dropping-particle":"","parse-names":false,"suffix":""}],"container-title":"International journal of obesity (2005)","id":"ITEM-1","issue":"2","issued":{"date-parts":[["2014","2","6"]]},"page":"177-82","title":"Longitudinal association of telomere length and obesity indices in an intervention study with a Mediterranean diet: the PREDIMED-NAVARRA trial.","type":"article-journal","volume":"38"},"uris":["http://www.mendeley.com/documents/?uuid=97bc26d1-cad2-32a3-8585-60a58735ff7b"]}],"mendeley":{"formattedCitation":"&lt;sup&gt;[21]&lt;/sup&gt;","plainTextFormattedCitation":"[21]","previouslyFormattedCitation":"&lt;sup&gt;[21]&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[21]</w:t>
      </w:r>
      <w:r w:rsidRPr="00B7408D">
        <w:rPr>
          <w:rFonts w:ascii="Book Antiqua" w:hAnsi="Book Antiqua" w:cs="Arial"/>
          <w:color w:val="000000"/>
          <w:lang w:val="en-US"/>
        </w:rPr>
        <w:fldChar w:fldCharType="end"/>
      </w:r>
      <w:r w:rsidRPr="00B7408D">
        <w:rPr>
          <w:rFonts w:ascii="Book Antiqua" w:hAnsi="Book Antiqua" w:cs="Arial"/>
          <w:color w:val="000000"/>
          <w:lang w:val="en-US"/>
        </w:rPr>
        <w:t>. On the other hand, oleuropein, an abundant polyphenol in extra virgin olive oil, stabilized the proteasome, during induction of replicative senescence, and extended life span</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{"citationItems":[{"id":"ITEM-1","itemData":{"DOI":"10.1089/rej.2006.0513","ISSN":"1549-1684","PMID":"17518699","abstract":"Normal human fibroblasts undergo replicative senescence due to both genetic and environmental factors. Senescence and aging can be further accelerated by exposure of cells to a variety of oxidative agents that contribute among other effects to the accumulation of damaged proteins. The proteasome, a multicatalytic nonlysosomal protease, has impaired function during aging, while its increased expression delays senescence in human fibroblasts. The aim of this study was to identify natural compounds that enhance proteasome activity and exhibit antiaging properties. We demonstrate that oleuropein, the major constituent of Olea europea leaf extract, olive oil and olives, enhances the proteasome activities in vitro stronger than other known chemical activators, possibly through conformational changes of the proteasome. Moreover, continuous treatment of early passage human embryonic fibroblasts with oleuropein decreases the intracellular levels of reactive oxygen species (ROS), reduces the amount of oxidized proteins through increased proteasome-mediated degradation rates and retains proteasome function during replicative senescence. Importantly, oleuropein-treated cultures exhibit a delay in the appearance of senescence morphology and their life span is extended by approximately 15%. In summary, these data demonstrate the beneficial effect of oleuropein on human fibroblasts undergoing replicative senescence and provide new insights towards enhancement of cellular antioxidant mechanisms by natural compounds that can be easily up-taken through normal diet.","author":[{"dropping-particle":"","family":"Katsiki","given":"Magda","non-dropping-particle":"","parse-names":false,"suffix":""},{"dropping-particle":"","family":"Chondrogianni","given":"Niki","non-dropping-particle":"","parse-names":false,"suffix":""},{"dropping-particle":"","family":"Chinou","given":"Ioanna","non-dropping-particle":"","parse-names":false,"suffix":""},{"dropping-particle":"","family":"Rivett","given":"a Jennifer","non-dropping-particle":"","parse-names":false,"suffix":""},{"dropping-particle":"","family":"Gonos","given":"Efstathios S","non-dropping-particle":"","parse-names":false,"suffix":""}],"container-title":"Rejuvenation research","id":"ITEM-1","issue":"2","issued":{"date-parts":[["2007","6"]]},"page":"157-72","title":"The olive constituent oleuropein exhibits proteasome stimulatory properties in vitro and confers life span extension of human embryonic fibroblasts.","type":"article-journal","volume":"10"},"uris":["http://www.mendeley.com/documents/?uuid=0d3965bd-c8f2-41ea-91b1-f9f7d9d7dd79"]}],"mendeley":{"formattedCitation":"&lt;sup&gt;[22]&lt;/sup&gt;","plainTextFormattedCitation":"[22]","previouslyFormattedCitation":"&lt;sup&gt;[22]&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[22]</w:t>
      </w:r>
      <w:r w:rsidRPr="00B7408D">
        <w:rPr>
          <w:rFonts w:ascii="Book Antiqua" w:hAnsi="Book Antiqua" w:cs="Arial"/>
          <w:color w:val="000000"/>
          <w:lang w:val="en-US"/>
        </w:rPr>
        <w:fldChar w:fldCharType="end"/>
      </w:r>
      <w:r w:rsidRPr="00B7408D">
        <w:rPr>
          <w:rFonts w:ascii="Book Antiqua" w:hAnsi="Book Antiqua" w:cs="Arial"/>
          <w:color w:val="000000"/>
          <w:lang w:val="en-US"/>
        </w:rPr>
        <w:t>. Additionally, olive oil and its components positively modulated different stem cell populations, which can promote tissue regeneration and reduce negative effects of aging</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{"citationItems":[{"id":"ITEM-1","itemData":{"DOI":"10.3390/molecules21020163","ISBN":"1420-3049 (Electronic)\\r1420-3049 (Linking)","ISSN":"14203049","PMID":"26840281","abstract":"Aging is a multifactorial and tissue-specific process involving diverse alterations regarded as the “hallmarks of aging”, which include genomic instability, telomere attrition, epigenetic alterations, loss of proteostasis, deregulated nutrient sensing, mitochondrial dysfunction, cellular senescence, stem cell exhaustion and altered intracellular communication. Virtually all these hallmarks are targeted by dietary olive oil, particularly by virgin olive oil, since many of its beneficial effects can be accounted not only for the monounsaturated nature of its predominant fatty acid (oleic acid), but also for the bioactivity of its minor compounds, which can act on cells though both direct and indirect mechanisms due to their ability to modulate gene expression. Among the minor constituents of virgin olive oil, secoiridoids stand out for their capacity to modulate many pathways that are relevant for the aging process. Attenuation of aging-related alterations by olive oil or its minor compounds has been observed in cellular, animal and human models. How olive oil targets the hallmarks of aging could explain the improvement of health, reduced risk of aging-associated diseases, and increased longevity which have been associated with consumption of a typical Mediterranean diet containing this edible oil as the predominant fat source.","author":[{"dropping-particle":"","family":"Río","given":"Lucía Fernández","non-dropping-particle":"Del","parse-names":false,"suffix":""},{"dropping-particle":"","family":"Gutiérrez-Casado","given":"Elena","non-dropping-particle":"","parse-names":false,"suffix":""},{"dropping-particle":"","family":"Varela-López","given":"Alfonso","non-dropping-particle":"","parse-names":false,"suffix":""},{"dropping-particle":"","family":"Villalba","given":"José M.","non-dropping-particle":"","parse-names":false,"suffix":""}],"container-title":"Molecules","id":"ITEM-1","issue":"2","issued":{"date-parts":[["2016"]]},"page":"1-30","title":"Olive oil and the hallmarks of aging","type":"article-journal","volume":"21"},"uris":["http://www.mendeley.com/documents/?uuid=86ffe768-f585-445f-b312-f1c4e1265c16"]},{"id":"ITEM-2","itemData":{"DOI":"10.1016/j.numecd.2017.09.003","ISSN":"15903729","abstract":"Background and aim Adherence to the Mediterranean Diet (MD) has been associated with a longer and better life. The aim of this study was to examine the effects of adherence to the MD, and of nutritional habits on endothelial progenitor (EPCs) and circulating progenitor (CPCs) cells in a cohort of nonagenarians enrolled within the Mugello Study, an epidemiological study aimed at investigating both clinically relevant geriatric items and various health issues, including those related to nutritional status. Methods and Results Four hundred twenty-one nonagenarians (306 F, 115 M, mean age: 93.1 ± 3.2 years) were evaluated. Adherence to MD was assessed through the Mediterranean Diet Score. Elderly subjects who were in the fourth quartile of the Mediterranean diet score showed significantly higher EPCs than subjects grouped into the other three quartiles. After adjustment for confounders, elderly subjects who were in the highest quartile of adherence to the MD score reported to have EPCs’ levels significantly higher than those who reported lower values of adherence to the MD. Furthermore, by analyzing different food categories, it was reported that daily consumption of olive oil and a higher consumption of fruit and vegetables showed higher CPCs CD34+ and EPCs CD34+/KDR+ than subjects with not daily or lower consumption. Conclusion Our results support the hypothesis that the adherence to MD, as well as a daily consumption of olive oil and fruit and vegetables, characteristics of MD, may protect against the development of endothelial dysfunction through increasing EPCs and CPCs in older age.","author":[{"dropping-particle":"","family":"Cesari","given":"F.","non-dropping-particle":"","parse-names":false,"suffix":""},{"dropping-particle":"","family":"Sofi","given":"F.","non-dropping-particle":"","parse-names":false,"suffix":""},{"dropping-particle":"","family":"Molino Lova","given":"R.","non-dropping-particle":"","parse-names":false,"suffix":""},{"dropping-particle":"","family":"Vannetti","given":"F.","non-dropping-particle":"","parse-names":false,"suffix":""},{"dropping-particle":"","family":"Pasquini","given":"G.","non-dropping-particle":"","parse-names":false,"suffix":""},{"dropping-particle":"","family":"Cecchi","given":"F.","non-dropping-particle":"","parse-names":false,"suffix":""},{"dropping-particle":"","family":"Marcucci","given":"R.","non-dropping-particle":"","parse-names":false,"suffix":""},{"dropping-particle":"","family":"Gori","given":"A. M.","non-dropping-particle":"","parse-names":false,"suffix":""},{"dropping-particle":"","family":"Macchi","given":"C.","non-dropping-particle":"","parse-names":false,"suffix":""},{"dropping-particle":"","family":"Boni","given":"R.","non-dropping-particle":"","parse-names":false,"suffix":""},{"dropping-particle":"","family":"Castagnoli","given":"C.","non-dropping-particle":"","parse-names":false,"suffix":""},{"dropping-particle":"","family":"Frandi","given":"R.","non-dropping-particle":"","parse-names":false,"suffix":""},{"dropping-particle":"","family":"Pancani","given":"S.","non-dropping-particle":"","parse-names":false,"suffix":""},{"dropping-particle":"","family":"Paperini","given":"A.","non-dropping-particle":"","parse-names":false,"suffix":""},{"dropping-particle":"","family":"Portaccio","given":"E.","non-dropping-particle":"","parse-names":false,"suffix":""},{"dropping-particle":"","family":"Razzolini","given":"L.","non-dropping-particle":"","parse-names":false,"suffix":""},{"dropping-particle":"","family":"Turcan","given":"N.","non-dropping-particle":"","parse-names":false,"suffix":""},{"dropping-particle":"","family":"Valecchi","given":"D.","non-dropping-particle":"","parse-names":false,"suffix":""},{"dropping-particle":"","family":"Gensini","given":"G. F.","non-dropping-particle":"","parse-names":false,"suffix":""},{"dropping-particle":"","family":"Abbate","given":"R.","non-dropping-particle":"","parse-names":false,"suffix":""}],"container-title":"Nutrition, Metabolism and Cardiovascular Diseases","id":"ITEM-2","issue":"1","issued":{"date-parts":[["2018"]]},"page":"84-90","title":"Aging process, adherence to Mediterranean diet and nutritional status in a large cohort of nonagenarians: Effects on endothelial progenitor cells","type":"article-journal","volume":"28"},"uris":["http://www.mendeley.com/documents/?uuid=3ffaacbf-c5c0-475f-9267-298e52772a4c"]}],"mendeley":{"formattedCitation":"&lt;sup&gt;[19,23]&lt;/sup&gt;","plainTextFormattedCitation":"[19,23]","previouslyFormattedCitation":"&lt;sup&gt;[19,23]&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[19,23]</w:t>
      </w:r>
      <w:r w:rsidRPr="00B7408D">
        <w:rPr>
          <w:rFonts w:ascii="Book Antiqua" w:hAnsi="Book Antiqua" w:cs="Arial"/>
          <w:color w:val="000000"/>
          <w:lang w:val="en-US"/>
        </w:rPr>
        <w:fldChar w:fldCharType="end"/>
      </w:r>
      <w:r w:rsidRPr="00B7408D">
        <w:rPr>
          <w:rFonts w:ascii="Book Antiqua" w:hAnsi="Book Antiqua" w:cs="Arial"/>
          <w:color w:val="000000"/>
          <w:lang w:val="en-US"/>
        </w:rPr>
        <w:t>.</w:t>
      </w:r>
    </w:p>
    <w:p w14:paraId="34B5907F" w14:textId="7ACA558A" w:rsidR="006A0C4B" w:rsidRPr="00B7408D" w:rsidRDefault="006A0C4B" w:rsidP="004D452C">
      <w:pPr>
        <w:snapToGrid w:val="0"/>
        <w:spacing w:line="360" w:lineRule="auto"/>
        <w:ind w:firstLineChars="100" w:firstLine="240"/>
        <w:jc w:val="both"/>
        <w:rPr>
          <w:rFonts w:ascii="Book Antiqua" w:hAnsi="Book Antiqua" w:cs="Arial"/>
          <w:color w:val="000000"/>
          <w:lang w:val="en-US"/>
        </w:rPr>
      </w:pPr>
      <w:r w:rsidRPr="00B7408D">
        <w:rPr>
          <w:rFonts w:ascii="Book Antiqua" w:hAnsi="Book Antiqua" w:cs="Arial"/>
          <w:color w:val="000000"/>
          <w:lang w:val="en-US"/>
        </w:rPr>
        <w:t>Adult mesenchymal stromal cells, also called mesenchymal stem cells (MSCs), comprise heterogeneous populations of undifferentiated cells, exhibiting high capacity for proliferation and differentiation into other cell types. MSCs can be found distributed in different tissues of the body, and they function as a cellular reservoir for tissue homeostasis maintenance and regeneration of damaged tissues</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{"citationItems":[{"id":"ITEM-1","itemData":{"ISSN":"0036-8075","PMID":"10102814","abstract":"Human mesenchymal stem cells are thought to be multipotent cells, which are present in adult marrow, that can replicate as undifferentiated cells and that have the potential to differentiate to lineages of mesenchymal tissues, including bone, cartilage, fat, tendon, muscle, and marrow stroma. Cells that have the characteristics of human mesenchymal stem cells were isolated from marrow aspirates of volunteer donors. These cells displayed a stable phenotype and remained as a monolayer in vitro. These adult stem cells could be induced to differentiate exclusively into the adipocytic, chondrocytic, or osteocytic lineages. Individual stem cells were identified that, when expanded to colonies, retained their multilineage potential.","author":[{"dropping-particle":"","family":"Pittenger","given":"M F","non-dropping-particle":"","parse-names":false,"suffix":""},{"dropping-particle":"","family":"Mackay","given":"A M","non-dropping-particle":"","parse-names":false,"suffix":""},{"dropping-particle":"","family":"Beck","given":"S C","non-dropping-particle":"","parse-names":false,"suffix":""},{"dropping-particle":"","family":"Jaiswal","given":"R K","non-dropping-particle":"","parse-names":false,"suffix":""},{"dropping-particle":"","family":"Douglas","given":"R","non-dropping-particle":"","parse-names":false,"suffix":""},{"dropping-particle":"","family":"Mosca","given":"J D","non-dropping-particle":"","parse-names":false,"suffix":""},{"dropping-particle":"","family":"Moorman","given":"M A","non-dropping-particle":"","parse-names":false,"suffix":""},{"dropping-particle":"","family":"Simonetti","given":"D W","non-dropping-particle":"","parse-names":false,"suffix":""},{"dropping-particle":"","family":"Craig","given":"S","non-dropping-particle":"","parse-names":false,"suffix":""},{"dropping-particle":"","family":"Marshak","given":"D R","non-dropping-particle":"","parse-names":false,"suffix":""}],"container-title":"Science","id":"ITEM-1","issue":"5411","issued":{"date-parts":[["1999","4","2"]]},"page":"143-7","title":"Multilineage potential of adult human mesenchymal stem cells.","type":"article-journal","volume":"284"},"uris":["http://www.mendeley.com/documents/?uuid=75c0692f-6a37-319c-971a-799565fb3cf4"]}],"mendeley":{"formattedCitation":"&lt;sup&gt;[24]&lt;/sup&gt;","plainTextFormattedCitation":"[24]","previouslyFormattedCitation":"&lt;sup&gt;[24]&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[24]</w:t>
      </w:r>
      <w:r w:rsidRPr="00B7408D">
        <w:rPr>
          <w:rFonts w:ascii="Book Antiqua" w:hAnsi="Book Antiqua" w:cs="Arial"/>
          <w:color w:val="000000"/>
          <w:lang w:val="en-US"/>
        </w:rPr>
        <w:fldChar w:fldCharType="end"/>
      </w:r>
      <w:r w:rsidRPr="00B7408D">
        <w:rPr>
          <w:rFonts w:ascii="Book Antiqua" w:hAnsi="Book Antiqua" w:cs="Arial"/>
          <w:color w:val="000000"/>
          <w:lang w:val="en-US"/>
        </w:rPr>
        <w:t>. They can be isolated from different tissues, like bone marrow, muscle, adipose tissue, hair follicles, dental roots, placenta, dermis, perichondrium, articular cartilage, umbilical cord, lungs, and liver</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10.1089/cell.2011.0045","ISSN":"2152-4971","author":[{"dropping-particle":"","family":"Huang","given":"Shishu","non-dropping-particle":"","parse-names":false,"suffix":""},{"dropping-particle":"","family":"Leung","given":"Victor","non-dropping-particle":"","parse-names":false,"suffix":""},{"dropping-particle":"","family":"Peng","given":"Songlin","non-dropping-particle":"","parse-names":false,"suffix":""},{"dropping-particle":"","family":"Li","given":"Laiching","non-dropping-particle":"","parse-names":false,"suffix":""},{"dropping-particle":"","family":"Lu","given":"Feng Juan","non-dropping-particle":"","parse-names":false,"suffix":""},{"dropping-particle":"","family":"Wang","given":"Ting","non-dropping-particle":"","parse-names":false,"suffix":""},{"dropping-particle":"","family":"Lu","given":"William","non-dropping-particle":"","parse-names":false,"suffix":""},{"dropping-particle":"","family":"Cheung","given":"Kenneth M.C.","non-dropping-particle":"","parse-names":false,"suffix":""},{"dropping-particle":"","family":"Zhou","given":"Guangqian","non-dropping-particle":"","parse-names":false,"suffix":""}],"container-title":"Cellular Reprogramming","id":"ITEM-1","issue":"6","issued":{"date-parts":[["2011","12"]]},"page":"465-472","title":"Developmental Definition of MSCs: New Insights Into Pending Questions","type":"article-journal","volume":"13"},"uris":["http://www.mendeley.com/documents/?uuid=96573e46-0b56-3b04-8666-ff701685a8cb"]}],"mendeley":{"formattedCitation":"&lt;sup&gt;[25]&lt;/sup&gt;","plainTextFormattedCitation":"[25]","previouslyFormattedCitation":"&lt;sup&gt;[25]&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[25]</w:t>
      </w:r>
      <w:r w:rsidRPr="00B7408D">
        <w:rPr>
          <w:rFonts w:ascii="Book Antiqua" w:hAnsi="Book Antiqua" w:cs="Arial"/>
          <w:color w:val="000000"/>
          <w:lang w:val="en-US"/>
        </w:rPr>
        <w:fldChar w:fldCharType="end"/>
      </w:r>
      <w:r w:rsidRPr="00B7408D">
        <w:rPr>
          <w:rFonts w:ascii="Book Antiqua" w:hAnsi="Book Antiqua" w:cs="Arial"/>
          <w:color w:val="000000"/>
          <w:lang w:val="en-US"/>
        </w:rPr>
        <w:t>. Such cells were originally identified in bone marrow, derived from nonhematopoietic cells, and exhibiting osteogenic potential and ability to adhere to plastic surfaces</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{"citationItems":[{"id":"ITEM-1","itemData":{"ISSN":"0008-8730","PMID":"5523063","author":[{"dropping-particle":"","family":"Friedenstein","given":"A J","non-dropping-particle":"","parse-names":false,"suffix":""},{"dropping-particle":"","family":"Chailakhjan","given":"R K","non-dropping-particle":"","parse-names":false,"suffix":""},{"dropping-particle":"","family":"Lalykina","given":"K S","non-dropping-particle":"","parse-names":false,"suffix":""}],"container-title":"Cell and tissue kinetics","id":"ITEM-1","issue":"4","issued":{"date-parts":[["1970","10"]]},"page":"393-403","title":"The development of fibroblast colonies in monolayer cultures of guinea-pig bone marrow and spleen cells.","type":"article-journal","volume":"3"},"uris":["http://www.mendeley.com/documents/?uuid=4c7e58c8-1dca-3880-94a3-5f540c09e6b9"]}],"mendeley":{"formattedCitation":"&lt;sup&gt;[26]&lt;/sup&gt;","plainTextFormattedCitation":"[26]","previouslyFormattedCitation":"&lt;sup&gt;[26]&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[26]</w:t>
      </w:r>
      <w:r w:rsidRPr="00B7408D">
        <w:rPr>
          <w:rFonts w:ascii="Book Antiqua" w:hAnsi="Book Antiqua" w:cs="Arial"/>
          <w:color w:val="000000"/>
          <w:lang w:val="en-US"/>
        </w:rPr>
        <w:fldChar w:fldCharType="end"/>
      </w:r>
      <w:r w:rsidRPr="00B7408D">
        <w:rPr>
          <w:rFonts w:ascii="Book Antiqua" w:hAnsi="Book Antiqua" w:cs="Arial"/>
          <w:color w:val="000000"/>
          <w:lang w:val="en-US"/>
        </w:rPr>
        <w:t>.</w:t>
      </w:r>
    </w:p>
    <w:p w14:paraId="3475320D" w14:textId="6C45079B" w:rsidR="006A0C4B" w:rsidRPr="00B7408D" w:rsidRDefault="006A0C4B" w:rsidP="004D452C">
      <w:pPr>
        <w:snapToGrid w:val="0"/>
        <w:spacing w:line="360" w:lineRule="auto"/>
        <w:ind w:firstLineChars="100" w:firstLine="240"/>
        <w:jc w:val="both"/>
        <w:rPr>
          <w:rFonts w:ascii="Book Antiqua" w:hAnsi="Book Antiqua" w:cs="Arial"/>
          <w:color w:val="000000"/>
          <w:lang w:val="en-US"/>
        </w:rPr>
      </w:pPr>
      <w:r w:rsidRPr="00B7408D">
        <w:rPr>
          <w:rFonts w:ascii="Book Antiqua" w:hAnsi="Book Antiqua" w:cs="Arial"/>
          <w:color w:val="000000"/>
          <w:lang w:val="en-US"/>
        </w:rPr>
        <w:t xml:space="preserve">Yet, this cell population has not been completely characterized, due to lack of specific biomarkers. The minimum criteria to define MSCs by the International Society for Cellular Therapy include: adherence to plastic; capacity to differentiate into osteoblasts, adipocytes and chondrocytes </w:t>
      </w:r>
      <w:r w:rsidRPr="00B7408D">
        <w:rPr>
          <w:rFonts w:ascii="Book Antiqua" w:hAnsi="Book Antiqua" w:cs="Arial"/>
          <w:i/>
          <w:color w:val="000000"/>
          <w:lang w:val="en-US"/>
        </w:rPr>
        <w:t>in vitro</w:t>
      </w:r>
      <w:r w:rsidRPr="00B7408D">
        <w:rPr>
          <w:rFonts w:ascii="Book Antiqua" w:hAnsi="Book Antiqua" w:cs="Arial"/>
          <w:color w:val="000000"/>
          <w:lang w:val="en-US"/>
        </w:rPr>
        <w:t xml:space="preserve">; presence of </w:t>
      </w:r>
      <w:r w:rsidRPr="00B7408D">
        <w:rPr>
          <w:rFonts w:ascii="Book Antiqua" w:hAnsi="Book Antiqua" w:cs="Arial"/>
          <w:color w:val="000000"/>
          <w:lang w:val="en-US"/>
        </w:rPr>
        <w:lastRenderedPageBreak/>
        <w:t>CD73 (ecto-50-nucleotidase), CD90 (Thy1) and CD105 (endoglin, SH2) markers, as well as the absence of CD45, CD19, CD19 or CD79, CD14 or CD11b and human leukocyte antigen –DR isotype (HLA-DR) hematopoietic markers</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{"citationItems":[{"id":"ITEM-1","itemData":{"DOI":"10.1080/14653240600855905","ISSN":"1465-3249","PMID":"16923606","abstract":"The considerable therapeutic potential of human multipotent mesenchymal stromal cells (MSC) has generated markedly increasing interest in a wide variety of biomedical disciplines. However, investigators report studies of MSC using different methods of isolation and expansion, and different approaches to characterizing the cells. Thus it is increasingly difficult to compare and contrast study outcomes, which hinders progress in the field. To begin to address this issue, the Mesenchymal and Tissue Stem Cell Committee of the International Society for Cellular Therapy proposes minimal criteria to define human MSC. First, MSC must be plastic-adherent when maintained in standard culture conditions. Second, MSC must express CD105, CD73 and CD90, and lack expression of CD45, CD34, CD14 or CD11b, CD79alpha or CD19 and HLA-DR surface molecules. Third, MSC must differentiate to osteoblasts, adipocytes and chondroblasts in vitro. While these criteria will probably require modification as new knowledge unfolds, we believe this minimal set of standard criteria will foster a more uniform characterization of MSC and facilitate the exchange of data among investigators.","author":[{"dropping-particle":"","family":"Dominici","given":"M","non-dropping-particle":"","parse-names":false,"suffix":""},{"dropping-particle":"","family":"Blanc","given":"K","non-dropping-particle":"Le","parse-names":false,"suffix":""},{"dropping-particle":"","family":"Mueller","given":"I","non-dropping-particle":"","parse-names":false,"suffix":""},{"dropping-particle":"","family":"Slaper-Cortenbach","given":"I","non-dropping-particle":"","parse-names":false,"suffix":""},{"dropping-particle":"","family":"Marini","given":"Fc","non-dropping-particle":"","parse-names":false,"suffix":""},{"dropping-particle":"","family":"Krause","given":"Ds","non-dropping-particle":"","parse-names":false,"suffix":""},{"dropping-particle":"","family":"Deans","given":"Rj","non-dropping-particle":"","parse-names":false,"suffix":""},{"dropping-particle":"","family":"Keating","given":"a","non-dropping-particle":"","parse-names":false,"suffix":""},{"dropping-particle":"","family":"Prockop","given":"Dj","non-dropping-particle":"","parse-names":false,"suffix":""},{"dropping-particle":"","family":"Horwitz","given":"Em","non-dropping-particle":"","parse-names":false,"suffix":""}],"container-title":"Cytotherapy","id":"ITEM-1","issue":"4","issued":{"date-parts":[["2006","1"]]},"page":"315-7","publisher":"Elsevier","title":"Minimal criteria for defining multipotent mesenchymal stromal cells. The International Society for Cellular Therapy position statement.","type":"article-journal","volume":"8"},"uris":["http://www.mendeley.com/documents/?uuid=124019ab-95a5-4254-9e1c-999145c2f49c"]}],"mendeley":{"formattedCitation":"&lt;sup&gt;[27]&lt;/sup&gt;","plainTextFormattedCitation":"[27]","previouslyFormattedCitation":"&lt;sup&gt;[27]&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[27]</w:t>
      </w:r>
      <w:r w:rsidRPr="00B7408D">
        <w:rPr>
          <w:rFonts w:ascii="Book Antiqua" w:hAnsi="Book Antiqua" w:cs="Arial"/>
          <w:color w:val="000000"/>
          <w:lang w:val="en-US"/>
        </w:rPr>
        <w:fldChar w:fldCharType="end"/>
      </w:r>
      <w:r w:rsidRPr="00B7408D">
        <w:rPr>
          <w:rFonts w:ascii="Book Antiqua" w:hAnsi="Book Antiqua" w:cs="Arial"/>
          <w:color w:val="000000"/>
          <w:lang w:val="en-US"/>
        </w:rPr>
        <w:t>.</w:t>
      </w:r>
    </w:p>
    <w:p w14:paraId="0F0DF55E" w14:textId="71D0F130" w:rsidR="006A0C4B" w:rsidRPr="00B7408D" w:rsidRDefault="006A0C4B" w:rsidP="004D452C">
      <w:pPr>
        <w:snapToGrid w:val="0"/>
        <w:spacing w:line="360" w:lineRule="auto"/>
        <w:ind w:firstLineChars="100" w:firstLine="240"/>
        <w:jc w:val="both"/>
        <w:rPr>
          <w:rFonts w:ascii="Book Antiqua" w:hAnsi="Book Antiqua" w:cs="Arial"/>
          <w:color w:val="000000"/>
          <w:lang w:val="en-US"/>
        </w:rPr>
      </w:pPr>
      <w:r w:rsidRPr="00B7408D">
        <w:rPr>
          <w:rFonts w:ascii="Book Antiqua" w:hAnsi="Book Antiqua" w:cs="Arial"/>
          <w:color w:val="000000"/>
          <w:lang w:val="en-US"/>
        </w:rPr>
        <w:t xml:space="preserve">More recently, different </w:t>
      </w:r>
      <w:r w:rsidR="00662523" w:rsidRPr="00B7408D">
        <w:rPr>
          <w:rFonts w:ascii="Book Antiqua" w:hAnsi="Book Antiqua" w:cs="Arial"/>
          <w:color w:val="000000"/>
          <w:lang w:val="en-US"/>
        </w:rPr>
        <w:t>‘</w:t>
      </w:r>
      <w:r w:rsidRPr="00B7408D">
        <w:rPr>
          <w:rFonts w:ascii="Book Antiqua" w:hAnsi="Book Antiqua" w:cs="Arial"/>
          <w:color w:val="000000"/>
          <w:lang w:val="en-US"/>
        </w:rPr>
        <w:t>-</w:t>
      </w:r>
      <w:proofErr w:type="spellStart"/>
      <w:r w:rsidRPr="00B7408D">
        <w:rPr>
          <w:rFonts w:ascii="Book Antiqua" w:hAnsi="Book Antiqua" w:cs="Arial"/>
          <w:color w:val="000000"/>
          <w:lang w:val="en-US"/>
        </w:rPr>
        <w:t>omic</w:t>
      </w:r>
      <w:proofErr w:type="spellEnd"/>
      <w:r w:rsidR="00662523" w:rsidRPr="00B7408D">
        <w:rPr>
          <w:rFonts w:ascii="Book Antiqua" w:hAnsi="Book Antiqua" w:cs="Arial"/>
          <w:color w:val="000000"/>
          <w:lang w:val="en-US"/>
        </w:rPr>
        <w:t>’</w:t>
      </w:r>
      <w:r w:rsidRPr="00B7408D">
        <w:rPr>
          <w:rFonts w:ascii="Book Antiqua" w:hAnsi="Book Antiqua" w:cs="Arial"/>
          <w:color w:val="000000"/>
          <w:lang w:val="en-US"/>
        </w:rPr>
        <w:t xml:space="preserve"> sciences have been used for a better characterization of the MSCs. Indeed, several genomic and proteomic studies have proposed that MSCs are characterized by specific expression of a set of genes and protein biosynthesis</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{"citationItems":[{"id":"ITEM-1","itemData":{"DOI":"10.4061/2011/704256","ISSN":"1687-966X","abstract":"Mesenchymal stem cells (MSCs) are pluripotent cells isolated from the bone marrow and various other organs. They are able to proliferate and self-renew, as well as to give rise to progeny of at least the osteogenic, chondrogenic, and adipogenic lineages. Despite this functional definition, MSCs can also be defined by their expression of a distinct set of cell surface markers. In the current paper, studies investigating the proteome of human MSCs are reviewed with the aim to identify common protein markers of MSCs. The proteomic analysis of MSCs revealed a distinct set of proteins representing the basic molecular inventory, including proteins for (i) cell surface markers, (ii) the responsiveness to growth factors, (iii) the reuse of developmental signaling cascades in adult stem cells, (iv) the interaction with molecules of the extracellular matrix, (v) the expression of genes regulating transcription and translation, (vi) the control of the cell number, and (vii) the protection against cellular stress.","author":[{"dropping-particle":"","family":"Maurer","given":"Martin H.","non-dropping-particle":"","parse-names":false,"suffix":""}],"container-title":"Stem Cells International","id":"ITEM-1","issued":{"date-parts":[["2011"]]},"page":"1-9","title":"Proteomic Definitions of Mesenchymal Stem Cells","type":"article-journal","volume":"2011"},"uris":["http://www.mendeley.com/documents/?uuid=666bf758-5bf8-44bb-bc80-92e2cb71dc39"]},{"id":"ITEM-2","itemData":{"DOI":"10.1186/s12864-016-3230-0","ISSN":"14712164","PMID":"27871224","abstract":"Mesenchymal Stromal/Stem Cells (MSCs), isolated under the criteria established by the ISCT, still have a poorly characterized phenotype that is difficult to distinguish from similar cell populations. Although the field of transcriptomics and functional genomics has quickly grown in the last decade, a deep comparative analysis of human MSCs expression profiles in a meaningful cellular context has not been yet performed. There is also a need to find a well-defined MSCs gene-signature because many recent biomedical studies show that key cellular interaction processes (i.e. inmuno-modulation, cellular cross-talk, cellular maintenance, differentiation, epithelial-mesenchymal transition) are dependent on the mesenchymal stem cells within the stromal niche. In this work we define a core mesenchymal lineage signature of 489 genes based on a deep comparative analysis of multiple transcriptomic expression data series that comprise: (i) MSCs of different tissue origins; (ii) MSCs in different states of commitment; (iii) other related non-mesenchymal human cell types. The work integrates several public datasets, as well as de-novo produced microarray and RNA-Seq datasets. The results present tissue-specific signatures for adipose tissue, chorionic placenta, and bone marrow MSCs, as well as for dermal fibroblasts; providing a better definition of the relationship between fibroblasts and MSCs. Finally, novel CD marker patterns and cytokine-receptor profiles are unravelled, especially for BM-MSCs; with MCAM (CD146) revealed as a prevalent marker in this subtype of MSCs. The improved biomolecular characterization and the released genome-wide expression signatures of human MSCs provide a comprehensive new resource that can drive further functional studies and redesigned cell therapy applications.","author":[{"dropping-particle":"","family":"Roson-Burgo","given":"Beatriz","non-dropping-particle":"","parse-names":false,"suffix":""},{"dropping-particle":"","family":"Sanchez-Guijo","given":"Fermin","non-dropping-particle":"","parse-names":false,"suffix":""},{"dropping-particle":"","family":"Cañizo","given":"Consuelo","non-dropping-particle":"Del","parse-names":false,"suffix":""},{"dropping-particle":"","family":"Las Rivas","given":"Javier","non-dropping-particle":"De","parse-names":false,"suffix":""}],"container-title":"BMC Genomics","id":"ITEM-2","issue":"1","issued":{"date-parts":[["2016"]]},"page":"1-27","publisher":"BMC Genomics","title":"Insights into the human mesenchymal stromal/stem cell identity through integrative transcriptomic profiling","type":"article-journal","volume":"17"},"uris":["http://www.mendeley.com/documents/?uuid=b3c84ecc-4a71-450b-b39b-91e87eff213e"]}],"mendeley":{"formattedCitation":"&lt;sup&gt;[28,29]&lt;/sup&gt;","plainTextFormattedCitation":"[28,29]","previouslyFormattedCitation":"&lt;sup&gt;[28,29]&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[28,29]</w:t>
      </w:r>
      <w:r w:rsidRPr="00B7408D">
        <w:rPr>
          <w:rFonts w:ascii="Book Antiqua" w:hAnsi="Book Antiqua" w:cs="Arial"/>
          <w:color w:val="000000"/>
          <w:lang w:val="en-US"/>
        </w:rPr>
        <w:fldChar w:fldCharType="end"/>
      </w:r>
      <w:r w:rsidRPr="00B7408D">
        <w:rPr>
          <w:rFonts w:ascii="Book Antiqua" w:hAnsi="Book Antiqua" w:cs="Arial"/>
          <w:color w:val="000000"/>
          <w:lang w:val="en-US"/>
        </w:rPr>
        <w:t>. Another characteristic of MSCs is that they are metabolically very active, producing extracellular matrix components, as well as an important variety of cytokines. Among other actions, they can modulate the adaptive and innate immune system</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{"citationItems":[{"id":"ITEM-1","itemData":{"DOI":"10.1016/j.stem.2012.05.015","ISBN":"1934-5909","ISSN":"19345909","PMID":"22704511","abstract":"Research into mesenchymal stromal/stem cells (MSCs) has been particularly exciting in the past five years. Our understanding of mechanisms of MSC-mediated tissue regeneration has undergone considerable evolution. Recent investigation of the primary in situ counterpart of cultured MSCs has led to fresh insights into MSC physiology and its role in the immune system. At the same time, the clinical application of MSCs continues to increase markedly. Taken together, a reappraisal of the definition of MSCs, a review of current research directions, and a reassessment of the approach to clinical investigation are timely and prudent. ©2012 Elsevier Inc.","author":[{"dropping-particle":"","family":"Keating","given":"Armand","non-dropping-particle":"","parse-names":false,"suffix":""}],"container-title":"Cell Stem Cell","id":"ITEM-1","issue":"6","issued":{"date-parts":[["2012"]]},"page":"709-716","publisher":"Elsevier Inc.","title":"Mesenchymal stromal cells: New directions","type":"article-journal","volume":"10"},"uris":["http://www.mendeley.com/documents/?uuid=29ec8ce2-30f6-4a35-872d-3bb548434d90"]}],"mendeley":{"formattedCitation":"&lt;sup&gt;[30]&lt;/sup&gt;","plainTextFormattedCitation":"[30]","previouslyFormattedCitation":"&lt;sup&gt;[30]&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[30]</w:t>
      </w:r>
      <w:r w:rsidRPr="00B7408D">
        <w:rPr>
          <w:rFonts w:ascii="Book Antiqua" w:hAnsi="Book Antiqua" w:cs="Arial"/>
          <w:color w:val="000000"/>
          <w:lang w:val="en-US"/>
        </w:rPr>
        <w:fldChar w:fldCharType="end"/>
      </w:r>
      <w:r w:rsidRPr="00B7408D">
        <w:rPr>
          <w:rFonts w:ascii="Book Antiqua" w:hAnsi="Book Antiqua" w:cs="Arial"/>
          <w:color w:val="000000"/>
          <w:lang w:val="en-US"/>
        </w:rPr>
        <w:t xml:space="preserve">. The possibility to isolate, and </w:t>
      </w:r>
      <w:r w:rsidRPr="00B7408D">
        <w:rPr>
          <w:rFonts w:ascii="Book Antiqua" w:hAnsi="Book Antiqua" w:cs="Arial"/>
          <w:i/>
          <w:color w:val="000000"/>
          <w:lang w:val="en-US"/>
        </w:rPr>
        <w:t>in vitro</w:t>
      </w:r>
      <w:r w:rsidRPr="00B7408D">
        <w:rPr>
          <w:rFonts w:ascii="Book Antiqua" w:hAnsi="Book Antiqua" w:cs="Arial"/>
          <w:color w:val="000000"/>
          <w:lang w:val="en-US"/>
        </w:rPr>
        <w:t xml:space="preserve"> culture and differentiate MSCs has opened the door to their usage as therapeutic agents, especially for cellular therapy and regenerative medicine</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{"citationItems":[{"id":"ITEM-1","itemData":{"DOI":"10.1111/trf.12421","ISSN":"00411132","PMID":"24898458","abstract":"Mesenchymal stem cells (MSCs) have recently generated great interest in the fields of regenerative medicine and immunotherapy due to their unique biologic properties. In this review we attempt to provide an overview of the current clinical status of MSC therapy, primarily focusing on immunomodulatory and regenerative or tissue repair applications of MSCs. In addition, current manufacturing is reviewed with attention to variation in practices (e.g., starting material, approach to culture and product testing). There is considerable variation among the 218 clinical trials assessed here; variations include proposed mechanisms of action, optimal dosing strategy, and route of administration. To ensure the greatest likelihood of success in clinical trials as the field progresses, attention must be given to the optimization of MSC culture.","author":[{"dropping-particle":"","family":"Sharma","given":"Ratti Ram","non-dropping-particle":"","parse-names":false,"suffix":""},{"dropping-particle":"","family":"Pollock","given":"Kathryn","non-dropping-particle":"","parse-names":false,"suffix":""},{"dropping-particle":"","family":"Hubel","given":"Allison","non-dropping-particle":"","parse-names":false,"suffix":""},{"dropping-particle":"","family":"McKenna","given":"David","non-dropping-particle":"","parse-names":false,"suffix":""}],"container-title":"Transfusion","id":"ITEM-1","issue":"5","issued":{"date-parts":[["2014","5"]]},"page":"1418-1437","title":"Mesenchymal stem or stromal cells: a review of clinical applications and manufacturing practices","type":"article-journal","volume":"54"},"uris":["http://www.mendeley.com/documents/?uuid=d6c7878b-a987-3e9b-b311-df8a32d78d00"]}],"mendeley":{"formattedCitation":"&lt;sup&gt;[31]&lt;/sup&gt;","plainTextFormattedCitation":"[31]","previouslyFormattedCitation":"&lt;sup&gt;[31]&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[31]</w:t>
      </w:r>
      <w:r w:rsidRPr="00B7408D">
        <w:rPr>
          <w:rFonts w:ascii="Book Antiqua" w:hAnsi="Book Antiqua" w:cs="Arial"/>
          <w:color w:val="000000"/>
          <w:lang w:val="en-US"/>
        </w:rPr>
        <w:fldChar w:fldCharType="end"/>
      </w:r>
      <w:r w:rsidRPr="00B7408D">
        <w:rPr>
          <w:rFonts w:ascii="Book Antiqua" w:hAnsi="Book Antiqua" w:cs="Arial"/>
          <w:color w:val="000000"/>
          <w:lang w:val="en-US"/>
        </w:rPr>
        <w:t xml:space="preserve">. The putative therapeutic usage of their paracrine and </w:t>
      </w:r>
      <w:proofErr w:type="spellStart"/>
      <w:r w:rsidRPr="00B7408D">
        <w:rPr>
          <w:rFonts w:ascii="Book Antiqua" w:hAnsi="Book Antiqua" w:cs="Arial"/>
          <w:color w:val="000000"/>
          <w:lang w:val="en-US"/>
        </w:rPr>
        <w:t>antiinflammatory</w:t>
      </w:r>
      <w:proofErr w:type="spellEnd"/>
      <w:r w:rsidRPr="00B7408D">
        <w:rPr>
          <w:rFonts w:ascii="Book Antiqua" w:hAnsi="Book Antiqua" w:cs="Arial"/>
          <w:color w:val="000000"/>
          <w:lang w:val="en-US"/>
        </w:rPr>
        <w:t xml:space="preserve"> activity is also being evaluated currently</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{"citationItems":[{"id":"ITEM-1","itemData":{"ISSN":"1220-0522","PMID":"30534802","abstract":"In modern society, the healing of chronic wounds is still a major cause of discomfort for the patients and a financial burden for the care system. Current approaches use either organic tissue-engineered skin substitutes or stem cells based therapy. It has been shown that mesenchymal stem cells (MSCs) are able to improve the wound healing process by secreting factors with anti-inflammatory, anti-fibrotic and pro-angiogenic activities either as soluble molecules (growth factors, cytokines) or encapsulated within membrane vesicles (microparticles, exosomes). It has been shown that exosomes, the small membrane vesicles originating from the endocytic pathway, are the main mediators of MSCs paracrine effect. Their complex cargo (mRNA, microRNA and various anti-apoptotic and pro-angiogenic factors) has been found to induce migration and proliferation of fibroblasts as well as collagen synthesis. Thus, the combination of MSCs derived exosomes and organic biomaterials in order to enhance the healing process represents a novel approach for chronic wounds therapy, involving a cell-free use of MSCs paracrine activity.","author":[{"dropping-particle":"","family":"Roşca","given":"Ana Maria","non-dropping-particle":"","parse-names":false,"suffix":""},{"dropping-particle":"","family":"Ţuţuianu","given":"Raluca","non-dropping-particle":"","parse-names":false,"suffix":""},{"dropping-particle":"","family":"Titorencu","given":"Irina Domnica","non-dropping-particle":"","parse-names":false,"suffix":""}],"container-title":"Romanian journal of morphology and embryology = Revue roumaine de morphologie et embryologie","id":"ITEM-1","issue":"3","issued":{"date-parts":[["2018"]]},"page":"655-662","title":"Mesenchymal stromal cells derived exosomes as tools for chronic wound healing therapy.","type":"article-journal","volume":"59"},"uris":["http://www.mendeley.com/documents/?uuid=0f3cda58-1c08-3d4e-9486-fcc14e1b7e35"]},{"id":"ITEM-2","itemData":{"DOI":"10.1002/sctm.18-0038","ISSN":"2157-6564","PMID":"30618085","abstract":"Radiation-induced lung injury (RILI) is a common complication in radiotherapy of thoracic tumors and limits the therapeutic dose of radiation that can be given to effectively control tumors. RILI develops through a complex pathological process, resulting in induction and activation of various cytokines, infiltration by inflammatory cells, cytokine-induced activation of fibroblasts, and subsequent tissue remodeling by activated fibroblasts, ultimately leading to impaired lung function and respiratory failure. Increasing evidence shows that mesenchymal stem cells (MSCs) may play a main role in modulating inflammation and immune responses, promoting survival and repair of damaged resident cells and enhancing regeneration of damaged tissue through soluble paracrine factors and therapeutic extracellular vesicles. Therefore, the use of the MSC-derived secretome and exosomes holds promising potential for RILI therapy. Here, we review recent progress on the potential mechanisms of MSC therapy for RILI, with an emphasis on soluble paracrine factors of MSCs. Hypotheses on how MSC derived exosomes or MSC-released exosomal miRNAs could attenuate RILI are also proposed. Problems and translational challenges of the therapies based on the MSC-derived secretome and exosomes are further summarized and underline the need for caution on rapid clinical translation. Stem Cells Translational Medicine 2019.","author":[{"dropping-particle":"","family":"Xu","given":"Siguang","non-dropping-particle":"","parse-names":false,"suffix":""},{"dropping-particle":"","family":"Liu","given":"Cong","non-dropping-particle":"","parse-names":false,"suffix":""},{"dropping-particle":"","family":"Ji","given":"Hong-Long","non-dropping-particle":"","parse-names":false,"suffix":""}],"container-title":"Stem cells translational medicine","id":"ITEM-2","issued":{"date-parts":[["2019","1","7"]]},"title":"Concise Review: Therapeutic Potential of the Mesenchymal Stem Cell Derived Secretome and Extracellular Vesicles for Radiation-Induced Lung Injury: Progress and Hypotheses.","type":"article-journal"},"uris":["http://www.mendeley.com/documents/?uuid=3ac48952-4e6f-3202-a4ae-ff3d719d915e"]}],"mendeley":{"formattedCitation":"&lt;sup&gt;[32,33]&lt;/sup&gt;","plainTextFormattedCitation":"[32,33]","previouslyFormattedCitation":"&lt;sup&gt;[32,33]&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[32,33]</w:t>
      </w:r>
      <w:r w:rsidRPr="00B7408D">
        <w:rPr>
          <w:rFonts w:ascii="Book Antiqua" w:hAnsi="Book Antiqua" w:cs="Arial"/>
          <w:color w:val="000000"/>
          <w:lang w:val="en-US"/>
        </w:rPr>
        <w:fldChar w:fldCharType="end"/>
      </w:r>
      <w:r w:rsidRPr="00B7408D">
        <w:rPr>
          <w:rFonts w:ascii="Book Antiqua" w:hAnsi="Book Antiqua" w:cs="Arial"/>
          <w:color w:val="000000"/>
          <w:lang w:val="en-US"/>
        </w:rPr>
        <w:t>.</w:t>
      </w:r>
    </w:p>
    <w:p w14:paraId="258AC60E" w14:textId="684838B9" w:rsidR="006A0C4B" w:rsidRPr="00B7408D" w:rsidRDefault="006A0C4B" w:rsidP="004D452C">
      <w:pPr>
        <w:snapToGrid w:val="0"/>
        <w:spacing w:line="360" w:lineRule="auto"/>
        <w:ind w:firstLineChars="100" w:firstLine="240"/>
        <w:jc w:val="both"/>
        <w:rPr>
          <w:rFonts w:ascii="Book Antiqua" w:hAnsi="Book Antiqua" w:cs="Arial"/>
          <w:color w:val="000000"/>
          <w:lang w:val="en-US"/>
        </w:rPr>
      </w:pPr>
      <w:r w:rsidRPr="00B7408D">
        <w:rPr>
          <w:rFonts w:ascii="Book Antiqua" w:hAnsi="Book Antiqua" w:cs="Arial"/>
          <w:color w:val="000000"/>
          <w:lang w:val="en-US"/>
        </w:rPr>
        <w:t>Aging produces changes in cellular niches and MSCs themselves, which may affect their functionality and differentiation capacity. One of the most illustrative examples of that is the increase of bone marrow adiposity with aging, partially due to MSC differentiation into adipocytes instead of osteoblasts</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{"citationItems":[{"id":"ITEM-1","itemData":{"DOI":"10.1016/j.bone.2016.01.014","ISSN":"87563282","PMID":"26805026","abstract":"Bone marrow derived mesenchymal progenitor cells (MPCs) play an important role in bone homeostasis. Age-related changes occur in bone resulting in a decrease in bone density and a relative increase in adipocity. Although in vitro studies suggest the existence of an age-related lineage switch between osteogenic and adipogenic fates, stem cell and microenvironmental contributions to this process have not been elucidated in vivo. In order to study the effects of MPC and microenvironmental aging on functional engraftment and lineage switching, transplantation studies were performed under non-myeloablative conditions in old recipients, with donor MPCs derived from young and old green fluorescent protein (GFP) transgenic mice. Robust engraftment by young MPCs or their progeny was observed in the marrow, bone-lining region and in the matrix of young recipients; however, significantly lower engraftment was seen at the same sites in old recipients transplanted with old MPCs. Differentiation of transplanted MPCs strongly favored adipogenesis over osteogenesis in old recipients irrespective of MPC donor age, suggesting that microenvironmental alterations that occur with in vivo aging are predominately responsible for MPC lineage switching. These data indicate that aging alters bone-fat reciprocity and differentiation of mesenchymal progenitors towards an adipogenic fate.","author":[{"dropping-particle":"","family":"Singh","given":"Lakshman","non-dropping-particle":"","parse-names":false,"suffix":""},{"dropping-particle":"","family":"Brennan","given":"Tracy A.","non-dropping-particle":"","parse-names":false,"suffix":""},{"dropping-particle":"","family":"Russell","given":"Elizabeth","non-dropping-particle":"","parse-names":false,"suffix":""},{"dropping-particle":"","family":"Kim","given":"Jung Hoon","non-dropping-particle":"","parse-names":false,"suffix":""},{"dropping-particle":"","family":"Chen","given":"Qijun","non-dropping-particle":"","parse-names":false,"suffix":""},{"dropping-particle":"","family":"Brad Johnson","given":"F.","non-dropping-particle":"","parse-names":false,"suffix":""},{"dropping-particle":"","family":"Pignolo","given":"Robert J.","non-dropping-particle":"","parse-names":false,"suffix":""}],"container-title":"Bone","id":"ITEM-1","issued":{"date-parts":[["2016"]]},"page":"29-36","publisher":"Elsevier Inc.","title":"Aging alters bone-fat reciprocity by shifting in vivo mesenchymal precursor cell fate towards an adipogenic lineage","type":"article-journal","volume":"85"},"uris":["http://www.mendeley.com/documents/?uuid=733a4b71-517f-4fb9-9131-94456632878a"]},{"id":"ITEM-2","itemData":{"DOI":"10.1007/s11914-018-0424-1","ISBN":"1191401804","ISSN":"15442241","abstract":"Purpose of Review Changes in the bone marrow microenvironment, which accompany aging and obesity, including increased marrow adiposity, can compromise hematopoiesis. Here, we review deleterious shifts in molecular, cellular, and tissue activity and consider the potential of exercise to slow degenerative changes associated with aging and obesity. Recent Findings While bone marrow hematopoietic stem cells (HSC) are increased in frequency and myeloid-biased with age, the effect of obesity on HSC proliferation and differentiation remains controversial. HSC from both aged and obese environment have reduced hematopoietic reconstitution capacity following bone marrow transplant. Increased marrow adiposity affects HSC function, causing upregulation of myelopoiesis and downregulation of lymphopoiesis. Exercise, in contrast, can reduce marrow adiposity and restore hematopoiesis. Summary The impact of marrow adiposity on hematopoiesis is determined mainly through correlations. Mechanistic studies are needed to determine a causative relationship between marrow adiposity and declines in hematopoiesis, which could aid in developing treatments for conditions that arise from disruptions in the marrow microenvironment.","author":[{"dropping-particle":"","family":"Patel","given":"Vihitaben S.","non-dropping-particle":"","parse-names":false,"suffix":""},{"dropping-particle":"","family":"Ete Chan","given":"M.","non-dropping-particle":"","parse-names":false,"suffix":""},{"dropping-particle":"","family":"Rubin","given":"Janet","non-dropping-particle":"","parse-names":false,"suffix":""},{"dropping-particle":"","family":"Rubin","given":"Clinton T.","non-dropping-particle":"","parse-names":false,"suffix":""}],"container-title":"Current Osteoporosis Reports","id":"ITEM-2","issue":"2","issued":{"date-parts":[["2018"]]},"page":"105-115","publisher":"Current Osteoporosis Reports","title":"Marrow Adiposity and Hematopoiesis in Aging and Obesity: Exercise as an Intervention","type":"article-journal","volume":"16"},"uris":["http://www.mendeley.com/documents/?uuid=ddb02454-7125-4beb-a3d0-53d9098a8fc2"]}],"mendeley":{"formattedCitation":"&lt;sup&gt;[34,35]&lt;/sup&gt;","plainTextFormattedCitation":"[34,35]","previouslyFormattedCitation":"&lt;sup&gt;[34,35]&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[34,35]</w:t>
      </w:r>
      <w:r w:rsidRPr="00B7408D">
        <w:rPr>
          <w:rFonts w:ascii="Book Antiqua" w:hAnsi="Book Antiqua" w:cs="Arial"/>
          <w:color w:val="000000"/>
          <w:lang w:val="en-US"/>
        </w:rPr>
        <w:fldChar w:fldCharType="end"/>
      </w:r>
      <w:r w:rsidRPr="00B7408D">
        <w:rPr>
          <w:rFonts w:ascii="Book Antiqua" w:hAnsi="Book Antiqua" w:cs="Arial"/>
          <w:color w:val="000000"/>
          <w:lang w:val="en-US"/>
        </w:rPr>
        <w:t>. Such a phenomenon also happens in obese people</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{"citationItems":[{"id":"ITEM-1","itemData":{"DOI":"10.1007/s11914-018-0424-1","ISBN":"1191401804","ISSN":"15442241","abstract":"Purpose of Review Changes in the bone marrow microenvironment, which accompany aging and obesity, including increased marrow adiposity, can compromise hematopoiesis. Here, we review deleterious shifts in molecular, cellular, and tissue activity and consider the potential of exercise to slow degenerative changes associated with aging and obesity. Recent Findings While bone marrow hematopoietic stem cells (HSC) are increased in frequency and myeloid-biased with age, the effect of obesity on HSC proliferation and differentiation remains controversial. HSC from both aged and obese environment have reduced hematopoietic reconstitution capacity following bone marrow transplant. Increased marrow adiposity affects HSC function, causing upregulation of myelopoiesis and downregulation of lymphopoiesis. Exercise, in contrast, can reduce marrow adiposity and restore hematopoiesis. Summary The impact of marrow adiposity on hematopoiesis is determined mainly through correlations. Mechanistic studies are needed to determine a causative relationship between marrow adiposity and declines in hematopoiesis, which could aid in developing treatments for conditions that arise from disruptions in the marrow microenvironment.","author":[{"dropping-particle":"","family":"Patel","given":"Vihitaben S.","non-dropping-particle":"","parse-names":false,"suffix":""},{"dropping-particle":"","family":"Ete Chan","given":"M.","non-dropping-particle":"","parse-names":false,"suffix":""},{"dropping-particle":"","family":"Rubin","given":"Janet","non-dropping-particle":"","parse-names":false,"suffix":""},{"dropping-particle":"","family":"Rubin","given":"Clinton T.","non-dropping-particle":"","parse-names":false,"suffix":""}],"container-title":"Current Osteoporosis Reports","id":"ITEM-1","issue":"2","issued":{"date-parts":[["2018"]]},"page":"105-115","publisher":"Current Osteoporosis Reports","title":"Marrow Adiposity and Hematopoiesis in Aging and Obesity: Exercise as an Intervention","type":"article-journal","volume":"16"},"uris":["http://www.mendeley.com/documents/?uuid=ddb02454-7125-4beb-a3d0-53d9098a8fc2"]}],"mendeley":{"formattedCitation":"&lt;sup&gt;[35]&lt;/sup&gt;","plainTextFormattedCitation":"[35]","previouslyFormattedCitation":"&lt;sup&gt;[35]&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[35]</w:t>
      </w:r>
      <w:r w:rsidRPr="00B7408D">
        <w:rPr>
          <w:rFonts w:ascii="Book Antiqua" w:hAnsi="Book Antiqua" w:cs="Arial"/>
          <w:color w:val="000000"/>
          <w:lang w:val="en-US"/>
        </w:rPr>
        <w:fldChar w:fldCharType="end"/>
      </w:r>
      <w:r w:rsidRPr="00B7408D">
        <w:rPr>
          <w:rFonts w:ascii="Book Antiqua" w:hAnsi="Book Antiqua" w:cs="Arial"/>
          <w:color w:val="000000"/>
          <w:lang w:val="en-US"/>
        </w:rPr>
        <w:t>. MSC aging depends on intrinsic factors, such as reactive oxygen species (referred to as ROS), and accumulation of DNA damage and damaged proteins</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{"citationItems":[{"id":"ITEM-1","itemData":{"DOI":"10.1177/1535370215591828","ISSN":"15353699","abstract":"The aging population and the incidence of aging-related diseases such as osteoporosis are on the rise. Aging at the tissue and organ levels usually involves tissue stem cells. Human and animal model studies indicate that aging affects two aspects of mesenchymal stem cell (MSC): a decrease in the bone marrow MSC pool and biased differentiation into adipocyte at the cost of osteoblast, which underlie the etiology of osteoporosis. Aging of MSC cells is also detrimental to some non-skeletal tissues, in particular the hematopoietic system, where MSCs serve as a niche component. In addition, aging compromises the therapeutic potentials of MSC cells, including cells isolated from aged individuals or cells cultured for many passages. Here we discuss the recent progress on our understanding of MSC aging, with a focus on the effects of MSC aging on bone remodeling and hematopoiesis and the mechanisms of MSC aging.","author":[{"dropping-particle":"","family":"Liu","given":"Huijuan","non-dropping-particle":"","parse-names":false,"suffix":""},{"dropping-particle":"","family":"Xia","given":"Xuechun","non-dropping-particle":"","parse-names":false,"suffix":""},{"dropping-particle":"","family":"Li","given":"Baojie","non-dropping-particle":"","parse-names":false,"suffix":""}],"container-title":"Experimental Biology and Medicine","id":"ITEM-1","issue":"8","issued":{"date-parts":[["2015"]]},"page":"1099-1106","title":"Mesenchymal stem cell aging: Mechanisms and influences on skeletal and non-skeletal tissues","type":"article-journal","volume":"240"},"uris":["http://www.mendeley.com/documents/?uuid=0a8935f3-ee33-4c98-8266-83d5c99d2401"]}],"mendeley":{"formattedCitation":"&lt;sup&gt;[36]&lt;/sup&gt;","plainTextFormattedCitation":"[36]","previouslyFormattedCitation":"&lt;sup&gt;[36]&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[36]</w:t>
      </w:r>
      <w:r w:rsidRPr="00B7408D">
        <w:rPr>
          <w:rFonts w:ascii="Book Antiqua" w:hAnsi="Book Antiqua" w:cs="Arial"/>
          <w:color w:val="000000"/>
          <w:lang w:val="en-US"/>
        </w:rPr>
        <w:fldChar w:fldCharType="end"/>
      </w:r>
      <w:r w:rsidRPr="00B7408D">
        <w:rPr>
          <w:rFonts w:ascii="Book Antiqua" w:hAnsi="Book Antiqua" w:cs="Arial"/>
          <w:color w:val="000000"/>
          <w:lang w:val="en-US"/>
        </w:rPr>
        <w:t>. But extrinsic factors are also involved, acting through the cellular niche that is made of medium and other cellular types interacting with the MSCs. Niches are essential not only to maintain the pool of stem cells but also their functionalities. Because of that, it has been suggested that some changes associated with aging could be reversed, through niche manipulation</w:t>
      </w:r>
      <w:r w:rsidR="007E2849" w:rsidRPr="00B7408D">
        <w:rPr>
          <w:rFonts w:ascii="Book Antiqua" w:hAnsi="Book Antiqua" w:cs="Arial"/>
          <w:color w:val="000000"/>
          <w:lang w:val="en-US"/>
        </w:rPr>
        <w:t>-</w:t>
      </w:r>
      <w:r w:rsidRPr="00B7408D">
        <w:rPr>
          <w:rFonts w:ascii="Book Antiqua" w:hAnsi="Book Antiqua" w:cs="Arial"/>
          <w:color w:val="000000"/>
          <w:lang w:val="en-US"/>
        </w:rPr>
        <w:t>for instance, adding antiaging factors from serum of young people, or reducing medium factors related to aging</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{"citationItems":[{"id":"ITEM-1","itemData":{"DOI":"10.1186/scrt197","ISSN":"17576512","abstract":"Adult stem cells are critical for organ-specific regeneration and self-renewal with advancing age. The prospect of being able to reverse tissue-specific post-injury sequelae by harvesting, culturing and transplanting a patient's own stem and progenitor cells is exciting. Mesenchymal stem cells have emerged as a reliable stem cell source for this treatment modality and are currently being tested in numerous ongoing clinical trials. Unfortunately, the fervor over mesenchymal stem cells is mitigated by several lines of evidence suggesting that their efficacy is limited by natural aging. This article discusses the mechanisms and manifestations of age-associated deficiencies in mesenchymal stem cell efficacy. A consideration of recent experimental findings suggests that the ecological niche might be responsible for mesenchymal stem cell aging.","author":[{"dropping-particle":"","family":"Asumda","given":"Faizal Z.","non-dropping-particle":"","parse-names":false,"suffix":""}],"container-title":"Stem Cell Research and Therapy","id":"ITEM-1","issue":"3","issued":{"date-parts":[["2013"]]},"title":"Age-associated changes in the ecological niche: Implications for mesenchymal stem cell aging","type":"article-journal","volume":"4"},"uris":["http://www.mendeley.com/documents/?uuid=6541dbb4-68ca-47f6-b6a1-b9e5fd48f6d4"]}],"mendeley":{"formattedCitation":"&lt;sup&gt;[37]&lt;/sup&gt;","plainTextFormattedCitation":"[37]","previouslyFormattedCitation":"&lt;sup&gt;[37]&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[37]</w:t>
      </w:r>
      <w:r w:rsidRPr="00B7408D">
        <w:rPr>
          <w:rFonts w:ascii="Book Antiqua" w:hAnsi="Book Antiqua" w:cs="Arial"/>
          <w:color w:val="000000"/>
          <w:lang w:val="en-US"/>
        </w:rPr>
        <w:fldChar w:fldCharType="end"/>
      </w:r>
      <w:r w:rsidRPr="00B7408D">
        <w:rPr>
          <w:rFonts w:ascii="Book Antiqua" w:hAnsi="Book Antiqua" w:cs="Arial"/>
          <w:color w:val="000000"/>
          <w:lang w:val="en-US"/>
        </w:rPr>
        <w:t>. Among those factors that promote aging are the increase in oxidative stress as well as the accumulation of proinflammatory cytokines produced by senescent cells, the population of which increases with age</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{"citationItems":[{"id":"ITEM-1","itemData":{"DOI":"10.3389/fcell.2014.00010","ISSN":"2296634X","abstract":"Advances in medical science and technology allow people live longer lives, which results in age-related problems. Humans cannot avoid the various aged-related alterations of aging; in other words, humans cannot remain young at molecular and cellular levels. In 1956, Harman proposed the ‘free radical theory of aging’ to explain the molecular mechanisms of aging. Telomere length, advanced glycation, and accumulation of DNA or mitochondrial damage are also considered to be mechanisms of aging. On the other hand, stem cells are essential for maintaining tissue homeostasis by replacing parenchymal cells; therefore, the stem cell theory of aging is also used to explain the progress of aging. Importantly, the stem cell theory of aging is likely related to other theories. In addition, recent studies have started to reveal the essential roles of tissue-resident mesenchymal progenitors/stem cells/stromal cells in maintaining tissue homeostasis, and some evidence of their fundamental roles in the progression of aging has been presented. In this review, we discuss how stem cell and other theories connect to explain the progress of aging. In addition, we consider the mesenchymal progenitor theory of aging to describing the process of aging.","author":[{"dropping-particle":"","family":"Fukada","given":"So-ichiro","non-dropping-particle":"","parse-names":false,"suffix":""},{"dropping-particle":"","family":"Ma","given":"Yuran","non-dropping-particle":"","parse-names":false,"suffix":""},{"dropping-particle":"","family":"Uezumi","given":"Akiyoshi","non-dropping-particle":"","parse-names":false,"suffix":""}],"container-title":"Frontiers in Cell and Developmental Biology","id":"ITEM-1","issue":"March","issued":{"date-parts":[["2014"]]},"page":"1-9","title":"Adult stem cell and mesenchymal progenitor theories of aging","type":"article-journal","volume":"2"},"uris":["http://www.mendeley.com/documents/?uuid=b97f1ceb-5800-4b15-9bab-2ec7738db82b"]}],"mendeley":{"formattedCitation":"&lt;sup&gt;[38]&lt;/sup&gt;","plainTextFormattedCitation":"[38]","previouslyFormattedCitation":"&lt;sup&gt;[38]&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[38]</w:t>
      </w:r>
      <w:r w:rsidRPr="00B7408D">
        <w:rPr>
          <w:rFonts w:ascii="Book Antiqua" w:hAnsi="Book Antiqua" w:cs="Arial"/>
          <w:color w:val="000000"/>
          <w:lang w:val="en-US"/>
        </w:rPr>
        <w:fldChar w:fldCharType="end"/>
      </w:r>
      <w:r w:rsidRPr="00B7408D">
        <w:rPr>
          <w:rFonts w:ascii="Book Antiqua" w:hAnsi="Book Antiqua" w:cs="Arial"/>
          <w:color w:val="000000"/>
          <w:lang w:val="en-US"/>
        </w:rPr>
        <w:t>.</w:t>
      </w:r>
    </w:p>
    <w:p w14:paraId="57DCD5AF" w14:textId="02911A6F" w:rsidR="006A0C4B" w:rsidRPr="00B7408D" w:rsidRDefault="006A0C4B" w:rsidP="004D452C">
      <w:pPr>
        <w:snapToGrid w:val="0"/>
        <w:spacing w:line="360" w:lineRule="auto"/>
        <w:ind w:firstLineChars="100" w:firstLine="240"/>
        <w:jc w:val="both"/>
        <w:rPr>
          <w:rFonts w:ascii="Book Antiqua" w:hAnsi="Book Antiqua" w:cs="Arial"/>
          <w:color w:val="000000"/>
          <w:lang w:val="en-US"/>
        </w:rPr>
      </w:pPr>
      <w:r w:rsidRPr="00B7408D">
        <w:rPr>
          <w:rFonts w:ascii="Book Antiqua" w:hAnsi="Book Antiqua" w:cs="Arial"/>
          <w:color w:val="000000"/>
          <w:lang w:val="en-US"/>
        </w:rPr>
        <w:lastRenderedPageBreak/>
        <w:t>Interestingly, some recent studies have shown that diet may affect the proliferative and differentiation capacities of stem cells in adult organisms</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{"citationItems":[{"id":"ITEM-1","itemData":{"DOI":"10.1007/s40778-017-0072-x","ISSN":"21987866","PMID":"28966904","abstract":"PURPOSE OF REVIEW Dietary intake is a critical regulator of organismal physiology and health. Tissue homeostasis and regeneration are dependent on adult tissue stem cells that self-renew and differentiate into the specialized cell types. As stem cells respond to cues from their environment, dietary signals and nutrients influence tissue biology by altering the function and activity of adult stem cells. In this review, we highlight recent studies that illustrate how diverse diets such as caloric restriction, fasting, high fat diets, and ketogenic diets impact stem cell function and their microenvironments. RECENT FINDINGS Caloric restriction generally exerts positive effects on adult stem cells, notably increasing stem cell functionality in the intestine and skeletal muscle as well as increasing hematopoietic stem cell quiescence. Similarly, fasting confers protection of intestinal, hematopoietic, and neuronal stem cells against injury. High fat diets induce intestinal stem cell niche independence and stem-like properties in intestinal progenitors, while high fat diets impair hematopoiesis and neurogenesis. SUMMARY Caloric restriction and fasting are generally beneficial to adult stem cell function, while high fat diets impair stem cell function or create opportunities for tumorigenesis. However, the effects of each diet on stem cell biology are complex and vary greatly between tissues. Given the recent interest in developing dietary interventions or mimetics as therapeutics, further studies, including on ketogenic diets, will be essential to understand how adult stem cells respond to diet-induced signals and physiology.","author":[{"dropping-particle":"","family":"Mana","given":"Miyeko D.","non-dropping-particle":"","parse-names":false,"suffix":""},{"dropping-particle":"","family":"Kuo","given":"Elaine Yih Shuen","non-dropping-particle":"","parse-names":false,"suffix":""},{"dropping-particle":"","family":"Yilmaz","given":"Ömer H.","non-dropping-particle":"","parse-names":false,"suffix":""}],"container-title":"Current Stem Cell Reports","id":"ITEM-1","issue":"1","issued":{"date-parts":[["2017"]]},"page":"1-8","title":"Dietary Regulation of Adult Stem Cells","type":"article-journal","volume":"3"},"uris":["http://www.mendeley.com/documents/?uuid=d93738cb-a18f-475a-9c76-49283b9440e5"]}],"mendeley":{"formattedCitation":"&lt;sup&gt;[39]&lt;/sup&gt;","plainTextFormattedCitation":"[39]","previouslyFormattedCitation":"&lt;sup&gt;[39]&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[39]</w:t>
      </w:r>
      <w:r w:rsidRPr="00B7408D">
        <w:rPr>
          <w:rFonts w:ascii="Book Antiqua" w:hAnsi="Book Antiqua" w:cs="Arial"/>
          <w:color w:val="000000"/>
          <w:lang w:val="en-US"/>
        </w:rPr>
        <w:fldChar w:fldCharType="end"/>
      </w:r>
      <w:r w:rsidRPr="00B7408D">
        <w:rPr>
          <w:rFonts w:ascii="Book Antiqua" w:hAnsi="Book Antiqua" w:cs="Arial"/>
          <w:color w:val="000000"/>
          <w:lang w:val="en-US"/>
        </w:rPr>
        <w:t>. Curiously, a caloric restriction or fasting diet usually improves DNA repair, stem cell functionality, and longevity. On the contrary, diets rich in fats may have negative effects</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{"citationItems":[{"id":"ITEM-1","itemData":{"DOI":"10.1007/s40778-017-0072-x","ISSN":"21987866","PMID":"28966904","abstract":"PURPOSE OF REVIEW Dietary intake is a critical regulator of organismal physiology and health. Tissue homeostasis and regeneration are dependent on adult tissue stem cells that self-renew and differentiate into the specialized cell types. As stem cells respond to cues from their environment, dietary signals and nutrients influence tissue biology by altering the function and activity of adult stem cells. In this review, we highlight recent studies that illustrate how diverse diets such as caloric restriction, fasting, high fat diets, and ketogenic diets impact stem cell function and their microenvironments. RECENT FINDINGS Caloric restriction generally exerts positive effects on adult stem cells, notably increasing stem cell functionality in the intestine and skeletal muscle as well as increasing hematopoietic stem cell quiescence. Similarly, fasting confers protection of intestinal, hematopoietic, and neuronal stem cells against injury. High fat diets induce intestinal stem cell niche independence and stem-like properties in intestinal progenitors, while high fat diets impair hematopoiesis and neurogenesis. SUMMARY Caloric restriction and fasting are generally beneficial to adult stem cell function, while high fat diets impair stem cell function or create opportunities for tumorigenesis. However, the effects of each diet on stem cell biology are complex and vary greatly between tissues. Given the recent interest in developing dietary interventions or mimetics as therapeutics, further studies, including on ketogenic diets, will be essential to understand how adult stem cells respond to diet-induced signals and physiology.","author":[{"dropping-particle":"","family":"Mana","given":"Miyeko D.","non-dropping-particle":"","parse-names":false,"suffix":""},{"dropping-particle":"","family":"Kuo","given":"Elaine Yih Shuen","non-dropping-particle":"","parse-names":false,"suffix":""},{"dropping-particle":"","family":"Yilmaz","given":"Ömer H.","non-dropping-particle":"","parse-names":false,"suffix":""}],"container-title":"Current Stem Cell Reports","id":"ITEM-1","issue":"1","issued":{"date-parts":[["2017"]]},"page":"1-8","title":"Dietary Regulation of Adult Stem Cells","type":"article-journal","volume":"3"},"uris":["http://www.mendeley.com/documents/?uuid=d93738cb-a18f-475a-9c76-49283b9440e5"]}],"mendeley":{"formattedCitation":"&lt;sup&gt;[39]&lt;/sup&gt;","plainTextFormattedCitation":"[39]","previouslyFormattedCitation":"&lt;sup&gt;[39]&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[39]</w:t>
      </w:r>
      <w:r w:rsidRPr="00B7408D">
        <w:rPr>
          <w:rFonts w:ascii="Book Antiqua" w:hAnsi="Book Antiqua" w:cs="Arial"/>
          <w:color w:val="000000"/>
          <w:lang w:val="en-US"/>
        </w:rPr>
        <w:fldChar w:fldCharType="end"/>
      </w:r>
      <w:r w:rsidRPr="00B7408D">
        <w:rPr>
          <w:rFonts w:ascii="Book Antiqua" w:hAnsi="Book Antiqua" w:cs="Arial"/>
          <w:color w:val="000000"/>
          <w:lang w:val="en-US"/>
        </w:rPr>
        <w:t>. The diet may produce changes in serum composition and, therefore, affect stem cell functionality. Indeed, it has been shown that</w:t>
      </w:r>
      <w:r w:rsidRPr="00B7408D" w:rsidDel="00A5113B">
        <w:rPr>
          <w:rFonts w:ascii="Book Antiqua" w:hAnsi="Book Antiqua" w:cs="Arial"/>
          <w:color w:val="000000"/>
          <w:lang w:val="en-US"/>
        </w:rPr>
        <w:t xml:space="preserve"> </w:t>
      </w:r>
      <w:r w:rsidRPr="00B7408D">
        <w:rPr>
          <w:rFonts w:ascii="Book Antiqua" w:hAnsi="Book Antiqua" w:cs="Arial"/>
          <w:i/>
          <w:color w:val="000000"/>
          <w:lang w:val="en-US"/>
        </w:rPr>
        <w:t>in vitro</w:t>
      </w:r>
      <w:r w:rsidRPr="00B7408D">
        <w:rPr>
          <w:rFonts w:ascii="Book Antiqua" w:hAnsi="Book Antiqua" w:cs="Arial"/>
          <w:color w:val="000000"/>
          <w:lang w:val="en-US"/>
        </w:rPr>
        <w:t xml:space="preserve"> proliferation of rat hippocampal neural progenitor cells and MSCs increased when culture medium was supplemented with serum from old rats, which were fed with NT-020 food supplement (made by blueberry,</w:t>
      </w:r>
      <w:r w:rsidRPr="00B7408D">
        <w:rPr>
          <w:rFonts w:ascii="Book Antiqua" w:hAnsi="Book Antiqua"/>
          <w:lang w:val="en-US"/>
        </w:rPr>
        <w:t xml:space="preserve"> </w:t>
      </w:r>
      <w:r w:rsidRPr="00B7408D">
        <w:rPr>
          <w:rFonts w:ascii="Book Antiqua" w:hAnsi="Book Antiqua" w:cs="Arial"/>
          <w:color w:val="000000"/>
          <w:lang w:val="en-US"/>
        </w:rPr>
        <w:t>green tea, vitamin D3, and carnosine) for 28 d, in relation to serum from rats that did not take such supplement</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{"citationItems":[{"id":"ITEM-1","itemData":{"DOI":"10.1007/s11357-015-9840-7","ISSN":"1574-4647","PMID":"26410618","abstract":"Aging is associated with a decline in function in many of the stem cell niches of the body. An emerging body of literature suggests that one of the reasons for this decline in function is due to cell non-autonomous influences on the niche from the body. For example, studies using the technique of parabiosis have demonstrated a negative influence of blood from aged mice on muscle satellite cells and neurogenesis in young mice. We examined if we could reverse this effect of aged serum on stem cell proliferation by treating aged rats with NT-020, a dietary supplement containing blueberry, green tea, vitamin D3, and carnosine that has been shown to increase neurogenesis in aged rats. Young and aged rats were administered either control NIH-31 diet or one supplemented with NT-020 for 28 days, and serum was collected upon euthanasia. The serum was used in cultures of both rat hippocampal neural progenitor cells (NPCs) and rat bone marrow-derived mesenchymal stem cells (MSCs). Serum from aged rats significantly reduced cell proliferation as measured by the 3-(4,5-dimethylthiazol-2-yl)-2,5-diphenyltetrazolium bromide (MTT) and 5-bromo-2'-deoxyuridine (BrdU) assays in both NPCs and MSCs. Serum from aged rats treated with NT-020 was not different from serum from young rats. Therefore, NT-020 rescued the effect of serum from aged rats to reduce stem cell proliferation.","author":[{"dropping-particle":"","family":"Bickford","given":"Paula C","non-dropping-particle":"","parse-names":false,"suffix":""},{"dropping-particle":"","family":"Kaneko","given":"Yuji","non-dropping-particle":"","parse-names":false,"suffix":""},{"dropping-particle":"","family":"Grimmig","given":"Bethany","non-dropping-particle":"","parse-names":false,"suffix":""},{"dropping-particle":"","family":"Pappas","given":"Colleen","non-dropping-particle":"","parse-names":false,"suffix":""},{"dropping-particle":"","family":"Small","given":"Brent","non-dropping-particle":"","parse-names":false,"suffix":""},{"dropping-particle":"","family":"Sanberg","given":"Cyndy D","non-dropping-particle":"","parse-names":false,"suffix":""},{"dropping-particle":"","family":"Sanberg","given":"Paul R","non-dropping-particle":"","parse-names":false,"suffix":""},{"dropping-particle":"","family":"Tan","given":"Jun","non-dropping-particle":"","parse-names":false,"suffix":""},{"dropping-particle":"","family":"Douglas Shytle","given":"R","non-dropping-particle":"","parse-names":false,"suffix":""}],"container-title":"Age (Dordrecht, Netherlands)","id":"ITEM-1","issue":"5","issued":{"date-parts":[["2015","10","26"]]},"page":"103","title":"Nutraceutical intervention reverses the negative effects of blood from aged rats on stem cells.","type":"article-journal","volume":"37"},"uris":["http://www.mendeley.com/documents/?uuid=18fe72b5-9ad5-312f-9102-1b5429a22519"]}],"mendeley":{"formattedCitation":"&lt;sup&gt;[40]&lt;/sup&gt;","plainTextFormattedCitation":"[40]","previouslyFormattedCitation":"&lt;sup&gt;[40]&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[40]</w:t>
      </w:r>
      <w:r w:rsidRPr="00B7408D">
        <w:rPr>
          <w:rFonts w:ascii="Book Antiqua" w:hAnsi="Book Antiqua" w:cs="Arial"/>
          <w:color w:val="000000"/>
          <w:lang w:val="en-US"/>
        </w:rPr>
        <w:fldChar w:fldCharType="end"/>
      </w:r>
      <w:r w:rsidRPr="00B7408D">
        <w:rPr>
          <w:rFonts w:ascii="Book Antiqua" w:hAnsi="Book Antiqua" w:cs="Arial"/>
          <w:color w:val="000000"/>
          <w:lang w:val="en-US"/>
        </w:rPr>
        <w:t>. This suggests that diet may alter the stem cell niche.</w:t>
      </w:r>
    </w:p>
    <w:p w14:paraId="4DFE892B" w14:textId="13AFBE70" w:rsidR="006A0C4B" w:rsidRPr="00B7408D" w:rsidRDefault="006A0C4B" w:rsidP="004D452C">
      <w:pPr>
        <w:snapToGrid w:val="0"/>
        <w:spacing w:line="360" w:lineRule="auto"/>
        <w:ind w:firstLineChars="100" w:firstLine="240"/>
        <w:jc w:val="both"/>
        <w:rPr>
          <w:rFonts w:ascii="Book Antiqua" w:hAnsi="Book Antiqua" w:cs="Arial"/>
          <w:color w:val="000000"/>
          <w:lang w:val="en-US"/>
        </w:rPr>
      </w:pPr>
      <w:r w:rsidRPr="00B7408D">
        <w:rPr>
          <w:rFonts w:ascii="Book Antiqua" w:hAnsi="Book Antiqua" w:cs="Arial"/>
          <w:color w:val="000000"/>
          <w:lang w:val="en-US"/>
        </w:rPr>
        <w:t xml:space="preserve">Fortunately, the knowledge of how diet modulates stem cells may allow for the design and use of specific diets to reduce, and even prevent, degenerative processes associated with some pathologies and aging. In this scenario, extensive data support the healthy effect of extra virgin olive oil consumption. As indicated above, its consumption produces changes in serum lipid composition, decreases oxidative stress, and provides bioactive compounds that can modulate cellular processes. These effects may affect the physiology of MSCs. The state of the MSC population in an individual will directly affect its regenerative capacity and health. Thus, a new approach to studying the </w:t>
      </w:r>
      <w:proofErr w:type="spellStart"/>
      <w:r w:rsidRPr="00B7408D">
        <w:rPr>
          <w:rFonts w:ascii="Book Antiqua" w:hAnsi="Book Antiqua" w:cs="Arial"/>
          <w:color w:val="000000"/>
          <w:lang w:val="en-US"/>
        </w:rPr>
        <w:t>healthy</w:t>
      </w:r>
      <w:proofErr w:type="spellEnd"/>
      <w:r w:rsidRPr="00B7408D">
        <w:rPr>
          <w:rFonts w:ascii="Book Antiqua" w:hAnsi="Book Antiqua" w:cs="Arial"/>
          <w:color w:val="000000"/>
          <w:lang w:val="en-US"/>
        </w:rPr>
        <w:t xml:space="preserve"> effects of olive oil is through its putative influence on MSC functionality (Figure 1). Therefore, the main objective of this critical review is to synthesize the current knowledge on how this food and its components may modulate MSC biology, in general, and differentiation capacity, in particular. That should allow a better understanding of the physiological and metabolic mechanisms by which olive oil positively modulates health, preventing diseases and the degenerative effects of aging.</w:t>
      </w:r>
      <w:bookmarkEnd w:id="10"/>
    </w:p>
    <w:p w14:paraId="38E1145B" w14:textId="77777777" w:rsidR="006A0C4B" w:rsidRPr="00B7408D" w:rsidRDefault="006A0C4B" w:rsidP="006A0C4B">
      <w:pPr>
        <w:snapToGrid w:val="0"/>
        <w:spacing w:line="360" w:lineRule="auto"/>
        <w:jc w:val="both"/>
        <w:rPr>
          <w:rFonts w:ascii="Book Antiqua" w:hAnsi="Book Antiqua" w:cs="Arial"/>
          <w:color w:val="000000"/>
          <w:lang w:val="en-US"/>
        </w:rPr>
      </w:pPr>
    </w:p>
    <w:p w14:paraId="2DD6C9D1" w14:textId="77777777" w:rsidR="006A0C4B" w:rsidRPr="00B7408D" w:rsidRDefault="006A0C4B" w:rsidP="006A0C4B">
      <w:pPr>
        <w:adjustRightInd w:val="0"/>
        <w:snapToGrid w:val="0"/>
        <w:spacing w:line="360" w:lineRule="auto"/>
        <w:jc w:val="both"/>
        <w:rPr>
          <w:rFonts w:ascii="Book Antiqua" w:hAnsi="Book Antiqua" w:cs="Arial"/>
          <w:lang w:val="en-US"/>
        </w:rPr>
      </w:pPr>
      <w:r w:rsidRPr="00B7408D">
        <w:rPr>
          <w:rFonts w:ascii="Book Antiqua" w:hAnsi="Book Antiqua" w:cs="Arial"/>
          <w:b/>
          <w:bCs/>
          <w:color w:val="000000"/>
          <w:lang w:val="en-US"/>
        </w:rPr>
        <w:t>SAPONIFIABLE FRACTION OF OLIVE OIL AND MSCs</w:t>
      </w:r>
    </w:p>
    <w:p w14:paraId="240919D7" w14:textId="77777777" w:rsidR="006A0C4B" w:rsidRPr="00B7408D" w:rsidRDefault="006A0C4B" w:rsidP="006A0C4B">
      <w:pPr>
        <w:adjustRightInd w:val="0"/>
        <w:snapToGrid w:val="0"/>
        <w:spacing w:line="360" w:lineRule="auto"/>
        <w:jc w:val="both"/>
        <w:rPr>
          <w:rFonts w:ascii="Book Antiqua" w:hAnsi="Book Antiqua" w:cs="Arial"/>
          <w:color w:val="000000"/>
          <w:lang w:val="en-US"/>
        </w:rPr>
      </w:pPr>
      <w:r w:rsidRPr="00B7408D">
        <w:rPr>
          <w:rFonts w:ascii="Book Antiqua" w:hAnsi="Book Antiqua" w:cs="Arial"/>
          <w:lang w:val="en-US"/>
        </w:rPr>
        <w:t xml:space="preserve">The saponifiable fraction of olive oil is composed of saturated and unsaturated fatty acids, almost entirely esterified with glycerol to form triglycerides </w:t>
      </w:r>
      <w:r w:rsidRPr="00B7408D">
        <w:rPr>
          <w:rFonts w:ascii="Book Antiqua" w:hAnsi="Book Antiqua" w:cs="Arial"/>
          <w:lang w:val="en-US"/>
        </w:rPr>
        <w:lastRenderedPageBreak/>
        <w:t xml:space="preserve">(triacylglycerols). </w:t>
      </w:r>
      <w:r w:rsidRPr="00B7408D">
        <w:rPr>
          <w:rFonts w:ascii="Book Antiqua" w:hAnsi="Book Antiqua" w:cs="Arial"/>
          <w:color w:val="000000"/>
          <w:lang w:val="en-US"/>
        </w:rPr>
        <w:t xml:space="preserve">Extra virgin olive oil is characterized by being rich in unsaturated fatty acid residues (~ 85%), in relation to saturated ones (~ 14.5%). It should be taken into account that unless the word “free” is used, we are dealing here with fatty acids residues, forming part of the triacylglycerol molecule, because free fatty acids represent acidity, which is an unwanted characteristic of olive oil. Such lipidic molecules account for one of the healthiest properties of olive oil. The most abundant unsaturated fatty acids are oleic acid (C18:1; monounsaturated omega-9), linoleic acid (C18:2; </w:t>
      </w:r>
      <w:proofErr w:type="spellStart"/>
      <w:r w:rsidRPr="00B7408D">
        <w:rPr>
          <w:rFonts w:ascii="Book Antiqua" w:hAnsi="Book Antiqua" w:cs="Arial"/>
          <w:color w:val="000000"/>
          <w:lang w:val="en-US"/>
        </w:rPr>
        <w:t>diunsaturated</w:t>
      </w:r>
      <w:proofErr w:type="spellEnd"/>
      <w:r w:rsidRPr="00B7408D">
        <w:rPr>
          <w:rFonts w:ascii="Book Antiqua" w:hAnsi="Book Antiqua" w:cs="Arial"/>
          <w:color w:val="000000"/>
          <w:lang w:val="en-US"/>
        </w:rPr>
        <w:t xml:space="preserve"> omega-6), </w:t>
      </w:r>
      <w:proofErr w:type="spellStart"/>
      <w:r w:rsidRPr="00B7408D">
        <w:rPr>
          <w:rFonts w:ascii="Book Antiqua" w:hAnsi="Book Antiqua" w:cs="Arial"/>
          <w:color w:val="000000"/>
          <w:lang w:val="en-US"/>
        </w:rPr>
        <w:t>palmitoleic</w:t>
      </w:r>
      <w:proofErr w:type="spellEnd"/>
      <w:r w:rsidRPr="00B7408D">
        <w:rPr>
          <w:rFonts w:ascii="Book Antiqua" w:hAnsi="Book Antiqua" w:cs="Arial"/>
          <w:color w:val="000000"/>
          <w:lang w:val="en-US"/>
        </w:rPr>
        <w:t xml:space="preserve"> acid (C16:1; monounsaturated omega-7), and α-linolenic acid (C18:3; </w:t>
      </w:r>
      <w:proofErr w:type="spellStart"/>
      <w:r w:rsidRPr="00B7408D">
        <w:rPr>
          <w:rFonts w:ascii="Book Antiqua" w:hAnsi="Book Antiqua" w:cs="Arial"/>
          <w:color w:val="000000"/>
          <w:lang w:val="en-US"/>
        </w:rPr>
        <w:t>triunsaturated</w:t>
      </w:r>
      <w:proofErr w:type="spellEnd"/>
      <w:r w:rsidRPr="00B7408D">
        <w:rPr>
          <w:rFonts w:ascii="Book Antiqua" w:hAnsi="Book Antiqua" w:cs="Arial"/>
          <w:color w:val="000000"/>
          <w:lang w:val="en-US"/>
        </w:rPr>
        <w:t xml:space="preserve"> omega-3). Saturated fatty acid residues include the ones from palmitic acid (C16:0) and stearic acid (C18:0) (Table 1).</w:t>
      </w:r>
    </w:p>
    <w:p w14:paraId="0C310874" w14:textId="58298550" w:rsidR="006A0C4B" w:rsidRPr="00B7408D" w:rsidRDefault="006A0C4B" w:rsidP="004D452C">
      <w:pPr>
        <w:adjustRightInd w:val="0"/>
        <w:snapToGrid w:val="0"/>
        <w:spacing w:line="360" w:lineRule="auto"/>
        <w:ind w:firstLineChars="100" w:firstLine="240"/>
        <w:jc w:val="both"/>
        <w:rPr>
          <w:rFonts w:ascii="Book Antiqua" w:hAnsi="Book Antiqua" w:cs="Arial"/>
          <w:color w:val="000000"/>
          <w:lang w:val="en-US"/>
        </w:rPr>
      </w:pPr>
      <w:r w:rsidRPr="00B7408D">
        <w:rPr>
          <w:rFonts w:ascii="Book Antiqua" w:hAnsi="Book Antiqua" w:cs="Arial"/>
          <w:color w:val="000000"/>
          <w:lang w:val="en-US"/>
        </w:rPr>
        <w:t>The fatty acid content in the medium may modulate MSC physiology, including its differentiation potency. In fact, it has been found recently that high content of fatty acids in bone marrow fluid is positively correlated to bone marrow adiposity in patients with osteonecrosis in the femoral head</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{"citationItems":[{"id":"ITEM-1","itemData":{"DOI":"10.1210/en.2016-1687","ISSN":"19457170","abstract":"Osteonecrosis of the femoral head (ON) is a multifactorial bone disease that can evolve to a progressive destruction of the hip joint. Different pathogenic processes have been proposed, among them, an increase of bone marrow (BM) fat resulting from adipocyte accumulation. Marrow adipocytes are active BM residents that influence the microenvironment by releasing cytokines, adipokines, and free fatty acids (FA). We explored the impact of palmitate (Palm) and oleate on function and survival of BM-derived mesenchymal stromal cells (MSC) of osteonecrotic patients (ONMSC) and healthy volunteers. Moreover, we analyzed the FA profile of the serum and the BM supernatant fluid (BMSF). We demonstrated that exposure to the saturated FA Palm favored MSC differentiation through the adipogenic lineage at the expense of the osteoblastic phenotype. Moreover, adipogenesis was intensified in ONMSC. The susceptibility to Palm toxicity was aggravated in ONMSC concomitantly with a greater activation of the proapoptotic extracellular signal-regulated kinase pathway. Moreover, cellular mechanisms implicated in the protection against lipotoxicity, such as stearoyl-coenzyme A desaturase 1 and carnitine palmitoyl transferase 1 expression, were dysregulated in ONMSC. Palm-induced interleukin (IL)-6 and IL-8 secretion was also exacerbated in ONMSC. Our results established that, in the serum, the FA profiles were comparable in ON and healthy subjects. However, both the concentrations and the FA composition were modified in the BMSF of ON patients, highlighting a drastic change of the BM microenvironment in ON patients. Altogether, our work suggests that marrow adipocyte enlargement could affect the process of bone remodeling and, therefore, play a role in the pathogenesis of ON.","author":[{"dropping-particle":"","family":"Gillet","given":"Celine","non-dropping-particle":"","parse-names":false,"suffix":""},{"dropping-particle":"","family":"Valle","given":"Antoine Dalla","non-dropping-particle":"","parse-names":false,"suffix":""},{"dropping-particle":"","family":"Gaspard","given":"Nathalie","non-dropping-particle":"","parse-names":false,"suffix":""},{"dropping-particle":"","family":"Spruyt","given":"Delphine","non-dropping-particle":"","parse-names":false,"suffix":""},{"dropping-particle":"","family":"Vertongen","given":"Pascale","non-dropping-particle":"","parse-names":false,"suffix":""},{"dropping-particle":"","family":"Lechanteur","given":"Jessica","non-dropping-particle":"","parse-names":false,"suffix":""},{"dropping-particle":"","family":"Rigutto","given":"Sabrina","non-dropping-particle":"","parse-names":false,"suffix":""},{"dropping-particle":"","family":"Dragan","given":"Elena Raluca","non-dropping-particle":"","parse-names":false,"suffix":""},{"dropping-particle":"","family":"Heuschling","given":"Audrey","non-dropping-particle":"","parse-names":false,"suffix":""},{"dropping-particle":"","family":"Gangji","given":"Valerie","non-dropping-particle":"","parse-names":false,"suffix":""},{"dropping-particle":"","family":"Rasschaert","given":"Joanne","non-dropping-particle":"","parse-names":false,"suffix":""}],"container-title":"Endocrinology","id":"ITEM-1","issue":"3","issued":{"date-parts":[["2017"]]},"page":"490-502","title":"Osteonecrosis of the femoral head: Lipotoxicity exacerbation in MSC and modifications of the bone marrow fluid","type":"article-journal","volume":"158"},"uris":["http://www.mendeley.com/documents/?uuid=ae26c2df-dbb1-4d05-81af-dd511a7b02a8"]}],"mendeley":{"formattedCitation":"&lt;sup&gt;[41]&lt;/sup&gt;","plainTextFormattedCitation":"[41]","previouslyFormattedCitation":"&lt;sup&gt;[41]&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[41]</w:t>
      </w:r>
      <w:r w:rsidRPr="00B7408D">
        <w:rPr>
          <w:rFonts w:ascii="Book Antiqua" w:hAnsi="Book Antiqua" w:cs="Arial"/>
          <w:color w:val="000000"/>
          <w:lang w:val="en-US"/>
        </w:rPr>
        <w:fldChar w:fldCharType="end"/>
      </w:r>
      <w:r w:rsidRPr="00B7408D">
        <w:rPr>
          <w:rFonts w:ascii="Book Antiqua" w:hAnsi="Book Antiqua" w:cs="Arial"/>
          <w:color w:val="000000"/>
          <w:lang w:val="en-US"/>
        </w:rPr>
        <w:t xml:space="preserve">. Oleic acid is found in the plasmatic membrane lipids. Concentration of this compound in MSCs seems to be related to the cellular differentiation stage. Indeed, </w:t>
      </w:r>
      <w:proofErr w:type="spellStart"/>
      <w:r w:rsidRPr="00B7408D">
        <w:rPr>
          <w:rFonts w:ascii="Book Antiqua" w:hAnsi="Book Antiqua" w:cs="Arial"/>
          <w:color w:val="000000"/>
          <w:lang w:val="en-US"/>
        </w:rPr>
        <w:t>nonosteoporotic</w:t>
      </w:r>
      <w:proofErr w:type="spellEnd"/>
      <w:r w:rsidRPr="00B7408D">
        <w:rPr>
          <w:rFonts w:ascii="Book Antiqua" w:hAnsi="Book Antiqua" w:cs="Arial"/>
          <w:color w:val="000000"/>
          <w:lang w:val="en-US"/>
        </w:rPr>
        <w:t xml:space="preserve"> individuals showed an increased concentration of oleic acid residues. Yet, osteoporotic ones showed an increase in palmitic acid residues, with cells remaining at a mostly undifferentiated stage</w:t>
      </w:r>
      <w:bookmarkStart w:id="12" w:name="__DdeLink__86_3182675882"/>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{"citationItems":[{"id":"ITEM-1","itemData":{"DOI":"10.1007/s00216-017-0386-7","ISSN":"1618-2650","PMID":"28516281","abstract":"Lipids have numerous important functions in the human body, as they form the cells' plasma membranes and play a key role in many disease states, presumably also in osteoporosis. Here, the fatty acid composition of the outer plasma membranes of cells differentiated into the osteogenic and adipogenic direction is studied with surface-sensitive time-of-flight secondary ion mass spectrometry (ToF-SIMS). For data evaluation, principal component analysis (PCA) is applied. Human (bone-derived) mesenchymal stromal cells (hMSCs) from an osteoporotic donor and a control donor are compared to reveal differences in the fatty acid composition of the membranes. The chemical information is correlated to staining and real-time quantitative polymerase chain reaction (rt-qPCR) results to provide insight into the gene expression of several differentiation markers on the RNA level. Adipogenic differentiation of hMSCs from a non-osteoporotic donor correlates with increased relative intensities of all fatty acids under investigation. After osteogenic differentiation of non-osteoporotic cells, the relative mass signal intensities of unsaturated fatty acids such as oleic and linoleic acids are increased. However, the osteoporotic cells show increased levels of palmitic acid in the plasma membrane after exposure to osteogenic differentiation conditions, which correlates to an immature differentiation state relative to non-osteoporotic osteogenic cells. This immature differentiation state is confirmed by increased early osteogenic differentiation factor Runx2 on RNA level and by less calcium mineralization spots seen in von Kossa staining and ToF-SIMS images. Graphical abstract Time-of-flight secondary ion mass spectrometry is applied to analyze the fatty acid composition of the outer plasma membranes of cells differentiated into the adipogenic and osteogenic direction. Cells from an osteoporotic and a control donor are compared to reveal differences due to differentiation and disease stage of the cells.","author":[{"dropping-particle":"","family":"Schaepe","given":"Kaija","non-dropping-particle":"","parse-names":false,"suffix":""},{"dropping-particle":"","family":"Werner","given":"Janina","non-dropping-particle":"","parse-names":false,"suffix":""},{"dropping-particle":"","family":"Glenske","given":"Kristina","non-dropping-particle":"","parse-names":false,"suffix":""},{"dropping-particle":"","family":"Bartges","given":"Tessa","non-dropping-particle":"","parse-names":false,"suffix":""},{"dropping-particle":"","family":"Henss","given":"Anja","non-dropping-particle":"","parse-names":false,"suffix":""},{"dropping-particle":"","family":"Rohnke","given":"Marcus","non-dropping-particle":"","parse-names":false,"suffix":""},{"dropping-particle":"","family":"Wenisch","given":"Sabine","non-dropping-particle":"","parse-names":false,"suffix":""},{"dropping-particle":"","family":"Janek","given":"Jürgen","non-dropping-particle":"","parse-names":false,"suffix":""}],"container-title":"Analytical and bioanalytical chemistry","id":"ITEM-1","issue":"18","issued":{"date-parts":[["2017","7","18"]]},"page":"4425-4435","title":"ToF-SIMS study of differentiation of human bone-derived stromal cells: new insights into osteoporosis.","type":"article-journal","volume":"409"},"uris":["http://www.mendeley.com/documents/?uuid=d0b3c32d-6da5-3f03-a622-24f6941d1860"]}],"mendeley":{"formattedCitation":"&lt;sup&gt;[42]&lt;/sup&gt;","plainTextFormattedCitation":"[42]","previouslyFormattedCitation":"&lt;sup&gt;[42]&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[42]</w:t>
      </w:r>
      <w:r w:rsidRPr="00B7408D">
        <w:rPr>
          <w:rFonts w:ascii="Book Antiqua" w:hAnsi="Book Antiqua" w:cs="Arial"/>
          <w:color w:val="000000"/>
          <w:lang w:val="en-US"/>
        </w:rPr>
        <w:fldChar w:fldCharType="end"/>
      </w:r>
      <w:bookmarkEnd w:id="12"/>
      <w:r w:rsidRPr="00B7408D">
        <w:rPr>
          <w:rFonts w:ascii="Book Antiqua" w:hAnsi="Book Antiqua" w:cs="Arial"/>
          <w:color w:val="000000"/>
          <w:lang w:val="en-US"/>
        </w:rPr>
        <w:t>. Such results suggest that supplementation with lipids containing different fatty acids may modulate MSC differentiation.</w:t>
      </w:r>
    </w:p>
    <w:p w14:paraId="501DF839" w14:textId="77777777" w:rsidR="006A0C4B" w:rsidRPr="00B7408D" w:rsidRDefault="006A0C4B" w:rsidP="004D452C">
      <w:pPr>
        <w:adjustRightInd w:val="0"/>
        <w:snapToGrid w:val="0"/>
        <w:spacing w:line="360" w:lineRule="auto"/>
        <w:ind w:firstLineChars="100" w:firstLine="240"/>
        <w:jc w:val="both"/>
        <w:rPr>
          <w:rFonts w:ascii="Book Antiqua" w:hAnsi="Book Antiqua" w:cs="Arial"/>
          <w:lang w:val="en-US"/>
        </w:rPr>
      </w:pPr>
      <w:r w:rsidRPr="00B7408D">
        <w:rPr>
          <w:rFonts w:ascii="Book Antiqua" w:hAnsi="Book Antiqua" w:cs="Arial"/>
          <w:color w:val="000000"/>
          <w:lang w:val="en-US"/>
        </w:rPr>
        <w:t xml:space="preserve">In fact, it has been described that neuronal differentiation of human endometrial-derived stem cells was enhanced </w:t>
      </w:r>
      <w:r w:rsidRPr="00B7408D">
        <w:rPr>
          <w:rFonts w:ascii="Book Antiqua" w:hAnsi="Book Antiqua" w:cs="Arial"/>
          <w:i/>
          <w:color w:val="000000"/>
          <w:lang w:val="en-US"/>
        </w:rPr>
        <w:t>in vitro</w:t>
      </w:r>
      <w:r w:rsidRPr="00B7408D">
        <w:rPr>
          <w:rFonts w:ascii="Book Antiqua" w:hAnsi="Book Antiqua" w:cs="Arial"/>
          <w:color w:val="000000"/>
          <w:lang w:val="en-US"/>
        </w:rPr>
        <w:t xml:space="preserve"> when culture medium was supplemented with oleic acid</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{"citationItems":[{"id":"ITEM-1","itemData":{"DOI":"10.1016/j.jchemneu.2016.11.004","ISSN":"18736300","abstract":"Variety of neurodegenerative diseases in humans are caused by loss of cells along with loss of function and disability. Cell replacement therapy is a potential strategy to cure neurodegenerative diseases. Mesenchymal stem cells are pluripotent non-hematopoietic cells that can be isolated from numerous tissues. Human endometrial-derived stem cell (hEnSC) are the abundant and easy available source with no immunological response, for cell replacement therapy. In the nervous system, where fatty acids are found in huge amounts, they participate in its development and maintenance throughout life. Oleic acid is a kind of the saturated fatty acids which plays crucial role in brain development. Oleic acid released by astrocytes is used by neurons for the synthesis of phospholipids and is specifically incorporated into growth cones. Human endometrial-derived stem cells in the third passage were divided into 3 groups including: control, sham (cultured in full differentiation medium without oleic acid) and experimental group (cultured in full differentiation medium with oleic acid) to differentiate over a 18-day period. Data from Real-Time PCR showed that mRNA levels of NF and β-TUBULIN were increased significantly (p &lt; 0.05) in oleic acid treated cells in comparison to control and sham groups. Immunocytochemistry analysis of Chat and NF expression also showed the same results. The present study clearly demonstrates that oleic acid promotes neural differentiation of hEnSC through regulation of gene expression.","author":[{"dropping-particle":"","family":"Kojour","given":"Maryam Ali Mohammadie","non-dropping-particle":"","parse-names":false,"suffix":""},{"dropping-particle":"","family":"Barough","given":"Somayeh Ebrahimi","non-dropping-particle":"","parse-names":false,"suffix":""},{"dropping-particle":"","family":"Kouchesfehani","given":"Homa Mohseni","non-dropping-particle":"","parse-names":false,"suffix":""},{"dropping-particle":"","family":"Jalali","given":"Hanieh","non-dropping-particle":"","parse-names":false,"suffix":""},{"dropping-particle":"","family":"Ebrahim","given":"Mohammah Hosein Karbalaie","non-dropping-particle":"","parse-names":false,"suffix":""}],"container-title":"Journal of Chemical Neuroanatomy","id":"ITEM-1","issued":{"date-parts":[["2017"]]},"page":"51-57","publisher":"Elsevier B.V.","title":"Oleic acid promotes the expression of neural markers in differentiated human endometrial stem cells","type":"article-journal","volume":"79"},"uris":["http://www.mendeley.com/documents/?uuid=9546acf3-5c1b-4c17-8bad-1199a2ca4291"]}],"mendeley":{"formattedCitation":"&lt;sup&gt;[43]&lt;/sup&gt;","plainTextFormattedCitation":"[43]","previouslyFormattedCitation":"&lt;sup&gt;[43]&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[43]</w:t>
      </w:r>
      <w:r w:rsidRPr="00B7408D">
        <w:rPr>
          <w:rFonts w:ascii="Book Antiqua" w:hAnsi="Book Antiqua" w:cs="Arial"/>
          <w:color w:val="000000"/>
          <w:lang w:val="en-US"/>
        </w:rPr>
        <w:fldChar w:fldCharType="end"/>
      </w:r>
      <w:r w:rsidRPr="00B7408D">
        <w:rPr>
          <w:rFonts w:ascii="Book Antiqua" w:hAnsi="Book Antiqua" w:cs="Arial"/>
          <w:color w:val="000000"/>
          <w:lang w:val="en-US"/>
        </w:rPr>
        <w:t xml:space="preserve">. This fatty acid also modulates cellular adhesion and migration. For instance, it increased the migration and capacity to accelerate skin wound healing of MSCs, derived from human umbilical cord, in an </w:t>
      </w:r>
      <w:r w:rsidRPr="00B7408D">
        <w:rPr>
          <w:rFonts w:ascii="Book Antiqua" w:hAnsi="Book Antiqua" w:cs="Arial"/>
          <w:i/>
          <w:color w:val="000000"/>
          <w:lang w:val="en-US"/>
        </w:rPr>
        <w:t>in vivo</w:t>
      </w:r>
      <w:r w:rsidRPr="00B7408D">
        <w:rPr>
          <w:rFonts w:ascii="Book Antiqua" w:hAnsi="Book Antiqua" w:cs="Arial"/>
          <w:color w:val="000000"/>
          <w:lang w:val="en-US"/>
        </w:rPr>
        <w:t xml:space="preserve"> model</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{"citationItems":[{"id":"ITEM-1","itemData":{"DOI":"10.1016/j.bbamcr.2015.05.006","ISSN":"18792596","abstract":"The role of unsaturated fatty acids (UFAs) is essential for determining stem cell functions. Eph/Ephrin interactions are important for regulation of stem cell fate and localization within their niche, which is significant for a wide range of stem cell behavior. Although oleic acid (OA) and Ephrin receptors (Ephs) have critical roles in the maintenance of stem cell functions, interrelation between Ephs and OA has not been explored. Therefore, the present study investigated the effect of OA-pretreated UCB-MSCs in skin wound-healing and underlying mechanism of Eph expression. OA promoted the motility of UCB-MSCs via EphB2 expression. OA-mediated GPR40 activation leads to Gα&lt;inf&gt;q&lt;/inf&gt;-dependent PKCα phosphorylation. In addition, OA-induced phosphorylation of GSK3β was followed by β-catenin nuclear translocation in UCB-MSCs. Activation of β-catenin was blocked by PKC inhibitors, and OA-induced EphB2 expression was suppressed by β-cateninsiRNA transfection. Of those Rho-GTPases, Rac1 was activated in an EphB2-dependent manner. Accordingly, knocking down EphB2 suppressed F-actin expression. In vivo skin wound-healing assay revealed that OA-treated UCB-MSCs enhanced skin wound repair compared to UCB-MSCs pretreated with EphB2siRNA and OA. In conclusion, we showed that OA enhances UCB-MSC motility through EphB2-dependent F-actin formation involving PKCα/GSK3β/β-catenin and Rac1 signaling pathways.","author":[{"dropping-particle":"","family":"Jung","given":"Young Hyun","non-dropping-particle":"","parse-names":false,"suffix":""},{"dropping-particle":"","family":"Lee","given":"Sei Jung","non-dropping-particle":"","parse-names":false,"suffix":""},{"dropping-particle":"","family":"Oh","given":"Sang Yub","non-dropping-particle":"","parse-names":false,"suffix":""},{"dropping-particle":"","family":"Lee","given":"Hyun Jik","non-dropping-particle":"","parse-names":false,"suffix":""},{"dropping-particle":"","family":"Ryu","given":"Jung Min","non-dropping-particle":"","parse-names":false,"suffix":""},{"dropping-particle":"","family":"Han","given":"Ho Jae","non-dropping-particle":"","parse-names":false,"suffix":""}],"container-title":"Biochimica et Biophysica Acta - Molecular Cell Research","id":"ITEM-1","issue":"8","issued":{"date-parts":[["2015"]]},"page":"1905-1917","publisher":"Elsevier B.V.","title":"Oleic acid enhances the motility of umbilical cord blood derived mesenchymal stem cells through EphB2-dependent F-actin formation","type":"article-journal","volume":"1853"},"uris":["http://www.mendeley.com/documents/?uuid=4a19189f-6c8d-44de-a2c1-646c5f94cfcc"]}],"mendeley":{"formattedCitation":"&lt;sup&gt;[44]&lt;/sup&gt;","plainTextFormattedCitation":"[44]","previouslyFormattedCitation":"&lt;sup&gt;[44]&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[44]</w:t>
      </w:r>
      <w:r w:rsidRPr="00B7408D">
        <w:rPr>
          <w:rFonts w:ascii="Book Antiqua" w:hAnsi="Book Antiqua" w:cs="Arial"/>
          <w:color w:val="000000"/>
          <w:lang w:val="en-US"/>
        </w:rPr>
        <w:fldChar w:fldCharType="end"/>
      </w:r>
      <w:r w:rsidRPr="00B7408D">
        <w:rPr>
          <w:rFonts w:ascii="Book Antiqua" w:hAnsi="Book Antiqua" w:cs="Arial"/>
          <w:color w:val="000000"/>
          <w:lang w:val="en-US"/>
        </w:rPr>
        <w:t xml:space="preserve">. Also, as related to its capacity to increase the regenerative capacity of the MSCs, another study showed that supplementing MSC culture medium with oleic acid for 7 d reduced cellular proliferation, increasing </w:t>
      </w:r>
      <w:r w:rsidRPr="00B7408D">
        <w:rPr>
          <w:rFonts w:ascii="Book Antiqua" w:hAnsi="Book Antiqua" w:cs="Arial"/>
          <w:color w:val="000000"/>
          <w:lang w:val="en-US"/>
        </w:rPr>
        <w:lastRenderedPageBreak/>
        <w:t>biosynthesis of interleukin (IL)-6 and vascular endothelial growth factor (commonly known as VEGF), as well as nitrite concentration. Since the latter factors are angiogenic, it has been suggested that MSC preconditioning</w:t>
      </w:r>
      <w:r w:rsidRPr="00B7408D" w:rsidDel="00290890">
        <w:rPr>
          <w:rFonts w:ascii="Book Antiqua" w:hAnsi="Book Antiqua" w:cs="Arial"/>
          <w:color w:val="000000"/>
          <w:lang w:val="en-US"/>
        </w:rPr>
        <w:t xml:space="preserve"> </w:t>
      </w:r>
      <w:r w:rsidRPr="00B7408D">
        <w:rPr>
          <w:rFonts w:ascii="Book Antiqua" w:hAnsi="Book Antiqua" w:cs="Arial"/>
          <w:color w:val="000000"/>
          <w:lang w:val="en-US"/>
        </w:rPr>
        <w:t>with oleic acid may activate its therapeutic capacity for wound treatment and tissue regeneration</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{"citationItems":[{"id":"ITEM-1","itemData":{"DOI":"10.1002/jcp.24013","ISSN":"1097-4652","PMID":"22105830","abstract":"Mesenchymal stem cells (MSC) represent emerging cell-based therapies for diabetes and associated complications. Ongoing clinical trials are using exogenous MSC to treat type 1 and 2 diabetes, cardiovascular disease and non-healing wounds due to diabetes. The majority of these trials are aimed at exploiting the ability of these multipotent mesenchymal stromal cells to release soluble mediators that reduce inflammation and promote both angiogenesis and cell survival at sites of tissue damage. Growing evidence suggests that MSC secretion of soluble factors is dependent on tissue microenvironment. Despite the contribution of fatty acids to the metabolic environment of type 2 diabetes, almost nothing is known about their effects on MSC secretion of growth factors and cytokines. In this study, human bone marrow-derived MSC were exposed to linoleic acid, an omega-6 polyunsaturated fatty acid, or oleic acid, a monounsaturated fatty acid, for seven days in the presence of 5.38 mM glucose. Outcomes measured included MSC proliferation, gene expression, protein secretion and chemotaxis. Linoleic and oleic acids inhibited MSC proliferation and altered MSC expression and secretion of known mediators of angiogenesis. Both unsaturated fatty acids induced MSC to increase secretion of interleukin-6, VEGF and nitric oxide. In addition, linoleic acid but not oleic acid induced MSC to increase production of interleukin-8. Collectively these data suggest that exposure to fatty acids may have functional consequences for MSC therapy. Fatty acids may affect MSC engraftment to injured tissue and MSC secretion of cytokines and growth factors that regulate local cellular responses to injury.","author":[{"dropping-particle":"","family":"Smith","given":"Andria N","non-dropping-particle":"","parse-names":false,"suffix":""},{"dropping-particle":"","family":"Muffley","given":"Lara a","non-dropping-particle":"","parse-names":false,"suffix":""},{"dropping-particle":"","family":"Bell","given":"Austin N","non-dropping-particle":"","parse-names":false,"suffix":""},{"dropping-particle":"","family":"Numhom","given":"Surawej","non-dropping-particle":"","parse-names":false,"suffix":""},{"dropping-particle":"","family":"Hocking","given":"Anne M","non-dropping-particle":"","parse-names":false,"suffix":""}],"container-title":"Journal of cellular physiology","id":"ITEM-1","issue":"9","issued":{"date-parts":[["2012","9"]]},"page":"3225-33","title":"Unsaturated fatty acids induce mesenchymal stem cells to increase secretion of angiogenic mediators.","type":"article-journal","volume":"227"},"uris":["http://www.mendeley.com/documents/?uuid=30ea35e7-77e6-4050-ade6-58fa990ee703"]}],"mendeley":{"formattedCitation":"&lt;sup&gt;[45]&lt;/sup&gt;","plainTextFormattedCitation":"[45]","previouslyFormattedCitation":"&lt;sup&gt;[45]&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[45]</w:t>
      </w:r>
      <w:r w:rsidRPr="00B7408D">
        <w:rPr>
          <w:rFonts w:ascii="Book Antiqua" w:hAnsi="Book Antiqua" w:cs="Arial"/>
          <w:color w:val="000000"/>
          <w:lang w:val="en-US"/>
        </w:rPr>
        <w:fldChar w:fldCharType="end"/>
      </w:r>
      <w:r w:rsidRPr="00B7408D">
        <w:rPr>
          <w:rFonts w:ascii="Book Antiqua" w:hAnsi="Book Antiqua" w:cs="Arial"/>
          <w:color w:val="000000"/>
          <w:lang w:val="en-US"/>
        </w:rPr>
        <w:t>.</w:t>
      </w:r>
    </w:p>
    <w:p w14:paraId="28C87162" w14:textId="4A5CCBC6" w:rsidR="006A0C4B" w:rsidRPr="00B7408D" w:rsidRDefault="006A0C4B" w:rsidP="004D452C">
      <w:pPr>
        <w:adjustRightInd w:val="0"/>
        <w:snapToGrid w:val="0"/>
        <w:spacing w:line="360" w:lineRule="auto"/>
        <w:ind w:firstLineChars="100" w:firstLine="240"/>
        <w:jc w:val="both"/>
        <w:rPr>
          <w:rFonts w:ascii="Book Antiqua" w:hAnsi="Book Antiqua" w:cs="Arial"/>
          <w:lang w:val="en-US"/>
        </w:rPr>
      </w:pPr>
      <w:r w:rsidRPr="00B7408D">
        <w:rPr>
          <w:rFonts w:ascii="Book Antiqua" w:hAnsi="Book Antiqua" w:cs="Arial"/>
          <w:color w:val="000000"/>
          <w:lang w:val="en-US"/>
        </w:rPr>
        <w:t xml:space="preserve">Other relevant unsaturated fatty acid residues in olive oil are the essential linoleic and linolenic acids, previously described. As with oleic acid, they are found in plasma membranes. Interestingly, its concentration increased during </w:t>
      </w:r>
      <w:proofErr w:type="spellStart"/>
      <w:r w:rsidRPr="00B7408D">
        <w:rPr>
          <w:rFonts w:ascii="Book Antiqua" w:hAnsi="Book Antiqua" w:cs="Arial"/>
          <w:color w:val="000000"/>
          <w:lang w:val="en-US"/>
        </w:rPr>
        <w:t>osteoblastogenesis</w:t>
      </w:r>
      <w:proofErr w:type="spellEnd"/>
      <w:r w:rsidRPr="00B7408D">
        <w:rPr>
          <w:rFonts w:ascii="Book Antiqua" w:hAnsi="Book Antiqua" w:cs="Arial"/>
          <w:color w:val="000000"/>
          <w:lang w:val="en-US"/>
        </w:rPr>
        <w:t xml:space="preserve"> in MSCs from osteoporotic persons</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{"citationItems":[{"id":"ITEM-1","itemData":{"DOI":"10.1007/s00216-017-0386-7","ISSN":"1618-2650","PMID":"28516281","abstract":"Lipids have numerous important functions in the human body, as they form the cells' plasma membranes and play a key role in many disease states, presumably also in osteoporosis. Here, the fatty acid composition of the outer plasma membranes of cells differentiated into the osteogenic and adipogenic direction is studied with surface-sensitive time-of-flight secondary ion mass spectrometry (ToF-SIMS). For data evaluation, principal component analysis (PCA) is applied. Human (bone-derived) mesenchymal stromal cells (hMSCs) from an osteoporotic donor and a control donor are compared to reveal differences in the fatty acid composition of the membranes. The chemical information is correlated to staining and real-time quantitative polymerase chain reaction (rt-qPCR) results to provide insight into the gene expression of several differentiation markers on the RNA level. Adipogenic differentiation of hMSCs from a non-osteoporotic donor correlates with increased relative intensities of all fatty acids under investigation. After osteogenic differentiation of non-osteoporotic cells, the relative mass signal intensities of unsaturated fatty acids such as oleic and linoleic acids are increased. However, the osteoporotic cells show increased levels of palmitic acid in the plasma membrane after exposure to osteogenic differentiation conditions, which correlates to an immature differentiation state relative to non-osteoporotic osteogenic cells. This immature differentiation state is confirmed by increased early osteogenic differentiation factor Runx2 on RNA level and by less calcium mineralization spots seen in von Kossa staining and ToF-SIMS images. Graphical abstract Time-of-flight secondary ion mass spectrometry is applied to analyze the fatty acid composition of the outer plasma membranes of cells differentiated into the adipogenic and osteogenic direction. Cells from an osteoporotic and a control donor are compared to reveal differences due to differentiation and disease stage of the cells.","author":[{"dropping-particle":"","family":"Schaepe","given":"Kaija","non-dropping-particle":"","parse-names":false,"suffix":""},{"dropping-particle":"","family":"Werner","given":"Janina","non-dropping-particle":"","parse-names":false,"suffix":""},{"dropping-particle":"","family":"Glenske","given":"Kristina","non-dropping-particle":"","parse-names":false,"suffix":""},{"dropping-particle":"","family":"Bartges","given":"Tessa","non-dropping-particle":"","parse-names":false,"suffix":""},{"dropping-particle":"","family":"Henss","given":"Anja","non-dropping-particle":"","parse-names":false,"suffix":""},{"dropping-particle":"","family":"Rohnke","given":"Marcus","non-dropping-particle":"","parse-names":false,"suffix":""},{"dropping-particle":"","family":"Wenisch","given":"Sabine","non-dropping-particle":"","parse-names":false,"suffix":""},{"dropping-particle":"","family":"Janek","given":"Jürgen","non-dropping-particle":"","parse-names":false,"suffix":""}],"container-title":"Analytical and bioanalytical chemistry","id":"ITEM-1","issue":"18","issued":{"date-parts":[["2017","7","18"]]},"page":"4425-4435","title":"ToF-SIMS study of differentiation of human bone-derived stromal cells: new insights into osteoporosis.","type":"article-journal","volume":"409"},"uris":["http://www.mendeley.com/documents/?uuid=d0b3c32d-6da5-3f03-a622-24f6941d1860"]}],"mendeley":{"formattedCitation":"&lt;sup&gt;[42]&lt;/sup&gt;","plainTextFormattedCitation":"[42]","previouslyFormattedCitation":"&lt;sup&gt;[42]&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[42]</w:t>
      </w:r>
      <w:r w:rsidRPr="00B7408D">
        <w:rPr>
          <w:rFonts w:ascii="Book Antiqua" w:hAnsi="Book Antiqua" w:cs="Arial"/>
          <w:color w:val="000000"/>
          <w:lang w:val="en-US"/>
        </w:rPr>
        <w:fldChar w:fldCharType="end"/>
      </w:r>
      <w:r w:rsidRPr="00B7408D">
        <w:rPr>
          <w:rFonts w:ascii="Book Antiqua" w:hAnsi="Book Antiqua" w:cs="Arial"/>
          <w:color w:val="000000"/>
          <w:lang w:val="en-US"/>
        </w:rPr>
        <w:t>. Additionally, its presence in MSC culture medium inhibited cellular proliferation and activated synthesis of IL-6, IL-8 and VEGF inflammatory and angiogenic factors, as well as nitrite production</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{"citationItems":[{"id":"ITEM-1","itemData":{"DOI":"10.1002/jcp.24013","ISSN":"1097-4652","PMID":"22105830","abstract":"Mesenchymal stem cells (MSC) represent emerging cell-based therapies for diabetes and associated complications. Ongoing clinical trials are using exogenous MSC to treat type 1 and 2 diabetes, cardiovascular disease and non-healing wounds due to diabetes. The majority of these trials are aimed at exploiting the ability of these multipotent mesenchymal stromal cells to release soluble mediators that reduce inflammation and promote both angiogenesis and cell survival at sites of tissue damage. Growing evidence suggests that MSC secretion of soluble factors is dependent on tissue microenvironment. Despite the contribution of fatty acids to the metabolic environment of type 2 diabetes, almost nothing is known about their effects on MSC secretion of growth factors and cytokines. In this study, human bone marrow-derived MSC were exposed to linoleic acid, an omega-6 polyunsaturated fatty acid, or oleic acid, a monounsaturated fatty acid, for seven days in the presence of 5.38 mM glucose. Outcomes measured included MSC proliferation, gene expression, protein secretion and chemotaxis. Linoleic and oleic acids inhibited MSC proliferation and altered MSC expression and secretion of known mediators of angiogenesis. Both unsaturated fatty acids induced MSC to increase secretion of interleukin-6, VEGF and nitric oxide. In addition, linoleic acid but not oleic acid induced MSC to increase production of interleukin-8. Collectively these data suggest that exposure to fatty acids may have functional consequences for MSC therapy. Fatty acids may affect MSC engraftment to injured tissue and MSC secretion of cytokines and growth factors that regulate local cellular responses to injury.","author":[{"dropping-particle":"","family":"Smith","given":"Andria N","non-dropping-particle":"","parse-names":false,"suffix":""},{"dropping-particle":"","family":"Muffley","given":"Lara a","non-dropping-particle":"","parse-names":false,"suffix":""},{"dropping-particle":"","family":"Bell","given":"Austin N","non-dropping-particle":"","parse-names":false,"suffix":""},{"dropping-particle":"","family":"Numhom","given":"Surawej","non-dropping-particle":"","parse-names":false,"suffix":""},{"dropping-particle":"","family":"Hocking","given":"Anne M","non-dropping-particle":"","parse-names":false,"suffix":""}],"container-title":"Journal of cellular physiology","id":"ITEM-1","issue":"9","issued":{"date-parts":[["2012","9"]]},"page":"3225-33","title":"Unsaturated fatty acids induce mesenchymal stem cells to increase secretion of angiogenic mediators.","type":"article-journal","volume":"227"},"uris":["http://www.mendeley.com/documents/?uuid=30ea35e7-77e6-4050-ade6-58fa990ee703"]}],"mendeley":{"formattedCitation":"&lt;sup&gt;[45]&lt;/sup&gt;","plainTextFormattedCitation":"[45]","previouslyFormattedCitation":"&lt;sup&gt;[45]&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[45]</w:t>
      </w:r>
      <w:r w:rsidRPr="00B7408D">
        <w:rPr>
          <w:rFonts w:ascii="Book Antiqua" w:hAnsi="Book Antiqua" w:cs="Arial"/>
          <w:color w:val="000000"/>
          <w:lang w:val="en-US"/>
        </w:rPr>
        <w:fldChar w:fldCharType="end"/>
      </w:r>
      <w:r w:rsidRPr="00B7408D">
        <w:rPr>
          <w:rFonts w:ascii="Book Antiqua" w:hAnsi="Book Antiqua" w:cs="Arial"/>
          <w:color w:val="000000"/>
          <w:lang w:val="en-US"/>
        </w:rPr>
        <w:t xml:space="preserve">. On the other hand, linolenic acid is a substrate for biosynthesis of unsaturated n-3 fatty acids (omega-3), like </w:t>
      </w:r>
      <w:proofErr w:type="spellStart"/>
      <w:r w:rsidRPr="00B7408D">
        <w:rPr>
          <w:rFonts w:ascii="Book Antiqua" w:hAnsi="Book Antiqua" w:cs="Arial"/>
          <w:color w:val="000000"/>
          <w:lang w:val="en-US"/>
        </w:rPr>
        <w:t>eicosapentaenoic</w:t>
      </w:r>
      <w:proofErr w:type="spellEnd"/>
      <w:r w:rsidRPr="00B7408D">
        <w:rPr>
          <w:rFonts w:ascii="Book Antiqua" w:hAnsi="Book Antiqua" w:cs="Arial"/>
          <w:color w:val="000000"/>
          <w:lang w:val="en-US"/>
        </w:rPr>
        <w:t xml:space="preserve"> acid (EPA; 20:5n-3) and docosahexaenoic acid (DHA; 22:6n-3), through a process of desaturation/elongation</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{"citationItems":[{"id":"ITEM-1","itemData":{"DOI":"10.1016/j.plefa.2006.05.013","ISBN":"0952-3278 (Print)\\r0952-3278","ISSN":"09523278","PMID":"16828546","abstract":"α-Linolenic acid (18:3n-3) is essential in the human diet, probably because it is the substrate for the synthesis of longer-chain, more unsaturated n-3 fatty acids eicosapentaenoic acid (20:5n-3) and docosahexaenoic acid (22:6n-3) which are required for tissue function. This article reviews the recent literature on 18:3n-3 metabolism in humans, including fatty acid β-oxidation, recycling of carbon by fatty acid synthesis de novo and conversion to longer-chain polyunsaturated fatty acids (PUFA). In men, stable isotope tracer studies and studies in which volunteers increased their consumption of 18:3n-3 show conversion to 20:5n-3 and 22:5n-3, but limited conversion to 22:6n-3. However, conversion to 18:3n-3 to 20:5n-3 and 22:6n-3 is greater in women compared to men, due possibly to a regulatory effect of oestrogen, while partitioning of 18:3n-3 towards β-oxidation and carbon recycling was lower than in men. These gender differences may be an important consideration in making dietary recommendations for n-3 PUFA intake. © 2006 Elsevier Ltd. All rights reserved.","author":[{"dropping-particle":"","family":"Burdge","given":"G. C.","non-dropping-particle":"","parse-names":false,"suffix":""}],"container-title":"Prostaglandins Leukotrienes and Essential Fatty Acids","id":"ITEM-1","issue":"3","issued":{"date-parts":[["2006"]]},"page":"161-168","title":"Metabolism of α-linolenic acid in humans","type":"article-journal","volume":"75"},"uris":["http://www.mendeley.com/documents/?uuid=7cd06d70-cb19-4d87-9c29-6707da439453"]}],"mendeley":{"formattedCitation":"&lt;sup&gt;[46]&lt;/sup&gt;","plainTextFormattedCitation":"[46]","previouslyFormattedCitation":"&lt;sup&gt;[46]&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[46]</w:t>
      </w:r>
      <w:r w:rsidRPr="00B7408D">
        <w:rPr>
          <w:rFonts w:ascii="Book Antiqua" w:hAnsi="Book Antiqua" w:cs="Arial"/>
          <w:color w:val="000000"/>
          <w:lang w:val="en-US"/>
        </w:rPr>
        <w:fldChar w:fldCharType="end"/>
      </w:r>
      <w:r w:rsidRPr="00B7408D">
        <w:rPr>
          <w:rFonts w:ascii="Book Antiqua" w:hAnsi="Book Antiqua" w:cs="Arial"/>
          <w:color w:val="000000"/>
          <w:lang w:val="en-US"/>
        </w:rPr>
        <w:t>. Consumption of olive oil increases concentration of omega-3 fatty acid residues in blood plasma. That has been associated with a risk reduction for cardiovascular and inflammatory diseases</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{"citationItems":[{"id":"ITEM-1","itemData":{"ISSN":"0024-4201","PMID":"15736919","abstract":"Epidemiological studies show that populations consuming a predominantly plant-based Mediterranean-style diet exhibit lower incidences of chronic diseases than those eating a northern European or North American diet. This observation has been attributed to the greater consumption of fruits and vegetables and the lower consumption of animal products, particularly fat. Although total fat intake in Mediterranean populations can be higher than in other regions (ca. 40% of calories), the greater proportion is derived from olive oil and not animals. Increased olive oil consumption is implicated in a reduction in cardiovascular disease, rheumatoid arthritis, and, to a lesser extent, a variety of cancers. Olive oil intake also has been shown to modulate immune function, particularly the inflammatory processes associated with the immune system. Olive oil is a nonoxidative dietary component, and the attenuation of the inflammatory process it elicits could explain its beneficial effects on disease risk since oxidative and inflammatory stresses appear to be underlying factors in the etiology of these diseases in man. The antioxidant effects of olive oil are probably due to a combination of its high oleic acid content (low oxidation potential compared with linoleic acid) and its content of a variety of plant antioxidants, particularly oleuropein, hydroxytyrosol, and tyrosol. It is also possible that the high oleic acid content and a proportionate reduction in linoleic acid intake would allow a greater conversion of alpha-linolenic acid (18:3n-3) to longer-chain n-3 PUFA, which have characteristic health benefits. Adoption of a Mediterranean diet could confer health benefits in high-risk populations.","author":[{"dropping-particle":"","family":"Wahle","given":"Klaus W J","non-dropping-particle":"","parse-names":false,"suffix":""},{"dropping-particle":"","family":"Caruso","given":"Donatella","non-dropping-particle":"","parse-names":false,"suffix":""},{"dropping-particle":"","family":"Ochoa","given":"Julio J","non-dropping-particle":"","parse-names":false,"suffix":""},{"dropping-particle":"","family":"Quiles","given":"Jose L","non-dropping-particle":"","parse-names":false,"suffix":""}],"container-title":"Lipids","id":"ITEM-1","issue":"12","issued":{"date-parts":[["2004","12"]]},"page":"1223-31","title":"Olive oil and modulation of cell signaling in disease prevention.","type":"article-journal","volume":"39"},"uris":["http://www.mendeley.com/documents/?uuid=13e40001-f6ef-3e9a-9683-4675532335a7"]}],"mendeley":{"formattedCitation":"&lt;sup&gt;[47]&lt;/sup&gt;","plainTextFormattedCitation":"[47]","previouslyFormattedCitation":"&lt;sup&gt;[47]&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[47]</w:t>
      </w:r>
      <w:r w:rsidRPr="00B7408D">
        <w:rPr>
          <w:rFonts w:ascii="Book Antiqua" w:hAnsi="Book Antiqua" w:cs="Arial"/>
          <w:color w:val="000000"/>
          <w:lang w:val="en-US"/>
        </w:rPr>
        <w:fldChar w:fldCharType="end"/>
      </w:r>
      <w:r w:rsidRPr="00B7408D">
        <w:rPr>
          <w:rFonts w:ascii="Book Antiqua" w:hAnsi="Book Antiqua" w:cs="Arial"/>
          <w:color w:val="000000"/>
          <w:lang w:val="en-US"/>
        </w:rPr>
        <w:t xml:space="preserve">. In relation to the effect on MSCs, we have previously demonstrated that: </w:t>
      </w:r>
      <w:r w:rsidR="009D164D" w:rsidRPr="00B7408D">
        <w:rPr>
          <w:rFonts w:ascii="Book Antiqua" w:hAnsi="Book Antiqua" w:cs="Arial"/>
          <w:color w:val="000000"/>
          <w:lang w:val="en-US"/>
        </w:rPr>
        <w:t>(</w:t>
      </w:r>
      <w:r w:rsidR="009D164D" w:rsidRPr="00B7408D">
        <w:rPr>
          <w:rFonts w:ascii="Book Antiqua" w:hAnsi="Book Antiqua" w:cs="Arial"/>
          <w:iCs/>
          <w:color w:val="000000"/>
          <w:lang w:val="en-US"/>
        </w:rPr>
        <w:t>1</w:t>
      </w:r>
      <w:r w:rsidRPr="00B7408D">
        <w:rPr>
          <w:rFonts w:ascii="Book Antiqua" w:hAnsi="Book Antiqua" w:cs="Arial"/>
          <w:color w:val="000000"/>
          <w:lang w:val="en-US"/>
        </w:rPr>
        <w:t xml:space="preserve">) </w:t>
      </w:r>
      <w:r w:rsidR="009D164D" w:rsidRPr="00B7408D">
        <w:rPr>
          <w:rFonts w:ascii="Book Antiqua" w:hAnsi="Book Antiqua" w:cs="Arial"/>
          <w:color w:val="000000"/>
          <w:lang w:val="en-US"/>
        </w:rPr>
        <w:t>A</w:t>
      </w:r>
      <w:r w:rsidRPr="00B7408D">
        <w:rPr>
          <w:rFonts w:ascii="Book Antiqua" w:hAnsi="Book Antiqua" w:cs="Arial"/>
          <w:color w:val="000000"/>
          <w:lang w:val="en-US"/>
        </w:rPr>
        <w:t xml:space="preserve">rachidonic acid (omega-6 fatty acid derived from linoleic acid) favored </w:t>
      </w:r>
      <w:proofErr w:type="spellStart"/>
      <w:r w:rsidRPr="00B7408D">
        <w:rPr>
          <w:rFonts w:ascii="Book Antiqua" w:hAnsi="Book Antiqua" w:cs="Arial"/>
          <w:color w:val="000000"/>
          <w:lang w:val="en-US"/>
        </w:rPr>
        <w:t>adipogenic</w:t>
      </w:r>
      <w:proofErr w:type="spellEnd"/>
      <w:r w:rsidRPr="00B7408D">
        <w:rPr>
          <w:rFonts w:ascii="Book Antiqua" w:hAnsi="Book Antiqua" w:cs="Arial"/>
          <w:color w:val="000000"/>
          <w:lang w:val="en-US"/>
        </w:rPr>
        <w:t xml:space="preserve"> differentiation and inhibited </w:t>
      </w:r>
      <w:proofErr w:type="spellStart"/>
      <w:r w:rsidRPr="00B7408D">
        <w:rPr>
          <w:rFonts w:ascii="Book Antiqua" w:hAnsi="Book Antiqua" w:cs="Arial"/>
          <w:color w:val="000000"/>
          <w:lang w:val="en-US"/>
        </w:rPr>
        <w:t>osteoblastogenesis</w:t>
      </w:r>
      <w:proofErr w:type="spellEnd"/>
      <w:r w:rsidRPr="00B7408D">
        <w:rPr>
          <w:rFonts w:ascii="Book Antiqua" w:hAnsi="Book Antiqua" w:cs="Arial"/>
          <w:color w:val="000000"/>
          <w:lang w:val="en-US"/>
        </w:rPr>
        <w:t xml:space="preserve"> </w:t>
      </w:r>
      <w:r w:rsidRPr="00B7408D">
        <w:rPr>
          <w:rFonts w:ascii="Book Antiqua" w:hAnsi="Book Antiqua" w:cs="Arial"/>
          <w:i/>
          <w:color w:val="000000"/>
          <w:lang w:val="en-US"/>
        </w:rPr>
        <w:t>in vitro</w:t>
      </w:r>
      <w:r w:rsidRPr="00B7408D">
        <w:rPr>
          <w:rFonts w:ascii="Book Antiqua" w:hAnsi="Book Antiqua" w:cs="Arial"/>
          <w:color w:val="000000"/>
          <w:lang w:val="en-US"/>
        </w:rPr>
        <w:t xml:space="preserve"> for MSCs derived from human bone marrow; and </w:t>
      </w:r>
      <w:r w:rsidR="009D164D" w:rsidRPr="00B7408D">
        <w:rPr>
          <w:rFonts w:ascii="Book Antiqua" w:hAnsi="Book Antiqua" w:cs="Arial"/>
          <w:color w:val="000000"/>
          <w:lang w:val="en-US"/>
        </w:rPr>
        <w:t>(</w:t>
      </w:r>
      <w:r w:rsidR="009D164D" w:rsidRPr="00B7408D">
        <w:rPr>
          <w:rFonts w:ascii="Book Antiqua" w:hAnsi="Book Antiqua" w:cs="Arial"/>
          <w:iCs/>
          <w:color w:val="000000"/>
          <w:lang w:val="en-US"/>
        </w:rPr>
        <w:t>2</w:t>
      </w:r>
      <w:r w:rsidRPr="00B7408D">
        <w:rPr>
          <w:rFonts w:ascii="Book Antiqua" w:hAnsi="Book Antiqua" w:cs="Arial"/>
          <w:color w:val="000000"/>
          <w:lang w:val="en-US"/>
        </w:rPr>
        <w:t xml:space="preserve">) EPA and DHA did not affect adipocyte differentiation, having little effect on </w:t>
      </w:r>
      <w:proofErr w:type="spellStart"/>
      <w:r w:rsidRPr="00B7408D">
        <w:rPr>
          <w:rFonts w:ascii="Book Antiqua" w:hAnsi="Book Antiqua" w:cs="Arial"/>
          <w:color w:val="000000"/>
          <w:lang w:val="en-US"/>
        </w:rPr>
        <w:t>osteoblastogenesis</w:t>
      </w:r>
      <w:proofErr w:type="spellEnd"/>
      <w:r w:rsidRPr="00B7408D">
        <w:rPr>
          <w:rFonts w:ascii="Book Antiqua" w:hAnsi="Book Antiqua" w:cs="Arial"/>
          <w:color w:val="000000"/>
          <w:lang w:val="en-US"/>
        </w:rPr>
        <w:t>. These results suggest that increasing the omega-3/omega-6 ratio may prevent the loss of mineral bone mass with aging</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{"citationItems":[{"id":"ITEM-1","itemData":{"DOI":"10.1007/s00198-012-2138-z","ISBN":"1433-2965 (Electronic)\\r0937-941X (Linking)","ISSN":"0937941X","PMID":"23104199","abstract":"UNLABELLED: Arachidonic fatty acid (AA) induces adipogenesis in human mesenchymal stem cells cultures, and high concentrations inhibit osteoblastogenesis; whereas eicosapentaenoic and docosahexaenoic fatty acids do not induce adipogenesis and do not inhibit osteoblastogenesis. In mesenchymal stem cells, omega-6 arachidonic polyunsaturated fatty acid promotes the differentiation of adipocytes and inhibits the osteoblast differentiation. While omega-3 fatty acids do not affect the adipogenic differentiation their effects on osteoblastogenesis are less relevant. An increased ratio of omega-3/omega-6 fatty acid consumption can prevent bone mass loss.\\n\\nINTRODUCTION: Consumption of omega-3 may protect against osteoporosis since they may inhibit osteoclastogenesis. However, with aging, MSC in bone marrow are increasingly differentiated into adipocytes, reducing the number of osteoblasts. Products derived from omega-6 and omega-3 metabolism may affect MSC differentiation into osteoblasts and adipocytes.\\n\\nMETHODS: Human MSC have been differentiated into osteoblasts or adipocytes in the presence of omega-6 (AA), or omega-3 (DHA and EPA), and osteoblastic and adipocytic markers have been analyzed.\\n\\nRESULTS: AA decreases the expression of osteogenic markers and the osteoprotegerin/receptor activator of nuclear factor kappa β ligand gene expression ratio (opg/rankl). High concentrations of AA inhibit the mineralization and cause the appearance of adipocytes in MSC differentiating into osteoblasts to a higher extent than DHA or EPA. In MSC differentiated into adipocytes, AA increases adipogenesis, while DHA and EPA do not affect it. AA caused the appearance of adipocytes in undifferentiated MSC. The lipoxygenase gene (alox15b) is induced by omega-3 in MSC induced to osteoblasts, and by omega-6 in MSC induced to adipocytes.\\n\\nCONCLUSIONS: An increase in the intake of omega-3 respect to omega-6 may provide protection against the loss of bone mass, since omega-6 favors the osteoclastic activity by diminishing the opg/rankl gene expression in osteoblasts and promotes MSC differentiation into adipocytes, thus diminishing the production of osteoblasts.","author":[{"dropping-particle":"","family":"Casado-Díaz","given":"A.","non-dropping-particle":"","parse-names":false,"suffix":""},{"dropping-particle":"","family":"Santiago-Mora","given":"R.","non-dropping-particle":"","parse-names":false,"suffix":""},{"dropping-particle":"","family":"Dorado","given":"G.","non-dropping-particle":"","parse-names":false,"suffix":""},{"dropping-particle":"","family":"Quesada-Gómez","given":"J. M.","non-dropping-particle":"","parse-names":false,"suffix":""}],"container-title":"Osteoporosis International","id":"ITEM-1","issue":"5","issued":{"date-parts":[["2013"]]},"page":"1647-1661","title":"The omega-6 arachidonic fatty acid, but not the omega-3 fatty acids, inhibits osteoblastogenesis and induces adipogenesis of human mesenchymal stem cells: Potential implication in osteoporosis","type":"article-journal","volume":"24"},"uris":["http://www.mendeley.com/documents/?uuid=051ce1cb-699e-30e9-83b8-02bcfdb74265"]}],"mendeley":{"formattedCitation":"&lt;sup&gt;[48]&lt;/sup&gt;","plainTextFormattedCitation":"[48]","previouslyFormattedCitation":"&lt;sup&gt;[48]&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[48]</w:t>
      </w:r>
      <w:r w:rsidRPr="00B7408D">
        <w:rPr>
          <w:rFonts w:ascii="Book Antiqua" w:hAnsi="Book Antiqua" w:cs="Arial"/>
          <w:color w:val="000000"/>
          <w:lang w:val="en-US"/>
        </w:rPr>
        <w:fldChar w:fldCharType="end"/>
      </w:r>
      <w:r w:rsidRPr="00B7408D">
        <w:rPr>
          <w:rFonts w:ascii="Book Antiqua" w:hAnsi="Book Antiqua" w:cs="Arial"/>
          <w:color w:val="000000"/>
          <w:lang w:val="en-US"/>
        </w:rPr>
        <w:t>. Besides, it has been recently observed that MSCs derived from placenta, treated with EPA or DHA, increased their angiogenic capacity and, therefore, their regenerative potential</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{"citationItems":[{"id":"ITEM-1","itemData":{"DOI":"10.1016/j.phrs.2018.04.002","ISSN":"10961186","abstract":"Enhancement of angiogenesis is solicited in wound repair and regeneration. Mesenchymal stromal cells derived from the placenta (P-MSCs) have an inherent angiogenic potential. Polyunsaturated fatty acids (PUFAs) in turn, specifically the omega-3 (N-3) are essential for growth and development. They are also recommended as dietary supplements during pregnancy. We therefore hypothesized that addition of N-3 PUFAs in P-MSC culture media may enhance their angiogenic potential. Hence, we treated P-MSCs with omega-3 (N-3) fatty acids –Docosahexaenoic acid (DHA) and Eicosapentaenoic acid (EPA) at different concentrations and tested their angiogenic potential. We saw an upregulation of both bFGF and VEGFA. We also found enhanced in vitro tube formation ability of P-MSCs treated with DHA: EPA. We then looked at the influence of the conditioned medium (CM) collected from P-MSCs exposed to DHA: EPA on the key effector cells –HUVECs (Human Umbilical Vein derived endothelial cells and their functionality was further confirmed on chick yolk sac membrane. We found that the CM of P-MSCs exposed to DHA: EPA could enhance angiogenesis in both cases. These result were finally validated in an in vivo matrigel plug assay which revealed enhanced migration and vessel formation in CM treated with DHA: EPA. Our data thus reveals for the first time that supplementation with lower concentration of PUFA enhances the angiogenic potential of P-MSCs making them suitable for chronic wound healing applications.","author":[{"dropping-particle":"","family":"Mathew","given":"Suja Ann","non-dropping-particle":"","parse-names":false,"suffix":""},{"dropping-particle":"","family":"Bhonde","given":"Ramesh R.","non-dropping-particle":"","parse-names":false,"suffix":""}],"container-title":"Pharmacological Research","id":"ITEM-1","issue":"November 2017","issued":{"date-parts":[["2018"]]},"page":"90-98","publisher":"Elsevier","title":"Omega-3 polyunsaturated fatty acids promote angiogenesis in placenta derived mesenchymal stromal cells","type":"article-journal","volume":"132"},"uris":["http://www.mendeley.com/documents/?uuid=941171dd-2a22-4134-b847-d1d718602fdc"]}],"mendeley":{"formattedCitation":"&lt;sup&gt;[49]&lt;/sup&gt;","plainTextFormattedCitation":"[49]","previouslyFormattedCitation":"&lt;sup&gt;[49]&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[49]</w:t>
      </w:r>
      <w:r w:rsidRPr="00B7408D">
        <w:rPr>
          <w:rFonts w:ascii="Book Antiqua" w:hAnsi="Book Antiqua" w:cs="Arial"/>
          <w:color w:val="000000"/>
          <w:lang w:val="en-US"/>
        </w:rPr>
        <w:fldChar w:fldCharType="end"/>
      </w:r>
      <w:r w:rsidRPr="00B7408D">
        <w:rPr>
          <w:rFonts w:ascii="Book Antiqua" w:hAnsi="Book Antiqua" w:cs="Arial"/>
          <w:color w:val="000000"/>
          <w:lang w:val="en-US"/>
        </w:rPr>
        <w:t>.</w:t>
      </w:r>
    </w:p>
    <w:p w14:paraId="2CB28BCD" w14:textId="3DDA998E" w:rsidR="006A0C4B" w:rsidRPr="00B7408D" w:rsidRDefault="006A0C4B" w:rsidP="004D452C">
      <w:pPr>
        <w:adjustRightInd w:val="0"/>
        <w:snapToGrid w:val="0"/>
        <w:spacing w:line="360" w:lineRule="auto"/>
        <w:ind w:firstLineChars="100" w:firstLine="240"/>
        <w:jc w:val="both"/>
        <w:rPr>
          <w:rFonts w:ascii="Book Antiqua" w:hAnsi="Book Antiqua" w:cs="Arial"/>
          <w:lang w:val="en-US"/>
        </w:rPr>
      </w:pPr>
      <w:r w:rsidRPr="00B7408D">
        <w:rPr>
          <w:rFonts w:ascii="Book Antiqua" w:hAnsi="Book Antiqua" w:cs="Arial"/>
          <w:color w:val="000000"/>
          <w:lang w:val="en-US"/>
        </w:rPr>
        <w:t>Palmitoleic acid is another unsaturated lipid, generally being scarce in food. Yet, it is abundant in fatty tissue. Therefore, it has been suggested that it is mainly produced through lipogenesis</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{"citationItems":[{"id":"ITEM-1","itemData":{"DOI":"10.1016/j.numecd.2015.12.008","ISSN":"1590-3729","PMID":"26817937","abstract":"BACKGROUND AND AIM Clinical data on the role as a lipokine of de novo lipogenesis-derived palmitoleic acid (C16:1n-7cis) in serum non-esterified fatty acids (palmitoleate) are scarce. We aimed to assess whether palmitoleate relates to cardiometabolic risk. METHODS AND RESULTS In this cross-sectional study we included 358 individuals aged 30-65-years at high cardiovascular risk. We tested the association of palmitoleate (determined by gas chromatography) with metabolic syndrome (MS) and its components (defined by ATPIII criteria), fatty liver index (a surrogate of non-alcoholic fatty liver disease [NAFLD]), and subclinical atherosclerosis (determined as ultrasound-measured carotid intima-media thickness and arterial stiffness). Palmitoleate concentration was higher in women compared with men (median ± range interquartile, 1.36 ± 0.96 vs. 0.97 ± 0.77 μmol/L respectively, P &lt; 0.001). In both genders palmitoleate concentration was associated with a higher prevalence of MS: men, odds ratio [OR: 1.12 (95%CI: 1.03; 1.23, P = 0.010)]; women [OR: 1.07 (95%CI: 1.03; 1.13, P = 0.005)], and all of its components except low HDL-cholesterol and hypertriglyceridemia. Palmitoleate was also associated with increased risk of NAFLD in both men [OR: 1.12 (95%CI: 1.03; 1.29, P = 0.031)] and women [OR: 1.11 (95%CI: 1.05; 1.19, P = 0.001)]. No associations with subclinical atherosclerosis were detected. CONCLUSIONS Our observational data supports a relationship between de novo lipogenesis-derived circulating palmitoleic acid (palmitoleate) and increased cardiometabolic risk.","author":[{"dropping-particle":"","family":"Merino","given":"J","non-dropping-particle":"","parse-names":false,"suffix":""},{"dropping-particle":"","family":"Sala-Vila","given":"A","non-dropping-particle":"","parse-names":false,"suffix":""},{"dropping-particle":"","family":"Plana","given":"N","non-dropping-particle":"","parse-names":false,"suffix":""},{"dropping-particle":"","family":"Girona","given":"J","non-dropping-particle":"","parse-names":false,"suffix":""},{"dropping-particle":"","family":"Vallve","given":"J C","non-dropping-particle":"","parse-names":false,"suffix":""},{"dropping-particle":"","family":"Ibarretxe","given":"D","non-dropping-particle":"","parse-names":false,"suffix":""},{"dropping-particle":"","family":"Ros","given":"E","non-dropping-particle":"","parse-names":false,"suffix":""},{"dropping-particle":"","family":"Ferré","given":"R","non-dropping-particle":"","parse-names":false,"suffix":""},{"dropping-particle":"","family":"Heras","given":"M","non-dropping-particle":"","parse-names":false,"suffix":""},{"dropping-particle":"","family":"Masana","given":"L","non-dropping-particle":"","parse-names":false,"suffix":""}],"container-title":"Nutrition, metabolism, and cardiovascular diseases","id":"ITEM-1","issue":"3","issued":{"date-parts":[["2016","3"]]},"page":"261-7","title":"Serum palmitoleate acts as a lipokine in subjects at high cardiometabolic risk.","type":"article-journal","volume":"26"},"uris":["http://www.mendeley.com/documents/?uuid=16538490-81e2-3707-ac4e-34a194ca8c04"]}],"mendeley":{"formattedCitation":"&lt;sup&gt;[50]&lt;/sup&gt;","plainTextFormattedCitation":"[50]","previouslyFormattedCitation":"&lt;sup&gt;[50]&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[50]</w:t>
      </w:r>
      <w:r w:rsidRPr="00B7408D">
        <w:rPr>
          <w:rFonts w:ascii="Book Antiqua" w:hAnsi="Book Antiqua" w:cs="Arial"/>
          <w:color w:val="000000"/>
          <w:lang w:val="en-US"/>
        </w:rPr>
        <w:fldChar w:fldCharType="end"/>
      </w:r>
      <w:r w:rsidRPr="00B7408D">
        <w:rPr>
          <w:rFonts w:ascii="Book Antiqua" w:hAnsi="Book Antiqua" w:cs="Arial"/>
          <w:color w:val="000000"/>
          <w:lang w:val="en-US"/>
        </w:rPr>
        <w:t xml:space="preserve">. Curiously, this fatty acid residue, besides others like oleic acid and linoleic acid, have capacity to induce </w:t>
      </w:r>
      <w:proofErr w:type="spellStart"/>
      <w:r w:rsidRPr="00B7408D">
        <w:rPr>
          <w:rFonts w:ascii="Book Antiqua" w:hAnsi="Book Antiqua" w:cs="Arial"/>
          <w:color w:val="000000"/>
          <w:lang w:val="en-US"/>
        </w:rPr>
        <w:t>adipogenic</w:t>
      </w:r>
      <w:proofErr w:type="spellEnd"/>
      <w:r w:rsidRPr="00B7408D">
        <w:rPr>
          <w:rFonts w:ascii="Book Antiqua" w:hAnsi="Book Antiqua" w:cs="Arial"/>
          <w:color w:val="000000"/>
          <w:lang w:val="en-US"/>
        </w:rPr>
        <w:t xml:space="preserve"> </w:t>
      </w:r>
      <w:proofErr w:type="spellStart"/>
      <w:r w:rsidRPr="00B7408D">
        <w:rPr>
          <w:rFonts w:ascii="Book Antiqua" w:hAnsi="Book Antiqua" w:cs="Arial"/>
          <w:color w:val="000000"/>
          <w:lang w:val="en-US"/>
        </w:rPr>
        <w:t>transdifferentiation</w:t>
      </w:r>
      <w:proofErr w:type="spellEnd"/>
      <w:r w:rsidRPr="00B7408D">
        <w:rPr>
          <w:rFonts w:ascii="Book Antiqua" w:hAnsi="Book Antiqua" w:cs="Arial"/>
          <w:color w:val="000000"/>
          <w:lang w:val="en-US"/>
        </w:rPr>
        <w:t xml:space="preserve"> of different tumor cell lines</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{"citationItems":[{"id":"ITEM-1","itemData":{"DOI":"10.1007/s12015-011-9253-7","ISSN":"15508943","abstract":"Differentiation therapy pursues the discovery of novel molecules to transform cancer progression into less aggressive phenotypes by mechanisms involving enforced cell transdifferentiation. In this study, we examined the identification of transdifferentiating adipogenic programs in human cancer cell lines (HCCLs). Our findings showed that specific unsatturated fatty acids, such as palmitoleic, oleic and linoleic acids, trigger remarkable phenotypic modifications in a large number of human cancer cell lines (HCCLs), including hepatocarcinoma HUH-7, ovarian carcinoma SK-OV-3, breast adenocarcinoma MCF-7 and melanoma MALME-3M. In particular, we characterized a massive biogenesis of lipid droplets (LDs) and up-regulation of the adipogenic master regulator, PPARG, resulting in the transdifferentiation of HCCLs into adipocyte-like cells. These findings suggest the possibility of a novel strategy in cancer differentiation therapy via switching the identity of HCCLs to an adipogenic phenotype through unsaturated fatty acid-induced transdifferentiation.","author":[{"dropping-particle":"","family":"Ruiz-Vela","given":"Antonio","non-dropping-particle":"","parse-names":false,"suffix":""},{"dropping-particle":"","family":"Aguilar-Gallardo","given":"Cristóbal","non-dropping-particle":"","parse-names":false,"suffix":""},{"dropping-particle":"","family":"Martínez-Arroyo","given":"Ana M.","non-dropping-particle":"","parse-names":false,"suffix":""},{"dropping-particle":"","family":"Soriano-Navarro","given":"Mario","non-dropping-particle":"","parse-names":false,"suffix":""},{"dropping-particle":"","family":"Ruiz","given":"Verónica","non-dropping-particle":"","parse-names":false,"suffix":""},{"dropping-particle":"","family":"Simón","given":"Carlos","non-dropping-particle":"","parse-names":false,"suffix":""}],"container-title":"Stem Cell Reviews and Reports","id":"ITEM-1","issue":"4","issued":{"date-parts":[["2011"]]},"page":"898-909","title":"Specific Unsaturated Fatty Acids Enforce the Transdifferentiation of Human Cancer Cells toward Adipocyte-like Cells","type":"article-journal","volume":"7"},"uris":["http://www.mendeley.com/documents/?uuid=8ded7542-95f9-43fb-9f46-aa98cc4ff3f1"]}],"mendeley":{"formattedCitation":"&lt;sup&gt;[51]&lt;/sup&gt;","plainTextFormattedCitation":"[51]","previouslyFormattedCitation":"&lt;sup&gt;[51]&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[51]</w:t>
      </w:r>
      <w:r w:rsidRPr="00B7408D">
        <w:rPr>
          <w:rFonts w:ascii="Book Antiqua" w:hAnsi="Book Antiqua" w:cs="Arial"/>
          <w:color w:val="000000"/>
          <w:lang w:val="en-US"/>
        </w:rPr>
        <w:fldChar w:fldCharType="end"/>
      </w:r>
      <w:r w:rsidRPr="00B7408D">
        <w:rPr>
          <w:rFonts w:ascii="Book Antiqua" w:hAnsi="Book Antiqua" w:cs="Arial"/>
          <w:color w:val="000000"/>
          <w:lang w:val="en-US"/>
        </w:rPr>
        <w:t xml:space="preserve">. These results </w:t>
      </w:r>
      <w:r w:rsidRPr="00B7408D">
        <w:rPr>
          <w:rFonts w:ascii="Book Antiqua" w:hAnsi="Book Antiqua" w:cs="Arial"/>
          <w:color w:val="000000"/>
          <w:lang w:val="en-US"/>
        </w:rPr>
        <w:lastRenderedPageBreak/>
        <w:t>support the idea that such fatty acid residues change the cellular niche, modulating MSC differentiation.</w:t>
      </w:r>
    </w:p>
    <w:p w14:paraId="58AA1116" w14:textId="7502BFC1" w:rsidR="006A0C4B" w:rsidRPr="00B7408D" w:rsidRDefault="006A0C4B" w:rsidP="004D452C">
      <w:pPr>
        <w:adjustRightInd w:val="0"/>
        <w:snapToGrid w:val="0"/>
        <w:spacing w:line="360" w:lineRule="auto"/>
        <w:ind w:firstLineChars="100" w:firstLine="240"/>
        <w:jc w:val="both"/>
        <w:rPr>
          <w:rFonts w:ascii="Book Antiqua" w:hAnsi="Book Antiqua" w:cs="Arial"/>
          <w:color w:val="000000"/>
          <w:lang w:val="en-US"/>
        </w:rPr>
      </w:pPr>
      <w:r w:rsidRPr="00B7408D">
        <w:rPr>
          <w:rFonts w:ascii="Book Antiqua" w:hAnsi="Book Antiqua" w:cs="Arial"/>
          <w:color w:val="000000"/>
          <w:lang w:val="en-US"/>
        </w:rPr>
        <w:t>On the other hand, olive oil palmitic and stearic (saturated) fatty acids are also abundant in the human body. In particular, palmitic acid represents between 20% and 30% of the total fatty acid of phospholipidic membranes</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{"citationItems":[{"id":"ITEM-1","itemData":{"DOI":"10.3389/fphys.2017.00902","ISBN":"1664-042X","ISSN":"1664042X","PMID":"29167646","abstract":"Palmitic acid (PA) has been for long time negatively depicted for its putative detrimental health effects, shadowing its multiple crucial physiological activities. PA is the most common saturated fatty acid accounting for 20-30% of total fatty acids in the human body and can be provided in the diet or synthesized endogenously via de novo lipogenesis (DNL). PA tissue content seems to be controlled around a well-defined concentration, and changes in its intake do not influence significantly its tissue concentration because the exogenous source is counterbalanced by PA endogenous biosynthesis. Particular physiopathological conditions and nutritional factors may strongly induce DNL, resulting in increased tissue content of PA and disrupted homeostatic control of its tissue concentration. The tight homeostatic control of PA tissue concentration is likely related to its fundamental physiological role to guarantee membrane physical properties but also to consent protein palmitoylation, palmitoylethanolamide (PEA) biosynthesis, and in the lung an efficient surfactant activity. In order to maintain membrane phospholipids (PL) balance may be crucial an optimal intake of PA in a certain ratio with unsaturated fatty acids, especially PUFAs of both n-6 and n-3 families. However, in presence of other factors such as positive energy balance, excessive intake of carbohydrates (in particular mono and disaccharides), and a sedentary lifestyle, the mechanisms to maintain a steady state of PA concentration may be disrupted leading to an over accumulation of tissue PA resulting in dyslipidemia, hyperglycemia, increased ectopic fat accumulation and increased inflammatory tone via toll-like receptor 4. It is therefore likely that the controversial data on the association of dietary PA with detrimental health effects, may be related to an excessive imbalance of dietary PA/PUFA ratio which, in certain physiopathological conditions, and in presence of an enhanced DNL, may further accelerate these deleterious effects.","author":[{"dropping-particle":"","family":"Carta","given":"Gianfranca","non-dropping-particle":"","parse-names":false,"suffix":""},{"dropping-particle":"","family":"Murru","given":"Elisabetta","non-dropping-particle":"","parse-names":false,"suffix":""},{"dropping-particle":"","family":"Banni","given":"Sebastiano","non-dropping-particle":"","parse-names":false,"suffix":""},{"dropping-particle":"","family":"Manca","given":"Claudia","non-dropping-particle":"","parse-names":false,"suffix":""}],"container-title":"Frontiers in Physiology","id":"ITEM-1","issue":"NOV","issued":{"date-parts":[["2017"]]},"page":"1-14","title":"Palmitic acid: Physiological role, metabolism and nutritional implications","type":"article-journal","volume":"8"},"uris":["http://www.mendeley.com/documents/?uuid=d6bc03fd-61a1-47dd-93f8-a93b287b3287"]}],"mendeley":{"formattedCitation":"&lt;sup&gt;[52]&lt;/sup&gt;","plainTextFormattedCitation":"[52]","previouslyFormattedCitation":"&lt;sup&gt;[52]&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[52]</w:t>
      </w:r>
      <w:r w:rsidRPr="00B7408D">
        <w:rPr>
          <w:rFonts w:ascii="Book Antiqua" w:hAnsi="Book Antiqua" w:cs="Arial"/>
          <w:color w:val="000000"/>
          <w:lang w:val="en-US"/>
        </w:rPr>
        <w:fldChar w:fldCharType="end"/>
      </w:r>
      <w:r w:rsidRPr="00B7408D">
        <w:rPr>
          <w:rFonts w:ascii="Book Antiqua" w:hAnsi="Book Antiqua" w:cs="Arial"/>
          <w:color w:val="000000"/>
          <w:lang w:val="en-US"/>
        </w:rPr>
        <w:t>. The organism has capacity for regulating palmitic acid homeostasis though lipogenesis, independent of the diet. Nevertheless, a diet unbalanced for it and polyunsaturated fatty acid, as well as having excess of carbohydrates, may increase the concentration of palmitic acid in tissues, producing dyslipidemia, hyperglycemia, accumulation of ectopic fat,</w:t>
      </w:r>
      <w:r w:rsidRPr="00B7408D" w:rsidDel="00205BA5">
        <w:rPr>
          <w:rFonts w:ascii="Book Antiqua" w:hAnsi="Book Antiqua" w:cs="Arial"/>
          <w:color w:val="000000"/>
          <w:lang w:val="en-US"/>
        </w:rPr>
        <w:t xml:space="preserve"> </w:t>
      </w:r>
      <w:r w:rsidRPr="00B7408D">
        <w:rPr>
          <w:rFonts w:ascii="Book Antiqua" w:hAnsi="Book Antiqua" w:cs="Arial"/>
          <w:color w:val="000000"/>
          <w:lang w:val="en-US"/>
        </w:rPr>
        <w:t>and enhancement of the inflammatory condition</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{"citationItems":[{"id":"ITEM-1","itemData":{"DOI":"10.3389/fphys.2017.00902","ISBN":"1664-042X","ISSN":"1664042X","PMID":"29167646","abstract":"Palmitic acid (PA) has been for long time negatively depicted for its putative detrimental health effects, shadowing its multiple crucial physiological activities. PA is the most common saturated fatty acid accounting for 20-30% of total fatty acids in the human body and can be provided in the diet or synthesized endogenously via de novo lipogenesis (DNL). PA tissue content seems to be controlled around a well-defined concentration, and changes in its intake do not influence significantly its tissue concentration because the exogenous source is counterbalanced by PA endogenous biosynthesis. Particular physiopathological conditions and nutritional factors may strongly induce DNL, resulting in increased tissue content of PA and disrupted homeostatic control of its tissue concentration. The tight homeostatic control of PA tissue concentration is likely related to its fundamental physiological role to guarantee membrane physical properties but also to consent protein palmitoylation, palmitoylethanolamide (PEA) biosynthesis, and in the lung an efficient surfactant activity. In order to maintain membrane phospholipids (PL) balance may be crucial an optimal intake of PA in a certain ratio with unsaturated fatty acids, especially PUFAs of both n-6 and n-3 families. However, in presence of other factors such as positive energy balance, excessive intake of carbohydrates (in particular mono and disaccharides), and a sedentary lifestyle, the mechanisms to maintain a steady state of PA concentration may be disrupted leading to an over accumulation of tissue PA resulting in dyslipidemia, hyperglycemia, increased ectopic fat accumulation and increased inflammatory tone via toll-like receptor 4. It is therefore likely that the controversial data on the association of dietary PA with detrimental health effects, may be related to an excessive imbalance of dietary PA/PUFA ratio which, in certain physiopathological conditions, and in presence of an enhanced DNL, may further accelerate these deleterious effects.","author":[{"dropping-particle":"","family":"Carta","given":"Gianfranca","non-dropping-particle":"","parse-names":false,"suffix":""},{"dropping-particle":"","family":"Murru","given":"Elisabetta","non-dropping-particle":"","parse-names":false,"suffix":""},{"dropping-particle":"","family":"Banni","given":"Sebastiano","non-dropping-particle":"","parse-names":false,"suffix":""},{"dropping-particle":"","family":"Manca","given":"Claudia","non-dropping-particle":"","parse-names":false,"suffix":""}],"container-title":"Frontiers in Physiology","id":"ITEM-1","issue":"NOV","issued":{"date-parts":[["2017"]]},"page":"1-14","title":"Palmitic acid: Physiological role, metabolism and nutritional implications","type":"article-journal","volume":"8"},"uris":["http://www.mendeley.com/documents/?uuid=d6bc03fd-61a1-47dd-93f8-a93b287b3287"]}],"mendeley":{"formattedCitation":"&lt;sup&gt;[52]&lt;/sup&gt;","plainTextFormattedCitation":"[52]","previouslyFormattedCitation":"&lt;sup&gt;[52]&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[52]</w:t>
      </w:r>
      <w:r w:rsidRPr="00B7408D">
        <w:rPr>
          <w:rFonts w:ascii="Book Antiqua" w:hAnsi="Book Antiqua" w:cs="Arial"/>
          <w:color w:val="000000"/>
          <w:lang w:val="en-US"/>
        </w:rPr>
        <w:fldChar w:fldCharType="end"/>
      </w:r>
      <w:r w:rsidRPr="00B7408D">
        <w:rPr>
          <w:rFonts w:ascii="Book Antiqua" w:hAnsi="Book Antiqua" w:cs="Arial"/>
          <w:color w:val="000000"/>
          <w:lang w:val="en-US"/>
        </w:rPr>
        <w:t>. MSC cultures treated with palmitic acid had reduced angiogenic capacity</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{"citationItems":[{"id":"ITEM-1","itemData":{"DOI":"10.3892/mmr.2017.7498","ISSN":"17913004","abstract":"Potent paracrine properties, such as secretion of angiogenic cytokines and growth factors, have been considered essential for the function of mesenchymal stem cells (MSCs) in tissue regeneration and repair. The present study determined that bone marrowderived mesenchymal stem cells from mice fed a high fat diet (HFD) had reduced proangiogenic capacity, as evident from the reduced expression of vascular endothelial growth factor A (VEGFA) and basic fibroblast growth factor (bFGF); therefore, a reduced number of branches was induced in the angiogenesis assay. Additionally, the present study determined that miR15a, a putative microRNA targeting both VEGFA and bFGF, may simultaneously downregulate bFGF and VEGFA expression levels through the 3'untranslated region. Inhibition of miR15a using an antagonist restored the expression of VEGFA and bFGF under fatty acid treatment and thus the angiogenic capacity. Furthermore, the HFD and fatty acids treatments transcriptionally activated the expression of miR15a via nuclear factorkappaB. In conclusion, the findings of the present study revealed that inhibition of miR15a may restore the therapeutic efficacy of mesenchymal stem cells in patients suffering from obesity.","author":[{"dropping-particle":"","family":"Zhu","given":"Zhuoli","non-dropping-particle":"","parse-names":false,"suffix":""},{"dropping-particle":"","family":"Gan","given":"Xueqi","non-dropping-particle":"","parse-names":false,"suffix":""},{"dropping-particle":"","family":"Yu","given":"Haiyang","non-dropping-particle":"","parse-names":false,"suffix":""}],"container-title":"Molecular Medicine Reports","id":"ITEM-1","issue":"5","issued":{"date-parts":[["2017"]]},"page":"7609-7616","title":"NF-κB-miR15a-bFGF/VEGFA axis contributes to the impaired angiogenic capacity of BM-MSCs in high fat diet-fed mice","type":"article-journal","volume":"16"},"uris":["http://www.mendeley.com/documents/?uuid=a4b3e2a2-1938-4109-9f95-c61d432f2678"]}],"mendeley":{"formattedCitation":"&lt;sup&gt;[53]&lt;/sup&gt;","plainTextFormattedCitation":"[53]","previouslyFormattedCitation":"&lt;sup&gt;[53]&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[53]</w:t>
      </w:r>
      <w:r w:rsidRPr="00B7408D">
        <w:rPr>
          <w:rFonts w:ascii="Book Antiqua" w:hAnsi="Book Antiqua" w:cs="Arial"/>
          <w:color w:val="000000"/>
          <w:lang w:val="en-US"/>
        </w:rPr>
        <w:fldChar w:fldCharType="end"/>
      </w:r>
      <w:r w:rsidRPr="00B7408D">
        <w:rPr>
          <w:rFonts w:ascii="Book Antiqua" w:hAnsi="Book Antiqua" w:cs="Arial"/>
          <w:color w:val="000000"/>
          <w:lang w:val="en-US"/>
        </w:rPr>
        <w:t>. Additionally, excess of palmitic acid in the bone marrow niche may induce apoptosis in MSCs. For example, concentrations of 0.125 m</w:t>
      </w:r>
      <w:r w:rsidR="00212D95" w:rsidRPr="00B7408D">
        <w:rPr>
          <w:rFonts w:ascii="Book Antiqua" w:hAnsi="Book Antiqua" w:cs="Arial"/>
          <w:color w:val="000000"/>
          <w:lang w:val="en-US"/>
        </w:rPr>
        <w:t>mol/L</w:t>
      </w:r>
      <w:r w:rsidRPr="00B7408D">
        <w:rPr>
          <w:rFonts w:ascii="Book Antiqua" w:hAnsi="Book Antiqua" w:cs="Arial"/>
          <w:color w:val="000000"/>
          <w:lang w:val="en-US"/>
        </w:rPr>
        <w:t xml:space="preserve"> to 0.5 </w:t>
      </w:r>
      <w:r w:rsidR="00212D95" w:rsidRPr="00B7408D">
        <w:rPr>
          <w:rFonts w:ascii="Book Antiqua" w:hAnsi="Book Antiqua" w:cs="Arial"/>
          <w:color w:val="000000"/>
          <w:lang w:val="en-US"/>
        </w:rPr>
        <w:t>mmol/L</w:t>
      </w:r>
      <w:r w:rsidRPr="00B7408D">
        <w:rPr>
          <w:rFonts w:ascii="Book Antiqua" w:hAnsi="Book Antiqua" w:cs="Arial"/>
          <w:color w:val="000000"/>
          <w:lang w:val="en-US"/>
        </w:rPr>
        <w:t xml:space="preserve"> of palmitate induced apoptosis of MSCs </w:t>
      </w:r>
      <w:r w:rsidRPr="00B7408D">
        <w:rPr>
          <w:rFonts w:ascii="Book Antiqua" w:hAnsi="Book Antiqua" w:cs="Arial"/>
          <w:i/>
          <w:color w:val="000000"/>
          <w:lang w:val="en-US"/>
        </w:rPr>
        <w:t>in vitro</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{"citationItems":[{"id":"ITEM-1","itemData":{"DOI":"10.1210/en.2012-1418","ISSN":"1945-7170","PMID":"22968644","abstract":"Elevated circulating saturated fatty acids concentration is commonly associated with poorly controlled diabetes. The highly prevalent free fatty acid palmitate could induce apoptosis in various cell types, but little is known about its effects on human mesenchymal stem cells (MSCs). Here, we report that prolonged exposure to palmitate induces human bone marrow-derived MSC (hBM-MSC) and human umbilical cord-derived MSC apoptosis. We investigated the role of endoplasmic reticulum (ER) stress, which is known to promote cell apoptosis. Palmitate activated XBP1 splicing, elF2α (eukaryotic translation initiation factor 2α) phosphorylation, and CHOP, ATF4, BiP, and GRP94 transcription in hBM-MSCs. ERK1/2 and p38 MAPK phosphorylation were also induced by palmitate in hBM-MSCs. A selective p38 inhibitor inhibited palmitate activation of the ER stress, whereas the ERK1/2 inhibitors had no effect. The AMP-activated protein kinase activator aminoimidazole carboxamide ribonucleotide blocked palmitate-induced ER stress and apoptosis. These findings suggest that palmitate induces ER stress and ERK1/2 and p38 activation in hBM-MSCs, and AMP-activated protein kinase activator prevents the deleterious effects of palmitate by inhibiting ER stress and apoptosis.","author":[{"dropping-particle":"","family":"Lu","given":"Jun","non-dropping-particle":"","parse-names":false,"suffix":""},{"dropping-particle":"","family":"Wang","given":"Qinghua","non-dropping-particle":"","parse-names":false,"suffix":""},{"dropping-particle":"","family":"Huang","given":"Lianghu","non-dropping-particle":"","parse-names":false,"suffix":""},{"dropping-particle":"","family":"Dong","given":"Huiyue","non-dropping-particle":"","parse-names":false,"suffix":""},{"dropping-particle":"","family":"Lin","given":"Lingjing","non-dropping-particle":"","parse-names":false,"suffix":""},{"dropping-particle":"","family":"Lin","given":"Na","non-dropping-particle":"","parse-names":false,"suffix":""},{"dropping-particle":"","family":"Zheng","given":"Feng","non-dropping-particle":"","parse-names":false,"suffix":""},{"dropping-particle":"","family":"Tan","given":"Jianming","non-dropping-particle":"","parse-names":false,"suffix":""}],"container-title":"Endocrinology","id":"ITEM-1","issue":"11","issued":{"date-parts":[["2012","11"]]},"page":"5275-84","title":"Palmitate causes endoplasmic reticulum stress and apoptosis in human mesenchymal stem cells: prevention by AMPK activator.","type":"article-journal","volume":"153"},"uris":["http://www.mendeley.com/documents/?uuid=ae4b4b94-1738-3ff4-9b23-0cfb072ae560"]}],"mendeley":{"formattedCitation":"&lt;sup&gt;[54]&lt;/sup&gt;","plainTextFormattedCitation":"[54]","previouslyFormattedCitation":"&lt;sup&gt;[54]&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[54]</w:t>
      </w:r>
      <w:r w:rsidRPr="00B7408D">
        <w:rPr>
          <w:rFonts w:ascii="Book Antiqua" w:hAnsi="Book Antiqua" w:cs="Arial"/>
          <w:color w:val="000000"/>
          <w:lang w:val="en-US"/>
        </w:rPr>
        <w:fldChar w:fldCharType="end"/>
      </w:r>
      <w:r w:rsidRPr="00B7408D">
        <w:rPr>
          <w:rFonts w:ascii="Book Antiqua" w:hAnsi="Book Antiqua" w:cs="Arial"/>
          <w:color w:val="000000"/>
          <w:lang w:val="en-US"/>
        </w:rPr>
        <w:t xml:space="preserve">. Additionally, palmitic acid upregulated expression of </w:t>
      </w:r>
      <w:proofErr w:type="spellStart"/>
      <w:r w:rsidRPr="00B7408D">
        <w:rPr>
          <w:rFonts w:ascii="Book Antiqua" w:hAnsi="Book Antiqua" w:cs="Arial"/>
          <w:color w:val="000000"/>
          <w:lang w:val="en-US"/>
        </w:rPr>
        <w:t>adipogenic</w:t>
      </w:r>
      <w:proofErr w:type="spellEnd"/>
      <w:r w:rsidRPr="00B7408D">
        <w:rPr>
          <w:rFonts w:ascii="Book Antiqua" w:hAnsi="Book Antiqua" w:cs="Arial"/>
          <w:color w:val="000000"/>
          <w:lang w:val="en-US"/>
        </w:rPr>
        <w:t xml:space="preserve"> genes, produced </w:t>
      </w:r>
      <w:proofErr w:type="spellStart"/>
      <w:r w:rsidRPr="00B7408D">
        <w:rPr>
          <w:rFonts w:ascii="Book Antiqua" w:hAnsi="Book Antiqua" w:cs="Arial"/>
          <w:color w:val="000000"/>
          <w:lang w:val="en-US"/>
        </w:rPr>
        <w:t>lipotoxicity</w:t>
      </w:r>
      <w:proofErr w:type="spellEnd"/>
      <w:r w:rsidRPr="00B7408D">
        <w:rPr>
          <w:rFonts w:ascii="Book Antiqua" w:hAnsi="Book Antiqua" w:cs="Arial"/>
          <w:color w:val="000000"/>
          <w:lang w:val="en-US"/>
        </w:rPr>
        <w:t>, and increased synthesis of proinflammatory IL-6 and IL-8 in MSC cultures. That is in contrast to oleic acid effects, which also included the capacity to counteract the negative influence of palmitic acid</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{"citationItems":[{"id":"ITEM-1","itemData":{"DOI":"10.1210/en.2016-1687","ISSN":"19457170","abstract":"Osteonecrosis of the femoral head (ON) is a multifactorial bone disease that can evolve to a progressive destruction of the hip joint. Different pathogenic processes have been proposed, among them, an increase of bone marrow (BM) fat resulting from adipocyte accumulation. Marrow adipocytes are active BM residents that influence the microenvironment by releasing cytokines, adipokines, and free fatty acids (FA). We explored the impact of palmitate (Palm) and oleate on function and survival of BM-derived mesenchymal stromal cells (MSC) of osteonecrotic patients (ONMSC) and healthy volunteers. Moreover, we analyzed the FA profile of the serum and the BM supernatant fluid (BMSF). We demonstrated that exposure to the saturated FA Palm favored MSC differentiation through the adipogenic lineage at the expense of the osteoblastic phenotype. Moreover, adipogenesis was intensified in ONMSC. The susceptibility to Palm toxicity was aggravated in ONMSC concomitantly with a greater activation of the proapoptotic extracellular signal-regulated kinase pathway. Moreover, cellular mechanisms implicated in the protection against lipotoxicity, such as stearoyl-coenzyme A desaturase 1 and carnitine palmitoyl transferase 1 expression, were dysregulated in ONMSC. Palm-induced interleukin (IL)-6 and IL-8 secretion was also exacerbated in ONMSC. Our results established that, in the serum, the FA profiles were comparable in ON and healthy subjects. However, both the concentrations and the FA composition were modified in the BMSF of ON patients, highlighting a drastic change of the BM microenvironment in ON patients. Altogether, our work suggests that marrow adipocyte enlargement could affect the process of bone remodeling and, therefore, play a role in the pathogenesis of ON.","author":[{"dropping-particle":"","family":"Gillet","given":"Celine","non-dropping-particle":"","parse-names":false,"suffix":""},{"dropping-particle":"","family":"Valle","given":"Antoine Dalla","non-dropping-particle":"","parse-names":false,"suffix":""},{"dropping-particle":"","family":"Gaspard","given":"Nathalie","non-dropping-particle":"","parse-names":false,"suffix":""},{"dropping-particle":"","family":"Spruyt","given":"Delphine","non-dropping-particle":"","parse-names":false,"suffix":""},{"dropping-particle":"","family":"Vertongen","given":"Pascale","non-dropping-particle":"","parse-names":false,"suffix":""},{"dropping-particle":"","family":"Lechanteur","given":"Jessica","non-dropping-particle":"","parse-names":false,"suffix":""},{"dropping-particle":"","family":"Rigutto","given":"Sabrina","non-dropping-particle":"","parse-names":false,"suffix":""},{"dropping-particle":"","family":"Dragan","given":"Elena Raluca","non-dropping-particle":"","parse-names":false,"suffix":""},{"dropping-particle":"","family":"Heuschling","given":"Audrey","non-dropping-particle":"","parse-names":false,"suffix":""},{"dropping-particle":"","family":"Gangji","given":"Valerie","non-dropping-particle":"","parse-names":false,"suffix":""},{"dropping-particle":"","family":"Rasschaert","given":"Joanne","non-dropping-particle":"","parse-names":false,"suffix":""}],"container-title":"Endocrinology","id":"ITEM-1","issue":"3","issued":{"date-parts":[["2017"]]},"page":"490-502","title":"Osteonecrosis of the femoral head: Lipotoxicity exacerbation in MSC and modifications of the bone marrow fluid","type":"article-journal","volume":"158"},"uris":["http://www.mendeley.com/documents/?uuid=ae26c2df-dbb1-4d05-81af-dd511a7b02a8"]},{"id":"ITEM-2","itemData":{"DOI":"10.1210/en.2015-1303","ISSN":"19457170","abstract":"Osteoporosis is a metabolic bone disease associated with unequilibrated bone remodeling resulting from decreased bone formation and/or increased bone resorption, leading to progressive bone loss. In osteoporotic patients, low bone mass is associated with an increase of bone marrow fat resulting from accumulation of adipocytes within bone marrow (BM). BM adipocytes are active secretory cells, releasing cytokines, adipokines and free fatty acids (FA) that influence the BM microenvironment and altered the biology of neighboring cells. Therefore, we examined the influence of palmitate and oleate, two highly prevalent FA in human organism and diet, on the function and survival of human mesenchymal stem cells (MSC) and MSC-derived osteoblastic cells. The saturated FA palmitate exerted a cytotoxic action via initiation of endoplasmic reticulum stress and activation of the NF-κB and ERK pathways. In addition, palmitate induced a pro-inflammatory response, as determined by the upregulation of TLR4 expression as well as the increase of IL-6 and IL-8 expression and secretion. Moreover, we showed that MSC-derived osteoblastic cells were more sensitive to lipotoxicity than undifferentiated MSC. The monounsaturated FA oleate fully neutralized palmitate-induced lipotoxicity by impairing activation of the pathways triggered by the saturated FA. Moreover, oleate promoted palmitate detoxification by fostering its esterification into triglycerides and storage in lipid droplets. Altogether, our data showed that physiological concentrations of palmitate and oleate differently modulated cell death and function in bone cells. We therefore propose that FA could influence skeletal health.","author":[{"dropping-particle":"","family":"Gillet","given":"C.","non-dropping-particle":"","parse-names":false,"suffix":""},{"dropping-particle":"","family":"Spruyt","given":"D.","non-dropping-particle":"","parse-names":false,"suffix":""},{"dropping-particle":"","family":"Rigutto","given":"S.","non-dropping-particle":"","parse-names":false,"suffix":""},{"dropping-particle":"","family":"Dalla Valle","given":"A.","non-dropping-particle":"","parse-names":false,"suffix":""},{"dropping-particle":"","family":"Berlier","given":"J.","non-dropping-particle":"","parse-names":false,"suffix":""},{"dropping-particle":"","family":"Louis","given":"C.","non-dropping-particle":"","parse-names":false,"suffix":""},{"dropping-particle":"","family":"Debier","given":"C.","non-dropping-particle":"","parse-names":false,"suffix":""},{"dropping-particle":"","family":"Gaspard","given":"N.","non-dropping-particle":"","parse-names":false,"suffix":""},{"dropping-particle":"","family":"Malaisse","given":"W. J.","non-dropping-particle":"","parse-names":false,"suffix":""},{"dropping-particle":"","family":"Gangji","given":"V.","non-dropping-particle":"","parse-names":false,"suffix":""},{"dropping-particle":"","family":"Rasschaert","given":"J.","non-dropping-particle":"","parse-names":false,"suffix":""}],"container-title":"Endocrinology","id":"ITEM-2","issue":"11","issued":{"date-parts":[["2015"]]},"page":"4081-4093","title":"Oleate abrogates palmitate-induced lipotoxicity and proinflammatory response in human bone marrow-derived mesenchymal stem cells and osteoblastic cells","type":"article-journal","volume":"156"},"uris":["http://www.mendeley.com/documents/?uuid=0d444503-6fd8-432c-94fd-1b5b78ff2f89"]}],"mendeley":{"formattedCitation":"&lt;sup&gt;[41,55]&lt;/sup&gt;","plainTextFormattedCitation":"[41,55]","previouslyFormattedCitation":"&lt;sup&gt;[41,55]&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[41,55]</w:t>
      </w:r>
      <w:r w:rsidRPr="00B7408D">
        <w:rPr>
          <w:rFonts w:ascii="Book Antiqua" w:hAnsi="Book Antiqua" w:cs="Arial"/>
          <w:color w:val="000000"/>
          <w:lang w:val="en-US"/>
        </w:rPr>
        <w:fldChar w:fldCharType="end"/>
      </w:r>
      <w:r w:rsidRPr="00B7408D">
        <w:rPr>
          <w:rFonts w:ascii="Book Antiqua" w:hAnsi="Book Antiqua" w:cs="Arial"/>
          <w:color w:val="000000"/>
          <w:lang w:val="en-US"/>
        </w:rPr>
        <w:t>. Finally, the effect of stearic acid on MSCs is unknown. Nevertheless, studies carried out with animals other than humans have shown that a diet rich in it increases adiposity, reducing insulin sensitivity</w:t>
      </w:r>
      <w:r w:rsidRPr="00B7408D">
        <w:rPr>
          <w:rFonts w:ascii="Book Antiqua" w:hAnsi="Book Antiqua" w:cs="Arial"/>
          <w:color w:val="000000"/>
          <w:lang w:val="en-US"/>
        </w:rPr>
        <w:fldChar w:fldCharType="begin" w:fldLock="1"/>
      </w:r>
      <w:r w:rsidRPr="00B7408D">
        <w:rPr>
          <w:rFonts w:ascii="Book Antiqua" w:hAnsi="Book Antiqua" w:cs="Arial"/>
          <w:color w:val="000000"/>
          <w:lang w:val="en-US"/>
        </w:rPr>
        <w:instrText>ADDIN CSL_CITATION {"citationItems":[{"id":"ITEM-1","itemData":{"DOI":"10.1186/1743-7075-7-24","ISSN":"17437075","PMID":"20346174","abstract":"BACKGROUND Relatively little is known about the role of specific saturated fatty acids in the development of high fat diet induced obesity and insulin resistance. Here, we have studied the effect of stearate in high fat diets (45% energy as fat) on whole body energy metabolism and tissue specific insulin sensitivity. METHODS C57Bl/6 mice were fed a low stearate diet based on palm oil or one of two stearate rich diets, one diet based on lard and one diet based on palm oil supplemented with tristearin (to the stearate level of the lard based diet), for a period of 5 weeks. Ad libitum fed Oxidative metabolism was assessed by indirect calorimetry at week 5. Changes in body mass and composition was assessed by DEXA scan analysis. Tissue specific insulin sensitivity was assessed by hyperinsulinemic-euglycemic clamp analysis and Western blot at the end of week 5. RESULTS Indirect calorimetry analysis revealed that high levels of dietary stearate resulted in lower caloric energy expenditure characterized by lower oxidation of fatty acids. In agreement with this metabolic phenotype, mice on the stearate rich diets gained more adipose tissue mass. Whole body and tissue specific insulin sensitivity was assessed by hyperinsulinemic-euglycemic clamp and analysis of insulin induced PKBser473 phosphorylation. Whole body insulin sensitivity was decreased by all high fat diets. However, while insulin-stimulated glucose uptake by peripheral tissues was impaired by all high fat diets, hepatic insulin sensitivity was affected only by the stearate rich diets. This tissue-specific pattern of reduced insulin sensitivity was confirmed by similar impairment in insulin-induced phosphorylation of PKBser473 in both liver and skeletal muscle. CONCLUSION In C57Bl/6 mice, 5 weeks of a high fat diet rich in stearate induces a metabolic state favoring low oxidative metabolism, increased adiposity and whole body insulin resistance characterized by severe hepatic insulin resistance. These results indicate that dietary fatty acid composition per sé rather than dietary fat content determines insulin sensitivity in liver of high fat fed C57Bl/6 mice.","author":[{"dropping-particle":"","family":"Berg","given":"Sjord A A","non-dropping-particle":"Van Den","parse-names":false,"suffix":""},{"dropping-particle":"","family":"Guigas","given":"Bruno","non-dropping-particle":"","parse-names":false,"suffix":""},{"dropping-particle":"","family":"Bijland","given":"Silvia","non-dropping-particle":"","parse-names":false,"suffix":""},{"dropping-particle":"","family":"Ouwens","given":"Margriet","non-dropping-particle":"","parse-names":false,"suffix":""},{"dropping-particle":"","family":"Voshol","given":"Peter J.","non-dropping-particle":"","parse-names":false,"suffix":""},{"dropping-particle":"","family":"Frants","given":"Rune R.","non-dropping-particle":"","parse-names":false,"suffix":""},{"dropping-particle":"","family":"Havekes","given":"Louis M.","non-dropping-particle":"","parse-names":false,"suffix":""},{"dropping-particle":"","family":"Romijn","given":"Johannes A.","non-dropping-particle":"","parse-names":false,"suffix":""},{"dropping-particle":"","family":"Dijk","given":"Ko Willems","non-dropping-particle":"Van","parse-names":false,"suffix":""}],"container-title":"Nutrition and Metabolism","id":"ITEM-1","issued":{"date-parts":[["2010"]]},"page":"1-11","title":"High levels of dietary stearate promote adiposity and deteriorate hepatic insulin sensitivity","type":"article-journal","volume":"7"},"uris":["http://www.mendeley.com/documents/?uuid=dfef36c3-0518-4c81-8b15-7c33255f1c51"]}],"mendeley":{"formattedCitation":"&lt;sup&gt;[56]&lt;/sup&gt;","plainTextFormattedCitation":"[56]","previouslyFormattedCitation":"&lt;sup&gt;[56]&lt;/sup&gt;"},"properties":{"noteIndex":0},"schema":"https://github.com/citation-style-language/schema/raw/master/csl-citation.json"}</w:instrText>
      </w:r>
      <w:r w:rsidRPr="00B7408D">
        <w:rPr>
          <w:rFonts w:ascii="Book Antiqua" w:hAnsi="Book Antiqua" w:cs="Arial"/>
          <w:color w:val="000000"/>
          <w:lang w:val="en-US"/>
        </w:rPr>
        <w:fldChar w:fldCharType="separate"/>
      </w:r>
      <w:r w:rsidRPr="00B7408D">
        <w:rPr>
          <w:rFonts w:ascii="Book Antiqua" w:hAnsi="Book Antiqua" w:cs="Arial"/>
          <w:color w:val="000000"/>
          <w:vertAlign w:val="superscript"/>
          <w:lang w:val="en-US"/>
        </w:rPr>
        <w:t>[56]</w:t>
      </w:r>
      <w:r w:rsidRPr="00B7408D">
        <w:rPr>
          <w:rFonts w:ascii="Book Antiqua" w:hAnsi="Book Antiqua" w:cs="Arial"/>
          <w:color w:val="000000"/>
          <w:lang w:val="en-US"/>
        </w:rPr>
        <w:fldChar w:fldCharType="end"/>
      </w:r>
      <w:r w:rsidRPr="00B7408D">
        <w:rPr>
          <w:rFonts w:ascii="Book Antiqua" w:hAnsi="Book Antiqua" w:cs="Arial"/>
          <w:color w:val="000000"/>
          <w:lang w:val="en-US"/>
        </w:rPr>
        <w:t>. Such data suggest that it could affect MSC differentiation.</w:t>
      </w:r>
    </w:p>
    <w:p w14:paraId="0F5E5C20" w14:textId="77777777" w:rsidR="006A0C4B" w:rsidRPr="00B7408D" w:rsidRDefault="006A0C4B" w:rsidP="004D452C">
      <w:pPr>
        <w:adjustRightInd w:val="0"/>
        <w:snapToGrid w:val="0"/>
        <w:spacing w:line="360" w:lineRule="auto"/>
        <w:ind w:firstLineChars="100" w:firstLine="240"/>
        <w:jc w:val="both"/>
        <w:rPr>
          <w:rFonts w:ascii="Book Antiqua" w:hAnsi="Book Antiqua"/>
          <w:lang w:val="en-US"/>
        </w:rPr>
      </w:pPr>
      <w:r w:rsidRPr="00B7408D">
        <w:rPr>
          <w:rFonts w:ascii="Book Antiqua" w:hAnsi="Book Antiqua" w:cs="Arial"/>
          <w:color w:val="000000"/>
          <w:lang w:val="en-US"/>
        </w:rPr>
        <w:t>In summary, the</w:t>
      </w:r>
      <w:r w:rsidRPr="00B7408D">
        <w:rPr>
          <w:rFonts w:ascii="Book Antiqua" w:hAnsi="Book Antiqua"/>
          <w:lang w:val="en-US"/>
        </w:rPr>
        <w:t xml:space="preserve"> amount and type of fatty acids in the medium may modulate MSC functionality and their capacity to differentiate. Therefore, the modification of the plasmatic lipidic profile after olive oil intake may affect MSCs and partly explain the beneficial effects of such food in health (Figure 2).</w:t>
      </w:r>
    </w:p>
    <w:p w14:paraId="3200F704" w14:textId="77777777" w:rsidR="006A0C4B" w:rsidRPr="00B7408D" w:rsidRDefault="006A0C4B" w:rsidP="006A0C4B">
      <w:pPr>
        <w:snapToGrid w:val="0"/>
        <w:spacing w:line="360" w:lineRule="auto"/>
        <w:jc w:val="both"/>
        <w:rPr>
          <w:rFonts w:ascii="Book Antiqua" w:hAnsi="Book Antiqua"/>
          <w:lang w:val="en-US"/>
        </w:rPr>
      </w:pPr>
    </w:p>
    <w:p w14:paraId="6A11218D" w14:textId="77777777" w:rsidR="006A0C4B" w:rsidRPr="00B7408D" w:rsidRDefault="006A0C4B" w:rsidP="006A0C4B">
      <w:pPr>
        <w:adjustRightInd w:val="0"/>
        <w:snapToGrid w:val="0"/>
        <w:spacing w:line="360" w:lineRule="auto"/>
        <w:jc w:val="both"/>
        <w:rPr>
          <w:rFonts w:ascii="Book Antiqua" w:hAnsi="Book Antiqua" w:cs="Times New Roman"/>
          <w:b/>
          <w:lang w:val="en-US"/>
        </w:rPr>
      </w:pPr>
      <w:r w:rsidRPr="00B7408D">
        <w:rPr>
          <w:rFonts w:ascii="Book Antiqua" w:hAnsi="Book Antiqua" w:cs="Times New Roman"/>
          <w:b/>
          <w:color w:val="000000"/>
          <w:lang w:val="en-US"/>
        </w:rPr>
        <w:t>EFFECTS OF UNSAPONIFIABLE FRACTION OF OLIVE OIL IN MSCS</w:t>
      </w:r>
    </w:p>
    <w:p w14:paraId="2E411AE8" w14:textId="77777777" w:rsidR="006A0C4B" w:rsidRPr="00B7408D" w:rsidRDefault="006A0C4B" w:rsidP="006A0C4B">
      <w:pPr>
        <w:adjustRightInd w:val="0"/>
        <w:snapToGrid w:val="0"/>
        <w:spacing w:line="360" w:lineRule="auto"/>
        <w:jc w:val="both"/>
        <w:rPr>
          <w:rFonts w:ascii="Book Antiqua" w:hAnsi="Book Antiqua" w:cs="Times New Roman"/>
          <w:bCs/>
          <w:color w:val="000000"/>
          <w:lang w:val="en-US"/>
        </w:rPr>
      </w:pPr>
      <w:r w:rsidRPr="00B7408D">
        <w:rPr>
          <w:rFonts w:ascii="Book Antiqua" w:hAnsi="Book Antiqua" w:cs="Times New Roman"/>
          <w:bCs/>
          <w:color w:val="000000"/>
          <w:lang w:val="en-US"/>
        </w:rPr>
        <w:t xml:space="preserve">The unsaponifiable fraction of olive oil corresponds to 1% to 2% of this food. It is composed of a large variety of compounds (Table 1). They are largely responsible for the taste and aroma (flavor) of olive oil, besides contributing to </w:t>
      </w:r>
      <w:r w:rsidRPr="00B7408D">
        <w:rPr>
          <w:rFonts w:ascii="Book Antiqua" w:hAnsi="Book Antiqua" w:cs="Times New Roman"/>
          <w:bCs/>
          <w:color w:val="000000"/>
          <w:lang w:val="en-US"/>
        </w:rPr>
        <w:lastRenderedPageBreak/>
        <w:t>relevant biological activities. Interestingly, they can modulate the redox system and different cellular signaling pathways. Therefore, olive oil consumption may have effects on metabolism, in general, and physiological processes in MSCs, in particular, as described below and summarized in Figure 3.</w:t>
      </w:r>
    </w:p>
    <w:p w14:paraId="12B1F35A" w14:textId="77777777" w:rsidR="006A0C4B" w:rsidRPr="00B7408D" w:rsidRDefault="006A0C4B" w:rsidP="006A0C4B">
      <w:pPr>
        <w:adjustRightInd w:val="0"/>
        <w:snapToGrid w:val="0"/>
        <w:spacing w:line="360" w:lineRule="auto"/>
        <w:jc w:val="both"/>
        <w:rPr>
          <w:rFonts w:ascii="Book Antiqua" w:hAnsi="Book Antiqua" w:cs="Times New Roman"/>
          <w:bCs/>
          <w:color w:val="000000"/>
          <w:lang w:val="en-US"/>
        </w:rPr>
      </w:pPr>
    </w:p>
    <w:p w14:paraId="4FD17898" w14:textId="77777777" w:rsidR="006A0C4B" w:rsidRPr="00B7408D" w:rsidRDefault="006A0C4B" w:rsidP="006A0C4B">
      <w:pPr>
        <w:adjustRightInd w:val="0"/>
        <w:snapToGrid w:val="0"/>
        <w:spacing w:line="360" w:lineRule="auto"/>
        <w:jc w:val="both"/>
        <w:rPr>
          <w:rFonts w:ascii="Book Antiqua" w:hAnsi="Book Antiqua" w:cs="Times New Roman"/>
          <w:b/>
          <w:bCs/>
          <w:i/>
          <w:color w:val="000000"/>
          <w:lang w:val="en-US"/>
        </w:rPr>
      </w:pPr>
      <w:r w:rsidRPr="00B7408D">
        <w:rPr>
          <w:rFonts w:ascii="Book Antiqua" w:hAnsi="Book Antiqua" w:cs="Times New Roman"/>
          <w:b/>
          <w:bCs/>
          <w:i/>
          <w:color w:val="000000"/>
          <w:lang w:val="en-US"/>
        </w:rPr>
        <w:t>Vitamins</w:t>
      </w:r>
    </w:p>
    <w:p w14:paraId="320C4233" w14:textId="77777777" w:rsidR="006A0C4B" w:rsidRPr="00B7408D" w:rsidRDefault="006A0C4B" w:rsidP="006A0C4B">
      <w:pPr>
        <w:adjustRightInd w:val="0"/>
        <w:snapToGrid w:val="0"/>
        <w:spacing w:line="360" w:lineRule="auto"/>
        <w:jc w:val="both"/>
        <w:rPr>
          <w:rFonts w:ascii="Book Antiqua" w:hAnsi="Book Antiqua" w:cs="Times New Roman"/>
          <w:color w:val="000000"/>
          <w:lang w:val="en-US"/>
        </w:rPr>
      </w:pPr>
      <w:r w:rsidRPr="00B7408D">
        <w:rPr>
          <w:rFonts w:ascii="Book Antiqua" w:hAnsi="Book Antiqua" w:cs="Times New Roman"/>
          <w:bCs/>
          <w:color w:val="000000"/>
          <w:lang w:val="en-US"/>
        </w:rPr>
        <w:t>Olive oil contains different vitamins, including E, K and A precursor (beta-carotene). Vitamin E accounts for 2% to 3% of the extra virgin olive oil unsaponifiable fraction, with 90% of alpha-tocopherol. Its main biological activity is that of antioxidant, preventing ROS</w:t>
      </w:r>
      <w:r w:rsidRPr="00B7408D">
        <w:rPr>
          <w:rFonts w:ascii="Book Antiqua" w:hAnsi="Book Antiqua" w:cs="Times New Roman"/>
          <w:bCs/>
          <w:color w:val="000000"/>
          <w:lang w:val="en-US"/>
        </w:rPr>
        <w:fldChar w:fldCharType="begin" w:fldLock="1"/>
      </w:r>
      <w:r w:rsidRPr="00B7408D">
        <w:rPr>
          <w:rFonts w:ascii="Book Antiqua" w:hAnsi="Book Antiqua" w:cs="Times New Roman"/>
          <w:bCs/>
          <w:color w:val="000000"/>
          <w:lang w:val="en-US"/>
        </w:rPr>
        <w:instrText>ADDIN CSL_CITATION {"citationItems":[{"id":"ITEM-1","itemData":{"DOI":"10.1159/000343106","ISSN":"1421-9697","PMID":"23183290","abstract":"Vitamin E (α-tocopherol) was discovered nearly 100 years ago because it was required to prevent fetal resorption in pregnant, vitamin E-deficient rats fed lard-containing diets that were easily oxidizable. The human diet contains eight different vitamin E-related molecules synthesized by plants; despite the fact that all of these molecules are peroxyl radical scavengers, the human body prefers α-tocopherol. The biological activity of vitamin E is highly dependent upon regulatory mechanisms that serve to retain α-tocopherol and excrete the non-α-tocopherol forms. This preference is dependent upon the combination of the function of α-tocopherol transfer protein (α-TTP) to enrich the plasma with α-tocopherol and the metabolism of non-α-tocopherols. α-TTP is critical for human health because mutations in this protein lead to severe vitamin E deficiency characterized by neurologic abnormalities, especially ataxia and eventually death if vitamin E is not provided in large quantities to overcome the lack of α-TTP. α-Tocopherol serves as a peroxyl radical scavenger that protects polyunsaturated fatty acids in membranes and lipoproteins. Although specific pathways and specific molecular targets have been sought in a variety of studies, the most likely explanation as to why humans require vitamin E is that it is a fat-soluble antioxidant.","author":[{"dropping-particle":"","family":"Niki","given":"Etsuo","non-dropping-particle":"","parse-names":false,"suffix":""},{"dropping-particle":"","family":"Traber","given":"Maret G","non-dropping-particle":"","parse-names":false,"suffix":""}],"container-title":"Annals of nutrition &amp; metabolism","id":"ITEM-1","issue":"3","issued":{"date-parts":[["2012"]]},"page":"207-12","title":"A history of vitamin E.","type":"article-journal","volume":"61"},"uris":["http://www.mendeley.com/documents/?uuid=475034f5-4554-3d7a-9737-b935a51f5698"]}],"mendeley":{"formattedCitation":"&lt;sup&gt;[57]&lt;/sup&gt;","plainTextFormattedCitation":"[57]","previouslyFormattedCitation":"&lt;sup&gt;[57]&lt;/sup&gt;"},"properties":{"noteIndex":0},"schema":"https://github.com/citation-style-language/schema/raw/master/csl-citation.json"}</w:instrText>
      </w:r>
      <w:r w:rsidRPr="00B7408D">
        <w:rPr>
          <w:rFonts w:ascii="Book Antiqua" w:hAnsi="Book Antiqua" w:cs="Times New Roman"/>
          <w:bCs/>
          <w:color w:val="000000"/>
          <w:lang w:val="en-US"/>
        </w:rPr>
        <w:fldChar w:fldCharType="separate"/>
      </w:r>
      <w:r w:rsidRPr="00B7408D">
        <w:rPr>
          <w:rFonts w:ascii="Book Antiqua" w:hAnsi="Book Antiqua" w:cs="Times New Roman"/>
          <w:bCs/>
          <w:color w:val="000000"/>
          <w:vertAlign w:val="superscript"/>
          <w:lang w:val="en-US"/>
        </w:rPr>
        <w:t>[57]</w:t>
      </w:r>
      <w:r w:rsidRPr="00B7408D">
        <w:rPr>
          <w:rFonts w:ascii="Book Antiqua" w:hAnsi="Book Antiqua" w:cs="Times New Roman"/>
          <w:bCs/>
          <w:color w:val="000000"/>
          <w:lang w:val="en-US"/>
        </w:rPr>
        <w:fldChar w:fldCharType="end"/>
      </w:r>
      <w:r w:rsidRPr="00B7408D">
        <w:rPr>
          <w:rFonts w:ascii="Book Antiqua" w:hAnsi="Book Antiqua" w:cs="Times New Roman"/>
          <w:bCs/>
          <w:color w:val="000000"/>
          <w:lang w:val="en-US"/>
        </w:rPr>
        <w:t>. Extracts of</w:t>
      </w:r>
      <w:r w:rsidRPr="00B7408D">
        <w:rPr>
          <w:rFonts w:ascii="Book Antiqua" w:hAnsi="Book Antiqua" w:cs="Times New Roman"/>
          <w:color w:val="000000"/>
          <w:lang w:val="en-US"/>
        </w:rPr>
        <w:t xml:space="preserve"> by-products of olive oil production are rich in that vitamin. We have found that intake of such extracts by</w:t>
      </w:r>
      <w:r w:rsidRPr="00B7408D">
        <w:rPr>
          <w:rFonts w:ascii="Book Antiqua" w:hAnsi="Book Antiqua" w:cs="Times New Roman"/>
          <w:bCs/>
          <w:color w:val="000000"/>
          <w:lang w:val="en-US"/>
        </w:rPr>
        <w:t xml:space="preserve"> postmenopausal women</w:t>
      </w:r>
      <w:r w:rsidRPr="00B7408D">
        <w:rPr>
          <w:rFonts w:ascii="Book Antiqua" w:hAnsi="Book Antiqua" w:cs="Times New Roman"/>
          <w:color w:val="000000"/>
          <w:lang w:val="en-US"/>
        </w:rPr>
        <w:t xml:space="preserve"> changed their blood serum composition. Interestingly, supplementation of culture medium with such serum </w:t>
      </w:r>
      <w:r w:rsidRPr="00B7408D">
        <w:rPr>
          <w:rFonts w:ascii="Book Antiqua" w:hAnsi="Book Antiqua" w:cs="Times New Roman"/>
          <w:bCs/>
          <w:color w:val="000000"/>
          <w:lang w:val="en-US"/>
        </w:rPr>
        <w:t xml:space="preserve">promoted </w:t>
      </w:r>
      <w:r w:rsidRPr="00B7408D">
        <w:rPr>
          <w:rFonts w:ascii="Book Antiqua" w:hAnsi="Book Antiqua" w:cs="Times New Roman"/>
          <w:color w:val="000000"/>
          <w:lang w:val="en-US"/>
        </w:rPr>
        <w:t xml:space="preserve">MSC differentiation </w:t>
      </w:r>
      <w:r w:rsidRPr="00B7408D">
        <w:rPr>
          <w:rFonts w:ascii="Book Antiqua" w:hAnsi="Book Antiqua" w:cs="Times New Roman"/>
          <w:i/>
          <w:color w:val="000000"/>
          <w:lang w:val="en-US"/>
        </w:rPr>
        <w:t>in vitro</w:t>
      </w:r>
      <w:r w:rsidRPr="00B7408D">
        <w:rPr>
          <w:rFonts w:ascii="Book Antiqua" w:hAnsi="Book Antiqua" w:cs="Times New Roman"/>
          <w:color w:val="000000"/>
          <w:lang w:val="en-US"/>
        </w:rPr>
        <w:t xml:space="preserve">, </w:t>
      </w:r>
      <w:r w:rsidRPr="00B7408D">
        <w:rPr>
          <w:rFonts w:ascii="Book Antiqua" w:hAnsi="Book Antiqua" w:cs="Times New Roman"/>
          <w:bCs/>
          <w:color w:val="000000"/>
          <w:lang w:val="en-US"/>
        </w:rPr>
        <w:t>enhancing</w:t>
      </w:r>
      <w:r w:rsidRPr="00B7408D">
        <w:rPr>
          <w:rFonts w:ascii="Book Antiqua" w:hAnsi="Book Antiqua" w:cs="Times New Roman"/>
          <w:color w:val="000000"/>
          <w:lang w:val="en-US"/>
        </w:rPr>
        <w:t xml:space="preserve"> </w:t>
      </w:r>
      <w:proofErr w:type="spellStart"/>
      <w:r w:rsidRPr="00B7408D">
        <w:rPr>
          <w:rFonts w:ascii="Book Antiqua" w:hAnsi="Book Antiqua" w:cs="Times New Roman"/>
          <w:color w:val="000000"/>
          <w:lang w:val="en-US"/>
        </w:rPr>
        <w:t>osteoblastogenesis</w:t>
      </w:r>
      <w:proofErr w:type="spellEnd"/>
      <w:r w:rsidRPr="00B7408D">
        <w:rPr>
          <w:rFonts w:ascii="Book Antiqua" w:hAnsi="Book Antiqua" w:cs="Times New Roman"/>
          <w:color w:val="000000"/>
          <w:lang w:val="en-US"/>
        </w:rPr>
        <w:t xml:space="preserve">, and inhibiting </w:t>
      </w:r>
      <w:proofErr w:type="spellStart"/>
      <w:r w:rsidRPr="00B7408D">
        <w:rPr>
          <w:rFonts w:ascii="Book Antiqua" w:hAnsi="Book Antiqua" w:cs="Times New Roman"/>
          <w:color w:val="000000"/>
          <w:lang w:val="en-US"/>
        </w:rPr>
        <w:t>adipogenesis</w:t>
      </w:r>
      <w:proofErr w:type="spellEnd"/>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{"citationItems":[{"id":"ITEM-1","itemData":{"DOI":"10.1016/j.exger.2017.01.024","ISSN":"18736815","abstract":"© 2017 Elsevier Inc. Aging may enhance both oxidative stress and bone-marrow mesenchymal stem-cell (MSC) differentiation into adipocytes. That reduces osteoblastogenesis, thus favoring bone-mass loss and fracture, representing an important worldwide health-issue, mainly in countries with aging populations. Intake of antioxidant products may help to retain bone-mass density. Interestingly, a novel olive-pomace physical treatment to generate olive oil also yields by-products rich in functional antioxidants. Thus, diet of postmenopausal women was supplemented for two months with one of such by-products (distillate 6; D6), being rich in squalene. After treatment, serum from such women showed reduced both lipidic peroxidation and oxidized low-density lipoprotein (LDL). Besides, vitamin E and coenzyme Q10 levels increased. Furthermore, culture medium containing 10% of such serum both increased osteoblastogenesis and reduced adipogenesis in human MSC from bone marrow. Therefore, highly antioxidant by-products like D6 may represent a relevant source for development of functional products, for both prevention and treatment of degenerative pathologies associated with aging, like osteoporosis.","author":[{"dropping-particle":"","family":"Casado-Díaz","given":"A.","non-dropping-particle":"","parse-names":false,"suffix":""},{"dropping-particle":"","family":"Túnez-Fiñana","given":"I.","non-dropping-particle":"","parse-names":false,"suffix":""},{"dropping-particle":"","family":"Mata-Granados","given":"J.M.","non-dropping-particle":"","parse-names":false,"suffix":""},{"dropping-particle":"","family":"Ruiz-Méndez","given":"M.V.","non-dropping-particle":"","parse-names":false,"suffix":""},{"dropping-particle":"","family":"Dorado","given":"G.","non-dropping-particle":"","parse-names":false,"suffix":""},{"dropping-particle":"","family":"Romero-Sánchez","given":"M.C.","non-dropping-particle":"","parse-names":false,"suffix":""},{"dropping-particle":"","family":"Navarro-Valverde","given":"C.","non-dropping-particle":"","parse-names":false,"suffix":""},{"dropping-particle":"","family":"Quesada-Gómez","given":"J.M.","non-dropping-particle":"","parse-names":false,"suffix":""}],"container-title":"Experimental Gerontology","id":"ITEM-1","issued":{"date-parts":[["2017"]]},"title":"Serum from postmenopausal women treated with a by-product of olive-oil extraction process stimulates osteoblastogenesis and inhibits adipogenesis in human mesenchymal stem-cells (MSC)","type":"article-journal","volume":"90"},"uris":["http://www.mendeley.com/documents/?uuid=be9b5db2-ab4f-3bec-8df5-f35b8068f227"]}],"mendeley":{"formattedCitation":"&lt;sup&gt;[58]&lt;/sup&gt;","plainTextFormattedCitation":"[58]","previouslyFormattedCitation":"&lt;sup&gt;[58]&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[58]</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Additionally, vitamin E prevented oxidative stress induced by H</w:t>
      </w:r>
      <w:r w:rsidRPr="00B7408D">
        <w:rPr>
          <w:rFonts w:ascii="Book Antiqua" w:hAnsi="Book Antiqua" w:cs="Times New Roman"/>
          <w:color w:val="000000"/>
          <w:vertAlign w:val="subscript"/>
          <w:lang w:val="en-US"/>
        </w:rPr>
        <w:t>2</w:t>
      </w:r>
      <w:r w:rsidRPr="00B7408D">
        <w:rPr>
          <w:rFonts w:ascii="Book Antiqua" w:hAnsi="Book Antiqua" w:cs="Times New Roman"/>
          <w:color w:val="000000"/>
          <w:lang w:val="en-US"/>
        </w:rPr>
        <w:t>O</w:t>
      </w:r>
      <w:r w:rsidRPr="00B7408D">
        <w:rPr>
          <w:rFonts w:ascii="Book Antiqua" w:hAnsi="Book Antiqua" w:cs="Times New Roman"/>
          <w:color w:val="000000"/>
          <w:vertAlign w:val="subscript"/>
          <w:lang w:val="en-US"/>
        </w:rPr>
        <w:t>2</w:t>
      </w:r>
      <w:r w:rsidRPr="00B7408D">
        <w:rPr>
          <w:rFonts w:ascii="Book Antiqua" w:hAnsi="Book Antiqua" w:cs="Times New Roman"/>
          <w:color w:val="000000"/>
          <w:lang w:val="en-US"/>
        </w:rPr>
        <w:t>, reducing apoptosis and increasing cellular viability, in MSC cultures of bone marrow from rat and fatty tissue from pig</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{"citationItems":[{"id":"ITEM-1","itemData":{"DOI":"10.1016/j.joca.2016.09.014","ISSN":"15229653","abstract":"Objective Oxidative stress is a major obstacle against cartilage repair in osteoarthritis (OA). Anti-oxidant agents can play a vital role in addressing this issue. We evaluated the effect of Vitamin E preconditioning in improving the potential of mesenchymal stem cells (MSCs) to confer resistance against oxidative stress prevailing during OA. Methods Vitamin E pretreated MSCs were exposed to oxidative stress in vitro by hydrogen peroxide (H2O2) and also implanted in surgically-induced rat model of OA. Analysis was done in terms of cell proliferation, apoptosis, cytotoxicity, chondrogenesis and repair of cartilage tissue. Results Vitamin E pretreatment enabled MSCs to counteract H2O2-induced oxidative stress in vitro. Proliferative markers, proliferating cell nuclear antigen (PCNA) and Ki67 were up-regulated, along with the increase in the viability of MSCs. Expression of transforming growth factor-beta (TGFβ) was also increased. Reduction of apoptosis, expression of vascular endothelial growth factor (VEGF) and caspase 3 (Casp3) genes, and lactate dehydrogenase (LDH) release were also observed. Transplantation of Vitamin E pretreated MSCs resulted in increased proteoglycan contents of cartilage matrix. Increased expression of chondrogenic markers, Aggrecan (Acan) and collagen type-II alpha (Col2a1) accompanied by decreased expression of collagen type-I alpha (Col1a1) resulted in increased differentiation index that signifies the formation of hyaline cartilage. Further, there was an increased expression of PCNA and TGFβ genes along with a decreased expression of Casp3 and VEGF genes with increased histological score. Conclusion Taken together results of this study demonstrated that Vitamin E pretreated MSCs have an improved ability to impede the progression of OA and thus increased potential to treat OA.","author":[{"dropping-particle":"","family":"Bhatti","given":"F. U.","non-dropping-particle":"","parse-names":false,"suffix":""},{"dropping-particle":"","family":"Mehmood","given":"A.","non-dropping-particle":"","parse-names":false,"suffix":""},{"dropping-particle":"","family":"Latief","given":"N.","non-dropping-particle":"","parse-names":false,"suffix":""},{"dropping-particle":"","family":"Zahra","given":"S.","non-dropping-particle":"","parse-names":false,"suffix":""},{"dropping-particle":"","family":"Cho","given":"H.","non-dropping-particle":"","parse-names":false,"suffix":""},{"dropping-particle":"","family":"Khan","given":"S. N.","non-dropping-particle":"","parse-names":false,"suffix":""},{"dropping-particle":"","family":"Riazuddin","given":"S.","non-dropping-particle":"","parse-names":false,"suffix":""}],"container-title":"Osteoarthritis and Cartilage","id":"ITEM-1","issue":"2","issued":{"date-parts":[["2017"]]},"page":"321-331","publisher":"Elsevier Ltd","title":"Vitamin E protects rat mesenchymal stem cells against hydrogen peroxide-induced oxidative stress in vitro and improves their therapeutic potential in surgically-induced rat model of osteoarthritis","type":"article-journal","volume":"25"},"uris":["http://www.mendeley.com/documents/?uuid=9342d43f-21b1-407e-b35d-0c13b1e27fed"]},{"id":"ITEM-2","itemData":{"DOI":"10.1007/s00441-018-2857-3","ISSN":"14320878","PMID":"29951700","abstract":"Survival of mesenchymal stem cells (MSCs) against oxidative stress and inflammation is vital for effective stem cell therapy. The reactive oxygen species (ROS) result in apoptosis and release of inflammatory mediators. Adipose-derived stem cells (ASCs) have shown promise for stem cell therapy owing to their anti-inflammatory and anti-oxidant activity. Previously, we showed the benefits of vitamin E against hydrogen peroxide (H2O2)-induced oxidative stress in rat bone marrow-derived MSCs. In this study, we aim to evaluate the effect of vitamin E treatment on porcine adipose-derived mesenchymal stem cells (pASCs) against H2O2-induced oxidative stress. The oxidative stress was induced by treating pASCs with 500 μM H2O2 with or without vitamin E. Viability of pASCs is enhanced after vitamin E treatment. In addition, reduced cellular toxicity, total NO level, PGE2 production and caspase-3 activity were observed after vitamin E treatment. Gene expression analysis of vitamin E-treated pASCs showed down-regulated expression for the genes associated with oxidative stress and apoptosis, viz., NOS2, Casp3, p53, BAX, MDM2, NFκB, HIF1α and VEGF-A genes. On the other hand, expression of anti-apoptotic and survival genes was up-regulated, viz., BCL2, BCL2L1 and MCL1. Furthermore, phosphorylation of Akt was attenuated following vitamin E treatment. The findings of this study may help in developing effective stem cell therapy for the diseases characterized by the oxidative stress and inflammation.","author":[{"dropping-particle":"","family":"Bhatti","given":"Fazal Ur Rehman","non-dropping-particle":"","parse-names":false,"suffix":""},{"dropping-particle":"","family":"Kim","given":"Song Ja","non-dropping-particle":"","parse-names":false,"suffix":""},{"dropping-particle":"","family":"Yi","given":"Ae Kyung","non-dropping-particle":"","parse-names":false,"suffix":""},{"dropping-particle":"","family":"Hasty","given":"Karen A.","non-dropping-particle":"","parse-names":false,"suffix":""},{"dropping-particle":"","family":"Cho","given":"Hongsik","non-dropping-particle":"","parse-names":false,"suffix":""}],"container-title":"Cell and Tissue Research","id":"ITEM-2","issue":"1","issued":{"date-parts":[["2018"]]},"page":"111-120","publisher":"Cell and Tissue Research","title":"Cytoprotective role of vitamin E in porcine adipose-tissue-derived mesenchymal stem cells against hydrogen-peroxide-induced oxidative stress","type":"article-journal","volume":"374"},"uris":["http://www.mendeley.com/documents/?uuid=386d04ea-fab0-4c40-a9ff-37082d0e9a7e"]}],"mendeley":{"formattedCitation":"&lt;sup&gt;[59,60]&lt;/sup&gt;","plainTextFormattedCitation":"[59,60]","previouslyFormattedCitation":"&lt;sup&gt;[59,60]&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[59,60]</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Vitamin E pretreatment of MSCs from rat bone marrow increased chondrogenesis and proteoglycan production, after being implanted in a surgically-generated experimental osteoarthritis</w:t>
      </w:r>
      <w:r w:rsidRPr="00B7408D" w:rsidDel="00664164">
        <w:rPr>
          <w:rFonts w:ascii="Book Antiqua" w:hAnsi="Book Antiqua" w:cs="Times New Roman"/>
          <w:color w:val="000000"/>
          <w:lang w:val="en-US"/>
        </w:rPr>
        <w:t xml:space="preserve"> </w:t>
      </w:r>
      <w:r w:rsidRPr="00B7408D">
        <w:rPr>
          <w:rFonts w:ascii="Book Antiqua" w:hAnsi="Book Antiqua" w:cs="Times New Roman"/>
          <w:color w:val="000000"/>
          <w:lang w:val="en-US"/>
        </w:rPr>
        <w:t>model of rat</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{"citationItems":[{"id":"ITEM-1","itemData":{"DOI":"10.1016/j.joca.2016.09.014","ISSN":"15229653","abstract":"Objective Oxidative stress is a major obstacle against cartilage repair in osteoarthritis (OA). Anti-oxidant agents can play a vital role in addressing this issue. We evaluated the effect of Vitamin E preconditioning in improving the potential of mesenchymal stem cells (MSCs) to confer resistance against oxidative stress prevailing during OA. Methods Vitamin E pretreated MSCs were exposed to oxidative stress in vitro by hydrogen peroxide (H2O2) and also implanted in surgically-induced rat model of OA. Analysis was done in terms of cell proliferation, apoptosis, cytotoxicity, chondrogenesis and repair of cartilage tissue. Results Vitamin E pretreatment enabled MSCs to counteract H2O2-induced oxidative stress in vitro. Proliferative markers, proliferating cell nuclear antigen (PCNA) and Ki67 were up-regulated, along with the increase in the viability of MSCs. Expression of transforming growth factor-beta (TGFβ) was also increased. Reduction of apoptosis, expression of vascular endothelial growth factor (VEGF) and caspase 3 (Casp3) genes, and lactate dehydrogenase (LDH) release were also observed. Transplantation of Vitamin E pretreated MSCs resulted in increased proteoglycan contents of cartilage matrix. Increased expression of chondrogenic markers, Aggrecan (Acan) and collagen type-II alpha (Col2a1) accompanied by decreased expression of collagen type-I alpha (Col1a1) resulted in increased differentiation index that signifies the formation of hyaline cartilage. Further, there was an increased expression of PCNA and TGFβ genes along with a decreased expression of Casp3 and VEGF genes with increased histological score. Conclusion Taken together results of this study demonstrated that Vitamin E pretreated MSCs have an improved ability to impede the progression of OA and thus increased potential to treat OA.","author":[{"dropping-particle":"","family":"Bhatti","given":"F. U.","non-dropping-particle":"","parse-names":false,"suffix":""},{"dropping-particle":"","family":"Mehmood","given":"A.","non-dropping-particle":"","parse-names":false,"suffix":""},{"dropping-particle":"","family":"Latief","given":"N.","non-dropping-particle":"","parse-names":false,"suffix":""},{"dropping-particle":"","family":"Zahra","given":"S.","non-dropping-particle":"","parse-names":false,"suffix":""},{"dropping-particle":"","family":"Cho","given":"H.","non-dropping-particle":"","parse-names":false,"suffix":""},{"dropping-particle":"","family":"Khan","given":"S. N.","non-dropping-particle":"","parse-names":false,"suffix":""},{"dropping-particle":"","family":"Riazuddin","given":"S.","non-dropping-particle":"","parse-names":false,"suffix":""}],"container-title":"Osteoarthritis and Cartilage","id":"ITEM-1","issue":"2","issued":{"date-parts":[["2017"]]},"page":"321-331","publisher":"Elsevier Ltd","title":"Vitamin E protects rat mesenchymal stem cells against hydrogen peroxide-induced oxidative stress in vitro and improves their therapeutic potential in surgically-induced rat model of osteoarthritis","type":"article-journal","volume":"25"},"uris":["http://www.mendeley.com/documents/?uuid=9342d43f-21b1-407e-b35d-0c13b1e27fed"]}],"mendeley":{"formattedCitation":"&lt;sup&gt;[59]&lt;/sup&gt;","plainTextFormattedCitation":"[59]","previouslyFormattedCitation":"&lt;sup&gt;[59]&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[59]</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Also, using an experimental gentamicin-induced acute renal failure rat model, less kidney injury was observed when such animals were treated with a combination of MSCs from bone marrow administered together with vitamin E (80 mg/kg)</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{"citationItems":[{"id":"ITEM-1","itemData":{"DOI":"10.1016/j.lfs.2013.02.016","ISSN":"00243205","abstract":"Aims: The study aims to investigate the effect to treat acute kidney injury (AKI) with bone marrow derived mesenchymal stem cells (BMSCs) combined with vitamin E and to develop a new treatment mode for AKI preclinical study. Main methods BMSCs were separated from rat bone marrow. Gentamicin was used as a damage factor in the culture of renal tubular epithelial cells (RTECs) in vitro. After co-cultured with BMSCs and vitamin E, cell proliferation of each group was detected with CCK-8. In vivo, BMSCs (3.3 × 106 cells/kg) combined with vitamin E (80 mg/kg) were administered in AKI rats induced by gentamicin intravenously. The pathological changes, biochemical parameters and apoptosis genes after treatment were investigated furthermore. Key findings In co-cultured system, proliferating ability of RTECs was improved by BMSCs or vitamin E, especially for the combined group (P &lt; 0.05). The treated rats in combined group presented the lowest serum creatinine and the highest urea nitrogen compared to non-treated rats. The improvement in renal pathological changes was followed by less necrosis, degeneration and expansion of renal tubule. Under transmission electron microscope, unclear cell structure and reduction of endoplasmic reticulum in the cytoplasm of RTECs were ameliorated with the treatment. Most apoptosis genes were up-regulated in model group while down-regulated with the therapy. Further analysis showed that the two treatments may act independently with each other. Significance Our data demonstrated that both BMSC and vitamin E hold therapeutic action to AKI induced by gentamicin. Especially, the combined treatment is better than BMSC or vitamin E alone. © 2013 Elsevier Inc.","author":[{"dropping-particle":"","family":"Liu","given":"Pengfei","non-dropping-particle":"","parse-names":false,"suffix":""},{"dropping-particle":"","family":"Feng","given":"Yetong","non-dropping-particle":"","parse-names":false,"suffix":""},{"dropping-particle":"","family":"Dong","given":"Chao","non-dropping-particle":"","parse-names":false,"suffix":""},{"dropping-particle":"","family":"Liu","given":"Di","non-dropping-particle":"","parse-names":false,"suffix":""},{"dropping-particle":"","family":"Wu","given":"Xuan","non-dropping-particle":"","parse-names":false,"suffix":""},{"dropping-particle":"","family":"Wu","given":"Haoyu","non-dropping-particle":"","parse-names":false,"suffix":""},{"dropping-particle":"","family":"Lv","given":"Peiheng","non-dropping-particle":"","parse-names":false,"suffix":""},{"dropping-particle":"","family":"Zhou","given":"Yulai","non-dropping-particle":"","parse-names":false,"suffix":""}],"container-title":"Life Sciences","id":"ITEM-1","issue":"14-16","issued":{"date-parts":[["2013"]]},"page":"829-837","publisher":"Elsevier Inc.","title":"Study on therapeutic action of bone marrow derived mesenchymal stem cell combined with vitamin e against acute kidney injury in rats","type":"article-journal","volume":"92"},"uris":["http://www.mendeley.com/documents/?uuid=65bcab26-2cf4-48a3-b876-9ab95f298c98"]}],"mendeley":{"formattedCitation":"&lt;sup&gt;[61]&lt;/sup&gt;","plainTextFormattedCitation":"[61]","previouslyFormattedCitation":"&lt;sup&gt;[61]&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[61]</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These results show that vitamin E not only protects MSC populations but also improves their regenerative capacities.</w:t>
      </w:r>
    </w:p>
    <w:p w14:paraId="1B547659" w14:textId="22BDFCBC" w:rsidR="006A0C4B" w:rsidRPr="00B7408D" w:rsidRDefault="006A0C4B" w:rsidP="004D452C">
      <w:pPr>
        <w:adjustRightInd w:val="0"/>
        <w:snapToGrid w:val="0"/>
        <w:spacing w:line="360" w:lineRule="auto"/>
        <w:ind w:firstLineChars="100" w:firstLine="240"/>
        <w:jc w:val="both"/>
        <w:rPr>
          <w:rFonts w:ascii="Book Antiqua" w:hAnsi="Book Antiqua" w:cs="Times New Roman"/>
          <w:color w:val="000000"/>
          <w:lang w:val="en-US"/>
        </w:rPr>
      </w:pPr>
      <w:r w:rsidRPr="00B7408D">
        <w:rPr>
          <w:rFonts w:ascii="Book Antiqua" w:hAnsi="Book Antiqua" w:cs="Times New Roman"/>
          <w:color w:val="000000"/>
          <w:lang w:val="en-US"/>
        </w:rPr>
        <w:t xml:space="preserve">On the other hand, vitamin K is found in extra virgin olive oil at about 500 </w:t>
      </w:r>
      <w:proofErr w:type="spellStart"/>
      <w:r w:rsidRPr="00B7408D">
        <w:rPr>
          <w:rFonts w:ascii="Book Antiqua" w:hAnsi="Book Antiqua" w:cs="Times New Roman"/>
          <w:color w:val="000000"/>
          <w:lang w:val="en-US"/>
        </w:rPr>
        <w:t>μg</w:t>
      </w:r>
      <w:proofErr w:type="spellEnd"/>
      <w:r w:rsidRPr="00B7408D">
        <w:rPr>
          <w:rFonts w:ascii="Book Antiqua" w:hAnsi="Book Antiqua" w:cs="Times New Roman"/>
          <w:color w:val="000000"/>
          <w:lang w:val="en-US"/>
        </w:rPr>
        <w:t>/kg, which is considered a modest amount for this vitamin. It has several biological activities, including a relevant role in blood clotting. Other physiological activity of vitamin K involves modulating osteocalcin levels in bone. Low levels of carbonylated osteocalcin have been associated with loss of bone mass and higher fracture risk</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{"citationItems":[{"id":"ITEM-1","itemData":{"ISSN":"8756-3282","PMID":"8739908","abstract":"We have previously shown that elderly women with an increased serum undercarboxylated osteocalcin (ucOC) level have an increased risk of sustaining a hip fracture as compared to those with normal serum ucOC. We reassessed our findings on a larger number of hip fractures that occurred over 3 years in 183 institutionalized women (aged 70-97 years) belonging to a large prospective clinical trial. Total OC, carboxylated OC, ucOC, and alkaline phosphatase were significantly higher at baseline in those who sustained a hip fracture during the follow-up. The age-adjusted odds ratio for hip fracture was three times higher in women with increased ucOC at baseline (odds ratio = 3.1, 99.9% C.I. = 1.7-6.0, p &lt; 0.001). In the logistic regression, ucOC was still predictive of the hip fracture when age and parathyroid hormone concentration were included into the model (odds ratio = 2.6, 95% C.I. = 1.05-6.4). These data confirm that ucOC is a marker of the increased risk of hip fracture in elderly institutionalized women. Serum ucOC may reflect some nutritional deficiency associated with increased bone fragility.","author":[{"dropping-particle":"","family":"Szulc","given":"P","non-dropping-particle":"","parse-names":false,"suffix":""},{"dropping-particle":"","family":"Chapuy","given":"M C","non-dropping-particle":"","parse-names":false,"suffix":""},{"dropping-particle":"","family":"Meunier","given":"P J","non-dropping-particle":"","parse-names":false,"suffix":""},{"dropping-particle":"","family":"Delmas","given":"P D","non-dropping-particle":"","parse-names":false,"suffix":""}],"container-title":"Bone","id":"ITEM-1","issue":"5","issued":{"date-parts":[["1996","5"]]},"page":"487-8","title":"Serum undercarboxylated osteocalcin is a marker of the risk of hip fracture: a three year follow-up study.","type":"article-journal","volume":"18"},"uris":["http://www.mendeley.com/documents/?uuid=3dd492e9-7170-35ea-98ce-2b7195182e91"]}],"mendeley":{"formattedCitation":"&lt;sup&gt;[62]&lt;/sup&gt;","plainTextFormattedCitation":"[62]","previouslyFormattedCitation":"&lt;sup&gt;[62]&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[62]</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In this regard, treatment of human MSC </w:t>
      </w:r>
      <w:r w:rsidRPr="00B7408D">
        <w:rPr>
          <w:rFonts w:ascii="Book Antiqua" w:hAnsi="Book Antiqua" w:cs="Times New Roman"/>
          <w:color w:val="000000"/>
          <w:lang w:val="en-US"/>
        </w:rPr>
        <w:lastRenderedPageBreak/>
        <w:t xml:space="preserve">cultures with vitamin K together with vitamin D favored osteoblastic differentiation and higher </w:t>
      </w:r>
      <w:proofErr w:type="spellStart"/>
      <w:r w:rsidRPr="00B7408D">
        <w:rPr>
          <w:rFonts w:ascii="Book Antiqua" w:hAnsi="Book Antiqua" w:cs="Times New Roman"/>
          <w:color w:val="000000"/>
          <w:lang w:val="en-US"/>
        </w:rPr>
        <w:t>carboxylated</w:t>
      </w:r>
      <w:proofErr w:type="spellEnd"/>
      <w:r w:rsidRPr="00B7408D">
        <w:rPr>
          <w:rFonts w:ascii="Book Antiqua" w:hAnsi="Book Antiqua" w:cs="Times New Roman"/>
          <w:color w:val="000000"/>
          <w:lang w:val="en-US"/>
        </w:rPr>
        <w:t xml:space="preserve"> osteocalcin levels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{"citationItems":[{"id":"ITEM-1","itemData":{"ISSN":"0393974X","PMID":"18394316","abstract":"There is growing interest in osteoinductive agents for fracture healing especially in patients with non-union or delayed-union fractures. The aim of the present study is the assessment of the association of Vitamins D3 and K1 on proliferation and differentiation of human mesenchymal stem cells (hMSCs) derived from fracture sites in view of a possible clinical use. The synergic effect of Vitamin D3 and Vitamin K2 in preventing osteoporosis has been documented in clinical practice; however no reports investigating this association for fracture healing are present. Our data show a different outcome on cell proliferation linked to the different timing of drug administration as well as a synergic effect of the two vitamins on cell differentiation. The high level of osteocalcin and carboxylated osteocalcin detected in hMSCs treated with the association of the two vitamins in comparison with controls and with single vitamin administration underline the differentiation of these cells into osteoblastic phenotype. Our results indicate for the first time that vitamin D3 and K1 association is able to modulate in vitro the differentiation towards osteoblastic phenotype of hMSCs derived from fracture sites, thus offering clinicians a promising and low-cost strategy for reparative osteogenesis.","author":[{"dropping-particle":"","family":"Gigante","given":"Antonio","non-dropping-particle":"","parse-names":false,"suffix":""},{"dropping-particle":"","family":"Torcianti","given":"M.","non-dropping-particle":"","parse-names":false,"suffix":""},{"dropping-particle":"","family":"Boldrini","given":"E.","non-dropping-particle":"","parse-names":false,"suffix":""},{"dropping-particle":"","family":"Manzotti","given":"S.","non-dropping-particle":"","parse-names":false,"suffix":""},{"dropping-particle":"","family":"Falcone","given":"G.","non-dropping-particle":"","parse-names":false,"suffix":""},{"dropping-particle":"","family":"Greco","given":"F.","non-dropping-particle":"","parse-names":false,"suffix":""},{"dropping-particle":"","family":"Mattioli-Belmonte","given":"M.","non-dropping-particle":"","parse-names":false,"suffix":""}],"container-title":"Journal of Biological Regulators and Homeostatic Agents","id":"ITEM-1","issue":"1","issued":{"date-parts":[["2008"]]},"page":"35-44","title":"Vitamin K and D association stimulates in vitro osteoblast differentiation of fracture site derived human mesenchymal stem cells","type":"article-journal","volume":"22"},"uris":["http://www.mendeley.com/documents/?uuid=233d83fc-26bc-412a-a573-5aade07f6407"]}],"mendeley":{"formattedCitation":"&lt;sup&gt;[63]&lt;/sup&gt;","plainTextFormattedCitation":"[63]","previouslyFormattedCitation":"&lt;sup&gt;[63]&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[63]</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All those findings highlight the relevance of this vitamin for maintenance of bone health.</w:t>
      </w:r>
    </w:p>
    <w:p w14:paraId="124CE351" w14:textId="7D2A973D" w:rsidR="006A0C4B" w:rsidRPr="00B7408D" w:rsidRDefault="006A0C4B" w:rsidP="004D452C">
      <w:pPr>
        <w:adjustRightInd w:val="0"/>
        <w:snapToGrid w:val="0"/>
        <w:spacing w:line="360" w:lineRule="auto"/>
        <w:ind w:firstLineChars="100" w:firstLine="240"/>
        <w:jc w:val="both"/>
        <w:rPr>
          <w:rFonts w:ascii="Book Antiqua" w:hAnsi="Book Antiqua" w:cs="Times New Roman"/>
          <w:color w:val="000000"/>
          <w:lang w:val="en-US"/>
        </w:rPr>
      </w:pPr>
      <w:r w:rsidRPr="00B7408D">
        <w:rPr>
          <w:rFonts w:ascii="Book Antiqua" w:hAnsi="Book Antiqua" w:cs="Times New Roman"/>
          <w:color w:val="000000"/>
          <w:lang w:val="en-US"/>
        </w:rPr>
        <w:t>Finally, beta-carotene, together with other carotenoids found in extra virgin olive oil, are partially responsible for the color of this food, besides the chlorophylls and pheophytins described below. Concentration of beta-carotene in extra virgin olive oil ranges from 2-4 mg/kg</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{"citationItems":[{"id":"ITEM-1","itemData":{"DOI":"10.1080/09637486.2016.1265099","ISSN":"14653478","abstract":"Fatty acids and bioactive lipophilic and hydrophilic compounds (tocopherols, β-carotene, lutein, squalene, total polyphenols and secoiridoids) in monocultivar Italian extra-virgin olive oil (EVOO) samples produced from the Leccino cultivar and six other yet uncharacterised cultivars (Rustica, Carpinetana, Dritta, Gentile di Chieti and Intosso) were analysed, also taking into account the effect of the type of decanter used for the oil extraction. Significant differences among cultivars were found for α-tocopherol and squalene, but not for carotenoids. Among phenols, cultivars significantly influenced oleuropein and ligstroside aglycones contents, but not those of the dialdehydic form of decarboxymethyl elenolic acid linked neither to tyrosol nor hydroxytyrosol. As previously reported, phenol is quantitatively affected by the type of decanter used for oil extraction. Accordingly, we found that the two-phases decanter preserved in the oil 1.5 times more phenolic compounds as compared with three-phases, whereas it did not influence the amount of lipophilic compounds. Moreover, our data statistically support the finding that type of decanter affects phenols also qualitatively. In fact, the two-phases decanter preferably preserved more the hydroxytyrosol secoiridoid derivatives than the tyrosol ones. Our results from one hand characterise for the first time oils previously unreported, from the other give some new indications on the relative role of factors relevant for the achievement of biologically active extra-virgin oil, i.e. the cultivar and technological ones.","author":[{"dropping-particle":"","family":"Ambra","given":"Roberto","non-dropping-particle":"","parse-names":false,"suffix":""},{"dropping-particle":"","family":"Natella","given":"Fausta","non-dropping-particle":"","parse-names":false,"suffix":""},{"dropping-particle":"","family":"Lucchetti","given":"Sabrina","non-dropping-particle":"","parse-names":false,"suffix":""},{"dropping-particle":"","family":"Forte","given":"Valentina","non-dropping-particle":"","parse-names":false,"suffix":""},{"dropping-particle":"","family":"Pastore","given":"Gianni","non-dropping-particle":"","parse-names":false,"suffix":""}],"container-title":"International Journal of Food Sciences and Nutrition","id":"ITEM-1","issue":"5","issued":{"date-parts":[["2017"]]},"page":"538-545","publisher":"Informa UK Ltd.","title":"α-Tocopherol, β-carotene, lutein, squalene and secoiridoids in seven monocultivar Italian extra-virgin olive oils","type":"article-journal","volume":"68"},"uris":["http://www.mendeley.com/documents/?uuid=cdba259e-1a1e-40dc-8efe-fecd6dcc53b2"]}],"mendeley":{"formattedCitation":"&lt;sup&gt;[64]&lt;/sup&gt;","plainTextFormattedCitation":"[64]","previouslyFormattedCitation":"&lt;sup&gt;[64]&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[64]</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Vegetables like carrots contain much higher amounts of this provitamin, but its presence prevents olive oil</w:t>
      </w:r>
      <w:r w:rsidRPr="00B7408D" w:rsidDel="00F15D53">
        <w:rPr>
          <w:rFonts w:ascii="Book Antiqua" w:hAnsi="Book Antiqua" w:cs="Times New Roman"/>
          <w:color w:val="000000"/>
          <w:lang w:val="en-US"/>
        </w:rPr>
        <w:t xml:space="preserve"> </w:t>
      </w:r>
      <w:r w:rsidRPr="00B7408D">
        <w:rPr>
          <w:rFonts w:ascii="Book Antiqua" w:hAnsi="Book Antiqua" w:cs="Times New Roman"/>
          <w:color w:val="000000"/>
          <w:lang w:val="en-US"/>
        </w:rPr>
        <w:t>photo-oxidation, adding further health benefits to this food. Beta-carotene is metabolized into retinol and retinoic acid. The latter is the active metabolite of vitamin A. It influences</w:t>
      </w:r>
      <w:r w:rsidRPr="00B7408D" w:rsidDel="009A366E">
        <w:rPr>
          <w:rFonts w:ascii="Book Antiqua" w:hAnsi="Book Antiqua" w:cs="Times New Roman"/>
          <w:color w:val="000000"/>
          <w:lang w:val="en-US"/>
        </w:rPr>
        <w:t xml:space="preserve"> </w:t>
      </w:r>
      <w:r w:rsidRPr="00B7408D">
        <w:rPr>
          <w:rFonts w:ascii="Book Antiqua" w:hAnsi="Book Antiqua" w:cs="Times New Roman"/>
          <w:color w:val="000000"/>
          <w:lang w:val="en-US"/>
        </w:rPr>
        <w:t xml:space="preserve">the physiology of MSCs and, in particular, their differentiation capacity, favoring </w:t>
      </w:r>
      <w:proofErr w:type="spellStart"/>
      <w:r w:rsidRPr="00B7408D">
        <w:rPr>
          <w:rFonts w:ascii="Book Antiqua" w:hAnsi="Book Antiqua" w:cs="Times New Roman"/>
          <w:color w:val="000000"/>
          <w:lang w:val="en-US"/>
        </w:rPr>
        <w:t>osteoblastogenesis</w:t>
      </w:r>
      <w:proofErr w:type="spellEnd"/>
      <w:r w:rsidRPr="00B7408D">
        <w:rPr>
          <w:rFonts w:ascii="Book Antiqua" w:hAnsi="Book Antiqua" w:cs="Times New Roman"/>
          <w:color w:val="000000"/>
          <w:lang w:val="en-US"/>
        </w:rPr>
        <w:t xml:space="preserve"> and inhibiting </w:t>
      </w:r>
      <w:proofErr w:type="spellStart"/>
      <w:r w:rsidRPr="00B7408D">
        <w:rPr>
          <w:rFonts w:ascii="Book Antiqua" w:hAnsi="Book Antiqua" w:cs="Times New Roman"/>
          <w:color w:val="000000"/>
          <w:lang w:val="en-US"/>
        </w:rPr>
        <w:t>adipogenesis</w:t>
      </w:r>
      <w:proofErr w:type="spellEnd"/>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{"citationItems":[{"id":"ITEM-1","itemData":{"DOI":"10.1016/j.diff.2011.05.003","ISSN":"03014681","abstract":"Mesenchymal stem cells are pluripotent precursor cells that can differentiate into osteoblasts, adipocytes, chondrocytes and myocytes. Despite their important therapeutic potential little is known about the transcriptional cascades that govern lineage decisions in these cells. Treatment of C3H10T1/2 mouse mesenchymal stem cells with retinoic acid (RA) inhibits adipogenesis and enhances osteoblastogenesis. In particular, RA treatment stimulates the expression of the osteoblast master regulator, runt-related transcription factor 2 (Runx2), whose expression is necessary for the formation of bone. We have shown previously in mesenchymal stem cells that RA acts to stimulate osteoblastogenesis by interfering with the actions of the bzip transcription factor CCAAT/Enhancer Binding Protein beta (C/EBPΒ), where it binds to a negative regulatory element within the Runx2 promoter and inhibits its expression. Herein we show that Smad3, whose expression is stimulated by RA, relays the effects of RA on differentiation by initiating the displacement of C/EBPΒ from the Runx2 promoter. In addition to stimulating Smad3 expression, RA also stimulated the nuclear localization of this factor, such that in the absence of RA, ectopic Smad3 was unable to drive osteoblastogenesis. While not sufficient to promote osteoblastogenesis, knockdown of Smad3 using a specific shRNA prevented the RA-mediated stimulation of differentiation and displacement of C/EBPΒ from the Runx2 P1 promoter. Taken together, these data indicate that Smad3 is an important mediator of RA activity during mesenchymal stem cell differentiation and is necessary for the stimulation of osteoblastogenesis. © 2011 International Society of Differentiation.","author":[{"dropping-particle":"","family":"Dingwall","given":"Molly","non-dropping-particle":"","parse-names":false,"suffix":""},{"dropping-particle":"","family":"Marchildon","given":"Franois","non-dropping-particle":"","parse-names":false,"suffix":""},{"dropping-particle":"","family":"Gunanayagam","given":"Angelo","non-dropping-particle":"","parse-names":false,"suffix":""},{"dropping-particle":"","family":"Louis","given":"Catherine St","non-dropping-particle":"","parse-names":false,"suffix":""},{"dropping-particle":"","family":"Wiper-Bergeron","given":"Nadine","non-dropping-particle":"","parse-names":false,"suffix":""}],"container-title":"Differentiation","id":"ITEM-1","issue":"2","issued":{"date-parts":[["2011"]]},"page":"57-65","title":"Retinoic acid-induced Smad3 expression is required for the induction of osteoblastogenesis of mesenchymal stem cells","type":"article-journal","volume":"82"},"uris":["http://www.mendeley.com/documents/?uuid=554b5bbb-2bb9-4850-8c7b-5200cf9d1dfa"]},{"id":"ITEM-2","itemData":{"DOI":"10.1007/s00774-012-0385-x","ISSN":"1435-5604","PMID":"23014973","abstract":"Evidence indicates that the balance between osteoblastogenesis and adipogenesis of mesenchymal stem cells (MSCs) is regulated by several hormones, growth factors, and their downstream signaling cascades. Previous studies suggest that retinoic acid (RA) plays a role in osteoblastogenesis and adipogenesis. However, it is unknown whether RA regulates commitment of MSCs into osteoblasts and adipocytes. In this study, we investigated the role of RA in differentiation of MSCs using the C3H10T1/2 cell line. RA stimulated activity and expression of alkaline phosphatase (ALP) and upregulated activity of the ALP gene promoter. The effects of RA were further enhanced by bone morphogenetic protein 2 (BMP2) and resultant Smad signaling. Furthermore, overexpression of Runx2 and Msx2, critical transcription factors for bone formation and BMP2-dependent osteoblastogenesis, enhanced RA-dependent ALP activity. In view of these findings, RA likely stimulates osteoblast differentiation through the BMP2-Smad-Runx2/Msx2 pathway. In contrast, RA markedly inhibited BMP2-induced adipocyte differentiation, suppressing expression of peroxisome proliferator-activated receptor-γ (PPARγ), CCAAT/enhancer-binding protein (C/EBP)α and C/EBPδ, and inhibiting adipogenic function of C/EBPβ, C/EBPδ, and PPARγ. In conclusion, our data suggest that RA regulates commitment of MSCs into osteoblasts and adipocytes by controlling transcriptional regulators.","author":[{"dropping-particle":"","family":"Hisada","given":"Kunihiro","non-dropping-particle":"","parse-names":false,"suffix":""},{"dropping-particle":"","family":"Hata","given":"Kenji","non-dropping-particle":"","parse-names":false,"suffix":""},{"dropping-particle":"","family":"Ichida","given":"Fumitaka","non-dropping-particle":"","parse-names":false,"suffix":""},{"dropping-particle":"","family":"Matsubara","given":"Takuma","non-dropping-particle":"","parse-names":false,"suffix":""},{"dropping-particle":"","family":"Orimo","given":"Hideo","non-dropping-particle":"","parse-names":false,"suffix":""},{"dropping-particle":"","family":"Nakano","given":"Tamaki","non-dropping-particle":"","parse-names":false,"suffix":""},{"dropping-particle":"","family":"Yatani","given":"Hirohumi","non-dropping-particle":"","parse-names":false,"suffix":""},{"dropping-particle":"","family":"Nishimura","given":"Riko","non-dropping-particle":"","parse-names":false,"suffix":""},{"dropping-particle":"","family":"Yoneda","given":"Toshiyuki","non-dropping-particle":"","parse-names":false,"suffix":""}],"container-title":"Journal of bone and mineral metabolism","id":"ITEM-2","issue":"1","issued":{"date-parts":[["2013","1","27"]]},"page":"53-63","title":"Retinoic acid regulates commitment of undifferentiated mesenchymal stem cells into osteoblasts and adipocytes.","type":"article-journal","volume":"31"},"uris":["http://www.mendeley.com/documents/?uuid=33fa7bfd-eb8d-3915-810b-13eb5ce6d6b6"]},{"id":"ITEM-3","itemData":{"DOI":"10.1080/13813455.2017.1367009","ISSN":"17444160","abstract":"AbstractContext: It has been shown that adipogenesis can be modulated by factors such as all-trans retinoic acid (ATRA) and calcium.Objective: To determine, the combined effect of ATRA and calcium on the differentiation of human adipose-derived stem cells (hADSCs).Methods: Mesenchymal stem cells (MSCs) were differentiated into the adipocytes by 0.5 and 1</w:instrText>
      </w:r>
      <w:r w:rsidRPr="00B7408D">
        <w:rPr>
          <w:rFonts w:ascii="Times New Roman" w:hAnsi="Times New Roman" w:cs="Times New Roman"/>
          <w:color w:val="000000"/>
          <w:lang w:val="en-US"/>
        </w:rPr>
        <w:instrText> </w:instrText>
      </w:r>
      <w:r w:rsidRPr="00B7408D">
        <w:rPr>
          <w:rFonts w:ascii="Book Antiqua" w:hAnsi="Book Antiqua" w:cs="Book Antiqua"/>
          <w:color w:val="000000"/>
          <w:lang w:val="en-US"/>
        </w:rPr>
        <w:instrText>µ</w:instrText>
      </w:r>
      <w:r w:rsidRPr="00B7408D">
        <w:rPr>
          <w:rFonts w:ascii="Book Antiqua" w:hAnsi="Book Antiqua" w:cs="Times New Roman"/>
          <w:color w:val="000000"/>
          <w:lang w:val="en-US"/>
        </w:rPr>
        <w:instrText>M of ATRA and 5 and 10</w:instrText>
      </w:r>
      <w:r w:rsidRPr="00B7408D">
        <w:rPr>
          <w:rFonts w:ascii="Times New Roman" w:hAnsi="Times New Roman" w:cs="Times New Roman"/>
          <w:color w:val="000000"/>
          <w:lang w:val="en-US"/>
        </w:rPr>
        <w:instrText> </w:instrText>
      </w:r>
      <w:r w:rsidRPr="00B7408D">
        <w:rPr>
          <w:rFonts w:ascii="Book Antiqua" w:hAnsi="Book Antiqua" w:cs="Times New Roman"/>
          <w:color w:val="000000"/>
          <w:lang w:val="en-US"/>
        </w:rPr>
        <w:instrText>mM calcium separately or in combination. After MTS assay the differentiation of MSCs to adipocyte was evaluated, Oil Red O staining, GLUT4 concentration and gene expression of PPARG2, adiponectin, and GLUT4 were measured by Real-Time PCR.Results: Except 10</w:instrText>
      </w:r>
      <w:r w:rsidRPr="00B7408D">
        <w:rPr>
          <w:rFonts w:ascii="Times New Roman" w:hAnsi="Times New Roman" w:cs="Times New Roman"/>
          <w:color w:val="000000"/>
          <w:lang w:val="en-US"/>
        </w:rPr>
        <w:instrText> </w:instrText>
      </w:r>
      <w:r w:rsidRPr="00B7408D">
        <w:rPr>
          <w:rFonts w:ascii="Book Antiqua" w:hAnsi="Book Antiqua" w:cs="Times New Roman"/>
          <w:color w:val="000000"/>
          <w:lang w:val="en-US"/>
        </w:rPr>
        <w:instrText>mM calcium treated group, other groups and more significantly combination treatments could reduce all adipocyte markers compared to the control.Conclusion: These results suggest that ATRA and calcium together have significant inhibitory effect on adipogenesis that can be helpful for finding new mechanisms to prevent or control the adipogenesis.","author":[{"dropping-particle":"","family":"Goudarzi","given":"Farjam","non-dropping-particle":"","parse-names":false,"suffix":""},{"dropping-particle":"","family":"Sarveazad","given":"Arash","non-dropping-particle":"","parse-names":false,"suffix":""},{"dropping-particle":"","family":"Mahmoudi","given":"Maryam","non-dropping-particle":"","parse-names":false,"suffix":""},{"dropping-particle":"","family":"Mohammadalipour","given":"Adel","non-dropping-particle":"","parse-names":false,"suffix":""},{"dropping-particle":"","family":"Chahardoli","given":"Reza","non-dropping-particle":"","parse-names":false,"suffix":""},{"dropping-particle":"","family":"Malekshah","given":"Obeid M.","non-dropping-particle":"","parse-names":false,"suffix":""},{"dropping-particle":"","family":"Karimi Gorgani","given":"Shiva","non-dropping-particle":"","parse-names":false,"suffix":""},{"dropping-particle":"","family":"Saboor-Yaraghi","given":"Ali Akbar","non-dropping-particle":"","parse-names":false,"suffix":""}],"container-title":"Archives of Physiology and Biochemistry","id":"ITEM-3","issue":"2","issued":{"date-parts":[["2018"]]},"page":"109-118","publisher":"Informa UK Ltd.","title":"Combined effect of retinoic acid and calcium on the in vitro differentiation of human adipose-derived stem cells to adipocytes","type":"article-journal","volume":"124"},"uris":["http://www.mendeley.com/documents/?uuid=58555b41-04ad-404d-806f-a4b580f2b899"]}],"mendeley":{"formattedCitation":"&lt;sup&gt;[65–67]&lt;/sup&gt;","plainTextFormattedCitation":"[65–67]","previouslyFormattedCitation":"&lt;sup&gt;[68–70]&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[65</w:t>
      </w:r>
      <w:r w:rsidR="001277C4" w:rsidRPr="00B7408D">
        <w:rPr>
          <w:rFonts w:ascii="Book Antiqua" w:hAnsi="Book Antiqua" w:cs="Times New Roman"/>
          <w:color w:val="000000"/>
          <w:vertAlign w:val="superscript"/>
          <w:lang w:val="en-US"/>
        </w:rPr>
        <w:t>-</w:t>
      </w:r>
      <w:r w:rsidRPr="00B7408D">
        <w:rPr>
          <w:rFonts w:ascii="Book Antiqua" w:hAnsi="Book Antiqua" w:cs="Times New Roman"/>
          <w:color w:val="000000"/>
          <w:vertAlign w:val="superscript"/>
          <w:lang w:val="en-US"/>
        </w:rPr>
        <w:t>67]</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Interestingly, bead-on-string mats based on poly(lactic-</w:t>
      </w:r>
      <w:r w:rsidRPr="00B7408D">
        <w:rPr>
          <w:rFonts w:ascii="Book Antiqua" w:hAnsi="Book Antiqua" w:cs="Times New Roman"/>
          <w:i/>
          <w:color w:val="000000"/>
          <w:lang w:val="en-US"/>
        </w:rPr>
        <w:t>co</w:t>
      </w:r>
      <w:r w:rsidRPr="00B7408D">
        <w:rPr>
          <w:rFonts w:ascii="Book Antiqua" w:hAnsi="Book Antiqua" w:cs="Times New Roman"/>
          <w:color w:val="000000"/>
          <w:lang w:val="en-US"/>
        </w:rPr>
        <w:t xml:space="preserve">-glycolic acid) released beta-carotene, favoring </w:t>
      </w:r>
      <w:proofErr w:type="spellStart"/>
      <w:r w:rsidRPr="00B7408D">
        <w:rPr>
          <w:rFonts w:ascii="Book Antiqua" w:hAnsi="Book Antiqua" w:cs="Times New Roman"/>
          <w:color w:val="000000"/>
          <w:lang w:val="en-US"/>
        </w:rPr>
        <w:t>osteoblastogenic</w:t>
      </w:r>
      <w:proofErr w:type="spellEnd"/>
      <w:r w:rsidRPr="00B7408D">
        <w:rPr>
          <w:rFonts w:ascii="Book Antiqua" w:hAnsi="Book Antiqua" w:cs="Times New Roman"/>
          <w:color w:val="000000"/>
          <w:lang w:val="en-US"/>
        </w:rPr>
        <w:t xml:space="preserve"> differentiation of MSCs seeded on scaffolds, without supplementation with other osteogenic inducers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{"citationItems":[{"id":"ITEM-1","itemData":{"DOI":"10.1016/j.msec.2018.07.030","ISSN":"09284931","abstract":"Bead-on-string mats based on poly(lactide-co-glycolide) (PLGA) releasing β-carotene (βC) as a natural osteogen were fabricated and used for bone tissue engineering. Mesenchymal stem cells (MSCs) seeded on the scaffolds successfully differentiated to osteoblasts without using any a differential medium. The mats showed a small burst of β-carotene (24–27%) during the first day and a sustained slow release up to 21 days. The MTT and SEM results indicated good attachment and proliferation of MSCs on the scaffolds. Calcination of scaffolds and expression of RUNX2, SOX9, and osteonectin genes approved the differentiation of seeded MSCs to osteoblasts without using any external osteogenic differential agent. The scaffold loaded with 4% β-carotene not only induced the early phase of osteogenesis but also advanced the differentiation to the osteoblast maturation phase. Thus, these bead-on-string scaffolds can be used as a substrate for direct bone tissue engineering.","author":[{"dropping-particle":"","family":"Esmailian","given":"Setareh","non-dropping-particle":"","parse-names":false,"suffix":""},{"dropping-particle":"","family":"Irani","given":"Shiva","non-dropping-particle":"","parse-names":false,"suffix":""},{"dropping-particle":"","family":"Bakhshi","given":"Hadi","non-dropping-particle":"","parse-names":false,"suffix":""},{"dropping-particle":"","family":"Zandi","given":"Mojgan","non-dropping-particle":"","parse-names":false,"suffix":""}],"container-title":"Materials Science and Engineering C","id":"ITEM-1","issue":"July","issued":{"date-parts":[["2018"]]},"page":"800-806","publisher":"Elsevier","title":"Biodegradable bead-on-spring nanofibers releasing β-carotene for bone tissue engineering","type":"article-journal","volume":"92"},"uris":["http://www.mendeley.com/documents/?uuid=46ebf384-2348-4b39-81f7-baa47138119e"]}],"mendeley":{"formattedCitation":"&lt;sup&gt;[68]&lt;/sup&gt;","plainTextFormattedCitation":"[68]","previouslyFormattedCitation":"&lt;sup&gt;[65]&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[68]</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These studies suggest that vitamin A may improve bone health. Retinoic acid also favored differentiation of MSCs into neurons and smooth muscle cells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{"citationItems":[{"id":"ITEM-1","itemData":{"DOI":"10.1016/j.biocel.2013.01.002","ISSN":"13572725","abstract":"All-trans retinoic acid plays an important role in nervous system development. However, the effects of all-trans retinoic acid on the neuronal differentiation of mesenchymal stem cells and the mechanisms through which this differentiation takes place are still poorly understood. Here, we investigated the biological effects of all-trans retinoic acid on the neuronal differentiation of mesenchymal stem cells and the signaling pathways that mediated these effects. We found that the neuronal differentiation efficiency of mesenchymal stem cells following all-trans retinoic acid pre-induction was greater and the axonal length was longer than was observed with mesenchymal stem cells that were not pre-induced. mRNA and protein levels of the neural-markers Nestin, NSE, MAP-2, Tau and Tuj1 were stronger in neural-like cells derived from all-trans retinoic acid-pretreated mesenchymal stem cells than in those not pre-induction. Interestingly, the neuronal excitability of differentiated neural-like cells exhibited the same patterns between these two groups. Clear expression of retinoic acid receptor alpha and gamma in mesenchymal stem cells was observed, while retinoic acid receptor beta was barely detected. However, retinoic acid receptor beta expression in mesenchymal stem cells after neuronal induction increased dramatically, in contrast with retinoic acid receptor alpha and gamma expression, and retinoic acid receptor beta expression in mesenchymal stem cells receiving all-trans retinoic acid pre-induction was even stronger. Next, retinoic acid receptor alpha, beta and gamma were over-expressed by recombinant adenovirus infection prior to neuronal induction. Retinoic acid receptor alpha and gamma over-expression did not impact the neuronal differentiation of mesenchymal stem cells. However, retinoic acid receptor beta over-expression promoted neuronal differentiation to a similar level as observed following all-trans retinoic acid pre-induction. The neuronal differentiation promoting effects of all-trans retinoic acid on mesenchymal stem cells could be inhibited by siRNA silencing of retinoic acid receptor beta and by LE135, an inhibitor of retinoic acid receptor beta. Taken together, these results suggest that all-trans retinoic acid pre-induction facilitates the neuronal differentiation of mesenchymal stem cells. These facilitation effects are achieved by activating the retinoic acid receptor beta signaling pathway. © 2013 Elsevier Ltd.","author":[{"dropping-particle":"","family":"Gong","given":"Min","non-dropping-particle":"","parse-names":false,"suffix":""},{"dropping-particle":"","family":"Bi","given":"Yang","non-dropping-particle":"","parse-names":false,"suffix":""},{"dropping-particle":"","family":"Jiang","given":"Wei","non-dropping-particle":"","parse-names":false,"suffix":""},{"dropping-particle":"","family":"Zhang","given":"Yun","non-dropping-particle":"","parse-names":false,"suffix":""},{"dropping-particle":"","family":"Chen","given":"Li","non-dropping-particle":"","parse-names":false,"suffix":""},{"dropping-particle":"","family":"Hou","given":"Nali","non-dropping-particle":"","parse-names":false,"suffix":""},{"dropping-particle":"","family":"Chen","given":"Jie","non-dropping-particle":"","parse-names":false,"suffix":""},{"dropping-particle":"","family":"Li","given":"Tingyu","non-dropping-particle":"","parse-names":false,"suffix":""}],"container-title":"International Journal of Biochemistry and Cell Biology","id":"ITEM-1","issue":"4","issued":{"date-parts":[["2013"]]},"page":"866-875","publisher":"Elsevier Ltd","title":"Retinoic acid receptor beta mediates all-trans retinoic acid facilitation of mesenchymal stem cells neuronal differentiation","type":"article-journal","volume":"45"},"uris":["http://www.mendeley.com/documents/?uuid=682d2fec-74a4-4a3f-893f-fea08df04471"]},{"id":"ITEM-2","itemData":{"DOI":"10.1631/jzus.b0900415","ISBN":"2002057930116","ISSN":"1673-1581","abstract":"Bone marrow-derived mesenchymal stem cells are multipotent stem cells, an attractive resource for regenerative medicine. Accumulating evidence suggests that all-trans retinoic acid plays a key role in the development and differentiation of smooth muscle cells. In the present study, we demonstrate, for the first time, that rabbit bone marrow-derived mesenchymal stem cells differentiate into smooth muscle cells upon the treatment with all-trans retinoic acid. All-trans retinoic acid increased the expression of myocardin, caldesmon, 22-kDa smooth muscle cell-specific protein (SM22alpha), and SM-myosin heavy chains in rabbit bone marrow-derived mesenchymal stem cells, as detected by reverse transcription polymerase chain reaction (PCR). Immunostaining of SM22alpha and SM-myosin heavy chains using monoclonal antibodies also indicated smooth muscle cell differentiation of rabbit bone marrow-derived mesenchymal stem cells following the treatment with all-trans retinoic acid. In addition, more than 47% of bone marrow-derived mesenchymal stem cells demonstrated the contractile phenotype of smooth muscle cells. Western blot results showed that SM-1 and SM-2 were highly expressed in the differentiated cells. These results suggest that all-trans retinoic acid may serve as a potent agent for functional smooth muscle cell differentiation in tissue engineering.","author":[{"dropping-particle":"","family":"Su","given":"Zhong-yuan","non-dropping-particle":"","parse-names":false,"suffix":""},{"dropping-particle":"","family":"Li","given":"Ying","non-dropping-particle":"","parse-names":false,"suffix":""},{"dropping-particle":"","family":"Zhao","given":"Xiao-li","non-dropping-particle":"","parse-names":false,"suffix":""},{"dropping-particle":"","family":"Zhang","given":"Ming","non-dropping-particle":"","parse-names":false,"suffix":""}],"container-title":"Journal of Zhejiang University SCIENCE B","id":"ITEM-2","issue":"7","issued":{"date-parts":[["2010"]]},"page":"489-496","title":"All-trans retinoic acid promotes smooth muscle cell differentiation of rabbit bone marrow-derived mesenchymal stem cells","type":"article-journal","volume":"11"},"uris":["http://www.mendeley.com/documents/?uuid=d46f0393-ed1f-48c3-b85d-ffe8f68c7bbe"]}],"mendeley":{"formattedCitation":"&lt;sup&gt;[69,70]&lt;/sup&gt;","plainTextFormattedCitation":"[69,70]","previouslyFormattedCitation":"&lt;sup&gt;[66,67]&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[69,70]</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Therefore, these studies show that beta-carotene can modulate MSC differentiation. On the other hand, vitamin A repressed expression of proinflammatory factors in MSCs </w:t>
      </w:r>
      <w:r w:rsidRPr="00B7408D">
        <w:rPr>
          <w:rFonts w:ascii="Book Antiqua" w:hAnsi="Book Antiqua" w:cs="Times New Roman"/>
          <w:i/>
          <w:color w:val="000000"/>
          <w:lang w:val="en-US"/>
        </w:rPr>
        <w:t>in vitro</w:t>
      </w:r>
      <w:r w:rsidRPr="00B7408D">
        <w:rPr>
          <w:rFonts w:ascii="Book Antiqua" w:hAnsi="Book Antiqua" w:cs="Times New Roman"/>
          <w:color w:val="000000"/>
          <w:lang w:val="en-US"/>
        </w:rPr>
        <w:t>, after being stimulated by lipopolysaccharides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{"citationItems":[{"id":"ITEM-1","itemData":{"DOI":"10.1007/s00011-014-0784-7","ISSN":"1420908X","abstract":"OBJECTIVE AND DESIGN: This study aimed to evaluate the effect of all-trans retinoic acid (atRA) on suppressing the inflammatory response and promoting the osteoblastic differentiation of bone marrow stromal cells (BMSCs) on titanium in a lipopolysaccharide (LPS)-induced microenvironment. METHODS: BMSCs were divided into four groups and treated with LPS (1 mug/mL), atRA (1 nmol/L), LPS + atRA, or left untreated. Cells were then cultured on titanium surfaces and cell function compared. BMSC proliferation and osteoblastic differentiation were assessed using the MTT assay, alkaline phosphatase (ALP) activity, alizarin red staining, and quantitative real-time polymerase chain reaction (RT-PCR). Expression levels of inflammatory factors were measured by quantitative RT-PCR and enzyme-linked immunosorbent assay. RESULTS: Increased mineralized nodule formation, ALP activity, osteocalcin, and osteopontin expression levels were detected in LPS + atRA-treated BMSCs after osteogenic induction, when compared with LPS-treated cells. In addition, the high levels of tumor necrosis factor-alpha, interleukin-1beta, and receptor activator of nuclear factor-kappa B ligand (RANKL) expression induced by LPS were inhibited after treatment with atRA. CONCLUSIONS: Our results showed the effects of atRA on suppressing inflammatory responses and promoting osteoblastic differentiation of BMSCs on titanium in an LPS-induced microenvironment. This indicates the potential therapeutic value of atRA for treating peri-implants inflammatory disease.","author":[{"dropping-particle":"","family":"Yan","given":"Qi","non-dropping-particle":"","parse-names":false,"suffix":""},{"dropping-particle":"","family":"Li","given":"Yuhong","non-dropping-particle":"","parse-names":false,"suffix":""},{"dropping-particle":"","family":"Cheng","given":"Ning","non-dropping-particle":"","parse-names":false,"suffix":""},{"dropping-particle":"","family":"Sun","given":"Wei","non-dropping-particle":"","parse-names":false,"suffix":""},{"dropping-particle":"","family":"Shi","given":"Bin","non-dropping-particle":"","parse-names":false,"suffix":""}],"container-title":"Inflammation Research","id":"ITEM-1","issue":"1","issued":{"date-parts":[["2015"]]},"page":"63-70","title":"Effect of retinoic acid on the function of lipopolysaccharide-stimulated bone marrow stromal cells grown on titanium surfaces","type":"article-journal","volume":"64"},"uris":["http://www.mendeley.com/documents/?uuid=bf8a0923-0974-4b0e-9392-b9aad53846e7"]}],"mendeley":{"formattedCitation":"&lt;sup&gt;[71]&lt;/sup&gt;","plainTextFormattedCitation":"[71]","previouslyFormattedCitation":"&lt;sup&gt;[71]&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[71]</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This indicates that it also regulates the inflammatory response of MSCs.</w:t>
      </w:r>
    </w:p>
    <w:p w14:paraId="2AB949A2" w14:textId="77777777" w:rsidR="006A0C4B" w:rsidRPr="00B7408D" w:rsidRDefault="006A0C4B" w:rsidP="006A0C4B">
      <w:pPr>
        <w:adjustRightInd w:val="0"/>
        <w:snapToGrid w:val="0"/>
        <w:spacing w:line="360" w:lineRule="auto"/>
        <w:jc w:val="both"/>
        <w:rPr>
          <w:rFonts w:ascii="Book Antiqua" w:hAnsi="Book Antiqua" w:cs="Times New Roman"/>
          <w:color w:val="000000"/>
          <w:lang w:val="en-US"/>
        </w:rPr>
      </w:pPr>
    </w:p>
    <w:p w14:paraId="214A8FF7" w14:textId="77777777" w:rsidR="006A0C4B" w:rsidRPr="00B7408D" w:rsidRDefault="006A0C4B" w:rsidP="006A0C4B">
      <w:pPr>
        <w:adjustRightInd w:val="0"/>
        <w:snapToGrid w:val="0"/>
        <w:spacing w:line="360" w:lineRule="auto"/>
        <w:jc w:val="both"/>
        <w:rPr>
          <w:rFonts w:ascii="Book Antiqua" w:hAnsi="Book Antiqua" w:cs="Times New Roman"/>
          <w:i/>
          <w:color w:val="000000"/>
          <w:lang w:val="en-US"/>
        </w:rPr>
      </w:pPr>
      <w:r w:rsidRPr="00B7408D">
        <w:rPr>
          <w:rFonts w:ascii="Book Antiqua" w:hAnsi="Book Antiqua" w:cs="Times New Roman"/>
          <w:b/>
          <w:i/>
          <w:color w:val="000000"/>
          <w:lang w:val="en-US"/>
        </w:rPr>
        <w:t>Squalene</w:t>
      </w:r>
    </w:p>
    <w:p w14:paraId="4481AE7A" w14:textId="77777777" w:rsidR="006A0C4B" w:rsidRPr="00B7408D" w:rsidRDefault="006A0C4B" w:rsidP="006A0C4B">
      <w:pPr>
        <w:adjustRightInd w:val="0"/>
        <w:snapToGrid w:val="0"/>
        <w:spacing w:line="360" w:lineRule="auto"/>
        <w:jc w:val="both"/>
        <w:rPr>
          <w:rFonts w:ascii="Book Antiqua" w:hAnsi="Book Antiqua" w:cs="Times New Roman"/>
          <w:color w:val="000000"/>
          <w:lang w:val="en-US"/>
        </w:rPr>
      </w:pPr>
      <w:r w:rsidRPr="00B7408D">
        <w:rPr>
          <w:rFonts w:ascii="Book Antiqua" w:hAnsi="Book Antiqua" w:cs="Times New Roman"/>
          <w:color w:val="000000"/>
          <w:lang w:val="en-US"/>
        </w:rPr>
        <w:t>Squalene is an aliphatic triterpene, being the most abundant hydrocarbon in olive oil, reaching 0.7% of the total content and between 30% to 50% of the unsaponifiable fraction. That sets it apart from other oils, which have a much lower total content of this triterpene (between 0.002% and 0.03%)</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{"citationItems":[{"id":"ITEM-1","itemData":{"ISSN":"10895159","PMID":"18069902","abstract":"The olive tree, Olea europaea, is native to the Mediterranean basin and parts of Asia Minor. The fruit and compression-extracted oil have a wide range of therapeutic and culinary applications. Olive oil also constitutes a major component of the \"Mediterranean diet.\" The chief active components of olive oil include oleic acid, phenolic constituents, and squalene. The main phenolics include hydroxytyrosol, tyrosol, and oleuropein, which occur in highest levels in virgin olive oil and have demonstrated antioxidant activity. Antioxidants are believed to be responsible for a number of olive oil's biological activities. Oleic acid, a monounsaturated fatty acid, has shown activity in cancer prevention, while squalene has also been identified as having anticancer effects. Olive oil consumption has benefit for colon and breast cancer prevention. The oil has been widely studied for its effects on coronary heart disease (CHD), specifically for its ability to reduce blood pressure and low-density lipoprotein (LDL) cholesterol. Antimicrobial activity of hydroxytyrosol, tyrosol, and oleuropein has been demonstrated against several strains of bacteria implicated in intestinal and respiratory infections. Although the majority of research has been conducted on the oil, consumption of whole olives might also confer health benefits.","author":[{"dropping-particle":"","family":"Waterman","given":"Emily","non-dropping-particle":"","parse-names":false,"suffix":""},{"dropping-particle":"","family":"Lockwood","given":"Brian","non-dropping-particle":"","parse-names":false,"suffix":""}],"container-title":"Alternative Medicine Review","id":"ITEM-1","issue":"4","issued":{"date-parts":[["2007"]]},"page":"331-342","title":"Active components and clinical applications of olive oil","type":"article-journal","volume":"12"},"uris":["http://www.mendeley.com/documents/?uuid=7bee2dfa-08e1-43e0-a440-d4ecefb27b17"]}],"mendeley":{"formattedCitation":"&lt;sup&gt;[72]&lt;/sup&gt;","plainTextFormattedCitation":"[72]","previouslyFormattedCitation":"&lt;sup&gt;[72]&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[72]</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Squalene has a high antioxidant capacity, being associated with cardioprotective and antiaging effects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{"citationItems":[{"id":"ITEM-1","itemData":{"DOI":"10.1016/j.plefa.2007.05.001","ISSN":"09523278","PMID":"17574827","abstract":"Mitochondria are an important intracellular source and target of reactive oxygen species. The life span of a species is thought to be determined, in part, by the rate of mitochondrial damage inflicted by oxygen free radicals during the course of normal cellular metabolism. In the present study, we have investigated the protective effect of squalene supplementation for 15 days and 30 days on energy status and antioxidant defense system in liver mitochondria of 18 young and 18 aged rats. The dietary supplementation of 2% squalene significantly minimized aging associated alterations in mitochondrial energy status by maintaining the activities of TCA cycle enzymes (isocitrate dehydrogenase, α-ketoglutarate dehydrogenase, succinate dehydrogenase and malate dehydrogenase) and respiratory marker enzymes (NADH dehydrogenase and cytochrome-c-oxidase) at higher level in the liver mitochondria of aged rats compared with unsupplemented controls. It exerted an antioxidant effect by inhibiting mitochondrial lipid peroxidation (malondialdehyde) in liver of young and aged rats. Supplementation with squalene also maintained the mitochondrial antioxidant defense system at higher rate by increasing the level of reduced glutathione and the activities of glutathione-dependent antioxidant enzymes (glutathione peroxidase and glutathione-S-transferase) and antiperoxidative enzymes (superoxide dismutase and catalase) in the liver of young and aged rats. The results of this study provide evidence that dietary supplementation with squalene can improve liver mitochondrial function during aging and minimize the age-associated disorders in which reactive oxygen species are a major cause. © 2007 Elsevier Ltd. All rights reserved.","author":[{"dropping-particle":"","family":"Buddhan","given":"S.","non-dropping-particle":"","parse-names":false,"suffix":""},{"dropping-particle":"","family":"Sivakumar","given":"R.","non-dropping-particle":"","parse-names":false,"suffix":""},{"dropping-particle":"","family":"Dhandapani","given":"N.","non-dropping-particle":"","parse-names":false,"suffix":""},{"dropping-particle":"","family":"Ganesan","given":"B.","non-dropping-particle":"","parse-names":false,"suffix":""},{"dropping-particle":"","family":"Anandan","given":"R.","non-dropping-particle":"","parse-names":false,"suffix":""}],"container-title":"Prostaglandins Leukotrienes and Essential Fatty Acids","id":"ITEM-1","issue":"6","issued":{"date-parts":[["2007"]]},"page":"349-355","title":"Protective effect of dietary squalene supplementation on mitochondrial function in liver of aged rats","type":"article-journal","volume":"76"},"uris":["http://www.mendeley.com/documents/?uuid=1394dee3-1d6a-4101-b886-d95a756d2f7b"]},{"id":"ITEM-2","itemData":{"DOI":"10.1016/j.foodchem.2007.05.034","ISSN":"03088146","abstract":"We have investigated the preventive effects of squalene against isoprenaline-induced myocardial infarction in male albino rats. Supplementation with squalene significantly prevented the isoprenaline-induced adverse changes in the levels of protein and glycoprotein components in plasma and heart tissue of experimental groups of rats. It exerted an antioxidant effect by inhibiting the isoprenaline-induced lipid peroxidation and by maintaining the level of non-enzymatic free radical-scavenger, reduced glutathione at near normalcy. Histopathological observations also confirmed the possible cardioprotective action of squalene by maintaining the normal architecture of the heart tissue. The results of the present investigation demonstrate that supplementation with squalene offers cardioprotection in experimental rats by its antioxidant and membrane- stabilizing properties.","author":[{"dropping-particle":"","family":"Farvin","given":"K.H. Sabeena","non-dropping-particle":"","parse-names":false,"suffix":""},{"dropping-particle":"","family":"Kumar","given":"S. Hari Senthil","non-dropping-particle":"","parse-names":false,"suffix":""},{"dropping-particle":"","family":"Anandan","given":"R.","non-dropping-particle":"","parse-names":false,"suffix":""},{"dropping-particle":"","family":"Mathew","given":"Suseela","non-dropping-particle":"","parse-names":false,"suffix":""},{"dropping-particle":"","family":"Sankar","given":"T.V.","non-dropping-particle":"","parse-names":false,"suffix":""},{"dropping-particle":"","family":"Nair","given":"P.G. Viswanathan","non-dropping-particle":"","parse-names":false,"suffix":""}],"container-title":"Food Chemistry","id":"ITEM-2","issue":"4","issued":{"date-parts":[["2007"]]},"page":"1390-1395","title":"Supplementation of squalene attenuates experimentally induced myocardial infarction in rats","type":"article-journal","volume":"105"},"uris":["http://www.mendeley.com/documents/?uuid=6d5bbb1e-ba1d-4f23-9829-97b438dcf0ee"]}],"mendeley":{"formattedCitation":"&lt;sup&gt;[73,74]&lt;/sup&gt;","plainTextFormattedCitation":"[73,74]","previouslyFormattedCitation":"&lt;sup&gt;[73,74]&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[73,74]</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Interestingly, we have recently found that serum from postmenopausal women (previously treated with an extract of by-product of </w:t>
      </w:r>
      <w:r w:rsidRPr="00B7408D">
        <w:rPr>
          <w:rFonts w:ascii="Book Antiqua" w:hAnsi="Book Antiqua" w:cs="Times New Roman"/>
          <w:color w:val="000000"/>
          <w:lang w:val="en-US"/>
        </w:rPr>
        <w:lastRenderedPageBreak/>
        <w:t xml:space="preserve">the olive oil extraction process, containing more than 7% squalene) enhanced </w:t>
      </w:r>
      <w:proofErr w:type="spellStart"/>
      <w:r w:rsidRPr="00B7408D">
        <w:rPr>
          <w:rFonts w:ascii="Book Antiqua" w:hAnsi="Book Antiqua" w:cs="Times New Roman"/>
          <w:color w:val="000000"/>
          <w:lang w:val="en-US"/>
        </w:rPr>
        <w:t>osteoblastogenesis</w:t>
      </w:r>
      <w:proofErr w:type="spellEnd"/>
      <w:r w:rsidRPr="00B7408D">
        <w:rPr>
          <w:rFonts w:ascii="Book Antiqua" w:hAnsi="Book Antiqua" w:cs="Times New Roman"/>
          <w:color w:val="000000"/>
          <w:lang w:val="en-US"/>
        </w:rPr>
        <w:t xml:space="preserve"> and inhibited </w:t>
      </w:r>
      <w:proofErr w:type="spellStart"/>
      <w:r w:rsidRPr="00B7408D">
        <w:rPr>
          <w:rFonts w:ascii="Book Antiqua" w:hAnsi="Book Antiqua" w:cs="Times New Roman"/>
          <w:color w:val="000000"/>
          <w:lang w:val="en-US"/>
        </w:rPr>
        <w:t>adipogenesis</w:t>
      </w:r>
      <w:proofErr w:type="spellEnd"/>
      <w:r w:rsidRPr="00B7408D">
        <w:rPr>
          <w:rFonts w:ascii="Book Antiqua" w:hAnsi="Book Antiqua" w:cs="Times New Roman"/>
          <w:color w:val="000000"/>
          <w:lang w:val="en-US"/>
        </w:rPr>
        <w:t xml:space="preserve"> of MSC cultures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{"citationItems":[{"id":"ITEM-1","itemData":{"DOI":"10.1016/j.exger.2017.01.024","ISSN":"18736815","abstract":"© 2017 Elsevier Inc. Aging may enhance both oxidative stress and bone-marrow mesenchymal stem-cell (MSC) differentiation into adipocytes. That reduces osteoblastogenesis, thus favoring bone-mass loss and fracture, representing an important worldwide health-issue, mainly in countries with aging populations. Intake of antioxidant products may help to retain bone-mass density. Interestingly, a novel olive-pomace physical treatment to generate olive oil also yields by-products rich in functional antioxidants. Thus, diet of postmenopausal women was supplemented for two months with one of such by-products (distillate 6; D6), being rich in squalene. After treatment, serum from such women showed reduced both lipidic peroxidation and oxidized low-density lipoprotein (LDL). Besides, vitamin E and coenzyme Q10 levels increased. Furthermore, culture medium containing 10% of such serum both increased osteoblastogenesis and reduced adipogenesis in human MSC from bone marrow. Therefore, highly antioxidant by-products like D6 may represent a relevant source for development of functional products, for both prevention and treatment of degenerative pathologies associated with aging, like osteoporosis.","author":[{"dropping-particle":"","family":"Casado-Díaz","given":"A.","non-dropping-particle":"","parse-names":false,"suffix":""},{"dropping-particle":"","family":"Túnez-Fiñana","given":"I.","non-dropping-particle":"","parse-names":false,"suffix":""},{"dropping-particle":"","family":"Mata-Granados","given":"J.M.","non-dropping-particle":"","parse-names":false,"suffix":""},{"dropping-particle":"","family":"Ruiz-Méndez","given":"M.V.","non-dropping-particle":"","parse-names":false,"suffix":""},{"dropping-particle":"","family":"Dorado","given":"G.","non-dropping-particle":"","parse-names":false,"suffix":""},{"dropping-particle":"","family":"Romero-Sánchez","given":"M.C.","non-dropping-particle":"","parse-names":false,"suffix":""},{"dropping-particle":"","family":"Navarro-Valverde","given":"C.","non-dropping-particle":"","parse-names":false,"suffix":""},{"dropping-particle":"","family":"Quesada-Gómez","given":"J.M.","non-dropping-particle":"","parse-names":false,"suffix":""}],"container-title":"Experimental Gerontology","id":"ITEM-1","issued":{"date-parts":[["2017"]]},"title":"Serum from postmenopausal women treated with a by-product of olive-oil extraction process stimulates osteoblastogenesis and inhibits adipogenesis in human mesenchymal stem-cells (MSC)","type":"article-journal","volume":"90"},"uris":["http://www.mendeley.com/documents/?uuid=be9b5db2-ab4f-3bec-8df5-f35b8068f227"]}],"mendeley":{"formattedCitation":"&lt;sup&gt;[58]&lt;/sup&gt;","plainTextFormattedCitation":"[58]","previouslyFormattedCitation":"&lt;sup&gt;[58]&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[58]</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Indeed, squalene may have an important role in the MSC niche in stroma of bone marrow, as suggested by its protection</w:t>
      </w:r>
      <w:r w:rsidRPr="00B7408D" w:rsidDel="0002159E">
        <w:rPr>
          <w:rFonts w:ascii="Book Antiqua" w:hAnsi="Book Antiqua" w:cs="Times New Roman"/>
          <w:color w:val="000000"/>
          <w:lang w:val="en-US"/>
        </w:rPr>
        <w:t xml:space="preserve"> </w:t>
      </w:r>
      <w:r w:rsidRPr="00B7408D">
        <w:rPr>
          <w:rFonts w:ascii="Book Antiqua" w:hAnsi="Book Antiqua" w:cs="Times New Roman"/>
          <w:color w:val="000000"/>
          <w:lang w:val="en-US"/>
        </w:rPr>
        <w:t>of MSCs in the presence of chemotherapeutic and anticancerogenic agents, like cisplatin and carboplatin</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{"citationItems":[{"id":"ITEM-1","itemData":{"ISSN":"1476-5586","PMID":"18813359","abstract":"Squalene, an isoprenoid antioxidant is a potential cytoprotective agent against chemotherapy-induced toxicity. We have previously published that squalene protects light-density bone marrow cells against cis-diamminedichloroplatinum( II) (cisplatin)-induced toxicity without protecting tumor cells in vitro. Here, we developed an in vivo mouse model of cisplatin and cis-diammine (cyclobutane-1,1-dicarboxylato) platinum(II) (carboplatin)-induced toxicity to further investigate squalene-mediated LD-BM cytoprotection including the molecular mechanism behind selective cytoprotection. We found that squalene significantly reduced the body weight loss of cisplatin and carboplatin-treated mice. Light-density bone marrow cells from squalene-treated mice exhibited improved formation of hematopoietic colonies (colony-forming unit-granulocyte macrophage). Furthermore, squalene also protected mesenchymal stem cell colonies (colony-forming unit-fibroblast) from cisplatin and carboplatin-induced toxicity. Squalene-induced protection was associated with decreased reactive oxygen species and increased levels of glutathione and glutathione peroxidase/glutathione-S-transferase. Importantly, squalene did not protect neuroblastoma, small cell carcinoma, or medulloblastoma xenografts against cisplatin-induced toxicity. These results suggest that squalene is a potential candidate for future development as a cytoprotective agent against chemotherapeutic toxicity.","author":[{"dropping-particle":"","family":"Das","given":"Bikul","non-dropping-particle":"","parse-names":false,"suffix":""},{"dropping-particle":"","family":"Antoon","given":"Roula","non-dropping-particle":"","parse-names":false,"suffix":""},{"dropping-particle":"","family":"Tsuchida","given":"Rika","non-dropping-particle":"","parse-names":false,"suffix":""},{"dropping-particle":"","family":"Lotfi","given":"Shamim","non-dropping-particle":"","parse-names":false,"suffix":""},{"dropping-particle":"","family":"Morozova","given":"Olena","non-dropping-particle":"","parse-names":false,"suffix":""},{"dropping-particle":"","family":"Farhat","given":"Walid","non-dropping-particle":"","parse-names":false,"suffix":""},{"dropping-particle":"","family":"Malkin","given":"David","non-dropping-particle":"","parse-names":false,"suffix":""},{"dropping-particle":"","family":"Koren","given":"Gideon","non-dropping-particle":"","parse-names":false,"suffix":""},{"dropping-particle":"","family":"Yeger","given":"Herman","non-dropping-particle":"","parse-names":false,"suffix":""},{"dropping-particle":"","family":"Baruchel","given":"Sylvain","non-dropping-particle":"","parse-names":false,"suffix":""}],"container-title":"Neoplasia","id":"ITEM-1","issue":"10","issued":{"date-parts":[["2008","10"]]},"page":"1105-19","title":"Squalene selectively protects mouse bone marrow progenitors against cisplatin and carboplatin-induced cytotoxicity in vivo without protecting tumor growth.","type":"article-journal","volume":"10"},"uris":["http://www.mendeley.com/documents/?uuid=63cc81f5-744c-3618-b0b7-1174e9d8e675"]}],"mendeley":{"formattedCitation":"&lt;sup&gt;[75]&lt;/sup&gt;","plainTextFormattedCitation":"[75]","previouslyFormattedCitation":"&lt;sup&gt;[75]&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[75]</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These studies suggest that, unlike other oils, the consumption of squalene-rich olive oil may positively influence MSC populations.</w:t>
      </w:r>
    </w:p>
    <w:p w14:paraId="3E0F5D8E" w14:textId="77777777" w:rsidR="006A0C4B" w:rsidRPr="00B7408D" w:rsidRDefault="006A0C4B" w:rsidP="006A0C4B">
      <w:pPr>
        <w:adjustRightInd w:val="0"/>
        <w:snapToGrid w:val="0"/>
        <w:spacing w:line="360" w:lineRule="auto"/>
        <w:jc w:val="both"/>
        <w:rPr>
          <w:rFonts w:ascii="Book Antiqua" w:hAnsi="Book Antiqua" w:cs="Times New Roman"/>
          <w:color w:val="000000"/>
          <w:lang w:val="en-US"/>
        </w:rPr>
      </w:pPr>
    </w:p>
    <w:p w14:paraId="6E84E541" w14:textId="77777777" w:rsidR="006A0C4B" w:rsidRPr="00B7408D" w:rsidRDefault="006A0C4B" w:rsidP="006A0C4B">
      <w:pPr>
        <w:adjustRightInd w:val="0"/>
        <w:snapToGrid w:val="0"/>
        <w:spacing w:line="360" w:lineRule="auto"/>
        <w:jc w:val="both"/>
        <w:rPr>
          <w:rFonts w:ascii="Book Antiqua" w:hAnsi="Book Antiqua" w:cs="Times New Roman"/>
          <w:i/>
          <w:color w:val="000000"/>
          <w:lang w:val="en-US"/>
        </w:rPr>
      </w:pPr>
      <w:r w:rsidRPr="00B7408D">
        <w:rPr>
          <w:rFonts w:ascii="Book Antiqua" w:hAnsi="Book Antiqua" w:cs="Times New Roman"/>
          <w:b/>
          <w:i/>
          <w:color w:val="000000"/>
          <w:lang w:val="en-US"/>
        </w:rPr>
        <w:t>Triterpenes</w:t>
      </w:r>
    </w:p>
    <w:p w14:paraId="7B5BD231" w14:textId="2FCDA003" w:rsidR="006A0C4B" w:rsidRPr="00B7408D" w:rsidRDefault="006A0C4B" w:rsidP="006A0C4B">
      <w:pPr>
        <w:adjustRightInd w:val="0"/>
        <w:snapToGrid w:val="0"/>
        <w:spacing w:line="360" w:lineRule="auto"/>
        <w:jc w:val="both"/>
        <w:rPr>
          <w:rFonts w:ascii="Book Antiqua" w:hAnsi="Book Antiqua" w:cs="Times New Roman"/>
          <w:color w:val="000000"/>
          <w:lang w:val="en-US"/>
        </w:rPr>
      </w:pPr>
      <w:r w:rsidRPr="00B7408D">
        <w:rPr>
          <w:rFonts w:ascii="Book Antiqua" w:hAnsi="Book Antiqua" w:cs="Times New Roman"/>
          <w:color w:val="000000"/>
          <w:lang w:val="en-US"/>
        </w:rPr>
        <w:t xml:space="preserve">Triterpene concentration in olive oil ranges from 8.90-112.36 mg/kg, mainly including </w:t>
      </w:r>
      <w:proofErr w:type="spellStart"/>
      <w:r w:rsidRPr="00B7408D">
        <w:rPr>
          <w:rFonts w:ascii="Book Antiqua" w:hAnsi="Book Antiqua" w:cs="Times New Roman"/>
          <w:color w:val="000000"/>
          <w:lang w:val="en-US"/>
        </w:rPr>
        <w:t>oleanolic</w:t>
      </w:r>
      <w:proofErr w:type="spellEnd"/>
      <w:r w:rsidRPr="00B7408D">
        <w:rPr>
          <w:rFonts w:ascii="Book Antiqua" w:hAnsi="Book Antiqua" w:cs="Times New Roman"/>
          <w:color w:val="000000"/>
          <w:lang w:val="en-US"/>
        </w:rPr>
        <w:t xml:space="preserve"> acid, </w:t>
      </w:r>
      <w:proofErr w:type="spellStart"/>
      <w:r w:rsidRPr="00B7408D">
        <w:rPr>
          <w:rFonts w:ascii="Book Antiqua" w:hAnsi="Book Antiqua" w:cs="Times New Roman"/>
          <w:color w:val="000000"/>
          <w:lang w:val="en-US"/>
        </w:rPr>
        <w:t>maslinic</w:t>
      </w:r>
      <w:proofErr w:type="spellEnd"/>
      <w:r w:rsidRPr="00B7408D">
        <w:rPr>
          <w:rFonts w:ascii="Book Antiqua" w:hAnsi="Book Antiqua" w:cs="Times New Roman"/>
          <w:color w:val="000000"/>
          <w:lang w:val="en-US"/>
        </w:rPr>
        <w:t xml:space="preserve"> acid, </w:t>
      </w:r>
      <w:proofErr w:type="spellStart"/>
      <w:r w:rsidRPr="00B7408D">
        <w:rPr>
          <w:rFonts w:ascii="Book Antiqua" w:hAnsi="Book Antiqua" w:cs="Times New Roman"/>
          <w:color w:val="000000"/>
          <w:lang w:val="en-US"/>
        </w:rPr>
        <w:t>uvaol</w:t>
      </w:r>
      <w:proofErr w:type="spellEnd"/>
      <w:r w:rsidRPr="00B7408D">
        <w:rPr>
          <w:rFonts w:ascii="Book Antiqua" w:hAnsi="Book Antiqua" w:cs="Times New Roman"/>
          <w:color w:val="000000"/>
          <w:lang w:val="en-US"/>
        </w:rPr>
        <w:t xml:space="preserve">, and </w:t>
      </w:r>
      <w:proofErr w:type="spellStart"/>
      <w:r w:rsidRPr="00B7408D">
        <w:rPr>
          <w:rFonts w:ascii="Book Antiqua" w:hAnsi="Book Antiqua" w:cs="Times New Roman"/>
          <w:color w:val="000000"/>
          <w:lang w:val="en-US"/>
        </w:rPr>
        <w:t>erythrodiol</w:t>
      </w:r>
      <w:proofErr w:type="spellEnd"/>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{"citationItems":[{"id":"ITEM-1","itemData":{"DOI":"10.1021/jf403154e","ISSN":"1520-5118","PMID":"24279741","abstract":"Oleanolic acid, maslinic acid, uvaol, and erythrodiol are the main triterpenes present in olives, olive tree leaves, and virgin olive oil. Their concentration in virgin olive oil depends on the quality of the olive oil and the variety of the olive tree. These triterpenes are described to present different properties, such as antitumoral activity, cardioprotective activity, anti-inflammatory activity, and antioxidant protection. Olive oil triterpenes are a natural source of antioxidants that could be useful compounds for the prevention of multiple diseases related to cell oxidative damage. However, special attention has to be paid to the concentrations used, because higher concentration may lead to cytotoxic or biphasic effects. This work explores all of the bioactive properties so far described for the main triterpenes present in virgin olive oil.","author":[{"dropping-particle":"","family":"Sánchez-Quesada","given":"Cristina","non-dropping-particle":"","parse-names":false,"suffix":""},{"dropping-particle":"","family":"López-Biedma","given":"Alicia","non-dropping-particle":"","parse-names":false,"suffix":""},{"dropping-particle":"","family":"Warleta","given":"Fernando","non-dropping-particle":"","parse-names":false,"suffix":""},{"dropping-particle":"","family":"Campos","given":"María","non-dropping-particle":"","parse-names":false,"suffix":""},{"dropping-particle":"","family":"Beltrán","given":"Gabriel","non-dropping-particle":"","parse-names":false,"suffix":""},{"dropping-particle":"","family":"Gaforio","given":"José J","non-dropping-particle":"","parse-names":false,"suffix":""}],"container-title":"Journal of agricultural and food chemistry","id":"ITEM-1","issue":"50","issued":{"date-parts":[["2013","12","18"]]},"page":"12173-82","title":"Bioactive properties of the main triterpenes found in olives, virgin olive oil, and leaves of Olea europaea.","type":"article-journal","volume":"61"},"uris":["http://www.mendeley.com/documents/?uuid=eff5b46d-6af6-31ab-9e0d-b09b2bdb46eb"]}],"mendeley":{"formattedCitation":"&lt;sup&gt;[76]&lt;/sup&gt;","plainTextFormattedCitation":"[76]","previouslyFormattedCitation":"&lt;sup&gt;[76]&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[76]</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Triterpenes of olive oil exhibited interesting biological activities, including </w:t>
      </w:r>
      <w:proofErr w:type="spellStart"/>
      <w:r w:rsidRPr="00B7408D">
        <w:rPr>
          <w:rFonts w:ascii="Book Antiqua" w:hAnsi="Book Antiqua" w:cs="Times New Roman"/>
          <w:color w:val="000000"/>
          <w:lang w:val="en-US"/>
        </w:rPr>
        <w:t>antitumoral</w:t>
      </w:r>
      <w:proofErr w:type="spellEnd"/>
      <w:r w:rsidRPr="00B7408D">
        <w:rPr>
          <w:rFonts w:ascii="Book Antiqua" w:hAnsi="Book Antiqua" w:cs="Times New Roman"/>
          <w:color w:val="000000"/>
          <w:lang w:val="en-US"/>
        </w:rPr>
        <w:t xml:space="preserve">, antioxidant, </w:t>
      </w:r>
      <w:proofErr w:type="spellStart"/>
      <w:r w:rsidRPr="00B7408D">
        <w:rPr>
          <w:rFonts w:ascii="Book Antiqua" w:hAnsi="Book Antiqua" w:cs="Times New Roman"/>
          <w:color w:val="000000"/>
          <w:lang w:val="en-US"/>
        </w:rPr>
        <w:t>antiinflammatory</w:t>
      </w:r>
      <w:proofErr w:type="spellEnd"/>
      <w:r w:rsidRPr="00B7408D">
        <w:rPr>
          <w:rFonts w:ascii="Book Antiqua" w:hAnsi="Book Antiqua" w:cs="Times New Roman"/>
          <w:color w:val="000000"/>
          <w:lang w:val="en-US"/>
        </w:rPr>
        <w:t xml:space="preserve">, antimicrobial, and </w:t>
      </w:r>
      <w:proofErr w:type="spellStart"/>
      <w:r w:rsidRPr="00B7408D">
        <w:rPr>
          <w:rFonts w:ascii="Book Antiqua" w:hAnsi="Book Antiqua" w:cs="Times New Roman"/>
          <w:color w:val="000000"/>
          <w:lang w:val="en-US"/>
        </w:rPr>
        <w:t>hepatoprotective</w:t>
      </w:r>
      <w:proofErr w:type="spellEnd"/>
      <w:r w:rsidRPr="00B7408D">
        <w:rPr>
          <w:rFonts w:ascii="Book Antiqua" w:hAnsi="Book Antiqua" w:cs="Times New Roman"/>
          <w:color w:val="000000"/>
          <w:lang w:val="en-US"/>
        </w:rPr>
        <w:t xml:space="preserve"> and </w:t>
      </w:r>
      <w:proofErr w:type="spellStart"/>
      <w:r w:rsidRPr="00B7408D">
        <w:rPr>
          <w:rFonts w:ascii="Book Antiqua" w:hAnsi="Book Antiqua" w:cs="Times New Roman"/>
          <w:color w:val="000000"/>
          <w:lang w:val="en-US"/>
        </w:rPr>
        <w:t>cardioprotective</w:t>
      </w:r>
      <w:proofErr w:type="spellEnd"/>
      <w:r w:rsidRPr="00B7408D">
        <w:rPr>
          <w:rFonts w:ascii="Book Antiqua" w:hAnsi="Book Antiqua" w:cs="Times New Roman"/>
          <w:color w:val="000000"/>
          <w:lang w:val="en-US"/>
        </w:rPr>
        <w:t xml:space="preserve"> effects, which may have positive impact on health</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{"citationItems":[{"id":"ITEM-1","itemData":{"DOI":"10.1021/jf403154e","ISSN":"1520-5118","PMID":"24279741","abstract":"Oleanolic acid, maslinic acid, uvaol, and erythrodiol are the main triterpenes present in olives, olive tree leaves, and virgin olive oil. Their concentration in virgin olive oil depends on the quality of the olive oil and the variety of the olive tree. These triterpenes are described to present different properties, such as antitumoral activity, cardioprotective activity, anti-inflammatory activity, and antioxidant protection. Olive oil triterpenes are a natural source of antioxidants that could be useful compounds for the prevention of multiple diseases related to cell oxidative damage. However, special attention has to be paid to the concentrations used, because higher concentration may lead to cytotoxic or biphasic effects. This work explores all of the bioactive properties so far described for the main triterpenes present in virgin olive oil.","author":[{"dropping-particle":"","family":"Sánchez-Quesada","given":"Cristina","non-dropping-particle":"","parse-names":false,"suffix":""},{"dropping-particle":"","family":"López-Biedma","given":"Alicia","non-dropping-particle":"","parse-names":false,"suffix":""},{"dropping-particle":"","family":"Warleta","given":"Fernando","non-dropping-particle":"","parse-names":false,"suffix":""},{"dropping-particle":"","family":"Campos","given":"María","non-dropping-particle":"","parse-names":false,"suffix":""},{"dropping-particle":"","family":"Beltrán","given":"Gabriel","non-dropping-particle":"","parse-names":false,"suffix":""},{"dropping-particle":"","family":"Gaforio","given":"José J","non-dropping-particle":"","parse-names":false,"suffix":""}],"container-title":"Journal of agricultural and food chemistry","id":"ITEM-1","issue":"50","issued":{"date-parts":[["2013","12","18"]]},"page":"12173-82","title":"Bioactive properties of the main triterpenes found in olives, virgin olive oil, and leaves of Olea europaea.","type":"article-journal","volume":"61"},"uris":["http://www.mendeley.com/documents/?uuid=eff5b46d-6af6-31ab-9e0d-b09b2bdb46eb"]}],"mendeley":{"formattedCitation":"&lt;sup&gt;[76]&lt;/sup&gt;","plainTextFormattedCitation":"[76]","previouslyFormattedCitation":"&lt;sup&gt;[76]&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[76]</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Effects of </w:t>
      </w:r>
      <w:proofErr w:type="spellStart"/>
      <w:r w:rsidRPr="00B7408D">
        <w:rPr>
          <w:rFonts w:ascii="Book Antiqua" w:hAnsi="Book Antiqua" w:cs="Times New Roman"/>
          <w:color w:val="000000"/>
          <w:lang w:val="en-US"/>
        </w:rPr>
        <w:t>oleanolic</w:t>
      </w:r>
      <w:proofErr w:type="spellEnd"/>
      <w:r w:rsidRPr="00B7408D">
        <w:rPr>
          <w:rFonts w:ascii="Book Antiqua" w:hAnsi="Book Antiqua" w:cs="Times New Roman"/>
          <w:color w:val="000000"/>
          <w:lang w:val="en-US"/>
        </w:rPr>
        <w:t xml:space="preserve"> and </w:t>
      </w:r>
      <w:proofErr w:type="spellStart"/>
      <w:r w:rsidRPr="00B7408D">
        <w:rPr>
          <w:rFonts w:ascii="Book Antiqua" w:hAnsi="Book Antiqua" w:cs="Times New Roman"/>
          <w:color w:val="000000"/>
          <w:lang w:val="en-US"/>
        </w:rPr>
        <w:t>maslinic</w:t>
      </w:r>
      <w:proofErr w:type="spellEnd"/>
      <w:r w:rsidRPr="00B7408D">
        <w:rPr>
          <w:rFonts w:ascii="Book Antiqua" w:hAnsi="Book Antiqua" w:cs="Times New Roman"/>
          <w:color w:val="000000"/>
          <w:lang w:val="en-US"/>
        </w:rPr>
        <w:t xml:space="preserve"> acids on MSCs have been reported; for instance, some authors have reported that the former reduced MSC viability</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{"citationItems":[{"id":"ITEM-1","itemData":{"DOI":"10.1038/s41598-017-07633-7","ISSN":"20452322","abstract":"© 2017 The Author(s). Oleanolic acid (OA), a pentacyclic triterpenoid, has been shown to modulate multiple signaling pathways in a variety of cell linages. But the mechanisms underlying OA-mediated mesenchymal stromal cell (MSC) osteogenic differentiation are not known. In this study, we examined effects of OA on cell viability, osteogenic differentiation in MSCs, and the involvement of Notch and BMP signaling. OA induced bone marrow derived MSC differentiation towards osteoprogenitor cells and inhibited Notch signaling in a dose dependent manner. Constitutive activation of Notch signaling fully blocked OA induced MSC osteogenic differentiation. The expression level of early osteogenic marker genes, ALP, Runx2, and type I collagen, which play a critical role in MSC to osteoblast transition and servers as a downstream target of BMP signaling, was significantly induced by OA. Furthermore, BMP2 mediated MSC osteogenic differentiation was significantly enhance by OA treatment, indicating a synergistic effect between BMP2 and OA. Our results suggest that OA is a promising bioactive agent for bone tissue regeneration, and inhibition of Notch signaling is required for its osteogenic effects on MSCs.","author":[{"dropping-particle":"","family":"Shu","given":"Bing","non-dropping-particle":"","parse-names":false,"suffix":""},{"dropping-particle":"","family":"Zhao","given":"Yongjian","non-dropping-particle":"","parse-names":false,"suffix":""},{"dropping-particle":"","family":"Wang","given":"Yongjun","non-dropping-particle":"","parse-names":false,"suffix":""},{"dropping-particle":"","family":"Wang","given":"Guangxi","non-dropping-particle":"","parse-names":false,"suffix":""},{"dropping-particle":"","family":"Shang","given":"Xifu","non-dropping-particle":"","parse-names":false,"suffix":""},{"dropping-particle":"","family":"Britt","given":"Michael","non-dropping-particle":"","parse-names":false,"suffix":""},{"dropping-particle":"","family":"Olmedo","given":"Margaret","non-dropping-particle":"","parse-names":false,"suffix":""},{"dropping-particle":"","family":"Chelly","given":"Marjorie","non-dropping-particle":"","parse-names":false,"suffix":""},{"dropping-particle":"","family":"Morandi","given":"Massimo Max","non-dropping-particle":"","parse-names":false,"suffix":""},{"dropping-particle":"","family":"Barton","given":"Shane","non-dropping-particle":"","parse-names":false,"suffix":""},{"dropping-particle":"","family":"Dong","given":"Yufeng","non-dropping-particle":"","parse-names":false,"suffix":""}],"container-title":"Scientific Reports","id":"ITEM-1","issue":"1","issued":{"date-parts":[["2017"]]},"page":"1-8","publisher":"Springer US","title":"Oleanolic Acid Enhances Mesenchymal Stromal Cell Osteogenic Potential by Inhibition of Notch Signaling","type":"article-journal","volume":"7"},"uris":["http://www.mendeley.com/documents/?uuid=8fc62266-4346-4484-bd8a-c757aa6b7162"]}],"mendeley":{"formattedCitation":"&lt;sup&gt;[77]&lt;/sup&gt;","plainTextFormattedCitation":"[77]","previouslyFormattedCitation":"&lt;sup&gt;[77]&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[77]</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although others have not found such an effect</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{"citationItems":[{"id":"ITEM-1","itemData":{"DOI":"10.1080/15376516.2017.1373881","ISSN":"15376524","abstract":"Products of natural origin have become important agents in the treatment of cancer, and the active principles of natural sources could be used in combination with chemotherapeutic agents to increase their effects and to minimize their toxicity. Oleanolic (OA) and ursolic (UA) acids are intensely studied for their promising anticancer potential. The aim of this study was focused on the in vitro toxicological effects induced by UA and OA human mesenchymal stem cells and on melanoma, one of the most frequent cancers whose incidence is increasing every year. The two compounds were tested for their cytotoxic, cell cycle arrest and pro-apoptotic effects on melanoma cells (A375 and B164A5) and mesenchymal stem cells. UA exerted a cytotoxic effect in a dose-dependent manner on melanoma cells, while OA's activity has been shown to be low or moderate. Both compounds produced alterations of the cell cycle, arresting cells in the G0/G1 phase. Furthermore, UA induced significant apoptosis through the bcl-2 genes family pathway, with the decrease of the bcl-2 gene expression. The two compounds exerted selective effects on melanoma cells with no effects on human mesenchymal stem cells. The presented results reveal the anticancer potential of UA on melanoma cells, with no detectable toxicity on the mesenchymal stem cells.","author":[{"dropping-particle":"","family":"Oprean","given":"Camelia","non-dropping-particle":"","parse-names":false,"suffix":""},{"dropping-particle":"","family":"Ivan","given":"Alexandra","non-dropping-particle":"","parse-names":false,"suffix":""},{"dropping-particle":"","family":"Bojin","given":"Florina","non-dropping-particle":"","parse-names":false,"suffix":""},{"dropping-particle":"","family":"Cristea","given":"Mirabela","non-dropping-particle":"","parse-names":false,"suffix":""},{"dropping-particle":"","family":"Soica","given":"Codruta","non-dropping-particle":"","parse-names":false,"suffix":""},{"dropping-particle":"","family":"Drăghia","given":"Lavinia","non-dropping-particle":"","parse-names":false,"suffix":""},{"dropping-particle":"","family":"Caunii","given":"Angela","non-dropping-particle":"","parse-names":false,"suffix":""},{"dropping-particle":"","family":"Paunescu","given":"Virgil","non-dropping-particle":"","parse-names":false,"suffix":""},{"dropping-particle":"","family":"Tatu","given":"Calin","non-dropping-particle":"","parse-names":false,"suffix":""}],"container-title":"Toxicology Mechanisms and Methods","id":"ITEM-1","issue":"2","issued":{"date-parts":[["2018"]]},"page":"148-156","publisher":"Taylor &amp; Francis","title":"Selective in vitro anti-melanoma activity of ursolic and oleanolic acids","type":"article-journal","volume":"28"},"uris":["http://www.mendeley.com/documents/?uuid=c2748e94-2228-487c-8f52-8a501c15d577"]}],"mendeley":{"formattedCitation":"&lt;sup&gt;[78]&lt;/sup&gt;","plainTextFormattedCitation":"[78]","previouslyFormattedCitation":"&lt;sup&gt;[78]&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[78]</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Such triterpene modulates bone formation. Indeed, some authors have found that this triterpene prevented bone mass loss in ovariectomized rats. They also observed that 1 </w:t>
      </w:r>
      <w:proofErr w:type="spellStart"/>
      <w:r w:rsidRPr="00B7408D">
        <w:rPr>
          <w:rFonts w:ascii="Book Antiqua" w:hAnsi="Book Antiqua" w:cs="Times New Roman"/>
          <w:color w:val="000000"/>
          <w:lang w:val="en-US"/>
        </w:rPr>
        <w:t>μ</w:t>
      </w:r>
      <w:r w:rsidR="001277C4" w:rsidRPr="00B7408D">
        <w:rPr>
          <w:rFonts w:ascii="Book Antiqua" w:hAnsi="Book Antiqua" w:cs="Times New Roman"/>
          <w:color w:val="000000"/>
          <w:lang w:val="en-US"/>
        </w:rPr>
        <w:t>mol</w:t>
      </w:r>
      <w:proofErr w:type="spellEnd"/>
      <w:r w:rsidR="001277C4" w:rsidRPr="00B7408D">
        <w:rPr>
          <w:rFonts w:ascii="Book Antiqua" w:hAnsi="Book Antiqua" w:cs="Times New Roman"/>
          <w:color w:val="000000"/>
          <w:lang w:val="en-US"/>
        </w:rPr>
        <w:t>/L</w:t>
      </w:r>
      <w:r w:rsidRPr="00B7408D">
        <w:rPr>
          <w:rFonts w:ascii="Book Antiqua" w:hAnsi="Book Antiqua" w:cs="Times New Roman"/>
          <w:color w:val="000000"/>
          <w:lang w:val="en-US"/>
        </w:rPr>
        <w:t xml:space="preserve"> and 10 </w:t>
      </w:r>
      <w:proofErr w:type="spellStart"/>
      <w:r w:rsidR="001277C4" w:rsidRPr="00B7408D">
        <w:rPr>
          <w:rFonts w:ascii="Book Antiqua" w:hAnsi="Book Antiqua" w:cs="Times New Roman"/>
          <w:color w:val="000000"/>
          <w:lang w:val="en-US"/>
        </w:rPr>
        <w:t>μmol</w:t>
      </w:r>
      <w:proofErr w:type="spellEnd"/>
      <w:r w:rsidR="001277C4" w:rsidRPr="00B7408D">
        <w:rPr>
          <w:rFonts w:ascii="Book Antiqua" w:hAnsi="Book Antiqua" w:cs="Times New Roman"/>
          <w:color w:val="000000"/>
          <w:lang w:val="en-US"/>
        </w:rPr>
        <w:t>/L</w:t>
      </w:r>
      <w:r w:rsidRPr="00B7408D">
        <w:rPr>
          <w:rFonts w:ascii="Book Antiqua" w:hAnsi="Book Antiqua" w:cs="Times New Roman"/>
          <w:color w:val="000000"/>
          <w:lang w:val="en-US"/>
        </w:rPr>
        <w:t xml:space="preserve"> of oleanolic acid induced rat MSC differentiation into osteoblasts </w:t>
      </w:r>
      <w:r w:rsidRPr="00B7408D">
        <w:rPr>
          <w:rFonts w:ascii="Book Antiqua" w:hAnsi="Book Antiqua" w:cs="Times New Roman"/>
          <w:i/>
          <w:color w:val="000000"/>
          <w:lang w:val="en-US"/>
        </w:rPr>
        <w:t>in vitro</w:t>
      </w:r>
      <w:r w:rsidRPr="00B7408D">
        <w:rPr>
          <w:rFonts w:ascii="Book Antiqua" w:hAnsi="Book Antiqua" w:cs="Times New Roman"/>
          <w:color w:val="000000"/>
          <w:lang w:val="en-US"/>
        </w:rPr>
        <w:t>, and suggested that this effect was mediated by the Notch signaling pathway</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{"citationItems":[{"id":"ITEM-1","itemData":{"DOI":"10.1097/gme.0b013e3182272ef1","ISSN":"10723714","abstract":"Oleanolic acid (OA) and its glycosides have been reported to prevent bone loss by inhibiting the formation of osteoclasts. However, because bone formation and resorption are balanced processes in bone metabolism, no studies have described the effect of OA on osteogenesis. The aim of the present study was to evaluate the osteoprotective effect of OA in rats with ovariectomy (OVX)-induced osteoporosis and to search for the molecular targets of OA in bone mesenchymal stem cells (bMSCs).","author":[{"dropping-particle":"","family":"Bian","given":"Qin","non-dropping-particle":"","parse-names":false,"suffix":""},{"dropping-particle":"","family":"Liu","given":"Shu Fen","non-dropping-particle":"","parse-names":false,"suffix":""},{"dropping-particle":"","family":"Huang","given":"Jian Hua","non-dropping-particle":"","parse-names":false,"suffix":""},{"dropping-particle":"","family":"Yang","given":"Zhu","non-dropping-particle":"","parse-names":false,"suffix":""},{"dropping-particle":"","family":"Tang","given":"De Zhi","non-dropping-particle":"","parse-names":false,"suffix":""},{"dropping-particle":"","family":"Zhou","given":"Quan","non-dropping-particle":"","parse-names":false,"suffix":""},{"dropping-particle":"","family":"Ning","given":"You","non-dropping-particle":"","parse-names":false,"suffix":""},{"dropping-particle":"","family":"Zhao","given":"Yong Jian","non-dropping-particle":"","parse-names":false,"suffix":""},{"dropping-particle":"","family":"Lu","given":"Sheng","non-dropping-particle":"","parse-names":false,"suffix":""},{"dropping-particle":"","family":"Shen","given":"Zi Yin","non-dropping-particle":"","parse-names":false,"suffix":""},{"dropping-particle":"","family":"Wang","given":"Yong Jun","non-dropping-particle":"","parse-names":false,"suffix":""}],"container-title":"Menopause","id":"ITEM-1","issue":"2","issued":{"date-parts":[["2012"]]},"page":"225-233","title":"Oleanolic acid exerts an osteoprotective effect in ovariectomy-induced osteoporotic rats and stimulates the osteoblastic differentiation of bone mesenchymal stem cells in vitro","type":"article-journal","volume":"19"},"uris":["http://www.mendeley.com/documents/?uuid=128e97f3-730f-4508-8424-ed5bcf874fe0"]}],"mendeley":{"formattedCitation":"&lt;sup&gt;[79]&lt;/sup&gt;","plainTextFormattedCitation":"[79]","previouslyFormattedCitation":"&lt;sup&gt;[79]&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[79]</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These results have been reproduced in human MSCs. Such experiments showed that this triterpene inhibited Notch signaling and induced the expression of osteoblastic genes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{"citationItems":[{"id":"ITEM-1","itemData":{"DOI":"10.1038/s41598-017-07633-7","ISSN":"20452322","abstract":"© 2017 The Author(s). Oleanolic acid (OA), a pentacyclic triterpenoid, has been shown to modulate multiple signaling pathways in a variety of cell linages. But the mechanisms underlying OA-mediated mesenchymal stromal cell (MSC) osteogenic differentiation are not known. In this study, we examined effects of OA on cell viability, osteogenic differentiation in MSCs, and the involvement of Notch and BMP signaling. OA induced bone marrow derived MSC differentiation towards osteoprogenitor cells and inhibited Notch signaling in a dose dependent manner. Constitutive activation of Notch signaling fully blocked OA induced MSC osteogenic differentiation. The expression level of early osteogenic marker genes, ALP, Runx2, and type I collagen, which play a critical role in MSC to osteoblast transition and servers as a downstream target of BMP signaling, was significantly induced by OA. Furthermore, BMP2 mediated MSC osteogenic differentiation was significantly enhance by OA treatment, indicating a synergistic effect between BMP2 and OA. Our results suggest that OA is a promising bioactive agent for bone tissue regeneration, and inhibition of Notch signaling is required for its osteogenic effects on MSCs.","author":[{"dropping-particle":"","family":"Shu","given":"Bing","non-dropping-particle":"","parse-names":false,"suffix":""},{"dropping-particle":"","family":"Zhao","given":"Yongjian","non-dropping-particle":"","parse-names":false,"suffix":""},{"dropping-particle":"","family":"Wang","given":"Yongjun","non-dropping-particle":"","parse-names":false,"suffix":""},{"dropping-particle":"","family":"Wang","given":"Guangxi","non-dropping-particle":"","parse-names":false,"suffix":""},{"dropping-particle":"","family":"Shang","given":"Xifu","non-dropping-particle":"","parse-names":false,"suffix":""},{"dropping-particle":"","family":"Britt","given":"Michael","non-dropping-particle":"","parse-names":false,"suffix":""},{"dropping-particle":"","family":"Olmedo","given":"Margaret","non-dropping-particle":"","parse-names":false,"suffix":""},{"dropping-particle":"","family":"Chelly","given":"Marjorie","non-dropping-particle":"","parse-names":false,"suffix":""},{"dropping-particle":"","family":"Morandi","given":"Massimo Max","non-dropping-particle":"","parse-names":false,"suffix":""},{"dropping-particle":"","family":"Barton","given":"Shane","non-dropping-particle":"","parse-names":false,"suffix":""},{"dropping-particle":"","family":"Dong","given":"Yufeng","non-dropping-particle":"","parse-names":false,"suffix":""}],"container-title":"Scientific Reports","id":"ITEM-1","issue":"1","issued":{"date-parts":[["2017"]]},"page":"1-8","publisher":"Springer US","title":"Oleanolic Acid Enhances Mesenchymal Stromal Cell Osteogenic Potential by Inhibition of Notch Signaling","type":"article-journal","volume":"7"},"uris":["http://www.mendeley.com/documents/?uuid=8fc62266-4346-4484-bd8a-c757aa6b7162"]}],"mendeley":{"formattedCitation":"&lt;sup&gt;[77]&lt;/sup&gt;","plainTextFormattedCitation":"[77]","previouslyFormattedCitation":"&lt;sup&gt;[77]&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[77]</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It has been reported that Notch signaling maintained the MSCs undifferentiated stage, whereas the inhibition of this pathway promoted differentiation into osteoblasts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{"citationItems":[{"id":"ITEM-1","itemData":{"DOI":"10.1038/nm1716","ISBN":"1546-170X (Electronic)\\r1078-8956 (Linking)","ISSN":"10788956","PMID":"18297083","abstract":"Postnatal bone marrow houses mesenchymal progenitor cells that are osteoblast precursors. These cells have established therapeutic potential, but they are difficult to maintain and expand in vitro, presumably because little is known about the mechanisms controlling their fate decisions. To investigate the potential role of Notch signaling in osteoblastogenesis, we used conditional alleles to genetically remove components of the Notch signaling system during skeletal development. We found that disruption of Notch signaling in the limb skeletogenic mesenchyme markedly increased trabecular bone mass in adolescent mice. Notably, mesenchymal progenitors were undetectable in the bone marrow of mice with high bone mass. As a result, these mice developed severe osteopenia as they aged. Moreover, Notch signaling seemed to inhibit osteoblast differentiation through Hes or Hey proteins, which diminished Runx2 transcriptional activity via physical interaction. These results support a model wherein Notch signaling in bone marrow normally acts to maintain a pool of mesenchymal progenitors by suppressing osteoblast differentiation. Thus, mesenchymal progenitors may be expanded in vitro by activating the Notch pathway, whereas bone formation in vivo may be enhanced by transiently suppressing this pathway.","author":[{"dropping-particle":"","family":"Hilton","given":"Matthew J.","non-dropping-particle":"","parse-names":false,"suffix":""},{"dropping-particle":"","family":"Tu","given":"Xiaolin","non-dropping-particle":"","parse-names":false,"suffix":""},{"dropping-particle":"","family":"Wu","given":"Ximei","non-dropping-particle":"","parse-names":false,"suffix":""},{"dropping-particle":"","family":"Bai","given":"Shuting","non-dropping-particle":"","parse-names":false,"suffix":""},{"dropping-particle":"","family":"Zhao","given":"Haibo","non-dropping-particle":"","parse-names":false,"suffix":""},{"dropping-particle":"","family":"Kobayashi","given":"Tatsuya","non-dropping-particle":"","parse-names":false,"suffix":""},{"dropping-particle":"","family":"Kronenberg","given":"Henry M.","non-dropping-particle":"","parse-names":false,"suffix":""},{"dropping-particle":"","family":"Teitelbaum","given":"Steven L.","non-dropping-particle":"","parse-names":false,"suffix":""},{"dropping-particle":"","family":"Ross","given":"F. Patrick","non-dropping-particle":"","parse-names":false,"suffix":""},{"dropping-particle":"","family":"Kopan","given":"Raphael","non-dropping-particle":"","parse-names":false,"suffix":""},{"dropping-particle":"","family":"Long","given":"Fanxin","non-dropping-particle":"","parse-names":false,"suffix":""}],"container-title":"Nature Medicine","id":"ITEM-1","issue":"3","issued":{"date-parts":[["2008"]]},"page":"306-314","title":"Notch signaling maintains bone marrow mesenchymal progenitors by suppressing osteoblast differentiation","type":"article-journal","volume":"14"},"uris":["http://www.mendeley.com/documents/?uuid=5b01380e-2ecf-44f7-98ad-614e98d71c7c"]}],"mendeley":{"formattedCitation":"&lt;sup&gt;[80]&lt;/sup&gt;","plainTextFormattedCitation":"[80]","previouslyFormattedCitation":"&lt;sup&gt;[80]&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[80]</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Besides, oleanolic acid enhanced the effect of bone morphogenetic protein 2 (commonly known as BMP2) as an osteoblastic inducer</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{"citationItems":[{"id":"ITEM-1","itemData":{"DOI":"10.1038/s41598-017-07633-7","ISSN":"20452322","abstract":"© 2017 The Author(s). Oleanolic acid (OA), a pentacyclic triterpenoid, has been shown to modulate multiple signaling pathways in a variety of cell linages. But the mechanisms underlying OA-mediated mesenchymal stromal cell (MSC) osteogenic differentiation are not known. In this study, we examined effects of OA on cell viability, osteogenic differentiation in MSCs, and the involvement of Notch and BMP signaling. OA induced bone marrow derived MSC differentiation towards osteoprogenitor cells and inhibited Notch signaling in a dose dependent manner. Constitutive activation of Notch signaling fully blocked OA induced MSC osteogenic differentiation. The expression level of early osteogenic marker genes, ALP, Runx2, and type I collagen, which play a critical role in MSC to osteoblast transition and servers as a downstream target of BMP signaling, was significantly induced by OA. Furthermore, BMP2 mediated MSC osteogenic differentiation was significantly enhance by OA treatment, indicating a synergistic effect between BMP2 and OA. Our results suggest that OA is a promising bioactive agent for bone tissue regeneration, and inhibition of Notch signaling is required for its osteogenic effects on MSCs.","author":[{"dropping-particle":"","family":"Shu","given":"Bing","non-dropping-particle":"","parse-names":false,"suffix":""},{"dropping-particle":"","family":"Zhao","given":"Yongjian","non-dropping-particle":"","parse-names":false,"suffix":""},{"dropping-particle":"","family":"Wang","given":"Yongjun","non-dropping-particle":"","parse-names":false,"suffix":""},{"dropping-particle":"","family":"Wang","given":"Guangxi","non-dropping-particle":"","parse-names":false,"suffix":""},{"dropping-particle":"","family":"Shang","given":"Xifu","non-dropping-particle":"","parse-names":false,"suffix":""},{"dropping-particle":"","family":"Britt","given":"Michael","non-dropping-particle":"","parse-names":false,"suffix":""},{"dropping-particle":"","family":"Olmedo","given":"Margaret","non-dropping-particle":"","parse-names":false,"suffix":""},{"dropping-particle":"","family":"Chelly","given":"Marjorie","non-dropping-particle":"","parse-names":false,"suffix":""},{"dropping-particle":"","family":"Morandi","given":"Massimo Max","non-dropping-particle":"","parse-names":false,"suffix":""},{"dropping-particle":"","family":"Barton","given":"Shane","non-dropping-particle":"","parse-names":false,"suffix":""},{"dropping-particle":"","family":"Dong","given":"Yufeng","non-dropping-particle":"","parse-names":false,"suffix":""}],"container-title":"Scientific Reports","id":"ITEM-1","issue":"1","issued":{"date-parts":[["2017"]]},"page":"1-8","publisher":"Springer US","title":"Oleanolic Acid Enhances Mesenchymal Stromal Cell Osteogenic Potential by Inhibition of Notch Signaling","type":"article-journal","volume":"7"},"uris":["http://www.mendeley.com/documents/?uuid=8fc62266-4346-4484-bd8a-c757aa6b7162"]}],"mendeley":{"formattedCitation":"&lt;sup&gt;[77]&lt;/sup&gt;","plainTextFormattedCitation":"[77]","previouslyFormattedCitation":"&lt;sup&gt;[77]&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[77]</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w:t>
      </w:r>
    </w:p>
    <w:p w14:paraId="0C9B8B14" w14:textId="1D7EA11D" w:rsidR="006A0C4B" w:rsidRPr="00B7408D" w:rsidRDefault="006A0C4B" w:rsidP="004D452C">
      <w:pPr>
        <w:adjustRightInd w:val="0"/>
        <w:snapToGrid w:val="0"/>
        <w:spacing w:line="360" w:lineRule="auto"/>
        <w:ind w:firstLineChars="100" w:firstLine="240"/>
        <w:jc w:val="both"/>
        <w:rPr>
          <w:rFonts w:ascii="Book Antiqua" w:hAnsi="Book Antiqua" w:cs="Times New Roman"/>
          <w:color w:val="000000"/>
          <w:lang w:val="en-US"/>
        </w:rPr>
      </w:pPr>
      <w:r w:rsidRPr="00B7408D">
        <w:rPr>
          <w:rFonts w:ascii="Book Antiqua" w:hAnsi="Book Antiqua" w:cs="Times New Roman"/>
          <w:color w:val="000000"/>
          <w:lang w:val="en-US"/>
        </w:rPr>
        <w:t xml:space="preserve">Since the factors that induce MSC differentiation into osteoblasts usually inhibit </w:t>
      </w:r>
      <w:proofErr w:type="spellStart"/>
      <w:r w:rsidRPr="00B7408D">
        <w:rPr>
          <w:rFonts w:ascii="Book Antiqua" w:hAnsi="Book Antiqua" w:cs="Times New Roman"/>
          <w:color w:val="000000"/>
          <w:lang w:val="en-US"/>
        </w:rPr>
        <w:t>adipogenic</w:t>
      </w:r>
      <w:proofErr w:type="spellEnd"/>
      <w:r w:rsidRPr="00B7408D">
        <w:rPr>
          <w:rFonts w:ascii="Book Antiqua" w:hAnsi="Book Antiqua" w:cs="Times New Roman"/>
          <w:color w:val="000000"/>
          <w:lang w:val="en-US"/>
        </w:rPr>
        <w:t xml:space="preserve"> differentiation, a negative effect of oleanolic acid on adipogenesis is expected. Indeed, treatment of 3T3-L1 mouse preadipocytes </w:t>
      </w:r>
      <w:r w:rsidRPr="00B7408D">
        <w:rPr>
          <w:rFonts w:ascii="Book Antiqua" w:hAnsi="Book Antiqua" w:cs="Times New Roman"/>
          <w:color w:val="000000"/>
          <w:lang w:val="en-US"/>
        </w:rPr>
        <w:lastRenderedPageBreak/>
        <w:t>with such triterpene downregulated peroxisome proliferator-activated receptor gamma (</w:t>
      </w:r>
      <w:proofErr w:type="spellStart"/>
      <w:r w:rsidRPr="00B7408D">
        <w:rPr>
          <w:rFonts w:ascii="Book Antiqua" w:hAnsi="Book Antiqua" w:cs="Times New Roman"/>
          <w:i/>
          <w:color w:val="000000"/>
          <w:lang w:val="en-US"/>
        </w:rPr>
        <w:t>PPARγ</w:t>
      </w:r>
      <w:proofErr w:type="spellEnd"/>
      <w:r w:rsidRPr="00B7408D">
        <w:rPr>
          <w:rFonts w:ascii="Book Antiqua" w:hAnsi="Book Antiqua" w:cs="Times New Roman"/>
          <w:color w:val="000000"/>
          <w:lang w:val="en-US"/>
        </w:rPr>
        <w:t>), which is the master regulator of adipocyte differentiation. In addition, it decreased accumulation of fat droplets in these cells during adipocyte differentiation</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{"citationItems":[{"id":"ITEM-1","itemData":{"DOI":"10.1016/j.nutres.2010.10.001","ISBN":"0271-5317","ISSN":"02715317","abstract":"Oleanolic acid is a triterpenoid compound that is widely present in vegetables, medicinal herbs, and other plants and has potent antioxidant and antiinflammatory properties. However, the potential of oleanolic acid to offset obesity is not clear. This study tested the hypothesis that oleanolic acid suppresses the differentiation of 3T3-L1 adipocytes by downregulating cellular induction of peroxisome proliferators-activated receptor γ (PPAR γ) and cytidine-cytidine-adenosine-adenosine-thymidine (CCAAT) enhancer binding protein α (C/EBP α). The 3T3-L1 adipocytes were cultured and differentiated in Dulbecco modified Eagle medium containing 10% fetal bovine serum for 6 to 8 days in the absence and presence of 1 to 25 μmol/L oleanolic acid according to differentiating protocols. Nontoxic oleanolic acid, at 25 μmol/L or less, dose-dependently attenuated lipid accumulation in differentiated adipocytes as evidenced by Oil Red O staining. Western blot analysis showed that the induction of PPAR γ and C/EBP α was markedly attenuated in differentiated and oleanolic acid-treated adipocytes at their transcriptional messenger RNA levels. Furthermore, this study examined whether oleanolic acid dampened the induction of visfatin, a proinflammatory and visceral fat-specific adipokine expressed in adipocytes. Visfatin expression was inhibited in differentiated adipocytes exposed to a PPAR γ inhibitor GW9662. In addition, the visfatin production was significantly repressed in 25 μmol/L oleanolic acid-treated adipocytes, possibly through blocking PPAR γ activation. These results demonstrate that oleanolic acid may be a promising agent to disturb adipocyte differentiation and suppress obesity-associated inflammation. © 2010 Elsevier Inc.","author":[{"dropping-particle":"","family":"Sung","given":"Hye Young","non-dropping-particle":"","parse-names":false,"suffix":""},{"dropping-particle":"","family":"Kang","given":"Sang Wook","non-dropping-particle":"","parse-names":false,"suffix":""},{"dropping-particle":"","family":"Kim","given":"Jung Lye","non-dropping-particle":"","parse-names":false,"suffix":""},{"dropping-particle":"","family":"Li","given":"Jing","non-dropping-particle":"","parse-names":false,"suffix":""},{"dropping-particle":"","family":"Lee","given":"Eun Sook","non-dropping-particle":"","parse-names":false,"suffix":""},{"dropping-particle":"","family":"Gong","given":"Ju Hyun","non-dropping-particle":"","parse-names":false,"suffix":""},{"dropping-particle":"","family":"Han","given":"Seoung Jun","non-dropping-particle":"","parse-names":false,"suffix":""},{"dropping-particle":"","family":"Kang","given":"Young Hee","non-dropping-particle":"","parse-names":false,"suffix":""}],"container-title":"Nutrition Research","id":"ITEM-1","issue":"12","issued":{"date-parts":[["2010"]]},"page":"831-839","publisher":"Elsevier Inc.","title":"Oleanolic acid reduces markers of differentiation in 3T3-L1 adipocytes","type":"article-journal","volume":"30"},"uris":["http://www.mendeley.com/documents/?uuid=21095025-39d2-4142-a788-c07caabc223c"]}],"mendeley":{"formattedCitation":"&lt;sup&gt;[81]&lt;/sup&gt;","plainTextFormattedCitation":"[81]","previouslyFormattedCitation":"&lt;sup&gt;[81]&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[81]</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Also, oleanolic acid reduced inflammatory factor production, like that of </w:t>
      </w:r>
      <w:proofErr w:type="spellStart"/>
      <w:r w:rsidRPr="00B7408D">
        <w:rPr>
          <w:rFonts w:ascii="Book Antiqua" w:hAnsi="Book Antiqua" w:cs="Times New Roman"/>
          <w:color w:val="000000"/>
          <w:lang w:val="en-US"/>
        </w:rPr>
        <w:t>visfatin</w:t>
      </w:r>
      <w:proofErr w:type="spellEnd"/>
      <w:r w:rsidRPr="00B7408D">
        <w:rPr>
          <w:rFonts w:ascii="Book Antiqua" w:hAnsi="Book Antiqua" w:cs="Times New Roman"/>
          <w:color w:val="000000"/>
          <w:lang w:val="en-US"/>
        </w:rPr>
        <w:t xml:space="preserve"> and </w:t>
      </w:r>
      <w:proofErr w:type="spellStart"/>
      <w:r w:rsidRPr="00B7408D">
        <w:rPr>
          <w:rFonts w:ascii="Book Antiqua" w:hAnsi="Book Antiqua" w:cs="Times New Roman"/>
          <w:color w:val="000000"/>
          <w:lang w:val="en-US"/>
        </w:rPr>
        <w:t>resistin</w:t>
      </w:r>
      <w:proofErr w:type="spellEnd"/>
      <w:r w:rsidRPr="00B7408D">
        <w:rPr>
          <w:rFonts w:ascii="Book Antiqua" w:hAnsi="Book Antiqua" w:cs="Times New Roman"/>
          <w:color w:val="000000"/>
          <w:lang w:val="en-US"/>
        </w:rPr>
        <w:t>, in 3T3-L1 preadipocyte cells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{"citationItems":[{"id":"ITEM-1","itemData":{"DOI":"10.1016/j.nutres.2010.10.001","ISBN":"0271-5317","ISSN":"02715317","abstract":"Oleanolic acid is a triterpenoid compound that is widely present in vegetables, medicinal herbs, and other plants and has potent antioxidant and antiinflammatory properties. However, the potential of oleanolic acid to offset obesity is not clear. This study tested the hypothesis that oleanolic acid suppresses the differentiation of 3T3-L1 adipocytes by downregulating cellular induction of peroxisome proliferators-activated receptor γ (PPAR γ) and cytidine-cytidine-adenosine-adenosine-thymidine (CCAAT) enhancer binding protein α (C/EBP α). The 3T3-L1 adipocytes were cultured and differentiated in Dulbecco modified Eagle medium containing 10% fetal bovine serum for 6 to 8 days in the absence and presence of 1 to 25 μmol/L oleanolic acid according to differentiating protocols. Nontoxic oleanolic acid, at 25 μmol/L or less, dose-dependently attenuated lipid accumulation in differentiated adipocytes as evidenced by Oil Red O staining. Western blot analysis showed that the induction of PPAR γ and C/EBP α was markedly attenuated in differentiated and oleanolic acid-treated adipocytes at their transcriptional messenger RNA levels. Furthermore, this study examined whether oleanolic acid dampened the induction of visfatin, a proinflammatory and visceral fat-specific adipokine expressed in adipocytes. Visfatin expression was inhibited in differentiated adipocytes exposed to a PPAR γ inhibitor GW9662. In addition, the visfatin production was significantly repressed in 25 μmol/L oleanolic acid-treated adipocytes, possibly through blocking PPAR γ activation. These results demonstrate that oleanolic acid may be a promising agent to disturb adipocyte differentiation and suppress obesity-associated inflammation. © 2010 Elsevier Inc.","author":[{"dropping-particle":"","family":"Sung","given":"Hye Young","non-dropping-particle":"","parse-names":false,"suffix":""},{"dropping-particle":"","family":"Kang","given":"Sang Wook","non-dropping-particle":"","parse-names":false,"suffix":""},{"dropping-particle":"","family":"Kim","given":"Jung Lye","non-dropping-particle":"","parse-names":false,"suffix":""},{"dropping-particle":"","family":"Li","given":"Jing","non-dropping-particle":"","parse-names":false,"suffix":""},{"dropping-particle":"","family":"Lee","given":"Eun Sook","non-dropping-particle":"","parse-names":false,"suffix":""},{"dropping-particle":"","family":"Gong","given":"Ju Hyun","non-dropping-particle":"","parse-names":false,"suffix":""},{"dropping-particle":"","family":"Han","given":"Seoung Jun","non-dropping-particle":"","parse-names":false,"suffix":""},{"dropping-particle":"","family":"Kang","given":"Young Hee","non-dropping-particle":"","parse-names":false,"suffix":""}],"container-title":"Nutrition Research","id":"ITEM-1","issue":"12","issued":{"date-parts":[["2010"]]},"page":"831-839","publisher":"Elsevier Inc.","title":"Oleanolic acid reduces markers of differentiation in 3T3-L1 adipocytes","type":"article-journal","volume":"30"},"uris":["http://www.mendeley.com/documents/?uuid=21095025-39d2-4142-a788-c07caabc223c"]},{"id":"ITEM-2","itemData":{"DOI":"10.1016/j.nutres.2012.12.006","ISSN":"1879-0739","PMID":"23399665","abstract":"Oleanolic acid, a naturally occurring triterpenoid widely distributed in foods and medicinal plants, has anticancer, antioxidant, and antiaging properties. We hypothesized that oleanolic acid would suppress the production of the inflammatory adipokine resistin during adipogenic differentiation of 3T3-L1 adipocytes. 3T3-L1 adipocytes were cultured in adipogenic media with and without 1 to 25 μM oleanolic acid for up to 8 days to stimulate adipocyte differentiation. Adipocyte production of resistin was markedly enhanced during differentiation and was dose dependently attenuated by 1 to 25 μM oleanolic acid. This study further investigated whether Tyk2-Stat1/3 signaling was responsible for cellular production of resistin. Signal transducer and activator of transcription factor (STAT) 1 and STAT3 were activated during differentiation in a disparate temporal fashion; STAT1 was maximally phosphorylated on day 5 after initiating differentiation, whereas STAT3 was rapidly activated within 1 day of differentiation. When oleanolic acid was supplied to differentiating adipocytes, STAT1 and STAT3 phosphorylation was substantially suppressed. Upstream Tyk2 was rapidly activated in a manner similar to STAT3 and reactivated on days 3 to 5 after initiating differentiation, which was attenuated by incubating adipocytes with oleanolic acid. In addition, cellular expression of suppressor of cytokine signaling 3 (SOCS3), which inhibits Tyk2 activity, was markedly promoted from day 5 of adipocyte differentiation. Oleanolic acid attenuated SOCS3 expression, which was highly enhanced during the late phase of differentiation. Taken together, oleanolic acid suppressed adipocyte differentiation-associated resistin and adipogenesis production by disturbing the Tyk2-STAT1/3 signaling pathway and promoting SOCS3 expression. Therefore, oleanolic acid may be a possible bioactive agent that blunts adipogenesis and adipokine inflammation.","author":[{"dropping-particle":"","family":"Kim","given":"Hyun-Sung","non-dropping-particle":"","parse-names":false,"suffix":""},{"dropping-particle":"","family":"Sung","given":"Hye-Young","non-dropping-particle":"","parse-names":false,"suffix":""},{"dropping-particle":"","family":"Kim","given":"Min Soo","non-dropping-particle":"","parse-names":false,"suffix":""},{"dropping-particle":"","family":"Kim","given":"Jung-Lye","non-dropping-particle":"","parse-names":false,"suffix":""},{"dropping-particle":"","family":"Kang","given":"Min-Kyung","non-dropping-particle":"","parse-names":false,"suffix":""},{"dropping-particle":"","family":"Gong","given":"Ju-Hyun","non-dropping-particle":"","parse-names":false,"suffix":""},{"dropping-particle":"","family":"Park","given":"Hyoung-Sook","non-dropping-particle":"","parse-names":false,"suffix":""},{"dropping-particle":"","family":"Kang","given":"Young-Hee","non-dropping-particle":"","parse-names":false,"suffix":""}],"container-title":"Nutrition research","id":"ITEM-2","issue":"2","issued":{"date-parts":[["2013","2"]]},"page":"144-53","title":"Oleanolic acid suppresses resistin induction in adipocytes by modulating Tyk-STAT signaling.","type":"article-journal","volume":"33"},"uris":["http://www.mendeley.com/documents/?uuid=1a635bf6-f74e-3745-88ca-6fcd7ad6f9e3"]}],"mendeley":{"formattedCitation":"&lt;sup&gt;[81,82]&lt;/sup&gt;","plainTextFormattedCitation":"[81,82]","previouslyFormattedCitation":"&lt;sup&gt;[81,82]&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[81,82]</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Therefore, consumption of this triterpene may have beneficial effects on pathologies associated with overproduction of inflammatory adipokines.</w:t>
      </w:r>
    </w:p>
    <w:p w14:paraId="463339AF" w14:textId="77777777" w:rsidR="006A0C4B" w:rsidRPr="00B7408D" w:rsidRDefault="006A0C4B" w:rsidP="004D452C">
      <w:pPr>
        <w:adjustRightInd w:val="0"/>
        <w:snapToGrid w:val="0"/>
        <w:spacing w:line="360" w:lineRule="auto"/>
        <w:ind w:firstLineChars="100" w:firstLine="240"/>
        <w:jc w:val="both"/>
        <w:rPr>
          <w:rFonts w:ascii="Book Antiqua" w:hAnsi="Book Antiqua" w:cs="Times New Roman"/>
          <w:color w:val="000000"/>
          <w:lang w:val="en-US"/>
        </w:rPr>
      </w:pPr>
      <w:r w:rsidRPr="00B7408D">
        <w:rPr>
          <w:rFonts w:ascii="Book Antiqua" w:hAnsi="Book Antiqua" w:cs="Times New Roman"/>
          <w:color w:val="000000"/>
          <w:lang w:val="en-US"/>
        </w:rPr>
        <w:t xml:space="preserve">On the other hand, </w:t>
      </w:r>
      <w:proofErr w:type="spellStart"/>
      <w:r w:rsidRPr="00B7408D">
        <w:rPr>
          <w:rFonts w:ascii="Book Antiqua" w:hAnsi="Book Antiqua" w:cs="Times New Roman"/>
          <w:color w:val="000000"/>
          <w:lang w:val="en-US"/>
        </w:rPr>
        <w:t>maslinic</w:t>
      </w:r>
      <w:proofErr w:type="spellEnd"/>
      <w:r w:rsidRPr="00B7408D">
        <w:rPr>
          <w:rFonts w:ascii="Book Antiqua" w:hAnsi="Book Antiqua" w:cs="Times New Roman"/>
          <w:color w:val="000000"/>
          <w:lang w:val="en-US"/>
        </w:rPr>
        <w:t xml:space="preserve"> acid (as </w:t>
      </w:r>
      <w:proofErr w:type="spellStart"/>
      <w:r w:rsidRPr="00B7408D">
        <w:rPr>
          <w:rFonts w:ascii="Book Antiqua" w:hAnsi="Book Antiqua" w:cs="Times New Roman"/>
          <w:color w:val="000000"/>
          <w:lang w:val="en-US"/>
        </w:rPr>
        <w:t>oleanolic</w:t>
      </w:r>
      <w:proofErr w:type="spellEnd"/>
      <w:r w:rsidRPr="00B7408D">
        <w:rPr>
          <w:rFonts w:ascii="Book Antiqua" w:hAnsi="Book Antiqua" w:cs="Times New Roman"/>
          <w:color w:val="000000"/>
          <w:lang w:val="en-US"/>
        </w:rPr>
        <w:t xml:space="preserve"> acid) showed osteoprotective effects in ovariectomized mice. But, in this case, such an effect has been associated with its capacity to inhibit bone resorption, by suppressing osteoclastic differentiation promoted by the receptor activator of nuclear factor-kappa Β (NF-</w:t>
      </w:r>
      <w:r w:rsidRPr="00B7408D">
        <w:rPr>
          <w:rFonts w:ascii="Book Antiqua" w:hAnsi="Book Antiqua" w:cs="Times New Roman"/>
          <w:color w:val="000000"/>
          <w:lang w:val="en-US"/>
        </w:rPr>
        <w:t>B) ligand (commonly known as RANKL)</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{"citationItems":[{"id":"ITEM-1","itemData":{"DOI":"10.1002/jbmr.242","ISSN":"1523-4681","PMID":"20814972","abstract":"Activation of NF-κB and MAPK/activator protein 1 (AP-1) signaling pathways by receptor activator NF-κB ligand (RANKL) is essential for osteoclast activity. Targeting NF-κB and MAPK/AP-1 signaling to modulate osteoclast activity has been a promising strategy for osteoclast-related diseases. In this study we examined the effects of maslinic acid (MA), a pentacyclic triterpene acid that is widely present in dietary plants, on RANKL-induced osteoclastogenesis, osteoclast function, and signaling pathways by in vitro and in vivo assay systems. In mouse bone marrow monocytes (BMMs) and RAW264.7 cells, MA inhibited RANKL-induced osteoclastogenesis in a dose-dependent manner within nongrowth inhibitory concentration, and MA decreased osteoclastogenesis-related marker gene expression, including TRACP, MMP9, c-Src, CTR, and cathepsin K. Specifically, MA suppressed osteoclastogenesis and actin ring formation at early stage. In ovariectomized mice, administration of MA prevented ovariectomy-induced bone loss by inhibiting osteoclast activity. At molecular levels, MA abrogated the phosphorylation of MAPKs and AP-1 activity, inhibited the IκBα phosphorylation and degradation, blocked NF-κB/p65 phosphorylation, nuclear translocation, and DNA-binding activity by downregulating RANK expression and blocking RANK interaction with TRAF6. Together our data demonstrate that MA suppresses RANKL-induced osteoclastogenesis through NF-κB and MAPK/AP-1 signaling pathways and that MA is a promising agent in the treatment of osteoclast-related diseases such as osteoporosis.","author":[{"dropping-particle":"","family":"Li","given":"Chenghai","non-dropping-particle":"","parse-names":false,"suffix":""},{"dropping-particle":"","family":"Yang","given":"Zhengfeng","non-dropping-particle":"","parse-names":false,"suffix":""},{"dropping-particle":"","family":"Li","given":"Zhenxi","non-dropping-particle":"","parse-names":false,"suffix":""},{"dropping-particle":"","family":"Ma","given":"Yu","non-dropping-particle":"","parse-names":false,"suffix":""},{"dropping-particle":"","family":"Zhang","given":"Lipeng","non-dropping-particle":"","parse-names":false,"suffix":""},{"dropping-particle":"","family":"Zheng","given":"Chunbing","non-dropping-particle":"","parse-names":false,"suffix":""},{"dropping-particle":"","family":"Qiu","given":"Wenwei","non-dropping-particle":"","parse-names":false,"suffix":""},{"dropping-particle":"","family":"Wu","given":"Xian","non-dropping-particle":"","parse-names":false,"suffix":""},{"dropping-particle":"","family":"Wang","given":"Xiu","non-dropping-particle":"","parse-names":false,"suffix":""},{"dropping-particle":"","family":"Li","given":"Hui","non-dropping-particle":"","parse-names":false,"suffix":""},{"dropping-particle":"","family":"Tang","given":"Jie","non-dropping-particle":"","parse-names":false,"suffix":""},{"dropping-particle":"","family":"Qian","given":"Min","non-dropping-particle":"","parse-names":false,"suffix":""},{"dropping-particle":"","family":"Li","given":"Dali","non-dropping-particle":"","parse-names":false,"suffix":""},{"dropping-particle":"","family":"Wang","given":"Ping","non-dropping-particle":"","parse-names":false,"suffix":""},{"dropping-particle":"","family":"Luo","given":"Jian","non-dropping-particle":"","parse-names":false,"suffix":""},{"dropping-particle":"","family":"Liu","given":"Mingyao","non-dropping-particle":"","parse-names":false,"suffix":""}],"container-title":"Journal of bone and mineral research","id":"ITEM-1","issue":"3","issued":{"date-parts":[["2011","3"]]},"page":"644-56","title":"Maslinic acid suppresses osteoclastogenesis and prevents ovariectomy-induced bone loss by regulating RANKL-mediated NF-κB and MAPK signaling pathways.","type":"article-journal","volume":"26"},"uris":["http://www.mendeley.com/documents/?uuid=1bae10de-6ba0-365c-8254-2b2104464775"]}],"mendeley":{"formattedCitation":"&lt;sup&gt;[83]&lt;/sup&gt;","plainTextFormattedCitation":"[83]","previouslyFormattedCitation":"&lt;sup&gt;[83]&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[83]</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Yet, the putative positive effects of this triterpene on MSC </w:t>
      </w:r>
      <w:proofErr w:type="spellStart"/>
      <w:r w:rsidRPr="00B7408D">
        <w:rPr>
          <w:rFonts w:ascii="Book Antiqua" w:hAnsi="Book Antiqua" w:cs="Times New Roman"/>
          <w:color w:val="000000"/>
          <w:lang w:val="en-US"/>
        </w:rPr>
        <w:t>osteoblastogenesis</w:t>
      </w:r>
      <w:proofErr w:type="spellEnd"/>
      <w:r w:rsidRPr="00B7408D">
        <w:rPr>
          <w:rFonts w:ascii="Book Antiqua" w:hAnsi="Book Antiqua" w:cs="Times New Roman"/>
          <w:color w:val="000000"/>
          <w:lang w:val="en-US"/>
        </w:rPr>
        <w:t xml:space="preserve"> have not been found so far. Nevertheless, it inhibited 3T3-L1 preadipocyte differentiation </w:t>
      </w:r>
      <w:r w:rsidRPr="00B7408D">
        <w:rPr>
          <w:rFonts w:ascii="Book Antiqua" w:hAnsi="Book Antiqua" w:cs="Times New Roman"/>
          <w:i/>
          <w:color w:val="000000"/>
          <w:lang w:val="en-US"/>
        </w:rPr>
        <w:t>in vitro</w:t>
      </w:r>
      <w:r w:rsidRPr="00B7408D">
        <w:rPr>
          <w:rFonts w:ascii="Book Antiqua" w:hAnsi="Book Antiqua" w:cs="Times New Roman"/>
          <w:color w:val="000000"/>
          <w:lang w:val="en-US"/>
        </w:rPr>
        <w:t>, reducing fat droplets and increasing glucose uptake</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{"citationItems":[{"id":"ITEM-1","itemData":{"DOI":"10.1016/j.phymed.2016.07.001","ISSN":"1618-095X","PMID":"27765349","abstract":"BACKGROUND Metabolic syndrome is a set of pathologies among which stand out the obesity, which is related to the lipid droplet accumulation and changes to cellular morphology regulated by several molecules and transcription factors. Maslinic acid (MA) is a natural product with demonstrated pharmacological functions including anti-inflammation, anti-tumor and anti-oxidation, among others. PURPOSE Here we report the effects of MA on the adipogenesis process in 3T3-L1 cells. METHODS Cell viability, glucose uptake, cytoplasmic triglyceride droplets, triglycerides quantification, gene transcription factors such as peroxisome proliferator-activated receptor γ (PPARγ) and adipocyte fatty acid-binding protein (aP2) and intracellular Ca2+ levels were determined in pre-adipocytes and adipocytes of 3T3-L1 cells. RESULTS MA increased glucose uptake. MA also decreased lipid droplets and triglyceride levels, which is in concordance with the down-regulation of PPARγ and aP2. Finally, MA increased the intracellular Ca2+ concentration, which could also be involved in the demonstrated antiadipogenic effect of this triterpene. CONCLUSION MA has been demonstrated as potential antiadipogenic compound in 3T3-L1 cells.","author":[{"dropping-particle":"","family":"Pérez-Jiménez","given":"Amalia","non-dropping-particle":"","parse-names":false,"suffix":""},{"dropping-particle":"","family":"Rufino-Palomares","given":"Eva E","non-dropping-particle":"","parse-names":false,"suffix":""},{"dropping-particle":"","family":"Fernández-Gallego","given":"Nieves","non-dropping-particle":"","parse-names":false,"suffix":""},{"dropping-particle":"","family":"Ortuño-Costela","given":"M Carmen","non-dropping-particle":"","parse-names":false,"suffix":""},{"dropping-particle":"","family":"Reyes-Zurita","given":"Fernando J","non-dropping-particle":"","parse-names":false,"suffix":""},{"dropping-particle":"","family":"Peragón","given":"Juan","non-dropping-particle":"","parse-names":false,"suffix":""},{"dropping-particle":"","family":"García-Salguero","given":"Leticia","non-dropping-particle":"","parse-names":false,"suffix":""},{"dropping-particle":"","family":"Mokhtari","given":"Khalida","non-dropping-particle":"","parse-names":false,"suffix":""},{"dropping-particle":"","family":"Medina","given":"Pedro P","non-dropping-particle":"","parse-names":false,"suffix":""},{"dropping-particle":"","family":"Lupiáñez","given":"José A","non-dropping-particle":"","parse-names":false,"suffix":""}],"container-title":"Phytomedicine","id":"ITEM-1","issue":"12","issued":{"date-parts":[["2016","11","15"]]},"page":"1301-1311","title":"Target molecules in 3T3-L1 adipocytes differentiation are regulated by maslinic acid, a natural triterpene from Olea europaea.","type":"article-journal","volume":"23"},"uris":["http://www.mendeley.com/documents/?uuid=48cfe6e3-26b7-3d05-a60c-15d7e692b49d"]}],"mendeley":{"formattedCitation":"&lt;sup&gt;[84]&lt;/sup&gt;","plainTextFormattedCitation":"[84]","previouslyFormattedCitation":"&lt;sup&gt;[84]&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[84]</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Such results, besides the </w:t>
      </w:r>
      <w:proofErr w:type="spellStart"/>
      <w:r w:rsidRPr="00B7408D">
        <w:rPr>
          <w:rFonts w:ascii="Book Antiqua" w:hAnsi="Book Antiqua" w:cs="Times New Roman"/>
          <w:color w:val="000000"/>
          <w:lang w:val="en-US"/>
        </w:rPr>
        <w:t>antiinflammatory</w:t>
      </w:r>
      <w:proofErr w:type="spellEnd"/>
      <w:r w:rsidRPr="00B7408D">
        <w:rPr>
          <w:rFonts w:ascii="Book Antiqua" w:hAnsi="Book Antiqua" w:cs="Times New Roman"/>
          <w:color w:val="000000"/>
          <w:lang w:val="en-US"/>
        </w:rPr>
        <w:t xml:space="preserve"> activity of </w:t>
      </w:r>
      <w:proofErr w:type="spellStart"/>
      <w:r w:rsidRPr="00B7408D">
        <w:rPr>
          <w:rFonts w:ascii="Book Antiqua" w:hAnsi="Book Antiqua" w:cs="Times New Roman"/>
          <w:color w:val="000000"/>
          <w:lang w:val="en-US"/>
        </w:rPr>
        <w:t>maslinic</w:t>
      </w:r>
      <w:proofErr w:type="spellEnd"/>
      <w:r w:rsidRPr="00B7408D">
        <w:rPr>
          <w:rFonts w:ascii="Book Antiqua" w:hAnsi="Book Antiqua" w:cs="Times New Roman"/>
          <w:color w:val="000000"/>
          <w:lang w:val="en-US"/>
        </w:rPr>
        <w:t xml:space="preserve"> acid</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{"citationItems":[{"id":"ITEM-1","itemData":{"DOI":"10.1002/mnfr.201500465","ISSN":"16134133","abstract":"SCOPE: Consumption of olives (Olea europaea L.), including table olives and oil,  is associated with low incidence of inflammation-related diseases. In this study, the effects of maslinic acid (MA), the main constituent of olive pomace, on the expression of genes and proteins involved in inflammatory activity in RAW 264.7 cells was investigated. Furthermore, the effect of MA on carrageenan-induced paw edema and collagen antibody-induced arthritis (CAIA) in mice was determined. METHODS AND RESULTS: We confirmed the suppressive effects of MA on LPS-induced tumor necrosis factor-alpha (TNF-alpha) production and on the expression of inflammatory response-associated genes in RAW 264.7 cells. We also clarified the suppressive effect of MA on LPS-induced nuclear factor-kappa B (NF-kappaB) activation as well as the phosphorylation of IkappaB-alpha. Furthermore, MA (200 mg/kg in the edema model or 100 mg/kg in the arthritis model) exerted anti-inflammatory and anti-arthritis effects as shown by the suppression of paw edema, arthritis score, inflammatory cells, and destruction of synovium in knee joints. CONCLUSION: Olive products containing MA are useful as a new preventive and therapeutic food ingredient for inflammatory and arthritic diseases. This article is protected by copyright. All rights reserved.","author":[{"dropping-particle":"","family":"Fukumitsu","given":"Satoshi","non-dropping-particle":"","parse-names":false,"suffix":""},{"dropping-particle":"","family":"Villareal","given":"Myra O.","non-dropping-particle":"","parse-names":false,"suffix":""},{"dropping-particle":"","family":"Fujitsuka","given":"Takashi","non-dropping-particle":"","parse-names":false,"suffix":""},{"dropping-particle":"","family":"Aida","given":"Kazuhiko","non-dropping-particle":"","parse-names":false,"suffix":""},{"dropping-particle":"","family":"Isoda","given":"Hiroko","non-dropping-particle":"","parse-names":false,"suffix":""}],"container-title":"Molecular Nutrition and Food Research","id":"ITEM-1","issue":"2","issued":{"date-parts":[["2016"]]},"page":"399-409","title":"Anti-inflammatory and anti-arthritic effects of pentacyclic triterpenoids maslinic acid through NF-κB inactivation","type":"article-journal","volume":"60"},"uris":["http://www.mendeley.com/documents/?uuid=89238049-337a-4bd9-a6bb-9fa4c1c6fdf0"]}],"mendeley":{"formattedCitation":"&lt;sup&gt;[85]&lt;/sup&gt;","plainTextFormattedCitation":"[85]","previouslyFormattedCitation":"&lt;sup&gt;[85]&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[85]</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suggest that its consumption, together with other triterpenes of olive oil, may affect MSC populations.</w:t>
      </w:r>
    </w:p>
    <w:p w14:paraId="3638C9FD" w14:textId="77777777" w:rsidR="006A0C4B" w:rsidRPr="00B7408D" w:rsidRDefault="006A0C4B" w:rsidP="006A0C4B">
      <w:pPr>
        <w:adjustRightInd w:val="0"/>
        <w:snapToGrid w:val="0"/>
        <w:spacing w:line="360" w:lineRule="auto"/>
        <w:jc w:val="both"/>
        <w:rPr>
          <w:rFonts w:ascii="Book Antiqua" w:hAnsi="Book Antiqua" w:cs="Times New Roman"/>
          <w:color w:val="000000"/>
          <w:lang w:val="en-US"/>
        </w:rPr>
      </w:pPr>
    </w:p>
    <w:p w14:paraId="3BA9B977" w14:textId="77777777" w:rsidR="006A0C4B" w:rsidRPr="00B7408D" w:rsidRDefault="006A0C4B" w:rsidP="006A0C4B">
      <w:pPr>
        <w:adjustRightInd w:val="0"/>
        <w:snapToGrid w:val="0"/>
        <w:spacing w:line="360" w:lineRule="auto"/>
        <w:jc w:val="both"/>
        <w:rPr>
          <w:rFonts w:ascii="Book Antiqua" w:hAnsi="Book Antiqua" w:cs="Times New Roman"/>
          <w:b/>
          <w:i/>
          <w:color w:val="000000"/>
          <w:lang w:val="en-US"/>
        </w:rPr>
      </w:pPr>
      <w:r w:rsidRPr="00B7408D">
        <w:rPr>
          <w:rFonts w:ascii="Book Antiqua" w:hAnsi="Book Antiqua" w:cs="Times New Roman"/>
          <w:b/>
          <w:i/>
          <w:color w:val="000000"/>
          <w:lang w:val="en-US"/>
        </w:rPr>
        <w:t>Pigments</w:t>
      </w:r>
    </w:p>
    <w:p w14:paraId="793CD9CD" w14:textId="77777777" w:rsidR="006A0C4B" w:rsidRPr="00B7408D" w:rsidRDefault="006A0C4B" w:rsidP="006A0C4B">
      <w:pPr>
        <w:adjustRightInd w:val="0"/>
        <w:snapToGrid w:val="0"/>
        <w:spacing w:line="360" w:lineRule="auto"/>
        <w:jc w:val="both"/>
        <w:rPr>
          <w:rFonts w:ascii="Book Antiqua" w:hAnsi="Book Antiqua" w:cs="Times New Roman"/>
          <w:color w:val="000000"/>
          <w:lang w:val="en-US"/>
        </w:rPr>
      </w:pPr>
      <w:r w:rsidRPr="00B7408D">
        <w:rPr>
          <w:rFonts w:ascii="Book Antiqua" w:hAnsi="Book Antiqua" w:cs="Times New Roman"/>
          <w:color w:val="000000"/>
          <w:lang w:val="en-US"/>
        </w:rPr>
        <w:t>Pigments are responsible for the coloration of olive oil, with the carotenoids and pheophytins (derived from chlorophylls) being the most important. Among the carotenoids are beta-carotene (also known as provitamin A, as previously described) and lutein. The latter is found at a concentration of 3.5 mg/kg in extra virgin olive oil</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{"citationItems":[{"id":"ITEM-1","itemData":{"DOI":"10.1038/sj.ejcn.1601472","ISSN":"09543007","abstract":"OBJECTIVE: To characterize the carotenoid content of selected components of the Mediterranean diet commonly eaten by Greek migrants to Melbourne, a population group maintaining a traditional dietary regimen, and who exhibit relatively high circulating carotenoid concentrations and low cardiovascular disease mortality. DESIGN AND SPECIMENS: Opportunistic sampling of wild (sow thistle, amaranth, purslane and dandelion, collected from roadsides and home gardens) and commercially available (chicory, endive) green leafy vegetables and figs in season. Foods were selected on the basis that they are commonly eaten by Greek migrants but not by Anglo-Celtic persons, and had not previously been well-characterized with respect to their carotenoid contents. Extra virgin, cold-pressed olive oil and 'extra light' olive oil were obtained from commercial sources. Specimens were extracted with tetrahydrofuran (or chloroform:methanol for olive oil) and carotenoid contents were quantified using HPLC with UV detection. Two to six specimens of greens and figs were analysed. Dietary intake was assessed by food frequency questionnaire. RESULTS: Wild green vegetables contained high concentrations of lutein (sow thistle&gt;amaranth&gt;purslane&gt;dandelion) and beta-carotene (sow thistle&gt;amaranth&gt;purslane=dandelion). Sow thistle and amaranth contained lutein (15 and 13 mg/100 g, respectively) and beta-carotene (3.3 and 4.0 mg/100 g, respectively) at concentrations greater than that seen in the commercially available species of chicory and endive. Figs contained all major carotenoids appearing in plasma, albeit at low concentrations. Extra virgin cold-pressed olive oil contained substantial quantities of lutein and beta-carotene, but the more-refined 'extra light' olive oil did not. CONCLUSIONS: These components of the traditional Mediterranean diet contribute to the higher circulating concentrations of carotenoids in Greek migrants compared to Anglo-Celtic Australians. SPONSORSHIP: This study largely funded by the National Health and Medical Research Council of Australia (grant no. 974098). Extra virgin olive oil donated by Picuba Foods, Marrickville, NSW, Australia.","author":[{"dropping-particle":"","family":"Su","given":"Q.","non-dropping-particle":"","parse-names":false,"suffix":""},{"dropping-particle":"","family":"Rowley","given":"K. G.","non-dropping-particle":"","parse-names":false,"suffix":""},{"dropping-particle":"","family":"Itsiopoulos","given":"C.","non-dropping-particle":"","parse-names":false,"suffix":""},{"dropping-particle":"","family":"O'Dea","given":"K.","non-dropping-particle":"","parse-names":false,"suffix":""}],"container-title":"European Journal of Clinical Nutrition","id":"ITEM-1","issue":"11","issued":{"date-parts":[["2002"]]},"page":"1149-1154","title":"Identification and quantification of major carotenoids in selected components of the Mediterranean diet: Green leafy vegetables, figs and olive oil","type":"article-journal","volume":"56"},"uris":["http://www.mendeley.com/documents/?uuid=c398ef28-815b-4723-9312-a72617d20ff7"]}],"mendeley":{"formattedCitation":"&lt;sup&gt;[86]&lt;/sup&gt;","plainTextFormattedCitation":"[86]","previouslyFormattedCitation":"&lt;sup&gt;[86]&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[86]</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Relevance of food rich in lutein for eye health is well established</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{"citationItems":[{"id":"ITEM-1","itemData":{"DOI":"10.3390/nu5041169","ISBN":"1226217818","ISSN":"20726643","PMID":"23571649","abstract":"The eye is a major sensory organ that requires special care for a healthy and productive lifestyle. Numerous studies have identified lutein and zeaxanthin to be essential components for eye health. Lutein and zeaxanthin are carotenoid pigments that impart yellow or orange color to various common foods such as cantaloupe, pasta, corn, carrots, orange/yellow peppers, fish, salmon and eggs. Their role in human health, in particular the health of the eye, is well established from epidemiological, clinical and interventional studies. They constitute the main pigments found in the yellow spot of the human retina which protect the macula from damage by blue light, improve visual acuity and scavenge harmful reactive oxygen species. They have also been linked with reduced risk of age-related macular degeneration (AMD) and cataracts. Research over the past decade has focused on the development of carotenoid-rich foods to boost their intake especially in the elderly population. The aim of this article is to review recent scientific evidences supporting the benefits of lutein and zexanthin in preventing the onset of two major age-related eye diseases with diets rich in these carotenoids. The review also lists major dietary sources of lutein and zeaxanthin and refers to newly developed foods, daily intake, bioavailability and physiological effects in relation to eye health. Examples of the newly developed high-lutein functional foods are also underlined.","author":[{"dropping-particle":"","family":"Abdel-Aal","given":"El Sayed M.","non-dropping-particle":"","parse-names":false,"suffix":""},{"dropping-particle":"","family":"Akhtar","given":"Humayoun","non-dropping-particle":"","parse-names":false,"suffix":""},{"dropping-particle":"","family":"Zaheer","given":"Khalid","non-dropping-particle":"","parse-names":false,"suffix":""},{"dropping-particle":"","family":"Ali","given":"Rashida","non-dropping-particle":"","parse-names":false,"suffix":""}],"container-title":"Nutrients","id":"ITEM-1","issue":"4","issued":{"date-parts":[["2013"]]},"page":"1169-1185","title":"Dietary sources of lutein and zeaxanthin carotenoids and their role in eye health","type":"article-journal","volume":"5"},"uris":["http://www.mendeley.com/documents/?uuid=53f86f6c-7ba4-4c2d-8b25-144a1018dc60"]}],"mendeley":{"formattedCitation":"&lt;sup&gt;[87]&lt;/sup&gt;","plainTextFormattedCitation":"[87]","previouslyFormattedCitation":"&lt;sup&gt;[87]&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[87]</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Yet, knowledge of the putative effects on MSCs is scarce. Interestingly, it has been recently found </w:t>
      </w:r>
      <w:r w:rsidRPr="00B7408D">
        <w:rPr>
          <w:rFonts w:ascii="Book Antiqua" w:hAnsi="Book Antiqua" w:cs="Times New Roman"/>
          <w:i/>
          <w:color w:val="000000"/>
          <w:lang w:val="en-US"/>
        </w:rPr>
        <w:t>in vivo</w:t>
      </w:r>
      <w:r w:rsidRPr="00B7408D">
        <w:rPr>
          <w:rFonts w:ascii="Book Antiqua" w:hAnsi="Book Antiqua" w:cs="Times New Roman"/>
          <w:color w:val="000000"/>
          <w:lang w:val="en-US"/>
        </w:rPr>
        <w:t xml:space="preserve"> that a diet rich in lutein reduces bone resorption in mice. That is accomplished through inhibition of </w:t>
      </w:r>
      <w:proofErr w:type="spellStart"/>
      <w:r w:rsidRPr="00B7408D">
        <w:rPr>
          <w:rFonts w:ascii="Book Antiqua" w:hAnsi="Book Antiqua" w:cs="Times New Roman"/>
          <w:color w:val="000000"/>
          <w:lang w:val="en-US"/>
        </w:rPr>
        <w:t>osteoclastogenesis</w:t>
      </w:r>
      <w:proofErr w:type="spellEnd"/>
      <w:r w:rsidRPr="00B7408D">
        <w:rPr>
          <w:rFonts w:ascii="Book Antiqua" w:hAnsi="Book Antiqua" w:cs="Times New Roman"/>
          <w:color w:val="000000"/>
          <w:lang w:val="en-US"/>
        </w:rPr>
        <w:t>, additionally increasing bone formation</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{"citationItems":[{"id":"ITEM-1","itemData":{"DOI":"10.1248/bpb.b16-00897","ISSN":"1347-5215","PMID":"28458359","abstract":"Lutein is a member of the xanthophyll family of carotenoids, which are known to prevent hypoxia-induced cell damage in the eye by removing free radicals. However, its role in other tissues is controversial, and the effects of lutein on bone tissues are unknown. To identify a possible role of lutein in bone tissues, we examined the effects of lutein on bone formation and bone resorption and on femoral bone mass in mice. Lutein enhanced the formation of mineralized bone nodules in cultures of osteoblasts. On the other hand, lutein clearly suppressed 1α, 25-dihydroxyvitamin D3-induced bone resorption as measured by pit formation in organ culture of mouse calvaria. In co-cultures of bone marrow cells and osteoblasts, lutein suppressed 1α, 25-dihydroxyvitamin D3-induced osteoclast formation. In cultures of bone marrow macrophages, lutein suppressed soluble RANKL, the receptor activator of nuclear factor-kappaB (NF-κB) ligand, induced osteoclast formation. When five-week-old male mice were orally administered lutein for 4 weeks, the femoral bone mass was clearly enhanced in cortical bone, as measured by bone mineral density in dual X-ray absorptiometry and micro computed tomography (µCT) analyses. The present study indicates that lutein enhances bone mass in growing mice by suppressing bone resorption and stimulating bone formation. Lutein may be a natural agent that promotes bone turnover and may be beneficial for bone health in humans.","author":[{"dropping-particle":"","family":"Takeda","given":"Hiroshi","non-dropping-particle":"","parse-names":false,"suffix":""},{"dropping-particle":"","family":"Tominari","given":"Tsukasa","non-dropping-particle":"","parse-names":false,"suffix":""},{"dropping-particle":"","family":"Hirata","given":"Michiko","non-dropping-particle":"","parse-names":false,"suffix":""},{"dropping-particle":"","family":"Watanabe","given":"Kenta","non-dropping-particle":"","parse-names":false,"suffix":""},{"dropping-particle":"","family":"Matsumoto","given":"Chiho","non-dropping-particle":"","parse-names":false,"suffix":""},{"dropping-particle":"","family":"Grundler","given":"Florian M W","non-dropping-particle":"","parse-names":false,"suffix":""},{"dropping-particle":"","family":"Inada","given":"Masaki","non-dropping-particle":"","parse-names":false,"suffix":""},{"dropping-particle":"","family":"Miyaura","given":"Chisato","non-dropping-particle":"","parse-names":false,"suffix":""}],"container-title":"Biological &amp; pharmaceutical bulletin","id":"ITEM-1","issue":"5","issued":{"date-parts":[["2017"]]},"page":"716-721","title":"Lutein Enhances Bone Mass by Stimulating Bone Formation and Suppressing Bone Resorption in Growing Mice.","type":"article-journal","volume":"40"},"uris":["http://www.mendeley.com/documents/?uuid=63163745-3a7d-3c9e-af65-96c841c53bcb"]}],"mendeley":{"formattedCitation":"&lt;sup&gt;[88]&lt;/sup&gt;","plainTextFormattedCitation":"[88]","previouslyFormattedCitation":"&lt;sup&gt;[88]&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[88]</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These results suggest that lutein may promote </w:t>
      </w:r>
      <w:proofErr w:type="spellStart"/>
      <w:r w:rsidRPr="00B7408D">
        <w:rPr>
          <w:rFonts w:ascii="Book Antiqua" w:hAnsi="Book Antiqua" w:cs="Times New Roman"/>
          <w:color w:val="000000"/>
          <w:lang w:val="en-US"/>
        </w:rPr>
        <w:t>osteoblastogenesis</w:t>
      </w:r>
      <w:proofErr w:type="spellEnd"/>
      <w:r w:rsidRPr="00B7408D">
        <w:rPr>
          <w:rFonts w:ascii="Book Antiqua" w:hAnsi="Book Antiqua" w:cs="Times New Roman"/>
          <w:color w:val="000000"/>
          <w:lang w:val="en-US"/>
        </w:rPr>
        <w:t xml:space="preserve"> or differentiation of </w:t>
      </w:r>
      <w:r w:rsidRPr="00B7408D">
        <w:rPr>
          <w:rFonts w:ascii="Book Antiqua" w:hAnsi="Book Antiqua" w:cs="Times New Roman"/>
          <w:color w:val="000000"/>
          <w:lang w:val="en-US"/>
        </w:rPr>
        <w:lastRenderedPageBreak/>
        <w:t>osteoblasts into osteocytes. Nevertheless, more research is needed to properly ascertain its putative role in MSC differentiation.</w:t>
      </w:r>
    </w:p>
    <w:p w14:paraId="2E7C89EE" w14:textId="77777777" w:rsidR="006A0C4B" w:rsidRPr="00B7408D" w:rsidRDefault="006A0C4B" w:rsidP="004D452C">
      <w:pPr>
        <w:adjustRightInd w:val="0"/>
        <w:snapToGrid w:val="0"/>
        <w:spacing w:line="360" w:lineRule="auto"/>
        <w:ind w:firstLineChars="100" w:firstLine="240"/>
        <w:jc w:val="both"/>
        <w:rPr>
          <w:rFonts w:ascii="Book Antiqua" w:hAnsi="Book Antiqua" w:cs="Times New Roman"/>
          <w:color w:val="000000"/>
          <w:lang w:val="en-US"/>
        </w:rPr>
      </w:pPr>
      <w:r w:rsidRPr="00B7408D">
        <w:rPr>
          <w:rFonts w:ascii="Book Antiqua" w:hAnsi="Book Antiqua" w:cs="Times New Roman"/>
          <w:color w:val="000000"/>
          <w:lang w:val="en-US"/>
        </w:rPr>
        <w:t>On the other hand, pheophytins</w:t>
      </w:r>
      <w:r w:rsidRPr="00B7408D" w:rsidDel="00D25D20">
        <w:rPr>
          <w:rFonts w:ascii="Book Antiqua" w:hAnsi="Book Antiqua" w:cs="Times New Roman"/>
          <w:color w:val="000000"/>
          <w:lang w:val="en-US"/>
        </w:rPr>
        <w:t xml:space="preserve"> </w:t>
      </w:r>
      <w:r w:rsidRPr="00B7408D">
        <w:rPr>
          <w:rFonts w:ascii="Book Antiqua" w:hAnsi="Book Antiqua" w:cs="Times New Roman"/>
          <w:color w:val="000000"/>
          <w:lang w:val="en-US"/>
        </w:rPr>
        <w:t xml:space="preserve">are responsible for the attractive greenish color of olive oil. Their concentrations range from traces to 30 mg/kg, depending on olive tree cultivar, ripening stage of the olive fruit, and technology used for the olive oil extraction, among other factors. Their biological activities include </w:t>
      </w:r>
      <w:proofErr w:type="spellStart"/>
      <w:r w:rsidRPr="00B7408D">
        <w:rPr>
          <w:rFonts w:ascii="Book Antiqua" w:hAnsi="Book Antiqua" w:cs="Times New Roman"/>
          <w:color w:val="000000"/>
          <w:lang w:val="en-US"/>
        </w:rPr>
        <w:t>antiinflammatory</w:t>
      </w:r>
      <w:proofErr w:type="spellEnd"/>
      <w:r w:rsidRPr="00B7408D">
        <w:rPr>
          <w:rFonts w:ascii="Book Antiqua" w:hAnsi="Book Antiqua" w:cs="Times New Roman"/>
          <w:color w:val="000000"/>
          <w:lang w:val="en-US"/>
        </w:rPr>
        <w:t xml:space="preserve"> and antidiabetic effects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{"citationItems":[{"id":"ITEM-1","itemData":{"DOI":"10.3390/ijms18122637","ISSN":"1422-0067","PMID":"29211014","abstract":"Sepsis is an overwhelming systemic response to infection that frequently results in tissue damage, organ failure, and even death. Nitric oxide (NO), prostaglandin E2 (PGE2), and cytokine overproduction are thought to be associated with the immunostimulatory cascade in sepsis. In the present study, we analyzed the anti-inflammatory efficacy of the pheophytin-b on both RAW 264.7 murine macrophage and purified human CD14</w:instrText>
      </w:r>
      <w:r w:rsidRPr="00B7408D">
        <w:rPr>
          <w:rFonts w:ascii="Times New Roman" w:hAnsi="Times New Roman" w:cs="Times New Roman"/>
          <w:color w:val="000000"/>
          <w:lang w:val="en-US"/>
        </w:rPr>
        <w:instrText>⁺</w:instrText>
      </w:r>
      <w:r w:rsidRPr="00B7408D">
        <w:rPr>
          <w:rFonts w:ascii="Book Antiqua" w:hAnsi="Book Antiqua" w:cs="Times New Roman"/>
          <w:color w:val="000000"/>
          <w:lang w:val="en-US"/>
        </w:rPr>
        <w:instrText xml:space="preserve"> monocytes stimulated with lipopolysaccharide (LPS) and elucidated the mechanisms by analyzing the cell signaling pathways known to be activated in sepsis. Pheophytin-b suppressed the overexpression of NO, PGE2, and cytokines in LPS-stimulated macrophages without inducing cytotoxicity. It also reduced NOS2 and COX-2 mRNA and protein levels. The inhibitory effects on NO, PGE2, and cytokine overproduction arose from the suppression of STAT-1 and PI3K/Akt pathways; no changes in NF-κB, MAPK, and AP-1 signaling were detected. Thus, pheophytin-b may represent a potential candidate to beneficially modulate the inflammatory response in sepsis.","author":[{"dropping-particle":"","family":"Lin","given":"Chun-Yu","non-dropping-particle":"","parse-names":false,"suffix":""},{"dropping-particle":"","family":"Wang","given":"Wen-Hung","non-dropping-particle":"","parse-names":false,"suffix":""},{"dropping-particle":"","family":"Chen","given":"Shin-Huei","non-dropping-particle":"","parse-names":false,"suffix":""},{"dropping-particle":"","family":"Chang","given":"Yu-Wei","non-dropping-particle":"","parse-names":false,"suffix":""},{"dropping-particle":"","family":"Hung","given":"Ling-Chien","non-dropping-particle":"","parse-names":false,"suffix":""},{"dropping-particle":"","family":"Chen","given":"Chung-Yi","non-dropping-particle":"","parse-names":false,"suffix":""},{"dropping-particle":"","family":"Chen","given":"Yen-Hsu","non-dropping-particle":"","parse-names":false,"suffix":""}],"container-title":"International journal of molecular sciences","id":"ITEM-1","issue":"12","issued":{"date-parts":[["2017","12","6"]]},"page":"2637","title":"Lipopolysaccharide-Induced Nitric Oxide, Prostaglandin E2, and Cytokine Production of Mouse and Human Macrophages Are Suppressed by Pheophytin-b.","type":"article-journal","volume":"18"},"uris":["http://www.mendeley.com/documents/?uuid=8f13f42b-564c-371e-bc0b-b7c2e66719ec"]},{"id":"ITEM-2","itemData":{"DOI":"10.1016/j.jep.2018.01.014","ISSN":"1872-7573","PMID":"29339110","abstract":"BACKGROUND AND PURPOSE Based on ethno-botanical information collected from diabetic patients in Cuba and firstly reported inhibition of PTP1B and DPPIV enzymes activities, Allophylus cominia (A. cominia) was identified as possible source of new drugs that could be used for the treatment of type 2 diabetes mellitus (T2-DM). EXPERIMENTAL APPROACH in this study, the activity of the characterised extracts from A. cominia was tested on the glucose uptake using HepG2 and L6 cells, 3T3-L1 fibroblasts and adipocytes as well as their effect on the fat accumulation using 3T3-L1 adipocytes. KEY RESULTS on 2-NBDG glucose uptake assay using HepG2 and L6 cells, extracts from A. cominia enhanced insulin activity by increasing glucose uptake. On HepG2 cells Insulin EC50 of 93 ± 21nM decreased to 13 ± 2nM in the presence of the flavonoids mixture from A.cominia. In L6 cells, insulin also produced a concentration-dependent increase with an EC50 of 28.6 ± 0.7nM; EC50 decreased to 0.08 ± 0.02nM and 5 ± 0.9nM in the presence of 100μg/ml of flavonoids and pheophytins mixtures, respectively. In 3T3-L1 fibroblasts, insulin had an EC50 of &gt;1000nM that decreased to 38 ± 4nM in the presence of the flavonoids extract. However, in adipocytes, insulin produced a significant concentration-dependent increase and an EC50 of 30 ± 8nM was a further confirmation of the insulin responsiveness of the adipocytes to the insulin. At 100µg/ml, flavonoids and pheophytins extracts decreased fat accumulation in 3T3-L1 adipocytes by two folds in comparison to the control differentiated cells (p &lt; 0.05). The crude extract of A. cominia did not show any enhancement of 2-NBDG uptake by 3T3-L1 adipocytes in the presence or absence of 100nM insulin. In addition, in fully differentiated adipocytes, both extracts produced significant decrease in lipid droplets in the cells and no lipid accumulation were seen after withdrawal of the extracts from the cell growth medium. However, there was no effect of both extracts on total protein concentration in cells as well as on Glut-4 transporters. CONCLUSIONS AND IMPLICATIONS the pharmacological effects of the extracts from A. cominia observed in experimental diabetic models were shown in this study. A. cominia is potentially a new candidate for the treatment and management of T2-DM.","author":[{"dropping-particle":"","family":"Semaan","given":"D G","non-dropping-particle":"","parse-names":false,"suffix":""},{"dropping-particle":"","family":"Igoli","given":"J O","non-dropping-particle":"","parse-names":false,"suffix":""},{"dropping-particle":"","family":"Young","given":"L","non-dropping-particle":"","parse-names":false,"suffix":""},{"dropping-particle":"","family":"Gray","given":"A I","non-dropping-particle":"","parse-names":false,"suffix":""},{"dropping-particle":"","family":"Rowan","given":"E G","non-dropping-particle":"","parse-names":false,"suffix":""},{"dropping-particle":"","family":"Marrero","given":"E","non-dropping-particle":"","parse-names":false,"suffix":""}],"container-title":"Journal of ethnopharmacology","id":"ITEM-2","issued":{"date-parts":[["2018","4","24"]]},"page":"8-17","title":"In vitro anti-diabetic effect of flavonoids and pheophytins from Allophylus cominia Sw. on the glucose uptake assays by HepG2, L6, 3T3-L1 and fat accumulation in 3T3-L1 adipocytes.","type":"article-journal","volume":"216"},"uris":["http://www.mendeley.com/documents/?uuid=fc6c7c07-3973-30d2-b7e2-b5a7ee9974e4"]}],"mendeley":{"formattedCitation":"&lt;sup&gt;[89,90]&lt;/sup&gt;","plainTextFormattedCitation":"[89,90]","previouslyFormattedCitation":"&lt;sup&gt;[89,90]&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[89,90]</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Although the putative influence of pheophytins on MSCs are unknown, some authors have found that they inhibited </w:t>
      </w:r>
      <w:proofErr w:type="spellStart"/>
      <w:r w:rsidRPr="00B7408D">
        <w:rPr>
          <w:rFonts w:ascii="Book Antiqua" w:hAnsi="Book Antiqua" w:cs="Times New Roman"/>
          <w:color w:val="000000"/>
          <w:lang w:val="en-US"/>
        </w:rPr>
        <w:t>adipogenic</w:t>
      </w:r>
      <w:proofErr w:type="spellEnd"/>
      <w:r w:rsidRPr="00B7408D">
        <w:rPr>
          <w:rFonts w:ascii="Book Antiqua" w:hAnsi="Book Antiqua" w:cs="Times New Roman"/>
          <w:color w:val="000000"/>
          <w:lang w:val="en-US"/>
        </w:rPr>
        <w:t xml:space="preserve"> differentiation of 3T3-L1 murine cells, reducing fat droplets when induced to differentiate into adipocytes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{"citationItems":[{"id":"ITEM-1","itemData":{"DOI":"10.1016/j.jep.2018.01.014","ISSN":"1872-7573","PMID":"29339110","abstract":"BACKGROUND AND PURPOSE Based on ethno-botanical information collected from diabetic patients in Cuba and firstly reported inhibition of PTP1B and DPPIV enzymes activities, Allophylus cominia (A. cominia) was identified as possible source of new drugs that could be used for the treatment of type 2 diabetes mellitus (T2-DM). EXPERIMENTAL APPROACH in this study, the activity of the characterised extracts from A. cominia was tested on the glucose uptake using HepG2 and L6 cells, 3T3-L1 fibroblasts and adipocytes as well as their effect on the fat accumulation using 3T3-L1 adipocytes. KEY RESULTS on 2-NBDG glucose uptake assay using HepG2 and L6 cells, extracts from A. cominia enhanced insulin activity by increasing glucose uptake. On HepG2 cells Insulin EC50 of 93 ± 21nM decreased to 13 ± 2nM in the presence of the flavonoids mixture from A.cominia. In L6 cells, insulin also produced a concentration-dependent increase with an EC50 of 28.6 ± 0.7nM; EC50 decreased to 0.08 ± 0.02nM and 5 ± 0.9nM in the presence of 100μg/ml of flavonoids and pheophytins mixtures, respectively. In 3T3-L1 fibroblasts, insulin had an EC50 of &gt;1000nM that decreased to 38 ± 4nM in the presence of the flavonoids extract. However, in adipocytes, insulin produced a significant concentration-dependent increase and an EC50 of 30 ± 8nM was a further confirmation of the insulin responsiveness of the adipocytes to the insulin. At 100µg/ml, flavonoids and pheophytins extracts decreased fat accumulation in 3T3-L1 adipocytes by two folds in comparison to the control differentiated cells (p &lt; 0.05). The crude extract of A. cominia did not show any enhancement of 2-NBDG uptake by 3T3-L1 adipocytes in the presence or absence of 100nM insulin. In addition, in fully differentiated adipocytes, both extracts produced significant decrease in lipid droplets in the cells and no lipid accumulation were seen after withdrawal of the extracts from the cell growth medium. However, there was no effect of both extracts on total protein concentration in cells as well as on Glut-4 transporters. CONCLUSIONS AND IMPLICATIONS the pharmacological effects of the extracts from A. cominia observed in experimental diabetic models were shown in this study. A. cominia is potentially a new candidate for the treatment and management of T2-DM.","author":[{"dropping-particle":"","family":"Semaan","given":"D G","non-dropping-particle":"","parse-names":false,"suffix":""},{"dropping-particle":"","family":"Igoli","given":"J O","non-dropping-particle":"","parse-names":false,"suffix":""},{"dropping-particle":"","family":"Young","given":"L","non-dropping-particle":"","parse-names":false,"suffix":""},{"dropping-particle":"","family":"Gray","given":"A I","non-dropping-particle":"","parse-names":false,"suffix":""},{"dropping-particle":"","family":"Rowan","given":"E G","non-dropping-particle":"","parse-names":false,"suffix":""},{"dropping-particle":"","family":"Marrero","given":"E","non-dropping-particle":"","parse-names":false,"suffix":""}],"container-title":"Journal of ethnopharmacology","id":"ITEM-1","issued":{"date-parts":[["2018","4","24"]]},"page":"8-17","title":"In vitro anti-diabetic effect of flavonoids and pheophytins from Allophylus cominia Sw. on the glucose uptake assays by HepG2, L6, 3T3-L1 and fat accumulation in 3T3-L1 adipocytes.","type":"article-journal","volume":"216"},"uris":["http://www.mendeley.com/documents/?uuid=fc6c7c07-3973-30d2-b7e2-b5a7ee9974e4"]}],"mendeley":{"formattedCitation":"&lt;sup&gt;[90]&lt;/sup&gt;","plainTextFormattedCitation":"[90]","previouslyFormattedCitation":"&lt;sup&gt;[90]&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[90]</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These results suggest that </w:t>
      </w:r>
      <w:proofErr w:type="spellStart"/>
      <w:r w:rsidRPr="00B7408D">
        <w:rPr>
          <w:rFonts w:ascii="Book Antiqua" w:hAnsi="Book Antiqua" w:cs="Times New Roman"/>
          <w:color w:val="000000"/>
          <w:lang w:val="en-US"/>
        </w:rPr>
        <w:t>pheophytins</w:t>
      </w:r>
      <w:proofErr w:type="spellEnd"/>
      <w:r w:rsidRPr="00B7408D">
        <w:rPr>
          <w:rFonts w:ascii="Book Antiqua" w:hAnsi="Book Antiqua" w:cs="Times New Roman"/>
          <w:color w:val="000000"/>
          <w:lang w:val="en-US"/>
        </w:rPr>
        <w:t xml:space="preserve"> probably inhibit </w:t>
      </w:r>
      <w:proofErr w:type="spellStart"/>
      <w:r w:rsidRPr="00B7408D">
        <w:rPr>
          <w:rFonts w:ascii="Book Antiqua" w:hAnsi="Book Antiqua" w:cs="Times New Roman"/>
          <w:color w:val="000000"/>
          <w:lang w:val="en-US"/>
        </w:rPr>
        <w:t>adipogenic</w:t>
      </w:r>
      <w:proofErr w:type="spellEnd"/>
      <w:r w:rsidRPr="00B7408D">
        <w:rPr>
          <w:rFonts w:ascii="Book Antiqua" w:hAnsi="Book Antiqua" w:cs="Times New Roman"/>
          <w:color w:val="000000"/>
          <w:lang w:val="en-US"/>
        </w:rPr>
        <w:t xml:space="preserve"> differentiation of MSCs. Again, further research is required to shed more light on this exciting topic.</w:t>
      </w:r>
    </w:p>
    <w:p w14:paraId="7AC43E0F" w14:textId="77777777" w:rsidR="006A0C4B" w:rsidRPr="00B7408D" w:rsidRDefault="006A0C4B" w:rsidP="006A0C4B">
      <w:pPr>
        <w:adjustRightInd w:val="0"/>
        <w:snapToGrid w:val="0"/>
        <w:spacing w:line="360" w:lineRule="auto"/>
        <w:jc w:val="both"/>
        <w:rPr>
          <w:rFonts w:ascii="Book Antiqua" w:hAnsi="Book Antiqua"/>
          <w:lang w:val="en-US"/>
        </w:rPr>
      </w:pPr>
    </w:p>
    <w:p w14:paraId="558DB40B" w14:textId="77777777" w:rsidR="006A0C4B" w:rsidRPr="00B7408D" w:rsidRDefault="006A0C4B" w:rsidP="006A0C4B">
      <w:pPr>
        <w:adjustRightInd w:val="0"/>
        <w:snapToGrid w:val="0"/>
        <w:spacing w:line="360" w:lineRule="auto"/>
        <w:jc w:val="both"/>
        <w:rPr>
          <w:rFonts w:ascii="Book Antiqua" w:hAnsi="Book Antiqua" w:cs="Times New Roman"/>
          <w:b/>
          <w:i/>
          <w:color w:val="000000"/>
          <w:lang w:val="en-US"/>
        </w:rPr>
      </w:pPr>
      <w:r w:rsidRPr="00B7408D">
        <w:rPr>
          <w:rFonts w:ascii="Book Antiqua" w:hAnsi="Book Antiqua" w:cs="Times New Roman"/>
          <w:b/>
          <w:i/>
          <w:color w:val="000000"/>
          <w:lang w:val="en-US"/>
        </w:rPr>
        <w:t>Phenolic compounds</w:t>
      </w:r>
    </w:p>
    <w:p w14:paraId="3840E7BB" w14:textId="50ED90C8" w:rsidR="006A0C4B" w:rsidRPr="00B7408D" w:rsidRDefault="006A0C4B" w:rsidP="006A0C4B">
      <w:pPr>
        <w:adjustRightInd w:val="0"/>
        <w:snapToGrid w:val="0"/>
        <w:spacing w:line="360" w:lineRule="auto"/>
        <w:jc w:val="both"/>
        <w:rPr>
          <w:rFonts w:ascii="Book Antiqua" w:hAnsi="Book Antiqua" w:cs="Times New Roman"/>
          <w:color w:val="000000"/>
          <w:lang w:val="en-US"/>
        </w:rPr>
      </w:pPr>
      <w:r w:rsidRPr="00B7408D">
        <w:rPr>
          <w:rFonts w:ascii="Book Antiqua" w:hAnsi="Book Antiqua" w:cs="Times New Roman"/>
          <w:color w:val="000000"/>
          <w:lang w:val="en-US"/>
        </w:rPr>
        <w:t>Phenolic compounds of extra virgin olive oil represent 18% to 37% (100</w:t>
      </w:r>
      <w:r w:rsidR="001277C4" w:rsidRPr="00B7408D">
        <w:rPr>
          <w:rFonts w:ascii="Book Antiqua" w:hAnsi="Book Antiqua" w:cs="Times New Roman"/>
          <w:color w:val="000000"/>
          <w:lang w:val="en-US"/>
        </w:rPr>
        <w:t>-</w:t>
      </w:r>
      <w:r w:rsidRPr="00B7408D">
        <w:rPr>
          <w:rFonts w:ascii="Book Antiqua" w:hAnsi="Book Antiqua" w:cs="Times New Roman"/>
          <w:color w:val="000000"/>
          <w:lang w:val="en-US"/>
        </w:rPr>
        <w:t>300 mg/kg) of the unsaponifiable fraction. They are partially responsible for the high oxidative stability of olive oil. Their composition and concentration depend on the olive tree cultivar, weather conditions, fruit ripeness, and technology used for olive oil extraction</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{"citationItems":[{"id":"ITEM-1","itemData":{"DOI":"10.3390/antiox3020387","ISSN":"2076-3921","PMID":"26784878","abstract":"Greece is ranked third after Spain and Italy in virgin olive oil production. The number of Greek olive cultivars—excluding clonal selections—is greater than 40; however, more than 90% of the acreage is cultivated with 20 cultivars, adapted to a wide range of environmental conditions. Greek virgin olive oils, produced mainly with traditional, non-intensive cultivation practices, are mostly of exceptional quality. The benefits of consuming virgin olive oil, originally attributed to its high oleic acid content, are now considered to be the combined result of several nutrient and non-nutrient phytochemicals. The present work summarizes available data regarding natural antioxidants in Greek virgin olive oils (VOO) namely, polar phenolic compounds, tocopherols, squalene, and triterpenic acids. The literature survey indicated gaps in information, which should be filled in the near future so that the intrinsic properties of this major agricultural product of Greece will be substantiated on a solid scientific basis.","author":[{"dropping-particle":"","family":"Kalogeropoulos","given":"Nick","non-dropping-particle":"","parse-names":false,"suffix":""},{"dropping-particle":"","family":"Tsimidou","given":"Maria","non-dropping-particle":"","parse-names":false,"suffix":""}],"container-title":"Antioxidants","id":"ITEM-1","issue":"2","issued":{"date-parts":[["2014"]]},"page":"387-413","title":"Antioxidants in Greek Virgin Olive Oils","type":"article-journal","volume":"3"},"uris":["http://www.mendeley.com/documents/?uuid=7f077301-afe3-496b-9275-d3f1c74fe84f"]}],"mendeley":{"formattedCitation":"&lt;sup&gt;[91]&lt;/sup&gt;","plainTextFormattedCitation":"[91]","previouslyFormattedCitation":"&lt;sup&gt;[91]&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[91]</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The main types of phenolic compounds of extra virgin olive oil are flavonoids, lignans, phenolic acids, phenolic alcohols and </w:t>
      </w:r>
      <w:proofErr w:type="spellStart"/>
      <w:r w:rsidRPr="00B7408D">
        <w:rPr>
          <w:rFonts w:ascii="Book Antiqua" w:hAnsi="Book Antiqua" w:cs="Times New Roman"/>
          <w:color w:val="000000"/>
          <w:lang w:val="en-US"/>
        </w:rPr>
        <w:t>secoiridoids</w:t>
      </w:r>
      <w:proofErr w:type="spellEnd"/>
      <w:r w:rsidRPr="00B7408D">
        <w:rPr>
          <w:rFonts w:ascii="Book Antiqua" w:hAnsi="Book Antiqua" w:cs="Times New Roman"/>
          <w:color w:val="000000"/>
          <w:lang w:val="en-US"/>
        </w:rPr>
        <w:t xml:space="preserve">, the last two being the most abundant. Indeed, </w:t>
      </w:r>
      <w:proofErr w:type="spellStart"/>
      <w:r w:rsidRPr="00B7408D">
        <w:rPr>
          <w:rFonts w:ascii="Book Antiqua" w:hAnsi="Book Antiqua" w:cs="Times New Roman"/>
          <w:color w:val="000000"/>
          <w:lang w:val="en-US"/>
        </w:rPr>
        <w:t>secoiridoids</w:t>
      </w:r>
      <w:proofErr w:type="spellEnd"/>
      <w:r w:rsidRPr="00B7408D">
        <w:rPr>
          <w:rFonts w:ascii="Book Antiqua" w:hAnsi="Book Antiqua" w:cs="Times New Roman"/>
          <w:color w:val="000000"/>
          <w:lang w:val="en-US"/>
        </w:rPr>
        <w:t xml:space="preserve"> represent between 85% and 99% of the total phenolic compounds of olive oil</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{"citationItems":[{"id":"ITEM-1","itemData":{"DOI":"10.3390/molecules23123249","ISSN":"14203049","abstract":"The analysis of phenolic compounds in extra virgin olive oils was carried out by high-performance liquid chromatography utilizing photodiode array and mass spectrometry detectors. The chromatographic profile of thirty samples from four Italian Regions highlighted the presence of secoiridoids, phenolic alcohols, flavonoids, and phenolic acid classes. A similar qualitative profile was observed with some differences in peak area and fifteen compounds were tentatively identified. Quantitative analysis was performed by UV detection considering eight standard phenolic compounds. The chromatographic method, after optimization, was validated studying some parameters, e.g., intra-day and inter-day retention time precision, limit of detection, limit of quantification, and linearity. Recovery of the method was performed achieving good results (10 and 50 g·g−1 with recovery of 72.9–92.1% (w/w) and 79.1–102.8% (w/w), respectively). In all samples secoiridoids were the main compounds ranging from 85 to more than 99% (w/w) of the total concentration of detected phenolic compounds while phenolic acids accounted for the lowest percentage (0.1–0.6%, w/w). Finally, total concentration of phenolic compounds and antioxidant activity were determined with different chemical assays. A good and significant correlation among total phenolic compound concentration and antioxidant activity was observed. A significant different phenolic compound concentration and antioxidant activity was determined between samples from Puglia and Sicily. This was studied performing statistical analysis by one-way analysis of variance (ANOVA) followed by Bonferroni post-hoc test.","author":[{"dropping-particle":"","family":"Fanali","given":"Chiara","non-dropping-particle":"","parse-names":false,"suffix":""},{"dropping-particle":"","family":"Posta","given":"Susanna","non-dropping-particle":"Della","parse-names":false,"suffix":""},{"dropping-particle":"","family":"Vilmercati","given":"Alessandra","non-dropping-particle":"","parse-names":false,"suffix":""},{"dropping-particle":"","family":"Dugo","given":"Laura","non-dropping-particle":"","parse-names":false,"suffix":""},{"dropping-particle":"","family":"Russo","given":"Marina","non-dropping-particle":"","parse-names":false,"suffix":""},{"dropping-particle":"","family":"Petitti","given":"Tommasangelo","non-dropping-particle":"","parse-names":false,"suffix":""},{"dropping-particle":"","family":"Mondello","given":"Luigi","non-dropping-particle":"","parse-names":false,"suffix":""},{"dropping-particle":"","family":"Gara","given":"Laura","non-dropping-particle":"de","parse-names":false,"suffix":""}],"container-title":"Molecules","id":"ITEM-1","issue":"12","issued":{"date-parts":[["2018"]]},"page":"1-17","title":"Extraction, analysis, and antioxidant activity evaluation of phenolic compounds in different Italian extra-virgin olive oils","type":"article-journal","volume":"23"},"uris":["http://www.mendeley.com/documents/?uuid=236474dd-7cc5-409b-899b-59d25a6c03c8"]}],"mendeley":{"formattedCitation":"&lt;sup&gt;[92]&lt;/sup&gt;","plainTextFormattedCitation":"[92]","previouslyFormattedCitation":"&lt;sup&gt;[92]&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[92]</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Their intake is healthy, being</w:t>
      </w:r>
      <w:r w:rsidRPr="00B7408D" w:rsidDel="004A4F8F">
        <w:rPr>
          <w:rFonts w:ascii="Book Antiqua" w:hAnsi="Book Antiqua" w:cs="Times New Roman"/>
          <w:color w:val="000000"/>
          <w:lang w:val="en-US"/>
        </w:rPr>
        <w:t xml:space="preserve"> </w:t>
      </w:r>
      <w:r w:rsidRPr="00B7408D">
        <w:rPr>
          <w:rFonts w:ascii="Book Antiqua" w:hAnsi="Book Antiqua" w:cs="Times New Roman"/>
          <w:color w:val="000000"/>
          <w:lang w:val="en-US"/>
        </w:rPr>
        <w:t>antioxidants (preventing oxidative stress) and interacting with several signaling pathways. Actually,</w:t>
      </w:r>
      <w:r w:rsidR="001277C4" w:rsidRPr="00B7408D">
        <w:rPr>
          <w:rFonts w:ascii="Book Antiqua" w:hAnsi="Book Antiqua" w:cs="Times New Roman"/>
          <w:color w:val="000000"/>
          <w:lang w:val="en-US"/>
        </w:rPr>
        <w:t xml:space="preserve"> </w:t>
      </w:r>
      <w:r w:rsidRPr="00B7408D">
        <w:rPr>
          <w:rFonts w:ascii="Book Antiqua" w:hAnsi="Book Antiqua" w:cs="Times New Roman"/>
          <w:color w:val="000000"/>
          <w:lang w:val="en-US"/>
        </w:rPr>
        <w:t xml:space="preserve">they have </w:t>
      </w:r>
      <w:proofErr w:type="spellStart"/>
      <w:r w:rsidRPr="00B7408D">
        <w:rPr>
          <w:rFonts w:ascii="Book Antiqua" w:hAnsi="Book Antiqua" w:cs="Times New Roman"/>
          <w:color w:val="000000"/>
          <w:lang w:val="en-US"/>
        </w:rPr>
        <w:t>antiinflammatory</w:t>
      </w:r>
      <w:proofErr w:type="spellEnd"/>
      <w:r w:rsidRPr="00B7408D">
        <w:rPr>
          <w:rFonts w:ascii="Book Antiqua" w:hAnsi="Book Antiqua" w:cs="Times New Roman"/>
          <w:color w:val="000000"/>
          <w:lang w:val="en-US"/>
        </w:rPr>
        <w:t xml:space="preserve">, </w:t>
      </w:r>
      <w:proofErr w:type="spellStart"/>
      <w:r w:rsidRPr="00B7408D">
        <w:rPr>
          <w:rFonts w:ascii="Book Antiqua" w:hAnsi="Book Antiqua" w:cs="Times New Roman"/>
          <w:color w:val="000000"/>
          <w:lang w:val="en-US"/>
        </w:rPr>
        <w:t>anticarcinogenic</w:t>
      </w:r>
      <w:proofErr w:type="spellEnd"/>
      <w:r w:rsidRPr="00B7408D">
        <w:rPr>
          <w:rFonts w:ascii="Book Antiqua" w:hAnsi="Book Antiqua" w:cs="Times New Roman"/>
          <w:color w:val="000000"/>
          <w:lang w:val="en-US"/>
        </w:rPr>
        <w:t xml:space="preserve">, </w:t>
      </w:r>
      <w:proofErr w:type="spellStart"/>
      <w:r w:rsidRPr="00B7408D">
        <w:rPr>
          <w:rFonts w:ascii="Book Antiqua" w:hAnsi="Book Antiqua" w:cs="Times New Roman"/>
          <w:color w:val="000000"/>
          <w:lang w:val="en-US"/>
        </w:rPr>
        <w:t>antiatherogenic</w:t>
      </w:r>
      <w:proofErr w:type="spellEnd"/>
      <w:r w:rsidRPr="00B7408D">
        <w:rPr>
          <w:rFonts w:ascii="Book Antiqua" w:hAnsi="Book Antiqua" w:cs="Times New Roman"/>
          <w:color w:val="000000"/>
          <w:lang w:val="en-US"/>
        </w:rPr>
        <w:t xml:space="preserve"> and antithrombotic effects. Besides, they regulate lipidic metabolism, among other beneficial activities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{"citationItems":[{"id":"ITEM-1","itemData":{"DOI":"10.3390/ijms19030686","ISSN":"1422-0067","PMID":"29495598","abstract":"Beneficial effects of natural plant polyphenols on the human body have been evaluated in a number of scientific research projects. Bioactive polyphenols are natural compounds of various chemical structures. Their sources are mostly fruits, vegetables, nuts and seeds, roots, bark, leaves of different plants, herbs, whole grain products, processed foods (dark chocolate), as well as tea, coffee, and red wine. Polyphenols are believed to reduce morbidity and/or slow down the development of cardiovascular and neurodegenerative diseases as well as cancer. Biological activity of polyphenols is strongly related to their antioxidant properties. They tend to reduce the pool of reactive oxygen species as well as to neutralize potentially carcinogenic metabolites. A broad spectrum of health-promoting properties of plant polyphenols comprises antioxidant, anti-inflammatory, anti-allergic, anti-atherogenic, anti-thrombotic, and anti-mutagenic effects. Scientific studies present the ability of polyphenols to modulate the human immune system by affecting the proliferation of white blood cells, and also the production of cytokines or other factors that participate in the immunological defense. The aim of the review is to focus on polyphenols of olive oil in context of their biological activities.","author":[{"dropping-particle":"","family":"Gorzynik-Debicka","given":"Monika","non-dropping-particle":"","parse-names":false,"suffix":""},{"dropping-particle":"","family":"Przychodzen","given":"Paulina","non-dropping-particle":"","parse-names":false,"suffix":""},{"dropping-particle":"","family":"Cappello","given":"Francesco","non-dropping-particle":"","parse-names":false,"suffix":""},{"dropping-particle":"","family":"Kuban-Jankowska","given":"Alicja","non-dropping-particle":"","parse-names":false,"suffix":""},{"dropping-particle":"","family":"Marino Gammazza","given":"Antonella","non-dropping-particle":"","parse-names":false,"suffix":""},{"dropping-particle":"","family":"Knap","given":"Narcyz","non-dropping-particle":"","parse-names":false,"suffix":""},{"dropping-particle":"","family":"Wozniak","given":"Michal","non-dropping-particle":"","parse-names":false,"suffix":""},{"dropping-particle":"","family":"Gorska-Ponikowska","given":"Magdalena","non-dropping-particle":"","parse-names":false,"suffix":""}],"container-title":"International Journal of Molecular Sciences","id":"ITEM-1","issue":"3","issued":{"date-parts":[["2018","2","28"]]},"page":"686","title":"Potential Health Benefits of Olive Oil and Plant Polyphenols","type":"article-journal","volume":"19"},"uris":["http://www.mendeley.com/documents/?uuid=5ab6964c-1f44-300d-8823-7ba4ca3ccfb9"]}],"mendeley":{"formattedCitation":"&lt;sup&gt;[15]&lt;/sup&gt;","plainTextFormattedCitation":"[15]","previouslyFormattedCitation":"&lt;sup&gt;[15]&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[15]</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Interestingly, the biological activity of phenolic compounds also modulates MSC physiology, including their proliferation, viability, regenerative capacity and differentiation, as demonstrated by numerous studies in the last two decades.</w:t>
      </w:r>
    </w:p>
    <w:p w14:paraId="2D06D3B1" w14:textId="1DF79F31" w:rsidR="006A0C4B" w:rsidRPr="00B7408D" w:rsidRDefault="006A0C4B" w:rsidP="004D452C">
      <w:pPr>
        <w:adjustRightInd w:val="0"/>
        <w:snapToGrid w:val="0"/>
        <w:spacing w:line="360" w:lineRule="auto"/>
        <w:ind w:firstLineChars="100" w:firstLine="240"/>
        <w:jc w:val="both"/>
        <w:rPr>
          <w:rFonts w:ascii="Book Antiqua" w:hAnsi="Book Antiqua" w:cs="Times New Roman"/>
          <w:color w:val="000000"/>
          <w:lang w:val="en-US"/>
        </w:rPr>
      </w:pPr>
      <w:r w:rsidRPr="00B7408D">
        <w:rPr>
          <w:rFonts w:ascii="Book Antiqua" w:hAnsi="Book Antiqua" w:cs="Times New Roman"/>
          <w:color w:val="000000"/>
          <w:lang w:val="en-US"/>
        </w:rPr>
        <w:lastRenderedPageBreak/>
        <w:t xml:space="preserve">Oleuropein is a relevant </w:t>
      </w:r>
      <w:proofErr w:type="spellStart"/>
      <w:r w:rsidRPr="00B7408D">
        <w:rPr>
          <w:rFonts w:ascii="Book Antiqua" w:hAnsi="Book Antiqua" w:cs="Times New Roman"/>
          <w:color w:val="000000"/>
          <w:lang w:val="en-US"/>
        </w:rPr>
        <w:t>secoiridoid</w:t>
      </w:r>
      <w:proofErr w:type="spellEnd"/>
      <w:r w:rsidRPr="00B7408D">
        <w:rPr>
          <w:rFonts w:ascii="Book Antiqua" w:hAnsi="Book Antiqua" w:cs="Times New Roman"/>
          <w:color w:val="000000"/>
          <w:lang w:val="en-US"/>
        </w:rPr>
        <w:t>, ranging from 1.2-120 mg/kg in extra virgin olive oil</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{"citationItems":[{"id":"ITEM-1","itemData":{"DOI":"10.1016/j.bpc.2017.09.002","ISSN":"18734200","abstract":"When compared with other edible vegetable oils, the extra virgin olive oil (EVOO) exhibits excellent nutritional properties due to the presence of biophenolic compounds. Although they constitute only a very small amount of the unsaponifiable fraction of EVOO, biophenols strongly contribute to the sensorial properties of this precious food conferring it, for example, the bitter or pungent taste. Furthermore, it has been found that biophenols possess beneficial effects against many human pathologies such as oxidative stress, inflammation, cardiovascular diseases, cancer and aging-related illness. In the present work, the biophenolic content of 51 Italian and Spanish EVOOs was qualitatively and quantitatively identified and their antioxidant ability analyzed by oxygen radical absorbance capacity (ORAC) assay. Results indicated that the maximum relationship can be found if the ORAC value is correlated with the concentration of the large family composed by ligstroside and oleuropein derivatives together with their degradation products, hydroxytyrosol and tyrosol. Then, selected biophenolic extracts were tested in NIH-3T3 cell line to verify their ability in the recovery of the oxidative stress revealed by DCFH-DA assay. Results were linearly correlated with the concentration of ligstroside aglycone (aldehyde and hydroxyl form).","author":[{"dropping-particle":"","family":"Presti","given":"G.","non-dropping-particle":"","parse-names":false,"suffix":""},{"dropping-particle":"","family":"Guarrasi","given":"V.","non-dropping-particle":"","parse-names":false,"suffix":""},{"dropping-particle":"","family":"Gulotta","given":"E.","non-dropping-particle":"","parse-names":false,"suffix":""},{"dropping-particle":"","family":"Provenzano","given":"F.","non-dropping-particle":"","parse-names":false,"suffix":""},{"dropping-particle":"","family":"Provenzano","given":"A.","non-dropping-particle":"","parse-names":false,"suffix":""},{"dropping-particle":"","family":"Giuliano","given":"S.","non-dropping-particle":"","parse-names":false,"suffix":""},{"dropping-particle":"","family":"Monfreda","given":"M.","non-dropping-particle":"","parse-names":false,"suffix":""},{"dropping-particle":"","family":"Mangione","given":"M. R.","non-dropping-particle":"","parse-names":false,"suffix":""},{"dropping-particle":"","family":"Passantino","given":"R.","non-dropping-particle":"","parse-names":false,"suffix":""},{"dropping-particle":"","family":"San Biagio","given":"P. L.","non-dropping-particle":"","parse-names":false,"suffix":""},{"dropping-particle":"","family":"Costa","given":"M. A.","non-dropping-particle":"","parse-names":false,"suffix":""},{"dropping-particle":"","family":"Giacomazza","given":"D.","non-dropping-particle":"","parse-names":false,"suffix":""}],"container-title":"Biophysical Chemistry","id":"ITEM-1","issue":"September","issued":{"date-parts":[["2017"]]},"page":"109-116","publisher":"Elsevier","title":"Bioactive compounds from extra virgin olive oils: Correlation between phenolic content and oxidative stress cell protection","type":"article-journal","volume":"230"},"uris":["http://www.mendeley.com/documents/?uuid=68c57f20-5778-42c5-a4fe-d11d3771362f"]}],"mendeley":{"formattedCitation":"&lt;sup&gt;[93]&lt;/sup&gt;","plainTextFormattedCitation":"[93]","previouslyFormattedCitation":"&lt;sup&gt;[93]&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[93]</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It has numerous beneficial health properties, including antioxidant, </w:t>
      </w:r>
      <w:proofErr w:type="spellStart"/>
      <w:r w:rsidRPr="00B7408D">
        <w:rPr>
          <w:rFonts w:ascii="Book Antiqua" w:hAnsi="Book Antiqua" w:cs="Times New Roman"/>
          <w:color w:val="000000"/>
          <w:lang w:val="en-US"/>
        </w:rPr>
        <w:t>antiinflammatory</w:t>
      </w:r>
      <w:proofErr w:type="spellEnd"/>
      <w:r w:rsidRPr="00B7408D">
        <w:rPr>
          <w:rFonts w:ascii="Book Antiqua" w:hAnsi="Book Antiqua" w:cs="Times New Roman"/>
          <w:color w:val="000000"/>
          <w:lang w:val="en-US"/>
        </w:rPr>
        <w:t xml:space="preserve">, </w:t>
      </w:r>
      <w:proofErr w:type="spellStart"/>
      <w:r w:rsidRPr="00B7408D">
        <w:rPr>
          <w:rFonts w:ascii="Book Antiqua" w:hAnsi="Book Antiqua" w:cs="Times New Roman"/>
          <w:color w:val="000000"/>
          <w:lang w:val="en-US"/>
        </w:rPr>
        <w:t>antiatherogenic</w:t>
      </w:r>
      <w:proofErr w:type="spellEnd"/>
      <w:r w:rsidRPr="00B7408D">
        <w:rPr>
          <w:rFonts w:ascii="Book Antiqua" w:hAnsi="Book Antiqua" w:cs="Times New Roman"/>
          <w:color w:val="000000"/>
          <w:lang w:val="en-US"/>
        </w:rPr>
        <w:t xml:space="preserve">, </w:t>
      </w:r>
      <w:proofErr w:type="spellStart"/>
      <w:r w:rsidRPr="00B7408D">
        <w:rPr>
          <w:rFonts w:ascii="Book Antiqua" w:hAnsi="Book Antiqua" w:cs="Times New Roman"/>
          <w:color w:val="000000"/>
          <w:lang w:val="en-US"/>
        </w:rPr>
        <w:t>anticancerogenic</w:t>
      </w:r>
      <w:proofErr w:type="spellEnd"/>
      <w:r w:rsidRPr="00B7408D">
        <w:rPr>
          <w:rFonts w:ascii="Book Antiqua" w:hAnsi="Book Antiqua" w:cs="Times New Roman"/>
          <w:color w:val="000000"/>
          <w:lang w:val="en-US"/>
        </w:rPr>
        <w:t>, antimicrobial, antiviral and antiaging effects, among others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{"citationItems":[{"id":"ITEM-1","itemData":{"DOI":"10.3797/scipharm.0912-18","ISSN":"2218-0532","PMID":"21179340","abstract":"Olive from Olea europaea is native to the Mediterranean region and, both the oil and the fruit are some of the main components of the Mediterranean diet. The main active constituents of olive oil include oleic acid, phenolic constituents, and squalene. The main phenolic compounds, hydroxytyrosol and oleuropein, give extra-virgin olive oil its bitter, pungent taste. The present review focuses on recent works that have analyzed the relationship between the major phenolic compound oleuropein and its pharmacological activities including antioxidant, anti-inflammatory, anti-atherogenic, anti-cancer activities, antimicrobial activity, antiviral activity, hypolipidemic and hypoglycemic effect.","author":[{"dropping-particle":"","family":"Omar","given":"Syed Haris","non-dropping-particle":"","parse-names":false,"suffix":""}],"container-title":"Scientia pharmaceutica","id":"ITEM-1","issue":"2","issued":{"date-parts":[["2010","1"]]},"page":"133-54","title":"Oleuropein in olive and its pharmacological effects.","type":"article-journal","volume":"78"},"uris":["http://www.mendeley.com/documents/?uuid=256abfbd-f4d3-449d-909f-ff573afca2f7"]}],"mendeley":{"formattedCitation":"&lt;sup&gt;[94]&lt;/sup&gt;","plainTextFormattedCitation":"[94]","previouslyFormattedCitation":"&lt;sup&gt;[94]&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[94]</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Interestingly, oleuropein prevents both oxidative stress and apoptosis induced by H</w:t>
      </w:r>
      <w:r w:rsidRPr="00B7408D">
        <w:rPr>
          <w:rFonts w:ascii="Book Antiqua" w:hAnsi="Book Antiqua" w:cs="Times New Roman"/>
          <w:color w:val="000000"/>
          <w:vertAlign w:val="subscript"/>
          <w:lang w:val="en-US"/>
        </w:rPr>
        <w:t>2</w:t>
      </w:r>
      <w:r w:rsidRPr="00B7408D">
        <w:rPr>
          <w:rFonts w:ascii="Book Antiqua" w:hAnsi="Book Antiqua" w:cs="Times New Roman"/>
          <w:color w:val="000000"/>
          <w:lang w:val="en-US"/>
        </w:rPr>
        <w:t>O</w:t>
      </w:r>
      <w:r w:rsidRPr="00B7408D">
        <w:rPr>
          <w:rFonts w:ascii="Book Antiqua" w:hAnsi="Book Antiqua" w:cs="Times New Roman"/>
          <w:color w:val="000000"/>
          <w:vertAlign w:val="subscript"/>
          <w:lang w:val="en-US"/>
        </w:rPr>
        <w:t>2</w:t>
      </w:r>
      <w:r w:rsidRPr="00B7408D">
        <w:rPr>
          <w:rFonts w:ascii="Book Antiqua" w:hAnsi="Book Antiqua" w:cs="Times New Roman"/>
          <w:color w:val="000000"/>
          <w:lang w:val="en-US"/>
        </w:rPr>
        <w:t xml:space="preserve"> in MSCs. That is accomplished by inhibiting the B-cell lymphoma 2 (referred to as Bcl-2)-like protein 4</w:t>
      </w:r>
      <w:r w:rsidRPr="00B7408D" w:rsidDel="00922A6A">
        <w:rPr>
          <w:rFonts w:ascii="Book Antiqua" w:hAnsi="Book Antiqua" w:cs="Times New Roman"/>
          <w:color w:val="000000"/>
          <w:lang w:val="en-US"/>
        </w:rPr>
        <w:t xml:space="preserve"> </w:t>
      </w:r>
      <w:r w:rsidRPr="00B7408D">
        <w:rPr>
          <w:rFonts w:ascii="Book Antiqua" w:hAnsi="Book Antiqua" w:cs="Times New Roman"/>
          <w:color w:val="000000"/>
          <w:lang w:val="en-US"/>
        </w:rPr>
        <w:t>(referred to as BAX) proapoptotic protein, activating the antiapoptotic Bcl-2 and myeloid leukemia cell differentiation protein (referred to as Mcl-1), and modulating autophagy-related death signals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{"citationItems":[{"id":"ITEM-1","itemData":{"DOI":"10.1016/j.bbrc.2018.03.211","ISSN":"1090-2104","PMID":"29604275","abstract":"Mesenchymal stem cells (MSCs) are multipotent progenitor cells with self-renewing properties; thus, transplanting functionally enhanced MSCs might be a promising strategy for cell therapy against ischemic diseases. However, extensive oxidative damage in ischemic tissue affects the cell fate of transplanted MSCs, eventually resulting in cell damage and autophagic cell death. Oleuropein (OLP) is a bioactive compound isolated from olives and olive oil that harbors antioxidant properties. This study aimed to investigate the potential cytoprotective effects of OLP against oxidative stress and autophagic cell death in MSCs. We found that short-term priming with OLP attenuated H2O2-induced apoptosis by regulating the pro-apoptotic marker Bax and the anti-apoptotic markers Bcl-2 and Mcl-1. Notably, OLP inhibits H2O2 -induced autophagic cell death by modulating autophagy-related death signals, including mTOR (mammalian target of rapamycin), ULK1 (unc-51 like autophagy activating kinase 1), Beclin-1, AMPK (AMP-activated protein kinase), and LC3 (microtubule-associated protein 1a/1b-light chain 3). Our data suggest that OLP might reduce H2O2-induced autophagy and cell apoptosis in MSCs by regulating both the AMPK-ULK axis and the Bcl-2-Mcl-1 axis. Consequently, short-term cell priming with OLP might enhance the therapeutic effect of MSCs against ischemic vascular diseases, which provides an important potential improvement for emerging therapeutic strategies.","author":[{"dropping-particle":"","family":"Ji","given":"Seung Taek","non-dropping-particle":"","parse-names":false,"suffix":""},{"dropping-particle":"","family":"Kim","given":"Yeon-Ju","non-dropping-particle":"","parse-names":false,"suffix":""},{"dropping-particle":"","family":"Jung","given":"Seok Yun","non-dropping-particle":"","parse-names":false,"suffix":""},{"dropping-particle":"","family":"Kim","given":"Da Yeon","non-dropping-particle":"","parse-names":false,"suffix":""},{"dropping-particle":"","family":"Kang","given":"Songhwa","non-dropping-particle":"","parse-names":false,"suffix":""},{"dropping-particle":"","family":"Park","given":"Ji Hye","non-dropping-particle":"","parse-names":false,"suffix":""},{"dropping-particle":"","family":"Jang","given":"Woong Bi","non-dropping-particle":"","parse-names":false,"suffix":""},{"dropping-particle":"","family":"Ha","given":"Jongseong","non-dropping-particle":"","parse-names":false,"suffix":""},{"dropping-particle":"","family":"Yun","given":"Jisoo","non-dropping-particle":"","parse-names":false,"suffix":""},{"dropping-particle":"","family":"Kwon","given":"Sang-Mo","non-dropping-particle":"","parse-names":false,"suffix":""}],"container-title":"Biochemical and biophysical research communications","id":"ITEM-1","issue":"3","issued":{"date-parts":[["2018","5","15"]]},"page":"675-680","title":"Oleuropein attenuates hydrogen peroxide-induced autophagic cell death in human adipose-derived stem cells.","type":"article-journal","volume":"499"},"uris":["http://www.mendeley.com/documents/?uuid=3998e21d-dbe8-375a-83bf-27661c5f4081"]}],"mendeley":{"formattedCitation":"&lt;sup&gt;[95]&lt;/sup&gt;","plainTextFormattedCitation":"[95]","previouslyFormattedCitation":"&lt;sup&gt;[95]&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[95]</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w:t>
      </w:r>
    </w:p>
    <w:p w14:paraId="79F3F035" w14:textId="3FA2E37B" w:rsidR="006A0C4B" w:rsidRPr="00B7408D" w:rsidRDefault="006A0C4B" w:rsidP="004D452C">
      <w:pPr>
        <w:adjustRightInd w:val="0"/>
        <w:snapToGrid w:val="0"/>
        <w:spacing w:line="360" w:lineRule="auto"/>
        <w:ind w:firstLineChars="100" w:firstLine="240"/>
        <w:jc w:val="both"/>
        <w:rPr>
          <w:rFonts w:ascii="Book Antiqua" w:hAnsi="Book Antiqua" w:cs="Times New Roman"/>
          <w:color w:val="000000"/>
          <w:lang w:val="en-US"/>
        </w:rPr>
      </w:pPr>
      <w:r w:rsidRPr="00B7408D">
        <w:rPr>
          <w:rFonts w:ascii="Book Antiqua" w:hAnsi="Book Antiqua" w:cs="Times New Roman"/>
          <w:color w:val="000000"/>
          <w:lang w:val="en-US"/>
        </w:rPr>
        <w:t xml:space="preserve">Additionally, oleuropein also affects MSC differentiation. We have described that this phenolic compound upregulates osteoblastic marker genes, increasing alkaline phosphatase activity, mineralization and </w:t>
      </w:r>
      <w:proofErr w:type="spellStart"/>
      <w:r w:rsidRPr="00B7408D">
        <w:rPr>
          <w:rFonts w:ascii="Book Antiqua" w:hAnsi="Book Antiqua" w:cs="Times New Roman"/>
          <w:color w:val="000000"/>
          <w:lang w:val="en-US"/>
        </w:rPr>
        <w:t>osteoprotegerin</w:t>
      </w:r>
      <w:proofErr w:type="spellEnd"/>
      <w:r w:rsidRPr="00B7408D">
        <w:rPr>
          <w:rFonts w:ascii="Book Antiqua" w:hAnsi="Book Antiqua" w:cs="Times New Roman"/>
          <w:color w:val="000000"/>
          <w:lang w:val="en-US"/>
        </w:rPr>
        <w:t xml:space="preserve"> (</w:t>
      </w:r>
      <w:r w:rsidRPr="00B7408D">
        <w:rPr>
          <w:rFonts w:ascii="Book Antiqua" w:hAnsi="Book Antiqua" w:cs="Times New Roman"/>
          <w:i/>
          <w:color w:val="000000"/>
          <w:lang w:val="en-US"/>
        </w:rPr>
        <w:t>OPG</w:t>
      </w:r>
      <w:r w:rsidRPr="00B7408D">
        <w:rPr>
          <w:rFonts w:ascii="Book Antiqua" w:hAnsi="Book Antiqua" w:cs="Times New Roman"/>
          <w:color w:val="000000"/>
          <w:lang w:val="en-US"/>
        </w:rPr>
        <w:t>)/</w:t>
      </w:r>
      <w:r w:rsidRPr="00B7408D">
        <w:rPr>
          <w:rFonts w:ascii="Book Antiqua" w:hAnsi="Book Antiqua" w:cs="Times New Roman"/>
          <w:i/>
          <w:color w:val="000000"/>
          <w:lang w:val="en-US"/>
        </w:rPr>
        <w:t>RANKL</w:t>
      </w:r>
      <w:r w:rsidRPr="00B7408D">
        <w:rPr>
          <w:rFonts w:ascii="Book Antiqua" w:hAnsi="Book Antiqua" w:cs="Times New Roman"/>
          <w:color w:val="000000"/>
          <w:lang w:val="en-US"/>
        </w:rPr>
        <w:t xml:space="preserve"> expression ratio in human MSCs derived from bone marrow</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{"citationItems":[{"id":"ITEM-1","itemData":{"DOI":"10.1007/s00198-010-1270-x","ISSN":"1433-2965","PMID":"20495905","abstract":"UNLABELLED: The effects of oleuropein on the processes of osteoblastogenesis and adipogenesis in mesenchymal stem cells (MSCs) from human bone marrow have been studied. We report that oleuropein, a polyphenol abundant in olive tree products, reduces the expression of peroxisome proliferator-activated receptor gamma (PPARγ), inhibits adipocyte differentiation, and enhances differentiation into osteoblast.\n\nINTRODUCTION: Age-related bone loss is associated with osteoblast insufficiency during continuous bone remodeling. It has been suggested that the formation of osteoblasts in bone marrow is closely associated with adipogenesis, and age-related changes in this relationship could be responsible for the progressive adiposity of bone marrow which occurs with osteoporosis. In addition, the consumption of oleuropein, a major polyphenol in olive leaves and olive oil, has been associated with a reduction in bone loss.\n\nMETHODS: We have analyzed the effects of oleuropein-at concentrations between 10(-6) and 10(-4) M-on the processes of osteoblastogenesis and adipogenesis in MSCs from human bone marrow.\n\nRESULTS: The results show an increase in osteoblast differentiation and a decrease in adipocyte differentiation when there is oleuropein in the culture media. The gene expression of osteoblastogenesis markers, RUNXII, osterix, collagen type I, osteocalcin, or alkaline phosphatase (ALP), was higher in osteoblast-induced oleuropein-treated cells. Also, the ALP activity and extracellular matrix mineralization were higher when oleuropein was present in the media. Oleuropein in MSCs induced adipocytes to produce a decrease in the expression of the genes involved in adipogenesis, the PPARγ, lipoprotein lipase, or fatty acid-binding protein 4, and minor fat accumulation.\n\nCONCLUSION: Our data suggest that oleuropein, highly abundant in olive tree products included in the traditional Mediterranean diet, could prevent age-related bone loss and osteoporosis.","author":[{"dropping-particle":"","family":"Santiago-Mora","given":"R","non-dropping-particle":"","parse-names":false,"suffix":""},{"dropping-particle":"","family":"Casado-Díaz","given":"a","non-dropping-particle":"","parse-names":false,"suffix":""},{"dropping-particle":"","family":"Castro","given":"M D","non-dropping-particle":"De","parse-names":false,"suffix":""},{"dropping-particle":"","family":"Quesada-Gómez","given":"J M","non-dropping-particle":"","parse-names":false,"suffix":""}],"container-title":"Osteoporosis international : a journal established as result of cooperation between the European Foundation for Osteoporosis and the National Osteoporosis Foundation of the USA","id":"ITEM-1","issue":"2","issued":{"date-parts":[["2011","2"]]},"page":"675-84","title":"Oleuropein enhances osteoblastogenesis and inhibits adipogenesis: the effect on differentiation in stem cells derived from bone marrow.","type":"article-journal","volume":"22"},"uris":["http://www.mendeley.com/documents/?uuid=1dcc0fa3-cf3a-48e3-ac5d-4953d4b44215"]}],"mendeley":{"formattedCitation":"&lt;sup&gt;[96]&lt;/sup&gt;","plainTextFormattedCitation":"[96]","previouslyFormattedCitation":"&lt;sup&gt;[96]&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[96]</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These results suggest that oleuropein favors osteogenesis, inhibiting bone resorption. The latter is accomplished by activating expression of </w:t>
      </w:r>
      <w:r w:rsidRPr="00B7408D">
        <w:rPr>
          <w:rFonts w:ascii="Book Antiqua" w:hAnsi="Book Antiqua" w:cs="Times New Roman"/>
          <w:i/>
          <w:color w:val="000000"/>
          <w:lang w:val="en-US"/>
        </w:rPr>
        <w:t>OPG</w:t>
      </w:r>
      <w:r w:rsidRPr="00B7408D">
        <w:rPr>
          <w:rFonts w:ascii="Book Antiqua" w:hAnsi="Book Antiqua" w:cs="Times New Roman"/>
          <w:color w:val="000000"/>
          <w:lang w:val="en-US"/>
        </w:rPr>
        <w:t xml:space="preserve">, which is a decoy receptor for the receptor activator of RANKL, which is an </w:t>
      </w:r>
      <w:proofErr w:type="spellStart"/>
      <w:r w:rsidRPr="00B7408D">
        <w:rPr>
          <w:rFonts w:ascii="Book Antiqua" w:hAnsi="Book Antiqua" w:cs="Times New Roman"/>
          <w:color w:val="000000"/>
          <w:lang w:val="en-US"/>
        </w:rPr>
        <w:t>osteoclastogenesis</w:t>
      </w:r>
      <w:proofErr w:type="spellEnd"/>
      <w:r w:rsidRPr="00B7408D">
        <w:rPr>
          <w:rFonts w:ascii="Book Antiqua" w:hAnsi="Book Antiqua" w:cs="Times New Roman"/>
          <w:color w:val="000000"/>
          <w:lang w:val="en-US"/>
        </w:rPr>
        <w:t xml:space="preserve"> activator. Therefore, an increase in </w:t>
      </w:r>
      <w:r w:rsidRPr="00B7408D">
        <w:rPr>
          <w:rFonts w:ascii="Book Antiqua" w:hAnsi="Book Antiqua" w:cs="Times New Roman"/>
          <w:i/>
          <w:color w:val="000000"/>
          <w:lang w:val="en-US"/>
        </w:rPr>
        <w:t>OPG</w:t>
      </w:r>
      <w:r w:rsidRPr="00B7408D">
        <w:rPr>
          <w:rFonts w:ascii="Book Antiqua" w:hAnsi="Book Antiqua" w:cs="Times New Roman"/>
          <w:color w:val="000000"/>
          <w:lang w:val="en-US"/>
        </w:rPr>
        <w:t xml:space="preserve"> expression reduces the ability of RANKL to activate </w:t>
      </w:r>
      <w:proofErr w:type="spellStart"/>
      <w:r w:rsidRPr="00B7408D">
        <w:rPr>
          <w:rFonts w:ascii="Book Antiqua" w:hAnsi="Book Antiqua" w:cs="Times New Roman"/>
          <w:color w:val="000000"/>
          <w:lang w:val="en-US"/>
        </w:rPr>
        <w:t>osteoclastogenesis</w:t>
      </w:r>
      <w:proofErr w:type="spellEnd"/>
      <w:r w:rsidRPr="00B7408D">
        <w:rPr>
          <w:rFonts w:ascii="Book Antiqua" w:hAnsi="Book Antiqua" w:cs="Times New Roman"/>
          <w:color w:val="000000"/>
          <w:lang w:val="en-US"/>
        </w:rPr>
        <w:t>.</w:t>
      </w:r>
    </w:p>
    <w:p w14:paraId="1E532953" w14:textId="65023C4D" w:rsidR="006A0C4B" w:rsidRPr="00B7408D" w:rsidRDefault="006A0C4B" w:rsidP="004D452C">
      <w:pPr>
        <w:adjustRightInd w:val="0"/>
        <w:snapToGrid w:val="0"/>
        <w:spacing w:line="360" w:lineRule="auto"/>
        <w:ind w:firstLineChars="100" w:firstLine="240"/>
        <w:jc w:val="both"/>
        <w:rPr>
          <w:rFonts w:ascii="Book Antiqua" w:hAnsi="Book Antiqua" w:cs="Times New Roman"/>
          <w:color w:val="000000"/>
          <w:lang w:val="en-US"/>
        </w:rPr>
      </w:pPr>
      <w:r w:rsidRPr="00B7408D">
        <w:rPr>
          <w:rFonts w:ascii="Book Antiqua" w:hAnsi="Book Antiqua" w:cs="Times New Roman"/>
          <w:color w:val="000000"/>
          <w:lang w:val="en-US"/>
        </w:rPr>
        <w:t xml:space="preserve">We have reported that </w:t>
      </w:r>
      <w:proofErr w:type="spellStart"/>
      <w:r w:rsidRPr="00B7408D">
        <w:rPr>
          <w:rFonts w:ascii="Book Antiqua" w:hAnsi="Book Antiqua" w:cs="Times New Roman"/>
          <w:color w:val="000000"/>
          <w:lang w:val="en-US"/>
        </w:rPr>
        <w:t>oleuropein</w:t>
      </w:r>
      <w:proofErr w:type="spellEnd"/>
      <w:r w:rsidRPr="00B7408D">
        <w:rPr>
          <w:rFonts w:ascii="Book Antiqua" w:hAnsi="Book Antiqua" w:cs="Times New Roman"/>
          <w:color w:val="000000"/>
          <w:lang w:val="en-US"/>
        </w:rPr>
        <w:t xml:space="preserve"> inhibits </w:t>
      </w:r>
      <w:proofErr w:type="spellStart"/>
      <w:r w:rsidRPr="00B7408D">
        <w:rPr>
          <w:rFonts w:ascii="Book Antiqua" w:hAnsi="Book Antiqua" w:cs="Times New Roman"/>
          <w:color w:val="000000"/>
          <w:lang w:val="en-US"/>
        </w:rPr>
        <w:t>adipogenic</w:t>
      </w:r>
      <w:proofErr w:type="spellEnd"/>
      <w:r w:rsidRPr="00B7408D">
        <w:rPr>
          <w:rFonts w:ascii="Book Antiqua" w:hAnsi="Book Antiqua" w:cs="Times New Roman"/>
          <w:color w:val="000000"/>
          <w:lang w:val="en-US"/>
        </w:rPr>
        <w:t xml:space="preserve"> differentiation of MSCs by downregulating </w:t>
      </w:r>
      <w:proofErr w:type="spellStart"/>
      <w:r w:rsidRPr="00B7408D">
        <w:rPr>
          <w:rFonts w:ascii="Book Antiqua" w:hAnsi="Book Antiqua" w:cs="Times New Roman"/>
          <w:i/>
          <w:color w:val="000000"/>
          <w:lang w:val="en-US"/>
        </w:rPr>
        <w:t>PPARγ</w:t>
      </w:r>
      <w:proofErr w:type="spellEnd"/>
      <w:r w:rsidRPr="00B7408D">
        <w:rPr>
          <w:rFonts w:ascii="Book Antiqua" w:hAnsi="Book Antiqua" w:cs="Times New Roman"/>
          <w:color w:val="000000"/>
          <w:lang w:val="en-US"/>
        </w:rPr>
        <w:t xml:space="preserve"> and other </w:t>
      </w:r>
      <w:proofErr w:type="spellStart"/>
      <w:r w:rsidRPr="00B7408D">
        <w:rPr>
          <w:rFonts w:ascii="Book Antiqua" w:hAnsi="Book Antiqua" w:cs="Times New Roman"/>
          <w:color w:val="000000"/>
          <w:lang w:val="en-US"/>
        </w:rPr>
        <w:t>adipogenic</w:t>
      </w:r>
      <w:proofErr w:type="spellEnd"/>
      <w:r w:rsidRPr="00B7408D">
        <w:rPr>
          <w:rFonts w:ascii="Book Antiqua" w:hAnsi="Book Antiqua" w:cs="Times New Roman"/>
          <w:color w:val="000000"/>
          <w:lang w:val="en-US"/>
        </w:rPr>
        <w:t xml:space="preserve"> genes, reducing fat droplet formation in treated cultures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{"citationItems":[{"id":"ITEM-1","itemData":{"DOI":"10.1007/s00198-010-1270-x","ISSN":"1433-2965","PMID":"20495905","abstract":"UNLABELLED: The effects of oleuropein on the processes of osteoblastogenesis and adipogenesis in mesenchymal stem cells (MSCs) from human bone marrow have been studied. We report that oleuropein, a polyphenol abundant in olive tree products, reduces the expression of peroxisome proliferator-activated receptor gamma (PPARγ), inhibits adipocyte differentiation, and enhances differentiation into osteoblast.\n\nINTRODUCTION: Age-related bone loss is associated with osteoblast insufficiency during continuous bone remodeling. It has been suggested that the formation of osteoblasts in bone marrow is closely associated with adipogenesis, and age-related changes in this relationship could be responsible for the progressive adiposity of bone marrow which occurs with osteoporosis. In addition, the consumption of oleuropein, a major polyphenol in olive leaves and olive oil, has been associated with a reduction in bone loss.\n\nMETHODS: We have analyzed the effects of oleuropein-at concentrations between 10(-6) and 10(-4) M-on the processes of osteoblastogenesis and adipogenesis in MSCs from human bone marrow.\n\nRESULTS: The results show an increase in osteoblast differentiation and a decrease in adipocyte differentiation when there is oleuropein in the culture media. The gene expression of osteoblastogenesis markers, RUNXII, osterix, collagen type I, osteocalcin, or alkaline phosphatase (ALP), was higher in osteoblast-induced oleuropein-treated cells. Also, the ALP activity and extracellular matrix mineralization were higher when oleuropein was present in the media. Oleuropein in MSCs induced adipocytes to produce a decrease in the expression of the genes involved in adipogenesis, the PPARγ, lipoprotein lipase, or fatty acid-binding protein 4, and minor fat accumulation.\n\nCONCLUSION: Our data suggest that oleuropein, highly abundant in olive tree products included in the traditional Mediterranean diet, could prevent age-related bone loss and osteoporosis.","author":[{"dropping-particle":"","family":"Santiago-Mora","given":"R","non-dropping-particle":"","parse-names":false,"suffix":""},{"dropping-particle":"","family":"Casado-Díaz","given":"a","non-dropping-particle":"","parse-names":false,"suffix":""},{"dropping-particle":"","family":"Castro","given":"M D","non-dropping-particle":"De","parse-names":false,"suffix":""},{"dropping-particle":"","family":"Quesada-Gómez","given":"J M","non-dropping-particle":"","parse-names":false,"suffix":""}],"container-title":"Osteoporosis international : a journal established as result of cooperation between the European Foundation for Osteoporosis and the National Osteoporosis Foundation of the USA","id":"ITEM-1","issue":"2","issued":{"date-parts":[["2011","2"]]},"page":"675-84","title":"Oleuropein enhances osteoblastogenesis and inhibits adipogenesis: the effect on differentiation in stem cells derived from bone marrow.","type":"article-journal","volume":"22"},"uris":["http://www.mendeley.com/documents/?uuid=1dcc0fa3-cf3a-48e3-ac5d-4953d4b44215"]}],"mendeley":{"formattedCitation":"&lt;sup&gt;[96]&lt;/sup&gt;","plainTextFormattedCitation":"[96]","previouslyFormattedCitation":"&lt;sup&gt;[96]&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[96]</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We have also carried out transcriptomic analyses of MSCs induced to differentiate into adipocytes in the presence of oleuropein. Interestingly, this compound restored expression of 60% of the genes repressed during adipogenesis, activating some signaling pathways, like Rho [family of guanosine triphosphate (GTP)</w:t>
      </w:r>
      <w:r w:rsidR="009D164D" w:rsidRPr="00B7408D">
        <w:rPr>
          <w:rFonts w:ascii="Book Antiqua" w:hAnsi="Book Antiqua" w:cs="Times New Roman"/>
          <w:color w:val="000000"/>
          <w:lang w:val="en-US"/>
        </w:rPr>
        <w:t xml:space="preserve"> </w:t>
      </w:r>
      <w:proofErr w:type="spellStart"/>
      <w:r w:rsidRPr="00B7408D">
        <w:rPr>
          <w:rFonts w:ascii="Book Antiqua" w:hAnsi="Book Antiqua" w:cs="Times New Roman"/>
          <w:color w:val="000000"/>
          <w:lang w:val="en-US"/>
        </w:rPr>
        <w:t>ases</w:t>
      </w:r>
      <w:proofErr w:type="spellEnd"/>
      <w:r w:rsidRPr="00B7408D">
        <w:rPr>
          <w:rFonts w:ascii="Book Antiqua" w:hAnsi="Book Antiqua" w:cs="Times New Roman"/>
          <w:color w:val="000000"/>
          <w:lang w:val="en-US"/>
        </w:rPr>
        <w:t>] and beta-catenin, and inhibiting others related to mitochondrial activity, which are induced during adipogenesis. This indicates that the presence of oleuropein keeps MSCs that have been induced to adipocytes in a more undifferentiated state</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{"citationItems":[{"id":"ITEM-1","itemData":{"DOI":"10.1039/c7fo00045f","ISSN":"2042650X","abstract":"© The Royal Society of Chemistry. Extra virgin olive oil has positive effects on health. Oleuropein is a polyphenolic compound present in olive-tree leaves, fruits (olives) and olive oil. It is responsible for the relevant organoleptic and biological properties of olive oil, including antiadipogenic properties. Thus, the effects of oleuropein on the adipogenesis of human bone-marrow mesenchymal stem cells were studied by transcriptomics and differential gene-expression analyses. Oleuropein could upregulate expression of 60% of adipogenesis-repressed genes. Besides, it could activate signaling pathways such as Rho and β-catenin, maintaining cells at an undifferentiated stage. Our data suggest that mitochondrial activity is reduced by oleuropein, mostly during adipogenic differentiation. These results shed light on oleuropein activity on cells, with potential application as a “nutraceutical” for the prevention and treatment of diseases such as obesity and osteoporosis.","author":[{"dropping-particle":"","family":"Casado-Díaz","given":"A.","non-dropping-particle":"","parse-names":false,"suffix":""},{"dropping-particle":"","family":"Anter","given":"J.","non-dropping-particle":"","parse-names":false,"suffix":""},{"dropping-particle":"","family":"Müller","given":"S.","non-dropping-particle":"","parse-names":false,"suffix":""},{"dropping-particle":"","family":"Winter","given":"P.","non-dropping-particle":"","parse-names":false,"suffix":""},{"dropping-particle":"","family":"Quesada-Gómez","given":"J.M.","non-dropping-particle":"","parse-names":false,"suffix":""},{"dropping-particle":"","family":"Dorado","given":"G.","non-dropping-particle":"","parse-names":false,"suffix":""}],"container-title":"Food and Function","id":"ITEM-1","issue":"3","issued":{"date-parts":[["2017"]]},"title":"Transcriptomic analyses of the anti-adipogenic effects of oleuropein in human mesenchymal stem cells","type":"article-journal","volume":"8"},"uris":["http://www.mendeley.com/documents/?uuid=f46ff798-e41d-3a89-84d8-3af73358a0c1"]}],"mendeley":{"formattedCitation":"&lt;sup&gt;[97]&lt;/sup&gt;","plainTextFormattedCitation":"[97]","previouslyFormattedCitation":"&lt;sup&gt;[97]&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[97]</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Therefore, since this compound favors </w:t>
      </w:r>
      <w:proofErr w:type="spellStart"/>
      <w:r w:rsidRPr="00B7408D">
        <w:rPr>
          <w:rFonts w:ascii="Book Antiqua" w:hAnsi="Book Antiqua" w:cs="Times New Roman"/>
          <w:color w:val="000000"/>
          <w:lang w:val="en-US"/>
        </w:rPr>
        <w:t>osteoblastogenesis</w:t>
      </w:r>
      <w:proofErr w:type="spellEnd"/>
      <w:r w:rsidRPr="00B7408D">
        <w:rPr>
          <w:rFonts w:ascii="Book Antiqua" w:hAnsi="Book Antiqua" w:cs="Times New Roman"/>
          <w:color w:val="000000"/>
          <w:lang w:val="en-US"/>
        </w:rPr>
        <w:t xml:space="preserve"> </w:t>
      </w:r>
      <w:r w:rsidRPr="00B7408D">
        <w:rPr>
          <w:rFonts w:ascii="Book Antiqua" w:hAnsi="Book Antiqua" w:cs="Times New Roman"/>
          <w:i/>
          <w:color w:val="000000"/>
          <w:lang w:val="en-US"/>
        </w:rPr>
        <w:t>versus</w:t>
      </w:r>
      <w:r w:rsidRPr="00B7408D">
        <w:rPr>
          <w:rFonts w:ascii="Book Antiqua" w:hAnsi="Book Antiqua" w:cs="Times New Roman"/>
          <w:color w:val="000000"/>
          <w:lang w:val="en-US"/>
        </w:rPr>
        <w:t xml:space="preserve"> </w:t>
      </w:r>
      <w:proofErr w:type="spellStart"/>
      <w:r w:rsidRPr="00B7408D">
        <w:rPr>
          <w:rFonts w:ascii="Book Antiqua" w:hAnsi="Book Antiqua" w:cs="Times New Roman"/>
          <w:color w:val="000000"/>
          <w:lang w:val="en-US"/>
        </w:rPr>
        <w:t>adipogenesis</w:t>
      </w:r>
      <w:proofErr w:type="spellEnd"/>
      <w:r w:rsidRPr="00B7408D">
        <w:rPr>
          <w:rFonts w:ascii="Book Antiqua" w:hAnsi="Book Antiqua" w:cs="Times New Roman"/>
          <w:color w:val="000000"/>
          <w:lang w:val="en-US"/>
        </w:rPr>
        <w:t xml:space="preserve">, it can have osteoprotective properties and its consumption may prevent some diseases, like osteoporosis. It can also be beneficial in physiological processes affecting bone </w:t>
      </w:r>
      <w:r w:rsidRPr="00B7408D">
        <w:rPr>
          <w:rFonts w:ascii="Book Antiqua" w:hAnsi="Book Antiqua" w:cs="Times New Roman"/>
          <w:color w:val="000000"/>
          <w:lang w:val="en-US"/>
        </w:rPr>
        <w:lastRenderedPageBreak/>
        <w:t xml:space="preserve">health, like aging. That rationale is supported by the fact that treatment with 10 mg of oleuropein/kg every 3 d prevented loss of trabecular bone in the femurs of ovariectomized mice. Besides, the authors also showed in </w:t>
      </w:r>
      <w:r w:rsidRPr="00B7408D">
        <w:rPr>
          <w:rFonts w:ascii="Book Antiqua" w:hAnsi="Book Antiqua" w:cs="Times New Roman"/>
          <w:i/>
          <w:color w:val="000000"/>
          <w:lang w:val="en-US"/>
        </w:rPr>
        <w:t>in vitro</w:t>
      </w:r>
      <w:r w:rsidRPr="00B7408D">
        <w:rPr>
          <w:rFonts w:ascii="Book Antiqua" w:hAnsi="Book Antiqua" w:cs="Times New Roman"/>
          <w:color w:val="000000"/>
          <w:lang w:val="en-US"/>
        </w:rPr>
        <w:t xml:space="preserve"> studies that this compound favored mineralization of MC3T3-E1 </w:t>
      </w:r>
      <w:proofErr w:type="spellStart"/>
      <w:r w:rsidRPr="00B7408D">
        <w:rPr>
          <w:rFonts w:ascii="Book Antiqua" w:hAnsi="Book Antiqua" w:cs="Times New Roman"/>
          <w:color w:val="000000"/>
          <w:lang w:val="en-US"/>
        </w:rPr>
        <w:t>preosteoblastic</w:t>
      </w:r>
      <w:proofErr w:type="spellEnd"/>
      <w:r w:rsidRPr="00B7408D">
        <w:rPr>
          <w:rFonts w:ascii="Book Antiqua" w:hAnsi="Book Antiqua" w:cs="Times New Roman"/>
          <w:color w:val="000000"/>
          <w:lang w:val="en-US"/>
        </w:rPr>
        <w:t xml:space="preserve"> cells from mice and inhibited </w:t>
      </w:r>
      <w:proofErr w:type="spellStart"/>
      <w:r w:rsidRPr="00B7408D">
        <w:rPr>
          <w:rFonts w:ascii="Book Antiqua" w:hAnsi="Book Antiqua" w:cs="Times New Roman"/>
          <w:color w:val="000000"/>
          <w:lang w:val="en-US"/>
        </w:rPr>
        <w:t>osteoclastogenesis</w:t>
      </w:r>
      <w:proofErr w:type="spellEnd"/>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{"citationItems":[{"id":"ITEM-1","itemData":{"DOI":"10.1016/j.ejphar.2011.04.023","ISBN":"0014-2999","ISSN":"00142999","PMID":"21539839","abstract":"Polyphenols reportedly exert physiological effects against diseases such as cancer, arteriosclerosis, hyperlipidemia and osteoporosis. The present study was designed to evaluate the effects of oleuropein, hydroxytyrosol and tyrosol, the major polyphenols in olives, on bone formation using cultured osteoblasts and osteoclasts, and on bone loss in ovariectomized mice. No polyphenols markedly affected the proliferation of osteoblastic MC3T3-E1 cells at concentrations up to 10 ??M. Oleuropein and hydroxytyrosol at 10 to 100 ??M had no effect on the production of type I collagen and the activity of alkaline phosphatase in MC3T3-E1 cells, but stimulated the deposition of calcium in a dose-dependent manner. In contrast, oleuropein at 10 to 100 ??M and hydroxytyrosol at 50 to 100 ??M inhibited the formation of multinucleated osteoclasts in a dose-dependent manner. Furthermore, both compounds suppressed the bone loss of trabecular bone in femurs of ovariectomized mice (6-week-old BALB/c female mice), while hydroxytyrosol attenuated H2O2 levels in MC3T3-E1 cells. Our findings indicate that the olive polyphenols oleuropein and hydroxytyrosol may have critical effects on the formation and maintenance of bone, and can be used as effective remedies in the treatment of osteoporosis symptoms. ?? 2011 Elsevier B.V. All rights reserved.","author":[{"dropping-particle":"","family":"Hagiwara","given":"Keitaro","non-dropping-particle":"","parse-names":false,"suffix":""},{"dropping-particle":"","family":"Goto","given":"Tadashi","non-dropping-particle":"","parse-names":false,"suffix":""},{"dropping-particle":"","family":"Araki","given":"Masahiro","non-dropping-particle":"","parse-names":false,"suffix":""},{"dropping-particle":"","family":"Miyazaki","given":"Hitoshi","non-dropping-particle":"","parse-names":false,"suffix":""},{"dropping-particle":"","family":"Hagiwara","given":"Hiromi","non-dropping-particle":"","parse-names":false,"suffix":""}],"container-title":"European Journal of Pharmacology","id":"ITEM-1","issue":"1-3","issued":{"date-parts":[["2011"]]},"page":"78-84","publisher":"Elsevier B.V.","title":"Olive polyphenol hydroxytyrosol prevents bone loss","type":"article-journal","volume":"662"},"uris":["http://www.mendeley.com/documents/?uuid=42871b03-c8ec-4cf8-bcd9-013c3a5b4aa6"]}],"mendeley":{"formattedCitation":"&lt;sup&gt;[98]&lt;/sup&gt;","plainTextFormattedCitation":"[98]","previouslyFormattedCitation":"&lt;sup&gt;[98]&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[98]</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w:t>
      </w:r>
    </w:p>
    <w:p w14:paraId="77652998" w14:textId="30C2FCAE" w:rsidR="006A0C4B" w:rsidRPr="00B7408D" w:rsidRDefault="006A0C4B" w:rsidP="004D452C">
      <w:pPr>
        <w:adjustRightInd w:val="0"/>
        <w:snapToGrid w:val="0"/>
        <w:spacing w:line="360" w:lineRule="auto"/>
        <w:ind w:firstLineChars="100" w:firstLine="240"/>
        <w:jc w:val="both"/>
        <w:rPr>
          <w:rFonts w:ascii="Book Antiqua" w:hAnsi="Book Antiqua" w:cs="Times New Roman"/>
          <w:color w:val="000000"/>
          <w:lang w:val="en-US"/>
        </w:rPr>
      </w:pPr>
      <w:r w:rsidRPr="00B7408D">
        <w:rPr>
          <w:rFonts w:ascii="Book Antiqua" w:hAnsi="Book Antiqua" w:cs="Times New Roman"/>
          <w:color w:val="000000"/>
          <w:lang w:val="en-US"/>
        </w:rPr>
        <w:t>Additionally, oleuropein can prevent formation of ectopic fat, preventing obesity. Indeed, it has been reported that this phenolic compound</w:t>
      </w:r>
      <w:r w:rsidRPr="00B7408D" w:rsidDel="00E567C9">
        <w:rPr>
          <w:rFonts w:ascii="Book Antiqua" w:hAnsi="Book Antiqua" w:cs="Times New Roman"/>
          <w:color w:val="000000"/>
          <w:lang w:val="en-US"/>
        </w:rPr>
        <w:t xml:space="preserve"> </w:t>
      </w:r>
      <w:r w:rsidRPr="00B7408D">
        <w:rPr>
          <w:rFonts w:ascii="Book Antiqua" w:hAnsi="Book Antiqua" w:cs="Times New Roman"/>
          <w:color w:val="000000"/>
          <w:lang w:val="en-US"/>
        </w:rPr>
        <w:t>prevented formation of visceral fat in obese mice and inhibited adipogenesis in 3T3-L1 preadipocytes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{"citationItems":[{"id":"ITEM-1","itemData":{"DOI":"10.1002/mnfr.201400159","ISSN":"16134133","abstract":"SCOPE: The aim of the present study was to investigate the antiobesity effect of oleuropein on high-fat diet (HFD) induced body weight gain and visceral adiposity in mice, and to explore the underlying mechanisms involved. METHODS AND RESULTS: C57BL/6N mice were fed with a normal diet, HFD (40% fat of total energy), and HFD-supplemented with 0.03% oleuropein for 10 wk. Oleuropein significantly reduced HFD-induced body weight gain and visceral adiposity. Oleuropein also significantly reversed the HFD-induced elevations of adipogenic related gene expression involved in WNT10b- and galanin-mediated signalings in adipose tissue of mice. Consistent with in vivo findings, oleuropein dose-dependently suppressed lipid accumulation in 3T3-L1 cells during preadipocyte differentiation. Additionally, exposure of the 3T3-L1 preadipocytes to oleuropein resulted in a marked attenuation of the secreted frizzled-related protein 2 (WNT inhibitor) or galnon (galanin receptor agonist) induced cellular lipid accumulation. CONCLUSION: This study demonstrated the oleuropein-reduced body weight gain and visceral adiposity in HFD-fed mice. The protective effect of oleuropein against HFD-induced adiposity in mice appeared to be mediated through the upregulation of genes involved in WNT10b-mediated signaling and downregulation of genes involved in galanin-mediated signaling cascades.","author":[{"dropping-particle":"","family":"Kuem","given":"Narae","non-dropping-particle":"","parse-names":false,"suffix":""},{"dropping-particle":"","family":"Song","given":"Su Jin","non-dropping-particle":"","parse-names":false,"suffix":""},{"dropping-particle":"","family":"Yu","given":"Rina","non-dropping-particle":"","parse-names":false,"suffix":""},{"dropping-particle":"","family":"Yun","given":"Jong Won","non-dropping-particle":"","parse-names":false,"suffix":""},{"dropping-particle":"","family":"Park","given":"Taesun","non-dropping-particle":"","parse-names":false,"suffix":""}],"container-title":"Molecular Nutrition and Food Research","id":"ITEM-1","issue":"11","issued":{"date-parts":[["2014"]]},"page":"2166-2176","title":"Oleuropein attenuates visceral adiposity in high-fat diet-induced obese mice through the modulation of WNT10b- and galanin-mediated signalings","type":"article-journal","volume":"58"},"uris":["http://www.mendeley.com/documents/?uuid=825c3327-85ba-46cb-a938-588bf81c3b3a"]}],"mendeley":{"formattedCitation":"&lt;sup&gt;[99]&lt;/sup&gt;","plainTextFormattedCitation":"[99]","previouslyFormattedCitation":"&lt;sup&gt;[99]&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[99]</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Oleuropein may also have antiaging effects on MSCs, maintaining a better regenerative capacity of the organism with advanced age. This is because it can inhibit the phosphatidylinositol 3</w:t>
      </w:r>
      <w:r w:rsidRPr="00B7408D">
        <w:rPr>
          <w:rFonts w:ascii="宋体" w:eastAsia="宋体" w:hAnsi="宋体" w:cs="宋体" w:hint="eastAsia"/>
          <w:color w:val="000000"/>
          <w:lang w:val="en-US"/>
        </w:rPr>
        <w:t>‐</w:t>
      </w:r>
      <w:r w:rsidRPr="00B7408D">
        <w:rPr>
          <w:rFonts w:ascii="Book Antiqua" w:hAnsi="Book Antiqua" w:cs="Times New Roman"/>
          <w:color w:val="000000"/>
          <w:lang w:val="en-US"/>
        </w:rPr>
        <w:t>kinase/</w:t>
      </w:r>
      <w:proofErr w:type="spellStart"/>
      <w:r w:rsidRPr="00B7408D">
        <w:rPr>
          <w:rFonts w:ascii="Book Antiqua" w:hAnsi="Book Antiqua" w:cs="Times New Roman"/>
          <w:color w:val="000000"/>
          <w:lang w:val="en-US"/>
        </w:rPr>
        <w:t>Akt</w:t>
      </w:r>
      <w:proofErr w:type="spellEnd"/>
      <w:r w:rsidRPr="00B7408D">
        <w:rPr>
          <w:rFonts w:ascii="Book Antiqua" w:hAnsi="Book Antiqua" w:cs="Times New Roman"/>
          <w:color w:val="000000"/>
          <w:lang w:val="en-US"/>
        </w:rPr>
        <w:t>/mammalian target of rapamycin (commonly known as mTOR) signaling pathway on MSCs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{"citationItems":[{"id":"ITEM-1","itemData":{"DOI":"10.4161/cc.23756","ISSN":"1551-4005","PMID":"23370395","abstract":"Aging can be viewed as a quasi-programmed phenomenon driven by the overactivation of the nutrient-sensing mTOR gerogene. mTOR-driven aging can be triggered or accelerated by a decline or loss of responsiveness to activation of the energy-sensing protein AMPK, a critical gerosuppressor of mTOR. The occurrence of age-related diseases, therefore, reflects the synergistic interaction between our evolutionary path to sedentarism, which chronically increases a number of mTOR activating gero-promoters (e.g., food, growth factors, cytokines and insulin) and the \"defective design\" of central metabolic integrators such as mTOR and AMPK. Our laboratories at the Bioactive Food Component Platform in Spain have initiated a systematic approach to molecularly elucidate and clinically explore whether the \"xenohormesis hypothesis,\" which states that stress-induced synthesis of plant polyphenols and many other phytochemicals provides an environmental chemical signature that upregulates stress-resistance pathways in plant consumers, can be explained in terms of the reactivity of the AMPK/mTOR-axis to so-called xenohormetins. Here, we explore the AMPK/mTOR-xenohormetic nature of complex polyphenols naturally present in extra virgin olive oil (EVOO), a pivotal component of the Mediterranean style diet that has been repeatedly associated with a reduction in age-related morbid conditions and longer life expectancy. Using crude EVOO phenolic extracts highly enriched in the secoiridoids oleuropein aglycon and decarboxymethyl oleuropein aglycon, we show for the first time that (1) the anticancer activity of EVOO secoiridoids is related to the activation of anti-aging/cellular stress-like gene signatures, including endoplasmic reticulum (ER) stress and the unfolded protein response, spermidine and polyamine metabolism, sirtuin-1 (SIRT1) and NRF2 signaling; (2) EVOO secoiridoids activate AMPK and suppress crucial genes involved in the Warburg effect and the self-renewal capacity of \"immortal\" cancer stem cells; (3) EVOO secoiridoids prevent age-related changes in the cell size, morphological heterogeneity, arrayed cell arrangement and senescence-associated β-galactosidase staining of normal diploid human fibroblasts at the end of their proliferative lifespans. EVOO secoiridoids, which provide an effective defense against plant attack by herbivores and pathogens, are bona fide xenohormetins that are able to activate the gerosuppressor AMPK and trigger numerous resveratrol-like anti-…","author":[{"dropping-particle":"","family":"Menendez","given":"Javier A","non-dropping-particle":"","parse-names":false,"suffix":""},{"dropping-particle":"","family":"Joven","given":"Jorge","non-dropping-particle":"","parse-names":false,"suffix":""},{"dropping-particle":"","family":"Aragonès","given":"Gerard","non-dropping-particle":"","parse-names":false,"suffix":""},{"dropping-particle":"","family":"Barrajón-Catalán","given":"Enrique","non-dropping-particle":"","parse-names":false,"suffix":""},{"dropping-particle":"","family":"Beltrán-Debón","given":"Raúl","non-dropping-particle":"","parse-names":false,"suffix":""},{"dropping-particle":"","family":"Borrás-Linares","given":"Isabel","non-dropping-particle":"","parse-names":false,"suffix":""},{"dropping-particle":"","family":"Camps","given":"Jordi","non-dropping-particle":"","parse-names":false,"suffix":""},{"dropping-particle":"","family":"Corominas-Faja","given":"Bruna","non-dropping-particle":"","parse-names":false,"suffix":""},{"dropping-particle":"","family":"Cufí","given":"Sílvia","non-dropping-particle":"","parse-names":false,"suffix":""},{"dropping-particle":"","family":"Fernández-Arroyo","given":"Salvador","non-dropping-particle":"","parse-names":false,"suffix":""},{"dropping-particle":"","family":"Garcia-Heredia","given":"Anabel","non-dropping-particle":"","parse-names":false,"suffix":""},{"dropping-particle":"","family":"Hernández-Aguilera","given":"Anna","non-dropping-particle":"","parse-names":false,"suffix":""},{"dropping-particle":"","family":"Herranz-López","given":"María","non-dropping-particle":"","parse-names":false,"suffix":""},{"dropping-particle":"","family":"Jiménez-Sánchez","given":"Cecilia","non-dropping-particle":"","parse-names":false,"suffix":""},{"dropping-particle":"","family":"López-Bonet","given":"Eugeni","non-dropping-particle":"","parse-names":false,"suffix":""},{"dropping-particle":"","family":"Lozano-Sánchez","given":"Jesús","non-dropping-particle":"","parse-names":false,"suffix":""},{"dropping-particle":"","family":"Luciano-Mateo","given":"Fedra","non-dropping-particle":"","parse-names":false,"suffix":""},{"dropping-particle":"","family":"Martin-Castillo","given":"Begoña","non-dropping-particle":"","parse-names":false,"suffix":""},{"dropping-particle":"","family":"Martin-Paredero","given":"Vicente","non-dropping-particle":"","parse-names":false,"suffix":""},{"dropping-particle":"","family":"Pérez-Sánchez","given":"Almudena","non-dropping-particle":"","parse-names":false,"suffix":""},{"dropping-particle":"","family":"Oliveras-Ferraros","given":"Cristina","non-dropping-particle":"","parse-names":false,"suffix":""},{"dropping-particle":"","family":"Riera-Borrull","given":"Marta","non-dropping-particle":"","parse-names":false,"suffix":""},{"dropping-particle":"","family":"Rodríguez-Gallego","given":"Esther","non-dropping-particle":"","parse-names":false,"suffix":""},{"dropping-particle":"","family":"Quirantes-Piné","given":"Rosa","non-dropping-particle":"","parse-names":false,"suffix":""},{"dropping-particle":"","family":"Rull","given":"Anna","non-dropping-particle":"","parse-names":false,"suffix":""},{"dropping-particle":"","family":"Tomás-Menor","given":"Laura","non-dropping-particle":"","parse-names":false,"suffix":""},{"dropping-particle":"","family":"Vazquez-Martin","given":"Alejandro","non-dropping-particle":"","parse-names":false,"suffix":""},{"dropping-particle":"","family":"Alonso-Villaverde","given":"Carlos","non-dropping-particle":"","parse-names":false,"suffix":""},{"dropping-particle":"","family":"Micol","given":"Vicente","non-dropping-particle":"","parse-names":false,"suffix":""},{"dropping-particle":"","family":"Segura-Carretero","given":"Antonio","non-dropping-particle":"","parse-names":false,"suffix":""}],"container-title":"Cell cycle","id":"ITEM-1","issue":"4","issued":{"date-parts":[["2013","2","15"]]},"page":"555-78","title":"Xenohormetic and anti-aging activity of secoiridoid polyphenols present in extra virgin olive oil: a new family of gerosuppressant agents.","type":"article-journal","volume":"12"},"uris":["http://www.mendeley.com/documents/?uuid=11540c01-82be-309e-8bec-922f0053210c"]}],"mendeley":{"formattedCitation":"&lt;sup&gt;[100]&lt;/sup&gt;","plainTextFormattedCitation":"[100]","previouslyFormattedCitation":"&lt;sup&gt;[100]&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[100]</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The inhibition of phosphoinositide 3-kinases (commonly known as PI3Ks)/</w:t>
      </w:r>
      <w:proofErr w:type="spellStart"/>
      <w:r w:rsidRPr="00B7408D">
        <w:rPr>
          <w:rFonts w:ascii="Book Antiqua" w:hAnsi="Book Antiqua" w:cs="Times New Roman"/>
          <w:color w:val="000000"/>
          <w:lang w:val="en-US"/>
        </w:rPr>
        <w:t>Akt</w:t>
      </w:r>
      <w:proofErr w:type="spellEnd"/>
      <w:r w:rsidRPr="00B7408D">
        <w:rPr>
          <w:rFonts w:ascii="Book Antiqua" w:hAnsi="Book Antiqua" w:cs="Times New Roman"/>
          <w:color w:val="000000"/>
          <w:lang w:val="en-US"/>
        </w:rPr>
        <w:t>/</w:t>
      </w:r>
      <w:proofErr w:type="spellStart"/>
      <w:r w:rsidRPr="00B7408D">
        <w:rPr>
          <w:rFonts w:ascii="Book Antiqua" w:hAnsi="Book Antiqua" w:cs="Times New Roman"/>
          <w:color w:val="000000"/>
          <w:lang w:val="en-US"/>
        </w:rPr>
        <w:t>mTOR</w:t>
      </w:r>
      <w:proofErr w:type="spellEnd"/>
      <w:r w:rsidRPr="00B7408D">
        <w:rPr>
          <w:rFonts w:ascii="Book Antiqua" w:hAnsi="Book Antiqua" w:cs="Times New Roman"/>
          <w:color w:val="000000"/>
          <w:lang w:val="en-US"/>
        </w:rPr>
        <w:t xml:space="preserve"> pathway maintained high proliferative and differentiation capacities in MSCs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{"citationItems":[{"id":"ITEM-1","itemData":{"DOI":"10.1002/stem.1709","ISSN":"15494918","PMID":"24659476","abstract":"The decline in mesenchymal stem cell (MSC) self-renewal and function with aging contributes to diseases associated with impaired osteogenesis. MSC donor age in prolonged culture also limits the therapeutic potential of these cells for tissue engineering and regenerative medicine. Here, we demonstrate an intervention to preserve the immature state MSC and consequently maintain self-renewal and differentiation capacity during in vitro aging. We showed that block- ing of phosphatidylinositol 3-kinase/Akt/mammalian target of rapamycin (mTOR) prevents the development of an age-related phenotype and maintains MSC morphology of early passage cells with high clonogenic frequency and enhanced proliferative capacity. MSC cultured in the pres- ence of inhibitors of Akt or mTOR also robustly maintain their osteogenic potential, that is oth- erwise lost during in vitro aging. We further report that these effects may be mediated by induction of expression of pluripotency genes Nanog and Oct-4 and by the reduction in the pro- duction of cytoplasmic reactive oxygen species (ROS). Additionally, loss of Akt/mTOR and ROS was accompanied with lower levels of DNA damage. These results provide an insight into mech- anisms involved in MSC aging and suggest possible interventions to maintain quiescence and function of MSC prior to in vivo transplantation or as pharmacological agents in diseases associ- ated with loss of MSC function.","author":[{"dropping-particle":"","family":"Gharibi","given":"Borzo","non-dropping-particle":"","parse-names":false,"suffix":""},{"dropping-particle":"","family":"Farzadi","given":"Samira","non-dropping-particle":"","parse-names":false,"suffix":""},{"dropping-particle":"","family":"Ghuman","given":"Mandeep","non-dropping-particle":"","parse-names":false,"suffix":""},{"dropping-particle":"","family":"Hughes","given":"Francis J","non-dropping-particle":"","parse-names":false,"suffix":""}],"container-title":"Stem Cells","id":"ITEM-1","issue":"8","issued":{"date-parts":[["2014","8"]]},"page":"2256-2266","title":"Inhibition of Akt/mTOR attenuates age-related changes in mesenchymal stem cells","type":"article-journal","volume":"32"},"uris":["http://www.mendeley.com/documents/?uuid=517218b6-1dd6-31f8-8cec-53b51bb70958"]}],"mendeley":{"formattedCitation":"&lt;sup&gt;[101]&lt;/sup&gt;","plainTextFormattedCitation":"[101]","previouslyFormattedCitation":"&lt;sup&gt;[101]&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[101]</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w:t>
      </w:r>
      <w:proofErr w:type="spellStart"/>
      <w:r w:rsidRPr="00B7408D">
        <w:rPr>
          <w:rFonts w:ascii="Book Antiqua" w:hAnsi="Book Antiqua" w:cs="Times New Roman"/>
          <w:color w:val="000000"/>
          <w:lang w:val="en-US"/>
        </w:rPr>
        <w:t>Akt</w:t>
      </w:r>
      <w:proofErr w:type="spellEnd"/>
      <w:r w:rsidRPr="00B7408D">
        <w:rPr>
          <w:rFonts w:ascii="Book Antiqua" w:hAnsi="Book Antiqua" w:cs="Times New Roman"/>
          <w:color w:val="000000"/>
          <w:lang w:val="en-US"/>
        </w:rPr>
        <w:t xml:space="preserve"> stands for </w:t>
      </w:r>
      <w:proofErr w:type="spellStart"/>
      <w:r w:rsidRPr="00B7408D">
        <w:rPr>
          <w:rFonts w:ascii="Book Antiqua" w:hAnsi="Book Antiqua" w:cs="Times New Roman"/>
          <w:color w:val="000000"/>
          <w:lang w:val="en-US"/>
        </w:rPr>
        <w:t>Ras</w:t>
      </w:r>
      <w:proofErr w:type="spellEnd"/>
      <w:r w:rsidRPr="00B7408D">
        <w:rPr>
          <w:rFonts w:ascii="Book Antiqua" w:hAnsi="Book Antiqua" w:cs="Times New Roman"/>
          <w:color w:val="000000"/>
          <w:lang w:val="en-US"/>
        </w:rPr>
        <w:t>-related C3 botulinum toxin substrate 1, (RAC)-alpha serine/threonine-protein kinase, also known as protein kinase B (or its more common abbreviation of PKB).</w:t>
      </w:r>
    </w:p>
    <w:p w14:paraId="7EF9A141" w14:textId="22C99ED3" w:rsidR="006A0C4B" w:rsidRPr="00B7408D" w:rsidRDefault="006A0C4B" w:rsidP="004D452C">
      <w:pPr>
        <w:adjustRightInd w:val="0"/>
        <w:snapToGrid w:val="0"/>
        <w:spacing w:line="360" w:lineRule="auto"/>
        <w:ind w:firstLineChars="100" w:firstLine="240"/>
        <w:jc w:val="both"/>
        <w:rPr>
          <w:rFonts w:ascii="Book Antiqua" w:hAnsi="Book Antiqua" w:cs="Times New Roman"/>
          <w:color w:val="000000"/>
          <w:lang w:val="en-US"/>
        </w:rPr>
      </w:pPr>
      <w:proofErr w:type="spellStart"/>
      <w:r w:rsidRPr="00B7408D">
        <w:rPr>
          <w:rFonts w:ascii="Book Antiqua" w:hAnsi="Book Antiqua" w:cs="Times New Roman"/>
          <w:color w:val="000000"/>
          <w:lang w:val="en-US"/>
        </w:rPr>
        <w:t>Hydroxytyrosol</w:t>
      </w:r>
      <w:proofErr w:type="spellEnd"/>
      <w:r w:rsidRPr="00B7408D">
        <w:rPr>
          <w:rFonts w:ascii="Book Antiqua" w:hAnsi="Book Antiqua" w:cs="Times New Roman"/>
          <w:color w:val="000000"/>
          <w:lang w:val="en-US"/>
        </w:rPr>
        <w:t xml:space="preserve"> is another of the most abundant phenolic compounds present in extra virgin olive oil. Its concentration ranges from 1.1 mg/kg to 75 mg/kg</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{"citationItems":[{"id":"ITEM-1","itemData":{"DOI":"10.1016/j.bpc.2017.09.002","ISSN":"18734200","abstract":"When compared with other edible vegetable oils, the extra virgin olive oil (EVOO) exhibits excellent nutritional properties due to the presence of biophenolic compounds. Although they constitute only a very small amount of the unsaponifiable fraction of EVOO, biophenols strongly contribute to the sensorial properties of this precious food conferring it, for example, the bitter or pungent taste. Furthermore, it has been found that biophenols possess beneficial effects against many human pathologies such as oxidative stress, inflammation, cardiovascular diseases, cancer and aging-related illness. In the present work, the biophenolic content of 51 Italian and Spanish EVOOs was qualitatively and quantitatively identified and their antioxidant ability analyzed by oxygen radical absorbance capacity (ORAC) assay. Results indicated that the maximum relationship can be found if the ORAC value is correlated with the concentration of the large family composed by ligstroside and oleuropein derivatives together with their degradation products, hydroxytyrosol and tyrosol. Then, selected biophenolic extracts were tested in NIH-3T3 cell line to verify their ability in the recovery of the oxidative stress revealed by DCFH-DA assay. Results were linearly correlated with the concentration of ligstroside aglycone (aldehyde and hydroxyl form).","author":[{"dropping-particle":"","family":"Presti","given":"G.","non-dropping-particle":"","parse-names":false,"suffix":""},{"dropping-particle":"","family":"Guarrasi","given":"V.","non-dropping-particle":"","parse-names":false,"suffix":""},{"dropping-particle":"","family":"Gulotta","given":"E.","non-dropping-particle":"","parse-names":false,"suffix":""},{"dropping-particle":"","family":"Provenzano","given":"F.","non-dropping-particle":"","parse-names":false,"suffix":""},{"dropping-particle":"","family":"Provenzano","given":"A.","non-dropping-particle":"","parse-names":false,"suffix":""},{"dropping-particle":"","family":"Giuliano","given":"S.","non-dropping-particle":"","parse-names":false,"suffix":""},{"dropping-particle":"","family":"Monfreda","given":"M.","non-dropping-particle":"","parse-names":false,"suffix":""},{"dropping-particle":"","family":"Mangione","given":"M. R.","non-dropping-particle":"","parse-names":false,"suffix":""},{"dropping-particle":"","family":"Passantino","given":"R.","non-dropping-particle":"","parse-names":false,"suffix":""},{"dropping-particle":"","family":"San Biagio","given":"P. L.","non-dropping-particle":"","parse-names":false,"suffix":""},{"dropping-particle":"","family":"Costa","given":"M. A.","non-dropping-particle":"","parse-names":false,"suffix":""},{"dropping-particle":"","family":"Giacomazza","given":"D.","non-dropping-particle":"","parse-names":false,"suffix":""}],"container-title":"Biophysical Chemistry","id":"ITEM-1","issue":"September","issued":{"date-parts":[["2017"]]},"page":"109-116","publisher":"Elsevier","title":"Bioactive compounds from extra virgin olive oils: Correlation between phenolic content and oxidative stress cell protection","type":"article-journal","volume":"230"},"uris":["http://www.mendeley.com/documents/?uuid=68c57f20-5778-42c5-a4fe-d11d3771362f"]}],"mendeley":{"formattedCitation":"&lt;sup&gt;[93]&lt;/sup&gt;","plainTextFormattedCitation":"[93]","previouslyFormattedCitation":"&lt;sup&gt;[93]&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[93]</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This phenolic alcohol has many healthy effects, including </w:t>
      </w:r>
      <w:proofErr w:type="spellStart"/>
      <w:r w:rsidRPr="00B7408D">
        <w:rPr>
          <w:rFonts w:ascii="Book Antiqua" w:hAnsi="Book Antiqua" w:cs="Times New Roman"/>
          <w:color w:val="000000"/>
          <w:lang w:val="en-US"/>
        </w:rPr>
        <w:t>antiinflammatory</w:t>
      </w:r>
      <w:proofErr w:type="spellEnd"/>
      <w:r w:rsidRPr="00B7408D">
        <w:rPr>
          <w:rFonts w:ascii="Book Antiqua" w:hAnsi="Book Antiqua" w:cs="Times New Roman"/>
          <w:color w:val="000000"/>
          <w:lang w:val="en-US"/>
        </w:rPr>
        <w:t xml:space="preserve">, antimicrobial, </w:t>
      </w:r>
      <w:proofErr w:type="spellStart"/>
      <w:r w:rsidRPr="00B7408D">
        <w:rPr>
          <w:rFonts w:ascii="Book Antiqua" w:hAnsi="Book Antiqua" w:cs="Times New Roman"/>
          <w:color w:val="000000"/>
          <w:lang w:val="en-US"/>
        </w:rPr>
        <w:t>cardioprotective</w:t>
      </w:r>
      <w:proofErr w:type="spellEnd"/>
      <w:r w:rsidRPr="00B7408D">
        <w:rPr>
          <w:rFonts w:ascii="Book Antiqua" w:hAnsi="Book Antiqua" w:cs="Times New Roman"/>
          <w:color w:val="000000"/>
          <w:lang w:val="en-US"/>
        </w:rPr>
        <w:t>, neuroprotective and antitumoral activities, among others. Thus, it has also been considered as a nutraceutical</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{"citationItems":[{"id":"ITEM-1","itemData":{"DOI":"10.1016/j.foodres.2017.11.053","ISSN":"18737145","abstract":"Many beneficial properties have been attributed to the Mediterranean diet. Over the years, researchers have attempted to learn which foods and which food components are responsible for good health. One of these components is hydroxytyrosol, an important phenolic compound present in olive oil. Hydroxytyrosol is a molecule of high interest to the pharmaceutical industry due to its anti-inflammatory and antimicrobial qualities its role against cardiovascular diseases and metabolic syndrome and for its neuroprotection, antitumour, and chemo modulation effects. The interest in this molecule has led to wide research on its biological activities, its beneficial effects in humans and how to synthetize new molecules from hydroxytyrosol. This review describes the vast range of information about hydroxytyrosol, focusing on its involvement in biological mechanisms and modulation effects on different pathologies. This review also serves to highlight the role of hydroxytyrosol as a nutraceutical and as a potential therapeutic agent.","author":[{"dropping-particle":"","family":"Robles-Almazan","given":"María","non-dropping-particle":"","parse-names":false,"suffix":""},{"dropping-particle":"","family":"Pulido-Moran","given":"Mario","non-dropping-particle":"","parse-names":false,"suffix":""},{"dropping-particle":"","family":"Moreno-Fernandez","given":"Jorge","non-dropping-particle":"","parse-names":false,"suffix":""},{"dropping-particle":"","family":"Ramirez-Tortosa","given":"Cesar","non-dropping-particle":"","parse-names":false,"suffix":""},{"dropping-particle":"","family":"Rodriguez-Garcia","given":"Carmen","non-dropping-particle":"","parse-names":false,"suffix":""},{"dropping-particle":"","family":"Quiles","given":"Jose L.","non-dropping-particle":"","parse-names":false,"suffix":""},{"dropping-particle":"","family":"Ramirez-Tortosa","given":"MCarmen","non-dropping-particle":"","parse-names":false,"suffix":""}],"container-title":"Food Research International","id":"ITEM-1","issue":"November 2017","issued":{"date-parts":[["2018"]]},"page":"654-667","title":"Hydroxytyrosol: Bioavailability, toxicity, and clinical applications","type":"article-journal","volume":"105"},"uris":["http://www.mendeley.com/documents/?uuid=240daec5-61aa-4ea2-85a3-23c5eb527259"]}],"mendeley":{"formattedCitation":"&lt;sup&gt;[102]&lt;/sup&gt;","plainTextFormattedCitation":"[102]","previouslyFormattedCitation":"&lt;sup&gt;[102]&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[102]</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Regarding its effect on MSCs, we have evaluated the effects of 1 </w:t>
      </w:r>
      <w:proofErr w:type="spellStart"/>
      <w:r w:rsidR="00064EE0" w:rsidRPr="00B7408D">
        <w:rPr>
          <w:rFonts w:ascii="Book Antiqua" w:hAnsi="Book Antiqua" w:cs="Times New Roman"/>
          <w:color w:val="000000"/>
          <w:lang w:val="en-US"/>
        </w:rPr>
        <w:t>μmol</w:t>
      </w:r>
      <w:proofErr w:type="spellEnd"/>
      <w:r w:rsidR="00064EE0" w:rsidRPr="00B7408D">
        <w:rPr>
          <w:rFonts w:ascii="Book Antiqua" w:hAnsi="Book Antiqua" w:cs="Times New Roman"/>
          <w:color w:val="000000"/>
          <w:lang w:val="en-US"/>
        </w:rPr>
        <w:t>/L</w:t>
      </w:r>
      <w:r w:rsidRPr="00B7408D">
        <w:rPr>
          <w:rFonts w:ascii="Book Antiqua" w:hAnsi="Book Antiqua" w:cs="Times New Roman"/>
          <w:color w:val="000000"/>
          <w:lang w:val="en-US"/>
        </w:rPr>
        <w:t xml:space="preserve"> and 100 </w:t>
      </w:r>
      <w:proofErr w:type="spellStart"/>
      <w:r w:rsidR="00064EE0" w:rsidRPr="00B7408D">
        <w:rPr>
          <w:rFonts w:ascii="Book Antiqua" w:hAnsi="Book Antiqua" w:cs="Times New Roman"/>
          <w:color w:val="000000"/>
          <w:lang w:val="en-US"/>
        </w:rPr>
        <w:t>μmol</w:t>
      </w:r>
      <w:proofErr w:type="spellEnd"/>
      <w:r w:rsidR="00064EE0" w:rsidRPr="00B7408D">
        <w:rPr>
          <w:rFonts w:ascii="Book Antiqua" w:hAnsi="Book Antiqua" w:cs="Times New Roman"/>
          <w:color w:val="000000"/>
          <w:lang w:val="en-US"/>
        </w:rPr>
        <w:t>/L</w:t>
      </w:r>
      <w:r w:rsidRPr="00B7408D">
        <w:rPr>
          <w:rFonts w:ascii="Book Antiqua" w:hAnsi="Book Antiqua" w:cs="Times New Roman"/>
          <w:color w:val="000000"/>
          <w:lang w:val="en-US"/>
        </w:rPr>
        <w:t xml:space="preserve"> </w:t>
      </w:r>
      <w:proofErr w:type="spellStart"/>
      <w:r w:rsidRPr="00B7408D">
        <w:rPr>
          <w:rFonts w:ascii="Book Antiqua" w:hAnsi="Book Antiqua" w:cs="Times New Roman"/>
          <w:color w:val="000000"/>
          <w:lang w:val="en-US"/>
        </w:rPr>
        <w:t>hydroxytyrosol</w:t>
      </w:r>
      <w:proofErr w:type="spellEnd"/>
      <w:r w:rsidRPr="00B7408D">
        <w:rPr>
          <w:rFonts w:ascii="Book Antiqua" w:hAnsi="Book Antiqua" w:cs="Times New Roman"/>
          <w:color w:val="000000"/>
          <w:lang w:val="en-US"/>
        </w:rPr>
        <w:t xml:space="preserve"> on osteogenic and </w:t>
      </w:r>
      <w:proofErr w:type="spellStart"/>
      <w:r w:rsidRPr="00B7408D">
        <w:rPr>
          <w:rFonts w:ascii="Book Antiqua" w:hAnsi="Book Antiqua" w:cs="Times New Roman"/>
          <w:color w:val="000000"/>
          <w:lang w:val="en-US"/>
        </w:rPr>
        <w:t>adipogenic</w:t>
      </w:r>
      <w:proofErr w:type="spellEnd"/>
      <w:r w:rsidRPr="00B7408D">
        <w:rPr>
          <w:rFonts w:ascii="Book Antiqua" w:hAnsi="Book Antiqua" w:cs="Times New Roman"/>
          <w:color w:val="000000"/>
          <w:lang w:val="en-US"/>
        </w:rPr>
        <w:t xml:space="preserve"> differentiation of MSCs from human bone marrow. </w:t>
      </w:r>
      <w:bookmarkStart w:id="13" w:name="_Hlk7776606"/>
      <w:r w:rsidRPr="00B7408D">
        <w:rPr>
          <w:rFonts w:ascii="Book Antiqua" w:hAnsi="Book Antiqua" w:cs="Times New Roman"/>
          <w:color w:val="000000"/>
          <w:lang w:val="en-US"/>
        </w:rPr>
        <w:t>The highest concentration of this compound (but not the lower one) reduced the number of cells, repressed expression of osteoblastic gene collagen type-I alpha-1 (</w:t>
      </w:r>
      <w:r w:rsidRPr="00B7408D">
        <w:rPr>
          <w:rFonts w:ascii="Book Antiqua" w:hAnsi="Book Antiqua" w:cs="Times New Roman"/>
          <w:i/>
          <w:color w:val="000000"/>
          <w:lang w:val="en-US"/>
        </w:rPr>
        <w:t>COLIA1</w:t>
      </w:r>
      <w:r w:rsidRPr="00B7408D">
        <w:rPr>
          <w:rFonts w:ascii="Book Antiqua" w:hAnsi="Book Antiqua" w:cs="Times New Roman"/>
          <w:color w:val="000000"/>
          <w:lang w:val="en-US"/>
        </w:rPr>
        <w:t>) and reduced mineralization in cultures induced to differentiate into osteoblasts</w:t>
      </w:r>
      <w:bookmarkEnd w:id="13"/>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{"citationItems":[{"id":"ITEM-1","itemData":{"DOI":"10.1016/j.arcmed.2016.06.006","ISSN":"18735487","abstract":"Background and Aims Natural phenolic compounds are known for their antioxidant capacity, showing biological activity in numerous physiological processes. Such chemicals have been proposed for prevention or treatment of pathologies like osteoporosis and diabetes. One of these is hydroxytyrosol (HT), which may be involved in the differentiation of human mesenchymal stromal/stem cells (MSCs), which are precursors of osteoblasts and adipocytes. Yet, little information is available. Therefore, our objective was to study the possible effect of HT on MSC differentiation. Methods Differentiation markers were analyzed while human bone marrow MSCs were differentiated into osteoblasts or adipocytes in the presence of 1 or 100 μmol HT. Results High HT concentrations repressed the expression of osteoblastic markers in MSCs differentiating into osteoblasts, whereas they increased the expression of adipogenic genes and the formation of fat vesicles in MSCs differentiating into adipocytes. Conclusions High HT concentrations may inhibit osteoblastogenesis and promote adipogenesis, which can lead to bone loss. Therefore, the possible pharmacological use of extracts rich in HT should take into account this undesirable effect.","author":[{"dropping-particle":"","family":"Anter","given":"Jaouad","non-dropping-particle":"","parse-names":false,"suffix":""},{"dropping-particle":"","family":"Quesada-Gómez","given":"José Manuel","non-dropping-particle":"","parse-names":false,"suffix":""},{"dropping-particle":"","family":"Dorado","given":"Gabriel","non-dropping-particle":"","parse-names":false,"suffix":""},{"dropping-particle":"","family":"Casado-Díaz","given":"Antonio","non-dropping-particle":"","parse-names":false,"suffix":""}],"container-title":"Archives of Medical Research","id":"ITEM-1","issue":"3","issued":{"date-parts":[["2016"]]},"page":"162-171","title":"Effect of Hydroxytyrosol on Human Mesenchymal Stromal/Stem Cell Differentiation into Adipocytes and Osteoblasts","type":"article-journal","volume":"47"},"uris":["http://www.mendeley.com/documents/?uuid=e1d242a2-f4eb-39e4-a749-1a2a277b8bd4"]}],"mendeley":{"formattedCitation":"&lt;sup&gt;[103]&lt;/sup&gt;","plainTextFormattedCitation":"[103]","previouslyFormattedCitation":"&lt;sup&gt;[103]&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[103]</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On the other hand, mostly the highest concentration increased both expression </w:t>
      </w:r>
      <w:r w:rsidRPr="00B7408D">
        <w:rPr>
          <w:rFonts w:ascii="Book Antiqua" w:hAnsi="Book Antiqua" w:cs="Times New Roman"/>
          <w:color w:val="000000"/>
          <w:lang w:val="en-US"/>
        </w:rPr>
        <w:lastRenderedPageBreak/>
        <w:t xml:space="preserve">of the </w:t>
      </w:r>
      <w:proofErr w:type="spellStart"/>
      <w:r w:rsidRPr="00B7408D">
        <w:rPr>
          <w:rFonts w:ascii="Book Antiqua" w:hAnsi="Book Antiqua" w:cs="Times New Roman"/>
          <w:i/>
          <w:color w:val="000000"/>
          <w:lang w:val="en-US"/>
        </w:rPr>
        <w:t>PPARγ</w:t>
      </w:r>
      <w:proofErr w:type="spellEnd"/>
      <w:r w:rsidRPr="00B7408D">
        <w:rPr>
          <w:rFonts w:ascii="Book Antiqua" w:hAnsi="Book Antiqua" w:cs="Times New Roman"/>
          <w:color w:val="000000"/>
          <w:lang w:val="en-US"/>
        </w:rPr>
        <w:t xml:space="preserve"> gene as well as of generation of fat droplets, indicating induction of adipogenesis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{"citationItems":[{"id":"ITEM-1","itemData":{"DOI":"10.1016/j.arcmed.2016.06.006","ISSN":"18735487","abstract":"Background and Aims Natural phenolic compounds are known for their antioxidant capacity, showing biological activity in numerous physiological processes. Such chemicals have been proposed for prevention or treatment of pathologies like osteoporosis and diabetes. One of these is hydroxytyrosol (HT), which may be involved in the differentiation of human mesenchymal stromal/stem cells (MSCs), which are precursors of osteoblasts and adipocytes. Yet, little information is available. Therefore, our objective was to study the possible effect of HT on MSC differentiation. Methods Differentiation markers were analyzed while human bone marrow MSCs were differentiated into osteoblasts or adipocytes in the presence of 1 or 100 μmol HT. Results High HT concentrations repressed the expression of osteoblastic markers in MSCs differentiating into osteoblasts, whereas they increased the expression of adipogenic genes and the formation of fat vesicles in MSCs differentiating into adipocytes. Conclusions High HT concentrations may inhibit osteoblastogenesis and promote adipogenesis, which can lead to bone loss. Therefore, the possible pharmacological use of extracts rich in HT should take into account this undesirable effect.","author":[{"dropping-particle":"","family":"Anter","given":"Jaouad","non-dropping-particle":"","parse-names":false,"suffix":""},{"dropping-particle":"","family":"Quesada-Gómez","given":"José Manuel","non-dropping-particle":"","parse-names":false,"suffix":""},{"dropping-particle":"","family":"Dorado","given":"Gabriel","non-dropping-particle":"","parse-names":false,"suffix":""},{"dropping-particle":"","family":"Casado-Díaz","given":"Antonio","non-dropping-particle":"","parse-names":false,"suffix":""}],"container-title":"Archives of Medical Research","id":"ITEM-1","issue":"3","issued":{"date-parts":[["2016"]]},"page":"162-171","title":"Effect of Hydroxytyrosol on Human Mesenchymal Stromal/Stem Cell Differentiation into Adipocytes and Osteoblasts","type":"article-journal","volume":"47"},"uris":["http://www.mendeley.com/documents/?uuid=e1d242a2-f4eb-39e4-a749-1a2a277b8bd4"]}],"mendeley":{"formattedCitation":"&lt;sup&gt;[103]&lt;/sup&gt;","plainTextFormattedCitation":"[103]","previouslyFormattedCitation":"&lt;sup&gt;[103]&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[103]</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w:t>
      </w:r>
    </w:p>
    <w:p w14:paraId="49AC3053" w14:textId="1FA8A959" w:rsidR="006A0C4B" w:rsidRPr="00B7408D" w:rsidRDefault="006A0C4B" w:rsidP="004D452C">
      <w:pPr>
        <w:adjustRightInd w:val="0"/>
        <w:snapToGrid w:val="0"/>
        <w:spacing w:line="360" w:lineRule="auto"/>
        <w:ind w:firstLineChars="100" w:firstLine="240"/>
        <w:jc w:val="both"/>
        <w:rPr>
          <w:rFonts w:ascii="Book Antiqua" w:hAnsi="Book Antiqua" w:cs="Times New Roman"/>
          <w:color w:val="000000"/>
          <w:lang w:val="en-US"/>
        </w:rPr>
      </w:pPr>
      <w:r w:rsidRPr="00B7408D">
        <w:rPr>
          <w:rFonts w:ascii="Book Antiqua" w:hAnsi="Book Antiqua" w:cs="Times New Roman"/>
          <w:color w:val="000000"/>
          <w:lang w:val="en-US"/>
        </w:rPr>
        <w:t xml:space="preserve">Yet, other authors have described that such high concentration of </w:t>
      </w:r>
      <w:proofErr w:type="spellStart"/>
      <w:r w:rsidRPr="00B7408D">
        <w:rPr>
          <w:rFonts w:ascii="Book Antiqua" w:hAnsi="Book Antiqua" w:cs="Times New Roman"/>
          <w:color w:val="000000"/>
          <w:lang w:val="en-US"/>
        </w:rPr>
        <w:t>hydroxytyrosol</w:t>
      </w:r>
      <w:proofErr w:type="spellEnd"/>
      <w:r w:rsidRPr="00B7408D">
        <w:rPr>
          <w:rFonts w:ascii="Book Antiqua" w:hAnsi="Book Antiqua" w:cs="Times New Roman"/>
          <w:color w:val="000000"/>
          <w:lang w:val="en-US"/>
        </w:rPr>
        <w:t xml:space="preserve"> inhibited </w:t>
      </w:r>
      <w:proofErr w:type="spellStart"/>
      <w:r w:rsidRPr="00B7408D">
        <w:rPr>
          <w:rFonts w:ascii="Book Antiqua" w:hAnsi="Book Antiqua" w:cs="Times New Roman"/>
          <w:color w:val="000000"/>
          <w:lang w:val="en-US"/>
        </w:rPr>
        <w:t>adipogenesis</w:t>
      </w:r>
      <w:proofErr w:type="spellEnd"/>
      <w:r w:rsidRPr="00B7408D">
        <w:rPr>
          <w:rFonts w:ascii="Book Antiqua" w:hAnsi="Book Antiqua" w:cs="Times New Roman"/>
          <w:color w:val="000000"/>
          <w:lang w:val="en-US"/>
        </w:rPr>
        <w:t xml:space="preserve"> in 3T3-L1 preadipocytes from mice</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{"citationItems":[{"id":"ITEM-1","itemData":{"DOI":"10.1016/j.lfs.2011.08.012","ISBN":"0024-3205","ISSN":"1879-0631","PMID":"21945192","abstract":"AIMS: Oleuropein and hydroxytyrosol, which are antioxidant molecules found in olive leaves and oil, have been reported to exert several biochemical and pharmacological effects. These polyphenols are able to prevent low-density lipoprotein oxidation and protect cells against several diseases. Here, we studied the effect of these compounds on adipocyte differentiation in 3 T3-L1.\\n\\nMAIN METHODS: To perform this study, 3 T3-L1 preadipocytes viability was analysed via Trypan blue and MTT assays, and triglycerides were stained with Oil Red O. Adipogenesis related genes expression were checked by RT-PCR and qRT-PCR. Also, cells counting and flow cytometry were used to analyse the mitotic cell cycle during the adipogenesis clonal expansion phase.\\n\\nRESULTS: Oleuropein and hydroxytyrosol dose-dependently suppressed intracellular triglyceride accumulation during adipocyte differentiation without effect on cell viability. PPARγ, C/EBPα and SREBP-1c transcription factors and their downstream targets genes (GLUT4, CD36 and FASN) were down-regulated after treatment by oleuropein and hydroxytyrosol. At 200 and 300 μmol/L oleuropein or 100 and 150 μmol/L hydroxytyrosol, the greatest effect on the adipogenesis process was observed during the early stages of differentiation. Flow cytometry revealed both polyphenols to inhibit the division of 3T3-L1 preadipocytes during mitotic clonal expansion and cause cell cycle delay. Furthermore, oleuropein and its derivate hydroxytyrosol decreased the transcriptional activity of SREBP-1c in a stable transfected 3T3-L1 cell line.\\n\\nSIGNIFICANCE: These findings indicate that both compounds are able to prevent 3T3-L1 differentiation by inhibition of the mitotic clonal expansion and downregulation of the adipogenesis related genes.","author":[{"dropping-particle":"","family":"Drira","given":"Riadh","non-dropping-particle":"","parse-names":false,"suffix":""},{"dropping-particle":"","family":"Chen","given":"Shu","non-dropping-particle":"","parse-names":false,"suffix":""},{"dropping-particle":"","family":"Sakamoto","given":"Kazuichi","non-dropping-particle":"","parse-names":false,"suffix":""}],"container-title":"Life sciences","id":"ITEM-1","issue":"19-20","issued":{"date-parts":[["2011"]]},"page":"708-16","publisher":"Elsevier Inc.","title":"Oleuropein and hydroxytyrosol inhibit adipocyte differentiation in 3 T3-L1 cells.","type":"article-journal","volume":"89"},"uris":["http://www.mendeley.com/documents/?uuid=9cfc2bd9-6754-4c9b-b769-6c9eabb8f22c"]},{"id":"ITEM-2","itemData":{"DOI":"10.1002/jcp.25094","ISSN":"10974652","abstract":"The 3T3-L1 preadipocyte cell line is a well characterized cell model for studying the adipocyte status and the molecular mechanisms involved in differentiation of these cells. 3T3-L1 preadipocytes have the ability to synthesize and degrade endocannabinoid anandamide (AEA) and their differentiation into adipocytes increases the expression of cannabinoid (CB1) and PPAR-γ receptors. Clinically, the blocking stimulation of the endocannabinoid pathway has been one of the first approaches proposed to counteract the obesity and obesity-associated diseases (such as diabetes, metabolic syndrome and cancer). In this connection, here we studied in cultured 3T3-L1 pre-adipocytes the effects of n-3-PUFA, α-Linolenic acid (OM-3), n-6-PUFA, Linoleic acid (OM-6), and hydroxytyrosol (HT) on the expression of CB1 receptor gene and the adipogenesis-related genes PPAR-γ, Fatty Acid Synthase (FAS) and Lipoprotein Lipase (LPL). HT was able to inhibit 3T3-L1 cell differentiation by down-regulating cell proliferation and CB1 receptor gene expression. HT exhibited anti-adipogenic effects, whereas OM-3 and OM-6 exerted an inhibitory action on cell proliferation associated with an induction of the preadipocytes differentiation and CB1 receptor gene expression. Moreover, the expression of FAS and LPL genes resulted increased after treatment with both HT and OM-3 and OM-6. The present study points out that the intake of molecules such as HT, contained in extra virgin olive oil, may be considered also in view of antiobesity and antineoplastic properties by acting directly on the adipose tissue and modulating CB1 receptor gene transcription. J. Cell. Physiol. 231: 483-489, 2016. © 2015 Wiley Periodicals, Inc.","author":[{"dropping-particle":"","family":"Tutino","given":"Valeria","non-dropping-particle":"","parse-names":false,"suffix":""},{"dropping-particle":"","family":"Orlando","given":"Antonella","non-dropping-particle":"","parse-names":false,"suffix":""},{"dropping-particle":"","family":"Russo","given":"Francesco","non-dropping-particle":"","parse-names":false,"suffix":""},{"dropping-particle":"","family":"Notarnicola","given":"Maria","non-dropping-particle":"","parse-names":false,"suffix":""}],"container-title":"Journal of Cellular Physiology","id":"ITEM-2","issue":"2","issued":{"date-parts":[["2016"]]},"page":"483-489","title":"Hydroxytyrosol Inhibits Cannabinoid CB1 Receptor Gene Expression in 3T3-L1 Preadipocyte Cell Line","type":"article-journal","volume":"231"},"uris":["http://www.mendeley.com/documents/?uuid=5bf48870-e64c-45cb-b461-40aadc6a929a"]}],"mendeley":{"formattedCitation":"&lt;sup&gt;[104,105]&lt;/sup&gt;","plainTextFormattedCitation":"[104,105]","previouslyFormattedCitation":"&lt;sup&gt;[104,105]&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[104,105]</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Discrepancies were probably due to different cellular types and different methodologies used to induce differentiation. Interestingly, mitotic clonal expansion is an important event during </w:t>
      </w:r>
      <w:proofErr w:type="spellStart"/>
      <w:r w:rsidRPr="00B7408D">
        <w:rPr>
          <w:rFonts w:ascii="Book Antiqua" w:hAnsi="Book Antiqua" w:cs="Times New Roman"/>
          <w:color w:val="000000"/>
          <w:lang w:val="en-US"/>
        </w:rPr>
        <w:t>adipogenic</w:t>
      </w:r>
      <w:proofErr w:type="spellEnd"/>
      <w:r w:rsidRPr="00B7408D">
        <w:rPr>
          <w:rFonts w:ascii="Book Antiqua" w:hAnsi="Book Antiqua" w:cs="Times New Roman"/>
          <w:color w:val="000000"/>
          <w:lang w:val="en-US"/>
        </w:rPr>
        <w:t xml:space="preserve"> differentiation of 3T3-L1, but does not take place in human MSCs. This compound inhibited mitotic clonal expansion of 3T3-L1</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{"citationItems":[{"id":"ITEM-1","itemData":{"DOI":"10.1016/j.lfs.2011.08.012","ISBN":"0024-3205","ISSN":"1879-0631","PMID":"21945192","abstract":"AIMS: Oleuropein and hydroxytyrosol, which are antioxidant molecules found in olive leaves and oil, have been reported to exert several biochemical and pharmacological effects. These polyphenols are able to prevent low-density lipoprotein oxidation and protect cells against several diseases. Here, we studied the effect of these compounds on adipocyte differentiation in 3 T3-L1.\\n\\nMAIN METHODS: To perform this study, 3 T3-L1 preadipocytes viability was analysed via Trypan blue and MTT assays, and triglycerides were stained with Oil Red O. Adipogenesis related genes expression were checked by RT-PCR and qRT-PCR. Also, cells counting and flow cytometry were used to analyse the mitotic cell cycle during the adipogenesis clonal expansion phase.\\n\\nRESULTS: Oleuropein and hydroxytyrosol dose-dependently suppressed intracellular triglyceride accumulation during adipocyte differentiation without effect on cell viability. PPARγ, C/EBPα and SREBP-1c transcription factors and their downstream targets genes (GLUT4, CD36 and FASN) were down-regulated after treatment by oleuropein and hydroxytyrosol. At 200 and 300 μmol/L oleuropein or 100 and 150 μmol/L hydroxytyrosol, the greatest effect on the adipogenesis process was observed during the early stages of differentiation. Flow cytometry revealed both polyphenols to inhibit the division of 3T3-L1 preadipocytes during mitotic clonal expansion and cause cell cycle delay. Furthermore, oleuropein and its derivate hydroxytyrosol decreased the transcriptional activity of SREBP-1c in a stable transfected 3T3-L1 cell line.\\n\\nSIGNIFICANCE: These findings indicate that both compounds are able to prevent 3T3-L1 differentiation by inhibition of the mitotic clonal expansion and downregulation of the adipogenesis related genes.","author":[{"dropping-particle":"","family":"Drira","given":"Riadh","non-dropping-particle":"","parse-names":false,"suffix":""},{"dropping-particle":"","family":"Chen","given":"Shu","non-dropping-particle":"","parse-names":false,"suffix":""},{"dropping-particle":"","family":"Sakamoto","given":"Kazuichi","non-dropping-particle":"","parse-names":false,"suffix":""}],"container-title":"Life sciences","id":"ITEM-1","issue":"19-20","issued":{"date-parts":[["2011"]]},"page":"708-16","publisher":"Elsevier Inc.","title":"Oleuropein and hydroxytyrosol inhibit adipocyte differentiation in 3 T3-L1 cells.","type":"article-journal","volume":"89"},"uris":["http://www.mendeley.com/documents/?uuid=9cfc2bd9-6754-4c9b-b769-6c9eabb8f22c"]},{"id":"ITEM-2","itemData":{"DOI":"10.1002/jcp.25094","ISSN":"10974652","abstract":"The 3T3-L1 preadipocyte cell line is a well characterized cell model for studying the adipocyte status and the molecular mechanisms involved in differentiation of these cells. 3T3-L1 preadipocytes have the ability to synthesize and degrade endocannabinoid anandamide (AEA) and their differentiation into adipocytes increases the expression of cannabinoid (CB1) and PPAR-γ receptors. Clinically, the blocking stimulation of the endocannabinoid pathway has been one of the first approaches proposed to counteract the obesity and obesity-associated diseases (such as diabetes, metabolic syndrome and cancer). In this connection, here we studied in cultured 3T3-L1 pre-adipocytes the effects of n-3-PUFA, α-Linolenic acid (OM-3), n-6-PUFA, Linoleic acid (OM-6), and hydroxytyrosol (HT) on the expression of CB1 receptor gene and the adipogenesis-related genes PPAR-γ, Fatty Acid Synthase (FAS) and Lipoprotein Lipase (LPL). HT was able to inhibit 3T3-L1 cell differentiation by down-regulating cell proliferation and CB1 receptor gene expression. HT exhibited anti-adipogenic effects, whereas OM-3 and OM-6 exerted an inhibitory action on cell proliferation associated with an induction of the preadipocytes differentiation and CB1 receptor gene expression. Moreover, the expression of FAS and LPL genes resulted increased after treatment with both HT and OM-3 and OM-6. The present study points out that the intake of molecules such as HT, contained in extra virgin olive oil, may be considered also in view of antiobesity and antineoplastic properties by acting directly on the adipose tissue and modulating CB1 receptor gene transcription. J. Cell. Physiol. 231: 483-489, 2016. © 2015 Wiley Periodicals, Inc.","author":[{"dropping-particle":"","family":"Tutino","given":"Valeria","non-dropping-particle":"","parse-names":false,"suffix":""},{"dropping-particle":"","family":"Orlando","given":"Antonella","non-dropping-particle":"","parse-names":false,"suffix":""},{"dropping-particle":"","family":"Russo","given":"Francesco","non-dropping-particle":"","parse-names":false,"suffix":""},{"dropping-particle":"","family":"Notarnicola","given":"Maria","non-dropping-particle":"","parse-names":false,"suffix":""}],"container-title":"Journal of Cellular Physiology","id":"ITEM-2","issue":"2","issued":{"date-parts":[["2016"]]},"page":"483-489","title":"Hydroxytyrosol Inhibits Cannabinoid CB1 Receptor Gene Expression in 3T3-L1 Preadipocyte Cell Line","type":"article-journal","volume":"231"},"uris":["http://www.mendeley.com/documents/?uuid=5bf48870-e64c-45cb-b461-40aadc6a929a"]}],"mendeley":{"formattedCitation":"&lt;sup&gt;[104,105]&lt;/sup&gt;","plainTextFormattedCitation":"[104,105]","previouslyFormattedCitation":"&lt;sup&gt;[104,105]&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[104,105]</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Therefore, its effects on mice </w:t>
      </w:r>
      <w:r w:rsidRPr="00B7408D">
        <w:rPr>
          <w:rFonts w:ascii="Book Antiqua" w:hAnsi="Book Antiqua" w:cs="Times New Roman"/>
          <w:i/>
          <w:iCs/>
          <w:color w:val="000000"/>
          <w:lang w:val="en-US"/>
        </w:rPr>
        <w:t>versus</w:t>
      </w:r>
      <w:r w:rsidRPr="00B7408D">
        <w:rPr>
          <w:rFonts w:ascii="Book Antiqua" w:hAnsi="Book Antiqua" w:cs="Times New Roman"/>
          <w:color w:val="000000"/>
          <w:lang w:val="en-US"/>
        </w:rPr>
        <w:t xml:space="preserve"> human adipogenesis may be different</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{"citationItems":[{"id":"ITEM-1","itemData":{"DOI":"10.1016/j.arcmed.2016.06.006","ISSN":"18735487","abstract":"Background and Aims Natural phenolic compounds are known for their antioxidant capacity, showing biological activity in numerous physiological processes. Such chemicals have been proposed for prevention or treatment of pathologies like osteoporosis and diabetes. One of these is hydroxytyrosol (HT), which may be involved in the differentiation of human mesenchymal stromal/stem cells (MSCs), which are precursors of osteoblasts and adipocytes. Yet, little information is available. Therefore, our objective was to study the possible effect of HT on MSC differentiation. Methods Differentiation markers were analyzed while human bone marrow MSCs were differentiated into osteoblasts or adipocytes in the presence of 1 or 100 μmol HT. Results High HT concentrations repressed the expression of osteoblastic markers in MSCs differentiating into osteoblasts, whereas they increased the expression of adipogenic genes and the formation of fat vesicles in MSCs differentiating into adipocytes. Conclusions High HT concentrations may inhibit osteoblastogenesis and promote adipogenesis, which can lead to bone loss. Therefore, the possible pharmacological use of extracts rich in HT should take into account this undesirable effect.","author":[{"dropping-particle":"","family":"Anter","given":"Jaouad","non-dropping-particle":"","parse-names":false,"suffix":""},{"dropping-particle":"","family":"Quesada-Gómez","given":"José Manuel","non-dropping-particle":"","parse-names":false,"suffix":""},{"dropping-particle":"","family":"Dorado","given":"Gabriel","non-dropping-particle":"","parse-names":false,"suffix":""},{"dropping-particle":"","family":"Casado-Díaz","given":"Antonio","non-dropping-particle":"","parse-names":false,"suffix":""}],"container-title":"Archives of Medical Research","id":"ITEM-1","issue":"3","issued":{"date-parts":[["2016"]]},"page":"162-171","title":"Effect of Hydroxytyrosol on Human Mesenchymal Stromal/Stem Cell Differentiation into Adipocytes and Osteoblasts","type":"article-journal","volume":"47"},"uris":["http://www.mendeley.com/documents/?uuid=e1d242a2-f4eb-39e4-a749-1a2a277b8bd4"]}],"mendeley":{"formattedCitation":"&lt;sup&gt;[103]&lt;/sup&gt;","plainTextFormattedCitation":"[103]","previouslyFormattedCitation":"&lt;sup&gt;[103]&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[103]</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Additionally, it has been recently reported that 30 </w:t>
      </w:r>
      <w:proofErr w:type="spellStart"/>
      <w:r w:rsidRPr="00B7408D">
        <w:rPr>
          <w:rFonts w:ascii="Book Antiqua" w:hAnsi="Book Antiqua" w:cs="Times New Roman"/>
          <w:color w:val="000000"/>
          <w:lang w:val="en-US"/>
        </w:rPr>
        <w:t>μg</w:t>
      </w:r>
      <w:proofErr w:type="spellEnd"/>
      <w:r w:rsidRPr="00B7408D">
        <w:rPr>
          <w:rFonts w:ascii="Book Antiqua" w:hAnsi="Book Antiqua" w:cs="Times New Roman"/>
          <w:color w:val="000000"/>
          <w:lang w:val="en-US"/>
        </w:rPr>
        <w:t xml:space="preserve"> of </w:t>
      </w:r>
      <w:proofErr w:type="spellStart"/>
      <w:r w:rsidRPr="00B7408D">
        <w:rPr>
          <w:rFonts w:ascii="Book Antiqua" w:hAnsi="Book Antiqua" w:cs="Times New Roman"/>
          <w:color w:val="000000"/>
          <w:lang w:val="en-US"/>
        </w:rPr>
        <w:t>hydroxytyrosol</w:t>
      </w:r>
      <w:proofErr w:type="spellEnd"/>
      <w:r w:rsidRPr="00B7408D">
        <w:rPr>
          <w:rFonts w:ascii="Book Antiqua" w:hAnsi="Book Antiqua" w:cs="Times New Roman"/>
          <w:color w:val="000000"/>
          <w:lang w:val="en-US"/>
        </w:rPr>
        <w:t xml:space="preserve">/mL (~ 200 </w:t>
      </w:r>
      <w:proofErr w:type="spellStart"/>
      <w:r w:rsidR="00064EE0" w:rsidRPr="00B7408D">
        <w:rPr>
          <w:rFonts w:ascii="Book Antiqua" w:hAnsi="Book Antiqua" w:cs="Times New Roman"/>
          <w:color w:val="000000"/>
          <w:lang w:val="en-US"/>
        </w:rPr>
        <w:t>μmol</w:t>
      </w:r>
      <w:proofErr w:type="spellEnd"/>
      <w:r w:rsidR="00064EE0" w:rsidRPr="00B7408D">
        <w:rPr>
          <w:rFonts w:ascii="Book Antiqua" w:hAnsi="Book Antiqua" w:cs="Times New Roman"/>
          <w:color w:val="000000"/>
          <w:lang w:val="en-US"/>
        </w:rPr>
        <w:t>/L</w:t>
      </w:r>
      <w:r w:rsidRPr="00B7408D">
        <w:rPr>
          <w:rFonts w:ascii="Book Antiqua" w:hAnsi="Book Antiqua" w:cs="Times New Roman"/>
          <w:color w:val="000000"/>
          <w:lang w:val="en-US"/>
        </w:rPr>
        <w:t xml:space="preserve">) inhibited </w:t>
      </w:r>
      <w:proofErr w:type="spellStart"/>
      <w:r w:rsidRPr="00B7408D">
        <w:rPr>
          <w:rFonts w:ascii="Book Antiqua" w:hAnsi="Book Antiqua" w:cs="Times New Roman"/>
          <w:color w:val="000000"/>
          <w:lang w:val="en-US"/>
        </w:rPr>
        <w:t>adipogenesis</w:t>
      </w:r>
      <w:proofErr w:type="spellEnd"/>
      <w:r w:rsidRPr="00B7408D">
        <w:rPr>
          <w:rFonts w:ascii="Book Antiqua" w:hAnsi="Book Antiqua" w:cs="Times New Roman"/>
          <w:color w:val="000000"/>
          <w:lang w:val="en-US"/>
        </w:rPr>
        <w:t xml:space="preserve"> on human preadipocytes (not affecting mature adipocytes), further increasing apoptosis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{"citationItems":[{"id":"ITEM-1","itemData":{"DOI":"10.1177/1535370216654226","ISSN":"15353699","abstract":"Hydroxytyrosol has various pharmacological properties, including anti-oxidative stress and anti-inflammatory activities, preventing hyperglycemia, insulin resistance, and the metabolic syndrome. The present study is focused on the anti-adipogenic and lipolytic activity of hydroxytyrosol on primary human visceral adipocytes. Pre-adipocytes were analyzed after 10 (P10) and 20 (P20) days of treatment during differentiation and after 7 (A7) days of treatment when they reached mature shape. The treatment with hydroxytyrosol extract significantly (P &lt; 0.001) increased apoptosis in P10 and P20 cells in comparison to control and A7 cells; significantly (P &lt; 0.001) reduced triglyceride accumulation in P20 cells compared to P10 and control cells; and significantly (P &lt; 0.001) increased lipolysis in P20 cells in comparison to control cells and A7 mature adipocytes. Hydroxytyrosol-treated P20 cells significantly (P &lt; 0.05) increased expression of genes involved in inhibition of adipogenesis, such as GATA2, GATA3, WNT3A, SFRP5, HES1, and SIRT1. In contrast, genes involved in promoting adipogenesis such as LEP, FGF1, CCND1, and SREBF1 were significantly down-regulated by hydroxytyrosol treatment. These data suggest that hydroxytyrosol promotes lipolysis and apoptotic activity in primary human visceral pre-adipocytes during differentiation and does not affect already mature adipocytes.","author":[{"dropping-particle":"","family":"Stefanon","given":"Bruno","non-dropping-particle":"","parse-names":false,"suffix":""},{"dropping-particle":"","family":"Colitti","given":"Monica","non-dropping-particle":"","parse-names":false,"suffix":""}],"container-title":"Experimental Biology and Medicine","id":"ITEM-1","issue":"16","issued":{"date-parts":[["2016"]]},"page":"1796-1802","title":"Hydroxytyrosol, an ingredient of olive oil, reduces triglyceride accumulation and promotes lipolysis in human primary visceral adipocytes during differentiation","type":"article-journal","volume":"241"},"uris":["http://www.mendeley.com/documents/?uuid=23c1aae5-3280-4e1f-a122-240624ca2bb3"]}],"mendeley":{"formattedCitation":"&lt;sup&gt;[106]&lt;/sup&gt;","plainTextFormattedCitation":"[106]","previouslyFormattedCitation":"&lt;sup&gt;[106]&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[106]</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w:t>
      </w:r>
    </w:p>
    <w:p w14:paraId="6DC6C7C7" w14:textId="4849DB62" w:rsidR="006A0C4B" w:rsidRPr="00B7408D" w:rsidRDefault="006A0C4B" w:rsidP="004D452C">
      <w:pPr>
        <w:adjustRightInd w:val="0"/>
        <w:snapToGrid w:val="0"/>
        <w:spacing w:line="360" w:lineRule="auto"/>
        <w:ind w:firstLineChars="100" w:firstLine="240"/>
        <w:jc w:val="both"/>
        <w:rPr>
          <w:rFonts w:ascii="Book Antiqua" w:hAnsi="Book Antiqua" w:cs="Times New Roman"/>
          <w:color w:val="000000"/>
          <w:lang w:val="en-US"/>
        </w:rPr>
      </w:pPr>
      <w:r w:rsidRPr="00B7408D">
        <w:rPr>
          <w:rFonts w:ascii="Book Antiqua" w:hAnsi="Book Antiqua" w:cs="Times New Roman"/>
          <w:color w:val="000000"/>
          <w:lang w:val="en-US"/>
        </w:rPr>
        <w:t xml:space="preserve">Nevertheless, it should be taken into account that plasma levels of </w:t>
      </w:r>
      <w:proofErr w:type="spellStart"/>
      <w:r w:rsidRPr="00B7408D">
        <w:rPr>
          <w:rFonts w:ascii="Book Antiqua" w:hAnsi="Book Antiqua" w:cs="Times New Roman"/>
          <w:color w:val="000000"/>
          <w:lang w:val="en-US"/>
        </w:rPr>
        <w:t>hydroxytyrosol</w:t>
      </w:r>
      <w:proofErr w:type="spellEnd"/>
      <w:r w:rsidRPr="00B7408D">
        <w:rPr>
          <w:rFonts w:ascii="Book Antiqua" w:hAnsi="Book Antiqua" w:cs="Times New Roman"/>
          <w:color w:val="000000"/>
          <w:lang w:val="en-US"/>
        </w:rPr>
        <w:t xml:space="preserve"> have been found to be about 4.5 ng/mL (~ 0.029 </w:t>
      </w:r>
      <w:proofErr w:type="spellStart"/>
      <w:r w:rsidR="00064EE0" w:rsidRPr="00B7408D">
        <w:rPr>
          <w:rFonts w:ascii="Book Antiqua" w:hAnsi="Book Antiqua" w:cs="Times New Roman"/>
          <w:color w:val="000000"/>
          <w:lang w:val="en-US"/>
        </w:rPr>
        <w:t>μmol</w:t>
      </w:r>
      <w:proofErr w:type="spellEnd"/>
      <w:r w:rsidR="00064EE0" w:rsidRPr="00B7408D">
        <w:rPr>
          <w:rFonts w:ascii="Book Antiqua" w:hAnsi="Book Antiqua" w:cs="Times New Roman"/>
          <w:color w:val="000000"/>
          <w:lang w:val="en-US"/>
        </w:rPr>
        <w:t>/L</w:t>
      </w:r>
      <w:r w:rsidRPr="00B7408D">
        <w:rPr>
          <w:rFonts w:ascii="Book Antiqua" w:hAnsi="Book Antiqua" w:cs="Times New Roman"/>
          <w:color w:val="000000"/>
          <w:lang w:val="en-US"/>
        </w:rPr>
        <w:t>) in 30 min after consumption</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{"citationItems":[{"id":"ITEM-1","itemData":{"DOI":"10.1016/j.chroma.2016.02.016","ISSN":"1873-3778","PMID":"26877176","abstract":"Hydroxytyrosol (HT) from olive oil, a potent bioactive molecule with health benefits, has a poor bioavailability, its free form (free HT) being undetectable so far. This fact leads to the controversy whether attained HT concentrations after olive oil polyphenol ingestion are too low to explain the observed biological activities. Due to this, an analytical methodology to determine free HT in plasma is crucial for understanding HT biological activity. Plasma HT instability and low concentrations have been major limitations for its quantification in clinical studies. Here, we describe a method to detect and quantify free HT in human plasma by using liquid chromatography coupled to tandem mass spectrometry. The method encompasses different steps of sample preparation including plasma stabilization, protein precipitation, selective derivatization with benzylamine, and purification by solid-phase extraction. A high sensitivity (LOD, 0.3ng/mL), specificity and stability of HT is achieved following these procedures. The method was validated and its applicability was demonstrated by analyzing human plasma samples after olive oil intake. A pharmacokinetic comparison was performed measuring free HT plasma concentrations following the intake of 25mL of ordinary olive oil (nearly undetectable concentrations) versus an extra-virgin olive oil (Cmax=4.40ng/mL). To our knowledge, this is the first time that an analytical procedure for quantifying free HT in plasma after olive oil dietary doses has been reported. The present methodology opens the door to a better understanding of the relationship between HT plasma concentrations and its beneficial health effects.","author":[{"dropping-particle":"","family":"Pastor","given":"Antoni","non-dropping-particle":"","parse-names":false,"suffix":""},{"dropping-particle":"","family":"Rodríguez-Morató","given":"Jose","non-dropping-particle":"","parse-names":false,"suffix":""},{"dropping-particle":"","family":"Olesti","given":"Eulàlia","non-dropping-particle":"","parse-names":false,"suffix":""},{"dropping-particle":"","family":"Pujadas","given":"Mitona","non-dropping-particle":"","parse-names":false,"suffix":""},{"dropping-particle":"","family":"Pérez-Mañá","given":"Clara","non-dropping-particle":"","parse-names":false,"suffix":""},{"dropping-particle":"","family":"Khymenets","given":"Olha","non-dropping-particle":"","parse-names":false,"suffix":""},{"dropping-particle":"","family":"Fitó","given":"Montserrat","non-dropping-particle":"","parse-names":false,"suffix":""},{"dropping-particle":"","family":"Covas","given":"María-Isabel","non-dropping-particle":"","parse-names":false,"suffix":""},{"dropping-particle":"","family":"Solá","given":"Rosa","non-dropping-particle":"","parse-names":false,"suffix":""},{"dropping-particle":"","family":"Motilva","given":"María-José","non-dropping-particle":"","parse-names":false,"suffix":""},{"dropping-particle":"","family":"Farré","given":"Magí","non-dropping-particle":"","parse-names":false,"suffix":""},{"dropping-particle":"","family":"la Torre","given":"Rafael","non-dropping-particle":"de","parse-names":false,"suffix":""}],"container-title":"Journal of chromatography. A","id":"ITEM-1","issued":{"date-parts":[["2016","3","11"]]},"page":"183-190","title":"Analysis of free hydroxytyrosol in human plasma following the administration of olive oil.","type":"article-journal","volume":"1437"},"uris":["http://www.mendeley.com/documents/?uuid=a7aac38d-c09e-301b-97d6-27bc156b8bdc"]}],"mendeley":{"formattedCitation":"&lt;sup&gt;[107]&lt;/sup&gt;","plainTextFormattedCitation":"[107]","previouslyFormattedCitation":"&lt;sup&gt;[107]&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[107]</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Therefore, the effect of high concentrations of </w:t>
      </w:r>
      <w:proofErr w:type="spellStart"/>
      <w:r w:rsidRPr="00B7408D">
        <w:rPr>
          <w:rFonts w:ascii="Book Antiqua" w:hAnsi="Book Antiqua" w:cs="Times New Roman"/>
          <w:color w:val="000000"/>
          <w:lang w:val="en-US"/>
        </w:rPr>
        <w:t>hydroxytyrosol</w:t>
      </w:r>
      <w:proofErr w:type="spellEnd"/>
      <w:r w:rsidRPr="00B7408D">
        <w:rPr>
          <w:rFonts w:ascii="Book Antiqua" w:hAnsi="Book Antiqua" w:cs="Times New Roman"/>
          <w:color w:val="000000"/>
          <w:lang w:val="en-US"/>
        </w:rPr>
        <w:t xml:space="preserve">, reported by others and ourselves, on osteoblastic and </w:t>
      </w:r>
      <w:proofErr w:type="spellStart"/>
      <w:r w:rsidRPr="00B7408D">
        <w:rPr>
          <w:rFonts w:ascii="Book Antiqua" w:hAnsi="Book Antiqua" w:cs="Times New Roman"/>
          <w:color w:val="000000"/>
          <w:lang w:val="en-US"/>
        </w:rPr>
        <w:t>adipogenic</w:t>
      </w:r>
      <w:proofErr w:type="spellEnd"/>
      <w:r w:rsidRPr="00B7408D">
        <w:rPr>
          <w:rFonts w:ascii="Book Antiqua" w:hAnsi="Book Antiqua" w:cs="Times New Roman"/>
          <w:color w:val="000000"/>
          <w:lang w:val="en-US"/>
        </w:rPr>
        <w:t xml:space="preserve"> differentiation of human MSCs </w:t>
      </w:r>
      <w:r w:rsidRPr="00B7408D">
        <w:rPr>
          <w:rFonts w:ascii="Book Antiqua" w:hAnsi="Book Antiqua" w:cs="Times New Roman"/>
          <w:i/>
          <w:color w:val="000000"/>
          <w:lang w:val="en-US"/>
        </w:rPr>
        <w:t>in vitro</w:t>
      </w:r>
      <w:r w:rsidRPr="00B7408D">
        <w:rPr>
          <w:rFonts w:ascii="Book Antiqua" w:hAnsi="Book Antiqua" w:cs="Times New Roman"/>
          <w:color w:val="000000"/>
          <w:lang w:val="en-US"/>
        </w:rPr>
        <w:t xml:space="preserve"> would require a pharmacological </w:t>
      </w:r>
      <w:r w:rsidRPr="00B7408D">
        <w:rPr>
          <w:rFonts w:ascii="Book Antiqua" w:hAnsi="Book Antiqua" w:cs="Times New Roman"/>
          <w:i/>
          <w:color w:val="000000"/>
          <w:lang w:val="en-US"/>
        </w:rPr>
        <w:t>in vivo</w:t>
      </w:r>
      <w:r w:rsidRPr="00B7408D">
        <w:rPr>
          <w:rFonts w:ascii="Book Antiqua" w:hAnsi="Book Antiqua" w:cs="Times New Roman"/>
          <w:color w:val="000000"/>
          <w:lang w:val="en-US"/>
        </w:rPr>
        <w:t xml:space="preserve"> intake. Interestingly, studies with animals have shown that both </w:t>
      </w:r>
      <w:proofErr w:type="spellStart"/>
      <w:r w:rsidRPr="00B7408D">
        <w:rPr>
          <w:rFonts w:ascii="Book Antiqua" w:hAnsi="Book Antiqua" w:cs="Times New Roman"/>
          <w:color w:val="000000"/>
          <w:lang w:val="en-US"/>
        </w:rPr>
        <w:t>oleuropein</w:t>
      </w:r>
      <w:proofErr w:type="spellEnd"/>
      <w:r w:rsidRPr="00B7408D">
        <w:rPr>
          <w:rFonts w:ascii="Book Antiqua" w:hAnsi="Book Antiqua" w:cs="Times New Roman"/>
          <w:color w:val="000000"/>
          <w:lang w:val="en-US"/>
        </w:rPr>
        <w:t xml:space="preserve"> and </w:t>
      </w:r>
      <w:proofErr w:type="spellStart"/>
      <w:r w:rsidRPr="00B7408D">
        <w:rPr>
          <w:rFonts w:ascii="Book Antiqua" w:hAnsi="Book Antiqua" w:cs="Times New Roman"/>
          <w:color w:val="000000"/>
          <w:lang w:val="en-US"/>
        </w:rPr>
        <w:t>hydroxytyrosol</w:t>
      </w:r>
      <w:proofErr w:type="spellEnd"/>
      <w:r w:rsidRPr="00B7408D">
        <w:rPr>
          <w:rFonts w:ascii="Book Antiqua" w:hAnsi="Book Antiqua" w:cs="Times New Roman"/>
          <w:color w:val="000000"/>
          <w:lang w:val="en-US"/>
        </w:rPr>
        <w:t xml:space="preserve"> protected 6-wk-old</w:t>
      </w:r>
      <w:r w:rsidRPr="00B7408D" w:rsidDel="00E47B21">
        <w:rPr>
          <w:rFonts w:ascii="Book Antiqua" w:hAnsi="Book Antiqua" w:cs="Times New Roman"/>
          <w:color w:val="000000"/>
          <w:lang w:val="en-US"/>
        </w:rPr>
        <w:t xml:space="preserve"> </w:t>
      </w:r>
      <w:proofErr w:type="spellStart"/>
      <w:r w:rsidRPr="00B7408D">
        <w:rPr>
          <w:rFonts w:ascii="Book Antiqua" w:hAnsi="Book Antiqua" w:cs="Times New Roman"/>
          <w:color w:val="000000"/>
          <w:lang w:val="en-US"/>
        </w:rPr>
        <w:t>ovariectomized</w:t>
      </w:r>
      <w:proofErr w:type="spellEnd"/>
      <w:r w:rsidRPr="00B7408D">
        <w:rPr>
          <w:rFonts w:ascii="Book Antiqua" w:hAnsi="Book Antiqua" w:cs="Times New Roman"/>
          <w:color w:val="000000"/>
          <w:lang w:val="en-US"/>
        </w:rPr>
        <w:t xml:space="preserve"> mice of trabecular (albeit not cortical) bone loss in femur. Yet, it is not clear if that was due to increased </w:t>
      </w:r>
      <w:proofErr w:type="spellStart"/>
      <w:r w:rsidRPr="00B7408D">
        <w:rPr>
          <w:rFonts w:ascii="Book Antiqua" w:hAnsi="Book Antiqua" w:cs="Times New Roman"/>
          <w:color w:val="000000"/>
          <w:lang w:val="en-US"/>
        </w:rPr>
        <w:t>osteoblastogenesis</w:t>
      </w:r>
      <w:proofErr w:type="spellEnd"/>
      <w:r w:rsidRPr="00B7408D">
        <w:rPr>
          <w:rFonts w:ascii="Book Antiqua" w:hAnsi="Book Antiqua" w:cs="Times New Roman"/>
          <w:color w:val="000000"/>
          <w:lang w:val="en-US"/>
        </w:rPr>
        <w:t xml:space="preserve">, inhibition of </w:t>
      </w:r>
      <w:proofErr w:type="spellStart"/>
      <w:r w:rsidRPr="00B7408D">
        <w:rPr>
          <w:rFonts w:ascii="Book Antiqua" w:hAnsi="Book Antiqua" w:cs="Times New Roman"/>
          <w:color w:val="000000"/>
          <w:lang w:val="en-US"/>
        </w:rPr>
        <w:t>osteoclastogenesis</w:t>
      </w:r>
      <w:proofErr w:type="spellEnd"/>
      <w:r w:rsidRPr="00B7408D">
        <w:rPr>
          <w:rFonts w:ascii="Book Antiqua" w:hAnsi="Book Antiqua" w:cs="Times New Roman"/>
          <w:color w:val="000000"/>
          <w:lang w:val="en-US"/>
        </w:rPr>
        <w:t>, or both</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{"citationItems":[{"id":"ITEM-1","itemData":{"DOI":"10.1016/j.ejphar.2011.04.023","ISBN":"0014-2999","ISSN":"00142999","PMID":"21539839","abstract":"Polyphenols reportedly exert physiological effects against diseases such as cancer, arteriosclerosis, hyperlipidemia and osteoporosis. The present study was designed to evaluate the effects of oleuropein, hydroxytyrosol and tyrosol, the major polyphenols in olives, on bone formation using cultured osteoblasts and osteoclasts, and on bone loss in ovariectomized mice. No polyphenols markedly affected the proliferation of osteoblastic MC3T3-E1 cells at concentrations up to 10 ??M. Oleuropein and hydroxytyrosol at 10 to 100 ??M had no effect on the production of type I collagen and the activity of alkaline phosphatase in MC3T3-E1 cells, but stimulated the deposition of calcium in a dose-dependent manner. In contrast, oleuropein at 10 to 100 ??M and hydroxytyrosol at 50 to 100 ??M inhibited the formation of multinucleated osteoclasts in a dose-dependent manner. Furthermore, both compounds suppressed the bone loss of trabecular bone in femurs of ovariectomized mice (6-week-old BALB/c female mice), while hydroxytyrosol attenuated H2O2 levels in MC3T3-E1 cells. Our findings indicate that the olive polyphenols oleuropein and hydroxytyrosol may have critical effects on the formation and maintenance of bone, and can be used as effective remedies in the treatment of osteoporosis symptoms. ?? 2011 Elsevier B.V. All rights reserved.","author":[{"dropping-particle":"","family":"Hagiwara","given":"Keitaro","non-dropping-particle":"","parse-names":false,"suffix":""},{"dropping-particle":"","family":"Goto","given":"Tadashi","non-dropping-particle":"","parse-names":false,"suffix":""},{"dropping-particle":"","family":"Araki","given":"Masahiro","non-dropping-particle":"","parse-names":false,"suffix":""},{"dropping-particle":"","family":"Miyazaki","given":"Hitoshi","non-dropping-particle":"","parse-names":false,"suffix":""},{"dropping-particle":"","family":"Hagiwara","given":"Hiromi","non-dropping-particle":"","parse-names":false,"suffix":""}],"container-title":"European Journal of Pharmacology","id":"ITEM-1","issue":"1-3","issued":{"date-parts":[["2011"]]},"page":"78-84","publisher":"Elsevier B.V.","title":"Olive polyphenol hydroxytyrosol prevents bone loss","type":"article-journal","volume":"662"},"uris":["http://www.mendeley.com/documents/?uuid=42871b03-c8ec-4cf8-bcd9-013c3a5b4aa6"]}],"mendeley":{"formattedCitation":"&lt;sup&gt;[98]&lt;/sup&gt;","plainTextFormattedCitation":"[98]","previouslyFormattedCitation":"&lt;sup&gt;[98]&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[98]</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w:t>
      </w:r>
    </w:p>
    <w:p w14:paraId="7DEAFF25" w14:textId="77777777" w:rsidR="006A0C4B" w:rsidRPr="00B7408D" w:rsidRDefault="006A0C4B" w:rsidP="004D452C">
      <w:pPr>
        <w:adjustRightInd w:val="0"/>
        <w:snapToGrid w:val="0"/>
        <w:spacing w:line="360" w:lineRule="auto"/>
        <w:ind w:firstLineChars="100" w:firstLine="240"/>
        <w:jc w:val="both"/>
        <w:rPr>
          <w:rFonts w:ascii="Book Antiqua" w:hAnsi="Book Antiqua" w:cs="Times New Roman"/>
          <w:color w:val="000000"/>
          <w:lang w:val="en-US"/>
        </w:rPr>
      </w:pPr>
      <w:r w:rsidRPr="00B7408D">
        <w:rPr>
          <w:rFonts w:ascii="Book Antiqua" w:hAnsi="Book Antiqua" w:cs="Times New Roman"/>
          <w:color w:val="000000"/>
          <w:lang w:val="en-US"/>
        </w:rPr>
        <w:t xml:space="preserve">Additionally, </w:t>
      </w:r>
      <w:proofErr w:type="spellStart"/>
      <w:r w:rsidRPr="00B7408D">
        <w:rPr>
          <w:rFonts w:ascii="Book Antiqua" w:hAnsi="Book Antiqua" w:cs="Times New Roman"/>
          <w:color w:val="000000"/>
          <w:lang w:val="en-US"/>
        </w:rPr>
        <w:t>hydroxytyrosol</w:t>
      </w:r>
      <w:proofErr w:type="spellEnd"/>
      <w:r w:rsidRPr="00B7408D">
        <w:rPr>
          <w:rFonts w:ascii="Book Antiqua" w:hAnsi="Book Antiqua" w:cs="Times New Roman"/>
          <w:color w:val="000000"/>
          <w:lang w:val="en-US"/>
        </w:rPr>
        <w:t xml:space="preserve"> has positive effects on chondrocytes, which are other cells also derived from MSCs. For instance, in an osteoarthritis model in which chondrocytes have been stimulated with growth-related oncogene alpha (commonly known as GROα) to promote hypertrophy and terminal differentiation, the presence of </w:t>
      </w:r>
      <w:proofErr w:type="spellStart"/>
      <w:r w:rsidRPr="00B7408D">
        <w:rPr>
          <w:rFonts w:ascii="Book Antiqua" w:hAnsi="Book Antiqua" w:cs="Times New Roman"/>
          <w:color w:val="000000"/>
          <w:lang w:val="en-US"/>
        </w:rPr>
        <w:t>hydroxytyrosol</w:t>
      </w:r>
      <w:proofErr w:type="spellEnd"/>
      <w:r w:rsidRPr="00B7408D">
        <w:rPr>
          <w:rFonts w:ascii="Book Antiqua" w:hAnsi="Book Antiqua" w:cs="Times New Roman"/>
          <w:color w:val="000000"/>
          <w:lang w:val="en-US"/>
        </w:rPr>
        <w:t xml:space="preserve"> reduced oxidative stress and apoptosis, which are induced in such pathology</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{"citationItems":[{"id":"ITEM-1","itemData":{"DOI":"10.1371/journal.pone.0109724","ISSN":"19326203","abstract":"Hydroxytyrosol (HT), a phenolic compound mainly derived from olives, has\\nbeen proposed as a nutraceutical useful in prevention or treatment of\\ndegenerative diseases. In the present study we have evaluated the\\nability of HT to counteract the appearance of osteoarthritis (OA)\\nfeatures in human chondrocytes. Pre-treatment of monolayer cultures of\\nchondrocytes with HT was effective in preventing accumulation of\\nreactive oxidant species (ROS), DNA damage and cell death induced by\\nH2O2 exposure, as well as the increase in the mRNA level of\\npro-inflammatory, matrix-degrading and hypertrophy marker genes, such as\\niNOS, COX-2, MMP-13, RUNX-2 and VEGF. HT alone slightly enhanced ROS\\nproduction, but did not enhance cell damage and death or the expression\\nof OA-related genes. Moreover HT was tested in an in vitro model of OA,\\ni.e. three-dimensional micromass cultures of chondrocytes stimulated\\nwith growth-related oncogene alpha (GRO alpha), a chemokine involved in\\nOA pathogenesis and known to promote hypertrophy and terminal\\ndifferentiation of chondrocytes. In micromass constructs, HT\\npre-treatment inhibited the increases in caspase activity and the level\\nof the messengers for iNOS, COX-2, MMP-13, RUNX-2 and VEGF elicited by\\nGRO alpha. In addition, HT significantly increased the level of SIRT-1\\nmRNA in the presence of GRO alpha. In conclusion, the present study\\nshows that HT reduces oxidative stress and damage, exerts pro-survival\\nand anti-apoptotic actions and favourably influences the expression of\\ncritical OA-related genes in human chondrocytes treated with stressors\\npromoting OA-like features.","author":[{"dropping-particle":"","family":"Facchini","given":"Annalisa","non-dropping-particle":"","parse-names":false,"suffix":""},{"dropping-particle":"","family":"Cetrullo","given":"Silvia","non-dropping-particle":"","parse-names":false,"suffix":""},{"dropping-particle":"","family":"D'Adamo","given":"Stefania","non-dropping-particle":"","parse-names":false,"suffix":""},{"dropping-particle":"","family":"Guidotti","given":"Serena","non-dropping-particle":"","parse-names":false,"suffix":""},{"dropping-particle":"","family":"Minguzzi","given":"Manuela","non-dropping-particle":"","parse-names":false,"suffix":""},{"dropping-particle":"","family":"Facchini","given":"Andrea","non-dropping-particle":"","parse-names":false,"suffix":""},{"dropping-particle":"","family":"Borzì","given":"Rosa Maria","non-dropping-particle":"","parse-names":false,"suffix":""},{"dropping-particle":"","family":"Flamigni","given":"Flavio","non-dropping-particle":"","parse-names":false,"suffix":""}],"container-title":"PLoS ONE","id":"ITEM-1","issue":"10","issued":{"date-parts":[["2014"]]},"page":"1-9","title":"Hydroxytyrosol prevents increase of osteoarthritis markers in human chondrocytes treated with hydrogen peroxide or growth-related oncogene α","type":"article-journal","volume":"9"},"uris":["http://www.mendeley.com/documents/?uuid=f35de343-ba38-44c0-97f6-204f6d4e1951"]}],"mendeley":{"formattedCitation":"&lt;sup&gt;[108]&lt;/sup&gt;","plainTextFormattedCitation":"[108]","previouslyFormattedCitation":"&lt;sup&gt;[108]&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[108]</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These results suggest that this compound might have a relevant role in MSC physiology in bone marrow, </w:t>
      </w:r>
      <w:r w:rsidRPr="00B7408D">
        <w:rPr>
          <w:rFonts w:ascii="Book Antiqua" w:hAnsi="Book Antiqua" w:cs="Times New Roman"/>
          <w:color w:val="000000"/>
          <w:lang w:val="en-US"/>
        </w:rPr>
        <w:lastRenderedPageBreak/>
        <w:t xml:space="preserve">modulating bone metabolism. Nevertheless, further research is required to properly ascertain its putative effects </w:t>
      </w:r>
      <w:r w:rsidRPr="00B7408D">
        <w:rPr>
          <w:rFonts w:ascii="Book Antiqua" w:hAnsi="Book Antiqua" w:cs="Times New Roman"/>
          <w:i/>
          <w:color w:val="000000"/>
          <w:lang w:val="en-US"/>
        </w:rPr>
        <w:t>in vivo</w:t>
      </w:r>
      <w:r w:rsidRPr="00B7408D">
        <w:rPr>
          <w:rFonts w:ascii="Book Antiqua" w:hAnsi="Book Antiqua" w:cs="Times New Roman"/>
          <w:color w:val="000000"/>
          <w:lang w:val="en-US"/>
        </w:rPr>
        <w:t>.</w:t>
      </w:r>
    </w:p>
    <w:p w14:paraId="3B4B3756" w14:textId="77777777" w:rsidR="006A0C4B" w:rsidRPr="00B7408D" w:rsidRDefault="006A0C4B" w:rsidP="004D452C">
      <w:pPr>
        <w:adjustRightInd w:val="0"/>
        <w:snapToGrid w:val="0"/>
        <w:spacing w:line="360" w:lineRule="auto"/>
        <w:ind w:firstLineChars="100" w:firstLine="240"/>
        <w:jc w:val="both"/>
        <w:rPr>
          <w:rFonts w:ascii="Book Antiqua" w:hAnsi="Book Antiqua" w:cs="Times New Roman"/>
          <w:color w:val="000000"/>
          <w:lang w:val="en-US"/>
        </w:rPr>
      </w:pPr>
      <w:r w:rsidRPr="00B7408D">
        <w:rPr>
          <w:rFonts w:ascii="Book Antiqua" w:hAnsi="Book Antiqua" w:cs="Times New Roman"/>
          <w:color w:val="000000"/>
          <w:lang w:val="en-US"/>
        </w:rPr>
        <w:t>Extra virgin olive oil also contains other phenols, known as flavonoids, mainly luteolin and apigenin. Their concentrations range from 0-19 mg/kg</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{"citationItems":[{"id":"ITEM-1","itemData":{"DOI":"10.1016/j.bpc.2017.09.002","ISSN":"18734200","abstract":"When compared with other edible vegetable oils, the extra virgin olive oil (EVOO) exhibits excellent nutritional properties due to the presence of biophenolic compounds. Although they constitute only a very small amount of the unsaponifiable fraction of EVOO, biophenols strongly contribute to the sensorial properties of this precious food conferring it, for example, the bitter or pungent taste. Furthermore, it has been found that biophenols possess beneficial effects against many human pathologies such as oxidative stress, inflammation, cardiovascular diseases, cancer and aging-related illness. In the present work, the biophenolic content of 51 Italian and Spanish EVOOs was qualitatively and quantitatively identified and their antioxidant ability analyzed by oxygen radical absorbance capacity (ORAC) assay. Results indicated that the maximum relationship can be found if the ORAC value is correlated with the concentration of the large family composed by ligstroside and oleuropein derivatives together with their degradation products, hydroxytyrosol and tyrosol. Then, selected biophenolic extracts were tested in NIH-3T3 cell line to verify their ability in the recovery of the oxidative stress revealed by DCFH-DA assay. Results were linearly correlated with the concentration of ligstroside aglycone (aldehyde and hydroxyl form).","author":[{"dropping-particle":"","family":"Presti","given":"G.","non-dropping-particle":"","parse-names":false,"suffix":""},{"dropping-particle":"","family":"Guarrasi","given":"V.","non-dropping-particle":"","parse-names":false,"suffix":""},{"dropping-particle":"","family":"Gulotta","given":"E.","non-dropping-particle":"","parse-names":false,"suffix":""},{"dropping-particle":"","family":"Provenzano","given":"F.","non-dropping-particle":"","parse-names":false,"suffix":""},{"dropping-particle":"","family":"Provenzano","given":"A.","non-dropping-particle":"","parse-names":false,"suffix":""},{"dropping-particle":"","family":"Giuliano","given":"S.","non-dropping-particle":"","parse-names":false,"suffix":""},{"dropping-particle":"","family":"Monfreda","given":"M.","non-dropping-particle":"","parse-names":false,"suffix":""},{"dropping-particle":"","family":"Mangione","given":"M. R.","non-dropping-particle":"","parse-names":false,"suffix":""},{"dropping-particle":"","family":"Passantino","given":"R.","non-dropping-particle":"","parse-names":false,"suffix":""},{"dropping-particle":"","family":"San Biagio","given":"P. L.","non-dropping-particle":"","parse-names":false,"suffix":""},{"dropping-particle":"","family":"Costa","given":"M. A.","non-dropping-particle":"","parse-names":false,"suffix":""},{"dropping-particle":"","family":"Giacomazza","given":"D.","non-dropping-particle":"","parse-names":false,"suffix":""}],"container-title":"Biophysical Chemistry","id":"ITEM-1","issue":"September","issued":{"date-parts":[["2017"]]},"page":"109-116","publisher":"Elsevier","title":"Bioactive compounds from extra virgin olive oils: Correlation between phenolic content and oxidative stress cell protection","type":"article-journal","volume":"230"},"uris":["http://www.mendeley.com/documents/?uuid=68c57f20-5778-42c5-a4fe-d11d3771362f"]}],"mendeley":{"formattedCitation":"&lt;sup&gt;[93]&lt;/sup&gt;","plainTextFormattedCitation":"[93]","previouslyFormattedCitation":"&lt;sup&gt;[93]&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[93]</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therefore representing a minority. Despite that, their intake has been associated with reduced risk to suffer cardiovascular disease, cancer, and neurodegenerative disorders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{"citationItems":[{"id":"ITEM-1","itemData":{"ISBN":"0035-7715 (Print)\\r0035-7715 (Linking)","ISSN":"0035-7715","PMID":"25272572","abstract":"Flavonoids are a group of bioactive compounds that are extensively found in foodstuffs of plant origin. Their regular consumption is associated with reduced risk of a number of chronic diseases, including cancer, cardiovascular disease (CVD) and neurodegenerative disorders. Flavonoids are classified into subgroups based on their chemical structure: flavanones, flavones, flavonols, flavan-3-ols, anthocyanins and isoflavones. Their actions at the molecular level include antioxidant effects, as well the ability to modulate several key enzymatic pathways. The growing body of scientific evidence indicates that flavonoids play a beneficial role in disease prevention, however further clinical and epidemiological trials are greatly needed. Among dietary sources of flavonoids there are fruits, vegetables, nuts, seeds and spices. Consumption of these substances with diet appears to be safe. It seems that a diet rich in flavonoids is beneficial and its promotion is thus justifiable.","author":[{"dropping-particle":"","family":"Kozłowska","given":"Aleksandra","non-dropping-particle":"","parse-names":false,"suffix":""},{"dropping-particle":"","family":"Szostak-Wegierek","given":"Dorota","non-dropping-particle":"","parse-names":false,"suffix":""}],"container-title":"Roczniki Panstwowego Zakladu Higieny","id":"ITEM-1","issue":"2","issued":{"date-parts":[["2014"]]},"page":"79-85","title":"Flavonoids--food sources and health benefits.","type":"article-journal","volume":"65"},"uris":["http://www.mendeley.com/documents/?uuid=415cc68a-154b-406d-8bf1-ed353636144c"]}],"mendeley":{"formattedCitation":"&lt;sup&gt;[109]&lt;/sup&gt;","plainTextFormattedCitation":"[109]","previouslyFormattedCitation":"&lt;sup&gt;[109]&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[109]</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Both flavonoids upregulate the octamer-binding protein 4 (</w:t>
      </w:r>
      <w:r w:rsidRPr="00B7408D">
        <w:rPr>
          <w:rFonts w:ascii="Book Antiqua" w:hAnsi="Book Antiqua" w:cs="Times New Roman"/>
          <w:i/>
          <w:color w:val="000000"/>
          <w:lang w:val="en-US"/>
        </w:rPr>
        <w:t>OCT4</w:t>
      </w:r>
      <w:r w:rsidRPr="00B7408D">
        <w:rPr>
          <w:rFonts w:ascii="Book Antiqua" w:hAnsi="Book Antiqua" w:cs="Times New Roman"/>
          <w:color w:val="000000"/>
          <w:lang w:val="en-US"/>
        </w:rPr>
        <w:t>) and sex-determining region Y box-containing gene 2 (</w:t>
      </w:r>
      <w:r w:rsidRPr="00B7408D">
        <w:rPr>
          <w:rFonts w:ascii="Book Antiqua" w:hAnsi="Book Antiqua" w:cs="Times New Roman"/>
          <w:i/>
          <w:color w:val="000000"/>
          <w:lang w:val="en-US"/>
        </w:rPr>
        <w:t>SOX2</w:t>
      </w:r>
      <w:r w:rsidRPr="00B7408D">
        <w:rPr>
          <w:rFonts w:ascii="Book Antiqua" w:hAnsi="Book Antiqua" w:cs="Times New Roman"/>
          <w:color w:val="000000"/>
          <w:lang w:val="en-US"/>
        </w:rPr>
        <w:t>) genes in MSCs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{"citationItems":[{"id":"ITEM-1","itemData":{"DOI":"10.1002/cbin.10648","ISSN":"10958355","abstract":"Identifying small molecules to activate the Oct-4/Sox2-derived pluripotency network represents a hopeful and safe method to pluripotency without genetic manipulation. Luteolin and apigenin, two major bioactive flavonoids, enhance reprogramming efficiency and increase expression of Oct-4/Sox2/c-Myc, albeit the detailed mechanism regulating pluripotency in dental-derived cells remains unknown. In the present study, to elucidate the effect of luteolin/apigenin on pluripotency of periodontal ligament cells (PDLCs) through interaction with downstream signals, we examined cell cycle, proliferation, apoptosis, expression of Oct-4/Sox2/c-Myc, and multilineage differentiation of PDLCs with luteolin/apigenin treatment. Moreover, we profiled the differentially expressed pluripotency genes by PCR arrays. Our results demonstrated that luteolin/apigenin restrained cell proliferation, increased apoptosis, and arrested PDLCs in G2/M and S phase. Luteolin and apigenin activated expression of Oct-4, Sox2, and c-Myc in a time- and dose-dependent pattern, and repressed lineage-specific differentiation. PCR arrays profiled multiple signals in PDLCs with luteolin/apigenin treatment, among which NFATc1 was the major upregulated gene. Notably, blocking of the NFATc1 signal with INCA-6 significantly decreased mRNA and protein expression of Oct-4, Sox2, and c-Myc in PDLCs with luteolin/apigenin treatment, indicating that NFATc1 may act as an upstream modulator of Oct-4/Sox2 signal. Taken together, this study showed that luteolin and apigenin effectively maintain pluripotency of PDLCs through activation of Oct-4/Sox2 signal via NFATc1.","author":[{"dropping-particle":"","family":"Liu","given":"Lu","non-dropping-particle":"","parse-names":false,"suffix":""},{"dropping-particle":"","family":"Peng","given":"Zhengjun","non-dropping-particle":"","parse-names":false,"suffix":""},{"dropping-particle":"","family":"Huang","given":"Haoquan","non-dropping-particle":"","parse-names":false,"suffix":""},{"dropping-particle":"","family":"Xu","given":"Zhezhen","non-dropping-particle":"","parse-names":false,"suffix":""},{"dropping-particle":"","family":"Wei","given":"Xi","non-dropping-particle":"","parse-names":false,"suffix":""}],"container-title":"Cell Biology International","id":"ITEM-1","issue":"10","issued":{"date-parts":[["2016"]]},"page":"1094-1106","title":"Luteolin and apigenin activate the Oct-4/Sox2 signal via NFATc1 in human periodontal ligament cells","type":"article-journal","volume":"40"},"uris":["http://www.mendeley.com/documents/?uuid=e984e7f3-8718-4b31-aa61-b318ca2aefb1"]}],"mendeley":{"formattedCitation":"&lt;sup&gt;[110]&lt;/sup&gt;","plainTextFormattedCitation":"[110]","previouslyFormattedCitation":"&lt;sup&gt;[110]&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[110]</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Such genes are mainly expressed in embryonic stem cells, encoding transcription factors that regulate cell cycle and maintenance of totipotency or pluripotency. They are considered additional MSC molecular markers in adult tissues, being repressed after cell differentiation</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{"citationItems":[{"id":"ITEM-1","itemData":{"DOI":"10.1089/scd.2012.0637","ISSN":"1557-8534","PMID":"23336433","abstract":"Stem cells (SC) are able to self-renew and to differentiate into many types of committed cells, making SCs interesting for cellular therapy. However, the pool of SCs in vivo and in vitro consists of a mix of cells at several stages of differentiation, making it difficult to obtain a homogeneous population of SCs for research. Therefore, it is important to isolate and characterize unambiguous molecular markers that can be applied to SCs. Here, we review classical and new candidate molecular markers that have been established to show a molecular profile for human embryonic stem cells (hESCs), mesenchymal stem cells (MSCs), and hematopoietic stem cells (HSCs). The commonly cited markers for embryonic ESCs are Nanog, Oct-4, Sox-2, Rex-1, Dnmt3b, Lin-28, Tdgf1, FoxD3, Tert, Utf-1, Gal, Cx43, Gdf3, Gtcm1, Terf1, Terf2, Lefty A, and Lefty B. MSCs are primarily identified by the expression of CD13, CD29, CD44, CD49e, CD54, CD71, CD73, CD90, CD105, CD106, CD166, and HLA-ABC and lack CD14, CD31, CD34, CD45, CD62E, CD62L, CD62P, and HLA-DR expression. HSCs are mainly isolated based on the expression of CD34, but the combination of this marker with CD133 and CD90, together with a lack of CD38 and other lineage markers, provides the most homogeneous pool of SCs. Here, we present new and alternative markers for SCs, along with microRNA profiles, for these cells.","author":[{"dropping-particle":"","family":"Calloni","given":"Raquel","non-dropping-particle":"","parse-names":false,"suffix":""},{"dropping-particle":"","family":"Cordero","given":"Elvira Alicia Aparicio","non-dropping-particle":"","parse-names":false,"suffix":""},{"dropping-particle":"","family":"Henriques","given":"João Antonio Pêgas","non-dropping-particle":"","parse-names":false,"suffix":""},{"dropping-particle":"","family":"Bonatto","given":"Diego","non-dropping-particle":"","parse-names":false,"suffix":""}],"container-title":"Stem cells and development","id":"ITEM-1","issue":"9","issued":{"date-parts":[["2013","5","1"]]},"page":"1455-76","title":"Reviewing and updating the major molecular markers for stem cells.","type":"article-journal","volume":"22"},"uris":["http://www.mendeley.com/documents/?uuid=c2ec301e-1b90-41f6-be77-96e7fb6e4c01"]}],"mendeley":{"formattedCitation":"&lt;sup&gt;[111]&lt;/sup&gt;","plainTextFormattedCitation":"[111]","previouslyFormattedCitation":"&lt;sup&gt;[111]&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[111]</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Therefore, luteolin and apigenin may delay the loss of regenerative capacity of MSCs with aging. In addition, also related to aging, luteolin prevented oxidative stress </w:t>
      </w:r>
      <w:r w:rsidRPr="00B7408D">
        <w:rPr>
          <w:rFonts w:ascii="Book Antiqua" w:hAnsi="Book Antiqua" w:cs="Times New Roman"/>
          <w:i/>
          <w:color w:val="000000"/>
          <w:lang w:val="en-US"/>
        </w:rPr>
        <w:t>in vitro</w:t>
      </w:r>
      <w:r w:rsidRPr="00B7408D">
        <w:rPr>
          <w:rFonts w:ascii="Book Antiqua" w:hAnsi="Book Antiqua" w:cs="Times New Roman"/>
          <w:color w:val="000000"/>
          <w:lang w:val="en-US"/>
        </w:rPr>
        <w:t>, induced with FeCl</w:t>
      </w:r>
      <w:r w:rsidRPr="00B7408D">
        <w:rPr>
          <w:rFonts w:ascii="Book Antiqua" w:hAnsi="Book Antiqua" w:cs="Times New Roman"/>
          <w:color w:val="000000"/>
          <w:vertAlign w:val="subscript"/>
          <w:lang w:val="en-US"/>
        </w:rPr>
        <w:t>2</w:t>
      </w:r>
      <w:r w:rsidRPr="00B7408D">
        <w:rPr>
          <w:rFonts w:ascii="Book Antiqua" w:hAnsi="Book Antiqua" w:cs="Times New Roman"/>
          <w:color w:val="000000"/>
          <w:lang w:val="en-US"/>
        </w:rPr>
        <w:t xml:space="preserve"> and H</w:t>
      </w:r>
      <w:r w:rsidRPr="00B7408D">
        <w:rPr>
          <w:rFonts w:ascii="Book Antiqua" w:hAnsi="Book Antiqua" w:cs="Times New Roman"/>
          <w:color w:val="000000"/>
          <w:vertAlign w:val="subscript"/>
          <w:lang w:val="en-US"/>
        </w:rPr>
        <w:t>2</w:t>
      </w:r>
      <w:r w:rsidRPr="00B7408D">
        <w:rPr>
          <w:rFonts w:ascii="Book Antiqua" w:hAnsi="Book Antiqua" w:cs="Times New Roman"/>
          <w:color w:val="000000"/>
          <w:lang w:val="en-US"/>
        </w:rPr>
        <w:t>O</w:t>
      </w:r>
      <w:r w:rsidRPr="00B7408D">
        <w:rPr>
          <w:rFonts w:ascii="Book Antiqua" w:hAnsi="Book Antiqua" w:cs="Times New Roman"/>
          <w:color w:val="000000"/>
          <w:vertAlign w:val="subscript"/>
          <w:lang w:val="en-US"/>
        </w:rPr>
        <w:t xml:space="preserve">2 </w:t>
      </w:r>
      <w:r w:rsidRPr="00B7408D">
        <w:rPr>
          <w:rFonts w:ascii="Book Antiqua" w:hAnsi="Book Antiqua" w:cs="Times New Roman"/>
          <w:color w:val="000000"/>
          <w:lang w:val="en-US"/>
        </w:rPr>
        <w:t>in MSCs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{"citationItems":[{"id":"ITEM-1","itemData":{"DOI":"10.1186/s13065-017-0313-1","ISSN":"1752153X","abstract":"© 2017 The Author(s). Background: Suoyang originates from a psammophyte named Cynomorium songaricum Rupr and has been known as a phenolic-antioxidant-enriched traditional Chinese herbal medicine. The present study attempted to investigate the protective effect of phenolic antioxidants in Suoyang towards •OH-mediated MSCs and then further discusses the chemical mechanisms. Methods: The lyophilized aqueous extract of Suoyang (LAS) was prepared and characterized using HPLC. Then, two phenolic antioxidant references, epicatechin and luteolin-7-O-β-D-glucoside, along with LAS, were investigated for their effects on the viability of •OH-treated MSCs using the 3-(4, 5-dimethylthiazol-2-yl)-2,5-diphenyl (MTT) assay. The comparison and mechanistic chemistry of epicatechin and luteolin-7-O-β-D-glucoside were further explored using various antioxidant assays, including PTIO•-scavenging, FRAP (ferric ion reducing antioxidant power), ABTS + •-scavenging, and DPPH•-scavenging. Their Fe 2+ -binding capacities were also compared using ultraviolet (UV) spectra. Results: The HPLC analysis indicated that there are 8 phenolic antioxidants in LAS, including epicatechin, luteolin-7-O-β-D-glucoside, gallic acid, protocatechuic acid, catechin, isoquercitrin, phlorizin, and naringenin. The MTT assay revealed that epicatechin could more effectively increase the survival of •OH-treated MSCs than luteolin-7-O-β-D-glucoside. Similarly, epicatechin exhibited higher antioxidant abilities than luteolin-7-O-β-D-glucoside in the DPPH•-scavenging, ABTS + •-scavenging, FRAP, and PTIO•-scavenging assays. In the Fe 2+ -binding assay, luteolin-7-O-β-D-glucoside gave a stronger UV peak at 600 nm, with ε = 2.62 × 10 6 M -1 cm -1 , while epicatechin produced two peaks at 450 nm (ε = 8.47 × 10 5 M -1 cm -1 ) and 750 nm (ε = 9.68 × 10 5 M -1 cm -1 ). Conclusion: As two reference antioxidants in Suoyang, epicatechin and luteolin-7-O-β-D-glucoside can enhance the viability of •OH-damaged MSCs. Such a beneficial effect may be from their antioxidant effects, including direct-antioxidant and indirect-antioxidant (i.e., Fe 2+ -binding) processes. In the direct-antioxidant process, proton (H + ), one electron (e), or even hydrogen-atom (•H) transfer may occur to fulfill radical-scavenging (especially •OH-scavenging); in this aspect, epicatechin is superior to luteolin-7-O-β-D-glucoside due to the presence of more phenolic -OHs. The additional -OHs can also be responsible for the better cytoprotective ef…","author":[{"dropping-particle":"","family":"Xie","given":"Yulu","non-dropping-particle":"","parse-names":false,"suffix":""},{"dropping-particle":"","family":"Li","given":"Xican","non-dropping-particle":"","parse-names":false,"suffix":""},{"dropping-particle":"","family":"Xu","given":"Jieying","non-dropping-particle":"","parse-names":false,"suffix":""},{"dropping-particle":"","family":"Jiang","given":"Qian","non-dropping-particle":"","parse-names":false,"suffix":""},{"dropping-particle":"","family":"Xie","given":"Hong","non-dropping-particle":"","parse-names":false,"suffix":""},{"dropping-particle":"","family":"He","given":"Jianfeng","non-dropping-particle":"","parse-names":false,"suffix":""},{"dropping-particle":"","family":"Chen","given":"Dongfeng","non-dropping-particle":"","parse-names":false,"suffix":""}],"container-title":"Chemistry Central Journal","id":"ITEM-1","issue":"1","issued":{"date-parts":[["2017"]]},"page":"1-8","publisher":"Springer International Publishing","title":"Two phenolic antioxidants in Suoyang enhance viability of •OH-damaged mesenchymal stem cells: Comparison and mechanistic chemistry","type":"article-journal","volume":"11"},"uris":["http://www.mendeley.com/documents/?uuid=dbb5e273-517a-4ec4-80b9-b2fb53138186"]}],"mendeley":{"formattedCitation":"&lt;sup&gt;[112]&lt;/sup&gt;","plainTextFormattedCitation":"[112]","previouslyFormattedCitation":"&lt;sup&gt;[112]&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[112]</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w:t>
      </w:r>
    </w:p>
    <w:p w14:paraId="4F96B2B0" w14:textId="1ADF0743" w:rsidR="006A0C4B" w:rsidRPr="00B7408D" w:rsidRDefault="006A0C4B" w:rsidP="004D452C">
      <w:pPr>
        <w:adjustRightInd w:val="0"/>
        <w:snapToGrid w:val="0"/>
        <w:spacing w:line="360" w:lineRule="auto"/>
        <w:ind w:firstLineChars="100" w:firstLine="240"/>
        <w:jc w:val="both"/>
        <w:rPr>
          <w:rFonts w:ascii="Book Antiqua" w:hAnsi="Book Antiqua" w:cs="Times New Roman"/>
          <w:color w:val="000000"/>
          <w:lang w:val="en-US"/>
        </w:rPr>
      </w:pPr>
      <w:r w:rsidRPr="00B7408D">
        <w:rPr>
          <w:rFonts w:ascii="Book Antiqua" w:hAnsi="Book Antiqua" w:cs="Times New Roman"/>
          <w:color w:val="000000"/>
          <w:lang w:val="en-US"/>
        </w:rPr>
        <w:t xml:space="preserve">Luteolin can also affect MSC differentiation. Indeed, it inhibited </w:t>
      </w:r>
      <w:proofErr w:type="spellStart"/>
      <w:r w:rsidRPr="00B7408D">
        <w:rPr>
          <w:rFonts w:ascii="Book Antiqua" w:hAnsi="Book Antiqua" w:cs="Times New Roman"/>
          <w:color w:val="000000"/>
          <w:lang w:val="en-US"/>
        </w:rPr>
        <w:t>adipogenic</w:t>
      </w:r>
      <w:proofErr w:type="spellEnd"/>
      <w:r w:rsidRPr="00B7408D">
        <w:rPr>
          <w:rFonts w:ascii="Book Antiqua" w:hAnsi="Book Antiqua" w:cs="Times New Roman"/>
          <w:color w:val="000000"/>
          <w:lang w:val="en-US"/>
        </w:rPr>
        <w:t xml:space="preserve"> differentiation of 3T3-L1 murine cells, reducing triglyceride accumulation, as well as downregulating genes encoding the </w:t>
      </w:r>
      <w:proofErr w:type="spellStart"/>
      <w:r w:rsidRPr="00B7408D">
        <w:rPr>
          <w:rFonts w:ascii="Book Antiqua" w:hAnsi="Book Antiqua" w:cs="Times New Roman"/>
          <w:color w:val="000000"/>
          <w:lang w:val="en-US"/>
        </w:rPr>
        <w:t>PPARγ</w:t>
      </w:r>
      <w:proofErr w:type="spellEnd"/>
      <w:r w:rsidRPr="00B7408D">
        <w:rPr>
          <w:rFonts w:ascii="Book Antiqua" w:hAnsi="Book Antiqua" w:cs="Times New Roman"/>
          <w:color w:val="000000"/>
          <w:lang w:val="en-US"/>
        </w:rPr>
        <w:t xml:space="preserve"> and CCAAT-enhancer-binding proteins (</w:t>
      </w:r>
      <w:r w:rsidRPr="00B7408D">
        <w:rPr>
          <w:rFonts w:ascii="Book Antiqua" w:hAnsi="Book Antiqua" w:cs="Times New Roman"/>
          <w:i/>
          <w:color w:val="000000"/>
          <w:lang w:val="en-US"/>
        </w:rPr>
        <w:t>C/EBPα</w:t>
      </w:r>
      <w:r w:rsidRPr="00B7408D">
        <w:rPr>
          <w:rFonts w:ascii="Book Antiqua" w:hAnsi="Book Antiqua" w:cs="Times New Roman"/>
          <w:color w:val="000000"/>
          <w:lang w:val="en-US"/>
        </w:rPr>
        <w:t xml:space="preserve">) </w:t>
      </w:r>
      <w:proofErr w:type="spellStart"/>
      <w:r w:rsidRPr="00B7408D">
        <w:rPr>
          <w:rFonts w:ascii="Book Antiqua" w:hAnsi="Book Antiqua" w:cs="Times New Roman"/>
          <w:color w:val="000000"/>
          <w:lang w:val="en-US"/>
        </w:rPr>
        <w:t>adipogenic</w:t>
      </w:r>
      <w:proofErr w:type="spellEnd"/>
      <w:r w:rsidRPr="00B7408D">
        <w:rPr>
          <w:rFonts w:ascii="Book Antiqua" w:hAnsi="Book Antiqua" w:cs="Times New Roman"/>
          <w:color w:val="000000"/>
          <w:lang w:val="en-US"/>
        </w:rPr>
        <w:t xml:space="preserve"> transcription-factors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{"citationItems":[{"id":"ITEM-1","itemData":{"DOI":"10.1002/biof.38","ISSN":"09516433","abstract":"Luteolin (3',4',5,7-tetrahydroxyflavone), a flavonoid, has been known to possess antimutagenic, antitumorigenic, antioxidant, and anti-inflammatory properties. In this study, we investigated the role of luteolin in the regulation of adipogenic differentiation in 3T3-L1 preadipocytes. Luteolin inhibited intracellular triglyceride accumulation in a dose-dependent manner without cytotoxicity. Western blot and reverse transcription-polymerase chain reaction analyses showed that this inhibition was accompanied by attenuated expression of the adipogenic transcription factors: peroxisome proliferator-activated receptor gamma (PPARgamma) and CCAAT/enhancer-binding protein alpha. Luteolin inhibited the PPARgamma transactivation stimulated by rosiglitazone, a synthetic agonist, in COS-7 cells and inhibited rosiglitazone-induced adipogenic differentiation in 3T3-L1 cells. These data suggest that luteolin exerts antiadipogenic effects by suppressing adipogenic transcription factors and by inhibiting the transactivation of PPARgamma.","author":[{"dropping-particle":"","family":"Park","given":"Hee Sook","non-dropping-particle":"","parse-names":false,"suffix":""},{"dropping-particle":"","family":"Kim","given":"Soon Hee","non-dropping-particle":"","parse-names":false,"suffix":""},{"dropping-particle":"","family":"Kim","given":"Young Sup","non-dropping-particle":"","parse-names":false,"suffix":""},{"dropping-particle":"","family":"Ryu","given":"Shi Yong","non-dropping-particle":"","parse-names":false,"suffix":""},{"dropping-particle":"","family":"Hwang","given":"Jin Taek","non-dropping-particle":"","parse-names":false,"suffix":""},{"dropping-particle":"","family":"Yang","given":"Hye Jeong","non-dropping-particle":"","parse-names":false,"suffix":""},{"dropping-particle":"","family":"Kim","given":"Gun Hee","non-dropping-particle":"","parse-names":false,"suffix":""},{"dropping-particle":"","family":"Kwon","given":"Dae Young","non-dropping-particle":"","parse-names":false,"suffix":""},{"dropping-particle":"","family":"Kim","given":"Myung Sunny","non-dropping-particle":"","parse-names":false,"suffix":""}],"container-title":"BioFactors","id":"ITEM-1","issue":"4","issued":{"date-parts":[["2009"]]},"page":"373-379","title":"Luteolin inhibits adipogenic differentiation by regulating PPARγ activation","type":"article-journal","volume":"35"},"uris":["http://www.mendeley.com/documents/?uuid=115b0ce9-ece0-4e58-92ac-6cdc0aa28f45"]}],"mendeley":{"formattedCitation":"&lt;sup&gt;[113]&lt;/sup&gt;","plainTextFormattedCitation":"[113]","previouslyFormattedCitation":"&lt;sup&gt;[113]&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[113]</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Regarding osteogenic differentiation, some authors have reported that luteolin reduced alkaline phosphatase activity and viability of MC3T3-E1 </w:t>
      </w:r>
      <w:proofErr w:type="spellStart"/>
      <w:r w:rsidRPr="00B7408D">
        <w:rPr>
          <w:rFonts w:ascii="Book Antiqua" w:hAnsi="Book Antiqua" w:cs="Times New Roman"/>
          <w:color w:val="000000"/>
          <w:lang w:val="en-US"/>
        </w:rPr>
        <w:t>preosteoblastic</w:t>
      </w:r>
      <w:proofErr w:type="spellEnd"/>
      <w:r w:rsidRPr="00B7408D">
        <w:rPr>
          <w:rFonts w:ascii="Book Antiqua" w:hAnsi="Book Antiqua" w:cs="Times New Roman"/>
          <w:color w:val="000000"/>
          <w:lang w:val="en-US"/>
        </w:rPr>
        <w:t xml:space="preserve"> cells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{"citationItems":[{"id":"ITEM-1","itemData":{"DOI":"10.1155/2014/924560","ISSN":"17414288","abstract":" Osteoblast differentiation plays an essential role in bone integrity. Isoflavones and some flavonoids are reported to have osteogenic activity and potentially possess the ability to treat osteoporosis. However, limited information concerning the osteogenic characteristics of hydroxyflavones is available. This study investigates the effects of various hydroxyflavones on osteoblast differentiation in MC3T3-E1 cells. The results showed that 6-hydroxyflavone (6-OH-F) and 7-hydroxyflavone (7-OH-F) stimulated ALP activity. However, baicalein and luteolin inhibited ALP activity and flavone showed no effect. Up to 50 μ M of each compound was used for cytotoxic effects study; flavone, 6-OH-F, and 7-OH-F had no cytotoxicity on MC3T3-E1 cells. Moreover, 6-OH-F activated AKT and serine/threonine kinases (also known as protein kinase B or PKB), extracellular signal-regulated kinases (ERK 1/2), and the c-Jun N-terminal kinase (JNK) signaling pathways. On the other hand, 7-OH-F promoted osteoblast differentiation mainly by activating ERK 1/ 2 signaling pathways. Finally, after 5 weeks of 6-OH-F induction, MC3T3-E1 cells showed a significant increase in the calcein staining intensity relative to merely visible mineralization observed in cells cultured in the osteogenic medium only. These results suggested that 6-OH-F could activate AKT, ERK 1/2, and JNK signaling pathways to effectively promote osteoblastic differentiation. ","author":[{"dropping-particle":"","family":"Lai","given":"Chien Hung","non-dropping-particle":"","parse-names":false,"suffix":""},{"dropping-particle":"","family":"Wu","given":"Yu Wei","non-dropping-particle":"","parse-names":false,"suffix":""},{"dropping-particle":"Der","family":"Yeh","given":"Shauh","non-dropping-particle":"","parse-names":false,"suffix":""},{"dropping-particle":"","family":"Lin","given":"Yu Hsaing","non-dropping-particle":"","parse-names":false,"suffix":""},{"dropping-particle":"","family":"Tsai","given":"Yu Hui","non-dropping-particle":"","parse-names":false,"suffix":""}],"container-title":"Evidence-based Complementary and Alternative Medicine","id":"ITEM-1","issued":{"date-parts":[["2014"]]},"publisher":"Hindawi Publishing Corporation","title":"Effects of 6-hydroxyflavone on osteoblast differentiation in MC3T3-E1 cells","type":"article-journal","volume":"2014"},"uris":["http://www.mendeley.com/documents/?uuid=1017dd4a-7dca-4a75-a7c3-6a315080ddef"]}],"mendeley":{"formattedCitation":"&lt;sup&gt;[114]&lt;/sup&gt;","plainTextFormattedCitation":"[114]","previouslyFormattedCitation":"&lt;sup&gt;[114]&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[114]</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Yet, other authors using the same cellular type but much lower concentrations of this flavonoid have found that it prevented the </w:t>
      </w:r>
      <w:proofErr w:type="spellStart"/>
      <w:r w:rsidRPr="00B7408D">
        <w:rPr>
          <w:rFonts w:ascii="Book Antiqua" w:hAnsi="Book Antiqua" w:cs="Times New Roman"/>
          <w:color w:val="000000"/>
          <w:lang w:val="en-US"/>
        </w:rPr>
        <w:t>osteoblastogenesis</w:t>
      </w:r>
      <w:proofErr w:type="spellEnd"/>
      <w:r w:rsidRPr="00B7408D">
        <w:rPr>
          <w:rFonts w:ascii="Book Antiqua" w:hAnsi="Book Antiqua" w:cs="Times New Roman"/>
          <w:color w:val="000000"/>
          <w:lang w:val="en-US"/>
        </w:rPr>
        <w:t xml:space="preserve"> inhibition induced by glucocorticoids. Indeed, they showed that luteolin prevented bone mass loss, by downregulating apoptotic genes, increasing </w:t>
      </w:r>
      <w:r w:rsidRPr="00B7408D">
        <w:rPr>
          <w:rFonts w:ascii="Book Antiqua" w:hAnsi="Book Antiqua" w:cs="Times New Roman"/>
          <w:i/>
          <w:color w:val="000000"/>
          <w:lang w:val="en-US"/>
        </w:rPr>
        <w:t>OPG</w:t>
      </w:r>
      <w:r w:rsidRPr="00B7408D">
        <w:rPr>
          <w:rFonts w:ascii="Book Antiqua" w:hAnsi="Book Antiqua" w:cs="Times New Roman"/>
          <w:color w:val="000000"/>
          <w:lang w:val="en-US"/>
        </w:rPr>
        <w:t>/</w:t>
      </w:r>
      <w:r w:rsidRPr="00B7408D">
        <w:rPr>
          <w:rFonts w:ascii="Book Antiqua" w:hAnsi="Book Antiqua" w:cs="Times New Roman"/>
          <w:i/>
          <w:color w:val="000000"/>
          <w:lang w:val="en-US"/>
        </w:rPr>
        <w:t>RANKL</w:t>
      </w:r>
      <w:r w:rsidRPr="00B7408D">
        <w:rPr>
          <w:rFonts w:ascii="Book Antiqua" w:hAnsi="Book Antiqua" w:cs="Times New Roman"/>
          <w:color w:val="000000"/>
          <w:lang w:val="en-US"/>
        </w:rPr>
        <w:t xml:space="preserve"> gene expression ratio, and activating the beta-catenin pathway in an animal model of osteoporosis induced by glucocorticoids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{"citationItems":[{"id":"ITEM-1","itemData":{"DOI":"10.1002/jcp.27252","ISSN":"1097-4652","PMID":"30192012","abstract":"Glucocorticoid-induced osteoporosis (GIO) is a secondary osteoporosis with extensive use of glucocorticoids (GCs). GCs can increase bone fragility and fracture via inhibiting osteoblastic proliferation and differentiation. Luteolin (LUT), a kind of plant flavonoid, has been reported to exhibit the antioxidant activity, but the effects of LUT on GIO still remain unclear. This study aimed to investigate the effects of LUT on GIO both in vivo and in vitro and elaborate the potential molecular mechanisms. LUT increased the superoxide dismutase activity, glutathione level and decreased reactive oxygen species (ROS) level and lactate dehydrogenase release in GIO. Meanwhile, LUT decreased caspase-3, caspase-9, and Bax protein expressions and increased Bcl-2 protein expression in GIO. LUT increased the ratio of osteoprotegerin (OPG)/receptor activator of nuclear factor-κB Ligand (RANKL) messenger RNA (mRNA) expression and mRNA expression levels of osteogenic markers, including runt-related transcription factor 2, osterix, collagen type I, and osteocalcin. LUT also enhanced the extracellular signal-regulated kinases (ERK) phosphorylation, glycogen synthase kinase 3β (GSK-3β) phosphorylation, mRNA expression levels of lipoprotein-receptor-related protein 5 (Lrp-5) and β-catenin. Further study revealed that Lrp-5 small interfering RNA (siRNA )and ERK-siRNA reduced the effects of LUT on GSK-3β phosphorylation, alkaline phosphatase (ALP) activity and the ratio of OPG/RANKL mRNA expression. Moreover, ERK-siRNA decreased Lrp-5 mRNA expression in vitro. These results indicated that LUT promoted proliferation by attenuating oxidative stress and promoted osteoblastic differentiation by regulating the ERK/Lrp-5/GSK-3β pathway in GIO. This study may bring to light the possible mechanisms involved in the action of LUT in GIO treatment, and benefit for further research on GIO.","author":[{"dropping-particle":"","family":"Jing","given":"Zheng","non-dropping-particle":"","parse-names":false,"suffix":""},{"dropping-particle":"","family":"Wang","given":"Changyuan","non-dropping-particle":"","parse-names":false,"suffix":""},{"dropping-particle":"","family":"Yang","given":"Qining","non-dropping-particle":"","parse-names":false,"suffix":""},{"dropping-particle":"","family":"Wei","given":"Xuelian","non-dropping-particle":"","parse-names":false,"suffix":""},{"dropping-particle":"","family":"Jin","given":"Yue","non-dropping-particle":"","parse-names":false,"suffix":""},{"dropping-particle":"","family":"Meng","given":"Qiang","non-dropping-particle":"","parse-names":false,"suffix":""},{"dropping-particle":"","family":"Liu","given":"Qi","non-dropping-particle":"","parse-names":false,"suffix":""},{"dropping-particle":"","family":"Liu","given":"Zhihao","non-dropping-particle":"","parse-names":false,"suffix":""},{"dropping-particle":"","family":"Ma","given":"Xiaodong","non-dropping-particle":"","parse-names":false,"suffix":""},{"dropping-particle":"","family":"Liu","given":"Kexin","non-dropping-particle":"","parse-names":false,"suffix":""},{"dropping-particle":"","family":"Sun","given":"Huijun","non-dropping-particle":"","parse-names":false,"suffix":""},{"dropping-particle":"","family":"Liu","given":"Mozhen","non-dropping-particle":"","parse-names":false,"suffix":""}],"container-title":"Journal of cellular physiology","id":"ITEM-1","issue":"4","issued":{"date-parts":[["2019","4"]]},"page":"4472-4490","title":"Luteolin attenuates glucocorticoid-induced osteoporosis by regulating ERK/Lrp-5/GSK-3β signaling pathway in vivo and in vitro.","type":"article-journal","volume":"234"},"uris":["http://www.mendeley.com/documents/?uuid=9cfa5252-09b3-3f4d-8065-f13b2e2041cb"]}],"mendeley":{"formattedCitation":"&lt;sup&gt;[115]&lt;/sup&gt;","plainTextFormattedCitation":"[115]","previouslyFormattedCitation":"&lt;sup&gt;[115]&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[115]</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Therefore, these results suggest that this compound has an osteoprotective role in bone marrow.</w:t>
      </w:r>
    </w:p>
    <w:p w14:paraId="6351D89C" w14:textId="792648F6" w:rsidR="006A0C4B" w:rsidRPr="00B7408D" w:rsidRDefault="006A0C4B" w:rsidP="004D452C">
      <w:pPr>
        <w:adjustRightInd w:val="0"/>
        <w:snapToGrid w:val="0"/>
        <w:spacing w:line="360" w:lineRule="auto"/>
        <w:ind w:firstLineChars="100" w:firstLine="240"/>
        <w:jc w:val="both"/>
        <w:rPr>
          <w:rFonts w:ascii="Book Antiqua" w:hAnsi="Book Antiqua" w:cs="Times New Roman"/>
          <w:color w:val="000000"/>
          <w:lang w:val="en-US"/>
        </w:rPr>
      </w:pPr>
      <w:r w:rsidRPr="00B7408D">
        <w:rPr>
          <w:rFonts w:ascii="Book Antiqua" w:hAnsi="Book Antiqua" w:cs="Times New Roman"/>
          <w:color w:val="000000"/>
          <w:lang w:val="en-US"/>
        </w:rPr>
        <w:lastRenderedPageBreak/>
        <w:t xml:space="preserve">On the other hand, apigenin is a phytoestrogen that has </w:t>
      </w:r>
      <w:proofErr w:type="spellStart"/>
      <w:r w:rsidRPr="00B7408D">
        <w:rPr>
          <w:rFonts w:ascii="Book Antiqua" w:hAnsi="Book Antiqua" w:cs="Times New Roman"/>
          <w:color w:val="000000"/>
          <w:lang w:val="en-US"/>
        </w:rPr>
        <w:t>antiinflammatory</w:t>
      </w:r>
      <w:proofErr w:type="spellEnd"/>
      <w:r w:rsidRPr="00B7408D">
        <w:rPr>
          <w:rFonts w:ascii="Book Antiqua" w:hAnsi="Book Antiqua" w:cs="Times New Roman"/>
          <w:color w:val="000000"/>
          <w:lang w:val="en-US"/>
        </w:rPr>
        <w:t xml:space="preserve"> effect on MSCs. Interestingly, apoptosis produced after the inflammatory response, triggered by lipopolysaccharide, was enhanced by the presence of this flavonoid</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{"citationItems":[{"id":"ITEM-1","itemData":{"DOI":"10.3760/cma.j.issn.0366-6999.2011.21.019","abstract":"Background Transplantation of mensenchymal stem cells (MSCs) has been proposed as a promising way for tissue engineering. However, the application of MSCs for transplantation will undergo apoptosis due to the extremely harsh microenvironment such as excessive inflammation. Apigenin (API) has been reported to protect cells against inflammatory damage and cell death by exhibiting anti-inflammatory and anti-oxidative capacity. Here we investigated the modulatory effects of API in lipopolysaccharide (LPS)-mediated inflammation and apoptosis of MSCs, and further defined the underlying mechanism. Methods Effects of different concentrations of API (0, 5, 10, 20, 40 and 80 μmol/L) for 24 hours, and LPS (0, 0.5 and 5.0 μg/ml) for 6 hours and 24 hours on MSCs viability were assayed by MTT. Based on this, MSCs were pretreated with different concentrations of API (0–40 μmol/L) at the indicated times (6, 12 and 24 hours) followed by exposure to 5 μg/ml LPS for 24 hours. MTT, phase-contrast microscopy, annexinV/ propidium iodide (PI) double stain flow cytometry (FCM) and Hoechst staining were applied to explore the effects of API on MSCs induced by 5 μg/ml LPS for 24 hours. In addition, reverse-transcription polymerase chain reaction (RT-PCR) was applied to detect the mRNA expression of pro-inflammatory factors including cyclooxygenase-2 (COX-2), inducible nitric oxide synthase (iNOS), nuclear factor-kappa B (NF-κB), pro-apoptotic gene caspase-3, Bad, and anti-apoptotic gene Bcl-2. Moreover, AutoDock software was used to imitate the docking score of API and vitamin D receptor (VDR). In parallel, Western blotting and RT-PCR were used to investigate protein and mRNA expression of VDR. Results MSCs stimulated with LPS 5 μg/ml for 24 hours was used as a model of apoptosis induced by over inflammatory stimulus. API (0–40 μmol/L) had non-toxic effect on MSCs; however, it could decrease mRNA expression of COX-2, iNOS and NF-κB at different time points in MSCs induced by LPS, except for API at the concentration of 5 μmol/L. Results from phase-contrast microscopy, MTT, Hoechst staining and AnnexinV/PI double stain FCM demonstrated that with the increasing concentrations of API and extension of administrating time, significant morphological changes of MSCs occurred, viability of cells was strongly inhibited, and meanwhile, apoptosis of LPS-administrated MSCs was exacerbated, compared with LPS individual group. In addition, API promoted caspase-3, Bad mRNA expression and inhibi…","author":[{"dropping-particle":"","family":"Huan-tian","given":"Zhang","non-dropping-particle":"","parse-names":false,"suffix":""},{"dropping-particle":"","family":"Zhen-gang","given":"Zha","non-dropping-particle":"","parse-names":false,"suffix":""},{"dropping-particle":"","family":"Jia-hui","given":"Cao","non-dropping-particle":"","parse-names":false,"suffix":""},{"dropping-particle":"","family":"Zu-jian","given":"Liang","non-dropping-particle":"","parse-names":false,"suffix":""},{"dropping-particle":"","family":"Hao","given":"Wu","non-dropping-particle":"","parse-names":false,"suffix":""},{"dropping-particle":"","family":"Ming-tao","given":"He","non-dropping-particle":"","parse-names":false,"suffix":""},{"dropping-particle":"","family":"Xiao","given":"Zang","non-dropping-particle":"","parse-names":false,"suffix":""},{"dropping-particle":"","family":"Ping","given":"Yao","non-dropping-particle":"","parse-names":false,"suffix":""},{"dropping-particle":"","family":"Jia-qing","given":"Zhang","non-dropping-particle":"","parse-names":false,"suffix":""}],"container-title":"Chinese Medical Journal","id":"ITEM-1","issue":"21","issued":{"date-parts":[["2011"]]},"page":"3537-3545","title":"Apigenin accelerates lipopolysaccharide induced apoptosis in mesenchymal stem cells through suppressing vitamin D receptor expression","type":"article-journal","volume":"124"},"uris":["http://www.mendeley.com/documents/?uuid=95bb939d-3434-49c4-b17e-2936f453a37c"]}],"mendeley":{"formattedCitation":"&lt;sup&gt;[116]&lt;/sup&gt;","plainTextFormattedCitation":"[116]","previouslyFormattedCitation":"&lt;sup&gt;[116]&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[116]</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MSC differentiation is also influenced by apigenin.</w:t>
      </w:r>
      <w:r w:rsidRPr="00B7408D" w:rsidDel="00306C48">
        <w:rPr>
          <w:rFonts w:ascii="Book Antiqua" w:hAnsi="Book Antiqua" w:cs="Times New Roman"/>
          <w:color w:val="000000"/>
          <w:lang w:val="en-US"/>
        </w:rPr>
        <w:t xml:space="preserve"> </w:t>
      </w:r>
      <w:r w:rsidRPr="00B7408D">
        <w:rPr>
          <w:rFonts w:ascii="Book Antiqua" w:hAnsi="Book Antiqua" w:cs="Times New Roman"/>
          <w:color w:val="000000"/>
          <w:lang w:val="en-US"/>
        </w:rPr>
        <w:t xml:space="preserve">Different studies have suggested that it inhibits </w:t>
      </w:r>
      <w:proofErr w:type="spellStart"/>
      <w:r w:rsidRPr="00B7408D">
        <w:rPr>
          <w:rFonts w:ascii="Book Antiqua" w:hAnsi="Book Antiqua" w:cs="Times New Roman"/>
          <w:color w:val="000000"/>
          <w:lang w:val="en-US"/>
        </w:rPr>
        <w:t>adipogenic</w:t>
      </w:r>
      <w:proofErr w:type="spellEnd"/>
      <w:r w:rsidRPr="00B7408D">
        <w:rPr>
          <w:rFonts w:ascii="Book Antiqua" w:hAnsi="Book Antiqua" w:cs="Times New Roman"/>
          <w:color w:val="000000"/>
          <w:lang w:val="en-US"/>
        </w:rPr>
        <w:t xml:space="preserve"> differentiation of MSCs. Indeed, it has been found that </w:t>
      </w:r>
      <w:proofErr w:type="spellStart"/>
      <w:r w:rsidRPr="00B7408D">
        <w:rPr>
          <w:rFonts w:ascii="Book Antiqua" w:hAnsi="Book Antiqua" w:cs="Times New Roman"/>
          <w:color w:val="000000"/>
          <w:lang w:val="en-US"/>
        </w:rPr>
        <w:t>apigenin</w:t>
      </w:r>
      <w:proofErr w:type="spellEnd"/>
      <w:r w:rsidRPr="00B7408D">
        <w:rPr>
          <w:rFonts w:ascii="Book Antiqua" w:hAnsi="Book Antiqua" w:cs="Times New Roman"/>
          <w:color w:val="000000"/>
          <w:lang w:val="en-US"/>
        </w:rPr>
        <w:t xml:space="preserve"> downregulated </w:t>
      </w:r>
      <w:proofErr w:type="spellStart"/>
      <w:r w:rsidRPr="00B7408D">
        <w:rPr>
          <w:rFonts w:ascii="Book Antiqua" w:hAnsi="Book Antiqua" w:cs="Times New Roman"/>
          <w:i/>
          <w:color w:val="000000"/>
          <w:lang w:val="en-US"/>
        </w:rPr>
        <w:t>PPARγ</w:t>
      </w:r>
      <w:proofErr w:type="spellEnd"/>
      <w:r w:rsidRPr="00B7408D">
        <w:rPr>
          <w:rFonts w:ascii="Book Antiqua" w:hAnsi="Book Antiqua" w:cs="Times New Roman"/>
          <w:color w:val="000000"/>
          <w:lang w:val="en-US"/>
        </w:rPr>
        <w:t xml:space="preserve"> and inhibited fat droplet formation in 3T3-L1 cells that had been induced to differentiate into adipocytes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{"citationItems":[{"id":"ITEM-1","itemData":{"DOI":"10.1021/jf203490a","ISSN":"00218561","abstract":"Adipocyte differentiation (adipogenesis) is a complex process including the coordinated changes in hormone sensitivity and gene expression in response to various stimuli. Natural compounds are known to be involved in the regulation of this process. Here we investigated the effects of dietary apigenin, a plant flavonoid, on adipogenesis. Apigenin suppressed adipocyte differentiation of mouse adipocytic 3T3-L1 cells and reduced the accumulation of intracellular lipids. Quantitative PCR and Western blot analyses revealed that apigenin decreased the levels of peroxisome proliferator-activated receptor gamma and its target genes such as fatty acid binding protein 4 (aP2) and stearoyl-CoA desaturase. Apigenin decreased or had no effect on the expression of lipolytic genes such as adipose triglyceride lipase, hormone sensitive lipase, and monoacyl glyceride lipase, thereby reducing glycerol release from adipocytes. Noteworthily, apigenin activated 5'-adenosine monophosphate-activated protein kinase (AMPK) in an apigenin dose-dependent manner, which activation is known to suppress adipogenesis. These results provide a novel insight into the molecular mechanism involved in the action of apigenin: the apigenin-induced activation of AMPK leads to decreased expression of adipogenic and lipolytic genes, thus suppressing adipogenesis in 3T3-L1 cells. Thus, dietary apigenin may contribute to lower body-fat content and body-weight gain through the activation of AMPK.","author":[{"dropping-particle":"","family":"Ono","given":"Mafuyu","non-dropping-particle":"","parse-names":false,"suffix":""},{"dropping-particle":"","family":"Fujimori","given":"Ko","non-dropping-particle":"","parse-names":false,"suffix":""}],"container-title":"Journal of Agricultural and Food Chemistry","id":"ITEM-1","issue":"24","issued":{"date-parts":[["2011"]]},"page":"13346-13352","title":"Antiadipogenic effect of dietary apigenin through activation of AMPK in 3T3-L1 cells","type":"article-journal","volume":"59"},"uris":["http://www.mendeley.com/documents/?uuid=e19670a6-47e0-4ee1-aa87-e5292eca1ee4"]}],"mendeley":{"formattedCitation":"&lt;sup&gt;[117]&lt;/sup&gt;","plainTextFormattedCitation":"[117]","previouslyFormattedCitation":"&lt;sup&gt;[117]&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[117]</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A negative effect of apigenin on adipogenesis </w:t>
      </w:r>
      <w:r w:rsidRPr="00B7408D">
        <w:rPr>
          <w:rFonts w:ascii="Book Antiqua" w:hAnsi="Book Antiqua" w:cs="Times New Roman"/>
          <w:i/>
          <w:color w:val="000000"/>
          <w:lang w:val="en-US"/>
        </w:rPr>
        <w:t>via</w:t>
      </w:r>
      <w:r w:rsidRPr="00B7408D">
        <w:rPr>
          <w:rFonts w:ascii="Book Antiqua" w:hAnsi="Book Antiqua" w:cs="Times New Roman"/>
          <w:color w:val="000000"/>
          <w:lang w:val="en-US"/>
        </w:rPr>
        <w:t xml:space="preserve"> inhibition of the early differentiation processes, including mitotic clonal expansion, has also been reported. Yet, apigenin supplementation did not have effect in the advanced stages of </w:t>
      </w:r>
      <w:proofErr w:type="spellStart"/>
      <w:r w:rsidRPr="00B7408D">
        <w:rPr>
          <w:rFonts w:ascii="Book Antiqua" w:hAnsi="Book Antiqua" w:cs="Times New Roman"/>
          <w:color w:val="000000"/>
          <w:lang w:val="en-US"/>
        </w:rPr>
        <w:t>adipogenic</w:t>
      </w:r>
      <w:proofErr w:type="spellEnd"/>
      <w:r w:rsidRPr="00B7408D">
        <w:rPr>
          <w:rFonts w:ascii="Book Antiqua" w:hAnsi="Book Antiqua" w:cs="Times New Roman"/>
          <w:color w:val="000000"/>
          <w:lang w:val="en-US"/>
        </w:rPr>
        <w:t xml:space="preserve"> differentiation</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{"citationItems":[{"id":"ITEM-1","itemData":{"DOI":"10.1016/j.lfs.2014.02.012","ISBN":"1879-0631 (Electronic)\\r0024-3205 (Linking)","ISSN":"18790631","PMID":"24582594","abstract":"Aims Obesity develops when energy intake chronically exceeds total energy expenditure. We sought to assess whether the flavonoid-rich fraction of crude extracts from Daphne genkwa Siebold et Zuccarini (GFF) might inhibit adipogenesis of 3T3-L1 cells. Main methods Cell viability of 3T3-L1 preadipocytes was assessed by MTT assays, and lipid accumulation was measured by Oil Red O. Adipogenesis related factors were checked by Western blot analysis. Flow cytometry was used to analyze the mitotic cell cycle during the mitotic clonal expansion phase. Key findings Among five flavonoids isolated from GFF, only apigenin potently inhibited the differentiation of 3T3-L1 cells. Apigenin reduced CCAAT/enhancer binding protein (C/EBP) α and peroxisome proliferator-activated receptor γ levels. Apigenin-treated 3T3-L1 cells failed to undergo clonal expansion during the early phase of adipocyte differentiation. Apigenin arrested cell cycle progression at the G 0/G1 phase. This effect was associated with a marked decrease in cyclin D1 and cyclin-dependent kinase 4 expression, with the concomitant and sustained expression of p27Kip1. In addition, apigenin inhibited the DNA-binding activity of C/EBPβ in differentiating 3T3-L1 cells by down-regulating the 35 kDa isoform of C/EBPβ (liver-enriched activating protein) and up-regulating the expression of two different sets of C/EBP inhibitors: C/EBP homologous protein and the phospho-liver-enriched inhibitory protein isoform of C/EBPβ. Significance These findings suggest that apigenin can prevent 3T3-L1 preadipocyte differentiation by the inhibition of the mitotic clonal expansion and the adipogenesis related factors and upregulation of the expression of multiple C/EBPβ inhibitors. © 2014 Elsevier Inc.","author":[{"dropping-particle":"","family":"Kim","given":"Mi Ae","non-dropping-particle":"","parse-names":false,"suffix":""},{"dropping-particle":"","family":"Kang","given":"Kyungsu","non-dropping-particle":"","parse-names":false,"suffix":""},{"dropping-particle":"","family":"Lee","given":"Hee Ju","non-dropping-particle":"","parse-names":false,"suffix":""},{"dropping-particle":"","family":"Kim","given":"Myungsuk","non-dropping-particle":"","parse-names":false,"suffix":""},{"dropping-particle":"","family":"Kim","given":"Chul Young","non-dropping-particle":"","parse-names":false,"suffix":""},{"dropping-particle":"","family":"Nho","given":"Chu Won","non-dropping-particle":"","parse-names":false,"suffix":""}],"container-title":"Life Sciences","id":"ITEM-1","issue":"1-2","issued":{"date-parts":[["2014"]]},"page":"64-72","publisher":"Elsevier Inc.","title":"Apigenin isolated from Daphne genkwa Siebold et Zucc. inhibits 3T3-L1 preadipocyte differentiation through a modulation of mitotic clonal expansion","type":"article-journal","volume":"101"},"uris":["http://www.mendeley.com/documents/?uuid=6b4e3444-e1c5-45ef-b274-2dcadb3d80e6"]}],"mendeley":{"formattedCitation":"&lt;sup&gt;[118]&lt;/sup&gt;","plainTextFormattedCitation":"[118]","previouslyFormattedCitation":"&lt;sup&gt;[118]&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[118]</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Nevertheless, contrary to results obtained with mouse preadipocytes, this flavonoid did not inhibit adipogenesis in human MSCs derived from fatty tissue</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{"citationItems":[{"id":"ITEM-1","itemData":{"DOI":"10.1186/s12967-017-1343-0","ISSN":"14795876","abstract":"© 2017 The Author(s). Background: Adipocytes derived from human mesenchymal stem cells (MSCs) are widely used to investigate adipogenesis. Taking into account both the novelty of these MSCs and the scarcity of studies focused on the effects of phenolic compounds, the aim of the present study was to analyze the effect of apigenin, hesperidin and kaempferol on pre-adipocyte and mature adipocytes derived from this type of cells. In addition, the expression of genes involved in TG accumulation was also measured. Methods: Pre-adipocytes were cultured from day 0 to day 8 and mature adipocytes for 48h with the polyphenols at doses of 1, 10 and 25μM. Results: Apigenin did not show an anti-adipogenic action. Pre-adipocytes treated with hesperidin and kaempferol showed reduced TG content at the three experimental doses. Apigenin did not modify the expression of the main adipogenic genes (c/ebpβ, c/ebpα, pparγ and srebp1c), hesperidin inhibited genes involved in the three phases of adipogenesis (c/ebpβ, srebp1c and perilipin) and kaempferol reduced c/ebpβ. In mature adipocytes, the three polyphenols reduced TG accumulation at the dose of 25μM, but not at lower doses. All compounds increased mRNA levels of atgl. Apigenin and hesperidin decreased fasn expression. The present study shows the anti-adipogenic effect and delipidating effects of apigenin, hesperidin and kaempferol in human adipocytes derived from hMSCs. While hesperidin blocks all the stages of adipogenesis, kaempferol only inhibits the early stage. Regarding mature adipocytes, the three compounds reduce TG accumulation by activating, at least in part, lipolysis, and in the case of hesperidin and apigenin, also by reducing lipogenesis. Conclusions: The present study shows for the first time the anti-adipogenic effect and delipidating effect of apigenin, hesperidin and kaempferol in human adipocytes derived from MSCs for the first time.","author":[{"dropping-particle":"","family":"Gómez-Zorita","given":"Saioa","non-dropping-particle":"","parse-names":false,"suffix":""},{"dropping-particle":"","family":"Lasa","given":"Arrate","non-dropping-particle":"","parse-names":false,"suffix":""},{"dropping-particle":"","family":"Abendaño","given":"Naiara","non-dropping-particle":"","parse-names":false,"suffix":""},{"dropping-particle":"","family":"Fernández-Quintela","given":"Alfredo","non-dropping-particle":"","parse-names":false,"suffix":""},{"dropping-particle":"","family":"Mosqueda-Solís","given":"Andrea","non-dropping-particle":"","parse-names":false,"suffix":""},{"dropping-particle":"","family":"Garcia-Sobreviela","given":"Maria Pilar","non-dropping-particle":"","parse-names":false,"suffix":""},{"dropping-particle":"","family":"Arbonés-Mainar","given":"Jose M.","non-dropping-particle":"","parse-names":false,"suffix":""},{"dropping-particle":"","family":"Portillo","given":"Maria P.","non-dropping-particle":"","parse-names":false,"suffix":""}],"container-title":"Journal of Translational Medicine","id":"ITEM-1","issue":"1","issued":{"date-parts":[["2017"]]},"page":"1-10","publisher":"BioMed Central","title":"Phenolic compounds apigenin, hesperidin and kaempferol reduce in vitro lipid accumulation in human adipocytes","type":"article-journal","volume":"15"},"uris":["http://www.mendeley.com/documents/?uuid=594e31f3-5b11-4d2e-a195-7a2f2d9e781f"]}],"mendeley":{"formattedCitation":"&lt;sup&gt;[119]&lt;/sup&gt;","plainTextFormattedCitation":"[119]","previouslyFormattedCitation":"&lt;sup&gt;[119]&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[119]</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Further studies are required to shed more light on putative roles of apigenin on human MSC differentiation into adipocytes.</w:t>
      </w:r>
    </w:p>
    <w:p w14:paraId="55EFCE3C" w14:textId="4CCA0B57" w:rsidR="006A0C4B" w:rsidRPr="00B7408D" w:rsidRDefault="006A0C4B" w:rsidP="004D452C">
      <w:pPr>
        <w:adjustRightInd w:val="0"/>
        <w:snapToGrid w:val="0"/>
        <w:spacing w:line="360" w:lineRule="auto"/>
        <w:ind w:firstLineChars="100" w:firstLine="240"/>
        <w:jc w:val="both"/>
        <w:rPr>
          <w:rFonts w:ascii="Book Antiqua" w:hAnsi="Book Antiqua" w:cs="Times New Roman"/>
          <w:color w:val="000000"/>
          <w:lang w:val="en-US"/>
        </w:rPr>
      </w:pPr>
      <w:r w:rsidRPr="00B7408D">
        <w:rPr>
          <w:rFonts w:ascii="Book Antiqua" w:hAnsi="Book Antiqua" w:cs="Times New Roman"/>
          <w:color w:val="000000"/>
          <w:lang w:val="en-US"/>
        </w:rPr>
        <w:t xml:space="preserve">The effect of </w:t>
      </w:r>
      <w:proofErr w:type="spellStart"/>
      <w:r w:rsidRPr="00B7408D">
        <w:rPr>
          <w:rFonts w:ascii="Book Antiqua" w:hAnsi="Book Antiqua" w:cs="Times New Roman"/>
          <w:color w:val="000000"/>
          <w:lang w:val="en-US"/>
        </w:rPr>
        <w:t>apigenin</w:t>
      </w:r>
      <w:proofErr w:type="spellEnd"/>
      <w:r w:rsidRPr="00B7408D">
        <w:rPr>
          <w:rFonts w:ascii="Book Antiqua" w:hAnsi="Book Antiqua" w:cs="Times New Roman"/>
          <w:color w:val="000000"/>
          <w:lang w:val="en-US"/>
        </w:rPr>
        <w:t xml:space="preserve"> on </w:t>
      </w:r>
      <w:proofErr w:type="spellStart"/>
      <w:r w:rsidRPr="00B7408D">
        <w:rPr>
          <w:rFonts w:ascii="Book Antiqua" w:hAnsi="Book Antiqua" w:cs="Times New Roman"/>
          <w:color w:val="000000"/>
          <w:lang w:val="en-US"/>
        </w:rPr>
        <w:t>osteoblastogenesis</w:t>
      </w:r>
      <w:proofErr w:type="spellEnd"/>
      <w:r w:rsidRPr="00B7408D">
        <w:rPr>
          <w:rFonts w:ascii="Book Antiqua" w:hAnsi="Book Antiqua" w:cs="Times New Roman"/>
          <w:color w:val="000000"/>
          <w:lang w:val="en-US"/>
        </w:rPr>
        <w:t xml:space="preserve"> has also been studied. This compound reduced apoptosis and ROS production, maintaining mitochondrial membrane potential, under oxidative stress conditions induced by H</w:t>
      </w:r>
      <w:r w:rsidRPr="00B7408D">
        <w:rPr>
          <w:rFonts w:ascii="Book Antiqua" w:hAnsi="Book Antiqua" w:cs="Times New Roman"/>
          <w:color w:val="000000"/>
          <w:vertAlign w:val="subscript"/>
          <w:lang w:val="en-US"/>
        </w:rPr>
        <w:t>2</w:t>
      </w:r>
      <w:r w:rsidRPr="00B7408D">
        <w:rPr>
          <w:rFonts w:ascii="Book Antiqua" w:hAnsi="Book Antiqua" w:cs="Times New Roman"/>
          <w:color w:val="000000"/>
          <w:lang w:val="en-US"/>
        </w:rPr>
        <w:t>O</w:t>
      </w:r>
      <w:r w:rsidRPr="00B7408D">
        <w:rPr>
          <w:rFonts w:ascii="Book Antiqua" w:hAnsi="Book Antiqua" w:cs="Times New Roman"/>
          <w:color w:val="000000"/>
          <w:vertAlign w:val="subscript"/>
          <w:lang w:val="en-US"/>
        </w:rPr>
        <w:t>2</w:t>
      </w:r>
      <w:r w:rsidRPr="00B7408D">
        <w:rPr>
          <w:rFonts w:ascii="Book Antiqua" w:hAnsi="Book Antiqua" w:cs="Times New Roman"/>
          <w:color w:val="000000"/>
          <w:lang w:val="en-US"/>
        </w:rPr>
        <w:t xml:space="preserve"> in MC3T3-E1 mouse </w:t>
      </w:r>
      <w:proofErr w:type="spellStart"/>
      <w:r w:rsidRPr="00B7408D">
        <w:rPr>
          <w:rFonts w:ascii="Book Antiqua" w:hAnsi="Book Antiqua" w:cs="Times New Roman"/>
          <w:color w:val="000000"/>
          <w:lang w:val="en-US"/>
        </w:rPr>
        <w:t>preosteoblasts</w:t>
      </w:r>
      <w:proofErr w:type="spellEnd"/>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{"citationItems":[{"id":"ITEM-1","itemData":{"DOI":"10.3892/ijmm.2014.1666","ISSN":"1791244X","abstract":"Apigenin, a plant-derived flavonoid, was investigated to determine whether it could influence hydrogen peroxide (H2O2)-induced oxidative damage and cellular dysfunction in the MC3T3-E1 mouse osteoblastic cell line. In the present study, osteoblastic cells were treated with H2O2 in the presence or absence of apigenin. Cell viability, apoptosis, reactive oxygen species (ROS) production and mitochondrial membrane potential (ΔΨm) were subsequently examined. It was observed that H2O2 reduced cell survival and ΔΨm, while it markedly increased the intracellular levels of ROS and apoptosis. However, pretreatment of cells with apigenin attenuated all the H2O2-induced effects. The antioxidants, catalase and N-acetyl-L-cysteine (NAC) also prevented H2O2-induced oxidative cell damage. In addition, treatment with apigenin resulted in a significant elevation of osteoblast differentiation genes including alkaline phosphatase (ALP), collagen, osteopontin (OPN), osteoprotegerin (OPG), bone sialoprotein (BSP), osterix (OSX) and osteocalcin (OC) and bone morphogenetic proteins (BMPs) genes (BMP2, BMP4 and BMP7). In the mechanistic studies of cell signaling by the antioxidative potential of apigenin, it was found that apigenin activated the H2O2-induced decreased expression of phosphatidylinositol 3'-kinase (PI3K), protein kinase B2 (AKT2) genes and extracellular signal-related kinase (EPK) 2, which are key regulators of survival-related signaling pathways. By contrast, there were no changes in the expression of nuclear facor-κB (NF-κB) and c-Jun N-terminal kinase (JNK) gene exposed to H2O2 in the present study. Apigenin also upregulated the gene expression of antioxidant enzymes, superoxide dismutase (SOD) 1, SOD2 and glutathione peroxidase (GPx) 1. Taken together, these results suggested that apigenin attenuated oxidative-induced cell damage in osteoblastic cells and may be useful for the treatment of oxidative-related bone disease.","author":[{"dropping-particle":"","family":"Jung","given":"Woon Won","non-dropping-particle":"","parse-names":false,"suffix":""}],"container-title":"International Journal of Molecular Medicine","id":"ITEM-1","issue":"5","issued":{"date-parts":[["2014"]]},"page":"1327-1334","title":"Protective effect of apigenin against oxidative stress-induced damage in osteoblastic cells","type":"article-journal","volume":"33"},"uris":["http://www.mendeley.com/documents/?uuid=07f3ee3c-f643-474f-93df-35b62c5d3f28"]}],"mendeley":{"formattedCitation":"&lt;sup&gt;[120]&lt;/sup&gt;","plainTextFormattedCitation":"[120]","previouslyFormattedCitation":"&lt;sup&gt;[120]&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[120]</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Besides, its antioxidant activity maintained expression of osteoblastic genes in such cells and conditions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{"citationItems":[{"id":"ITEM-1","itemData":{"DOI":"10.3892/ijmm.2014.1666","ISSN":"1791244X","abstract":"Apigenin, a plant-derived flavonoid, was investigated to determine whether it could influence hydrogen peroxide (H2O2)-induced oxidative damage and cellular dysfunction in the MC3T3-E1 mouse osteoblastic cell line. In the present study, osteoblastic cells were treated with H2O2 in the presence or absence of apigenin. Cell viability, apoptosis, reactive oxygen species (ROS) production and mitochondrial membrane potential (ΔΨm) were subsequently examined. It was observed that H2O2 reduced cell survival and ΔΨm, while it markedly increased the intracellular levels of ROS and apoptosis. However, pretreatment of cells with apigenin attenuated all the H2O2-induced effects. The antioxidants, catalase and N-acetyl-L-cysteine (NAC) also prevented H2O2-induced oxidative cell damage. In addition, treatment with apigenin resulted in a significant elevation of osteoblast differentiation genes including alkaline phosphatase (ALP), collagen, osteopontin (OPN), osteoprotegerin (OPG), bone sialoprotein (BSP), osterix (OSX) and osteocalcin (OC) and bone morphogenetic proteins (BMPs) genes (BMP2, BMP4 and BMP7). In the mechanistic studies of cell signaling by the antioxidative potential of apigenin, it was found that apigenin activated the H2O2-induced decreased expression of phosphatidylinositol 3'-kinase (PI3K), protein kinase B2 (AKT2) genes and extracellular signal-related kinase (EPK) 2, which are key regulators of survival-related signaling pathways. By contrast, there were no changes in the expression of nuclear facor-κB (NF-κB) and c-Jun N-terminal kinase (JNK) gene exposed to H2O2 in the present study. Apigenin also upregulated the gene expression of antioxidant enzymes, superoxide dismutase (SOD) 1, SOD2 and glutathione peroxidase (GPx) 1. Taken together, these results suggested that apigenin attenuated oxidative-induced cell damage in osteoblastic cells and may be useful for the treatment of oxidative-related bone disease.","author":[{"dropping-particle":"","family":"Jung","given":"Woon Won","non-dropping-particle":"","parse-names":false,"suffix":""}],"container-title":"International Journal of Molecular Medicine","id":"ITEM-1","issue":"5","issued":{"date-parts":[["2014"]]},"page":"1327-1334","title":"Protective effect of apigenin against oxidative stress-induced damage in osteoblastic cells","type":"article-journal","volume":"33"},"uris":["http://www.mendeley.com/documents/?uuid=07f3ee3c-f643-474f-93df-35b62c5d3f28"]}],"mendeley":{"formattedCitation":"&lt;sup&gt;[120]&lt;/sup&gt;","plainTextFormattedCitation":"[120]","previouslyFormattedCitation":"&lt;sup&gt;[120]&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[120]</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However, other authors have reported that this compound reduced viability and </w:t>
      </w:r>
      <w:proofErr w:type="spellStart"/>
      <w:r w:rsidRPr="00B7408D">
        <w:rPr>
          <w:rFonts w:ascii="Book Antiqua" w:hAnsi="Book Antiqua" w:cs="Times New Roman"/>
          <w:color w:val="000000"/>
          <w:lang w:val="en-US"/>
        </w:rPr>
        <w:t>osteoblastogenesis</w:t>
      </w:r>
      <w:proofErr w:type="spellEnd"/>
      <w:r w:rsidRPr="00B7408D">
        <w:rPr>
          <w:rFonts w:ascii="Book Antiqua" w:hAnsi="Book Antiqua" w:cs="Times New Roman"/>
          <w:color w:val="000000"/>
          <w:lang w:val="en-US"/>
        </w:rPr>
        <w:t xml:space="preserve"> in such cells, in a dose-dependent manner. Nevertheless, they reported that 10 mg apigenin/kg intraperitoneally administered to ovariectomized mice prevented loss of trabecular bone</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{"citationItems":[{"id":"ITEM-1","itemData":{"DOI":"10.1007/s10616-014-9694-3","ISSN":"0920-9069","PMID":"24500394","abstract":"Polyphenol have been reported to have physiological effects with respect to alleviating diseases such as osteoporosis and osteopetrosis. We recently reported that the olive polyphenol hydroxytyrosol accelerates bone formation both in vivo and in vitro. The present study was designed to evaluate the in vivo and in vitro effects of apigenin (4',5,7-trihydroxyflavone), one of the major polyphenols in olives and parsley, on bone formation by using cultured osteoblasts and osteoclasts and ovariectomized (OVX) mice, respectively. Apigenin markedly inhibited cell proliferation and indices of osteoblast differentiation, such as collagen production, alkaline phosphatase activity, and calcium deposition in osteoblastic MC3T3-E1 cells at concentrations of 1-10 μM. At 10 μM, apigenin completely inhibited the formation of multinucleated osteoclasts from mouse splenic cells. Moreover, injection of apigenin at 10 mg kg(-1) body weight significantly suppressed trabecular bone loss in the femurs of OVX mice. Our findings indicate that apigenin may have critical effects on bone maintenance in vivo.","author":[{"dropping-particle":"","family":"Goto","given":"Tadashi","non-dropping-particle":"","parse-names":false,"suffix":""},{"dropping-particle":"","family":"Hagiwara","given":"Keitaro","non-dropping-particle":"","parse-names":false,"suffix":""},{"dropping-particle":"","family":"Shirai","given":"Nobuaki","non-dropping-particle":"","parse-names":false,"suffix":""},{"dropping-particle":"","family":"Yoshida","given":"Kaoru","non-dropping-particle":"","parse-names":false,"suffix":""},{"dropping-particle":"","family":"Hagiwara","given":"Hiromi","non-dropping-particle":"","parse-names":false,"suffix":""}],"container-title":"Cytotechnology","id":"ITEM-1","issue":"2","issued":{"date-parts":[["2015","3"]]},"page":"357-65","title":"Apigenin inhibits osteoblastogenesis and osteoclastogenesis and prevents bone loss in ovariectomized mice.","type":"article-journal","volume":"67"},"uris":["http://www.mendeley.com/documents/?uuid=c7512c08-64a9-409d-8ad2-396e6c02dba2"]}],"mendeley":{"formattedCitation":"&lt;sup&gt;[121]&lt;/sup&gt;","plainTextFormattedCitation":"[121]","previouslyFormattedCitation":"&lt;sup&gt;[121]&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[121]</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w:t>
      </w:r>
    </w:p>
    <w:p w14:paraId="6BC7AD69" w14:textId="7E21D9C0" w:rsidR="006A0C4B" w:rsidRPr="00B7408D" w:rsidRDefault="006A0C4B" w:rsidP="004D452C">
      <w:pPr>
        <w:adjustRightInd w:val="0"/>
        <w:snapToGrid w:val="0"/>
        <w:spacing w:line="360" w:lineRule="auto"/>
        <w:ind w:firstLineChars="100" w:firstLine="240"/>
        <w:jc w:val="both"/>
        <w:rPr>
          <w:rFonts w:ascii="Book Antiqua" w:hAnsi="Book Antiqua" w:cs="Times New Roman"/>
          <w:color w:val="000000"/>
          <w:lang w:val="en-US"/>
        </w:rPr>
      </w:pPr>
      <w:r w:rsidRPr="00B7408D">
        <w:rPr>
          <w:rFonts w:ascii="Book Antiqua" w:hAnsi="Book Antiqua" w:cs="Times New Roman"/>
          <w:color w:val="000000"/>
          <w:lang w:val="en-US"/>
        </w:rPr>
        <w:t xml:space="preserve">These </w:t>
      </w:r>
      <w:r w:rsidRPr="00B7408D">
        <w:rPr>
          <w:rFonts w:ascii="Book Antiqua" w:hAnsi="Book Antiqua" w:cs="Times New Roman"/>
          <w:i/>
          <w:color w:val="000000"/>
          <w:lang w:val="en-US"/>
        </w:rPr>
        <w:t>in vivo</w:t>
      </w:r>
      <w:r w:rsidRPr="00B7408D">
        <w:rPr>
          <w:rFonts w:ascii="Book Antiqua" w:hAnsi="Book Antiqua" w:cs="Times New Roman"/>
          <w:color w:val="000000"/>
          <w:lang w:val="en-US"/>
        </w:rPr>
        <w:t xml:space="preserve"> results are in agreement with the ones obtained with human MSCs </w:t>
      </w:r>
      <w:r w:rsidRPr="00B7408D">
        <w:rPr>
          <w:rFonts w:ascii="Book Antiqua" w:hAnsi="Book Antiqua" w:cs="Times New Roman"/>
          <w:i/>
          <w:color w:val="000000"/>
          <w:lang w:val="en-US"/>
        </w:rPr>
        <w:t>in vitro</w:t>
      </w:r>
      <w:r w:rsidRPr="00B7408D">
        <w:rPr>
          <w:rFonts w:ascii="Book Antiqua" w:hAnsi="Book Antiqua" w:cs="Times New Roman"/>
          <w:color w:val="000000"/>
          <w:lang w:val="en-US"/>
        </w:rPr>
        <w:t xml:space="preserve">. For example, apigenin supplementation to osteogenic medium increased expression of osteoblastic markers and mineralization of extracellular matrix in human MSC cultures. Such effects activating </w:t>
      </w:r>
      <w:proofErr w:type="spellStart"/>
      <w:r w:rsidRPr="00B7408D">
        <w:rPr>
          <w:rFonts w:ascii="Book Antiqua" w:hAnsi="Book Antiqua" w:cs="Times New Roman"/>
          <w:color w:val="000000"/>
          <w:lang w:val="en-US"/>
        </w:rPr>
        <w:t>osteoblastogenesis</w:t>
      </w:r>
      <w:proofErr w:type="spellEnd"/>
      <w:r w:rsidRPr="00B7408D">
        <w:rPr>
          <w:rFonts w:ascii="Book Antiqua" w:hAnsi="Book Antiqua" w:cs="Times New Roman"/>
          <w:color w:val="000000"/>
          <w:lang w:val="en-US"/>
        </w:rPr>
        <w:t xml:space="preserve"> were mediated by increased phosphorylation of c-Jun N-terminal kinases (commonly known as JNKs) and p38 mitogen-activated protein kinases (commonly known as MAPKs)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{"citationItems":[{"id":"ITEM-1","itemData":{"DOI":"10.1007/s11010-015-2452-9","ISSN":"1573-4919","PMID":"25994505","abstract":"Apigenin is a plant-derived flavonoid and has been reported to prevent bone loss in ovariectomized mice, but the role of apigenin on osteogenic differentiation of human mesenchymal stem cells (hMSCs) has not been reported. In the present study, the effect of apigenin on osteogenic differentiation of hMSCs was explored. Our results showed that apigenin treatment significantly increased alkaline phosphatase (ALP) activity and mineralization in hMSCs. RT-PCR revealed that apigenin markedly up-regulated the mRNA expression of osteopontin (OPN) and the transcription factors runt-related transcription factor 2 (Runx2). The expression of Runx2 and osterix (OSX) proteins were also increased in hMSCs differentiating into osteoblasts after treatment with apigenin. Furthermore, we investigated the signaling pathways responsible for osteogenic differentiation of apigenin in hMSCs. We found that apigenin treatment significantly increased the levels of p-JNK, p-p38 in hMSCs and addition of the inhibitors of JNK (SP600125) or p38 MAPK (SB203580) eliminated the stimulating effects of apigenin. In addition, addition of SP600125 or SB203580 also blocked apigenin-induced ALP activity, OPN, Runx2, and OSX expression and meanwhile inhibited bone nodule formation. Taken together, these findings suggest apigenin promotes the osteogenesis of hMSCs through activation of JNK and p38 MAPK signal pathways which leads to Runx2 and OSX expressions to induce the formation of bone nodule.","author":[{"dropping-particle":"","family":"Zhang","given":"Xue","non-dropping-particle":"","parse-names":false,"suffix":""},{"dropping-particle":"","family":"Zhou","given":"Chenhui","non-dropping-particle":"","parse-names":false,"suffix":""},{"dropping-particle":"","family":"Zha","given":"Xuan","non-dropping-particle":"","parse-names":false,"suffix":""},{"dropping-particle":"","family":"Xu","given":"Zhoumei","non-dropping-particle":"","parse-names":false,"suffix":""},{"dropping-particle":"","family":"Li","given":"Li","non-dropping-particle":"","parse-names":false,"suffix":""},{"dropping-particle":"","family":"Liu","given":"Yuyu","non-dropping-particle":"","parse-names":false,"suffix":""},{"dropping-particle":"","family":"Xu","given":"Liangliang","non-dropping-particle":"","parse-names":false,"suffix":""},{"dropping-particle":"","family":"Cui","given":"Liao","non-dropping-particle":"","parse-names":false,"suffix":""},{"dropping-particle":"","family":"Xu","given":"Daohua","non-dropping-particle":"","parse-names":false,"suffix":""},{"dropping-particle":"","family":"Zhu","given":"Baohua","non-dropping-particle":"","parse-names":false,"suffix":""}],"container-title":"Molecular and cellular biochemistry","id":"ITEM-1","issue":"1-2","issued":{"date-parts":[["2015","9","21"]]},"page":"41-50","title":"Apigenin promotes osteogenic differentiation of human mesenchymal stem cells through JNK and p38 MAPK pathways.","type":"article-journal","volume":"407"},"uris":["http://www.mendeley.com/documents/?uuid=61db4886-9c60-3af9-93c0-d0d0fb280c55"]}],"mendeley":{"formattedCitation":"&lt;sup&gt;[122]&lt;/sup&gt;","plainTextFormattedCitation":"[122]","previouslyFormattedCitation":"&lt;sup&gt;[122]&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[122]</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The role of</w:t>
      </w:r>
      <w:r w:rsidRPr="00B7408D">
        <w:rPr>
          <w:rFonts w:ascii="Book Antiqua" w:hAnsi="Book Antiqua"/>
          <w:lang w:val="en-US"/>
        </w:rPr>
        <w:t xml:space="preserve"> p38</w:t>
      </w:r>
      <w:r w:rsidRPr="00B7408D">
        <w:rPr>
          <w:rFonts w:ascii="Book Antiqua" w:hAnsi="Book Antiqua" w:cs="Times New Roman"/>
          <w:color w:val="000000"/>
          <w:lang w:val="en-US"/>
        </w:rPr>
        <w:t xml:space="preserve"> in MSC </w:t>
      </w:r>
      <w:proofErr w:type="spellStart"/>
      <w:r w:rsidRPr="00B7408D">
        <w:rPr>
          <w:rFonts w:ascii="Book Antiqua" w:hAnsi="Book Antiqua" w:cs="Times New Roman"/>
          <w:color w:val="000000"/>
          <w:lang w:val="en-US"/>
        </w:rPr>
        <w:t>osteoblastogenesis</w:t>
      </w:r>
      <w:proofErr w:type="spellEnd"/>
      <w:r w:rsidRPr="00B7408D">
        <w:rPr>
          <w:rFonts w:ascii="Book Antiqua" w:hAnsi="Book Antiqua" w:cs="Times New Roman"/>
          <w:color w:val="000000"/>
          <w:lang w:val="en-US"/>
        </w:rPr>
        <w:t xml:space="preserve"> has also been </w:t>
      </w:r>
      <w:r w:rsidRPr="00B7408D">
        <w:rPr>
          <w:rFonts w:ascii="Book Antiqua" w:hAnsi="Book Antiqua" w:cs="Times New Roman"/>
          <w:color w:val="000000"/>
          <w:lang w:val="en-US"/>
        </w:rPr>
        <w:lastRenderedPageBreak/>
        <w:t>described</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{"citationItems":[{"id":"ITEM-1","itemData":{"DOI":"10.1210/en.2006-1000","ISSN":"0013-7227","PMID":"17185377","abstract":"p38 MAPK has been shown to regulate osteoblast differentiation. Inhibition of this kinase with inhibitors or dominant-negative mutant impedes osteoblast differentiation. Yet the molecular mechanism behind this regulation is not well understood. Here we provide evidence that the effect of p38 MAPK on osteoblast differentiation can be mediated by osterix (Osx), a transcription factor necessary and sufficient for osteoblast differentiation. Inhibition of p38 MAPK had minimal effects on differentiation of p53-/- osteoblasts, which had sustained Osx expression. Inhibition of p38 MAPK down-regulated the expression of Osx at both protein and mRNA levels, but not other transcription factors involved in osteoblast differentiation. More importantly, this inhibitory effect could be significantly relieved in osteoblasts overexpressing Osx. Further experiments support that Osx expression is mainly controlled by bone morphogenetic proteins existing in the culture medium, secreted by osteoblasts or provided by serum, and p38 MAPK plays a positive role in bone morphogenetic proteins-induced Osx expression. These findings identify a novel mechanism by which p38 MAPK regulates osteoblast differentiation.","author":[{"dropping-particle":"","family":"Wang","given":"Xueying","non-dropping-particle":"","parse-names":false,"suffix":""},{"dropping-particle":"","family":"Goh","given":"Choon Hong","non-dropping-particle":"","parse-names":false,"suffix":""},{"dropping-particle":"","family":"Li","given":"Baojie","non-dropping-particle":"","parse-names":false,"suffix":""}],"container-title":"Endocrinology","id":"ITEM-1","issue":"4","issued":{"date-parts":[["2007","4"]]},"page":"1629-1637","title":"p38 Mitogen-Activated Protein Kinase Regulates Osteoblast Differentiation through Osterix","type":"article-journal","volume":"148"},"uris":["http://www.mendeley.com/documents/?uuid=8116e908-ab6a-385f-96aa-31df85404f89"]}],"mendeley":{"formattedCitation":"&lt;sup&gt;[123]&lt;/sup&gt;","plainTextFormattedCitation":"[123]","previouslyFormattedCitation":"&lt;sup&gt;[123]&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[123]</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Interestingly, apigenin effects on MSCs may modulate bone metabolism, preventing bone mass loss in diseases like osteoporosis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{"citationItems":[{"id":"ITEM-1","itemData":{"DOI":"10.1007/s11010-015-2452-9","ISSN":"1573-4919","PMID":"25994505","abstract":"Apigenin is a plant-derived flavonoid and has been reported to prevent bone loss in ovariectomized mice, but the role of apigenin on osteogenic differentiation of human mesenchymal stem cells (hMSCs) has not been reported. In the present study, the effect of apigenin on osteogenic differentiation of hMSCs was explored. Our results showed that apigenin treatment significantly increased alkaline phosphatase (ALP) activity and mineralization in hMSCs. RT-PCR revealed that apigenin markedly up-regulated the mRNA expression of osteopontin (OPN) and the transcription factors runt-related transcription factor 2 (Runx2). The expression of Runx2 and osterix (OSX) proteins were also increased in hMSCs differentiating into osteoblasts after treatment with apigenin. Furthermore, we investigated the signaling pathways responsible for osteogenic differentiation of apigenin in hMSCs. We found that apigenin treatment significantly increased the levels of p-JNK, p-p38 in hMSCs and addition of the inhibitors of JNK (SP600125) or p38 MAPK (SB203580) eliminated the stimulating effects of apigenin. In addition, addition of SP600125 or SB203580 also blocked apigenin-induced ALP activity, OPN, Runx2, and OSX expression and meanwhile inhibited bone nodule formation. Taken together, these findings suggest apigenin promotes the osteogenesis of hMSCs through activation of JNK and p38 MAPK signal pathways which leads to Runx2 and OSX expressions to induce the formation of bone nodule.","author":[{"dropping-particle":"","family":"Zhang","given":"Xue","non-dropping-particle":"","parse-names":false,"suffix":""},{"dropping-particle":"","family":"Zhou","given":"Chenhui","non-dropping-particle":"","parse-names":false,"suffix":""},{"dropping-particle":"","family":"Zha","given":"Xuan","non-dropping-particle":"","parse-names":false,"suffix":""},{"dropping-particle":"","family":"Xu","given":"Zhoumei","non-dropping-particle":"","parse-names":false,"suffix":""},{"dropping-particle":"","family":"Li","given":"Li","non-dropping-particle":"","parse-names":false,"suffix":""},{"dropping-particle":"","family":"Liu","given":"Yuyu","non-dropping-particle":"","parse-names":false,"suffix":""},{"dropping-particle":"","family":"Xu","given":"Liangliang","non-dropping-particle":"","parse-names":false,"suffix":""},{"dropping-particle":"","family":"Cui","given":"Liao","non-dropping-particle":"","parse-names":false,"suffix":""},{"dropping-particle":"","family":"Xu","given":"Daohua","non-dropping-particle":"","parse-names":false,"suffix":""},{"dropping-particle":"","family":"Zhu","given":"Baohua","non-dropping-particle":"","parse-names":false,"suffix":""}],"container-title":"Molecular and cellular biochemistry","id":"ITEM-1","issue":"1-2","issued":{"date-parts":[["2015","9","21"]]},"page":"41-50","title":"Apigenin promotes osteogenic differentiation of human mesenchymal stem cells through JNK and p38 MAPK pathways.","type":"article-journal","volume":"407"},"uris":["http://www.mendeley.com/documents/?uuid=61db4886-9c60-3af9-93c0-d0d0fb280c55"]}],"mendeley":{"formattedCitation":"&lt;sup&gt;[122]&lt;/sup&gt;","plainTextFormattedCitation":"[122]","previouslyFormattedCitation":"&lt;sup&gt;[122]&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[122]</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and physiological processes like aging.</w:t>
      </w:r>
    </w:p>
    <w:p w14:paraId="66547846" w14:textId="77777777" w:rsidR="006A0C4B" w:rsidRPr="00B7408D" w:rsidRDefault="006A0C4B" w:rsidP="004D452C">
      <w:pPr>
        <w:shd w:val="clear" w:color="auto" w:fill="FFFFFF"/>
        <w:adjustRightInd w:val="0"/>
        <w:snapToGrid w:val="0"/>
        <w:spacing w:line="360" w:lineRule="auto"/>
        <w:ind w:firstLineChars="100" w:firstLine="240"/>
        <w:jc w:val="both"/>
        <w:rPr>
          <w:rFonts w:ascii="Book Antiqua" w:hAnsi="Book Antiqua" w:cs="Times New Roman"/>
          <w:color w:val="000000"/>
          <w:lang w:val="en-US"/>
        </w:rPr>
      </w:pPr>
      <w:r w:rsidRPr="00B7408D">
        <w:rPr>
          <w:rFonts w:ascii="Book Antiqua" w:hAnsi="Book Antiqua" w:cs="Times New Roman"/>
          <w:color w:val="000000"/>
          <w:lang w:val="en-US"/>
        </w:rPr>
        <w:t>The last important group of phenolics in extra virgin olive oil is the one of phenolic acids. These acids are simple phenols, usually found at very low concentrations in such food. Nevertheless, sometimes they are found at higher concentrations, like in some Tunisian olive oils, in which they can reach up to 38.39% of the total phenolic content</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{"citationItems":[{"id":"ITEM-1","itemData":{"DOI":"10.5650/jos.ess17080","ISSN":"1345-8957","abstract":"© 2017 by Japan Oil Chemists’ Society. Virgin olive oils extracted from three principal Tunisian olive cultivars (Chemlali, Chetoui and Zarrazi) and coming from four different regions (Sfax, Beja, Gabes and Medenine) along the Tunisian costs were analysed. The quality indices as well as fatty acids and phenolic acids content of oil samples were examined using univariate and multivariate statistical analysis. The finding demonstrated that significant differences (p &lt; 0.05) were found in quality indices between the different cultivars and that fatty acid content is the most informative in discriminating olive oils from production sites that are different by geographical and climatic parameters. In fact, southern cultivars (Zarrazi Gabes and Zarrazi Medenine) have the best fatty acid combination according to their oxidative effect. Besides, phenolic acids content was not useful in discriminating olive oil samples and could depend not only on geographic location but also on olive variety and agronomic practices. Nevertheless, Principal Component Analysis allowed us to highlight the Chemlali Beja olive oil for its interesting oxidative stability, fatty acid composition and its richness in phenolic acids content.","author":[{"dropping-particle":"Ben","family":"Hlima","given":"Hajer","non-dropping-particle":"","parse-names":false,"suffix":""},{"dropping-particle":"Ben","family":"Ayed","given":"Rayda","non-dropping-particle":"","parse-names":false,"suffix":""},{"dropping-particle":"","family":"Ennouri","given":"Karim","non-dropping-particle":"","parse-names":false,"suffix":""},{"dropping-particle":"","family":"SMAOUI","given":"Slim","non-dropping-particle":"","parse-names":false,"suffix":""}],"container-title":"Journal of Oleo Science","id":"ITEM-1","issue":"9","issued":{"date-parts":[["2017"]]},"page":"963-971","title":"Geographical Discrimination of Virgin Olive Oils from the Tunisian Coasts by Combining Fatty Acids and Phenolic Acids Profiles within a Multivariate Analysis","type":"article-journal","volume":"66"},"uris":["http://www.mendeley.com/documents/?uuid=d2576379-bcfa-4a77-a6b2-198e7291ceda"]}],"mendeley":{"formattedCitation":"&lt;sup&gt;[124]&lt;/sup&gt;","plainTextFormattedCitation":"[124]","previouslyFormattedCitation":"&lt;sup&gt;[124]&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[124]</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The most relevant phenols in this group include </w:t>
      </w:r>
      <w:proofErr w:type="spellStart"/>
      <w:r w:rsidRPr="00B7408D">
        <w:rPr>
          <w:rFonts w:ascii="Book Antiqua" w:hAnsi="Book Antiqua" w:cs="Times New Roman"/>
          <w:color w:val="000000"/>
          <w:lang w:val="en-US"/>
        </w:rPr>
        <w:t>vanillic</w:t>
      </w:r>
      <w:proofErr w:type="spellEnd"/>
      <w:r w:rsidRPr="00B7408D">
        <w:rPr>
          <w:rFonts w:ascii="Book Antiqua" w:hAnsi="Book Antiqua" w:cs="Times New Roman"/>
          <w:color w:val="000000"/>
          <w:lang w:val="en-US"/>
        </w:rPr>
        <w:t xml:space="preserve"> acid, </w:t>
      </w:r>
      <w:proofErr w:type="spellStart"/>
      <w:r w:rsidRPr="00B7408D">
        <w:rPr>
          <w:rFonts w:ascii="Book Antiqua" w:hAnsi="Book Antiqua" w:cs="Times New Roman"/>
          <w:color w:val="000000"/>
          <w:lang w:val="en-US"/>
        </w:rPr>
        <w:t>syringic</w:t>
      </w:r>
      <w:proofErr w:type="spellEnd"/>
      <w:r w:rsidRPr="00B7408D">
        <w:rPr>
          <w:rFonts w:ascii="Book Antiqua" w:hAnsi="Book Antiqua" w:cs="Times New Roman"/>
          <w:color w:val="000000"/>
          <w:lang w:val="en-US"/>
        </w:rPr>
        <w:t xml:space="preserve"> acid, 4-hydroxybenzoic acid, </w:t>
      </w:r>
      <w:r w:rsidRPr="00B7408D">
        <w:rPr>
          <w:rFonts w:ascii="Book Antiqua" w:hAnsi="Book Antiqua" w:cs="Times New Roman"/>
          <w:i/>
          <w:color w:val="000000"/>
          <w:lang w:val="en-US"/>
        </w:rPr>
        <w:t>p</w:t>
      </w:r>
      <w:r w:rsidRPr="00B7408D">
        <w:rPr>
          <w:rFonts w:ascii="Book Antiqua" w:hAnsi="Book Antiqua" w:cs="Times New Roman"/>
          <w:color w:val="000000"/>
          <w:lang w:val="en-US"/>
        </w:rPr>
        <w:t xml:space="preserve">-coumaric acid, and caffeic acid. </w:t>
      </w:r>
      <w:proofErr w:type="spellStart"/>
      <w:r w:rsidRPr="00B7408D">
        <w:rPr>
          <w:rFonts w:ascii="Book Antiqua" w:hAnsi="Book Antiqua" w:cs="Times New Roman"/>
          <w:color w:val="000000"/>
          <w:lang w:val="en-US"/>
        </w:rPr>
        <w:t>Vanillic</w:t>
      </w:r>
      <w:proofErr w:type="spellEnd"/>
      <w:r w:rsidRPr="00B7408D">
        <w:rPr>
          <w:rFonts w:ascii="Book Antiqua" w:hAnsi="Book Antiqua" w:cs="Times New Roman"/>
          <w:color w:val="000000"/>
          <w:lang w:val="en-US"/>
        </w:rPr>
        <w:t xml:space="preserve"> acid has </w:t>
      </w:r>
      <w:proofErr w:type="spellStart"/>
      <w:r w:rsidRPr="00B7408D">
        <w:rPr>
          <w:rFonts w:ascii="Book Antiqua" w:hAnsi="Book Antiqua" w:cs="Times New Roman"/>
          <w:color w:val="000000"/>
          <w:lang w:val="en-US"/>
        </w:rPr>
        <w:t>hepatoprotective</w:t>
      </w:r>
      <w:proofErr w:type="spellEnd"/>
      <w:r w:rsidRPr="00B7408D">
        <w:rPr>
          <w:rFonts w:ascii="Book Antiqua" w:hAnsi="Book Antiqua" w:cs="Times New Roman"/>
          <w:color w:val="000000"/>
          <w:lang w:val="en-US"/>
        </w:rPr>
        <w:t xml:space="preserve"> and cardioprotective</w:t>
      </w:r>
      <w:r w:rsidRPr="00B7408D" w:rsidDel="00390525">
        <w:rPr>
          <w:rFonts w:ascii="Book Antiqua" w:hAnsi="Book Antiqua" w:cs="Times New Roman"/>
          <w:color w:val="000000"/>
          <w:lang w:val="en-US"/>
        </w:rPr>
        <w:t xml:space="preserve"> </w:t>
      </w:r>
      <w:r w:rsidRPr="00B7408D">
        <w:rPr>
          <w:rFonts w:ascii="Book Antiqua" w:hAnsi="Book Antiqua" w:cs="Times New Roman"/>
          <w:color w:val="000000"/>
          <w:lang w:val="en-US"/>
        </w:rPr>
        <w:t>effects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{"citationItems":[{"id":"ITEM-1","itemData":{"ISSN":"1347-5215","PMID":"20522963","abstract":"The mycelia of the edible mushroom Lentinula edodes can be cultured in solid medium containing lignin, and the hot-water extracts (L.E.M.) is commercially available as a nutritional supplement. During the cultivation, phenolic compounds, such as syringic acid and vanillic acid, were produced by lignin-degrading peroxidase secreted from L. edodes mycelia. Since these compounds have radical scavenging activity, we examined their protective effect on oxidative stress in mice with CCl(4)-induced liver injury. We examined the hepatoprotective effect of syringic acid and vanillic acid on CCl(4)-induced chronic liver injury in mice. The injection of CCl(4) into the peritoneal cavity caused an increase in the serum aspartate aminotransferase (AST) and alanine aminotransferase (ALT) levels. The intravenous administration of syringic acid and vanillic acid significantly decreased the levels of the transaminases. Four weeks of CCl(4) treatment caused a sufficiently excessive deposition of collagen fibrils. An examination of Azan-stained liver sections revealed that syringic acid and vanillic acid obviously suppressed collagen accumulation and significantly decreased the hepatic hydroxyproline content, which is the quantitative marker of fibrosis. Both of these compounds inhibited the activation of cultured hepatic stellate cells, which play a central role in liver fibrogenesis, and maintained hepatocyte viability. These data suggest that the administration of syringic acid and vanillic acid could suppress hepatic fibrosis in chronic liver injury.","author":[{"dropping-particle":"","family":"Itoh","given":"Ayano","non-dropping-particle":"","parse-names":false,"suffix":""},{"dropping-particle":"","family":"Isoda","given":"Katsuhiro","non-dropping-particle":"","parse-names":false,"suffix":""},{"dropping-particle":"","family":"Kondoh","given":"Masuo","non-dropping-particle":"","parse-names":false,"suffix":""},{"dropping-particle":"","family":"Kawase","given":"Masaya","non-dropping-particle":"","parse-names":false,"suffix":""},{"dropping-particle":"","family":"Watari","given":"Akihiro","non-dropping-particle":"","parse-names":false,"suffix":""},{"dropping-particle":"","family":"Kobayashi","given":"Masakazu","non-dropping-particle":"","parse-names":false,"suffix":""},{"dropping-particle":"","family":"Tamesada","given":"Makoto","non-dropping-particle":"","parse-names":false,"suffix":""},{"dropping-particle":"","family":"Yagi","given":"Kiyohito","non-dropping-particle":"","parse-names":false,"suffix":""}],"container-title":"Biological &amp; pharmaceutical bulletin","id":"ITEM-1","issue":"6","issued":{"date-parts":[["2010"]]},"page":"983-7","title":"Hepatoprotective effect of syringic acid and vanillic acid on CCl4-induced liver injury.","type":"article-journal","volume":"33"},"uris":["http://www.mendeley.com/documents/?uuid=ac4b63e3-c8e2-3b1b-9d94-1cf118a77f57"]},{"id":"ITEM-2","itemData":{"DOI":"10.1016/j.ejphar.2011.06.053","ISSN":"1879-0712","PMID":"21763302","abstract":"Myocardial infarction affects a large proportion in the world. This study aims to evaluate the protective effects of vanillic acid in isoproterenol induced cardiotoxic rats. Male Wistar rats were pretreated with vanillic acid (5mg and 10mg/kg) daily for 10 days. After pretreatment, isoproterenol (100mg/kg) was subcutaneously injected to rats at an interval of 24h for 2 days to induce cardiotoxicity. Isoproterenol induced cardiotoxic rats showed significant increase in serum cardiac troponins, heart lipid peroxidation and significant decrease in the heart antioxidants. In addition, isoproterenol induced group electrocardiogram showed an elevation in ST segments and increased expressions of interleukin-1β, interleukin-6 and tumor necrosis factor-α genes in the myocardium. Pretreatment with vanillic acid showed significant protective effects on cardiac troponins, lipid peroxidation, antioxidant system, electrocardiogram and expressions of interleukin-1β, interleukin-6 and tumor necrosis factor-α gene in the heart of isoproterenol induced cardiotoxic rats. Histopathology of myocardium correlated with these biochemical findings. The in vitro study also revealed that vanillic acid is a potent free radical scavenger. Thus, vanillic acid exerts protective effects in isoproterenol induced cardiotoxic rats due to its free radical scavenging, antioxidant and anti-inflammatory properties. Our study also showed that pretreatment with vanillic acid at the dose of 10mg/kg was highly effective than 5mg/kg.","author":[{"dropping-particle":"","family":"Stanely Mainzen Prince","given":"Ponnian","non-dropping-particle":"","parse-names":false,"suffix":""},{"dropping-particle":"","family":"Rajakumar","given":"Sundaresan","non-dropping-particle":"","parse-names":false,"suffix":""},{"dropping-particle":"","family":"Dhanasekar","given":"Koothan","non-dropping-particle":"","parse-names":false,"suffix":""}],"container-title":"European journal of pharmacology","id":"ITEM-2","issue":"1-2","issued":{"date-parts":[["2011","10","1"]]},"page":"233-40","title":"Protective effects of vanillic acid on electrocardiogram, lipid peroxidation, antioxidants, proinflammatory markers and histopathology in isoproterenol induced cardiotoxic rats.","type":"article-journal","volume":"668"},"uris":["http://www.mendeley.com/documents/?uuid=082bc8e8-4709-3df1-91ab-54891e458946"]}],"mendeley":{"formattedCitation":"&lt;sup&gt;[125,126]&lt;/sup&gt;","plainTextFormattedCitation":"[125,126]","previouslyFormattedCitation":"&lt;sup&gt;[125,126]&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[125,126]</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Indeed, it has been observed that it reduced bone mass loss in ovariectomized mice</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{"citationItems":[{"id":"ITEM-1","itemData":{"ISSN":"0918-6158","PMID":"9657044","abstract":"We previously found that a methanolic extract of the stems of Sambucus sieboldiana inhibited bone resorption in organ culture. In this study, we further fractionated the methanol extract guided by the activity towards bone resorption stimulated by parathyroid hormone (PTH) in vitro. The ethyl acetate fraction (EtOAc Fr.) of the methanolic extract inhibited PTH-stimulated bone resorption of neonatal mouse bones, and the inhibitory activity was more potent than those of other fractions. Oral administration of the EtOAc Fr. (50 and 100 mg/kg/d) to ovariectomized (OVX) rat prevented the decrease in bone mineral density (BMD) of the lumbar (L2-4) vertebra, indicating that the EtOAc Fr. is effective in vivo. Furthermore, the EtOAc Fr. (50, 100 and 150 mg/kg/d) decreased the serum calcium level elevated in low calcium dietary rats. The phenolic constituents of the EtOAc fraction were examined for their inhibitory effect on bone resorption stimulated by PTH in neonatal mouse bone. Among them, vanillic acid, vanillin and coniferyl alcohol showed significant inhibitory effects on bone resorption. Of the compounds examined, vanillic acid was found to have a significant inhibitory effect on the decrease of BMD in OVX mice. Therefore, the EtOAc Fr. of S. sieboldiana showed a suppressive effect on bone resorption in vitro and in vivo. In addition, the inhibitory effects of the EtOAc Fr. on bone resorption may be at least partly due to the inhibitory action of vanillic acid.","author":[{"dropping-particle":"","family":"Li","given":"H","non-dropping-particle":"","parse-names":false,"suffix":""},{"dropping-particle":"","family":"Li","given":"J","non-dropping-particle":"","parse-names":false,"suffix":""},{"dropping-particle":"","family":"Prasain","given":"J K","non-dropping-particle":"","parse-names":false,"suffix":""},{"dropping-particle":"","family":"Tezuka","given":"Y","non-dropping-particle":"","parse-names":false,"suffix":""},{"dropping-particle":"","family":"Namba","given":"T","non-dropping-particle":"","parse-names":false,"suffix":""},{"dropping-particle":"","family":"Miyahara","given":"T","non-dropping-particle":"","parse-names":false,"suffix":""},{"dropping-particle":"","family":"Tonami","given":"S","non-dropping-particle":"","parse-names":false,"suffix":""},{"dropping-particle":"","family":"Seto","given":"H","non-dropping-particle":"","parse-names":false,"suffix":""},{"dropping-particle":"","family":"Tada","given":"T","non-dropping-particle":"","parse-names":false,"suffix":""},{"dropping-particle":"","family":"Kadota","given":"S","non-dropping-particle":"","parse-names":false,"suffix":""}],"container-title":"Biological &amp; pharmaceutical bulletin","id":"ITEM-1","issue":"6","issued":{"date-parts":[["1998","6"]]},"page":"594-8","title":"Antiosteoporotic activity of the stems of Sambucus sieboldiana.","type":"article-journal","volume":"21"},"uris":["http://www.mendeley.com/documents/?uuid=8ceef8df-ec13-321a-91fa-3cf087b005c4"]}],"mendeley":{"formattedCitation":"&lt;sup&gt;[127]&lt;/sup&gt;","plainTextFormattedCitation":"[127]","previouslyFormattedCitation":"&lt;sup&gt;[127]&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[127]</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That may be related to its effects on cells derived from MSCs. For instance, this phenolic compound favored proliferation and differentiation of rat osteoblast-like UMR 106 cells, increasing expression of osteogenic markers and ratio of </w:t>
      </w:r>
      <w:r w:rsidRPr="00B7408D">
        <w:rPr>
          <w:rFonts w:ascii="Book Antiqua" w:hAnsi="Book Antiqua" w:cs="Times New Roman"/>
          <w:i/>
          <w:color w:val="000000"/>
          <w:lang w:val="en-US"/>
        </w:rPr>
        <w:t>OPG</w:t>
      </w:r>
      <w:r w:rsidRPr="00B7408D">
        <w:rPr>
          <w:rFonts w:ascii="Book Antiqua" w:hAnsi="Book Antiqua" w:cs="Times New Roman"/>
          <w:color w:val="000000"/>
          <w:lang w:val="en-US"/>
        </w:rPr>
        <w:t>/</w:t>
      </w:r>
      <w:r w:rsidRPr="00B7408D">
        <w:rPr>
          <w:rFonts w:ascii="Book Antiqua" w:hAnsi="Book Antiqua" w:cs="Times New Roman"/>
          <w:i/>
          <w:color w:val="000000"/>
          <w:lang w:val="en-US"/>
        </w:rPr>
        <w:t>RANKL</w:t>
      </w:r>
      <w:r w:rsidRPr="00B7408D">
        <w:rPr>
          <w:rFonts w:ascii="Book Antiqua" w:hAnsi="Book Antiqua" w:cs="Times New Roman"/>
          <w:color w:val="000000"/>
          <w:lang w:val="en-US"/>
        </w:rPr>
        <w:t xml:space="preserve"> expression. These effects were mediated by its activity as phytoestrogen</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{"citationItems":[{"id":"ITEM-1","itemData":{"DOI":"10.1016/j.jsbmb.2014.08.002","ISSN":"18791220","abstract":"Sambucus williamsii Hance (SWH) has been used for treatment of bone and joint disease in China for thousands of years. Our previous study showed that SWH extract and its bioactive fraction could effectively prevent oestrogen-deficiency induced bone loss in ovariectomized mice. The present study aimed to study the bone protective effects of vanillic acid (VA), a phenolic acid isolated from the bioactive fraction of SWH, and to characterize the signaling pathways that mediated its actions in rat osteoblast-like UMR 106 cells. VA significantly stimulated proliferation, alkaline phosphatase (ALP) activities as well as significantly altered the mRNA expression of genes involved in osteoblast functions and osteoclastogenesis in UMR 106 cells. Co-treatment of UMR 106 cells with 10-6M ICI182,780 (a specific oestrogen receptor (ER) antagonist) abolished the stimulatory effects of VA on osteoblast proliferation and ALP activities, suggesting the role of ER in mediating its actions. However, VA (10-12to 10-6M) failed to bind to ERα or ERβ and did not activate oestrogen response element (ERE)-luciferase activities via ERα or ERβ in UMR 106 cells. In contrast, 10-10and 10-8M of VA induced the phosphorylation of MEK 1/2, ERK1/2 and ERα at Ser118 residue in UMR 106 cells, suggesting that MAP kinase-mediated pathway is involved in mediating its actions. Taken together, our results indicated that VA is a bioactive compound in SWH that exerts stimulatory effects in osteoblast-like cells via non-genomic, but not classical, ER signaling pathway. © 2014 Elsevier Ltd.","author":[{"dropping-particle":"","family":"Xiao","given":"Hui Hui","non-dropping-particle":"","parse-names":false,"suffix":""},{"dropping-particle":"","family":"Gao","given":"Quan Gui","non-dropping-particle":"","parse-names":false,"suffix":""},{"dropping-particle":"","family":"Zhang","given":"Yan","non-dropping-particle":"","parse-names":false,"suffix":""},{"dropping-particle":"","family":"Wong","given":"Ka Chung","non-dropping-particle":"","parse-names":false,"suffix":""},{"dropping-particle":"","family":"Dai","given":"Yi","non-dropping-particle":"","parse-names":false,"suffix":""},{"dropping-particle":"","family":"Yao","given":"Xin Sheng","non-dropping-particle":"","parse-names":false,"suffix":""},{"dropping-particle":"","family":"Wong","given":"Man Sau","non-dropping-particle":"","parse-names":false,"suffix":""}],"container-title":"Journal of Steroid Biochemistry and Molecular Biology","id":"ITEM-1","issue":"PART B","issued":{"date-parts":[["2014"]]},"page":"382-391","publisher":"Elsevier Ltd","title":"Vanillic acid exerts oestrogen-like activities in osteoblast-like UMR 106 cells through MAP kinase (MEK/ERK)-mediated ER signaling pathway","type":"article-journal","volume":"144"},"uris":["http://www.mendeley.com/documents/?uuid=02a43c8b-114e-4138-b27b-0b96f44794f2"]}],"mendeley":{"formattedCitation":"&lt;sup&gt;[128]&lt;/sup&gt;","plainTextFormattedCitation":"[128]","previouslyFormattedCitation":"&lt;sup&gt;[128]&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[128]</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It has also been suggested that </w:t>
      </w:r>
      <w:proofErr w:type="spellStart"/>
      <w:r w:rsidRPr="00B7408D">
        <w:rPr>
          <w:rFonts w:ascii="Book Antiqua" w:hAnsi="Book Antiqua" w:cs="Times New Roman"/>
          <w:color w:val="000000"/>
          <w:lang w:val="en-US"/>
        </w:rPr>
        <w:t>vanillic</w:t>
      </w:r>
      <w:proofErr w:type="spellEnd"/>
      <w:r w:rsidRPr="00B7408D">
        <w:rPr>
          <w:rFonts w:ascii="Book Antiqua" w:hAnsi="Book Antiqua" w:cs="Times New Roman"/>
          <w:color w:val="000000"/>
          <w:lang w:val="en-US"/>
        </w:rPr>
        <w:t xml:space="preserve"> acid may modulate adipogenesis because it reduced triglyceride content, without affecting cellular viability, in 3T3-L1 cells induced to differentiate into adipocytes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{"citationItems":[{"id":"ITEM-1","itemData":{"DOI":"10.1039/c7fo00679a","ISSN":"2042650X","abstract":"This study was designed to analyze the anti-adipogenic effect of fifteen phenolic compounds from various chemical groups in 3T3-L1 pre-adipocytes. This study was designed to analyze the anti-adipogenic effect of fifteen phenolic compounds from various chemical groups in 3T3-L1 pre-adipocytes. Cells were treated with 25 μM, 10 μM or 1 μM of apigenin, luteolin, catechin, epicatechin, epigallocatechin, genistein, daizein, naringenin, hesperidin, quercetin, kaempferol, resveratrol, vanillic acid, piceatannol and pterostilbene for 8 days. At 25 μM lipid accumulation was reduced by all the compounds, with the exception of catechin, epicatechin and epigallocatechin. At a dose of 10 μM apigenin, luteolin, naringenin, hesperidin, quercetin and kaempferol induced significant reductions, and at 1 μM only naringenin, hesperidin and quercetin were effective. The expression of c / ebpα was not. C / ebpβ was significantly reduced by genistein and kaempferol, ppar γ by genistein and pterostilbene, srebp1c by luteolin, genistein, hesperidin, kaempferol, pterostilbene and vanillic acid, and lpl by kaempferol. In conclusion, the most effective phenolic compounds are naringenin, hesperidin and quercetin. Differences were found in terms of effects on the expression of genes involved in adipogenesis among the analyzed compounds. ","author":[{"dropping-particle":"","family":"Mosqueda-Solís","given":"Andrea","non-dropping-particle":"","parse-names":false,"suffix":""},{"dropping-particle":"","family":"Lasa","given":"Arrate","non-dropping-particle":"","parse-names":false,"suffix":""},{"dropping-particle":"","family":"Gómez-Zorita","given":"Saioa","non-dropping-particle":"","parse-names":false,"suffix":""},{"dropping-particle":"","family":"Eseberri","given":"Itziar","non-dropping-particle":"","parse-names":false,"suffix":""},{"dropping-particle":"","family":"Picó","given":"Catalina","non-dropping-particle":"","parse-names":false,"suffix":""},{"dropping-particle":"","family":"Portillo","given":"María P.","non-dropping-particle":"","parse-names":false,"suffix":""}],"container-title":"Food and Function","id":"ITEM-1","issue":"10","issued":{"date-parts":[["2017"]]},"page":"3576-3586","title":"Screening of potential anti-adipogenic effects of phenolic compounds showing different chemical structure in 3T3-L1 preadipocytes","type":"article-journal","volume":"8"},"uris":["http://www.mendeley.com/documents/?uuid=922b1c0e-7c22-40f6-9a54-a15d20d2632a"]}],"mendeley":{"formattedCitation":"&lt;sup&gt;[129]&lt;/sup&gt;","plainTextFormattedCitation":"[129]","previouslyFormattedCitation":"&lt;sup&gt;[129]&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[129]</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w:t>
      </w:r>
    </w:p>
    <w:p w14:paraId="5196FB42" w14:textId="73AB9016" w:rsidR="006A0C4B" w:rsidRPr="00B7408D" w:rsidRDefault="006A0C4B" w:rsidP="004D452C">
      <w:pPr>
        <w:adjustRightInd w:val="0"/>
        <w:snapToGrid w:val="0"/>
        <w:spacing w:line="360" w:lineRule="auto"/>
        <w:ind w:firstLineChars="100" w:firstLine="240"/>
        <w:jc w:val="both"/>
        <w:rPr>
          <w:rFonts w:ascii="Book Antiqua" w:hAnsi="Book Antiqua" w:cs="Times New Roman"/>
          <w:color w:val="000000"/>
          <w:lang w:val="en-US"/>
        </w:rPr>
      </w:pPr>
      <w:r w:rsidRPr="00B7408D">
        <w:rPr>
          <w:rFonts w:ascii="Book Antiqua" w:hAnsi="Book Antiqua" w:cs="Times New Roman"/>
          <w:color w:val="000000"/>
          <w:lang w:val="en-US"/>
        </w:rPr>
        <w:t xml:space="preserve">On the other hand, syringic acid also has relevant healthy properties. Indeed, it is mainly a powerful antioxidant, being also antidiabetic, </w:t>
      </w:r>
      <w:proofErr w:type="spellStart"/>
      <w:r w:rsidRPr="00B7408D">
        <w:rPr>
          <w:rFonts w:ascii="Book Antiqua" w:hAnsi="Book Antiqua" w:cs="Times New Roman"/>
          <w:color w:val="000000"/>
          <w:lang w:val="en-US"/>
        </w:rPr>
        <w:t>cardioprotective</w:t>
      </w:r>
      <w:proofErr w:type="spellEnd"/>
      <w:r w:rsidRPr="00B7408D">
        <w:rPr>
          <w:rFonts w:ascii="Book Antiqua" w:hAnsi="Book Antiqua" w:cs="Times New Roman"/>
          <w:color w:val="000000"/>
          <w:lang w:val="en-US"/>
        </w:rPr>
        <w:t xml:space="preserve">, </w:t>
      </w:r>
      <w:proofErr w:type="spellStart"/>
      <w:r w:rsidRPr="00B7408D">
        <w:rPr>
          <w:rFonts w:ascii="Book Antiqua" w:hAnsi="Book Antiqua" w:cs="Times New Roman"/>
          <w:color w:val="000000"/>
          <w:lang w:val="en-US"/>
        </w:rPr>
        <w:t>antiinflammatory</w:t>
      </w:r>
      <w:proofErr w:type="spellEnd"/>
      <w:r w:rsidRPr="00B7408D">
        <w:rPr>
          <w:rFonts w:ascii="Book Antiqua" w:hAnsi="Book Antiqua" w:cs="Times New Roman"/>
          <w:color w:val="000000"/>
          <w:lang w:val="en-US"/>
        </w:rPr>
        <w:t xml:space="preserve">, </w:t>
      </w:r>
      <w:proofErr w:type="spellStart"/>
      <w:r w:rsidRPr="00B7408D">
        <w:rPr>
          <w:rFonts w:ascii="Book Antiqua" w:hAnsi="Book Antiqua" w:cs="Times New Roman"/>
          <w:i/>
          <w:color w:val="000000"/>
          <w:lang w:val="en-US"/>
        </w:rPr>
        <w:t>etc</w:t>
      </w:r>
      <w:proofErr w:type="spellEnd"/>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 xml:space="preserve">ADDIN CSL_CITATION {"citationItems":[{"id":"ITEM-1","itemData":{"DOI":"10.1016/j.biopha.2018.09.069","ISSN":"1950-6007","PMID":"30243088","abstract":"The use of phytochemicals in control of human diseases have been considerable public and scientific interest in current days. Syringic acid (SA), a phenolic compound often found in fruits and vegetables and which is synthesized via shikimic acid pathway in plants. It shows a wide range of therapeutic applications in prevention of diabetes, CVDs, cancer, cerebral ischemia; as well as it possess anti-oxidant, antimicrobial, anti-inflammatory, antiendotoxic, neuro and hepatoprotective activities. It has an effective free radical scavenger and alleviates the oxidative stress markers. The therapeutic property of SA is attributed by the presence of methoxy groups onto the aromatic ring at positions 3 and 5. The strong antioxidant activity of SA may confer its beneficial effects for human health. SA has the potential to modulate enzyme activity, protein dynamics and diverse transcription factors involved in diabetes, inflammation, cancer and angiogenesis. In vivo experimental data and histopathological studies on SA activity has delineated its possible therapeutic mechanisms. Besides usage in biomedical field, SA has greater industrial applications in bioremediation, photocatalytic ozonation, and laccase based catalysis. The present review deals about SA natural sources, biosynthesis, bioavailability, biomedical applications (in vivo and in vito. The review addresses basic information about molecular mechanisms, therapeutic and industrial potential of SA.","author":[{"dropping-particle":"","family":"Srinivasulu","given":"Cheemanapalli","non-dropping-particle":"","parse-names":false,"suffix":""},{"dropping-particle":"","family":"Ramgopal","given":"Mopuri","non-dropping-particle":"","parse-names":false,"suffix":""},{"dropping-particle":"","family":"Ramanjaneyulu","given":"Golla","non-dropping-particle":"","parse-names":false,"suffix":""},{"dropping-particle":"","family":"Anuradha","given":"C M","non-dropping-particle":"","parse-names":false,"suffix":""},{"dropping-particle":"","family":"Suresh Kumar","given":"Chitta","non-dropping-particle":"","parse-names":false,"suffix":""}],"container-title":"Biomedicine &amp; pharmacotherapy = Biomedecine &amp; pharmacotherapie","id":"ITEM-1","issued":{"date-parts":[["2018","12"]]},"page":"547-557","title":"Syringic acid (SA) </w:instrText>
      </w:r>
      <w:r w:rsidRPr="00B7408D">
        <w:rPr>
          <w:rFonts w:ascii="Times New Roman" w:hAnsi="Times New Roman" w:cs="Times New Roman"/>
          <w:color w:val="000000"/>
          <w:lang w:val="en-US"/>
        </w:rPr>
        <w:instrText>‒</w:instrText>
      </w:r>
      <w:r w:rsidRPr="00B7408D">
        <w:rPr>
          <w:rFonts w:ascii="Book Antiqua" w:hAnsi="Book Antiqua" w:cs="Times New Roman"/>
          <w:color w:val="000000"/>
          <w:lang w:val="en-US"/>
        </w:rPr>
        <w:instrText xml:space="preserve"> A Review of Its Occurrence, Biosynthesis, Pharmacological and Industrial Importance.","type":"article-journal","volume":"108"},"uris":["http://www.mendeley.com/documents/?uuid=4c58cac1-58d9-38af-a42e-54e051ee45e5"]}],"mendeley":{"formattedCitation":"&lt;sup&gt;[130]&lt;/sup&gt;","plainTextFormattedCitation":"[130]","previouslyFormattedCitation":"&lt;sup&gt;[130]&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[130]</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Yet, only its effect on MSC differentiation into osteoblasts have been studied. </w:t>
      </w:r>
      <w:bookmarkStart w:id="14" w:name="_Hlk7782115"/>
      <w:r w:rsidRPr="00B7408D">
        <w:rPr>
          <w:rFonts w:ascii="Book Antiqua" w:hAnsi="Book Antiqua" w:cs="Times New Roman"/>
          <w:color w:val="000000"/>
          <w:lang w:val="en-US"/>
        </w:rPr>
        <w:t xml:space="preserve">For example, it has been found that the presence of this compound in culture medium of mouse MSCs increased expression of osteogenic genes, alkaline phosphatase activity, and mineralization. This phenolic acid promoted </w:t>
      </w:r>
      <w:proofErr w:type="spellStart"/>
      <w:r w:rsidRPr="00B7408D">
        <w:rPr>
          <w:rFonts w:ascii="Book Antiqua" w:hAnsi="Book Antiqua" w:cs="Times New Roman"/>
          <w:color w:val="000000"/>
          <w:lang w:val="en-US"/>
        </w:rPr>
        <w:t>osteoblastogenesis</w:t>
      </w:r>
      <w:proofErr w:type="spellEnd"/>
      <w:r w:rsidRPr="00B7408D">
        <w:rPr>
          <w:rFonts w:ascii="Book Antiqua" w:hAnsi="Book Antiqua" w:cs="Times New Roman"/>
          <w:color w:val="000000"/>
          <w:lang w:val="en-US"/>
        </w:rPr>
        <w:t xml:space="preserve"> by inducing expression of the miR-21 microRNA</w:t>
      </w:r>
      <w:bookmarkEnd w:id="14"/>
      <w:r w:rsidRPr="00B7408D">
        <w:rPr>
          <w:rFonts w:ascii="Book Antiqua" w:hAnsi="Book Antiqua" w:cs="Times New Roman"/>
          <w:color w:val="000000"/>
          <w:lang w:val="en-US"/>
        </w:rPr>
        <w:t>, thus reducing expression of the so-called “mothers against decapentaplegic homolog 7” (</w:t>
      </w:r>
      <w:r w:rsidRPr="00B7408D">
        <w:rPr>
          <w:rFonts w:ascii="Book Antiqua" w:hAnsi="Book Antiqua" w:cs="Times New Roman"/>
          <w:i/>
          <w:color w:val="000000"/>
          <w:lang w:val="en-US"/>
        </w:rPr>
        <w:t>SMAD7</w:t>
      </w:r>
      <w:r w:rsidRPr="00B7408D">
        <w:rPr>
          <w:rFonts w:ascii="Book Antiqua" w:hAnsi="Book Antiqua" w:cs="Times New Roman"/>
          <w:color w:val="000000"/>
          <w:lang w:val="en-US"/>
        </w:rPr>
        <w:t>) gene, since it is the target of such microRNA</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{"citationItems":[{"id":"ITEM-1","itemData":{"DOI":"10.1007/s12079-018-0449-3","ISSN":"1873961X","abstract":"Syringic acid (SA), a phenolic acid, has been used in Chinese and Indian medicine for treating diabetes but its role in osteogenesis has not yet been investigated. In the present study, at the molecular and cellular levels, we evaluated the effects of SA on osteoblast differentiation. At the cellular level, there was increased alkaline phosphatase (ALP) activity and calcium deposition by SA treatment in mouse mesenchymal stem cells (mMSCs). At the molecular level, SA treatment of these cells stimulated expression of Runx2, a bone transcription factor, and of osteoblast differentiation marker genes such as ALP, type I collagen, and osteocalcin. It is known that Smad7 is an antagonist of TGF-β/Smad signaling and is a negative regulator of Runx2. microRNAs (miRNAs) play a key role in the regulation of osteogenesis genes at the post-transcriptional level and studies have reported that Smad7 is one of the target genes of miR-21. We found that there was down regulation of Smad7 and up regulation of miR-21 in SA-treated mMSCs. We further identified that the 3′-untranslated region (UTR) of Smad7 was directly targeted by miR-21 in these cells. Thus, our results suggested that SA promotes osteoblast differentiation via increased expression of Runx2 by miR-21-mediated down regulation of Smad7. Hence, SA may have potential in orthopedic applications.","author":[{"dropping-particle":"","family":"Arumugam","given":"B.","non-dropping-particle":"","parse-names":false,"suffix":""},{"dropping-particle":"","family":"Balagangadharan","given":"K.","non-dropping-particle":"","parse-names":false,"suffix":""},{"dropping-particle":"","family":"Selvamurugan","given":"N.","non-dropping-particle":"","parse-names":false,"suffix":""}],"container-title":"Journal of Cell Communication and Signaling","id":"ITEM-1","issue":"3","issued":{"date-parts":[["2018"]]},"page":"561-573","publisher":"Journal of Cell Communication and Signaling","title":"Syringic acid, a phenolic acid, promotes osteoblast differentiation by stimulation of Runx2 expression and targeting of Smad7 by miR-21 in mouse mesenchymal stem cells","type":"article-journal","volume":"12"},"uris":["http://www.mendeley.com/documents/?uuid=d30c3adf-da18-4d34-82b9-55c7a0724651"]}],"mendeley":{"formattedCitation":"&lt;sup&gt;[131]&lt;/sup&gt;","plainTextFormattedCitation":"[131]","previouslyFormattedCitation":"&lt;sup&gt;[131]&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[131]</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SMAD7 protein inhibits </w:t>
      </w:r>
      <w:proofErr w:type="spellStart"/>
      <w:r w:rsidRPr="00B7408D">
        <w:rPr>
          <w:rFonts w:ascii="Book Antiqua" w:hAnsi="Book Antiqua" w:cs="Times New Roman"/>
          <w:color w:val="000000"/>
          <w:lang w:val="en-US"/>
        </w:rPr>
        <w:t>osteoblastogenesis</w:t>
      </w:r>
      <w:proofErr w:type="spellEnd"/>
      <w:r w:rsidRPr="00B7408D">
        <w:rPr>
          <w:rFonts w:ascii="Book Antiqua" w:hAnsi="Book Antiqua" w:cs="Times New Roman"/>
          <w:color w:val="000000"/>
          <w:lang w:val="en-US"/>
        </w:rPr>
        <w:t>. Therefore, its repression in MSCs promoted differentiation into osteoblasts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{"citationItems":[{"id":"ITEM-1","itemData":{"DOI":"10.1007/s12079-018-0449-3","ISSN":"1873961X","abstract":"Syringic acid (SA), a phenolic acid, has been used in Chinese and Indian medicine for treating diabetes but its role in osteogenesis has not yet been investigated. In the present study, at the molecular and cellular levels, we evaluated the effects of SA on osteoblast differentiation. At the cellular level, there was increased alkaline phosphatase (ALP) activity and calcium deposition by SA treatment in mouse mesenchymal stem cells (mMSCs). At the molecular level, SA treatment of these cells stimulated expression of Runx2, a bone transcription factor, and of osteoblast differentiation marker genes such as ALP, type I collagen, and osteocalcin. It is known that Smad7 is an antagonist of TGF-β/Smad signaling and is a negative regulator of Runx2. microRNAs (miRNAs) play a key role in the regulation of osteogenesis genes at the post-transcriptional level and studies have reported that Smad7 is one of the target genes of miR-21. We found that there was down regulation of Smad7 and up regulation of miR-21 in SA-treated mMSCs. We further identified that the 3′-untranslated region (UTR) of Smad7 was directly targeted by miR-21 in these cells. Thus, our results suggested that SA promotes osteoblast differentiation via increased expression of Runx2 by miR-21-mediated down regulation of Smad7. Hence, SA may have potential in orthopedic applications.","author":[{"dropping-particle":"","family":"Arumugam","given":"B.","non-dropping-particle":"","parse-names":false,"suffix":""},{"dropping-particle":"","family":"Balagangadharan","given":"K.","non-dropping-particle":"","parse-names":false,"suffix":""},{"dropping-particle":"","family":"Selvamurugan","given":"N.","non-dropping-particle":"","parse-names":false,"suffix":""}],"container-title":"Journal of Cell Communication and Signaling","id":"ITEM-1","issue":"3","issued":{"date-parts":[["2018"]]},"page":"561-573","publisher":"Journal of Cell Communication and Signaling","title":"Syringic acid, a phenolic acid, promotes osteoblast differentiation by stimulation of Runx2 expression and targeting of Smad7 by miR-21 in mouse mesenchymal stem cells","type":"article-journal","volume":"12"},"uris":["http://www.mendeley.com/documents/?uuid=d30c3adf-da18-4d34-82b9-55c7a0724651"]},{"id":"ITEM-2","itemData":{"DOI":"10.1016/j.bbrc.2017.09.119","ISSN":"1090-2104","PMID":"28943430","abstract":"Bone marrow mesenchymal stem cells (BMMSCs) are pluripotent stem cells, and the osteogenic differentiation of BMMSCs has been drawing attention for a long time. Bone formation is regulated by numerous molecular and cellular signaling pathways, and the differentiation of BMMSCs is controlled by a well-defined genetic program. In the present study, we isolated BMMSCs from the bone cavities of wild-type (WT) and microRNA-21 knock-out (miR-21-KO) mice and found that miR-21 was significantly upregulated during the osteogenic differentiation of BMMSCs. Under osteoinductive conditions, ALP staining and alizarin red staining showed that the bone formation of BMMSCs from miR-21-KO mice was less than that of BMMSCs from WT mice. Consistently, RT-PCR and western blotting revealed that ALP and Runx2 expression levels in miR-21-KO mice were downregulated compared with those in WT mice. Meanwhile, the calvarial bone defects of miR-21-KO mice showed less newly formed bone than did those of WT mice. Additionally, the Smad7-Smad1/5/8-Runx2 axis showed the same tendency; Smad7 overexpression and the expression of phosphorylated Smad1/5/8 complex decreased when miR-21 was knocked down. We identified a novel mechanism by which microRNA-21 (miR-21) promotes the bone formation of BMMSCs and found that this process is regulated, in part, by the Smad7-Smad1/5/8-Runx2 pathway.","author":[{"dropping-particle":"","family":"Li","given":"Xiaoyan","non-dropping-particle":"","parse-names":false,"suffix":""},{"dropping-particle":"","family":"Guo","given":"Lijia","non-dropping-particle":"","parse-names":false,"suffix":""},{"dropping-particle":"","family":"Liu","given":"Yitong","non-dropping-particle":"","parse-names":false,"suffix":""},{"dropping-particle":"","family":"Su","given":"Yingying","non-dropping-particle":"","parse-names":false,"suffix":""},{"dropping-particle":"","family":"Xie","given":"Yongmei","non-dropping-particle":"","parse-names":false,"suffix":""},{"dropping-particle":"","family":"Du","given":"Juan","non-dropping-particle":"","parse-names":false,"suffix":""},{"dropping-particle":"","family":"Zhou","given":"Jian","non-dropping-particle":"","parse-names":false,"suffix":""},{"dropping-particle":"","family":"Ding","given":"Gang","non-dropping-particle":"","parse-names":false,"suffix":""},{"dropping-particle":"","family":"Wang","given":"Hao","non-dropping-particle":"","parse-names":false,"suffix":""},{"dropping-particle":"","family":"Bai","given":"Yuxing","non-dropping-particle":"","parse-names":false,"suffix":""},{"dropping-particle":"","family":"Liu","given":"Yi","non-dropping-particle":"","parse-names":false,"suffix":""}],"container-title":"Biochemical and biophysical research communications","id":"ITEM-2","issue":"2","issued":{"date-parts":[["2017","11","18"]]},"page":"928-933","title":"MicroRNA-21 promotes osteogenesis of bone marrow mesenchymal stem cells via the Smad7-Smad1/5/8-Runx2 pathway.","type":"article-journal","volume":"493"},"uris":["http://www.mendeley.com/documents/?uuid=ba2801b6-5d9b-39f3-9dde-8e4eea08b67c"]}],"mendeley":{"formattedCitation":"&lt;sup&gt;[131,132]&lt;/sup&gt;","plainTextFormattedCitation":"[131,132]","previouslyFormattedCitation":"&lt;sup&gt;[131,132]&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[131,132]</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In relation to 4-hydroxybenzoic acid, little is known about its putative effects on MSCs. </w:t>
      </w:r>
      <w:r w:rsidRPr="00B7408D">
        <w:rPr>
          <w:rFonts w:ascii="Book Antiqua" w:hAnsi="Book Antiqua" w:cs="Times New Roman"/>
          <w:color w:val="000000"/>
          <w:lang w:val="en-US"/>
        </w:rPr>
        <w:lastRenderedPageBreak/>
        <w:t xml:space="preserve">Just one </w:t>
      </w:r>
      <w:r w:rsidRPr="00B7408D">
        <w:rPr>
          <w:rFonts w:ascii="Book Antiqua" w:hAnsi="Book Antiqua" w:cs="Times New Roman"/>
          <w:i/>
          <w:color w:val="000000"/>
          <w:lang w:val="en-US"/>
        </w:rPr>
        <w:t>in vitro</w:t>
      </w:r>
      <w:r w:rsidRPr="00B7408D">
        <w:rPr>
          <w:rFonts w:ascii="Book Antiqua" w:hAnsi="Book Antiqua" w:cs="Times New Roman"/>
          <w:color w:val="000000"/>
          <w:lang w:val="en-US"/>
        </w:rPr>
        <w:t xml:space="preserve"> study has been carried out in relation to </w:t>
      </w:r>
      <w:proofErr w:type="spellStart"/>
      <w:r w:rsidRPr="00B7408D">
        <w:rPr>
          <w:rFonts w:ascii="Book Antiqua" w:hAnsi="Book Antiqua" w:cs="Times New Roman"/>
          <w:color w:val="000000"/>
          <w:lang w:val="en-US"/>
        </w:rPr>
        <w:t>adipogenic</w:t>
      </w:r>
      <w:proofErr w:type="spellEnd"/>
      <w:r w:rsidRPr="00B7408D">
        <w:rPr>
          <w:rFonts w:ascii="Book Antiqua" w:hAnsi="Book Antiqua" w:cs="Times New Roman"/>
          <w:color w:val="000000"/>
          <w:lang w:val="en-US"/>
        </w:rPr>
        <w:t xml:space="preserve"> differentiation of mouse 3T3-L1 and human MSCs from adipose tissue. Yet, in neither of these cell types did it produce significant changes during adipogenesis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{"citationItems":[{"id":"ITEM-1","itemData":{"DOI":"10.1093/toxsci/kfs262","ISBN":"1096-0929 (Electronic)\\r1096-0929 (Linking)","ISSN":"10966080","PMID":"22956630","abstract":"Parabens are a group of alkyl esters of p-hydroxybenzoic acid that include methylparaben, ethylparaben, propylparaben, butylparaben, and benzylparaben. Paraben esters and their salts are widely used as preservatives in cosmetics, toiletries, food, and pharmaceuticals. Humans are exposed to parabens through the use of such products from dermal contact, ingestion, and inhalation. However, research on the effects of parabens on health is limited, and the effects of parabens on adipogenesis have not been systematically studied. Here, we report that (1) parabens promote adipogenesis (or adipocyte differentiation) in murine 3T3-L1 cells, as revealed by adipocyte morphology, lipid accumulation, and mRNA expression of adipocyte-specific markers; (2) the adipogenic potency of parabens is increased with increasing length of the linear alkyl chain in the following potency ranking order: methyl- &lt; ethyl- &lt; propyl- &lt; butylparaben. The extension of the linear alkyl chain with an aromatic ring in benzylparaben further augments the adipogenic ability, whereas 4-hydroxybenzoic acid, the common metabolite of all parabens, and the structurally related benzoic acid (without the OH group) are inactive in promoting 3T3-L1 adipocyte differentiation; (3) parabens activate glucocorticoid receptor and/or peroxisome proliferator-activated receptor γ in 3T3-L1 preadipocytes; however, no direct binding to, or modulation of, the ligand binding domain of the glucocorticoid receptor by parabens was detected by glucocorticoid receptor competitor assays; and lastly, (4) parabens, butyl- and benzylparaben in particular, also promote adipose conversion of human adipose-derived multipotent stromal cells. Our results suggest that parabens may contribute to obesity epidemic, and the role of parabens in adipogenesis in vivo needs to be examined further.","author":[{"dropping-particle":"","family":"Hu","given":"Pan","non-dropping-particle":"","parse-names":false,"suffix":""},{"dropping-particle":"","family":"Chen","given":"Xin","non-dropping-particle":"","parse-names":false,"suffix":""},{"dropping-particle":"","family":"Whitener","given":"Rick J.","non-dropping-particle":"","parse-names":false,"suffix":""},{"dropping-particle":"","family":"Boder","given":"Eric T.","non-dropping-particle":"","parse-names":false,"suffix":""},{"dropping-particle":"","family":"Jones","given":"Jeremy O.","non-dropping-particle":"","parse-names":false,"suffix":""},{"dropping-particle":"","family":"Porollo","given":"Aleksey","non-dropping-particle":"","parse-names":false,"suffix":""},{"dropping-particle":"","family":"Chen","given":"Jiangang","non-dropping-particle":"","parse-names":false,"suffix":""},{"dropping-particle":"","family":"Zhao","given":"Ling","non-dropping-particle":"","parse-names":false,"suffix":""}],"container-title":"Toxicological Sciences","id":"ITEM-1","issue":"1","issued":{"date-parts":[["2013"]]},"page":"56-70","title":"Effects of parabens on adipocyte differentiation","type":"article-journal","volume":"131"},"uris":["http://www.mendeley.com/documents/?uuid=939347d3-7618-4026-92a4-f96d49fd3682"]}],"mendeley":{"formattedCitation":"&lt;sup&gt;[133]&lt;/sup&gt;","plainTextFormattedCitation":"[133]","previouslyFormattedCitation":"&lt;sup&gt;[133]&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[133]</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w:t>
      </w:r>
    </w:p>
    <w:p w14:paraId="2831E70C" w14:textId="17C38738" w:rsidR="006A0C4B" w:rsidRPr="00B7408D" w:rsidRDefault="006A0C4B" w:rsidP="004D452C">
      <w:pPr>
        <w:adjustRightInd w:val="0"/>
        <w:snapToGrid w:val="0"/>
        <w:spacing w:line="360" w:lineRule="auto"/>
        <w:ind w:firstLineChars="100" w:firstLine="240"/>
        <w:jc w:val="both"/>
        <w:rPr>
          <w:rFonts w:ascii="Book Antiqua" w:hAnsi="Book Antiqua" w:cs="Times New Roman"/>
          <w:color w:val="000000"/>
          <w:lang w:val="en-US"/>
        </w:rPr>
      </w:pPr>
      <w:r w:rsidRPr="00B7408D">
        <w:rPr>
          <w:rFonts w:ascii="Book Antiqua" w:hAnsi="Book Antiqua" w:cs="Times New Roman"/>
          <w:color w:val="000000"/>
          <w:lang w:val="en-US"/>
        </w:rPr>
        <w:t xml:space="preserve">With respect to </w:t>
      </w:r>
      <w:r w:rsidRPr="00B7408D">
        <w:rPr>
          <w:rFonts w:ascii="Book Antiqua" w:hAnsi="Book Antiqua" w:cs="Times New Roman"/>
          <w:i/>
          <w:color w:val="000000"/>
          <w:lang w:val="en-US"/>
        </w:rPr>
        <w:t>p</w:t>
      </w:r>
      <w:r w:rsidRPr="00B7408D">
        <w:rPr>
          <w:rFonts w:ascii="Book Antiqua" w:hAnsi="Book Antiqua" w:cs="Times New Roman"/>
          <w:color w:val="000000"/>
          <w:lang w:val="en-US"/>
        </w:rPr>
        <w:t>-coumaric acid, it is usually found in extra virgin olive oil at concentrations lower than 1 mg/kg</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{"citationItems":[{"id":"ITEM-1","itemData":{"DOI":"10.1016/j.chroma.2016.12.020","ISSN":"18733778","abstract":"In order to assess if an extra virgin olive oil (EVOO) can be acknowledged with the health claim related to olive oil polyphenols (Reg.</w:instrText>
      </w:r>
      <w:r w:rsidRPr="00B7408D">
        <w:rPr>
          <w:rFonts w:ascii="Times New Roman" w:hAnsi="Times New Roman" w:cs="Times New Roman"/>
          <w:color w:val="000000"/>
          <w:lang w:val="en-US"/>
        </w:rPr>
        <w:instrText> </w:instrText>
      </w:r>
      <w:r w:rsidRPr="00B7408D">
        <w:rPr>
          <w:rFonts w:ascii="Book Antiqua" w:hAnsi="Book Antiqua" w:cs="Times New Roman"/>
          <w:color w:val="000000"/>
          <w:lang w:val="en-US"/>
        </w:rPr>
        <w:instrText>EU n.432/2012), a new method to quantify these species in EVOO, by means of liquid–liquid extraction followed by HPLC-DAD/MS/MS of the hydroalcoholic extract, has been developed and validated. Different extraction procedures, different types of reverse-phase analytical columns (Synergi Polar, Spherisorb ODS2 and Kinetex) and eluents have been tested. The chromatographic column Synergi Polar (250 × 4.6 mm, 4 μm), never used before in this kind of application, provided the best results, with water and methanol/isopropanol (9/1) as eluents. The method allows the quantification of the phenolic alcohols tyrosol and hydroxytyrosol, the phenolic acids vanillic, p-coumaric and ferulic acids, secoiridoids derivatives, the lignans, pinoresinol and acetoxypinoresinol and the flavonoids luteolin and apigenin. The new method has been applied to 20 commercial EVOOs belonging to two different price range categories (3.78–5.80 euros/L and 9.5–25.80 euros/L) and 5 olive oils. The obtained results highlight that acetoxypinoresinol, ferulic acid, vanillic acid and the total non secoiridoid phenolic substances resulted to be significantly higher in HEVOOs than in LEVOOs (P = 0.0026, 0.0217, 0.0092, 0.0003 respectively). For most of the samples analysed there is excellent agreement between the results obtained by applying the HPLC method adopted by the International Olive Council and the results obtained by applying the presented HPLC method. Results obtained by HPLC methods have been also compared with the ones obtained by the colorimetric Folin-Ciocalteu method.","author":[{"dropping-particle":"","family":"Ricciutelli","given":"Massimo","non-dropping-particle":"","parse-names":false,"suffix":""},{"dropping-particle":"","family":"Marconi","given":"Shara","non-dropping-particle":"","parse-names":false,"suffix":""},{"dropping-particle":"","family":"Boarelli","given":"Maria Chiara","non-dropping-particle":"","parse-names":false,"suffix":""},{"dropping-particle":"","family":"Caprioli","given":"Giovanni","non-dropping-particle":"","parse-names":false,"suffix":""},{"dropping-particle":"","family":"Sagratini","given":"Gianni","non-dropping-particle":"","parse-names":false,"suffix":""},{"dropping-particle":"","family":"Ballini","given":"Roberto","non-dropping-particle":"","parse-names":false,"suffix":""},{"dropping-particle":"","family":"Fiorini","given":"Dennis","non-dropping-particle":"","parse-names":false,"suffix":""}],"container-title":"Journal of Chromatography A","id":"ITEM-1","issued":{"date-parts":[["2017"]]},"page":"53-63","publisher":"Elsevier B.V.","title":"Olive oil polyphenols: A quantitative method by high-performance liquid-chromatography-diode-array detection for their determination and the assessment of the related health claim","type":"article-journal","volume":"1481"},"uris":["http://www.mendeley.com/documents/?uuid=3db94d78-4fcd-44ce-99a0-05e91496fbda"]}],"mendeley":{"formattedCitation":"&lt;sup&gt;[134]&lt;/sup&gt;","plainTextFormattedCitation":"[134]","previouslyFormattedCitation":"&lt;sup&gt;[134]&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[134]</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Its intake is healthy, due to several biological activities, including antioxidant, antimicrobial, antiviral, </w:t>
      </w:r>
      <w:proofErr w:type="spellStart"/>
      <w:r w:rsidRPr="00B7408D">
        <w:rPr>
          <w:rFonts w:ascii="Book Antiqua" w:hAnsi="Book Antiqua" w:cs="Times New Roman"/>
          <w:color w:val="000000"/>
          <w:lang w:val="en-US"/>
        </w:rPr>
        <w:t>antitumoral</w:t>
      </w:r>
      <w:proofErr w:type="spellEnd"/>
      <w:r w:rsidRPr="00B7408D">
        <w:rPr>
          <w:rFonts w:ascii="Book Antiqua" w:hAnsi="Book Antiqua" w:cs="Times New Roman"/>
          <w:color w:val="000000"/>
          <w:lang w:val="en-US"/>
        </w:rPr>
        <w:t xml:space="preserve">, antidiabetic, </w:t>
      </w:r>
      <w:proofErr w:type="spellStart"/>
      <w:r w:rsidRPr="00B7408D">
        <w:rPr>
          <w:rFonts w:ascii="Book Antiqua" w:hAnsi="Book Antiqua" w:cs="Times New Roman"/>
          <w:i/>
          <w:color w:val="000000"/>
          <w:lang w:val="en-US"/>
        </w:rPr>
        <w:t>etc</w:t>
      </w:r>
      <w:proofErr w:type="spellEnd"/>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{"citationItems":[{"id":"ITEM-1","itemData":{"DOI":"10.1002/jsfa.7578","ISSN":"10970010","PMID":"26692250","abstract":"p-Coumaric acid (4-hydroxycinnamic acid) is a phenolic acid that has low toxicity in mice (LD50 = 2850 mg kg-1 body weight), serves as a precursor of other phenolic compounds, and exists either in free or conjugated form in plants. Conjugates of p-coumaric acid have been extensively studied in recent years due to their bioactivities. In this review, the occurrence, bioavailability and bioaccessibility of p-coumaric acid and its conjugates with mono-, oligo- and polysaccharides, alkyl alcohols, organic acids, amine and lignin are discussed. Their biological activities, including antioxidant, anti-cancer, antimicrobial, antivirus, anti-inflammatory, antiplatelet aggregation, anxiolytic, antipyretic, analgesic, and anti-arthritis activities, and their mitigatory effects against diabetes, obesity, hyperlipaemia and gout are compared. Cumulative evidence from multiple studies indicates that conjugation of p-coumaric acid greatly strengthens its biological activities; however, the high biological activity but low absorption of its conjugates remains a puzzle.","author":[{"dropping-particle":"","family":"Pei","given":"Kehan","non-dropping-particle":"","parse-names":false,"suffix":""},{"dropping-particle":"","family":"Ou","given":"Juanying","non-dropping-particle":"","parse-names":false,"suffix":""},{"dropping-particle":"","family":"Huang","given":"Junqing","non-dropping-particle":"","parse-names":false,"suffix":""},{"dropping-particle":"","family":"Ou","given":"Shiyi","non-dropping-particle":"","parse-names":false,"suffix":""}],"container-title":"Journal of the Science of Food and Agriculture","id":"ITEM-1","issue":"9","issued":{"date-parts":[["2016"]]},"page":"2952-2962","title":"p-Coumaric acid and its conjugates: Dietary sources, pharmacokinetic properties and biological activities","type":"article-journal","volume":"96"},"uris":["http://www.mendeley.com/documents/?uuid=9fcf750f-518e-45d7-83b4-ea725493fbaa"]}],"mendeley":{"formattedCitation":"&lt;sup&gt;[135]&lt;/sup&gt;","plainTextFormattedCitation":"[135]","previouslyFormattedCitation":"&lt;sup&gt;[135]&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[135]</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Interestingly, extracts from the fragrant eupatorium plant (</w:t>
      </w:r>
      <w:r w:rsidRPr="00B7408D">
        <w:rPr>
          <w:rFonts w:ascii="Book Antiqua" w:hAnsi="Book Antiqua" w:cs="Times New Roman"/>
          <w:i/>
          <w:color w:val="000000"/>
          <w:lang w:val="en-US"/>
        </w:rPr>
        <w:t xml:space="preserve">Eupatorium </w:t>
      </w:r>
      <w:proofErr w:type="spellStart"/>
      <w:r w:rsidRPr="00B7408D">
        <w:rPr>
          <w:rFonts w:ascii="Book Antiqua" w:hAnsi="Book Antiqua" w:cs="Times New Roman"/>
          <w:i/>
          <w:color w:val="000000"/>
          <w:lang w:val="en-US"/>
        </w:rPr>
        <w:t>japonicum</w:t>
      </w:r>
      <w:proofErr w:type="spellEnd"/>
      <w:r w:rsidRPr="00B7408D">
        <w:rPr>
          <w:rFonts w:ascii="Book Antiqua" w:hAnsi="Book Antiqua" w:cs="Times New Roman"/>
          <w:color w:val="000000"/>
          <w:lang w:val="en-US"/>
        </w:rPr>
        <w:t xml:space="preserve">) favored </w:t>
      </w:r>
      <w:proofErr w:type="spellStart"/>
      <w:r w:rsidRPr="00B7408D">
        <w:rPr>
          <w:rFonts w:ascii="Book Antiqua" w:hAnsi="Book Antiqua" w:cs="Times New Roman"/>
          <w:color w:val="000000"/>
          <w:lang w:val="en-US"/>
        </w:rPr>
        <w:t>osteoblastogenesis</w:t>
      </w:r>
      <w:proofErr w:type="spellEnd"/>
      <w:r w:rsidRPr="00B7408D">
        <w:rPr>
          <w:rFonts w:ascii="Book Antiqua" w:hAnsi="Book Antiqua" w:cs="Times New Roman"/>
          <w:color w:val="000000"/>
          <w:lang w:val="en-US"/>
        </w:rPr>
        <w:t xml:space="preserve"> and inhibited </w:t>
      </w:r>
      <w:proofErr w:type="spellStart"/>
      <w:r w:rsidRPr="00B7408D">
        <w:rPr>
          <w:rFonts w:ascii="Book Antiqua" w:hAnsi="Book Antiqua" w:cs="Times New Roman"/>
          <w:color w:val="000000"/>
          <w:lang w:val="en-US"/>
        </w:rPr>
        <w:t>adipogenesis</w:t>
      </w:r>
      <w:proofErr w:type="spellEnd"/>
      <w:r w:rsidRPr="00B7408D">
        <w:rPr>
          <w:rFonts w:ascii="Book Antiqua" w:hAnsi="Book Antiqua" w:cs="Times New Roman"/>
          <w:color w:val="000000"/>
          <w:lang w:val="en-US"/>
        </w:rPr>
        <w:t xml:space="preserve"> in both multipotent C3H10T1/2 and primary bone marrow cells from mouse and rat, respectively. Besides, it prevented body weight increase and bone mineral density decrease in ovariectomized rats. Those effects were partially due to the biological activities of this phenolic compound</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{"citationItems":[{"id":"ITEM-1","itemData":{"DOI":"10.1089/jmf.2013.3056","ISSN":"1557-7600","PMID":"24927400","abstract":"Pathological increases in adipogenic potential with decreases in osteogenic differentiation occur in osteoporotic bone marrow cells. Previous studies have shown that bioactive materials isolated from natural products can reciprocally regulate adipogenic and osteogenic fates of bone marrow cells. In this study, we showed that Eupatorium japonicum stem extracts (EJE) suppressed lipid accumulation and inhibited the expression of adipocyte markers in multipotent C3H10T1/2 and primary bone marrow cells. Conversely, EJE stimulated alkaline phosphatase activity and induced the expression of osteoblast markers in C3H10T1/2 and primary bone marrow cells. Daily oral administration of 50 mg/kg of EJE for 6 weeks to ovariectomized rats prevented body weight increase and bone mineral density decrease. Finally, activity-guided fractionation led to the identification of coumaric acid and coumaric acid methyl ester as bioactive anti-adipogenic and pro-osteogenic components in EJE. Taken together, our data indicate a promising possibility of E. japonicum as a functional food and as a therapeutic intervention for preventing osteoporosis and bone fractures.","author":[{"dropping-particle":"","family":"Kim","given":"Min-Ji","non-dropping-particle":"","parse-names":false,"suffix":""},{"dropping-particle":"","family":"Jang","given":"Woo-Seok","non-dropping-particle":"","parse-names":false,"suffix":""},{"dropping-particle":"","family":"Lee","given":"In-Kyoung","non-dropping-particle":"","parse-names":false,"suffix":""},{"dropping-particle":"","family":"Kim","given":"Jong-Keun","non-dropping-particle":"","parse-names":false,"suffix":""},{"dropping-particle":"","family":"Seong","given":"Ki-Seung","non-dropping-particle":"","parse-names":false,"suffix":""},{"dropping-particle":"","family":"Seo","given":"Cho-Rong","non-dropping-particle":"","parse-names":false,"suffix":""},{"dropping-particle":"","family":"Song","given":"No-Joon","non-dropping-particle":"","parse-names":false,"suffix":""},{"dropping-particle":"","family":"Bang","given":"Min-Hyuk","non-dropping-particle":"","parse-names":false,"suffix":""},{"dropping-particle":"","family":"Lee","given":"Young Min","non-dropping-particle":"","parse-names":false,"suffix":""},{"dropping-particle":"","family":"Kim","given":"Haeng Ran","non-dropping-particle":"","parse-names":false,"suffix":""},{"dropping-particle":"","family":"Park","given":"Ki-Moon","non-dropping-particle":"","parse-names":false,"suffix":""},{"dropping-particle":"","family":"Park","given":"Kye Won","non-dropping-particle":"","parse-names":false,"suffix":""}],"container-title":"Journal of medicinal food","id":"ITEM-1","issue":"7","issued":{"date-parts":[["2014","7"]]},"page":"772-81","title":"Reciprocal regulation of adipocyte and osteoblast differentiation of mesenchymal stem cells by Eupatorium japonicum prevents bone loss and adiposity increase in osteoporotic rats.","type":"article-journal","volume":"17"},"uris":["http://www.mendeley.com/documents/?uuid=19abb7dd-173e-3249-ac61-5b045c337cc8"]}],"mendeley":{"formattedCitation":"&lt;sup&gt;[136]&lt;/sup&gt;","plainTextFormattedCitation":"[136]","previouslyFormattedCitation":"&lt;sup&gt;[136]&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[136]</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Similar results showed that </w:t>
      </w:r>
      <w:r w:rsidRPr="00B7408D">
        <w:rPr>
          <w:rFonts w:ascii="Book Antiqua" w:hAnsi="Book Antiqua" w:cs="Times New Roman"/>
          <w:i/>
          <w:color w:val="000000"/>
          <w:lang w:val="en-US"/>
        </w:rPr>
        <w:t>p</w:t>
      </w:r>
      <w:r w:rsidRPr="00B7408D">
        <w:rPr>
          <w:rFonts w:ascii="Book Antiqua" w:hAnsi="Book Antiqua" w:cs="Times New Roman"/>
          <w:color w:val="000000"/>
          <w:lang w:val="en-US"/>
        </w:rPr>
        <w:t>-</w:t>
      </w:r>
      <w:proofErr w:type="spellStart"/>
      <w:r w:rsidRPr="00B7408D">
        <w:rPr>
          <w:rFonts w:ascii="Book Antiqua" w:hAnsi="Book Antiqua" w:cs="Times New Roman"/>
          <w:color w:val="000000"/>
          <w:lang w:val="en-US"/>
        </w:rPr>
        <w:t>coumaric</w:t>
      </w:r>
      <w:proofErr w:type="spellEnd"/>
      <w:r w:rsidRPr="00B7408D">
        <w:rPr>
          <w:rFonts w:ascii="Book Antiqua" w:hAnsi="Book Antiqua" w:cs="Times New Roman"/>
          <w:color w:val="000000"/>
          <w:lang w:val="en-US"/>
        </w:rPr>
        <w:t xml:space="preserve"> acid inhibited </w:t>
      </w:r>
      <w:proofErr w:type="spellStart"/>
      <w:r w:rsidRPr="00B7408D">
        <w:rPr>
          <w:rFonts w:ascii="Book Antiqua" w:hAnsi="Book Antiqua" w:cs="Times New Roman"/>
          <w:color w:val="000000"/>
          <w:lang w:val="en-US"/>
        </w:rPr>
        <w:t>adipogenic</w:t>
      </w:r>
      <w:proofErr w:type="spellEnd"/>
      <w:r w:rsidRPr="00B7408D">
        <w:rPr>
          <w:rFonts w:ascii="Book Antiqua" w:hAnsi="Book Antiqua" w:cs="Times New Roman"/>
          <w:color w:val="000000"/>
          <w:lang w:val="en-US"/>
        </w:rPr>
        <w:t xml:space="preserve"> differentiation of 3T3-L1 preadipocytes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{"citationItems":[{"id":"ITEM-1","itemData":{"DOI":"10.1016/j.fct.2013.06.033","ISSN":"1873-6351","PMID":"23810795","abstract":"In this study, we investigated the effects of Sasa quelpaertensis Nakai extract (SQE) and its main constituent, p-coumaric acid, on adipogenesis in 3T3-L1 cells. SQE markedly inhibited adipogenesis by downregulating the expression of CCAAT/enhancer-binding protein α (C/EBPα), peroxisome proliferator-activated receptor γ (PPARγ), sterol regulatory element-binding protein-1c (SREBP-1c), and aP2. It also decreased the expression of fatty acid synthase (FAS) and adiponectin mRNAs in differentiating adipocytes. SQE increased AMP-activated protein kinase (AMPK) and acetyl-CoA carboxylase (ACC) phosphorylation during the early phase of MDI-induced differentiation, suggesting that SQE exerted its anti-adipogenic effect via AMPK activation at an early stage of the differentiation process. p-Coumaric acid suppressed adipogenesis by attenuating the expression of C/EBPα, PPARγ, and SREBP-1c during the late phase of MDI-induced differentiation. In addition, p-coumaric acid increased the phosphorylation of AMPK and ACC, and the expression of carnitine palmitoyl transferase-1 (CPT-1) mRNA, in fully differentiated adipocytes, indicating that it promotes fatty acid β-oxidation via AMPK signaling. Taken together, our data suggest that SQE and p-coumaric acid might have the anti-obesitic effects via AMPK pathway in 3T3-L1 cells.","author":[{"dropping-particle":"","family":"Kang","given":"Seung-Woo","non-dropping-particle":"","parse-names":false,"suffix":""},{"dropping-particle":"","family":"Kang","given":"Seong-Il","non-dropping-particle":"","parse-names":false,"suffix":""},{"dropping-particle":"","family":"Shin","given":"Hye-Sun","non-dropping-particle":"","parse-names":false,"suffix":""},{"dropping-particle":"","family":"Yoon","given":"Seon-A","non-dropping-particle":"","parse-names":false,"suffix":""},{"dropping-particle":"","family":"Kim","given":"Jeong-Hwan","non-dropping-particle":"","parse-names":false,"suffix":""},{"dropping-particle":"","family":"Ko","given":"Hee-Chul","non-dropping-particle":"","parse-names":false,"suffix":""},{"dropping-particle":"","family":"Kim","given":"Se-Jae","non-dropping-particle":"","parse-names":false,"suffix":""}],"container-title":"Food and chemical toxicology","id":"ITEM-1","issued":{"date-parts":[["2013","9"]]},"page":"380-5","title":"Sasa quelpaertensis Nakai extract and its constituent p-coumaric acid inhibit adipogenesis in 3T3-L1 cells through activation of the AMPK pathway.","type":"article-journal","volume":"59"},"uris":["http://www.mendeley.com/documents/?uuid=880db385-8b6a-32b9-8cc1-b48e6ab89c5f"]},{"id":"ITEM-2","itemData":{"DOI":"10.3390/molecules21080997","ISSN":"1420-3049","PMID":"27490527","abstract":"Coumaric acid (CA) is a phenolic acid of the hydroxycinnamic acid family, and it has many biological functions such as anti-oxidant, anti-inflammatory, antidiabetic, anti-ulcer, anti-platelet, anti-cancer activities, etc. In the present study, we planned to analyse the potential molecular function of CA on skeletal muscle and preadipocytes differentiation using PCR and Western blot techniques. First, we analysed the impact of CA on C2C12 skeletal muscle differentiation. It revealed that CA treatment inhibited horse serum-induced skeletal muscle differentiation as evidenced by the decreased expression of early myogenic differentiation markers such as Myogenin and myoD via the AMP activated protein kinase- alpha AMPK-α mediated pathway. Furthermore, the level of lipid accumulation and changes in genes and protein expressions that are associated with lipogenesis and lipolysis were analyzed in 3T3-L1 cells. The Oil Red O staining evidenced that CA treatment inhibited lipid accumulation at the concentration of 0.1 and 0.2 mM. Furthermore, coumaric acid treatment decreased the expression of main transcriptional factors such as CCAAT/enhancer binding protein-alpha (C/EBP-α) and peroxisome proliferator-activated receptor gamma-2 (PPAR-γ2). Subsequently, CA treatment decreased the expression of sterol regulatory element binding protein-1 (SREBP-1), fatty acid synthase (FAS), acetyl CoA carboxylase (ACC) and adiponectin. Finally, we identified conformational changes induced by CA in PPAR-γ2 using computational biology tools. It revealed that CA might downregulate the PPAR-γ2 expression by directly binding with amino acids of PPAR-γ2 by hydrogen at 3.26 distance and hydrophobic interactions at 3.90 contact distances. These data indicated that CA suppressed skeletal muscle and preadipocytes differentiation through downregulation of the main transcriptional factors and their downstream targets.","author":[{"dropping-particle":"","family":"Ilavenil","given":"Soundharrajan","non-dropping-particle":"","parse-names":false,"suffix":""},{"dropping-particle":"","family":"Kim","given":"Da Hye","non-dropping-particle":"","parse-names":false,"suffix":""},{"dropping-particle":"","family":"Srigopalram","given":"Srisesharam","non-dropping-particle":"","parse-names":false,"suffix":""},{"dropping-particle":"","family":"Arasu","given":"Mariadhas Valan","non-dropping-particle":"","parse-names":false,"suffix":""},{"dropping-particle":"","family":"Lee","given":"Kyung Dong","non-dropping-particle":"","parse-names":false,"suffix":""},{"dropping-particle":"","family":"Lee","given":"Jeong Chae","non-dropping-particle":"","parse-names":false,"suffix":""},{"dropping-particle":"","family":"Lee","given":"Jong Suk","non-dropping-particle":"","parse-names":false,"suffix":""},{"dropping-particle":"","family":"Renganathan","given":"Senthil","non-dropping-particle":"","parse-names":false,"suffix":""},{"dropping-particle":"","family":"Choi","given":"Ki Choon","non-dropping-particle":"","parse-names":false,"suffix":""}],"container-title":"Molecules","id":"ITEM-2","issue":"8","issued":{"date-parts":[["2016","8","2"]]},"page":"997","title":"Potential Application of p-Coumaric Acid on Differentiation of C2C12 Skeletal Muscle and 3T3-L1 Preadipocytes-An in Vitro and in Silico Approach.","type":"article-journal","volume":"21"},"uris":["http://www.mendeley.com/documents/?uuid=aa75148a-7732-30f8-8151-fc1bd89a9686"]}],"mendeley":{"formattedCitation":"&lt;sup&gt;[137,138]&lt;/sup&gt;","plainTextFormattedCitation":"[137,138]","previouslyFormattedCitation":"&lt;sup&gt;[137,138]&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[137,138]</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Interestingly, this compound also inhibited myogenic differentiation of C2C12 cells from mouse, which may negatively affect development of skeletal muscle</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{"citationItems":[{"id":"ITEM-1","itemData":{"DOI":"10.3390/molecules21080997","ISSN":"1420-3049","PMID":"27490527","abstract":"Coumaric acid (CA) is a phenolic acid of the hydroxycinnamic acid family, and it has many biological functions such as anti-oxidant, anti-inflammatory, antidiabetic, anti-ulcer, anti-platelet, anti-cancer activities, etc. In the present study, we planned to analyse the potential molecular function of CA on skeletal muscle and preadipocytes differentiation using PCR and Western blot techniques. First, we analysed the impact of CA on C2C12 skeletal muscle differentiation. It revealed that CA treatment inhibited horse serum-induced skeletal muscle differentiation as evidenced by the decreased expression of early myogenic differentiation markers such as Myogenin and myoD via the AMP activated protein kinase- alpha AMPK-α mediated pathway. Furthermore, the level of lipid accumulation and changes in genes and protein expressions that are associated with lipogenesis and lipolysis were analyzed in 3T3-L1 cells. The Oil Red O staining evidenced that CA treatment inhibited lipid accumulation at the concentration of 0.1 and 0.2 mM. Furthermore, coumaric acid treatment decreased the expression of main transcriptional factors such as CCAAT/enhancer binding protein-alpha (C/EBP-α) and peroxisome proliferator-activated receptor gamma-2 (PPAR-γ2). Subsequently, CA treatment decreased the expression of sterol regulatory element binding protein-1 (SREBP-1), fatty acid synthase (FAS), acetyl CoA carboxylase (ACC) and adiponectin. Finally, we identified conformational changes induced by CA in PPAR-γ2 using computational biology tools. It revealed that CA might downregulate the PPAR-γ2 expression by directly binding with amino acids of PPAR-γ2 by hydrogen at 3.26 distance and hydrophobic interactions at 3.90 contact distances. These data indicated that CA suppressed skeletal muscle and preadipocytes differentiation through downregulation of the main transcriptional factors and their downstream targets.","author":[{"dropping-particle":"","family":"Ilavenil","given":"Soundharrajan","non-dropping-particle":"","parse-names":false,"suffix":""},{"dropping-particle":"","family":"Kim","given":"Da Hye","non-dropping-particle":"","parse-names":false,"suffix":""},{"dropping-particle":"","family":"Srigopalram","given":"Srisesharam","non-dropping-particle":"","parse-names":false,"suffix":""},{"dropping-particle":"","family":"Arasu","given":"Mariadhas Valan","non-dropping-particle":"","parse-names":false,"suffix":""},{"dropping-particle":"","family":"Lee","given":"Kyung Dong","non-dropping-particle":"","parse-names":false,"suffix":""},{"dropping-particle":"","family":"Lee","given":"Jeong Chae","non-dropping-particle":"","parse-names":false,"suffix":""},{"dropping-particle":"","family":"Lee","given":"Jong Suk","non-dropping-particle":"","parse-names":false,"suffix":""},{"dropping-particle":"","family":"Renganathan","given":"Senthil","non-dropping-particle":"","parse-names":false,"suffix":""},{"dropping-particle":"","family":"Choi","given":"Ki Choon","non-dropping-particle":"","parse-names":false,"suffix":""}],"container-title":"Molecules","id":"ITEM-1","issue":"8","issued":{"date-parts":[["2016","8","2"]]},"page":"997","title":"Potential Application of p-Coumaric Acid on Differentiation of C2C12 Skeletal Muscle and 3T3-L1 Preadipocytes-An in Vitro and in Silico Approach.","type":"article-journal","volume":"21"},"uris":["http://www.mendeley.com/documents/?uuid=aa75148a-7732-30f8-8151-fc1bd89a9686"]}],"mendeley":{"formattedCitation":"&lt;sup&gt;[138]&lt;/sup&gt;","plainTextFormattedCitation":"[138]","previouslyFormattedCitation":"&lt;sup&gt;[138]&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[138]</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w:t>
      </w:r>
    </w:p>
    <w:p w14:paraId="1D79898F" w14:textId="4327201F" w:rsidR="006A0C4B" w:rsidRPr="00B7408D" w:rsidRDefault="006A0C4B" w:rsidP="004D452C">
      <w:pPr>
        <w:adjustRightInd w:val="0"/>
        <w:snapToGrid w:val="0"/>
        <w:spacing w:line="360" w:lineRule="auto"/>
        <w:ind w:firstLineChars="100" w:firstLine="240"/>
        <w:jc w:val="both"/>
        <w:rPr>
          <w:rFonts w:ascii="Book Antiqua" w:hAnsi="Book Antiqua" w:cs="Times New Roman"/>
          <w:color w:val="000000"/>
          <w:lang w:val="en-US"/>
        </w:rPr>
      </w:pPr>
      <w:r w:rsidRPr="00B7408D">
        <w:rPr>
          <w:rFonts w:ascii="Book Antiqua" w:hAnsi="Book Antiqua" w:cs="Times New Roman"/>
          <w:color w:val="000000"/>
          <w:lang w:val="en-US"/>
        </w:rPr>
        <w:t>Finally, caffeic acid has antidiabetic and antioxidant activities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{"citationItems":[{"id":"ITEM-1","itemData":{"DOI":"10.1124/jpet.106.105163","ISSN":"0022-3565","PMID":"16644902","abstract":"This study investigated the blood glucose-lowering effect and antioxidant capacity of caffeic acid in C57BL/KsJ-db/db mice. Caffeic acid induced a significant reduction of the blood glucose and glycosylated hemoglobin levels than the control group. The plasma insulin, C-peptide, and leptin levels in caffeic acid group were significantly higher than those of the control group, whereas the plasma glucagon level was lower. Increased plasma insulin by caffeic acid was attributable to an antidegenerative effect on the islets. Caffeic acid also markedly increased glucokinase activity and its mRNA expression and glycogen content and simultaneously lowered glucose-6-phosphatase and phosphoenolpyruvate carboxykinase activities and their respective mRNA expressions, accompanied by a reduction in the glucose transporter 2 expression in the liver. In contrast to the hepatic glucose transporter 2, adipocyte glucose transporter 4 expression was greater than the control group. In addition, caffeic acid significantly increased superoxide dismutase, catalase, and glutathione peroxidase activities and their respective mRNA levels, while lowering the hydrogen peroxide and thiobarbituric acid reactive substances levels in the erythrocyte and liver of db/db mice. These results indicate that caffeic acid exhibits a significant potential as an antidiabetic agent by suppressing a progression of type 2 diabetic states that is suggested by an attenuation of hepatic glucose output and enhancement of adipocyte glucose uptake, insulin secretion, and antioxidant capacity.","author":[{"dropping-particle":"","family":"Jung","given":"Un Ju","non-dropping-particle":"","parse-names":false,"suffix":""},{"dropping-particle":"","family":"Lee","given":"Mi-Kyung","non-dropping-particle":"","parse-names":false,"suffix":""},{"dropping-particle":"","family":"Park","given":"Yong Bok","non-dropping-particle":"","parse-names":false,"suffix":""},{"dropping-particle":"","family":"Jeon","given":"Seon-Min","non-dropping-particle":"","parse-names":false,"suffix":""},{"dropping-particle":"","family":"Choi","given":"Myung-Sook","non-dropping-particle":"","parse-names":false,"suffix":""}],"container-title":"The Journal of pharmacology and experimental therapeutics","id":"ITEM-1","issue":"2","issued":{"date-parts":[["2006","8","30"]]},"page":"476-83","title":"Antihyperglycemic and antioxidant properties of caffeic acid in db/db mice.","type":"article-journal","volume":"318"},"uris":["http://www.mendeley.com/documents/?uuid=af99359f-9d48-3db9-a311-7d0e8c7a7a56"]}],"mendeley":{"formattedCitation":"&lt;sup&gt;[139]&lt;/sup&gt;","plainTextFormattedCitation":"[139]","previouslyFormattedCitation":"&lt;sup&gt;[139]&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[139]</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Yet, its putative biological activity on MSCs is unknown. Possibly, it can induce osteoblastic differentiation, since this compound increased alkaline phosphatase activity and changed the phenotype through a process involving antigen expression in human MG-63 osteosarcoma cells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{"citationItems":[{"id":"ITEM-1","itemData":{"DOI":"10.1111/eci.12904","ISSN":"13652362","abstract":"Introduction: D-dimer assay, generally evaluated according to cutoff points calibrated for VTE exclusion, is used to estimate the individual risk of recurrence after a first idiopathic event of venous thromboembolism (VTE). Methods: Commercial D-dimer assays, evaluated according to predetermined cutoff levels for each assay, specific for age (lower in subjects &lt;70 years) and gender (lower in males), were used in the recent DULCIS study. The present analysis compared the results obtained in the DULCIS with those that might have been had using the following different cutoff criteria: traditional cutoff for VTE exclusion, higher levels in subjects aged ≥60 years, or age multiplied by 10. Results: In young subjects, the DULCIS low cutoff levels resulted in half the recurrent events that would have occurred using the other criteria. In elderly patients, the DULCIS results were similar to those calculated for the two age-adjusted criteria. The adoption of traditional VTE exclusion criteria would have led to positive results in the large majority of elderly subjects, without a significant reduction in the rate of recurrent event. Conclusion: The results confirm the usefulness of the cutoff levels used in DULCIS.","author":[{"dropping-particle":"","family":"Melguizo-Rodríguez","given":"Lucía","non-dropping-particle":"","parse-names":false,"suffix":""},{"dropping-particle":"","family":"Manzano-Moreno","given":"Francisco Javier","non-dropping-particle":"","parse-names":false,"suffix":""},{"dropping-particle":"","family":"Luna-Bertos","given":"Elvira","non-dropping-particle":"De","parse-names":false,"suffix":""},{"dropping-particle":"","family":"Rivas","given":"Ana","non-dropping-particle":"","parse-names":false,"suffix":""},{"dropping-particle":"","family":"Ramos-Torrecillas","given":"Javier","non-dropping-particle":"","parse-names":false,"suffix":""},{"dropping-particle":"","family":"Ruiz","given":"Concepción","non-dropping-particle":"","parse-names":false,"suffix":""},{"dropping-particle":"","family":"García-Martínez","given":"Olga","non-dropping-particle":"","parse-names":false,"suffix":""}],"container-title":"European Journal of Clinical Investigation","id":"ITEM-1","issue":"4","issued":{"date-parts":[["2018"]]},"page":"1-6","title":"Effect of olive oil phenolic compounds on osteoblast differentiation","type":"article-journal","volume":"48"},"uris":["http://www.mendeley.com/documents/?uuid=eaf973a2-a064-4913-a4e5-5009a782a362"]}],"mendeley":{"formattedCitation":"&lt;sup&gt;[140]&lt;/sup&gt;","plainTextFormattedCitation":"[140]","previouslyFormattedCitation":"&lt;sup&gt;[140]&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[140]</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Nevertheless, its mechanism of action and putative effects on undifferentiated cells remains unknown, requiring further research.</w:t>
      </w:r>
    </w:p>
    <w:p w14:paraId="5A9EF064" w14:textId="4F08289E" w:rsidR="006A0C4B" w:rsidRPr="00B7408D" w:rsidRDefault="006A0C4B" w:rsidP="004D452C">
      <w:pPr>
        <w:adjustRightInd w:val="0"/>
        <w:snapToGrid w:val="0"/>
        <w:spacing w:line="360" w:lineRule="auto"/>
        <w:ind w:firstLineChars="100" w:firstLine="240"/>
        <w:jc w:val="both"/>
        <w:rPr>
          <w:rFonts w:ascii="Book Antiqua" w:hAnsi="Book Antiqua" w:cs="Times New Roman"/>
          <w:color w:val="000000"/>
          <w:lang w:val="en-US"/>
        </w:rPr>
      </w:pPr>
      <w:r w:rsidRPr="00B7408D">
        <w:rPr>
          <w:rFonts w:ascii="Book Antiqua" w:hAnsi="Book Antiqua" w:cs="Times New Roman"/>
          <w:color w:val="000000"/>
          <w:lang w:val="en-US"/>
        </w:rPr>
        <w:t xml:space="preserve">In summary, most studies about phenolic components of olive oil </w:t>
      </w:r>
      <w:r w:rsidRPr="00B7408D">
        <w:rPr>
          <w:rStyle w:val="tlid-translation"/>
          <w:rFonts w:ascii="Book Antiqua" w:hAnsi="Book Antiqua"/>
          <w:lang w:val="en-US"/>
        </w:rPr>
        <w:t>on MSCs have focused on how these compounds affect MSC differentiation into osteoblasts and adipocytes</w:t>
      </w:r>
      <w:r w:rsidRPr="00B7408D">
        <w:rPr>
          <w:rFonts w:ascii="Book Antiqua" w:hAnsi="Book Antiqua" w:cs="Times New Roman"/>
          <w:color w:val="000000"/>
          <w:lang w:val="en-US"/>
        </w:rPr>
        <w:t>. In general, results have shown that such chemicals may modulate proliferation and differentiation of osteoblast precursor cells, suggesting that their consumption may influence bone health. The fact that phenolic extracts of extra virgin olive oil from different olive tree cultivars (</w:t>
      </w:r>
      <w:proofErr w:type="spellStart"/>
      <w:r w:rsidRPr="00B7408D">
        <w:rPr>
          <w:rFonts w:ascii="Book Antiqua" w:hAnsi="Book Antiqua" w:cs="Times New Roman"/>
          <w:color w:val="000000"/>
          <w:lang w:val="en-US"/>
        </w:rPr>
        <w:t>Picual</w:t>
      </w:r>
      <w:proofErr w:type="spellEnd"/>
      <w:r w:rsidRPr="00B7408D">
        <w:rPr>
          <w:rFonts w:ascii="Book Antiqua" w:hAnsi="Book Antiqua" w:cs="Times New Roman"/>
          <w:color w:val="000000"/>
          <w:lang w:val="en-US"/>
        </w:rPr>
        <w:t xml:space="preserve">, </w:t>
      </w:r>
      <w:proofErr w:type="spellStart"/>
      <w:r w:rsidRPr="00B7408D">
        <w:rPr>
          <w:rFonts w:ascii="Book Antiqua" w:hAnsi="Book Antiqua" w:cs="Times New Roman"/>
          <w:color w:val="000000"/>
          <w:lang w:val="en-US"/>
        </w:rPr>
        <w:t>Hojiblanca</w:t>
      </w:r>
      <w:proofErr w:type="spellEnd"/>
      <w:r w:rsidRPr="00B7408D">
        <w:rPr>
          <w:rFonts w:ascii="Book Antiqua" w:hAnsi="Book Antiqua" w:cs="Times New Roman"/>
          <w:color w:val="000000"/>
          <w:lang w:val="en-US"/>
        </w:rPr>
        <w:t xml:space="preserve">, </w:t>
      </w:r>
      <w:proofErr w:type="spellStart"/>
      <w:r w:rsidRPr="00B7408D">
        <w:rPr>
          <w:rFonts w:ascii="Book Antiqua" w:hAnsi="Book Antiqua" w:cs="Times New Roman"/>
          <w:color w:val="000000"/>
          <w:lang w:val="en-US"/>
        </w:rPr>
        <w:t>Arbequina</w:t>
      </w:r>
      <w:proofErr w:type="spellEnd"/>
      <w:r w:rsidRPr="00B7408D">
        <w:rPr>
          <w:rFonts w:ascii="Book Antiqua" w:hAnsi="Book Antiqua" w:cs="Times New Roman"/>
          <w:color w:val="000000"/>
          <w:lang w:val="en-US"/>
        </w:rPr>
        <w:t xml:space="preserve"> and </w:t>
      </w:r>
      <w:proofErr w:type="spellStart"/>
      <w:r w:rsidRPr="00B7408D">
        <w:rPr>
          <w:rFonts w:ascii="Book Antiqua" w:hAnsi="Book Antiqua" w:cs="Times New Roman"/>
          <w:color w:val="000000"/>
          <w:lang w:val="en-US"/>
        </w:rPr>
        <w:t>Picudo</w:t>
      </w:r>
      <w:proofErr w:type="spellEnd"/>
      <w:r w:rsidRPr="00B7408D">
        <w:rPr>
          <w:rFonts w:ascii="Book Antiqua" w:hAnsi="Book Antiqua" w:cs="Times New Roman"/>
          <w:color w:val="000000"/>
          <w:lang w:val="en-US"/>
        </w:rPr>
        <w:t xml:space="preserve">) increased proliferation of MG-63 </w:t>
      </w:r>
      <w:proofErr w:type="spellStart"/>
      <w:r w:rsidRPr="00B7408D">
        <w:rPr>
          <w:rFonts w:ascii="Book Antiqua" w:hAnsi="Book Antiqua" w:cs="Times New Roman"/>
          <w:color w:val="000000"/>
          <w:lang w:val="en-US"/>
        </w:rPr>
        <w:lastRenderedPageBreak/>
        <w:t>preosteoblastic</w:t>
      </w:r>
      <w:proofErr w:type="spellEnd"/>
      <w:r w:rsidRPr="00B7408D">
        <w:rPr>
          <w:rFonts w:ascii="Book Antiqua" w:hAnsi="Book Antiqua" w:cs="Times New Roman"/>
          <w:color w:val="000000"/>
          <w:lang w:val="en-US"/>
        </w:rPr>
        <w:t xml:space="preserve"> cells supports that hypothesis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{"citationItems":[{"id":"ITEM-1","itemData":{"DOI":"10.1371/journal.pone.0150045","ISSN":"19326203","abstract":"In this study, we aimed to clarify the effects of phenolic compounds and extracts from different extra virgin olive oil (EVOO) varieties obtained from fruits of different ripening stages on osteoblast cells (MG-63) proliferation. Cell proliferation was increased by hydroxytyrosol, luteolin, apigenin, p-coumaric, caffeic, and ferulic acids by approximately 11-16%, as compared with controls that were treated with one vehicle alone, while (+)-pinoresinol, oleuropein, sinapic, vanillic acid and derivative (vanillin) did not affect cell proliferation. All phenolic extracts stimulated MG-63 cell growth, and they induced higher cell proliferation rates than individual compounds. The most effective EVOO phenolic extracts were those obtained from the Picual variety, as they significantly increased cell proliferation by 18-22%. Conversely, Arbequina phenolic extracts increased cell proliferation by 9-13%. A decline in osteoblast proliferation was observed in oils obtained from olive fruits collected at the end of the harvest period, as their total phenolic content decreases at this late stage. Further research on the signaling pathways of olive oil phenolic compounds involved in the processes and their metabolism should be carried out to develop new interventions and adjuvant therapies using EVOO for bone health (i.e.osteoporosis) in adulthood and the elderly.","author":[{"dropping-particle":"","family":"García-Martínez","given":"Olga","non-dropping-particle":"","parse-names":false,"suffix":""},{"dropping-particle":"","family":"Luna-Bertos","given":"Elvira","non-dropping-particle":"De","parse-names":false,"suffix":""},{"dropping-particle":"","family":"Ramos-Torrecillas","given":"Javier","non-dropping-particle":"","parse-names":false,"suffix":""},{"dropping-particle":"","family":"Ruiz","given":"Concepción","non-dropping-particle":"","parse-names":false,"suffix":""},{"dropping-particle":"","family":"Milia","given":"Egle","non-dropping-particle":"","parse-names":false,"suffix":""},{"dropping-particle":"","family":"Lorenzo","given":"María Luisa","non-dropping-particle":"","parse-names":false,"suffix":""},{"dropping-particle":"","family":"Jimenez","given":"Brigida","non-dropping-particle":"","parse-names":false,"suffix":""},{"dropping-particle":"","family":"Sánchez-Ortiz","given":"Araceli","non-dropping-particle":"","parse-names":false,"suffix":""},{"dropping-particle":"","family":"Rivas","given":"Ana","non-dropping-particle":"","parse-names":false,"suffix":""}],"container-title":"PLoS ONE","id":"ITEM-1","issue":"3","issued":{"date-parts":[["2016"]]},"page":"1-15","title":"Phenolic compounds in extra virgin olive oil stimulate human osteoblastic cell proliferation","type":"article-journal","volume":"11"},"uris":["http://www.mendeley.com/documents/?uuid=e43ce704-5f8e-4ea7-9215-8ff0728687fa"]}],"mendeley":{"formattedCitation":"&lt;sup&gt;[141]&lt;/sup&gt;","plainTextFormattedCitation":"[141]","previouslyFormattedCitation":"&lt;sup&gt;[141]&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[141]</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Indeed, olive oil consumption is associated with better bone health. That is partially due to the effects of its phenolic components on osteoblastic differentiation of MSCs. Therefore, it has been proposed that intake of this food, as well as other products derived from the olive tree, may help to prevent bone mass loss, due to diseases like osteoporosis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{"citationItems":[{"id":"ITEM-1","itemData":{"DOI":"10.3390/ijerph13080755","ISBN":"1660-4601 (Electronic)\\r1660-4601 (Linking)","ISSN":"16604601","PMID":"27472350","abstract":"Osteoporosis research undertaken in males is rare and there are only a few therapeutic options. Phytoestrogens might be a safe alternative for prophylaxis. Sixty 3-month-old male rats were orchidectomized and divided into five groups. The groups either received soy-free food (C), estradiol (E), testosterone (T) or Vitex agnus castus in different concentrations (AC high/AC low) for 12 weeks. The tibia metaphysis was tested biomechanically and histomorphometrically. The AC high group reached 87% of the biomechanical values of the estradiol group and was significantly superior to the control group. Testosterone supplementation resulted in poor biomechanical properties. The cortical bone parameters of the AC group were similar to the control group, while supplementation with estradiol and testosterone demonstrated a reduction of cortical bone. The AC high group reached 88.4% of trabecular bone area, 80.7% of trabecular number and 66.9% of the number of trabecular nodes compared with estradiol supplementation. Vitex agnus castus demonstrated osteoprotective effects in males. It preserves the cortical as well as the trabecular bone and might be a safe alternative for HRT. Testosterone supplementation has positive effects on trabecular bone, which are concurrently counteracted by the loss of cortical bone.","author":[{"dropping-particle":"","family":"Chin","given":"Kok Yong","non-dropping-particle":"","parse-names":false,"suffix":""},{"dropping-particle":"","family":"Ima-Nirwana","given":"Soelaiman","non-dropping-particle":"","parse-names":false,"suffix":""}],"container-title":"International Journal of Environmental Research and Public Health","id":"ITEM-1","issue":"8","issued":{"date-parts":[["2016"]]},"page":"1-11","title":"Olives and bone: A green osteoporosis prevention option","type":"article-journal","volume":"13"},"uris":["http://www.mendeley.com/documents/?uuid=c4809307-590b-4b4e-be4b-7ba007f4f9a8"]},{"id":"ITEM-2","itemData":{"DOI":"10.3390/nu10080968","ISSN":"20726643","PMID":"30049982","abstract":"Olive oil has been demonstrated to enhance various cardiometabolic risk factors. However, to our knowledge, the association between olive oil intake and cortical and trabecular bone microarchitecture has never been evaluated in Spanish women. We aimed to examine the association between olive oil intake and cortical and trabecular bone microarchitecture. We analyzed 523 women aged 50 (9) year, range (23</w:instrText>
      </w:r>
      <w:r w:rsidRPr="00B7408D">
        <w:rPr>
          <w:rFonts w:ascii="Times New Roman" w:hAnsi="Times New Roman" w:cs="Times New Roman"/>
          <w:color w:val="000000"/>
          <w:lang w:val="en-US"/>
        </w:rPr>
        <w:instrText>⁻</w:instrText>
      </w:r>
      <w:r w:rsidRPr="00B7408D">
        <w:rPr>
          <w:rFonts w:ascii="Book Antiqua" w:hAnsi="Book Antiqua" w:cs="Times New Roman"/>
          <w:color w:val="000000"/>
          <w:lang w:val="en-US"/>
        </w:rPr>
        <w:instrText>81) year. Participants underwent dual-energy X-ray absorptiometry and peripheral quantitative computed tomography scans. Dietary intake of calcium, vitamin D, energy and olive oil (g/day) were assessed by a self-administered food frequency questionnaire (FFQ). After adjustment for potential confounding factors (calcium (mg/day), vitamin D (μg/day) energy (Kcal/day), age, body mass index (BMI) (kg/m²), menopausal status, and osteoporotic diagnosis (normal, osteopenia, or osteoporosis)), there were significant increases in volumetric bone mineral density (vBMD) (mg/cm³) (p &lt; 0.01) in the group with a higher intake of olive oil. Total, trabecular and cortical bone density were positively correlated with olive oil intake. The dietary intake of olive oil was significantly associated with vBMD in multiple regression analysis; total density: olive oil intake (g/day) standardized β = 0.185 (p &lt; 0.001), trabecular density: olive oil intake (g/day) standardized β = 0.186 (p &lt; 0.001) and cortical density olive oil intake (g/day) standardized β = 0.114 (p = 0.008). We conclude that the dietary intake of olive oil is positively associated with a better vBMD in Spanish women.","author":[{"dropping-particle":"","family":"Roncero-Martín","given":"Raul","non-dropping-particle":"","parse-names":false,"suffix":""},{"dropping-particle":"","family":"Vera","given":"Ignacio Aliaga","non-dropping-particle":"","parse-names":false,"suffix":""},{"dropping-particle":"","family":"Moreno-Corral","given":"Luis J.","non-dropping-particle":"","parse-names":false,"suffix":""},{"dropping-particle":"","family":"Moran","given":"Jose M.","non-dropping-particle":"","parse-names":false,"suffix":""},{"dropping-particle":"","family":"Lavado-Garcia","given":"Jesus M.","non-dropping-particle":"","parse-names":false,"suffix":""},{"dropping-particle":"","family":"Pedrera-Zamorano","given":"Juan D.","non-dropping-particle":"","parse-names":false,"suffix":""},{"dropping-particle":"","family":"Pedrera-Canal","given":"Maria","non-dropping-particle":"","parse-names":false,"suffix":""}],"container-title":"Nutrients","id":"ITEM-2","issue":"8","issued":{"date-parts":[["2018"]]},"page":"6-13","title":"Olive oil consumption and bone microarchitecture in Spanish women","type":"article-journal","volume":"10"},"uris":["http://www.mendeley.com/documents/?uuid=0c2de434-b3ea-4d46-b381-d767841ba5f6"]}],"mendeley":{"formattedCitation":"&lt;sup&gt;[142,143]&lt;/sup&gt;","plainTextFormattedCitation":"[142,143]","previouslyFormattedCitation":"&lt;sup&gt;[142,143]&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[142,143]</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or physiological aging.</w:t>
      </w:r>
    </w:p>
    <w:p w14:paraId="1E790412" w14:textId="77777777" w:rsidR="006A0C4B" w:rsidRPr="00B7408D" w:rsidRDefault="006A0C4B" w:rsidP="006A0C4B">
      <w:pPr>
        <w:adjustRightInd w:val="0"/>
        <w:snapToGrid w:val="0"/>
        <w:spacing w:line="360" w:lineRule="auto"/>
        <w:jc w:val="both"/>
        <w:rPr>
          <w:rFonts w:ascii="Book Antiqua" w:hAnsi="Book Antiqua" w:cs="Times New Roman"/>
          <w:color w:val="000000"/>
          <w:lang w:val="en-US"/>
        </w:rPr>
      </w:pPr>
    </w:p>
    <w:p w14:paraId="239DF4EB" w14:textId="7B4202C6" w:rsidR="006A0C4B" w:rsidRPr="00B7408D" w:rsidRDefault="006A0C4B" w:rsidP="006A0C4B">
      <w:pPr>
        <w:pStyle w:val="western"/>
        <w:adjustRightInd w:val="0"/>
        <w:snapToGrid w:val="0"/>
        <w:spacing w:before="0" w:beforeAutospacing="0" w:after="0" w:line="360" w:lineRule="auto"/>
        <w:jc w:val="both"/>
        <w:rPr>
          <w:rFonts w:ascii="Book Antiqua" w:hAnsi="Book Antiqua" w:cs="Times New Roman"/>
          <w:b/>
          <w:bCs/>
          <w:color w:val="000000"/>
          <w:lang w:val="en-US"/>
        </w:rPr>
      </w:pPr>
      <w:r w:rsidRPr="00B7408D">
        <w:rPr>
          <w:rFonts w:ascii="Book Antiqua" w:hAnsi="Book Antiqua" w:cs="Times New Roman"/>
          <w:b/>
          <w:bCs/>
          <w:color w:val="000000"/>
          <w:lang w:val="en-US"/>
        </w:rPr>
        <w:t>CONCLUSION</w:t>
      </w:r>
    </w:p>
    <w:p w14:paraId="7DC98EB2" w14:textId="77777777" w:rsidR="006A0C4B" w:rsidRPr="00B7408D" w:rsidRDefault="006A0C4B" w:rsidP="006A0C4B">
      <w:pPr>
        <w:pStyle w:val="western"/>
        <w:adjustRightInd w:val="0"/>
        <w:snapToGrid w:val="0"/>
        <w:spacing w:before="0" w:beforeAutospacing="0" w:after="0" w:line="360" w:lineRule="auto"/>
        <w:jc w:val="both"/>
        <w:rPr>
          <w:rFonts w:ascii="Book Antiqua" w:hAnsi="Book Antiqua" w:cs="Times New Roman"/>
          <w:color w:val="000000"/>
          <w:lang w:val="en-US"/>
        </w:rPr>
      </w:pPr>
      <w:r w:rsidRPr="00B7408D">
        <w:rPr>
          <w:rFonts w:ascii="Book Antiqua" w:hAnsi="Book Antiqua" w:cs="Times New Roman"/>
          <w:color w:val="000000"/>
          <w:lang w:val="en-US"/>
        </w:rPr>
        <w:t>Numerous studies and clinical assays have confirmed the health benefits of extra virgin olive oil consumption, due to its nutraceutical properties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{"citationItems":[{"id":"ITEM-1","itemData":{"DOI":"10.1089/rej.2013.1532","ISSN":"1557-8577","PMID":"24219356","abstract":"The health benefits of the Mediterranean diet can be largely ascribed to the nutraceutical properties of extra-virgin olive oil (EVOO). Mono-unsaturated fatty acids and various phenolic compounds, such as oleocanthal, oleuropein, hydroxytyrosol, and tyrosol, are the main nutraceutical substances of EVOO. These substances have been suggested to have the ability to modulate aging-associated processes. In experimental models, it has been shown that EVOO with high concentrations of polyphenols has anti-inflammatory and anti-oxidant properties. Indeed, it was observed that hydroxytyrosol and oleocanthal inhibit the cyclooxygenases (COX-1 and -2) responsible for prostaglandin production; oleuropein is a radical scavenger that blocks the oxidation of low-density lipoproteins. Due to the relevance of olive oil in the economy of Sicily, our group has been funded to assess the nutraceutical properties of different kinds of olive oil. Indeed, the aim of the study is to evaluate effects of EVOOs, with low and high polyphenols content, on immuno-inflammatory and oxidative stress responses in young and old people. A further objective of our group is to evaluate effects of EVOO, with low and high polyphenol content, on the expression of genes encoding proteins that take part in the insulin/insulin-like growth factor-1 signaling pathway involved in longevity. The results of the study will be useful for producing olive oil enriched in nutraceutical properties that may be likely helpful in the prevention of age-related diseases.","author":[{"dropping-particle":"","family":"Virruso","given":"Claudia","non-dropping-particle":"","parse-names":false,"suffix":""},{"dropping-particle":"","family":"Accardi","given":"Giulia","non-dropping-particle":"","parse-names":false,"suffix":""},{"dropping-particle":"","family":"Colonna-Romano","given":"Giuseppina","non-dropping-particle":"","parse-names":false,"suffix":""},{"dropping-particle":"","family":"Candore","given":"Giuseppina","non-dropping-particle":"","parse-names":false,"suffix":""},{"dropping-particle":"","family":"Vasto","given":"Sonya","non-dropping-particle":"","parse-names":false,"suffix":""},{"dropping-particle":"","family":"Caruso","given":"Calogero","non-dropping-particle":"","parse-names":false,"suffix":""}],"container-title":"Rejuvenation research","id":"ITEM-1","issue":"2","issued":{"date-parts":[["2014","4"]]},"page":"217-20","title":"Nutraceutical properties of extra-virgin olive oil: a natural remedy for age-related disease?","type":"article-journal","volume":"17"},"uris":["http://www.mendeley.com/documents/?uuid=ba7df703-0a45-39af-b615-a119955d8198"]}],"mendeley":{"formattedCitation":"&lt;sup&gt;[144]&lt;/sup&gt;","plainTextFormattedCitation":"[144]","previouslyFormattedCitation":"&lt;sup&gt;[144]&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[144]</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Its molecular mechanisms of action have been investigated in different cells, tissues, organs, and organisms. Results have shown prominent biological activities, including antioxidant, </w:t>
      </w:r>
      <w:proofErr w:type="spellStart"/>
      <w:r w:rsidRPr="00B7408D">
        <w:rPr>
          <w:rFonts w:ascii="Book Antiqua" w:hAnsi="Book Antiqua" w:cs="Times New Roman"/>
          <w:color w:val="000000"/>
          <w:lang w:val="en-US"/>
        </w:rPr>
        <w:t>antiinflammatory</w:t>
      </w:r>
      <w:proofErr w:type="spellEnd"/>
      <w:r w:rsidRPr="00B7408D">
        <w:rPr>
          <w:rFonts w:ascii="Book Antiqua" w:hAnsi="Book Antiqua" w:cs="Times New Roman"/>
          <w:color w:val="000000"/>
          <w:lang w:val="en-US"/>
        </w:rPr>
        <w:t xml:space="preserve"> and </w:t>
      </w:r>
      <w:proofErr w:type="spellStart"/>
      <w:r w:rsidRPr="00B7408D">
        <w:rPr>
          <w:rFonts w:ascii="Book Antiqua" w:hAnsi="Book Antiqua" w:cs="Times New Roman"/>
          <w:color w:val="000000"/>
          <w:lang w:val="en-US"/>
        </w:rPr>
        <w:t>chemoprotective</w:t>
      </w:r>
      <w:proofErr w:type="spellEnd"/>
      <w:r w:rsidRPr="00B7408D">
        <w:rPr>
          <w:rFonts w:ascii="Book Antiqua" w:hAnsi="Book Antiqua" w:cs="Times New Roman"/>
          <w:color w:val="000000"/>
          <w:lang w:val="en-US"/>
        </w:rPr>
        <w:t>, modulating different cellular signaling pathways</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{"citationItems":[{"id":"ITEM-1","itemData":{"DOI":"10.3390/molecules21121734","ISSN":"14203049","abstract":"Virgin olive oil (VOO) is credited as being one of the many healthful components associated with the Mediterranean diet. Mediterranean populations experience reduced incidence of chronic inflammatory disease states and VOO is readily consumed as part of an everyday Mediterranean dietary pattern. VOO is rich in phenolic compounds and the health promoting benefits of these phenolics are now established. Recent studies have highlighted the biological properties of VOO phenolic compounds elucidating their anti-inflammatory activities. This paper will review current knowledge on the anti-inflammatory and nutrigenomic, chemoprotective and anti-atherosclerotic activities of VOO phenolics. In addition the concentration, metabolism and bioavailability of specific phenolic compounds will be discussed. The evidence presented in the review concludes that oleurepein, hydroxytyrosol and oleocanthal have potent pharmacological activities in vitro and in vivo; however, intervention studies with biologically relevant concentrations of these phenolic compounds are required.","author":[{"dropping-particle":"","family":"Parkinson","given":"Lisa","non-dropping-particle":"","parse-names":false,"suffix":""},{"dropping-particle":"","family":"Cicerale","given":"Sara","non-dropping-particle":"","parse-names":false,"suffix":""}],"container-title":"Molecules","id":"ITEM-1","issue":"12","issued":{"date-parts":[["2016"]]},"page":"1-12","title":"The health benefiting mechanisms of virgin olive oil phenolic compounds","type":"article-journal","volume":"21"},"uris":["http://www.mendeley.com/documents/?uuid=d5d46f2f-5b90-4ff6-aea3-027ea8f7270b"]},{"id":"ITEM-2","itemData":{"DOI":"10.3390/ijms19072024","ISSN":"1422-0067","PMID":"30002281","abstract":"Lifestyle is the primary prevention of diabetes, especially type-2 diabetes (T2D). Nutritional intake of olive oil (OO), the key Mediterranean diet component has been associated with the prevention and management of many chronic diseases including T2D. Several OO bioactive compounds such as monounsaturated fatty acids, and key biophenols including hydroxytyrosol and oleuropein, have been associated with preventing inflammation and cytokine-induced oxidative damage, glucose lowering, reducing carbohydrate absorption, and increasing insulin sensitivity and related gene expression. However, research into the interaction of OO nutraceuticals with lifestyle components, especially physical activity, is lacking. Promising postprandial effects have been reported when OO or other similar monounsaturated fatty acids were the main dietary fat compared with other diets. Animal studies have shown a potential anabolic effect of oleuropein. Such effects could be further potentiated via exercise, especially strength training, which is an essential exercise prescription for individuals with T2D. There is also an evidence from in vitro, animal, and limited human studies for a dual preventative role of OO biophenols in diabetes and cancer, especially that they share similar risk factors. Putative antioxidative and anti-inflammatory mechanisms and associated gene expressions resulting from OO biophenols have produced paradoxical results, making suggested inferences from dual prevention T2D and cancer outcomes difficult. Well-designed human interventions and clinical trials are needed to decipher such a potential dual anticancer and antidiabetic effects of OO nutraceuticals. Exercise combined with OO consumption, individually or as part of a healthy diet is likely to induce reciprocal action for T2D prevention outcomes.","author":[{"dropping-particle":"","family":"Alkhatib","given":"Ahmad","non-dropping-particle":"","parse-names":false,"suffix":""},{"dropping-particle":"","family":"Tsang","given":"Catherine","non-dropping-particle":"","parse-names":false,"suffix":""},{"dropping-particle":"","family":"Tuomilehto","given":"Jaakko","non-dropping-particle":"","parse-names":false,"suffix":""}],"container-title":"International journal of molecular sciences","id":"ITEM-2","issue":"7","issued":{"date-parts":[["2018","7","12"]]},"page":"2024","title":"Olive Oil Nutraceuticals in the Prevention and Management of Diabetes: From Molecules to Lifestyle.","type":"article-journal","volume":"19"},"uris":["http://www.mendeley.com/documents/?uuid=974a9cdf-05d9-3be6-aadd-da25f9c11254"]}],"mendeley":{"formattedCitation":"&lt;sup&gt;[145,146]&lt;/sup&gt;","plainTextFormattedCitation":"[145,146]","previouslyFormattedCitation":"&lt;sup&gt;[145,146]&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[145,146]</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The putative effects of extra virgin olive oil intake on maintenance and functionality of MSC populations have not been investigated to date. Such knowledge should shed light on this subject and help to better explain the health benefits of olive oil. Fortunately, the effects of specific compounds present in this food have been evaluated in relation to viability and differentiation of MSCs.</w:t>
      </w:r>
    </w:p>
    <w:p w14:paraId="38742CC3" w14:textId="070B09B2" w:rsidR="006A0C4B" w:rsidRPr="00B7408D" w:rsidRDefault="006A0C4B" w:rsidP="004D452C">
      <w:pPr>
        <w:pStyle w:val="western"/>
        <w:adjustRightInd w:val="0"/>
        <w:snapToGrid w:val="0"/>
        <w:spacing w:before="0" w:beforeAutospacing="0" w:after="0" w:line="360" w:lineRule="auto"/>
        <w:ind w:firstLineChars="100" w:firstLine="240"/>
        <w:jc w:val="both"/>
        <w:rPr>
          <w:rFonts w:ascii="Book Antiqua" w:hAnsi="Book Antiqua" w:cs="Times New Roman"/>
          <w:color w:val="000000"/>
          <w:lang w:val="en-US"/>
        </w:rPr>
      </w:pPr>
      <w:r w:rsidRPr="00B7408D">
        <w:rPr>
          <w:rFonts w:ascii="Book Antiqua" w:hAnsi="Book Antiqua" w:cs="Times New Roman"/>
          <w:color w:val="000000"/>
          <w:lang w:val="en-US"/>
        </w:rPr>
        <w:t xml:space="preserve">A summary of research results is shown in Figures 2 and 3. It is evident that further investigations are required to gain more knowledge on putative effects on MSC biology of some of these compounds, after </w:t>
      </w:r>
      <w:r w:rsidRPr="00B7408D">
        <w:rPr>
          <w:rFonts w:ascii="Book Antiqua" w:hAnsi="Book Antiqua" w:cs="Times New Roman"/>
          <w:i/>
          <w:color w:val="000000"/>
          <w:lang w:val="en-US"/>
        </w:rPr>
        <w:t>in vivo</w:t>
      </w:r>
      <w:r w:rsidRPr="00B7408D">
        <w:rPr>
          <w:rFonts w:ascii="Book Antiqua" w:hAnsi="Book Antiqua" w:cs="Times New Roman"/>
          <w:color w:val="000000"/>
          <w:lang w:val="en-US"/>
        </w:rPr>
        <w:t xml:space="preserve"> intake. They should be studied alone and combined, taking into account putative synergistic interactions between them. Interestingly, available data indicate that the profile of fatty acid residues (saponifiable fraction) of extra virgin olive oil can change the composition of the MSC niche and therefore its physiological behavior. For instance, the high content of oleic acid in extra virgin olive oil can favor migration and differentiation of MSCs. Besides, the increased ratio of omega-3/omega-6 fatty acid residues enhanced by consumption of extra virgin olive oil favors both viability and differentiation into osteoblasts (instead of adipocytes) of MSCs from bone marrow.</w:t>
      </w:r>
    </w:p>
    <w:p w14:paraId="5BE61678" w14:textId="4D7FB267" w:rsidR="006A0C4B" w:rsidRPr="00B7408D" w:rsidRDefault="006A0C4B" w:rsidP="004D452C">
      <w:pPr>
        <w:pStyle w:val="western"/>
        <w:adjustRightInd w:val="0"/>
        <w:snapToGrid w:val="0"/>
        <w:spacing w:before="0" w:beforeAutospacing="0" w:after="0" w:line="360" w:lineRule="auto"/>
        <w:ind w:firstLineChars="100" w:firstLine="240"/>
        <w:jc w:val="both"/>
        <w:rPr>
          <w:rFonts w:ascii="Book Antiqua" w:hAnsi="Book Antiqua" w:cs="Times New Roman"/>
          <w:color w:val="000000"/>
          <w:lang w:val="en-US"/>
        </w:rPr>
      </w:pPr>
      <w:r w:rsidRPr="00B7408D">
        <w:rPr>
          <w:rFonts w:ascii="Book Antiqua" w:hAnsi="Book Antiqua" w:cs="Times New Roman"/>
          <w:color w:val="000000"/>
          <w:lang w:val="en-US"/>
        </w:rPr>
        <w:lastRenderedPageBreak/>
        <w:t xml:space="preserve">On the other hand, although the unsaponifiable fraction of extra virgin olive oil represents just 1% to 2%, it is comprised of a large variety of compounds with relevant biological activities, which also influence MSC biology. For instance, phenolic compounds, vitamins, squalene and other compounds of this fraction modulate signaling pathways. That, in turn, can impact MSC viability and differentiation. In general, most of these compounds protect MSCs from oxidative stress and aging, favoring osteogenic </w:t>
      </w:r>
      <w:r w:rsidRPr="00B7408D">
        <w:rPr>
          <w:rFonts w:ascii="Book Antiqua" w:hAnsi="Book Antiqua" w:cs="Times New Roman"/>
          <w:i/>
          <w:color w:val="000000"/>
          <w:lang w:val="en-US"/>
        </w:rPr>
        <w:t>versus</w:t>
      </w:r>
      <w:r w:rsidRPr="00B7408D">
        <w:rPr>
          <w:rFonts w:ascii="Book Antiqua" w:hAnsi="Book Antiqua" w:cs="Times New Roman"/>
          <w:color w:val="000000"/>
          <w:lang w:val="en-US"/>
        </w:rPr>
        <w:t xml:space="preserve"> </w:t>
      </w:r>
      <w:proofErr w:type="spellStart"/>
      <w:r w:rsidRPr="00B7408D">
        <w:rPr>
          <w:rFonts w:ascii="Book Antiqua" w:hAnsi="Book Antiqua" w:cs="Times New Roman"/>
          <w:color w:val="000000"/>
          <w:lang w:val="en-US"/>
        </w:rPr>
        <w:t>adipogenic</w:t>
      </w:r>
      <w:proofErr w:type="spellEnd"/>
      <w:r w:rsidRPr="00B7408D">
        <w:rPr>
          <w:rFonts w:ascii="Book Antiqua" w:hAnsi="Book Antiqua" w:cs="Times New Roman"/>
          <w:color w:val="000000"/>
          <w:lang w:val="en-US"/>
        </w:rPr>
        <w:t xml:space="preserve"> differentiation. Indeed, they have healthy properties, including regenerative, </w:t>
      </w:r>
      <w:proofErr w:type="spellStart"/>
      <w:r w:rsidRPr="00B7408D">
        <w:rPr>
          <w:rFonts w:ascii="Book Antiqua" w:hAnsi="Book Antiqua" w:cs="Times New Roman"/>
          <w:color w:val="000000"/>
          <w:lang w:val="en-US"/>
        </w:rPr>
        <w:t>osteoprotective</w:t>
      </w:r>
      <w:proofErr w:type="spellEnd"/>
      <w:r w:rsidRPr="00B7408D">
        <w:rPr>
          <w:rFonts w:ascii="Book Antiqua" w:hAnsi="Book Antiqua" w:cs="Times New Roman"/>
          <w:color w:val="000000"/>
          <w:lang w:val="en-US"/>
        </w:rPr>
        <w:t xml:space="preserve">, antidiabetic and </w:t>
      </w:r>
      <w:proofErr w:type="spellStart"/>
      <w:r w:rsidRPr="00B7408D">
        <w:rPr>
          <w:rFonts w:ascii="Book Antiqua" w:hAnsi="Book Antiqua" w:cs="Times New Roman"/>
          <w:color w:val="000000"/>
          <w:lang w:val="en-US"/>
        </w:rPr>
        <w:t>antiobesity</w:t>
      </w:r>
      <w:proofErr w:type="spellEnd"/>
      <w:r w:rsidRPr="00B7408D">
        <w:rPr>
          <w:rFonts w:ascii="Book Antiqua" w:hAnsi="Book Antiqua" w:cs="Times New Roman"/>
          <w:color w:val="000000"/>
          <w:lang w:val="en-US"/>
        </w:rPr>
        <w:t xml:space="preserve"> effects, partly because of their activity on MSCs.</w:t>
      </w:r>
    </w:p>
    <w:p w14:paraId="24F8ED6F" w14:textId="33F7E511" w:rsidR="006A0C4B" w:rsidRPr="00B7408D" w:rsidRDefault="006A0C4B" w:rsidP="004D452C">
      <w:pPr>
        <w:pStyle w:val="western"/>
        <w:adjustRightInd w:val="0"/>
        <w:snapToGrid w:val="0"/>
        <w:spacing w:before="0" w:beforeAutospacing="0" w:after="0" w:line="360" w:lineRule="auto"/>
        <w:ind w:firstLineChars="100" w:firstLine="240"/>
        <w:jc w:val="both"/>
        <w:rPr>
          <w:rFonts w:ascii="Book Antiqua" w:hAnsi="Book Antiqua" w:cs="Times New Roman"/>
          <w:color w:val="000000"/>
          <w:lang w:val="en-US"/>
        </w:rPr>
      </w:pPr>
      <w:r w:rsidRPr="00B7408D">
        <w:rPr>
          <w:rFonts w:ascii="Book Antiqua" w:hAnsi="Book Antiqua" w:cs="Times New Roman"/>
          <w:color w:val="000000"/>
          <w:lang w:val="en-US"/>
        </w:rPr>
        <w:t>In summary, the currently available data show positive effects of different components of extra virgin olive oil, related to maintenance and functionality of MSC populations. That is in agreement with the fact that consumption of this food prevents bone loss due to pathologies like osteoporosis or physiological processes like aging</w:t>
      </w:r>
      <w:r w:rsidRPr="00B7408D">
        <w:rPr>
          <w:rFonts w:ascii="Book Antiqua" w:hAnsi="Book Antiqua" w:cs="Times New Roman"/>
          <w:color w:val="000000"/>
          <w:lang w:val="en-US"/>
        </w:rPr>
        <w:fldChar w:fldCharType="begin" w:fldLock="1"/>
      </w:r>
      <w:r w:rsidRPr="00B7408D">
        <w:rPr>
          <w:rFonts w:ascii="Book Antiqua" w:hAnsi="Book Antiqua" w:cs="Times New Roman"/>
          <w:color w:val="000000"/>
          <w:lang w:val="en-US"/>
        </w:rPr>
        <w:instrText>ADDIN CSL_CITATION {"citationItems":[{"id":"ITEM-1","itemData":{"DOI":"10.3390/molecules21020163","ISBN":"1420-3049 (Electronic)\\r1420-3049 (Linking)","ISSN":"14203049","PMID":"26840281","abstract":"Aging is a multifactorial and tissue-specific process involving diverse alterations regarded as the “hallmarks of aging”, which include genomic instability, telomere attrition, epigenetic alterations, loss of proteostasis, deregulated nutrient sensing, mitochondrial dysfunction, cellular senescence, stem cell exhaustion and altered intracellular communication. Virtually all these hallmarks are targeted by dietary olive oil, particularly by virgin olive oil, since many of its beneficial effects can be accounted not only for the monounsaturated nature of its predominant fatty acid (oleic acid), but also for the bioactivity of its minor compounds, which can act on cells though both direct and indirect mechanisms due to their ability to modulate gene expression. Among the minor constituents of virgin olive oil, secoiridoids stand out for their capacity to modulate many pathways that are relevant for the aging process. Attenuation of aging-related alterations by olive oil or its minor compounds has been observed in cellular, animal and human models. How olive oil targets the hallmarks of aging could explain the improvement of health, reduced risk of aging-associated diseases, and increased longevity which have been associated with consumption of a typical Mediterranean diet containing this edible oil as the predominant fat source.","author":[{"dropping-particle":"","family":"Río","given":"Lucía Fernández","non-dropping-particle":"Del","parse-names":false,"suffix":""},{"dropping-particle":"","family":"Gutiérrez-Casado","given":"Elena","non-dropping-particle":"","parse-names":false,"suffix":""},{"dropping-particle":"","family":"Varela-López","given":"Alfonso","non-dropping-particle":"","parse-names":false,"suffix":""},{"dropping-particle":"","family":"Villalba","given":"José M.","non-dropping-particle":"","parse-names":false,"suffix":""}],"container-title":"Molecules","id":"ITEM-1","issue":"2","issued":{"date-parts":[["2016"]]},"page":"1-30","title":"Olive oil and the hallmarks of aging","type":"article-journal","volume":"21"},"uris":["http://www.mendeley.com/documents/?uuid=86ffe768-f585-445f-b312-f1c4e1265c16"]}],"mendeley":{"formattedCitation":"&lt;sup&gt;[19]&lt;/sup&gt;","plainTextFormattedCitation":"[19]","previouslyFormattedCitation":"&lt;sup&gt;[19]&lt;/sup&gt;"},"properties":{"noteIndex":0},"schema":"https://github.com/citation-style-language/schema/raw/master/csl-citation.json"}</w:instrText>
      </w:r>
      <w:r w:rsidRPr="00B7408D">
        <w:rPr>
          <w:rFonts w:ascii="Book Antiqua" w:hAnsi="Book Antiqua" w:cs="Times New Roman"/>
          <w:color w:val="000000"/>
          <w:lang w:val="en-US"/>
        </w:rPr>
        <w:fldChar w:fldCharType="separate"/>
      </w:r>
      <w:r w:rsidRPr="00B7408D">
        <w:rPr>
          <w:rFonts w:ascii="Book Antiqua" w:hAnsi="Book Antiqua" w:cs="Times New Roman"/>
          <w:color w:val="000000"/>
          <w:vertAlign w:val="superscript"/>
          <w:lang w:val="en-US"/>
        </w:rPr>
        <w:t>[19]</w:t>
      </w:r>
      <w:r w:rsidRPr="00B7408D">
        <w:rPr>
          <w:rFonts w:ascii="Book Antiqua" w:hAnsi="Book Antiqua" w:cs="Times New Roman"/>
          <w:color w:val="000000"/>
          <w:lang w:val="en-US"/>
        </w:rPr>
        <w:fldChar w:fldCharType="end"/>
      </w:r>
      <w:r w:rsidRPr="00B7408D">
        <w:rPr>
          <w:rFonts w:ascii="Book Antiqua" w:hAnsi="Book Antiqua" w:cs="Times New Roman"/>
          <w:color w:val="000000"/>
          <w:lang w:val="en-US"/>
        </w:rPr>
        <w:t xml:space="preserve">. Yet, it should be taken into account that most studies have been carried out with purified compounds </w:t>
      </w:r>
      <w:r w:rsidRPr="00B7408D">
        <w:rPr>
          <w:rFonts w:ascii="Book Antiqua" w:hAnsi="Book Antiqua" w:cs="Times New Roman"/>
          <w:i/>
          <w:color w:val="000000"/>
          <w:lang w:val="en-US"/>
        </w:rPr>
        <w:t>in vitro</w:t>
      </w:r>
      <w:r w:rsidRPr="00B7408D">
        <w:rPr>
          <w:rFonts w:ascii="Book Antiqua" w:hAnsi="Book Antiqua" w:cs="Times New Roman"/>
          <w:color w:val="000000"/>
          <w:lang w:val="en-US"/>
        </w:rPr>
        <w:t xml:space="preserve">, usually at concentrations higher than the physiological ones. Therefore, further </w:t>
      </w:r>
      <w:r w:rsidRPr="00B7408D">
        <w:rPr>
          <w:rFonts w:ascii="Book Antiqua" w:hAnsi="Book Antiqua" w:cs="Times New Roman"/>
          <w:i/>
          <w:color w:val="000000"/>
          <w:lang w:val="en-US"/>
        </w:rPr>
        <w:t>in vivo</w:t>
      </w:r>
      <w:r w:rsidRPr="00B7408D">
        <w:rPr>
          <w:rFonts w:ascii="Book Antiqua" w:hAnsi="Book Antiqua" w:cs="Times New Roman"/>
          <w:color w:val="000000"/>
          <w:lang w:val="en-US"/>
        </w:rPr>
        <w:t xml:space="preserve"> research is needed to ascertain the putative effects of extra virgin olive oil consumption on MSC viability and regenerative capacity. That should shed light on the molecular mechanisms underlying such effects, which is required to increase our current knowledge on this topic. Studies should focus on analyses of specific MSC populations</w:t>
      </w:r>
      <w:r w:rsidR="001277C4" w:rsidRPr="00B7408D">
        <w:rPr>
          <w:rFonts w:ascii="Book Antiqua" w:hAnsi="Book Antiqua" w:cs="Times New Roman"/>
          <w:color w:val="000000"/>
          <w:lang w:val="en-US"/>
        </w:rPr>
        <w:t>-</w:t>
      </w:r>
      <w:r w:rsidRPr="00B7408D">
        <w:rPr>
          <w:rFonts w:ascii="Book Antiqua" w:hAnsi="Book Antiqua" w:cs="Times New Roman"/>
          <w:color w:val="000000"/>
          <w:lang w:val="en-US"/>
        </w:rPr>
        <w:t>for instance, including the ones in bone marrow or fatty tissue. The rationale is that niche compositions may be different for different tissues, changing with differential patterns as well, in response to extra virgin olive oil consumption.</w:t>
      </w:r>
    </w:p>
    <w:p w14:paraId="6525CB20" w14:textId="4F7191E9" w:rsidR="006A0C4B" w:rsidRPr="00B7408D" w:rsidRDefault="006A0C4B" w:rsidP="00A07220">
      <w:pPr>
        <w:pStyle w:val="western"/>
        <w:adjustRightInd w:val="0"/>
        <w:snapToGrid w:val="0"/>
        <w:spacing w:before="0" w:beforeAutospacing="0" w:after="0" w:line="360" w:lineRule="auto"/>
        <w:ind w:firstLineChars="100" w:firstLine="240"/>
        <w:jc w:val="both"/>
        <w:rPr>
          <w:rFonts w:ascii="Book Antiqua" w:eastAsiaTheme="minorEastAsia" w:hAnsi="Book Antiqua" w:cs="Times New Roman"/>
          <w:color w:val="000000"/>
          <w:lang w:val="en-US" w:eastAsia="zh-CN"/>
        </w:rPr>
      </w:pPr>
      <w:r w:rsidRPr="00B7408D">
        <w:rPr>
          <w:rFonts w:ascii="Book Antiqua" w:hAnsi="Book Antiqua" w:cs="Times New Roman"/>
          <w:color w:val="000000"/>
          <w:lang w:val="en-US"/>
        </w:rPr>
        <w:t xml:space="preserve">Additionally, it should be considered that different components of this food may work synergistically on MSCs. Therefore, the effects due to combination of even small quantities of different compounds might be equal or even superior to the ones of higher amounts of such individual chemicals. Therefore, it would be interesting to carry out both </w:t>
      </w:r>
      <w:r w:rsidRPr="00B7408D">
        <w:rPr>
          <w:rFonts w:ascii="Book Antiqua" w:hAnsi="Book Antiqua" w:cs="Times New Roman"/>
          <w:i/>
          <w:color w:val="000000"/>
          <w:lang w:val="en-US"/>
        </w:rPr>
        <w:t>in vitro</w:t>
      </w:r>
      <w:r w:rsidRPr="00B7408D">
        <w:rPr>
          <w:rFonts w:ascii="Book Antiqua" w:hAnsi="Book Antiqua" w:cs="Times New Roman"/>
          <w:color w:val="000000"/>
          <w:lang w:val="en-US"/>
        </w:rPr>
        <w:t xml:space="preserve"> and </w:t>
      </w:r>
      <w:r w:rsidRPr="00B7408D">
        <w:rPr>
          <w:rFonts w:ascii="Book Antiqua" w:hAnsi="Book Antiqua" w:cs="Times New Roman"/>
          <w:i/>
          <w:color w:val="000000"/>
          <w:lang w:val="en-US"/>
        </w:rPr>
        <w:t>in vivo</w:t>
      </w:r>
      <w:r w:rsidRPr="00B7408D">
        <w:rPr>
          <w:rFonts w:ascii="Book Antiqua" w:hAnsi="Book Antiqua" w:cs="Times New Roman"/>
          <w:color w:val="000000"/>
          <w:lang w:val="en-US"/>
        </w:rPr>
        <w:t xml:space="preserve"> studies with different combinations of these compounds or extracts of extra virgin olive oil. That </w:t>
      </w:r>
      <w:r w:rsidRPr="00B7408D">
        <w:rPr>
          <w:rStyle w:val="tlid-translation"/>
          <w:rFonts w:ascii="Book Antiqua" w:eastAsia="新宋体" w:hAnsi="Book Antiqua"/>
          <w:lang w:val="en-US"/>
        </w:rPr>
        <w:t xml:space="preserve">should allow a better understanding of the biological effects of MSCs. </w:t>
      </w:r>
      <w:r w:rsidRPr="00B7408D">
        <w:rPr>
          <w:rStyle w:val="tlid-translation"/>
          <w:rFonts w:ascii="Book Antiqua" w:eastAsia="新宋体" w:hAnsi="Book Antiqua"/>
          <w:lang w:val="en-US"/>
        </w:rPr>
        <w:lastRenderedPageBreak/>
        <w:t>Additionally, such knowledge should allow a better description of the composition and desirable characteristics of extra virgin olive oil. The goal is that its consumption reaches the highest possible positive impact on the MSC populations</w:t>
      </w:r>
      <w:r w:rsidRPr="00B7408D">
        <w:rPr>
          <w:rFonts w:ascii="Book Antiqua" w:hAnsi="Book Antiqua" w:cs="Times New Roman"/>
          <w:color w:val="000000"/>
          <w:lang w:val="en-US"/>
        </w:rPr>
        <w:t xml:space="preserve"> and, thus, the organism’s overall health.</w:t>
      </w:r>
    </w:p>
    <w:p w14:paraId="52F77B4C" w14:textId="77777777" w:rsidR="00A07220" w:rsidRPr="00B7408D" w:rsidRDefault="00A07220" w:rsidP="00A07220">
      <w:pPr>
        <w:pStyle w:val="western"/>
        <w:adjustRightInd w:val="0"/>
        <w:snapToGrid w:val="0"/>
        <w:spacing w:before="0" w:beforeAutospacing="0" w:after="0" w:line="360" w:lineRule="auto"/>
        <w:ind w:firstLineChars="100" w:firstLine="240"/>
        <w:jc w:val="both"/>
        <w:rPr>
          <w:rFonts w:ascii="Book Antiqua" w:eastAsiaTheme="minorEastAsia" w:hAnsi="Book Antiqua" w:cs="Times New Roman"/>
          <w:b/>
          <w:color w:val="000000"/>
          <w:lang w:val="en-US" w:eastAsia="zh-CN"/>
        </w:rPr>
      </w:pPr>
    </w:p>
    <w:p w14:paraId="75EE826F" w14:textId="77777777" w:rsidR="006A0C4B" w:rsidRPr="00B7408D" w:rsidRDefault="006A0C4B" w:rsidP="006A0C4B">
      <w:pPr>
        <w:adjustRightInd w:val="0"/>
        <w:snapToGrid w:val="0"/>
        <w:spacing w:line="360" w:lineRule="auto"/>
        <w:jc w:val="both"/>
        <w:rPr>
          <w:rFonts w:ascii="Book Antiqua" w:hAnsi="Book Antiqua"/>
        </w:rPr>
      </w:pPr>
      <w:r w:rsidRPr="00B7408D">
        <w:rPr>
          <w:rFonts w:ascii="Book Antiqua" w:hAnsi="Book Antiqua" w:cs="Times New Roman"/>
          <w:b/>
          <w:color w:val="000000"/>
        </w:rPr>
        <w:t>REFERENCES</w:t>
      </w:r>
    </w:p>
    <w:p w14:paraId="48F7BC32"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 </w:t>
      </w:r>
      <w:proofErr w:type="spellStart"/>
      <w:r w:rsidRPr="00B7408D">
        <w:rPr>
          <w:rFonts w:ascii="Book Antiqua" w:hAnsi="Book Antiqua"/>
          <w:b/>
          <w:lang w:val="en-US"/>
        </w:rPr>
        <w:t>Visioli</w:t>
      </w:r>
      <w:proofErr w:type="spellEnd"/>
      <w:r w:rsidRPr="00B7408D">
        <w:rPr>
          <w:rFonts w:ascii="Book Antiqua" w:hAnsi="Book Antiqua"/>
          <w:b/>
          <w:lang w:val="en-US"/>
        </w:rPr>
        <w:t xml:space="preserve"> F</w:t>
      </w:r>
      <w:r w:rsidRPr="00B7408D">
        <w:rPr>
          <w:rFonts w:ascii="Book Antiqua" w:hAnsi="Book Antiqua"/>
          <w:lang w:val="en-US"/>
        </w:rPr>
        <w:t xml:space="preserve">, Franco M, Toledo E, </w:t>
      </w:r>
      <w:proofErr w:type="spellStart"/>
      <w:r w:rsidRPr="00B7408D">
        <w:rPr>
          <w:rFonts w:ascii="Book Antiqua" w:hAnsi="Book Antiqua"/>
          <w:lang w:val="en-US"/>
        </w:rPr>
        <w:t>Luchsinger</w:t>
      </w:r>
      <w:proofErr w:type="spellEnd"/>
      <w:r w:rsidRPr="00B7408D">
        <w:rPr>
          <w:rFonts w:ascii="Book Antiqua" w:hAnsi="Book Antiqua"/>
          <w:lang w:val="en-US"/>
        </w:rPr>
        <w:t xml:space="preserve"> J, Willett WC, Hu FB, Martinez-Gonzalez MA. Olive oil and prevention of chronic diseases: Summary of an International conference. </w:t>
      </w:r>
      <w:proofErr w:type="spellStart"/>
      <w:r w:rsidRPr="00B7408D">
        <w:rPr>
          <w:rFonts w:ascii="Book Antiqua" w:hAnsi="Book Antiqua"/>
          <w:i/>
          <w:lang w:val="en-US"/>
        </w:rPr>
        <w:t>Nutr</w:t>
      </w:r>
      <w:proofErr w:type="spellEnd"/>
      <w:r w:rsidRPr="00B7408D">
        <w:rPr>
          <w:rFonts w:ascii="Book Antiqua" w:hAnsi="Book Antiqua"/>
          <w:i/>
          <w:lang w:val="en-US"/>
        </w:rPr>
        <w:t xml:space="preserve"> </w:t>
      </w:r>
      <w:proofErr w:type="spellStart"/>
      <w:r w:rsidRPr="00B7408D">
        <w:rPr>
          <w:rFonts w:ascii="Book Antiqua" w:hAnsi="Book Antiqua"/>
          <w:i/>
          <w:lang w:val="en-US"/>
        </w:rPr>
        <w:t>Metab</w:t>
      </w:r>
      <w:proofErr w:type="spellEnd"/>
      <w:r w:rsidRPr="00B7408D">
        <w:rPr>
          <w:rFonts w:ascii="Book Antiqua" w:hAnsi="Book Antiqua"/>
          <w:i/>
          <w:lang w:val="en-US"/>
        </w:rPr>
        <w:t xml:space="preserve"> </w:t>
      </w:r>
      <w:proofErr w:type="spellStart"/>
      <w:r w:rsidRPr="00B7408D">
        <w:rPr>
          <w:rFonts w:ascii="Book Antiqua" w:hAnsi="Book Antiqua"/>
          <w:i/>
          <w:lang w:val="en-US"/>
        </w:rPr>
        <w:t>Cardiovasc</w:t>
      </w:r>
      <w:proofErr w:type="spellEnd"/>
      <w:r w:rsidRPr="00B7408D">
        <w:rPr>
          <w:rFonts w:ascii="Book Antiqua" w:hAnsi="Book Antiqua"/>
          <w:i/>
          <w:lang w:val="en-US"/>
        </w:rPr>
        <w:t xml:space="preserve"> Dis</w:t>
      </w:r>
      <w:r w:rsidRPr="00B7408D">
        <w:rPr>
          <w:rFonts w:ascii="Book Antiqua" w:hAnsi="Book Antiqua"/>
          <w:lang w:val="en-US"/>
        </w:rPr>
        <w:t xml:space="preserve"> 2018; </w:t>
      </w:r>
      <w:r w:rsidRPr="00B7408D">
        <w:rPr>
          <w:rFonts w:ascii="Book Antiqua" w:hAnsi="Book Antiqua"/>
          <w:b/>
          <w:lang w:val="en-US"/>
        </w:rPr>
        <w:t>28</w:t>
      </w:r>
      <w:r w:rsidRPr="00B7408D">
        <w:rPr>
          <w:rFonts w:ascii="Book Antiqua" w:hAnsi="Book Antiqua"/>
          <w:lang w:val="en-US"/>
        </w:rPr>
        <w:t>: 649-656 [PMID: 29804831 DOI: 10.1016/j.numecd.2018.04.004]</w:t>
      </w:r>
    </w:p>
    <w:p w14:paraId="62FBA9FF"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2 </w:t>
      </w:r>
      <w:proofErr w:type="spellStart"/>
      <w:r w:rsidRPr="00B7408D">
        <w:rPr>
          <w:rFonts w:ascii="Book Antiqua" w:hAnsi="Book Antiqua"/>
          <w:b/>
          <w:lang w:val="en-US"/>
        </w:rPr>
        <w:t>Uylaşer</w:t>
      </w:r>
      <w:proofErr w:type="spellEnd"/>
      <w:r w:rsidRPr="00B7408D">
        <w:rPr>
          <w:rFonts w:ascii="Book Antiqua" w:hAnsi="Book Antiqua"/>
          <w:b/>
          <w:lang w:val="en-US"/>
        </w:rPr>
        <w:t xml:space="preserve"> V</w:t>
      </w:r>
      <w:r w:rsidRPr="00B7408D">
        <w:rPr>
          <w:rFonts w:ascii="Book Antiqua" w:hAnsi="Book Antiqua"/>
          <w:lang w:val="en-US"/>
        </w:rPr>
        <w:t xml:space="preserve">, </w:t>
      </w:r>
      <w:proofErr w:type="spellStart"/>
      <w:r w:rsidRPr="00B7408D">
        <w:rPr>
          <w:rFonts w:ascii="Book Antiqua" w:hAnsi="Book Antiqua"/>
          <w:lang w:val="en-US"/>
        </w:rPr>
        <w:t>Yildiz</w:t>
      </w:r>
      <w:proofErr w:type="spellEnd"/>
      <w:r w:rsidRPr="00B7408D">
        <w:rPr>
          <w:rFonts w:ascii="Book Antiqua" w:hAnsi="Book Antiqua"/>
          <w:lang w:val="en-US"/>
        </w:rPr>
        <w:t xml:space="preserve"> G. The historical development and nutritional importance of olive and olive oil constituted an important part of the Mediterranean diet. </w:t>
      </w:r>
      <w:proofErr w:type="spellStart"/>
      <w:r w:rsidRPr="00B7408D">
        <w:rPr>
          <w:rFonts w:ascii="Book Antiqua" w:hAnsi="Book Antiqua"/>
          <w:i/>
          <w:lang w:val="en-US"/>
        </w:rPr>
        <w:t>Crit</w:t>
      </w:r>
      <w:proofErr w:type="spellEnd"/>
      <w:r w:rsidRPr="00B7408D">
        <w:rPr>
          <w:rFonts w:ascii="Book Antiqua" w:hAnsi="Book Antiqua"/>
          <w:i/>
          <w:lang w:val="en-US"/>
        </w:rPr>
        <w:t xml:space="preserve"> Rev Food </w:t>
      </w:r>
      <w:proofErr w:type="spellStart"/>
      <w:r w:rsidRPr="00B7408D">
        <w:rPr>
          <w:rFonts w:ascii="Book Antiqua" w:hAnsi="Book Antiqua"/>
          <w:i/>
          <w:lang w:val="en-US"/>
        </w:rPr>
        <w:t>Sci</w:t>
      </w:r>
      <w:proofErr w:type="spellEnd"/>
      <w:r w:rsidRPr="00B7408D">
        <w:rPr>
          <w:rFonts w:ascii="Book Antiqua" w:hAnsi="Book Antiqua"/>
          <w:i/>
          <w:lang w:val="en-US"/>
        </w:rPr>
        <w:t xml:space="preserve"> </w:t>
      </w:r>
      <w:proofErr w:type="spellStart"/>
      <w:r w:rsidRPr="00B7408D">
        <w:rPr>
          <w:rFonts w:ascii="Book Antiqua" w:hAnsi="Book Antiqua"/>
          <w:i/>
          <w:lang w:val="en-US"/>
        </w:rPr>
        <w:t>Nutr</w:t>
      </w:r>
      <w:proofErr w:type="spellEnd"/>
      <w:r w:rsidRPr="00B7408D">
        <w:rPr>
          <w:rFonts w:ascii="Book Antiqua" w:hAnsi="Book Antiqua"/>
          <w:lang w:val="en-US"/>
        </w:rPr>
        <w:t xml:space="preserve"> 2014; </w:t>
      </w:r>
      <w:r w:rsidRPr="00B7408D">
        <w:rPr>
          <w:rFonts w:ascii="Book Antiqua" w:hAnsi="Book Antiqua"/>
          <w:b/>
          <w:lang w:val="en-US"/>
        </w:rPr>
        <w:t>54</w:t>
      </w:r>
      <w:r w:rsidRPr="00B7408D">
        <w:rPr>
          <w:rFonts w:ascii="Book Antiqua" w:hAnsi="Book Antiqua"/>
          <w:lang w:val="en-US"/>
        </w:rPr>
        <w:t>: 1092-1101 [PMID: 24499124 DOI: 10.1080/10408398.2011.626874]</w:t>
      </w:r>
    </w:p>
    <w:p w14:paraId="6BB581B0"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3 </w:t>
      </w:r>
      <w:proofErr w:type="spellStart"/>
      <w:r w:rsidRPr="00B7408D">
        <w:rPr>
          <w:rFonts w:ascii="Book Antiqua" w:hAnsi="Book Antiqua"/>
          <w:b/>
          <w:lang w:val="en-US"/>
        </w:rPr>
        <w:t>Trichopoulou</w:t>
      </w:r>
      <w:proofErr w:type="spellEnd"/>
      <w:r w:rsidRPr="00B7408D">
        <w:rPr>
          <w:rFonts w:ascii="Book Antiqua" w:hAnsi="Book Antiqua"/>
          <w:b/>
          <w:lang w:val="en-US"/>
        </w:rPr>
        <w:t xml:space="preserve"> A</w:t>
      </w:r>
      <w:r w:rsidRPr="00B7408D">
        <w:rPr>
          <w:rFonts w:ascii="Book Antiqua" w:hAnsi="Book Antiqua"/>
          <w:lang w:val="en-US"/>
        </w:rPr>
        <w:t xml:space="preserve">. Mediterranean diet, traditional foods, and health: evidence from the Greek EPIC cohort. </w:t>
      </w:r>
      <w:r w:rsidRPr="00B7408D">
        <w:rPr>
          <w:rFonts w:ascii="Book Antiqua" w:hAnsi="Book Antiqua"/>
          <w:i/>
          <w:lang w:val="en-US"/>
        </w:rPr>
        <w:t xml:space="preserve">Food </w:t>
      </w:r>
      <w:proofErr w:type="spellStart"/>
      <w:r w:rsidRPr="00B7408D">
        <w:rPr>
          <w:rFonts w:ascii="Book Antiqua" w:hAnsi="Book Antiqua"/>
          <w:i/>
          <w:lang w:val="en-US"/>
        </w:rPr>
        <w:t>Nutr</w:t>
      </w:r>
      <w:proofErr w:type="spellEnd"/>
      <w:r w:rsidRPr="00B7408D">
        <w:rPr>
          <w:rFonts w:ascii="Book Antiqua" w:hAnsi="Book Antiqua"/>
          <w:i/>
          <w:lang w:val="en-US"/>
        </w:rPr>
        <w:t xml:space="preserve"> Bull</w:t>
      </w:r>
      <w:r w:rsidRPr="00B7408D">
        <w:rPr>
          <w:rFonts w:ascii="Book Antiqua" w:hAnsi="Book Antiqua"/>
          <w:lang w:val="en-US"/>
        </w:rPr>
        <w:t xml:space="preserve"> 2007; </w:t>
      </w:r>
      <w:r w:rsidRPr="00B7408D">
        <w:rPr>
          <w:rFonts w:ascii="Book Antiqua" w:hAnsi="Book Antiqua"/>
          <w:b/>
          <w:lang w:val="en-US"/>
        </w:rPr>
        <w:t>28</w:t>
      </w:r>
      <w:r w:rsidRPr="00B7408D">
        <w:rPr>
          <w:rFonts w:ascii="Book Antiqua" w:hAnsi="Book Antiqua"/>
          <w:lang w:val="en-US"/>
        </w:rPr>
        <w:t>: 236-240 [PMID: 24683683 DOI: 10.1177/156482650702800213]</w:t>
      </w:r>
    </w:p>
    <w:p w14:paraId="2D3D25EA"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4 </w:t>
      </w:r>
      <w:r w:rsidRPr="00B7408D">
        <w:rPr>
          <w:rFonts w:ascii="Book Antiqua" w:hAnsi="Book Antiqua"/>
          <w:b/>
          <w:lang w:val="en-US"/>
        </w:rPr>
        <w:t>Buckland G</w:t>
      </w:r>
      <w:r w:rsidRPr="00B7408D">
        <w:rPr>
          <w:rFonts w:ascii="Book Antiqua" w:hAnsi="Book Antiqua"/>
          <w:lang w:val="en-US"/>
        </w:rPr>
        <w:t xml:space="preserve">, </w:t>
      </w:r>
      <w:proofErr w:type="spellStart"/>
      <w:r w:rsidRPr="00B7408D">
        <w:rPr>
          <w:rFonts w:ascii="Book Antiqua" w:hAnsi="Book Antiqua"/>
          <w:lang w:val="en-US"/>
        </w:rPr>
        <w:t>Travier</w:t>
      </w:r>
      <w:proofErr w:type="spellEnd"/>
      <w:r w:rsidRPr="00B7408D">
        <w:rPr>
          <w:rFonts w:ascii="Book Antiqua" w:hAnsi="Book Antiqua"/>
          <w:lang w:val="en-US"/>
        </w:rPr>
        <w:t xml:space="preserve"> N, </w:t>
      </w:r>
      <w:proofErr w:type="spellStart"/>
      <w:r w:rsidRPr="00B7408D">
        <w:rPr>
          <w:rFonts w:ascii="Book Antiqua" w:hAnsi="Book Antiqua"/>
          <w:lang w:val="en-US"/>
        </w:rPr>
        <w:t>Barricarte</w:t>
      </w:r>
      <w:proofErr w:type="spellEnd"/>
      <w:r w:rsidRPr="00B7408D">
        <w:rPr>
          <w:rFonts w:ascii="Book Antiqua" w:hAnsi="Book Antiqua"/>
          <w:lang w:val="en-US"/>
        </w:rPr>
        <w:t xml:space="preserve"> A, </w:t>
      </w:r>
      <w:proofErr w:type="spellStart"/>
      <w:r w:rsidRPr="00B7408D">
        <w:rPr>
          <w:rFonts w:ascii="Book Antiqua" w:hAnsi="Book Antiqua"/>
          <w:lang w:val="en-US"/>
        </w:rPr>
        <w:t>Ardanaz</w:t>
      </w:r>
      <w:proofErr w:type="spellEnd"/>
      <w:r w:rsidRPr="00B7408D">
        <w:rPr>
          <w:rFonts w:ascii="Book Antiqua" w:hAnsi="Book Antiqua"/>
          <w:lang w:val="en-US"/>
        </w:rPr>
        <w:t xml:space="preserve"> E, Moreno-</w:t>
      </w:r>
      <w:proofErr w:type="spellStart"/>
      <w:r w:rsidRPr="00B7408D">
        <w:rPr>
          <w:rFonts w:ascii="Book Antiqua" w:hAnsi="Book Antiqua"/>
          <w:lang w:val="en-US"/>
        </w:rPr>
        <w:t>Iribas</w:t>
      </w:r>
      <w:proofErr w:type="spellEnd"/>
      <w:r w:rsidRPr="00B7408D">
        <w:rPr>
          <w:rFonts w:ascii="Book Antiqua" w:hAnsi="Book Antiqua"/>
          <w:lang w:val="en-US"/>
        </w:rPr>
        <w:t xml:space="preserve"> C, Sánchez MJ, Molina-Montes E, </w:t>
      </w:r>
      <w:proofErr w:type="spellStart"/>
      <w:r w:rsidRPr="00B7408D">
        <w:rPr>
          <w:rFonts w:ascii="Book Antiqua" w:hAnsi="Book Antiqua"/>
          <w:lang w:val="en-US"/>
        </w:rPr>
        <w:t>Chirlaque</w:t>
      </w:r>
      <w:proofErr w:type="spellEnd"/>
      <w:r w:rsidRPr="00B7408D">
        <w:rPr>
          <w:rFonts w:ascii="Book Antiqua" w:hAnsi="Book Antiqua"/>
          <w:lang w:val="en-US"/>
        </w:rPr>
        <w:t xml:space="preserve"> MD, Huerta JM, Navarro C, Redondo ML, </w:t>
      </w:r>
      <w:proofErr w:type="spellStart"/>
      <w:r w:rsidRPr="00B7408D">
        <w:rPr>
          <w:rFonts w:ascii="Book Antiqua" w:hAnsi="Book Antiqua"/>
          <w:lang w:val="en-US"/>
        </w:rPr>
        <w:t>Amiano</w:t>
      </w:r>
      <w:proofErr w:type="spellEnd"/>
      <w:r w:rsidRPr="00B7408D">
        <w:rPr>
          <w:rFonts w:ascii="Book Antiqua" w:hAnsi="Book Antiqua"/>
          <w:lang w:val="en-US"/>
        </w:rPr>
        <w:t xml:space="preserve"> P, </w:t>
      </w:r>
      <w:proofErr w:type="spellStart"/>
      <w:r w:rsidRPr="00B7408D">
        <w:rPr>
          <w:rFonts w:ascii="Book Antiqua" w:hAnsi="Book Antiqua"/>
          <w:lang w:val="en-US"/>
        </w:rPr>
        <w:t>Dorronsoro</w:t>
      </w:r>
      <w:proofErr w:type="spellEnd"/>
      <w:r w:rsidRPr="00B7408D">
        <w:rPr>
          <w:rFonts w:ascii="Book Antiqua" w:hAnsi="Book Antiqua"/>
          <w:lang w:val="en-US"/>
        </w:rPr>
        <w:t xml:space="preserve"> M, </w:t>
      </w:r>
      <w:proofErr w:type="spellStart"/>
      <w:r w:rsidRPr="00B7408D">
        <w:rPr>
          <w:rFonts w:ascii="Book Antiqua" w:hAnsi="Book Antiqua"/>
          <w:lang w:val="en-US"/>
        </w:rPr>
        <w:t>Larrañaga</w:t>
      </w:r>
      <w:proofErr w:type="spellEnd"/>
      <w:r w:rsidRPr="00B7408D">
        <w:rPr>
          <w:rFonts w:ascii="Book Antiqua" w:hAnsi="Book Antiqua"/>
          <w:lang w:val="en-US"/>
        </w:rPr>
        <w:t xml:space="preserve"> N, Gonzalez CA. Olive oil intake and CHD in the European Prospective Investigation into Cancer and Nutrition Spanish cohort. </w:t>
      </w:r>
      <w:r w:rsidRPr="00B7408D">
        <w:rPr>
          <w:rFonts w:ascii="Book Antiqua" w:hAnsi="Book Antiqua"/>
          <w:i/>
          <w:lang w:val="en-US"/>
        </w:rPr>
        <w:t xml:space="preserve">Br J </w:t>
      </w:r>
      <w:proofErr w:type="spellStart"/>
      <w:r w:rsidRPr="00B7408D">
        <w:rPr>
          <w:rFonts w:ascii="Book Antiqua" w:hAnsi="Book Antiqua"/>
          <w:i/>
          <w:lang w:val="en-US"/>
        </w:rPr>
        <w:t>Nutr</w:t>
      </w:r>
      <w:proofErr w:type="spellEnd"/>
      <w:r w:rsidRPr="00B7408D">
        <w:rPr>
          <w:rFonts w:ascii="Book Antiqua" w:hAnsi="Book Antiqua"/>
          <w:lang w:val="en-US"/>
        </w:rPr>
        <w:t xml:space="preserve"> 2012; </w:t>
      </w:r>
      <w:r w:rsidRPr="00B7408D">
        <w:rPr>
          <w:rFonts w:ascii="Book Antiqua" w:hAnsi="Book Antiqua"/>
          <w:b/>
          <w:lang w:val="en-US"/>
        </w:rPr>
        <w:t>108</w:t>
      </w:r>
      <w:r w:rsidRPr="00B7408D">
        <w:rPr>
          <w:rFonts w:ascii="Book Antiqua" w:hAnsi="Book Antiqua"/>
          <w:lang w:val="en-US"/>
        </w:rPr>
        <w:t>: 2075-2082 [PMID: 23006416 DOI: 10.1017/S000711451200298X]</w:t>
      </w:r>
    </w:p>
    <w:p w14:paraId="1DE447EB"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5 </w:t>
      </w:r>
      <w:r w:rsidRPr="00B7408D">
        <w:rPr>
          <w:rFonts w:ascii="Book Antiqua" w:hAnsi="Book Antiqua"/>
          <w:b/>
          <w:lang w:val="en-US"/>
        </w:rPr>
        <w:t>Buckland G</w:t>
      </w:r>
      <w:r w:rsidRPr="00B7408D">
        <w:rPr>
          <w:rFonts w:ascii="Book Antiqua" w:hAnsi="Book Antiqua"/>
          <w:lang w:val="en-US"/>
        </w:rPr>
        <w:t xml:space="preserve">, </w:t>
      </w:r>
      <w:proofErr w:type="spellStart"/>
      <w:r w:rsidRPr="00B7408D">
        <w:rPr>
          <w:rFonts w:ascii="Book Antiqua" w:hAnsi="Book Antiqua"/>
          <w:lang w:val="en-US"/>
        </w:rPr>
        <w:t>Travier</w:t>
      </w:r>
      <w:proofErr w:type="spellEnd"/>
      <w:r w:rsidRPr="00B7408D">
        <w:rPr>
          <w:rFonts w:ascii="Book Antiqua" w:hAnsi="Book Antiqua"/>
          <w:lang w:val="en-US"/>
        </w:rPr>
        <w:t xml:space="preserve"> N, </w:t>
      </w:r>
      <w:proofErr w:type="spellStart"/>
      <w:r w:rsidRPr="00B7408D">
        <w:rPr>
          <w:rFonts w:ascii="Book Antiqua" w:hAnsi="Book Antiqua"/>
          <w:lang w:val="en-US"/>
        </w:rPr>
        <w:t>Agudo</w:t>
      </w:r>
      <w:proofErr w:type="spellEnd"/>
      <w:r w:rsidRPr="00B7408D">
        <w:rPr>
          <w:rFonts w:ascii="Book Antiqua" w:hAnsi="Book Antiqua"/>
          <w:lang w:val="en-US"/>
        </w:rPr>
        <w:t xml:space="preserve"> A, Fonseca-Nunes A, Navarro C, </w:t>
      </w:r>
      <w:proofErr w:type="spellStart"/>
      <w:r w:rsidRPr="00B7408D">
        <w:rPr>
          <w:rFonts w:ascii="Book Antiqua" w:hAnsi="Book Antiqua"/>
          <w:lang w:val="en-US"/>
        </w:rPr>
        <w:t>Lagiou</w:t>
      </w:r>
      <w:proofErr w:type="spellEnd"/>
      <w:r w:rsidRPr="00B7408D">
        <w:rPr>
          <w:rFonts w:ascii="Book Antiqua" w:hAnsi="Book Antiqua"/>
          <w:lang w:val="en-US"/>
        </w:rPr>
        <w:t xml:space="preserve"> P, </w:t>
      </w:r>
      <w:proofErr w:type="spellStart"/>
      <w:r w:rsidRPr="00B7408D">
        <w:rPr>
          <w:rFonts w:ascii="Book Antiqua" w:hAnsi="Book Antiqua"/>
          <w:lang w:val="en-US"/>
        </w:rPr>
        <w:t>Demetriou</w:t>
      </w:r>
      <w:proofErr w:type="spellEnd"/>
      <w:r w:rsidRPr="00B7408D">
        <w:rPr>
          <w:rFonts w:ascii="Book Antiqua" w:hAnsi="Book Antiqua"/>
          <w:lang w:val="en-US"/>
        </w:rPr>
        <w:t xml:space="preserve"> C, </w:t>
      </w:r>
      <w:proofErr w:type="spellStart"/>
      <w:r w:rsidRPr="00B7408D">
        <w:rPr>
          <w:rFonts w:ascii="Book Antiqua" w:hAnsi="Book Antiqua"/>
          <w:lang w:val="en-US"/>
        </w:rPr>
        <w:t>Amiano</w:t>
      </w:r>
      <w:proofErr w:type="spellEnd"/>
      <w:r w:rsidRPr="00B7408D">
        <w:rPr>
          <w:rFonts w:ascii="Book Antiqua" w:hAnsi="Book Antiqua"/>
          <w:lang w:val="en-US"/>
        </w:rPr>
        <w:t xml:space="preserve"> P, </w:t>
      </w:r>
      <w:proofErr w:type="spellStart"/>
      <w:r w:rsidRPr="00B7408D">
        <w:rPr>
          <w:rFonts w:ascii="Book Antiqua" w:hAnsi="Book Antiqua"/>
          <w:lang w:val="en-US"/>
        </w:rPr>
        <w:t>Dorronsoro</w:t>
      </w:r>
      <w:proofErr w:type="spellEnd"/>
      <w:r w:rsidRPr="00B7408D">
        <w:rPr>
          <w:rFonts w:ascii="Book Antiqua" w:hAnsi="Book Antiqua"/>
          <w:lang w:val="en-US"/>
        </w:rPr>
        <w:t xml:space="preserve"> M, </w:t>
      </w:r>
      <w:proofErr w:type="spellStart"/>
      <w:r w:rsidRPr="00B7408D">
        <w:rPr>
          <w:rFonts w:ascii="Book Antiqua" w:hAnsi="Book Antiqua"/>
          <w:lang w:val="en-US"/>
        </w:rPr>
        <w:t>Chirlaque</w:t>
      </w:r>
      <w:proofErr w:type="spellEnd"/>
      <w:r w:rsidRPr="00B7408D">
        <w:rPr>
          <w:rFonts w:ascii="Book Antiqua" w:hAnsi="Book Antiqua"/>
          <w:lang w:val="en-US"/>
        </w:rPr>
        <w:t xml:space="preserve"> MD, Huerta JM, Molina E, Pérez MJ, </w:t>
      </w:r>
      <w:proofErr w:type="spellStart"/>
      <w:r w:rsidRPr="00B7408D">
        <w:rPr>
          <w:rFonts w:ascii="Book Antiqua" w:hAnsi="Book Antiqua"/>
          <w:lang w:val="en-US"/>
        </w:rPr>
        <w:t>Ardanaz</w:t>
      </w:r>
      <w:proofErr w:type="spellEnd"/>
      <w:r w:rsidRPr="00B7408D">
        <w:rPr>
          <w:rFonts w:ascii="Book Antiqua" w:hAnsi="Book Antiqua"/>
          <w:lang w:val="en-US"/>
        </w:rPr>
        <w:t xml:space="preserve"> E, Moreno-</w:t>
      </w:r>
      <w:proofErr w:type="spellStart"/>
      <w:r w:rsidRPr="00B7408D">
        <w:rPr>
          <w:rFonts w:ascii="Book Antiqua" w:hAnsi="Book Antiqua"/>
          <w:lang w:val="en-US"/>
        </w:rPr>
        <w:t>Iribas</w:t>
      </w:r>
      <w:proofErr w:type="spellEnd"/>
      <w:r w:rsidRPr="00B7408D">
        <w:rPr>
          <w:rFonts w:ascii="Book Antiqua" w:hAnsi="Book Antiqua"/>
          <w:lang w:val="en-US"/>
        </w:rPr>
        <w:t xml:space="preserve"> C, </w:t>
      </w:r>
      <w:proofErr w:type="spellStart"/>
      <w:r w:rsidRPr="00B7408D">
        <w:rPr>
          <w:rFonts w:ascii="Book Antiqua" w:hAnsi="Book Antiqua"/>
          <w:lang w:val="en-US"/>
        </w:rPr>
        <w:t>Quirós</w:t>
      </w:r>
      <w:proofErr w:type="spellEnd"/>
      <w:r w:rsidRPr="00B7408D">
        <w:rPr>
          <w:rFonts w:ascii="Book Antiqua" w:hAnsi="Book Antiqua"/>
          <w:lang w:val="en-US"/>
        </w:rPr>
        <w:t xml:space="preserve"> JR, </w:t>
      </w:r>
      <w:proofErr w:type="spellStart"/>
      <w:r w:rsidRPr="00B7408D">
        <w:rPr>
          <w:rFonts w:ascii="Book Antiqua" w:hAnsi="Book Antiqua"/>
          <w:lang w:val="en-US"/>
        </w:rPr>
        <w:t>Naska</w:t>
      </w:r>
      <w:proofErr w:type="spellEnd"/>
      <w:r w:rsidRPr="00B7408D">
        <w:rPr>
          <w:rFonts w:ascii="Book Antiqua" w:hAnsi="Book Antiqua"/>
          <w:lang w:val="en-US"/>
        </w:rPr>
        <w:t xml:space="preserve"> A, </w:t>
      </w:r>
      <w:proofErr w:type="spellStart"/>
      <w:r w:rsidRPr="00B7408D">
        <w:rPr>
          <w:rFonts w:ascii="Book Antiqua" w:hAnsi="Book Antiqua"/>
          <w:lang w:val="en-US"/>
        </w:rPr>
        <w:t>Trichopoulos</w:t>
      </w:r>
      <w:proofErr w:type="spellEnd"/>
      <w:r w:rsidRPr="00B7408D">
        <w:rPr>
          <w:rFonts w:ascii="Book Antiqua" w:hAnsi="Book Antiqua"/>
          <w:lang w:val="en-US"/>
        </w:rPr>
        <w:t xml:space="preserve"> D, </w:t>
      </w:r>
      <w:proofErr w:type="spellStart"/>
      <w:r w:rsidRPr="00B7408D">
        <w:rPr>
          <w:rFonts w:ascii="Book Antiqua" w:hAnsi="Book Antiqua"/>
          <w:lang w:val="en-US"/>
        </w:rPr>
        <w:t>Giurdanella</w:t>
      </w:r>
      <w:proofErr w:type="spellEnd"/>
      <w:r w:rsidRPr="00B7408D">
        <w:rPr>
          <w:rFonts w:ascii="Book Antiqua" w:hAnsi="Book Antiqua"/>
          <w:lang w:val="en-US"/>
        </w:rPr>
        <w:t xml:space="preserve"> MC, </w:t>
      </w:r>
      <w:proofErr w:type="spellStart"/>
      <w:r w:rsidRPr="00B7408D">
        <w:rPr>
          <w:rFonts w:ascii="Book Antiqua" w:hAnsi="Book Antiqua"/>
          <w:lang w:val="en-US"/>
        </w:rPr>
        <w:t>Tumino</w:t>
      </w:r>
      <w:proofErr w:type="spellEnd"/>
      <w:r w:rsidRPr="00B7408D">
        <w:rPr>
          <w:rFonts w:ascii="Book Antiqua" w:hAnsi="Book Antiqua"/>
          <w:lang w:val="en-US"/>
        </w:rPr>
        <w:t xml:space="preserve"> R, </w:t>
      </w:r>
      <w:proofErr w:type="spellStart"/>
      <w:r w:rsidRPr="00B7408D">
        <w:rPr>
          <w:rFonts w:ascii="Book Antiqua" w:hAnsi="Book Antiqua"/>
          <w:lang w:val="en-US"/>
        </w:rPr>
        <w:t>Agnoli</w:t>
      </w:r>
      <w:proofErr w:type="spellEnd"/>
      <w:r w:rsidRPr="00B7408D">
        <w:rPr>
          <w:rFonts w:ascii="Book Antiqua" w:hAnsi="Book Antiqua"/>
          <w:lang w:val="en-US"/>
        </w:rPr>
        <w:t xml:space="preserve"> C, </w:t>
      </w:r>
      <w:proofErr w:type="spellStart"/>
      <w:r w:rsidRPr="00B7408D">
        <w:rPr>
          <w:rFonts w:ascii="Book Antiqua" w:hAnsi="Book Antiqua"/>
          <w:lang w:val="en-US"/>
        </w:rPr>
        <w:t>Grioni</w:t>
      </w:r>
      <w:proofErr w:type="spellEnd"/>
      <w:r w:rsidRPr="00B7408D">
        <w:rPr>
          <w:rFonts w:ascii="Book Antiqua" w:hAnsi="Book Antiqua"/>
          <w:lang w:val="en-US"/>
        </w:rPr>
        <w:t xml:space="preserve"> S, </w:t>
      </w:r>
      <w:proofErr w:type="spellStart"/>
      <w:r w:rsidRPr="00B7408D">
        <w:rPr>
          <w:rFonts w:ascii="Book Antiqua" w:hAnsi="Book Antiqua"/>
          <w:lang w:val="en-US"/>
        </w:rPr>
        <w:t>Panico</w:t>
      </w:r>
      <w:proofErr w:type="spellEnd"/>
      <w:r w:rsidRPr="00B7408D">
        <w:rPr>
          <w:rFonts w:ascii="Book Antiqua" w:hAnsi="Book Antiqua"/>
          <w:lang w:val="en-US"/>
        </w:rPr>
        <w:t xml:space="preserve"> S, </w:t>
      </w:r>
      <w:proofErr w:type="spellStart"/>
      <w:r w:rsidRPr="00B7408D">
        <w:rPr>
          <w:rFonts w:ascii="Book Antiqua" w:hAnsi="Book Antiqua"/>
          <w:lang w:val="en-US"/>
        </w:rPr>
        <w:t>Mattiello</w:t>
      </w:r>
      <w:proofErr w:type="spellEnd"/>
      <w:r w:rsidRPr="00B7408D">
        <w:rPr>
          <w:rFonts w:ascii="Book Antiqua" w:hAnsi="Book Antiqua"/>
          <w:lang w:val="en-US"/>
        </w:rPr>
        <w:t xml:space="preserve"> A, Masala G, </w:t>
      </w:r>
      <w:proofErr w:type="spellStart"/>
      <w:r w:rsidRPr="00B7408D">
        <w:rPr>
          <w:rFonts w:ascii="Book Antiqua" w:hAnsi="Book Antiqua"/>
          <w:lang w:val="en-US"/>
        </w:rPr>
        <w:t>Sacerdote</w:t>
      </w:r>
      <w:proofErr w:type="spellEnd"/>
      <w:r w:rsidRPr="00B7408D">
        <w:rPr>
          <w:rFonts w:ascii="Book Antiqua" w:hAnsi="Book Antiqua"/>
          <w:lang w:val="en-US"/>
        </w:rPr>
        <w:t xml:space="preserve"> C, </w:t>
      </w:r>
      <w:proofErr w:type="spellStart"/>
      <w:r w:rsidRPr="00B7408D">
        <w:rPr>
          <w:rFonts w:ascii="Book Antiqua" w:hAnsi="Book Antiqua"/>
          <w:lang w:val="en-US"/>
        </w:rPr>
        <w:t>Polidoro</w:t>
      </w:r>
      <w:proofErr w:type="spellEnd"/>
      <w:r w:rsidRPr="00B7408D">
        <w:rPr>
          <w:rFonts w:ascii="Book Antiqua" w:hAnsi="Book Antiqua"/>
          <w:lang w:val="en-US"/>
        </w:rPr>
        <w:t xml:space="preserve"> S, </w:t>
      </w:r>
      <w:proofErr w:type="spellStart"/>
      <w:r w:rsidRPr="00B7408D">
        <w:rPr>
          <w:rFonts w:ascii="Book Antiqua" w:hAnsi="Book Antiqua"/>
          <w:lang w:val="en-US"/>
        </w:rPr>
        <w:t>Palli</w:t>
      </w:r>
      <w:proofErr w:type="spellEnd"/>
      <w:r w:rsidRPr="00B7408D">
        <w:rPr>
          <w:rFonts w:ascii="Book Antiqua" w:hAnsi="Book Antiqua"/>
          <w:lang w:val="en-US"/>
        </w:rPr>
        <w:t xml:space="preserve"> D, </w:t>
      </w:r>
      <w:proofErr w:type="spellStart"/>
      <w:r w:rsidRPr="00B7408D">
        <w:rPr>
          <w:rFonts w:ascii="Book Antiqua" w:hAnsi="Book Antiqua"/>
          <w:lang w:val="en-US"/>
        </w:rPr>
        <w:t>Trichopoulou</w:t>
      </w:r>
      <w:proofErr w:type="spellEnd"/>
      <w:r w:rsidRPr="00B7408D">
        <w:rPr>
          <w:rFonts w:ascii="Book Antiqua" w:hAnsi="Book Antiqua"/>
          <w:lang w:val="en-US"/>
        </w:rPr>
        <w:t xml:space="preserve"> A, González CA. Olive oil intake and breast cancer risk in the Mediterranean countries of the European Prospective Investigation into Cancer and Nutrition study. </w:t>
      </w:r>
      <w:r w:rsidRPr="00B7408D">
        <w:rPr>
          <w:rFonts w:ascii="Book Antiqua" w:hAnsi="Book Antiqua"/>
          <w:i/>
          <w:lang w:val="en-US"/>
        </w:rPr>
        <w:t>Int J Cancer</w:t>
      </w:r>
      <w:r w:rsidRPr="00B7408D">
        <w:rPr>
          <w:rFonts w:ascii="Book Antiqua" w:hAnsi="Book Antiqua"/>
          <w:lang w:val="en-US"/>
        </w:rPr>
        <w:t xml:space="preserve"> 2012; </w:t>
      </w:r>
      <w:r w:rsidRPr="00B7408D">
        <w:rPr>
          <w:rFonts w:ascii="Book Antiqua" w:hAnsi="Book Antiqua"/>
          <w:b/>
          <w:lang w:val="en-US"/>
        </w:rPr>
        <w:t>131</w:t>
      </w:r>
      <w:r w:rsidRPr="00B7408D">
        <w:rPr>
          <w:rFonts w:ascii="Book Antiqua" w:hAnsi="Book Antiqua"/>
          <w:lang w:val="en-US"/>
        </w:rPr>
        <w:t>: 2465-2469 [PMID: 22392404 DOI: 10.1002/ijc.27516]</w:t>
      </w:r>
    </w:p>
    <w:p w14:paraId="59A7C7E7"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lastRenderedPageBreak/>
        <w:t xml:space="preserve">6 </w:t>
      </w:r>
      <w:r w:rsidRPr="00B7408D">
        <w:rPr>
          <w:rFonts w:ascii="Book Antiqua" w:hAnsi="Book Antiqua"/>
          <w:b/>
          <w:lang w:val="en-US"/>
        </w:rPr>
        <w:t>Buckland G</w:t>
      </w:r>
      <w:r w:rsidRPr="00B7408D">
        <w:rPr>
          <w:rFonts w:ascii="Book Antiqua" w:hAnsi="Book Antiqua"/>
          <w:lang w:val="en-US"/>
        </w:rPr>
        <w:t xml:space="preserve">, </w:t>
      </w:r>
      <w:proofErr w:type="spellStart"/>
      <w:r w:rsidRPr="00B7408D">
        <w:rPr>
          <w:rFonts w:ascii="Book Antiqua" w:hAnsi="Book Antiqua"/>
          <w:lang w:val="en-US"/>
        </w:rPr>
        <w:t>Mayén</w:t>
      </w:r>
      <w:proofErr w:type="spellEnd"/>
      <w:r w:rsidRPr="00B7408D">
        <w:rPr>
          <w:rFonts w:ascii="Book Antiqua" w:hAnsi="Book Antiqua"/>
          <w:lang w:val="en-US"/>
        </w:rPr>
        <w:t xml:space="preserve"> AL, </w:t>
      </w:r>
      <w:proofErr w:type="spellStart"/>
      <w:r w:rsidRPr="00B7408D">
        <w:rPr>
          <w:rFonts w:ascii="Book Antiqua" w:hAnsi="Book Antiqua"/>
          <w:lang w:val="en-US"/>
        </w:rPr>
        <w:t>Agudo</w:t>
      </w:r>
      <w:proofErr w:type="spellEnd"/>
      <w:r w:rsidRPr="00B7408D">
        <w:rPr>
          <w:rFonts w:ascii="Book Antiqua" w:hAnsi="Book Antiqua"/>
          <w:lang w:val="en-US"/>
        </w:rPr>
        <w:t xml:space="preserve"> A, </w:t>
      </w:r>
      <w:proofErr w:type="spellStart"/>
      <w:r w:rsidRPr="00B7408D">
        <w:rPr>
          <w:rFonts w:ascii="Book Antiqua" w:hAnsi="Book Antiqua"/>
          <w:lang w:val="en-US"/>
        </w:rPr>
        <w:t>Travier</w:t>
      </w:r>
      <w:proofErr w:type="spellEnd"/>
      <w:r w:rsidRPr="00B7408D">
        <w:rPr>
          <w:rFonts w:ascii="Book Antiqua" w:hAnsi="Book Antiqua"/>
          <w:lang w:val="en-US"/>
        </w:rPr>
        <w:t xml:space="preserve"> N, Navarro C, Huerta JM, </w:t>
      </w:r>
      <w:proofErr w:type="spellStart"/>
      <w:r w:rsidRPr="00B7408D">
        <w:rPr>
          <w:rFonts w:ascii="Book Antiqua" w:hAnsi="Book Antiqua"/>
          <w:lang w:val="en-US"/>
        </w:rPr>
        <w:t>Chirlaque</w:t>
      </w:r>
      <w:proofErr w:type="spellEnd"/>
      <w:r w:rsidRPr="00B7408D">
        <w:rPr>
          <w:rFonts w:ascii="Book Antiqua" w:hAnsi="Book Antiqua"/>
          <w:lang w:val="en-US"/>
        </w:rPr>
        <w:t xml:space="preserve"> MD, </w:t>
      </w:r>
      <w:proofErr w:type="spellStart"/>
      <w:r w:rsidRPr="00B7408D">
        <w:rPr>
          <w:rFonts w:ascii="Book Antiqua" w:hAnsi="Book Antiqua"/>
          <w:lang w:val="en-US"/>
        </w:rPr>
        <w:t>Barricarte</w:t>
      </w:r>
      <w:proofErr w:type="spellEnd"/>
      <w:r w:rsidRPr="00B7408D">
        <w:rPr>
          <w:rFonts w:ascii="Book Antiqua" w:hAnsi="Book Antiqua"/>
          <w:lang w:val="en-US"/>
        </w:rPr>
        <w:t xml:space="preserve"> A, </w:t>
      </w:r>
      <w:proofErr w:type="spellStart"/>
      <w:r w:rsidRPr="00B7408D">
        <w:rPr>
          <w:rFonts w:ascii="Book Antiqua" w:hAnsi="Book Antiqua"/>
          <w:lang w:val="en-US"/>
        </w:rPr>
        <w:t>Ardanaz</w:t>
      </w:r>
      <w:proofErr w:type="spellEnd"/>
      <w:r w:rsidRPr="00B7408D">
        <w:rPr>
          <w:rFonts w:ascii="Book Antiqua" w:hAnsi="Book Antiqua"/>
          <w:lang w:val="en-US"/>
        </w:rPr>
        <w:t xml:space="preserve"> E, Moreno-</w:t>
      </w:r>
      <w:proofErr w:type="spellStart"/>
      <w:r w:rsidRPr="00B7408D">
        <w:rPr>
          <w:rFonts w:ascii="Book Antiqua" w:hAnsi="Book Antiqua"/>
          <w:lang w:val="en-US"/>
        </w:rPr>
        <w:t>Iribas</w:t>
      </w:r>
      <w:proofErr w:type="spellEnd"/>
      <w:r w:rsidRPr="00B7408D">
        <w:rPr>
          <w:rFonts w:ascii="Book Antiqua" w:hAnsi="Book Antiqua"/>
          <w:lang w:val="en-US"/>
        </w:rPr>
        <w:t xml:space="preserve"> C, Marin P, </w:t>
      </w:r>
      <w:proofErr w:type="spellStart"/>
      <w:r w:rsidRPr="00B7408D">
        <w:rPr>
          <w:rFonts w:ascii="Book Antiqua" w:hAnsi="Book Antiqua"/>
          <w:lang w:val="en-US"/>
        </w:rPr>
        <w:t>Quirós</w:t>
      </w:r>
      <w:proofErr w:type="spellEnd"/>
      <w:r w:rsidRPr="00B7408D">
        <w:rPr>
          <w:rFonts w:ascii="Book Antiqua" w:hAnsi="Book Antiqua"/>
          <w:lang w:val="en-US"/>
        </w:rPr>
        <w:t xml:space="preserve"> JR, Redondo ML, </w:t>
      </w:r>
      <w:proofErr w:type="spellStart"/>
      <w:r w:rsidRPr="00B7408D">
        <w:rPr>
          <w:rFonts w:ascii="Book Antiqua" w:hAnsi="Book Antiqua"/>
          <w:lang w:val="en-US"/>
        </w:rPr>
        <w:t>Amiano</w:t>
      </w:r>
      <w:proofErr w:type="spellEnd"/>
      <w:r w:rsidRPr="00B7408D">
        <w:rPr>
          <w:rFonts w:ascii="Book Antiqua" w:hAnsi="Book Antiqua"/>
          <w:lang w:val="en-US"/>
        </w:rPr>
        <w:t xml:space="preserve"> P, </w:t>
      </w:r>
      <w:proofErr w:type="spellStart"/>
      <w:r w:rsidRPr="00B7408D">
        <w:rPr>
          <w:rFonts w:ascii="Book Antiqua" w:hAnsi="Book Antiqua"/>
          <w:lang w:val="en-US"/>
        </w:rPr>
        <w:t>Dorronsoro</w:t>
      </w:r>
      <w:proofErr w:type="spellEnd"/>
      <w:r w:rsidRPr="00B7408D">
        <w:rPr>
          <w:rFonts w:ascii="Book Antiqua" w:hAnsi="Book Antiqua"/>
          <w:lang w:val="en-US"/>
        </w:rPr>
        <w:t xml:space="preserve"> M, Arriola L, Molina E, Sanchez MJ, Gonzalez CA. Olive oil intake and mortality within the Spanish population (EPIC-Spain). </w:t>
      </w:r>
      <w:r w:rsidRPr="00B7408D">
        <w:rPr>
          <w:rFonts w:ascii="Book Antiqua" w:hAnsi="Book Antiqua"/>
          <w:i/>
          <w:lang w:val="en-US"/>
        </w:rPr>
        <w:t xml:space="preserve">Am J </w:t>
      </w:r>
      <w:proofErr w:type="spellStart"/>
      <w:r w:rsidRPr="00B7408D">
        <w:rPr>
          <w:rFonts w:ascii="Book Antiqua" w:hAnsi="Book Antiqua"/>
          <w:i/>
          <w:lang w:val="en-US"/>
        </w:rPr>
        <w:t>Clin</w:t>
      </w:r>
      <w:proofErr w:type="spellEnd"/>
      <w:r w:rsidRPr="00B7408D">
        <w:rPr>
          <w:rFonts w:ascii="Book Antiqua" w:hAnsi="Book Antiqua"/>
          <w:i/>
          <w:lang w:val="en-US"/>
        </w:rPr>
        <w:t xml:space="preserve"> </w:t>
      </w:r>
      <w:proofErr w:type="spellStart"/>
      <w:r w:rsidRPr="00B7408D">
        <w:rPr>
          <w:rFonts w:ascii="Book Antiqua" w:hAnsi="Book Antiqua"/>
          <w:i/>
          <w:lang w:val="en-US"/>
        </w:rPr>
        <w:t>Nutr</w:t>
      </w:r>
      <w:proofErr w:type="spellEnd"/>
      <w:r w:rsidRPr="00B7408D">
        <w:rPr>
          <w:rFonts w:ascii="Book Antiqua" w:hAnsi="Book Antiqua"/>
          <w:lang w:val="en-US"/>
        </w:rPr>
        <w:t xml:space="preserve"> 2012; </w:t>
      </w:r>
      <w:r w:rsidRPr="00B7408D">
        <w:rPr>
          <w:rFonts w:ascii="Book Antiqua" w:hAnsi="Book Antiqua"/>
          <w:b/>
          <w:lang w:val="en-US"/>
        </w:rPr>
        <w:t>96</w:t>
      </w:r>
      <w:r w:rsidRPr="00B7408D">
        <w:rPr>
          <w:rFonts w:ascii="Book Antiqua" w:hAnsi="Book Antiqua"/>
          <w:lang w:val="en-US"/>
        </w:rPr>
        <w:t>: 142-149 [PMID: 22648725 DOI: 10.3945/ajcn.111.024216]</w:t>
      </w:r>
    </w:p>
    <w:p w14:paraId="14ACD857"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7 </w:t>
      </w:r>
      <w:proofErr w:type="spellStart"/>
      <w:r w:rsidRPr="00B7408D">
        <w:rPr>
          <w:rFonts w:ascii="Book Antiqua" w:hAnsi="Book Antiqua"/>
          <w:b/>
          <w:lang w:val="en-US"/>
        </w:rPr>
        <w:t>Estruch</w:t>
      </w:r>
      <w:proofErr w:type="spellEnd"/>
      <w:r w:rsidRPr="00B7408D">
        <w:rPr>
          <w:rFonts w:ascii="Book Antiqua" w:hAnsi="Book Antiqua"/>
          <w:b/>
          <w:lang w:val="en-US"/>
        </w:rPr>
        <w:t xml:space="preserve"> R</w:t>
      </w:r>
      <w:r w:rsidRPr="00B7408D">
        <w:rPr>
          <w:rFonts w:ascii="Book Antiqua" w:hAnsi="Book Antiqua"/>
          <w:lang w:val="en-US"/>
        </w:rPr>
        <w:t xml:space="preserve">, </w:t>
      </w:r>
      <w:proofErr w:type="spellStart"/>
      <w:r w:rsidRPr="00B7408D">
        <w:rPr>
          <w:rFonts w:ascii="Book Antiqua" w:hAnsi="Book Antiqua"/>
          <w:lang w:val="en-US"/>
        </w:rPr>
        <w:t>Ros</w:t>
      </w:r>
      <w:proofErr w:type="spellEnd"/>
      <w:r w:rsidRPr="00B7408D">
        <w:rPr>
          <w:rFonts w:ascii="Book Antiqua" w:hAnsi="Book Antiqua"/>
          <w:lang w:val="en-US"/>
        </w:rPr>
        <w:t xml:space="preserve"> E, Salas-</w:t>
      </w:r>
      <w:proofErr w:type="spellStart"/>
      <w:r w:rsidRPr="00B7408D">
        <w:rPr>
          <w:rFonts w:ascii="Book Antiqua" w:hAnsi="Book Antiqua"/>
          <w:lang w:val="en-US"/>
        </w:rPr>
        <w:t>Salvadó</w:t>
      </w:r>
      <w:proofErr w:type="spellEnd"/>
      <w:r w:rsidRPr="00B7408D">
        <w:rPr>
          <w:rFonts w:ascii="Book Antiqua" w:hAnsi="Book Antiqua"/>
          <w:lang w:val="en-US"/>
        </w:rPr>
        <w:t xml:space="preserve"> J, </w:t>
      </w:r>
      <w:proofErr w:type="spellStart"/>
      <w:r w:rsidRPr="00B7408D">
        <w:rPr>
          <w:rFonts w:ascii="Book Antiqua" w:hAnsi="Book Antiqua"/>
          <w:lang w:val="en-US"/>
        </w:rPr>
        <w:t>Covas</w:t>
      </w:r>
      <w:proofErr w:type="spellEnd"/>
      <w:r w:rsidRPr="00B7408D">
        <w:rPr>
          <w:rFonts w:ascii="Book Antiqua" w:hAnsi="Book Antiqua"/>
          <w:lang w:val="en-US"/>
        </w:rPr>
        <w:t xml:space="preserve"> MI, Corella D, </w:t>
      </w:r>
      <w:proofErr w:type="spellStart"/>
      <w:r w:rsidRPr="00B7408D">
        <w:rPr>
          <w:rFonts w:ascii="Book Antiqua" w:hAnsi="Book Antiqua"/>
          <w:lang w:val="en-US"/>
        </w:rPr>
        <w:t>Arós</w:t>
      </w:r>
      <w:proofErr w:type="spellEnd"/>
      <w:r w:rsidRPr="00B7408D">
        <w:rPr>
          <w:rFonts w:ascii="Book Antiqua" w:hAnsi="Book Antiqua"/>
          <w:lang w:val="en-US"/>
        </w:rPr>
        <w:t xml:space="preserve"> F, Gómez-</w:t>
      </w:r>
      <w:proofErr w:type="spellStart"/>
      <w:r w:rsidRPr="00B7408D">
        <w:rPr>
          <w:rFonts w:ascii="Book Antiqua" w:hAnsi="Book Antiqua"/>
          <w:lang w:val="en-US"/>
        </w:rPr>
        <w:t>Gracia</w:t>
      </w:r>
      <w:proofErr w:type="spellEnd"/>
      <w:r w:rsidRPr="00B7408D">
        <w:rPr>
          <w:rFonts w:ascii="Book Antiqua" w:hAnsi="Book Antiqua"/>
          <w:lang w:val="en-US"/>
        </w:rPr>
        <w:t xml:space="preserve"> E, Ruiz-Gutiérrez V, </w:t>
      </w:r>
      <w:proofErr w:type="spellStart"/>
      <w:r w:rsidRPr="00B7408D">
        <w:rPr>
          <w:rFonts w:ascii="Book Antiqua" w:hAnsi="Book Antiqua"/>
          <w:lang w:val="en-US"/>
        </w:rPr>
        <w:t>Fiol</w:t>
      </w:r>
      <w:proofErr w:type="spellEnd"/>
      <w:r w:rsidRPr="00B7408D">
        <w:rPr>
          <w:rFonts w:ascii="Book Antiqua" w:hAnsi="Book Antiqua"/>
          <w:lang w:val="en-US"/>
        </w:rPr>
        <w:t xml:space="preserve"> M, </w:t>
      </w:r>
      <w:proofErr w:type="spellStart"/>
      <w:r w:rsidRPr="00B7408D">
        <w:rPr>
          <w:rFonts w:ascii="Book Antiqua" w:hAnsi="Book Antiqua"/>
          <w:lang w:val="en-US"/>
        </w:rPr>
        <w:t>Lapetra</w:t>
      </w:r>
      <w:proofErr w:type="spellEnd"/>
      <w:r w:rsidRPr="00B7408D">
        <w:rPr>
          <w:rFonts w:ascii="Book Antiqua" w:hAnsi="Book Antiqua"/>
          <w:lang w:val="en-US"/>
        </w:rPr>
        <w:t xml:space="preserve"> J, </w:t>
      </w:r>
      <w:proofErr w:type="spellStart"/>
      <w:r w:rsidRPr="00B7408D">
        <w:rPr>
          <w:rFonts w:ascii="Book Antiqua" w:hAnsi="Book Antiqua"/>
          <w:lang w:val="en-US"/>
        </w:rPr>
        <w:t>Lamuela-Raventos</w:t>
      </w:r>
      <w:proofErr w:type="spellEnd"/>
      <w:r w:rsidRPr="00B7408D">
        <w:rPr>
          <w:rFonts w:ascii="Book Antiqua" w:hAnsi="Book Antiqua"/>
          <w:lang w:val="en-US"/>
        </w:rPr>
        <w:t xml:space="preserve"> RM, Serra-</w:t>
      </w:r>
      <w:proofErr w:type="spellStart"/>
      <w:r w:rsidRPr="00B7408D">
        <w:rPr>
          <w:rFonts w:ascii="Book Antiqua" w:hAnsi="Book Antiqua"/>
          <w:lang w:val="en-US"/>
        </w:rPr>
        <w:t>Majem</w:t>
      </w:r>
      <w:proofErr w:type="spellEnd"/>
      <w:r w:rsidRPr="00B7408D">
        <w:rPr>
          <w:rFonts w:ascii="Book Antiqua" w:hAnsi="Book Antiqua"/>
          <w:lang w:val="en-US"/>
        </w:rPr>
        <w:t xml:space="preserve"> L, </w:t>
      </w:r>
      <w:proofErr w:type="spellStart"/>
      <w:r w:rsidRPr="00B7408D">
        <w:rPr>
          <w:rFonts w:ascii="Book Antiqua" w:hAnsi="Book Antiqua"/>
          <w:lang w:val="en-US"/>
        </w:rPr>
        <w:t>Pintó</w:t>
      </w:r>
      <w:proofErr w:type="spellEnd"/>
      <w:r w:rsidRPr="00B7408D">
        <w:rPr>
          <w:rFonts w:ascii="Book Antiqua" w:hAnsi="Book Antiqua"/>
          <w:lang w:val="en-US"/>
        </w:rPr>
        <w:t xml:space="preserve"> X, </w:t>
      </w:r>
      <w:proofErr w:type="spellStart"/>
      <w:r w:rsidRPr="00B7408D">
        <w:rPr>
          <w:rFonts w:ascii="Book Antiqua" w:hAnsi="Book Antiqua"/>
          <w:lang w:val="en-US"/>
        </w:rPr>
        <w:t>Basora</w:t>
      </w:r>
      <w:proofErr w:type="spellEnd"/>
      <w:r w:rsidRPr="00B7408D">
        <w:rPr>
          <w:rFonts w:ascii="Book Antiqua" w:hAnsi="Book Antiqua"/>
          <w:lang w:val="en-US"/>
        </w:rPr>
        <w:t xml:space="preserve"> J, Muñoz MA, </w:t>
      </w:r>
      <w:proofErr w:type="spellStart"/>
      <w:r w:rsidRPr="00B7408D">
        <w:rPr>
          <w:rFonts w:ascii="Book Antiqua" w:hAnsi="Book Antiqua"/>
          <w:lang w:val="en-US"/>
        </w:rPr>
        <w:t>Sorlí</w:t>
      </w:r>
      <w:proofErr w:type="spellEnd"/>
      <w:r w:rsidRPr="00B7408D">
        <w:rPr>
          <w:rFonts w:ascii="Book Antiqua" w:hAnsi="Book Antiqua"/>
          <w:lang w:val="en-US"/>
        </w:rPr>
        <w:t xml:space="preserve"> JV, </w:t>
      </w:r>
      <w:proofErr w:type="spellStart"/>
      <w:r w:rsidRPr="00B7408D">
        <w:rPr>
          <w:rFonts w:ascii="Book Antiqua" w:hAnsi="Book Antiqua"/>
          <w:lang w:val="en-US"/>
        </w:rPr>
        <w:t>Martínez</w:t>
      </w:r>
      <w:proofErr w:type="spellEnd"/>
      <w:r w:rsidRPr="00B7408D">
        <w:rPr>
          <w:rFonts w:ascii="Book Antiqua" w:hAnsi="Book Antiqua"/>
          <w:lang w:val="en-US"/>
        </w:rPr>
        <w:t xml:space="preserve"> JA, Martínez-González MA; PREDIMED Study Investigators. Primary prevention of cardiovascular disease with a Mediterranean diet. </w:t>
      </w:r>
      <w:r w:rsidRPr="00B7408D">
        <w:rPr>
          <w:rFonts w:ascii="Book Antiqua" w:hAnsi="Book Antiqua"/>
          <w:i/>
          <w:lang w:val="en-US"/>
        </w:rPr>
        <w:t xml:space="preserve">N </w:t>
      </w:r>
      <w:proofErr w:type="spellStart"/>
      <w:r w:rsidRPr="00B7408D">
        <w:rPr>
          <w:rFonts w:ascii="Book Antiqua" w:hAnsi="Book Antiqua"/>
          <w:i/>
          <w:lang w:val="en-US"/>
        </w:rPr>
        <w:t>Engl</w:t>
      </w:r>
      <w:proofErr w:type="spellEnd"/>
      <w:r w:rsidRPr="00B7408D">
        <w:rPr>
          <w:rFonts w:ascii="Book Antiqua" w:hAnsi="Book Antiqua"/>
          <w:i/>
          <w:lang w:val="en-US"/>
        </w:rPr>
        <w:t xml:space="preserve"> J Med</w:t>
      </w:r>
      <w:r w:rsidRPr="00B7408D">
        <w:rPr>
          <w:rFonts w:ascii="Book Antiqua" w:hAnsi="Book Antiqua"/>
          <w:lang w:val="en-US"/>
        </w:rPr>
        <w:t xml:space="preserve"> 2013; </w:t>
      </w:r>
      <w:r w:rsidRPr="00B7408D">
        <w:rPr>
          <w:rFonts w:ascii="Book Antiqua" w:hAnsi="Book Antiqua"/>
          <w:b/>
          <w:lang w:val="en-US"/>
        </w:rPr>
        <w:t>368</w:t>
      </w:r>
      <w:r w:rsidRPr="00B7408D">
        <w:rPr>
          <w:rFonts w:ascii="Book Antiqua" w:hAnsi="Book Antiqua"/>
          <w:lang w:val="en-US"/>
        </w:rPr>
        <w:t>: 1279-1290 [PMID: 23432189 DOI: 10.1056/NEJMoa1200303]</w:t>
      </w:r>
    </w:p>
    <w:p w14:paraId="45F438E7"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8 </w:t>
      </w:r>
      <w:r w:rsidRPr="00B7408D">
        <w:rPr>
          <w:rFonts w:ascii="Book Antiqua" w:hAnsi="Book Antiqua"/>
          <w:b/>
          <w:lang w:val="en-US"/>
        </w:rPr>
        <w:t>Buckland G</w:t>
      </w:r>
      <w:r w:rsidRPr="00B7408D">
        <w:rPr>
          <w:rFonts w:ascii="Book Antiqua" w:hAnsi="Book Antiqua"/>
          <w:lang w:val="en-US"/>
        </w:rPr>
        <w:t xml:space="preserve">, </w:t>
      </w:r>
      <w:proofErr w:type="spellStart"/>
      <w:r w:rsidRPr="00B7408D">
        <w:rPr>
          <w:rFonts w:ascii="Book Antiqua" w:hAnsi="Book Antiqua"/>
          <w:lang w:val="en-US"/>
        </w:rPr>
        <w:t>Agudo</w:t>
      </w:r>
      <w:proofErr w:type="spellEnd"/>
      <w:r w:rsidRPr="00B7408D">
        <w:rPr>
          <w:rFonts w:ascii="Book Antiqua" w:hAnsi="Book Antiqua"/>
          <w:lang w:val="en-US"/>
        </w:rPr>
        <w:t xml:space="preserve"> A, </w:t>
      </w:r>
      <w:proofErr w:type="spellStart"/>
      <w:r w:rsidRPr="00B7408D">
        <w:rPr>
          <w:rFonts w:ascii="Book Antiqua" w:hAnsi="Book Antiqua"/>
          <w:lang w:val="en-US"/>
        </w:rPr>
        <w:t>Travier</w:t>
      </w:r>
      <w:proofErr w:type="spellEnd"/>
      <w:r w:rsidRPr="00B7408D">
        <w:rPr>
          <w:rFonts w:ascii="Book Antiqua" w:hAnsi="Book Antiqua"/>
          <w:lang w:val="en-US"/>
        </w:rPr>
        <w:t xml:space="preserve"> N, Huerta JM, </w:t>
      </w:r>
      <w:proofErr w:type="spellStart"/>
      <w:r w:rsidRPr="00B7408D">
        <w:rPr>
          <w:rFonts w:ascii="Book Antiqua" w:hAnsi="Book Antiqua"/>
          <w:lang w:val="en-US"/>
        </w:rPr>
        <w:t>Cirera</w:t>
      </w:r>
      <w:proofErr w:type="spellEnd"/>
      <w:r w:rsidRPr="00B7408D">
        <w:rPr>
          <w:rFonts w:ascii="Book Antiqua" w:hAnsi="Book Antiqua"/>
          <w:lang w:val="en-US"/>
        </w:rPr>
        <w:t xml:space="preserve"> L, </w:t>
      </w:r>
      <w:proofErr w:type="spellStart"/>
      <w:r w:rsidRPr="00B7408D">
        <w:rPr>
          <w:rFonts w:ascii="Book Antiqua" w:hAnsi="Book Antiqua"/>
          <w:lang w:val="en-US"/>
        </w:rPr>
        <w:t>Tormo</w:t>
      </w:r>
      <w:proofErr w:type="spellEnd"/>
      <w:r w:rsidRPr="00B7408D">
        <w:rPr>
          <w:rFonts w:ascii="Book Antiqua" w:hAnsi="Book Antiqua"/>
          <w:lang w:val="en-US"/>
        </w:rPr>
        <w:t xml:space="preserve"> MJ, Navarro C, </w:t>
      </w:r>
      <w:proofErr w:type="spellStart"/>
      <w:r w:rsidRPr="00B7408D">
        <w:rPr>
          <w:rFonts w:ascii="Book Antiqua" w:hAnsi="Book Antiqua"/>
          <w:lang w:val="en-US"/>
        </w:rPr>
        <w:t>Chirlaque</w:t>
      </w:r>
      <w:proofErr w:type="spellEnd"/>
      <w:r w:rsidRPr="00B7408D">
        <w:rPr>
          <w:rFonts w:ascii="Book Antiqua" w:hAnsi="Book Antiqua"/>
          <w:lang w:val="en-US"/>
        </w:rPr>
        <w:t xml:space="preserve"> MD, Moreno-</w:t>
      </w:r>
      <w:proofErr w:type="spellStart"/>
      <w:r w:rsidRPr="00B7408D">
        <w:rPr>
          <w:rFonts w:ascii="Book Antiqua" w:hAnsi="Book Antiqua"/>
          <w:lang w:val="en-US"/>
        </w:rPr>
        <w:t>Iribas</w:t>
      </w:r>
      <w:proofErr w:type="spellEnd"/>
      <w:r w:rsidRPr="00B7408D">
        <w:rPr>
          <w:rFonts w:ascii="Book Antiqua" w:hAnsi="Book Antiqua"/>
          <w:lang w:val="en-US"/>
        </w:rPr>
        <w:t xml:space="preserve"> C, </w:t>
      </w:r>
      <w:proofErr w:type="spellStart"/>
      <w:r w:rsidRPr="00B7408D">
        <w:rPr>
          <w:rFonts w:ascii="Book Antiqua" w:hAnsi="Book Antiqua"/>
          <w:lang w:val="en-US"/>
        </w:rPr>
        <w:t>Ardanaz</w:t>
      </w:r>
      <w:proofErr w:type="spellEnd"/>
      <w:r w:rsidRPr="00B7408D">
        <w:rPr>
          <w:rFonts w:ascii="Book Antiqua" w:hAnsi="Book Antiqua"/>
          <w:lang w:val="en-US"/>
        </w:rPr>
        <w:t xml:space="preserve"> E, </w:t>
      </w:r>
      <w:proofErr w:type="spellStart"/>
      <w:r w:rsidRPr="00B7408D">
        <w:rPr>
          <w:rFonts w:ascii="Book Antiqua" w:hAnsi="Book Antiqua"/>
          <w:lang w:val="en-US"/>
        </w:rPr>
        <w:t>Barricarte</w:t>
      </w:r>
      <w:proofErr w:type="spellEnd"/>
      <w:r w:rsidRPr="00B7408D">
        <w:rPr>
          <w:rFonts w:ascii="Book Antiqua" w:hAnsi="Book Antiqua"/>
          <w:lang w:val="en-US"/>
        </w:rPr>
        <w:t xml:space="preserve"> A, </w:t>
      </w:r>
      <w:proofErr w:type="spellStart"/>
      <w:r w:rsidRPr="00B7408D">
        <w:rPr>
          <w:rFonts w:ascii="Book Antiqua" w:hAnsi="Book Antiqua"/>
          <w:lang w:val="en-US"/>
        </w:rPr>
        <w:t>Etxeberria</w:t>
      </w:r>
      <w:proofErr w:type="spellEnd"/>
      <w:r w:rsidRPr="00B7408D">
        <w:rPr>
          <w:rFonts w:ascii="Book Antiqua" w:hAnsi="Book Antiqua"/>
          <w:lang w:val="en-US"/>
        </w:rPr>
        <w:t xml:space="preserve"> J, Marin P, </w:t>
      </w:r>
      <w:proofErr w:type="spellStart"/>
      <w:r w:rsidRPr="00B7408D">
        <w:rPr>
          <w:rFonts w:ascii="Book Antiqua" w:hAnsi="Book Antiqua"/>
          <w:lang w:val="en-US"/>
        </w:rPr>
        <w:t>Quirós</w:t>
      </w:r>
      <w:proofErr w:type="spellEnd"/>
      <w:r w:rsidRPr="00B7408D">
        <w:rPr>
          <w:rFonts w:ascii="Book Antiqua" w:hAnsi="Book Antiqua"/>
          <w:lang w:val="en-US"/>
        </w:rPr>
        <w:t xml:space="preserve"> JR, Redondo ML, </w:t>
      </w:r>
      <w:proofErr w:type="spellStart"/>
      <w:r w:rsidRPr="00B7408D">
        <w:rPr>
          <w:rFonts w:ascii="Book Antiqua" w:hAnsi="Book Antiqua"/>
          <w:lang w:val="en-US"/>
        </w:rPr>
        <w:t>Larrañaga</w:t>
      </w:r>
      <w:proofErr w:type="spellEnd"/>
      <w:r w:rsidRPr="00B7408D">
        <w:rPr>
          <w:rFonts w:ascii="Book Antiqua" w:hAnsi="Book Antiqua"/>
          <w:lang w:val="en-US"/>
        </w:rPr>
        <w:t xml:space="preserve"> N, </w:t>
      </w:r>
      <w:proofErr w:type="spellStart"/>
      <w:r w:rsidRPr="00B7408D">
        <w:rPr>
          <w:rFonts w:ascii="Book Antiqua" w:hAnsi="Book Antiqua"/>
          <w:lang w:val="en-US"/>
        </w:rPr>
        <w:t>Amiano</w:t>
      </w:r>
      <w:proofErr w:type="spellEnd"/>
      <w:r w:rsidRPr="00B7408D">
        <w:rPr>
          <w:rFonts w:ascii="Book Antiqua" w:hAnsi="Book Antiqua"/>
          <w:lang w:val="en-US"/>
        </w:rPr>
        <w:t xml:space="preserve"> P, </w:t>
      </w:r>
      <w:proofErr w:type="spellStart"/>
      <w:r w:rsidRPr="00B7408D">
        <w:rPr>
          <w:rFonts w:ascii="Book Antiqua" w:hAnsi="Book Antiqua"/>
          <w:lang w:val="en-US"/>
        </w:rPr>
        <w:t>Dorronsoro</w:t>
      </w:r>
      <w:proofErr w:type="spellEnd"/>
      <w:r w:rsidRPr="00B7408D">
        <w:rPr>
          <w:rFonts w:ascii="Book Antiqua" w:hAnsi="Book Antiqua"/>
          <w:lang w:val="en-US"/>
        </w:rPr>
        <w:t xml:space="preserve"> M, </w:t>
      </w:r>
      <w:proofErr w:type="spellStart"/>
      <w:r w:rsidRPr="00B7408D">
        <w:rPr>
          <w:rFonts w:ascii="Book Antiqua" w:hAnsi="Book Antiqua"/>
          <w:lang w:val="en-US"/>
        </w:rPr>
        <w:t>Arriola</w:t>
      </w:r>
      <w:proofErr w:type="spellEnd"/>
      <w:r w:rsidRPr="00B7408D">
        <w:rPr>
          <w:rFonts w:ascii="Book Antiqua" w:hAnsi="Book Antiqua"/>
          <w:lang w:val="en-US"/>
        </w:rPr>
        <w:t xml:space="preserve"> L, </w:t>
      </w:r>
      <w:proofErr w:type="spellStart"/>
      <w:r w:rsidRPr="00B7408D">
        <w:rPr>
          <w:rFonts w:ascii="Book Antiqua" w:hAnsi="Book Antiqua"/>
          <w:lang w:val="en-US"/>
        </w:rPr>
        <w:t>Basterretxea</w:t>
      </w:r>
      <w:proofErr w:type="spellEnd"/>
      <w:r w:rsidRPr="00B7408D">
        <w:rPr>
          <w:rFonts w:ascii="Book Antiqua" w:hAnsi="Book Antiqua"/>
          <w:lang w:val="en-US"/>
        </w:rPr>
        <w:t xml:space="preserve"> M, Sanchez MJ, Molina E, González CA. Adherence to the Mediterranean diet reduces mortality in the Spanish cohort of the European Prospective Investigation into Cancer and Nutrition (EPIC-Spain). </w:t>
      </w:r>
      <w:r w:rsidRPr="00B7408D">
        <w:rPr>
          <w:rFonts w:ascii="Book Antiqua" w:hAnsi="Book Antiqua"/>
          <w:i/>
          <w:lang w:val="en-US"/>
        </w:rPr>
        <w:t xml:space="preserve">Br J </w:t>
      </w:r>
      <w:proofErr w:type="spellStart"/>
      <w:r w:rsidRPr="00B7408D">
        <w:rPr>
          <w:rFonts w:ascii="Book Antiqua" w:hAnsi="Book Antiqua"/>
          <w:i/>
          <w:lang w:val="en-US"/>
        </w:rPr>
        <w:t>Nutr</w:t>
      </w:r>
      <w:proofErr w:type="spellEnd"/>
      <w:r w:rsidRPr="00B7408D">
        <w:rPr>
          <w:rFonts w:ascii="Book Antiqua" w:hAnsi="Book Antiqua"/>
          <w:lang w:val="en-US"/>
        </w:rPr>
        <w:t xml:space="preserve"> 2011; </w:t>
      </w:r>
      <w:r w:rsidRPr="00B7408D">
        <w:rPr>
          <w:rFonts w:ascii="Book Antiqua" w:hAnsi="Book Antiqua"/>
          <w:b/>
          <w:lang w:val="en-US"/>
        </w:rPr>
        <w:t>106</w:t>
      </w:r>
      <w:r w:rsidRPr="00B7408D">
        <w:rPr>
          <w:rFonts w:ascii="Book Antiqua" w:hAnsi="Book Antiqua"/>
          <w:lang w:val="en-US"/>
        </w:rPr>
        <w:t>: 1581-1591 [PMID: 21736834 DOI: 10.1017/S0007114511002078]</w:t>
      </w:r>
    </w:p>
    <w:p w14:paraId="4537D1B5"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9 </w:t>
      </w:r>
      <w:proofErr w:type="spellStart"/>
      <w:r w:rsidRPr="00B7408D">
        <w:rPr>
          <w:rFonts w:ascii="Book Antiqua" w:hAnsi="Book Antiqua"/>
          <w:b/>
          <w:lang w:val="en-US"/>
        </w:rPr>
        <w:t>Yubero</w:t>
      </w:r>
      <w:proofErr w:type="spellEnd"/>
      <w:r w:rsidRPr="00B7408D">
        <w:rPr>
          <w:rFonts w:ascii="Book Antiqua" w:hAnsi="Book Antiqua"/>
          <w:b/>
          <w:lang w:val="en-US"/>
        </w:rPr>
        <w:t>-Serrano EM</w:t>
      </w:r>
      <w:r w:rsidRPr="00B7408D">
        <w:rPr>
          <w:rFonts w:ascii="Book Antiqua" w:hAnsi="Book Antiqua"/>
          <w:lang w:val="en-US"/>
        </w:rPr>
        <w:t xml:space="preserve">, Lopez-Moreno J, Gomez-Delgado F, Lopez-Miranda J. Extra virgin olive oil: More than a healthy fat. </w:t>
      </w:r>
      <w:proofErr w:type="spellStart"/>
      <w:r w:rsidRPr="00B7408D">
        <w:rPr>
          <w:rFonts w:ascii="Book Antiqua" w:hAnsi="Book Antiqua"/>
          <w:i/>
          <w:lang w:val="en-US"/>
        </w:rPr>
        <w:t>Eur</w:t>
      </w:r>
      <w:proofErr w:type="spellEnd"/>
      <w:r w:rsidRPr="00B7408D">
        <w:rPr>
          <w:rFonts w:ascii="Book Antiqua" w:hAnsi="Book Antiqua"/>
          <w:i/>
          <w:lang w:val="en-US"/>
        </w:rPr>
        <w:t xml:space="preserve"> J </w:t>
      </w:r>
      <w:proofErr w:type="spellStart"/>
      <w:r w:rsidRPr="00B7408D">
        <w:rPr>
          <w:rFonts w:ascii="Book Antiqua" w:hAnsi="Book Antiqua"/>
          <w:i/>
          <w:lang w:val="en-US"/>
        </w:rPr>
        <w:t>Clin</w:t>
      </w:r>
      <w:proofErr w:type="spellEnd"/>
      <w:r w:rsidRPr="00B7408D">
        <w:rPr>
          <w:rFonts w:ascii="Book Antiqua" w:hAnsi="Book Antiqua"/>
          <w:i/>
          <w:lang w:val="en-US"/>
        </w:rPr>
        <w:t xml:space="preserve"> </w:t>
      </w:r>
      <w:proofErr w:type="spellStart"/>
      <w:r w:rsidRPr="00B7408D">
        <w:rPr>
          <w:rFonts w:ascii="Book Antiqua" w:hAnsi="Book Antiqua"/>
          <w:i/>
          <w:lang w:val="en-US"/>
        </w:rPr>
        <w:t>Nutr</w:t>
      </w:r>
      <w:proofErr w:type="spellEnd"/>
      <w:r w:rsidRPr="00B7408D">
        <w:rPr>
          <w:rFonts w:ascii="Book Antiqua" w:hAnsi="Book Antiqua"/>
          <w:lang w:val="en-US"/>
        </w:rPr>
        <w:t xml:space="preserve"> 2019; </w:t>
      </w:r>
      <w:r w:rsidRPr="00B7408D">
        <w:rPr>
          <w:rFonts w:ascii="Book Antiqua" w:hAnsi="Book Antiqua"/>
          <w:b/>
          <w:lang w:val="en-US"/>
        </w:rPr>
        <w:t>72</w:t>
      </w:r>
      <w:r w:rsidRPr="00B7408D">
        <w:rPr>
          <w:rFonts w:ascii="Book Antiqua" w:hAnsi="Book Antiqua"/>
          <w:lang w:val="en-US"/>
        </w:rPr>
        <w:t>: 8-17 [PMID: 30487558 DOI: 10.1038/s41430-018-0304-x]</w:t>
      </w:r>
    </w:p>
    <w:p w14:paraId="0974D3CA"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10 </w:t>
      </w:r>
      <w:r w:rsidRPr="00B7408D">
        <w:rPr>
          <w:rFonts w:ascii="Book Antiqua" w:hAnsi="Book Antiqua"/>
          <w:b/>
          <w:lang w:val="en-US"/>
        </w:rPr>
        <w:t>Lockyer S</w:t>
      </w:r>
      <w:r w:rsidRPr="00B7408D">
        <w:rPr>
          <w:rFonts w:ascii="Book Antiqua" w:hAnsi="Book Antiqua"/>
          <w:lang w:val="en-US"/>
        </w:rPr>
        <w:t xml:space="preserve">, Rowland I, Spencer JPE, Yaqoob P, Stonehouse W. Impact of phenolic-rich olive leaf extract on blood pressure, plasma lipids and inflammatory markers: a </w:t>
      </w:r>
      <w:proofErr w:type="spellStart"/>
      <w:r w:rsidRPr="00B7408D">
        <w:rPr>
          <w:rFonts w:ascii="Book Antiqua" w:hAnsi="Book Antiqua"/>
          <w:lang w:val="en-US"/>
        </w:rPr>
        <w:t>randomised</w:t>
      </w:r>
      <w:proofErr w:type="spellEnd"/>
      <w:r w:rsidRPr="00B7408D">
        <w:rPr>
          <w:rFonts w:ascii="Book Antiqua" w:hAnsi="Book Antiqua"/>
          <w:lang w:val="en-US"/>
        </w:rPr>
        <w:t xml:space="preserve"> controlled trial. </w:t>
      </w:r>
      <w:proofErr w:type="spellStart"/>
      <w:r w:rsidRPr="00B7408D">
        <w:rPr>
          <w:rFonts w:ascii="Book Antiqua" w:hAnsi="Book Antiqua"/>
          <w:i/>
          <w:lang w:val="en-US"/>
        </w:rPr>
        <w:t>Eur</w:t>
      </w:r>
      <w:proofErr w:type="spellEnd"/>
      <w:r w:rsidRPr="00B7408D">
        <w:rPr>
          <w:rFonts w:ascii="Book Antiqua" w:hAnsi="Book Antiqua"/>
          <w:i/>
          <w:lang w:val="en-US"/>
        </w:rPr>
        <w:t xml:space="preserve"> J </w:t>
      </w:r>
      <w:proofErr w:type="spellStart"/>
      <w:r w:rsidRPr="00B7408D">
        <w:rPr>
          <w:rFonts w:ascii="Book Antiqua" w:hAnsi="Book Antiqua"/>
          <w:i/>
          <w:lang w:val="en-US"/>
        </w:rPr>
        <w:t>Nutr</w:t>
      </w:r>
      <w:proofErr w:type="spellEnd"/>
      <w:r w:rsidRPr="00B7408D">
        <w:rPr>
          <w:rFonts w:ascii="Book Antiqua" w:hAnsi="Book Antiqua"/>
          <w:lang w:val="en-US"/>
        </w:rPr>
        <w:t xml:space="preserve"> 2017; </w:t>
      </w:r>
      <w:r w:rsidRPr="00B7408D">
        <w:rPr>
          <w:rFonts w:ascii="Book Antiqua" w:hAnsi="Book Antiqua"/>
          <w:b/>
          <w:lang w:val="en-US"/>
        </w:rPr>
        <w:t>56</w:t>
      </w:r>
      <w:r w:rsidRPr="00B7408D">
        <w:rPr>
          <w:rFonts w:ascii="Book Antiqua" w:hAnsi="Book Antiqua"/>
          <w:lang w:val="en-US"/>
        </w:rPr>
        <w:t>: 1421-1432 [PMID: 26951205 DOI: 10.1007/s00394-016-1188-y]</w:t>
      </w:r>
    </w:p>
    <w:p w14:paraId="61EDA75A"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11 </w:t>
      </w:r>
      <w:proofErr w:type="spellStart"/>
      <w:r w:rsidRPr="00B7408D">
        <w:rPr>
          <w:rFonts w:ascii="Book Antiqua" w:hAnsi="Book Antiqua"/>
          <w:b/>
          <w:lang w:val="en-US"/>
        </w:rPr>
        <w:t>Hernáez</w:t>
      </w:r>
      <w:proofErr w:type="spellEnd"/>
      <w:r w:rsidRPr="00B7408D">
        <w:rPr>
          <w:rFonts w:ascii="Book Antiqua" w:hAnsi="Book Antiqua"/>
          <w:b/>
          <w:lang w:val="en-US"/>
        </w:rPr>
        <w:t xml:space="preserve"> Á</w:t>
      </w:r>
      <w:r w:rsidRPr="00B7408D">
        <w:rPr>
          <w:rFonts w:ascii="Book Antiqua" w:hAnsi="Book Antiqua"/>
          <w:lang w:val="en-US"/>
        </w:rPr>
        <w:t xml:space="preserve">, </w:t>
      </w:r>
      <w:proofErr w:type="spellStart"/>
      <w:r w:rsidRPr="00B7408D">
        <w:rPr>
          <w:rFonts w:ascii="Book Antiqua" w:hAnsi="Book Antiqua"/>
          <w:lang w:val="en-US"/>
        </w:rPr>
        <w:t>Castañer</w:t>
      </w:r>
      <w:proofErr w:type="spellEnd"/>
      <w:r w:rsidRPr="00B7408D">
        <w:rPr>
          <w:rFonts w:ascii="Book Antiqua" w:hAnsi="Book Antiqua"/>
          <w:lang w:val="en-US"/>
        </w:rPr>
        <w:t xml:space="preserve"> O, </w:t>
      </w:r>
      <w:proofErr w:type="spellStart"/>
      <w:r w:rsidRPr="00B7408D">
        <w:rPr>
          <w:rFonts w:ascii="Book Antiqua" w:hAnsi="Book Antiqua"/>
          <w:lang w:val="en-US"/>
        </w:rPr>
        <w:t>Elosua</w:t>
      </w:r>
      <w:proofErr w:type="spellEnd"/>
      <w:r w:rsidRPr="00B7408D">
        <w:rPr>
          <w:rFonts w:ascii="Book Antiqua" w:hAnsi="Book Antiqua"/>
          <w:lang w:val="en-US"/>
        </w:rPr>
        <w:t xml:space="preserve"> R, </w:t>
      </w:r>
      <w:proofErr w:type="spellStart"/>
      <w:r w:rsidRPr="00B7408D">
        <w:rPr>
          <w:rFonts w:ascii="Book Antiqua" w:hAnsi="Book Antiqua"/>
          <w:lang w:val="en-US"/>
        </w:rPr>
        <w:t>Pintó</w:t>
      </w:r>
      <w:proofErr w:type="spellEnd"/>
      <w:r w:rsidRPr="00B7408D">
        <w:rPr>
          <w:rFonts w:ascii="Book Antiqua" w:hAnsi="Book Antiqua"/>
          <w:lang w:val="en-US"/>
        </w:rPr>
        <w:t xml:space="preserve"> X, </w:t>
      </w:r>
      <w:proofErr w:type="spellStart"/>
      <w:r w:rsidRPr="00B7408D">
        <w:rPr>
          <w:rFonts w:ascii="Book Antiqua" w:hAnsi="Book Antiqua"/>
          <w:lang w:val="en-US"/>
        </w:rPr>
        <w:t>Estruch</w:t>
      </w:r>
      <w:proofErr w:type="spellEnd"/>
      <w:r w:rsidRPr="00B7408D">
        <w:rPr>
          <w:rFonts w:ascii="Book Antiqua" w:hAnsi="Book Antiqua"/>
          <w:lang w:val="en-US"/>
        </w:rPr>
        <w:t xml:space="preserve"> R, Salas-</w:t>
      </w:r>
      <w:proofErr w:type="spellStart"/>
      <w:r w:rsidRPr="00B7408D">
        <w:rPr>
          <w:rFonts w:ascii="Book Antiqua" w:hAnsi="Book Antiqua"/>
          <w:lang w:val="en-US"/>
        </w:rPr>
        <w:t>Salvadó</w:t>
      </w:r>
      <w:proofErr w:type="spellEnd"/>
      <w:r w:rsidRPr="00B7408D">
        <w:rPr>
          <w:rFonts w:ascii="Book Antiqua" w:hAnsi="Book Antiqua"/>
          <w:lang w:val="en-US"/>
        </w:rPr>
        <w:t xml:space="preserve"> J, Corella D, </w:t>
      </w:r>
      <w:proofErr w:type="spellStart"/>
      <w:r w:rsidRPr="00B7408D">
        <w:rPr>
          <w:rFonts w:ascii="Book Antiqua" w:hAnsi="Book Antiqua"/>
          <w:lang w:val="en-US"/>
        </w:rPr>
        <w:t>Arós</w:t>
      </w:r>
      <w:proofErr w:type="spellEnd"/>
      <w:r w:rsidRPr="00B7408D">
        <w:rPr>
          <w:rFonts w:ascii="Book Antiqua" w:hAnsi="Book Antiqua"/>
          <w:lang w:val="en-US"/>
        </w:rPr>
        <w:t xml:space="preserve"> F, Serra-</w:t>
      </w:r>
      <w:proofErr w:type="spellStart"/>
      <w:r w:rsidRPr="00B7408D">
        <w:rPr>
          <w:rFonts w:ascii="Book Antiqua" w:hAnsi="Book Antiqua"/>
          <w:lang w:val="en-US"/>
        </w:rPr>
        <w:t>Majem</w:t>
      </w:r>
      <w:proofErr w:type="spellEnd"/>
      <w:r w:rsidRPr="00B7408D">
        <w:rPr>
          <w:rFonts w:ascii="Book Antiqua" w:hAnsi="Book Antiqua"/>
          <w:lang w:val="en-US"/>
        </w:rPr>
        <w:t xml:space="preserve"> L, </w:t>
      </w:r>
      <w:proofErr w:type="spellStart"/>
      <w:r w:rsidRPr="00B7408D">
        <w:rPr>
          <w:rFonts w:ascii="Book Antiqua" w:hAnsi="Book Antiqua"/>
          <w:lang w:val="en-US"/>
        </w:rPr>
        <w:t>Fiol</w:t>
      </w:r>
      <w:proofErr w:type="spellEnd"/>
      <w:r w:rsidRPr="00B7408D">
        <w:rPr>
          <w:rFonts w:ascii="Book Antiqua" w:hAnsi="Book Antiqua"/>
          <w:lang w:val="en-US"/>
        </w:rPr>
        <w:t xml:space="preserve"> M, Ortega-</w:t>
      </w:r>
      <w:proofErr w:type="spellStart"/>
      <w:r w:rsidRPr="00B7408D">
        <w:rPr>
          <w:rFonts w:ascii="Book Antiqua" w:hAnsi="Book Antiqua"/>
          <w:lang w:val="en-US"/>
        </w:rPr>
        <w:t>Calvo</w:t>
      </w:r>
      <w:proofErr w:type="spellEnd"/>
      <w:r w:rsidRPr="00B7408D">
        <w:rPr>
          <w:rFonts w:ascii="Book Antiqua" w:hAnsi="Book Antiqua"/>
          <w:lang w:val="en-US"/>
        </w:rPr>
        <w:t xml:space="preserve"> M, Ros E, Martínez-González MÁ, de la Torre R, </w:t>
      </w:r>
      <w:proofErr w:type="spellStart"/>
      <w:r w:rsidRPr="00B7408D">
        <w:rPr>
          <w:rFonts w:ascii="Book Antiqua" w:hAnsi="Book Antiqua"/>
          <w:lang w:val="en-US"/>
        </w:rPr>
        <w:t>López-Sabater</w:t>
      </w:r>
      <w:proofErr w:type="spellEnd"/>
      <w:r w:rsidRPr="00B7408D">
        <w:rPr>
          <w:rFonts w:ascii="Book Antiqua" w:hAnsi="Book Antiqua"/>
          <w:lang w:val="en-US"/>
        </w:rPr>
        <w:t xml:space="preserve"> MC, </w:t>
      </w:r>
      <w:proofErr w:type="spellStart"/>
      <w:r w:rsidRPr="00B7408D">
        <w:rPr>
          <w:rFonts w:ascii="Book Antiqua" w:hAnsi="Book Antiqua"/>
          <w:lang w:val="en-US"/>
        </w:rPr>
        <w:t>Fitó</w:t>
      </w:r>
      <w:proofErr w:type="spellEnd"/>
      <w:r w:rsidRPr="00B7408D">
        <w:rPr>
          <w:rFonts w:ascii="Book Antiqua" w:hAnsi="Book Antiqua"/>
          <w:lang w:val="en-US"/>
        </w:rPr>
        <w:t xml:space="preserve"> M. Mediterranean Diet Improves High-Density Lipoprotein Function in High-Cardiovascular-Risk Individuals: A Randomized Controlled Trial. </w:t>
      </w:r>
      <w:r w:rsidRPr="00B7408D">
        <w:rPr>
          <w:rFonts w:ascii="Book Antiqua" w:hAnsi="Book Antiqua"/>
          <w:i/>
          <w:lang w:val="en-US"/>
        </w:rPr>
        <w:lastRenderedPageBreak/>
        <w:t>Circulation</w:t>
      </w:r>
      <w:r w:rsidRPr="00B7408D">
        <w:rPr>
          <w:rFonts w:ascii="Book Antiqua" w:hAnsi="Book Antiqua"/>
          <w:lang w:val="en-US"/>
        </w:rPr>
        <w:t xml:space="preserve"> 2017; </w:t>
      </w:r>
      <w:r w:rsidRPr="00B7408D">
        <w:rPr>
          <w:rFonts w:ascii="Book Antiqua" w:hAnsi="Book Antiqua"/>
          <w:b/>
          <w:lang w:val="en-US"/>
        </w:rPr>
        <w:t>135</w:t>
      </w:r>
      <w:r w:rsidRPr="00B7408D">
        <w:rPr>
          <w:rFonts w:ascii="Book Antiqua" w:hAnsi="Book Antiqua"/>
          <w:lang w:val="en-US"/>
        </w:rPr>
        <w:t>: 633-643 [PMID: 28193797 DOI: 10.1161/CIRCULATIONAHA.116.023712]</w:t>
      </w:r>
    </w:p>
    <w:p w14:paraId="7539FFA9"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12 </w:t>
      </w:r>
      <w:proofErr w:type="spellStart"/>
      <w:r w:rsidRPr="00B7408D">
        <w:rPr>
          <w:rFonts w:ascii="Book Antiqua" w:hAnsi="Book Antiqua"/>
          <w:b/>
          <w:lang w:val="en-US"/>
        </w:rPr>
        <w:t>Karantonis</w:t>
      </w:r>
      <w:proofErr w:type="spellEnd"/>
      <w:r w:rsidRPr="00B7408D">
        <w:rPr>
          <w:rFonts w:ascii="Book Antiqua" w:hAnsi="Book Antiqua"/>
          <w:b/>
          <w:lang w:val="en-US"/>
        </w:rPr>
        <w:t xml:space="preserve"> HC</w:t>
      </w:r>
      <w:r w:rsidRPr="00B7408D">
        <w:rPr>
          <w:rFonts w:ascii="Book Antiqua" w:hAnsi="Book Antiqua"/>
          <w:lang w:val="en-US"/>
        </w:rPr>
        <w:t xml:space="preserve">, </w:t>
      </w:r>
      <w:proofErr w:type="spellStart"/>
      <w:r w:rsidRPr="00B7408D">
        <w:rPr>
          <w:rFonts w:ascii="Book Antiqua" w:hAnsi="Book Antiqua"/>
          <w:lang w:val="en-US"/>
        </w:rPr>
        <w:t>Fragopoulou</w:t>
      </w:r>
      <w:proofErr w:type="spellEnd"/>
      <w:r w:rsidRPr="00B7408D">
        <w:rPr>
          <w:rFonts w:ascii="Book Antiqua" w:hAnsi="Book Antiqua"/>
          <w:lang w:val="en-US"/>
        </w:rPr>
        <w:t xml:space="preserve"> E, </w:t>
      </w:r>
      <w:proofErr w:type="spellStart"/>
      <w:r w:rsidRPr="00B7408D">
        <w:rPr>
          <w:rFonts w:ascii="Book Antiqua" w:hAnsi="Book Antiqua"/>
          <w:lang w:val="en-US"/>
        </w:rPr>
        <w:t>Antonopoulou</w:t>
      </w:r>
      <w:proofErr w:type="spellEnd"/>
      <w:r w:rsidRPr="00B7408D">
        <w:rPr>
          <w:rFonts w:ascii="Book Antiqua" w:hAnsi="Book Antiqua"/>
          <w:lang w:val="en-US"/>
        </w:rPr>
        <w:t xml:space="preserve"> S, </w:t>
      </w:r>
      <w:proofErr w:type="spellStart"/>
      <w:r w:rsidRPr="00B7408D">
        <w:rPr>
          <w:rFonts w:ascii="Book Antiqua" w:hAnsi="Book Antiqua"/>
          <w:lang w:val="en-US"/>
        </w:rPr>
        <w:t>Rementzis</w:t>
      </w:r>
      <w:proofErr w:type="spellEnd"/>
      <w:r w:rsidRPr="00B7408D">
        <w:rPr>
          <w:rFonts w:ascii="Book Antiqua" w:hAnsi="Book Antiqua"/>
          <w:lang w:val="en-US"/>
        </w:rPr>
        <w:t xml:space="preserve"> J, </w:t>
      </w:r>
      <w:proofErr w:type="spellStart"/>
      <w:r w:rsidRPr="00B7408D">
        <w:rPr>
          <w:rFonts w:ascii="Book Antiqua" w:hAnsi="Book Antiqua"/>
          <w:lang w:val="en-US"/>
        </w:rPr>
        <w:t>Phenekos</w:t>
      </w:r>
      <w:proofErr w:type="spellEnd"/>
      <w:r w:rsidRPr="00B7408D">
        <w:rPr>
          <w:rFonts w:ascii="Book Antiqua" w:hAnsi="Book Antiqua"/>
          <w:lang w:val="en-US"/>
        </w:rPr>
        <w:t xml:space="preserve"> C, Demopoulos CA. Effect of fast-food Mediterranean-type diet on type 2 diabetics and healthy human subjects' platelet aggregation. </w:t>
      </w:r>
      <w:r w:rsidRPr="00B7408D">
        <w:rPr>
          <w:rFonts w:ascii="Book Antiqua" w:hAnsi="Book Antiqua"/>
          <w:i/>
          <w:lang w:val="en-US"/>
        </w:rPr>
        <w:t xml:space="preserve">Diabetes Res </w:t>
      </w:r>
      <w:proofErr w:type="spellStart"/>
      <w:r w:rsidRPr="00B7408D">
        <w:rPr>
          <w:rFonts w:ascii="Book Antiqua" w:hAnsi="Book Antiqua"/>
          <w:i/>
          <w:lang w:val="en-US"/>
        </w:rPr>
        <w:t>Clin</w:t>
      </w:r>
      <w:proofErr w:type="spellEnd"/>
      <w:r w:rsidRPr="00B7408D">
        <w:rPr>
          <w:rFonts w:ascii="Book Antiqua" w:hAnsi="Book Antiqua"/>
          <w:i/>
          <w:lang w:val="en-US"/>
        </w:rPr>
        <w:t xml:space="preserve"> </w:t>
      </w:r>
      <w:proofErr w:type="spellStart"/>
      <w:r w:rsidRPr="00B7408D">
        <w:rPr>
          <w:rFonts w:ascii="Book Antiqua" w:hAnsi="Book Antiqua"/>
          <w:i/>
          <w:lang w:val="en-US"/>
        </w:rPr>
        <w:t>Pract</w:t>
      </w:r>
      <w:proofErr w:type="spellEnd"/>
      <w:r w:rsidRPr="00B7408D">
        <w:rPr>
          <w:rFonts w:ascii="Book Antiqua" w:hAnsi="Book Antiqua"/>
          <w:lang w:val="en-US"/>
        </w:rPr>
        <w:t xml:space="preserve"> 2006; </w:t>
      </w:r>
      <w:r w:rsidRPr="00B7408D">
        <w:rPr>
          <w:rFonts w:ascii="Book Antiqua" w:hAnsi="Book Antiqua"/>
          <w:b/>
          <w:lang w:val="en-US"/>
        </w:rPr>
        <w:t>72</w:t>
      </w:r>
      <w:r w:rsidRPr="00B7408D">
        <w:rPr>
          <w:rFonts w:ascii="Book Antiqua" w:hAnsi="Book Antiqua"/>
          <w:lang w:val="en-US"/>
        </w:rPr>
        <w:t>: 33-41 [PMID: 16236380 DOI: 10.1016/j.diabres.2005.09.003]</w:t>
      </w:r>
    </w:p>
    <w:p w14:paraId="4D11D9AD"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13 </w:t>
      </w:r>
      <w:proofErr w:type="spellStart"/>
      <w:r w:rsidRPr="00B7408D">
        <w:rPr>
          <w:rFonts w:ascii="Book Antiqua" w:hAnsi="Book Antiqua"/>
          <w:b/>
          <w:lang w:val="en-US"/>
        </w:rPr>
        <w:t>Schwingshackl</w:t>
      </w:r>
      <w:proofErr w:type="spellEnd"/>
      <w:r w:rsidRPr="00B7408D">
        <w:rPr>
          <w:rFonts w:ascii="Book Antiqua" w:hAnsi="Book Antiqua"/>
          <w:b/>
          <w:lang w:val="en-US"/>
        </w:rPr>
        <w:t xml:space="preserve"> L</w:t>
      </w:r>
      <w:r w:rsidRPr="00B7408D">
        <w:rPr>
          <w:rFonts w:ascii="Book Antiqua" w:hAnsi="Book Antiqua"/>
          <w:lang w:val="en-US"/>
        </w:rPr>
        <w:t xml:space="preserve">, Hoffmann G. Adherence to Mediterranean diet and risk of cancer: an updated systematic review and meta-analysis of observational studies. </w:t>
      </w:r>
      <w:r w:rsidRPr="00B7408D">
        <w:rPr>
          <w:rFonts w:ascii="Book Antiqua" w:hAnsi="Book Antiqua"/>
          <w:i/>
          <w:lang w:val="en-US"/>
        </w:rPr>
        <w:t>Cancer Med</w:t>
      </w:r>
      <w:r w:rsidRPr="00B7408D">
        <w:rPr>
          <w:rFonts w:ascii="Book Antiqua" w:hAnsi="Book Antiqua"/>
          <w:lang w:val="en-US"/>
        </w:rPr>
        <w:t xml:space="preserve"> 2015; </w:t>
      </w:r>
      <w:r w:rsidRPr="00B7408D">
        <w:rPr>
          <w:rFonts w:ascii="Book Antiqua" w:hAnsi="Book Antiqua"/>
          <w:b/>
          <w:lang w:val="en-US"/>
        </w:rPr>
        <w:t>4</w:t>
      </w:r>
      <w:r w:rsidRPr="00B7408D">
        <w:rPr>
          <w:rFonts w:ascii="Book Antiqua" w:hAnsi="Book Antiqua"/>
          <w:lang w:val="en-US"/>
        </w:rPr>
        <w:t>: 1933-1947 [PMID: 26471010 DOI: 10.1002/cam4.539]</w:t>
      </w:r>
    </w:p>
    <w:p w14:paraId="40D88F40"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14 </w:t>
      </w:r>
      <w:r w:rsidRPr="00B7408D">
        <w:rPr>
          <w:rFonts w:ascii="Book Antiqua" w:hAnsi="Book Antiqua"/>
          <w:b/>
          <w:lang w:val="en-US"/>
        </w:rPr>
        <w:t>Jones P</w:t>
      </w:r>
      <w:r w:rsidRPr="00B7408D">
        <w:rPr>
          <w:rFonts w:ascii="Book Antiqua" w:hAnsi="Book Antiqua"/>
          <w:lang w:val="en-US"/>
        </w:rPr>
        <w:t xml:space="preserve">, Cade JE, Evans CEL, Hancock N, Greenwood DC. The Mediterranean diet and risk of colorectal cancer in the UK Women's Cohort Study. </w:t>
      </w:r>
      <w:r w:rsidRPr="00B7408D">
        <w:rPr>
          <w:rFonts w:ascii="Book Antiqua" w:hAnsi="Book Antiqua"/>
          <w:i/>
          <w:lang w:val="en-US"/>
        </w:rPr>
        <w:t>Int J Epidemiol</w:t>
      </w:r>
      <w:r w:rsidRPr="00B7408D">
        <w:rPr>
          <w:rFonts w:ascii="Book Antiqua" w:hAnsi="Book Antiqua"/>
          <w:lang w:val="en-US"/>
        </w:rPr>
        <w:t xml:space="preserve"> 2017; </w:t>
      </w:r>
      <w:r w:rsidRPr="00B7408D">
        <w:rPr>
          <w:rFonts w:ascii="Book Antiqua" w:hAnsi="Book Antiqua"/>
          <w:b/>
          <w:lang w:val="en-US"/>
        </w:rPr>
        <w:t>46</w:t>
      </w:r>
      <w:r w:rsidRPr="00B7408D">
        <w:rPr>
          <w:rFonts w:ascii="Book Antiqua" w:hAnsi="Book Antiqua"/>
          <w:lang w:val="en-US"/>
        </w:rPr>
        <w:t>: 1786-1796 [PMID: 29025095 DOI: 10.1093/</w:t>
      </w:r>
      <w:proofErr w:type="spellStart"/>
      <w:r w:rsidRPr="00B7408D">
        <w:rPr>
          <w:rFonts w:ascii="Book Antiqua" w:hAnsi="Book Antiqua"/>
          <w:lang w:val="en-US"/>
        </w:rPr>
        <w:t>ije</w:t>
      </w:r>
      <w:proofErr w:type="spellEnd"/>
      <w:r w:rsidRPr="00B7408D">
        <w:rPr>
          <w:rFonts w:ascii="Book Antiqua" w:hAnsi="Book Antiqua"/>
          <w:lang w:val="en-US"/>
        </w:rPr>
        <w:t>/dyx155]</w:t>
      </w:r>
    </w:p>
    <w:p w14:paraId="4EFC5614" w14:textId="338CD0E9"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15 </w:t>
      </w:r>
      <w:proofErr w:type="spellStart"/>
      <w:r w:rsidRPr="00B7408D">
        <w:rPr>
          <w:rFonts w:ascii="Book Antiqua" w:hAnsi="Book Antiqua"/>
          <w:b/>
          <w:lang w:val="en-US"/>
        </w:rPr>
        <w:t>Gorzynik-Debicka</w:t>
      </w:r>
      <w:proofErr w:type="spellEnd"/>
      <w:r w:rsidRPr="00B7408D">
        <w:rPr>
          <w:rFonts w:ascii="Book Antiqua" w:hAnsi="Book Antiqua"/>
          <w:b/>
          <w:lang w:val="en-US"/>
        </w:rPr>
        <w:t xml:space="preserve"> M</w:t>
      </w:r>
      <w:r w:rsidRPr="00B7408D">
        <w:rPr>
          <w:rFonts w:ascii="Book Antiqua" w:hAnsi="Book Antiqua"/>
          <w:lang w:val="en-US"/>
        </w:rPr>
        <w:t xml:space="preserve">, </w:t>
      </w:r>
      <w:proofErr w:type="spellStart"/>
      <w:r w:rsidRPr="00B7408D">
        <w:rPr>
          <w:rFonts w:ascii="Book Antiqua" w:hAnsi="Book Antiqua"/>
          <w:lang w:val="en-US"/>
        </w:rPr>
        <w:t>Przychodzen</w:t>
      </w:r>
      <w:proofErr w:type="spellEnd"/>
      <w:r w:rsidRPr="00B7408D">
        <w:rPr>
          <w:rFonts w:ascii="Book Antiqua" w:hAnsi="Book Antiqua"/>
          <w:lang w:val="en-US"/>
        </w:rPr>
        <w:t xml:space="preserve"> P, </w:t>
      </w:r>
      <w:proofErr w:type="spellStart"/>
      <w:r w:rsidRPr="00B7408D">
        <w:rPr>
          <w:rFonts w:ascii="Book Antiqua" w:hAnsi="Book Antiqua"/>
          <w:lang w:val="en-US"/>
        </w:rPr>
        <w:t>Cappello</w:t>
      </w:r>
      <w:proofErr w:type="spellEnd"/>
      <w:r w:rsidRPr="00B7408D">
        <w:rPr>
          <w:rFonts w:ascii="Book Antiqua" w:hAnsi="Book Antiqua"/>
          <w:lang w:val="en-US"/>
        </w:rPr>
        <w:t xml:space="preserve"> F, Kuban-</w:t>
      </w:r>
      <w:proofErr w:type="spellStart"/>
      <w:r w:rsidRPr="00B7408D">
        <w:rPr>
          <w:rFonts w:ascii="Book Antiqua" w:hAnsi="Book Antiqua"/>
          <w:lang w:val="en-US"/>
        </w:rPr>
        <w:t>Jankowska</w:t>
      </w:r>
      <w:proofErr w:type="spellEnd"/>
      <w:r w:rsidRPr="00B7408D">
        <w:rPr>
          <w:rFonts w:ascii="Book Antiqua" w:hAnsi="Book Antiqua"/>
          <w:lang w:val="en-US"/>
        </w:rPr>
        <w:t xml:space="preserve"> A, Marino </w:t>
      </w:r>
      <w:proofErr w:type="spellStart"/>
      <w:r w:rsidRPr="00B7408D">
        <w:rPr>
          <w:rFonts w:ascii="Book Antiqua" w:hAnsi="Book Antiqua"/>
          <w:lang w:val="en-US"/>
        </w:rPr>
        <w:t>Gammazza</w:t>
      </w:r>
      <w:proofErr w:type="spellEnd"/>
      <w:r w:rsidRPr="00B7408D">
        <w:rPr>
          <w:rFonts w:ascii="Book Antiqua" w:hAnsi="Book Antiqua"/>
          <w:lang w:val="en-US"/>
        </w:rPr>
        <w:t xml:space="preserve"> A, Knap N, Wozniak M, </w:t>
      </w:r>
      <w:proofErr w:type="spellStart"/>
      <w:r w:rsidRPr="00B7408D">
        <w:rPr>
          <w:rFonts w:ascii="Book Antiqua" w:hAnsi="Book Antiqua"/>
          <w:lang w:val="en-US"/>
        </w:rPr>
        <w:t>Gorska-Ponikowska</w:t>
      </w:r>
      <w:proofErr w:type="spellEnd"/>
      <w:r w:rsidRPr="00B7408D">
        <w:rPr>
          <w:rFonts w:ascii="Book Antiqua" w:hAnsi="Book Antiqua"/>
          <w:lang w:val="en-US"/>
        </w:rPr>
        <w:t xml:space="preserve"> M. Potential Health Benefits of Olive Oil and Plant Polyphenols. </w:t>
      </w:r>
      <w:r w:rsidRPr="00B7408D">
        <w:rPr>
          <w:rFonts w:ascii="Book Antiqua" w:hAnsi="Book Antiqua"/>
          <w:i/>
          <w:lang w:val="en-US"/>
        </w:rPr>
        <w:t>Int J Mol Sci</w:t>
      </w:r>
      <w:r w:rsidRPr="00B7408D">
        <w:rPr>
          <w:rFonts w:ascii="Book Antiqua" w:hAnsi="Book Antiqua"/>
          <w:lang w:val="en-US"/>
        </w:rPr>
        <w:t xml:space="preserve"> 2018; </w:t>
      </w:r>
      <w:r w:rsidRPr="00B7408D">
        <w:rPr>
          <w:rFonts w:ascii="Book Antiqua" w:hAnsi="Book Antiqua"/>
          <w:b/>
          <w:lang w:val="en-US"/>
        </w:rPr>
        <w:t>19</w:t>
      </w:r>
      <w:r w:rsidR="00A07220" w:rsidRPr="00B7408D">
        <w:rPr>
          <w:rFonts w:ascii="Book Antiqua" w:hAnsi="Book Antiqua"/>
          <w:lang w:val="en-US"/>
        </w:rPr>
        <w:t>: E686</w:t>
      </w:r>
      <w:r w:rsidR="00A07220" w:rsidRPr="00B7408D">
        <w:rPr>
          <w:rFonts w:ascii="Book Antiqua" w:hAnsi="Book Antiqua" w:hint="eastAsia"/>
          <w:lang w:val="en-US"/>
        </w:rPr>
        <w:t xml:space="preserve"> </w:t>
      </w:r>
      <w:r w:rsidRPr="00B7408D">
        <w:rPr>
          <w:rFonts w:ascii="Book Antiqua" w:hAnsi="Book Antiqua"/>
          <w:lang w:val="en-US"/>
        </w:rPr>
        <w:t>[PMID: 29495598 DOI: 10.3390/ijms19030686]</w:t>
      </w:r>
    </w:p>
    <w:p w14:paraId="417F1036"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16 </w:t>
      </w:r>
      <w:proofErr w:type="spellStart"/>
      <w:r w:rsidRPr="00B7408D">
        <w:rPr>
          <w:rFonts w:ascii="Book Antiqua" w:hAnsi="Book Antiqua"/>
          <w:b/>
          <w:lang w:val="en-US"/>
        </w:rPr>
        <w:t>Scarmeas</w:t>
      </w:r>
      <w:proofErr w:type="spellEnd"/>
      <w:r w:rsidRPr="00B7408D">
        <w:rPr>
          <w:rFonts w:ascii="Book Antiqua" w:hAnsi="Book Antiqua"/>
          <w:b/>
          <w:lang w:val="en-US"/>
        </w:rPr>
        <w:t xml:space="preserve"> N</w:t>
      </w:r>
      <w:r w:rsidRPr="00B7408D">
        <w:rPr>
          <w:rFonts w:ascii="Book Antiqua" w:hAnsi="Book Antiqua"/>
          <w:lang w:val="en-US"/>
        </w:rPr>
        <w:t xml:space="preserve">, Stern Y, Tang MX, </w:t>
      </w:r>
      <w:proofErr w:type="spellStart"/>
      <w:r w:rsidRPr="00B7408D">
        <w:rPr>
          <w:rFonts w:ascii="Book Antiqua" w:hAnsi="Book Antiqua"/>
          <w:lang w:val="en-US"/>
        </w:rPr>
        <w:t>Mayeux</w:t>
      </w:r>
      <w:proofErr w:type="spellEnd"/>
      <w:r w:rsidRPr="00B7408D">
        <w:rPr>
          <w:rFonts w:ascii="Book Antiqua" w:hAnsi="Book Antiqua"/>
          <w:lang w:val="en-US"/>
        </w:rPr>
        <w:t xml:space="preserve"> R, </w:t>
      </w:r>
      <w:proofErr w:type="spellStart"/>
      <w:r w:rsidRPr="00B7408D">
        <w:rPr>
          <w:rFonts w:ascii="Book Antiqua" w:hAnsi="Book Antiqua"/>
          <w:lang w:val="en-US"/>
        </w:rPr>
        <w:t>Luchsinger</w:t>
      </w:r>
      <w:proofErr w:type="spellEnd"/>
      <w:r w:rsidRPr="00B7408D">
        <w:rPr>
          <w:rFonts w:ascii="Book Antiqua" w:hAnsi="Book Antiqua"/>
          <w:lang w:val="en-US"/>
        </w:rPr>
        <w:t xml:space="preserve"> JA. Mediterranean diet and risk for Alzheimer's disease. </w:t>
      </w:r>
      <w:r w:rsidRPr="00B7408D">
        <w:rPr>
          <w:rFonts w:ascii="Book Antiqua" w:hAnsi="Book Antiqua"/>
          <w:i/>
          <w:lang w:val="en-US"/>
        </w:rPr>
        <w:t>Ann Neurol</w:t>
      </w:r>
      <w:r w:rsidRPr="00B7408D">
        <w:rPr>
          <w:rFonts w:ascii="Book Antiqua" w:hAnsi="Book Antiqua"/>
          <w:lang w:val="en-US"/>
        </w:rPr>
        <w:t xml:space="preserve"> 2006; </w:t>
      </w:r>
      <w:r w:rsidRPr="00B7408D">
        <w:rPr>
          <w:rFonts w:ascii="Book Antiqua" w:hAnsi="Book Antiqua"/>
          <w:b/>
          <w:lang w:val="en-US"/>
        </w:rPr>
        <w:t>59</w:t>
      </w:r>
      <w:r w:rsidRPr="00B7408D">
        <w:rPr>
          <w:rFonts w:ascii="Book Antiqua" w:hAnsi="Book Antiqua"/>
          <w:lang w:val="en-US"/>
        </w:rPr>
        <w:t>: 912-921 [PMID: 16622828 DOI: 10.1002/ana.20854]</w:t>
      </w:r>
    </w:p>
    <w:p w14:paraId="429DC461"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17 </w:t>
      </w:r>
      <w:proofErr w:type="spellStart"/>
      <w:r w:rsidRPr="00B7408D">
        <w:rPr>
          <w:rFonts w:ascii="Book Antiqua" w:hAnsi="Book Antiqua"/>
          <w:b/>
          <w:lang w:val="en-US"/>
        </w:rPr>
        <w:t>Qosa</w:t>
      </w:r>
      <w:proofErr w:type="spellEnd"/>
      <w:r w:rsidRPr="00B7408D">
        <w:rPr>
          <w:rFonts w:ascii="Book Antiqua" w:hAnsi="Book Antiqua"/>
          <w:b/>
          <w:lang w:val="en-US"/>
        </w:rPr>
        <w:t xml:space="preserve"> H</w:t>
      </w:r>
      <w:r w:rsidRPr="00B7408D">
        <w:rPr>
          <w:rFonts w:ascii="Book Antiqua" w:hAnsi="Book Antiqua"/>
          <w:lang w:val="en-US"/>
        </w:rPr>
        <w:t xml:space="preserve">, Mohamed LA, </w:t>
      </w:r>
      <w:proofErr w:type="spellStart"/>
      <w:r w:rsidRPr="00B7408D">
        <w:rPr>
          <w:rFonts w:ascii="Book Antiqua" w:hAnsi="Book Antiqua"/>
          <w:lang w:val="en-US"/>
        </w:rPr>
        <w:t>Batarseh</w:t>
      </w:r>
      <w:proofErr w:type="spellEnd"/>
      <w:r w:rsidRPr="00B7408D">
        <w:rPr>
          <w:rFonts w:ascii="Book Antiqua" w:hAnsi="Book Antiqua"/>
          <w:lang w:val="en-US"/>
        </w:rPr>
        <w:t xml:space="preserve"> YS, </w:t>
      </w:r>
      <w:proofErr w:type="spellStart"/>
      <w:r w:rsidRPr="00B7408D">
        <w:rPr>
          <w:rFonts w:ascii="Book Antiqua" w:hAnsi="Book Antiqua"/>
          <w:lang w:val="en-US"/>
        </w:rPr>
        <w:t>Alqahtani</w:t>
      </w:r>
      <w:proofErr w:type="spellEnd"/>
      <w:r w:rsidRPr="00B7408D">
        <w:rPr>
          <w:rFonts w:ascii="Book Antiqua" w:hAnsi="Book Antiqua"/>
          <w:lang w:val="en-US"/>
        </w:rPr>
        <w:t xml:space="preserve"> S, Ibrahim B, </w:t>
      </w:r>
      <w:proofErr w:type="spellStart"/>
      <w:r w:rsidRPr="00B7408D">
        <w:rPr>
          <w:rFonts w:ascii="Book Antiqua" w:hAnsi="Book Antiqua"/>
          <w:lang w:val="en-US"/>
        </w:rPr>
        <w:t>LeVine</w:t>
      </w:r>
      <w:proofErr w:type="spellEnd"/>
      <w:r w:rsidRPr="00B7408D">
        <w:rPr>
          <w:rFonts w:ascii="Book Antiqua" w:hAnsi="Book Antiqua"/>
          <w:lang w:val="en-US"/>
        </w:rPr>
        <w:t xml:space="preserve"> H 3rd, Keller JN, </w:t>
      </w:r>
      <w:proofErr w:type="spellStart"/>
      <w:r w:rsidRPr="00B7408D">
        <w:rPr>
          <w:rFonts w:ascii="Book Antiqua" w:hAnsi="Book Antiqua"/>
          <w:lang w:val="en-US"/>
        </w:rPr>
        <w:t>Kaddoumi</w:t>
      </w:r>
      <w:proofErr w:type="spellEnd"/>
      <w:r w:rsidRPr="00B7408D">
        <w:rPr>
          <w:rFonts w:ascii="Book Antiqua" w:hAnsi="Book Antiqua"/>
          <w:lang w:val="en-US"/>
        </w:rPr>
        <w:t xml:space="preserve"> A. Extra-virgin olive oil attenuates amyloid-β and tau pathologies in the brains of </w:t>
      </w:r>
      <w:proofErr w:type="spellStart"/>
      <w:r w:rsidRPr="00B7408D">
        <w:rPr>
          <w:rFonts w:ascii="Book Antiqua" w:hAnsi="Book Antiqua"/>
          <w:lang w:val="en-US"/>
        </w:rPr>
        <w:t>TgSwDI</w:t>
      </w:r>
      <w:proofErr w:type="spellEnd"/>
      <w:r w:rsidRPr="00B7408D">
        <w:rPr>
          <w:rFonts w:ascii="Book Antiqua" w:hAnsi="Book Antiqua"/>
          <w:lang w:val="en-US"/>
        </w:rPr>
        <w:t xml:space="preserve"> mice. </w:t>
      </w:r>
      <w:r w:rsidRPr="00B7408D">
        <w:rPr>
          <w:rFonts w:ascii="Book Antiqua" w:hAnsi="Book Antiqua"/>
          <w:i/>
          <w:lang w:val="en-US"/>
        </w:rPr>
        <w:t xml:space="preserve">J </w:t>
      </w:r>
      <w:proofErr w:type="spellStart"/>
      <w:r w:rsidRPr="00B7408D">
        <w:rPr>
          <w:rFonts w:ascii="Book Antiqua" w:hAnsi="Book Antiqua"/>
          <w:i/>
          <w:lang w:val="en-US"/>
        </w:rPr>
        <w:t>Nutr</w:t>
      </w:r>
      <w:proofErr w:type="spellEnd"/>
      <w:r w:rsidRPr="00B7408D">
        <w:rPr>
          <w:rFonts w:ascii="Book Antiqua" w:hAnsi="Book Antiqua"/>
          <w:i/>
          <w:lang w:val="en-US"/>
        </w:rPr>
        <w:t xml:space="preserve"> </w:t>
      </w:r>
      <w:proofErr w:type="spellStart"/>
      <w:r w:rsidRPr="00B7408D">
        <w:rPr>
          <w:rFonts w:ascii="Book Antiqua" w:hAnsi="Book Antiqua"/>
          <w:i/>
          <w:lang w:val="en-US"/>
        </w:rPr>
        <w:t>Biochem</w:t>
      </w:r>
      <w:proofErr w:type="spellEnd"/>
      <w:r w:rsidRPr="00B7408D">
        <w:rPr>
          <w:rFonts w:ascii="Book Antiqua" w:hAnsi="Book Antiqua"/>
          <w:lang w:val="en-US"/>
        </w:rPr>
        <w:t xml:space="preserve"> 2015; </w:t>
      </w:r>
      <w:r w:rsidRPr="00B7408D">
        <w:rPr>
          <w:rFonts w:ascii="Book Antiqua" w:hAnsi="Book Antiqua"/>
          <w:b/>
          <w:lang w:val="en-US"/>
        </w:rPr>
        <w:t>26</w:t>
      </w:r>
      <w:r w:rsidRPr="00B7408D">
        <w:rPr>
          <w:rFonts w:ascii="Book Antiqua" w:hAnsi="Book Antiqua"/>
          <w:lang w:val="en-US"/>
        </w:rPr>
        <w:t>: 1479-1490 [PMID: 26344778 DOI: 10.1016/j.jnutbio.2015.07.022]</w:t>
      </w:r>
    </w:p>
    <w:p w14:paraId="39839222"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18 </w:t>
      </w:r>
      <w:r w:rsidRPr="00B7408D">
        <w:rPr>
          <w:rFonts w:ascii="Book Antiqua" w:hAnsi="Book Antiqua"/>
          <w:b/>
          <w:lang w:val="en-US"/>
        </w:rPr>
        <w:t>Salas-</w:t>
      </w:r>
      <w:proofErr w:type="spellStart"/>
      <w:r w:rsidRPr="00B7408D">
        <w:rPr>
          <w:rFonts w:ascii="Book Antiqua" w:hAnsi="Book Antiqua"/>
          <w:b/>
          <w:lang w:val="en-US"/>
        </w:rPr>
        <w:t>Salvadó</w:t>
      </w:r>
      <w:proofErr w:type="spellEnd"/>
      <w:r w:rsidRPr="00B7408D">
        <w:rPr>
          <w:rFonts w:ascii="Book Antiqua" w:hAnsi="Book Antiqua"/>
          <w:b/>
          <w:lang w:val="en-US"/>
        </w:rPr>
        <w:t xml:space="preserve"> J</w:t>
      </w:r>
      <w:r w:rsidRPr="00B7408D">
        <w:rPr>
          <w:rFonts w:ascii="Book Antiqua" w:hAnsi="Book Antiqua"/>
          <w:lang w:val="en-US"/>
        </w:rPr>
        <w:t xml:space="preserve">, </w:t>
      </w:r>
      <w:proofErr w:type="spellStart"/>
      <w:r w:rsidRPr="00B7408D">
        <w:rPr>
          <w:rFonts w:ascii="Book Antiqua" w:hAnsi="Book Antiqua"/>
          <w:lang w:val="en-US"/>
        </w:rPr>
        <w:t>Bulló</w:t>
      </w:r>
      <w:proofErr w:type="spellEnd"/>
      <w:r w:rsidRPr="00B7408D">
        <w:rPr>
          <w:rFonts w:ascii="Book Antiqua" w:hAnsi="Book Antiqua"/>
          <w:lang w:val="en-US"/>
        </w:rPr>
        <w:t xml:space="preserve"> M, </w:t>
      </w:r>
      <w:proofErr w:type="spellStart"/>
      <w:r w:rsidRPr="00B7408D">
        <w:rPr>
          <w:rFonts w:ascii="Book Antiqua" w:hAnsi="Book Antiqua"/>
          <w:lang w:val="en-US"/>
        </w:rPr>
        <w:t>Estruch</w:t>
      </w:r>
      <w:proofErr w:type="spellEnd"/>
      <w:r w:rsidRPr="00B7408D">
        <w:rPr>
          <w:rFonts w:ascii="Book Antiqua" w:hAnsi="Book Antiqua"/>
          <w:lang w:val="en-US"/>
        </w:rPr>
        <w:t xml:space="preserve"> R, </w:t>
      </w:r>
      <w:proofErr w:type="spellStart"/>
      <w:r w:rsidRPr="00B7408D">
        <w:rPr>
          <w:rFonts w:ascii="Book Antiqua" w:hAnsi="Book Antiqua"/>
          <w:lang w:val="en-US"/>
        </w:rPr>
        <w:t>Ros</w:t>
      </w:r>
      <w:proofErr w:type="spellEnd"/>
      <w:r w:rsidRPr="00B7408D">
        <w:rPr>
          <w:rFonts w:ascii="Book Antiqua" w:hAnsi="Book Antiqua"/>
          <w:lang w:val="en-US"/>
        </w:rPr>
        <w:t xml:space="preserve"> E, </w:t>
      </w:r>
      <w:proofErr w:type="spellStart"/>
      <w:r w:rsidRPr="00B7408D">
        <w:rPr>
          <w:rFonts w:ascii="Book Antiqua" w:hAnsi="Book Antiqua"/>
          <w:lang w:val="en-US"/>
        </w:rPr>
        <w:t>Covas</w:t>
      </w:r>
      <w:proofErr w:type="spellEnd"/>
      <w:r w:rsidRPr="00B7408D">
        <w:rPr>
          <w:rFonts w:ascii="Book Antiqua" w:hAnsi="Book Antiqua"/>
          <w:lang w:val="en-US"/>
        </w:rPr>
        <w:t xml:space="preserve"> MI, </w:t>
      </w:r>
      <w:proofErr w:type="spellStart"/>
      <w:r w:rsidRPr="00B7408D">
        <w:rPr>
          <w:rFonts w:ascii="Book Antiqua" w:hAnsi="Book Antiqua"/>
          <w:lang w:val="en-US"/>
        </w:rPr>
        <w:t>Ibarrola-Jurado</w:t>
      </w:r>
      <w:proofErr w:type="spellEnd"/>
      <w:r w:rsidRPr="00B7408D">
        <w:rPr>
          <w:rFonts w:ascii="Book Antiqua" w:hAnsi="Book Antiqua"/>
          <w:lang w:val="en-US"/>
        </w:rPr>
        <w:t xml:space="preserve"> N, Corella D, </w:t>
      </w:r>
      <w:proofErr w:type="spellStart"/>
      <w:r w:rsidRPr="00B7408D">
        <w:rPr>
          <w:rFonts w:ascii="Book Antiqua" w:hAnsi="Book Antiqua"/>
          <w:lang w:val="en-US"/>
        </w:rPr>
        <w:t>Arós</w:t>
      </w:r>
      <w:proofErr w:type="spellEnd"/>
      <w:r w:rsidRPr="00B7408D">
        <w:rPr>
          <w:rFonts w:ascii="Book Antiqua" w:hAnsi="Book Antiqua"/>
          <w:lang w:val="en-US"/>
        </w:rPr>
        <w:t xml:space="preserve"> F, Gómez-</w:t>
      </w:r>
      <w:proofErr w:type="spellStart"/>
      <w:r w:rsidRPr="00B7408D">
        <w:rPr>
          <w:rFonts w:ascii="Book Antiqua" w:hAnsi="Book Antiqua"/>
          <w:lang w:val="en-US"/>
        </w:rPr>
        <w:t>Gracia</w:t>
      </w:r>
      <w:proofErr w:type="spellEnd"/>
      <w:r w:rsidRPr="00B7408D">
        <w:rPr>
          <w:rFonts w:ascii="Book Antiqua" w:hAnsi="Book Antiqua"/>
          <w:lang w:val="en-US"/>
        </w:rPr>
        <w:t xml:space="preserve"> E, Ruiz-Gutiérrez V, </w:t>
      </w:r>
      <w:proofErr w:type="spellStart"/>
      <w:r w:rsidRPr="00B7408D">
        <w:rPr>
          <w:rFonts w:ascii="Book Antiqua" w:hAnsi="Book Antiqua"/>
          <w:lang w:val="en-US"/>
        </w:rPr>
        <w:t>Romaguera</w:t>
      </w:r>
      <w:proofErr w:type="spellEnd"/>
      <w:r w:rsidRPr="00B7408D">
        <w:rPr>
          <w:rFonts w:ascii="Book Antiqua" w:hAnsi="Book Antiqua"/>
          <w:lang w:val="en-US"/>
        </w:rPr>
        <w:t xml:space="preserve"> D, </w:t>
      </w:r>
      <w:proofErr w:type="spellStart"/>
      <w:r w:rsidRPr="00B7408D">
        <w:rPr>
          <w:rFonts w:ascii="Book Antiqua" w:hAnsi="Book Antiqua"/>
          <w:lang w:val="en-US"/>
        </w:rPr>
        <w:t>Lapetra</w:t>
      </w:r>
      <w:proofErr w:type="spellEnd"/>
      <w:r w:rsidRPr="00B7408D">
        <w:rPr>
          <w:rFonts w:ascii="Book Antiqua" w:hAnsi="Book Antiqua"/>
          <w:lang w:val="en-US"/>
        </w:rPr>
        <w:t xml:space="preserve"> J, </w:t>
      </w:r>
      <w:proofErr w:type="spellStart"/>
      <w:r w:rsidRPr="00B7408D">
        <w:rPr>
          <w:rFonts w:ascii="Book Antiqua" w:hAnsi="Book Antiqua"/>
          <w:lang w:val="en-US"/>
        </w:rPr>
        <w:t>Lamuela-Raventós</w:t>
      </w:r>
      <w:proofErr w:type="spellEnd"/>
      <w:r w:rsidRPr="00B7408D">
        <w:rPr>
          <w:rFonts w:ascii="Book Antiqua" w:hAnsi="Book Antiqua"/>
          <w:lang w:val="en-US"/>
        </w:rPr>
        <w:t xml:space="preserve"> RM, Serra-</w:t>
      </w:r>
      <w:proofErr w:type="spellStart"/>
      <w:r w:rsidRPr="00B7408D">
        <w:rPr>
          <w:rFonts w:ascii="Book Antiqua" w:hAnsi="Book Antiqua"/>
          <w:lang w:val="en-US"/>
        </w:rPr>
        <w:t>Majem</w:t>
      </w:r>
      <w:proofErr w:type="spellEnd"/>
      <w:r w:rsidRPr="00B7408D">
        <w:rPr>
          <w:rFonts w:ascii="Book Antiqua" w:hAnsi="Book Antiqua"/>
          <w:lang w:val="en-US"/>
        </w:rPr>
        <w:t xml:space="preserve"> L, </w:t>
      </w:r>
      <w:proofErr w:type="spellStart"/>
      <w:r w:rsidRPr="00B7408D">
        <w:rPr>
          <w:rFonts w:ascii="Book Antiqua" w:hAnsi="Book Antiqua"/>
          <w:lang w:val="en-US"/>
        </w:rPr>
        <w:t>Pintó</w:t>
      </w:r>
      <w:proofErr w:type="spellEnd"/>
      <w:r w:rsidRPr="00B7408D">
        <w:rPr>
          <w:rFonts w:ascii="Book Antiqua" w:hAnsi="Book Antiqua"/>
          <w:lang w:val="en-US"/>
        </w:rPr>
        <w:t xml:space="preserve"> X, </w:t>
      </w:r>
      <w:proofErr w:type="spellStart"/>
      <w:r w:rsidRPr="00B7408D">
        <w:rPr>
          <w:rFonts w:ascii="Book Antiqua" w:hAnsi="Book Antiqua"/>
          <w:lang w:val="en-US"/>
        </w:rPr>
        <w:t>Basora</w:t>
      </w:r>
      <w:proofErr w:type="spellEnd"/>
      <w:r w:rsidRPr="00B7408D">
        <w:rPr>
          <w:rFonts w:ascii="Book Antiqua" w:hAnsi="Book Antiqua"/>
          <w:lang w:val="en-US"/>
        </w:rPr>
        <w:t xml:space="preserve"> J, Muñoz MA, </w:t>
      </w:r>
      <w:proofErr w:type="spellStart"/>
      <w:r w:rsidRPr="00B7408D">
        <w:rPr>
          <w:rFonts w:ascii="Book Antiqua" w:hAnsi="Book Antiqua"/>
          <w:lang w:val="en-US"/>
        </w:rPr>
        <w:t>Sorlí</w:t>
      </w:r>
      <w:proofErr w:type="spellEnd"/>
      <w:r w:rsidRPr="00B7408D">
        <w:rPr>
          <w:rFonts w:ascii="Book Antiqua" w:hAnsi="Book Antiqua"/>
          <w:lang w:val="en-US"/>
        </w:rPr>
        <w:t xml:space="preserve"> JV, </w:t>
      </w:r>
      <w:proofErr w:type="spellStart"/>
      <w:r w:rsidRPr="00B7408D">
        <w:rPr>
          <w:rFonts w:ascii="Book Antiqua" w:hAnsi="Book Antiqua"/>
          <w:lang w:val="en-US"/>
        </w:rPr>
        <w:t>Martínez</w:t>
      </w:r>
      <w:proofErr w:type="spellEnd"/>
      <w:r w:rsidRPr="00B7408D">
        <w:rPr>
          <w:rFonts w:ascii="Book Antiqua" w:hAnsi="Book Antiqua"/>
          <w:lang w:val="en-US"/>
        </w:rPr>
        <w:t xml:space="preserve">-González MA. Prevention of diabetes with Mediterranean diets: a subgroup analysis of a randomized trial. </w:t>
      </w:r>
      <w:r w:rsidRPr="00B7408D">
        <w:rPr>
          <w:rFonts w:ascii="Book Antiqua" w:hAnsi="Book Antiqua"/>
          <w:i/>
          <w:lang w:val="en-US"/>
        </w:rPr>
        <w:t>Ann Intern Med</w:t>
      </w:r>
      <w:r w:rsidRPr="00B7408D">
        <w:rPr>
          <w:rFonts w:ascii="Book Antiqua" w:hAnsi="Book Antiqua"/>
          <w:lang w:val="en-US"/>
        </w:rPr>
        <w:t xml:space="preserve"> 2014; </w:t>
      </w:r>
      <w:r w:rsidRPr="00B7408D">
        <w:rPr>
          <w:rFonts w:ascii="Book Antiqua" w:hAnsi="Book Antiqua"/>
          <w:b/>
          <w:lang w:val="en-US"/>
        </w:rPr>
        <w:t>160</w:t>
      </w:r>
      <w:r w:rsidRPr="00B7408D">
        <w:rPr>
          <w:rFonts w:ascii="Book Antiqua" w:hAnsi="Book Antiqua"/>
          <w:lang w:val="en-US"/>
        </w:rPr>
        <w:t>: 1-10 [PMID: 24573661 DOI: 10.7326/M13-1725]</w:t>
      </w:r>
    </w:p>
    <w:p w14:paraId="0789F47A"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lastRenderedPageBreak/>
        <w:t xml:space="preserve">19 </w:t>
      </w:r>
      <w:r w:rsidRPr="00B7408D">
        <w:rPr>
          <w:rFonts w:ascii="Book Antiqua" w:hAnsi="Book Antiqua"/>
          <w:b/>
          <w:lang w:val="en-US"/>
        </w:rPr>
        <w:t>Fernández del Río L</w:t>
      </w:r>
      <w:r w:rsidRPr="00B7408D">
        <w:rPr>
          <w:rFonts w:ascii="Book Antiqua" w:hAnsi="Book Antiqua"/>
          <w:lang w:val="en-US"/>
        </w:rPr>
        <w:t>, Gutiérrez-</w:t>
      </w:r>
      <w:proofErr w:type="spellStart"/>
      <w:r w:rsidRPr="00B7408D">
        <w:rPr>
          <w:rFonts w:ascii="Book Antiqua" w:hAnsi="Book Antiqua"/>
          <w:lang w:val="en-US"/>
        </w:rPr>
        <w:t>Casado</w:t>
      </w:r>
      <w:proofErr w:type="spellEnd"/>
      <w:r w:rsidRPr="00B7408D">
        <w:rPr>
          <w:rFonts w:ascii="Book Antiqua" w:hAnsi="Book Antiqua"/>
          <w:lang w:val="en-US"/>
        </w:rPr>
        <w:t xml:space="preserve"> E, Varela-</w:t>
      </w:r>
      <w:proofErr w:type="spellStart"/>
      <w:r w:rsidRPr="00B7408D">
        <w:rPr>
          <w:rFonts w:ascii="Book Antiqua" w:hAnsi="Book Antiqua"/>
          <w:lang w:val="en-US"/>
        </w:rPr>
        <w:t>López</w:t>
      </w:r>
      <w:proofErr w:type="spellEnd"/>
      <w:r w:rsidRPr="00B7408D">
        <w:rPr>
          <w:rFonts w:ascii="Book Antiqua" w:hAnsi="Book Antiqua"/>
          <w:lang w:val="en-US"/>
        </w:rPr>
        <w:t xml:space="preserve"> A, </w:t>
      </w:r>
      <w:proofErr w:type="spellStart"/>
      <w:r w:rsidRPr="00B7408D">
        <w:rPr>
          <w:rFonts w:ascii="Book Antiqua" w:hAnsi="Book Antiqua"/>
          <w:lang w:val="en-US"/>
        </w:rPr>
        <w:t>Villalba</w:t>
      </w:r>
      <w:proofErr w:type="spellEnd"/>
      <w:r w:rsidRPr="00B7408D">
        <w:rPr>
          <w:rFonts w:ascii="Book Antiqua" w:hAnsi="Book Antiqua"/>
          <w:lang w:val="en-US"/>
        </w:rPr>
        <w:t xml:space="preserve"> JM. Olive Oil and the Hallmarks of Aging. </w:t>
      </w:r>
      <w:r w:rsidRPr="00B7408D">
        <w:rPr>
          <w:rFonts w:ascii="Book Antiqua" w:hAnsi="Book Antiqua"/>
          <w:i/>
          <w:lang w:val="en-US"/>
        </w:rPr>
        <w:t>Molecules</w:t>
      </w:r>
      <w:r w:rsidRPr="00B7408D">
        <w:rPr>
          <w:rFonts w:ascii="Book Antiqua" w:hAnsi="Book Antiqua"/>
          <w:lang w:val="en-US"/>
        </w:rPr>
        <w:t xml:space="preserve"> 2016; </w:t>
      </w:r>
      <w:r w:rsidRPr="00B7408D">
        <w:rPr>
          <w:rFonts w:ascii="Book Antiqua" w:hAnsi="Book Antiqua"/>
          <w:b/>
          <w:lang w:val="en-US"/>
        </w:rPr>
        <w:t>21</w:t>
      </w:r>
      <w:r w:rsidRPr="00B7408D">
        <w:rPr>
          <w:rFonts w:ascii="Book Antiqua" w:hAnsi="Book Antiqua"/>
          <w:lang w:val="en-US"/>
        </w:rPr>
        <w:t>: 163 [PMID: 26840281 DOI: 10.3390/molecules21020163]</w:t>
      </w:r>
    </w:p>
    <w:p w14:paraId="5274A2CB"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20 </w:t>
      </w:r>
      <w:proofErr w:type="spellStart"/>
      <w:r w:rsidRPr="00B7408D">
        <w:rPr>
          <w:rFonts w:ascii="Book Antiqua" w:hAnsi="Book Antiqua"/>
          <w:b/>
          <w:lang w:val="en-US"/>
        </w:rPr>
        <w:t>Fabiani</w:t>
      </w:r>
      <w:proofErr w:type="spellEnd"/>
      <w:r w:rsidRPr="00B7408D">
        <w:rPr>
          <w:rFonts w:ascii="Book Antiqua" w:hAnsi="Book Antiqua"/>
          <w:b/>
          <w:lang w:val="en-US"/>
        </w:rPr>
        <w:t xml:space="preserve"> R</w:t>
      </w:r>
      <w:r w:rsidRPr="00B7408D">
        <w:rPr>
          <w:rFonts w:ascii="Book Antiqua" w:hAnsi="Book Antiqua"/>
          <w:lang w:val="en-US"/>
        </w:rPr>
        <w:t xml:space="preserve">, </w:t>
      </w:r>
      <w:proofErr w:type="spellStart"/>
      <w:r w:rsidRPr="00B7408D">
        <w:rPr>
          <w:rFonts w:ascii="Book Antiqua" w:hAnsi="Book Antiqua"/>
          <w:lang w:val="en-US"/>
        </w:rPr>
        <w:t>Rosignoli</w:t>
      </w:r>
      <w:proofErr w:type="spellEnd"/>
      <w:r w:rsidRPr="00B7408D">
        <w:rPr>
          <w:rFonts w:ascii="Book Antiqua" w:hAnsi="Book Antiqua"/>
          <w:lang w:val="en-US"/>
        </w:rPr>
        <w:t xml:space="preserve"> P, De Bartolomeo A, </w:t>
      </w:r>
      <w:proofErr w:type="spellStart"/>
      <w:r w:rsidRPr="00B7408D">
        <w:rPr>
          <w:rFonts w:ascii="Book Antiqua" w:hAnsi="Book Antiqua"/>
          <w:lang w:val="en-US"/>
        </w:rPr>
        <w:t>Fuccelli</w:t>
      </w:r>
      <w:proofErr w:type="spellEnd"/>
      <w:r w:rsidRPr="00B7408D">
        <w:rPr>
          <w:rFonts w:ascii="Book Antiqua" w:hAnsi="Book Antiqua"/>
          <w:lang w:val="en-US"/>
        </w:rPr>
        <w:t xml:space="preserve"> R, </w:t>
      </w:r>
      <w:proofErr w:type="spellStart"/>
      <w:r w:rsidRPr="00B7408D">
        <w:rPr>
          <w:rFonts w:ascii="Book Antiqua" w:hAnsi="Book Antiqua"/>
          <w:lang w:val="en-US"/>
        </w:rPr>
        <w:t>Servili</w:t>
      </w:r>
      <w:proofErr w:type="spellEnd"/>
      <w:r w:rsidRPr="00B7408D">
        <w:rPr>
          <w:rFonts w:ascii="Book Antiqua" w:hAnsi="Book Antiqua"/>
          <w:lang w:val="en-US"/>
        </w:rPr>
        <w:t xml:space="preserve"> M, </w:t>
      </w:r>
      <w:proofErr w:type="spellStart"/>
      <w:r w:rsidRPr="00B7408D">
        <w:rPr>
          <w:rFonts w:ascii="Book Antiqua" w:hAnsi="Book Antiqua"/>
          <w:lang w:val="en-US"/>
        </w:rPr>
        <w:t>Montedoro</w:t>
      </w:r>
      <w:proofErr w:type="spellEnd"/>
      <w:r w:rsidRPr="00B7408D">
        <w:rPr>
          <w:rFonts w:ascii="Book Antiqua" w:hAnsi="Book Antiqua"/>
          <w:lang w:val="en-US"/>
        </w:rPr>
        <w:t xml:space="preserve"> GF, </w:t>
      </w:r>
      <w:proofErr w:type="spellStart"/>
      <w:r w:rsidRPr="00B7408D">
        <w:rPr>
          <w:rFonts w:ascii="Book Antiqua" w:hAnsi="Book Antiqua"/>
          <w:lang w:val="en-US"/>
        </w:rPr>
        <w:t>Morozzi</w:t>
      </w:r>
      <w:proofErr w:type="spellEnd"/>
      <w:r w:rsidRPr="00B7408D">
        <w:rPr>
          <w:rFonts w:ascii="Book Antiqua" w:hAnsi="Book Antiqua"/>
          <w:lang w:val="en-US"/>
        </w:rPr>
        <w:t xml:space="preserve"> G. Oxidative DNA damage is prevented by extracts of olive oil, </w:t>
      </w:r>
      <w:proofErr w:type="spellStart"/>
      <w:r w:rsidRPr="00B7408D">
        <w:rPr>
          <w:rFonts w:ascii="Book Antiqua" w:hAnsi="Book Antiqua"/>
          <w:lang w:val="en-US"/>
        </w:rPr>
        <w:t>hydroxytyrosol</w:t>
      </w:r>
      <w:proofErr w:type="spellEnd"/>
      <w:r w:rsidRPr="00B7408D">
        <w:rPr>
          <w:rFonts w:ascii="Book Antiqua" w:hAnsi="Book Antiqua"/>
          <w:lang w:val="en-US"/>
        </w:rPr>
        <w:t xml:space="preserve">, and other olive phenolic compounds in human blood mononuclear cells and HL60 cells. </w:t>
      </w:r>
      <w:r w:rsidRPr="00B7408D">
        <w:rPr>
          <w:rFonts w:ascii="Book Antiqua" w:hAnsi="Book Antiqua"/>
          <w:i/>
          <w:lang w:val="en-US"/>
        </w:rPr>
        <w:t xml:space="preserve">J </w:t>
      </w:r>
      <w:proofErr w:type="spellStart"/>
      <w:r w:rsidRPr="00B7408D">
        <w:rPr>
          <w:rFonts w:ascii="Book Antiqua" w:hAnsi="Book Antiqua"/>
          <w:i/>
          <w:lang w:val="en-US"/>
        </w:rPr>
        <w:t>Nutr</w:t>
      </w:r>
      <w:proofErr w:type="spellEnd"/>
      <w:r w:rsidRPr="00B7408D">
        <w:rPr>
          <w:rFonts w:ascii="Book Antiqua" w:hAnsi="Book Antiqua"/>
          <w:lang w:val="en-US"/>
        </w:rPr>
        <w:t xml:space="preserve"> 2008; </w:t>
      </w:r>
      <w:r w:rsidRPr="00B7408D">
        <w:rPr>
          <w:rFonts w:ascii="Book Antiqua" w:hAnsi="Book Antiqua"/>
          <w:b/>
          <w:lang w:val="en-US"/>
        </w:rPr>
        <w:t>138</w:t>
      </w:r>
      <w:r w:rsidRPr="00B7408D">
        <w:rPr>
          <w:rFonts w:ascii="Book Antiqua" w:hAnsi="Book Antiqua"/>
          <w:lang w:val="en-US"/>
        </w:rPr>
        <w:t>: 1411-1416 [PMID: 18641183 DOI: 10.1093/</w:t>
      </w:r>
      <w:proofErr w:type="spellStart"/>
      <w:r w:rsidRPr="00B7408D">
        <w:rPr>
          <w:rFonts w:ascii="Book Antiqua" w:hAnsi="Book Antiqua"/>
          <w:lang w:val="en-US"/>
        </w:rPr>
        <w:t>jn</w:t>
      </w:r>
      <w:proofErr w:type="spellEnd"/>
      <w:r w:rsidRPr="00B7408D">
        <w:rPr>
          <w:rFonts w:ascii="Book Antiqua" w:hAnsi="Book Antiqua"/>
          <w:lang w:val="en-US"/>
        </w:rPr>
        <w:t>/138.8.1411]</w:t>
      </w:r>
    </w:p>
    <w:p w14:paraId="5F96219B"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21 </w:t>
      </w:r>
      <w:proofErr w:type="spellStart"/>
      <w:r w:rsidRPr="00B7408D">
        <w:rPr>
          <w:rFonts w:ascii="Book Antiqua" w:hAnsi="Book Antiqua"/>
          <w:b/>
          <w:lang w:val="en-US"/>
        </w:rPr>
        <w:t>García-Calzón</w:t>
      </w:r>
      <w:proofErr w:type="spellEnd"/>
      <w:r w:rsidRPr="00B7408D">
        <w:rPr>
          <w:rFonts w:ascii="Book Antiqua" w:hAnsi="Book Antiqua"/>
          <w:b/>
          <w:lang w:val="en-US"/>
        </w:rPr>
        <w:t xml:space="preserve"> S</w:t>
      </w:r>
      <w:r w:rsidRPr="00B7408D">
        <w:rPr>
          <w:rFonts w:ascii="Book Antiqua" w:hAnsi="Book Antiqua"/>
          <w:lang w:val="en-US"/>
        </w:rPr>
        <w:t xml:space="preserve">, </w:t>
      </w:r>
      <w:proofErr w:type="spellStart"/>
      <w:r w:rsidRPr="00B7408D">
        <w:rPr>
          <w:rFonts w:ascii="Book Antiqua" w:hAnsi="Book Antiqua"/>
          <w:lang w:val="en-US"/>
        </w:rPr>
        <w:t>Gea</w:t>
      </w:r>
      <w:proofErr w:type="spellEnd"/>
      <w:r w:rsidRPr="00B7408D">
        <w:rPr>
          <w:rFonts w:ascii="Book Antiqua" w:hAnsi="Book Antiqua"/>
          <w:lang w:val="en-US"/>
        </w:rPr>
        <w:t xml:space="preserve"> A, </w:t>
      </w:r>
      <w:proofErr w:type="spellStart"/>
      <w:r w:rsidRPr="00B7408D">
        <w:rPr>
          <w:rFonts w:ascii="Book Antiqua" w:hAnsi="Book Antiqua"/>
          <w:lang w:val="en-US"/>
        </w:rPr>
        <w:t>Razquin</w:t>
      </w:r>
      <w:proofErr w:type="spellEnd"/>
      <w:r w:rsidRPr="00B7408D">
        <w:rPr>
          <w:rFonts w:ascii="Book Antiqua" w:hAnsi="Book Antiqua"/>
          <w:lang w:val="en-US"/>
        </w:rPr>
        <w:t xml:space="preserve"> C, Corella D, </w:t>
      </w:r>
      <w:proofErr w:type="spellStart"/>
      <w:r w:rsidRPr="00B7408D">
        <w:rPr>
          <w:rFonts w:ascii="Book Antiqua" w:hAnsi="Book Antiqua"/>
          <w:lang w:val="en-US"/>
        </w:rPr>
        <w:t>Lamuela-Raventós</w:t>
      </w:r>
      <w:proofErr w:type="spellEnd"/>
      <w:r w:rsidRPr="00B7408D">
        <w:rPr>
          <w:rFonts w:ascii="Book Antiqua" w:hAnsi="Book Antiqua"/>
          <w:lang w:val="en-US"/>
        </w:rPr>
        <w:t xml:space="preserve"> RM, </w:t>
      </w:r>
      <w:proofErr w:type="spellStart"/>
      <w:r w:rsidRPr="00B7408D">
        <w:rPr>
          <w:rFonts w:ascii="Book Antiqua" w:hAnsi="Book Antiqua"/>
          <w:lang w:val="en-US"/>
        </w:rPr>
        <w:t>Martínez</w:t>
      </w:r>
      <w:proofErr w:type="spellEnd"/>
      <w:r w:rsidRPr="00B7408D">
        <w:rPr>
          <w:rFonts w:ascii="Book Antiqua" w:hAnsi="Book Antiqua"/>
          <w:lang w:val="en-US"/>
        </w:rPr>
        <w:t xml:space="preserve"> JA, </w:t>
      </w:r>
      <w:proofErr w:type="spellStart"/>
      <w:r w:rsidRPr="00B7408D">
        <w:rPr>
          <w:rFonts w:ascii="Book Antiqua" w:hAnsi="Book Antiqua"/>
          <w:lang w:val="en-US"/>
        </w:rPr>
        <w:t>Martínez</w:t>
      </w:r>
      <w:proofErr w:type="spellEnd"/>
      <w:r w:rsidRPr="00B7408D">
        <w:rPr>
          <w:rFonts w:ascii="Book Antiqua" w:hAnsi="Book Antiqua"/>
          <w:lang w:val="en-US"/>
        </w:rPr>
        <w:t xml:space="preserve">-González MA, </w:t>
      </w:r>
      <w:proofErr w:type="spellStart"/>
      <w:r w:rsidRPr="00B7408D">
        <w:rPr>
          <w:rFonts w:ascii="Book Antiqua" w:hAnsi="Book Antiqua"/>
          <w:lang w:val="en-US"/>
        </w:rPr>
        <w:t>Zalba</w:t>
      </w:r>
      <w:proofErr w:type="spellEnd"/>
      <w:r w:rsidRPr="00B7408D">
        <w:rPr>
          <w:rFonts w:ascii="Book Antiqua" w:hAnsi="Book Antiqua"/>
          <w:lang w:val="en-US"/>
        </w:rPr>
        <w:t xml:space="preserve"> G, Marti A. Longitudinal association of telomere length and obesity indices in an intervention study with a Mediterranean diet: the PREDIMED-NAVARRA trial. </w:t>
      </w:r>
      <w:proofErr w:type="spellStart"/>
      <w:r w:rsidRPr="00B7408D">
        <w:rPr>
          <w:rFonts w:ascii="Book Antiqua" w:hAnsi="Book Antiqua"/>
          <w:i/>
          <w:lang w:val="en-US"/>
        </w:rPr>
        <w:t>Int</w:t>
      </w:r>
      <w:proofErr w:type="spellEnd"/>
      <w:r w:rsidRPr="00B7408D">
        <w:rPr>
          <w:rFonts w:ascii="Book Antiqua" w:hAnsi="Book Antiqua"/>
          <w:i/>
          <w:lang w:val="en-US"/>
        </w:rPr>
        <w:t xml:space="preserve"> J </w:t>
      </w:r>
      <w:proofErr w:type="spellStart"/>
      <w:r w:rsidRPr="00B7408D">
        <w:rPr>
          <w:rFonts w:ascii="Book Antiqua" w:hAnsi="Book Antiqua"/>
          <w:i/>
          <w:lang w:val="en-US"/>
        </w:rPr>
        <w:t>Obes</w:t>
      </w:r>
      <w:proofErr w:type="spellEnd"/>
      <w:r w:rsidRPr="00B7408D">
        <w:rPr>
          <w:rFonts w:ascii="Book Antiqua" w:hAnsi="Book Antiqua"/>
          <w:i/>
          <w:lang w:val="en-US"/>
        </w:rPr>
        <w:t xml:space="preserve"> (</w:t>
      </w:r>
      <w:proofErr w:type="spellStart"/>
      <w:r w:rsidRPr="00B7408D">
        <w:rPr>
          <w:rFonts w:ascii="Book Antiqua" w:hAnsi="Book Antiqua"/>
          <w:i/>
          <w:lang w:val="en-US"/>
        </w:rPr>
        <w:t>Lond</w:t>
      </w:r>
      <w:proofErr w:type="spellEnd"/>
      <w:r w:rsidRPr="00B7408D">
        <w:rPr>
          <w:rFonts w:ascii="Book Antiqua" w:hAnsi="Book Antiqua"/>
          <w:i/>
          <w:lang w:val="en-US"/>
        </w:rPr>
        <w:t>)</w:t>
      </w:r>
      <w:r w:rsidRPr="00B7408D">
        <w:rPr>
          <w:rFonts w:ascii="Book Antiqua" w:hAnsi="Book Antiqua"/>
          <w:lang w:val="en-US"/>
        </w:rPr>
        <w:t xml:space="preserve"> 2014; </w:t>
      </w:r>
      <w:r w:rsidRPr="00B7408D">
        <w:rPr>
          <w:rFonts w:ascii="Book Antiqua" w:hAnsi="Book Antiqua"/>
          <w:b/>
          <w:lang w:val="en-US"/>
        </w:rPr>
        <w:t>38</w:t>
      </w:r>
      <w:r w:rsidRPr="00B7408D">
        <w:rPr>
          <w:rFonts w:ascii="Book Antiqua" w:hAnsi="Book Antiqua"/>
          <w:lang w:val="en-US"/>
        </w:rPr>
        <w:t>: 177-182 [PMID: 23711776 DOI: 10.1038/ijo.2013.68]</w:t>
      </w:r>
    </w:p>
    <w:p w14:paraId="1D942BAD"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22 </w:t>
      </w:r>
      <w:proofErr w:type="spellStart"/>
      <w:r w:rsidRPr="00B7408D">
        <w:rPr>
          <w:rFonts w:ascii="Book Antiqua" w:hAnsi="Book Antiqua"/>
          <w:b/>
          <w:lang w:val="en-US"/>
        </w:rPr>
        <w:t>Katsiki</w:t>
      </w:r>
      <w:proofErr w:type="spellEnd"/>
      <w:r w:rsidRPr="00B7408D">
        <w:rPr>
          <w:rFonts w:ascii="Book Antiqua" w:hAnsi="Book Antiqua"/>
          <w:b/>
          <w:lang w:val="en-US"/>
        </w:rPr>
        <w:t xml:space="preserve"> M</w:t>
      </w:r>
      <w:r w:rsidRPr="00B7408D">
        <w:rPr>
          <w:rFonts w:ascii="Book Antiqua" w:hAnsi="Book Antiqua"/>
          <w:lang w:val="en-US"/>
        </w:rPr>
        <w:t xml:space="preserve">, </w:t>
      </w:r>
      <w:proofErr w:type="spellStart"/>
      <w:r w:rsidRPr="00B7408D">
        <w:rPr>
          <w:rFonts w:ascii="Book Antiqua" w:hAnsi="Book Antiqua"/>
          <w:lang w:val="en-US"/>
        </w:rPr>
        <w:t>Chondrogianni</w:t>
      </w:r>
      <w:proofErr w:type="spellEnd"/>
      <w:r w:rsidRPr="00B7408D">
        <w:rPr>
          <w:rFonts w:ascii="Book Antiqua" w:hAnsi="Book Antiqua"/>
          <w:lang w:val="en-US"/>
        </w:rPr>
        <w:t xml:space="preserve"> N, </w:t>
      </w:r>
      <w:proofErr w:type="spellStart"/>
      <w:r w:rsidRPr="00B7408D">
        <w:rPr>
          <w:rFonts w:ascii="Book Antiqua" w:hAnsi="Book Antiqua"/>
          <w:lang w:val="en-US"/>
        </w:rPr>
        <w:t>Chinou</w:t>
      </w:r>
      <w:proofErr w:type="spellEnd"/>
      <w:r w:rsidRPr="00B7408D">
        <w:rPr>
          <w:rFonts w:ascii="Book Antiqua" w:hAnsi="Book Antiqua"/>
          <w:lang w:val="en-US"/>
        </w:rPr>
        <w:t xml:space="preserve"> I, Rivett AJ, </w:t>
      </w:r>
      <w:proofErr w:type="spellStart"/>
      <w:r w:rsidRPr="00B7408D">
        <w:rPr>
          <w:rFonts w:ascii="Book Antiqua" w:hAnsi="Book Antiqua"/>
          <w:lang w:val="en-US"/>
        </w:rPr>
        <w:t>Gonos</w:t>
      </w:r>
      <w:proofErr w:type="spellEnd"/>
      <w:r w:rsidRPr="00B7408D">
        <w:rPr>
          <w:rFonts w:ascii="Book Antiqua" w:hAnsi="Book Antiqua"/>
          <w:lang w:val="en-US"/>
        </w:rPr>
        <w:t xml:space="preserve"> ES. The olive constituent oleuropein exhibits proteasome stimulatory properties in vitro and confers life span extension of human embryonic fibroblasts. </w:t>
      </w:r>
      <w:r w:rsidRPr="00B7408D">
        <w:rPr>
          <w:rFonts w:ascii="Book Antiqua" w:hAnsi="Book Antiqua"/>
          <w:i/>
          <w:lang w:val="en-US"/>
        </w:rPr>
        <w:t>Rejuvenation Res</w:t>
      </w:r>
      <w:r w:rsidRPr="00B7408D">
        <w:rPr>
          <w:rFonts w:ascii="Book Antiqua" w:hAnsi="Book Antiqua"/>
          <w:lang w:val="en-US"/>
        </w:rPr>
        <w:t xml:space="preserve"> 2007; </w:t>
      </w:r>
      <w:r w:rsidRPr="00B7408D">
        <w:rPr>
          <w:rFonts w:ascii="Book Antiqua" w:hAnsi="Book Antiqua"/>
          <w:b/>
          <w:lang w:val="en-US"/>
        </w:rPr>
        <w:t>10</w:t>
      </w:r>
      <w:r w:rsidRPr="00B7408D">
        <w:rPr>
          <w:rFonts w:ascii="Book Antiqua" w:hAnsi="Book Antiqua"/>
          <w:lang w:val="en-US"/>
        </w:rPr>
        <w:t>: 157-172 [PMID: 17518699 DOI: 10.1089/rej.2006.0513]</w:t>
      </w:r>
    </w:p>
    <w:p w14:paraId="585C42B2"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23 </w:t>
      </w:r>
      <w:proofErr w:type="spellStart"/>
      <w:r w:rsidRPr="00B7408D">
        <w:rPr>
          <w:rFonts w:ascii="Book Antiqua" w:hAnsi="Book Antiqua"/>
          <w:b/>
          <w:lang w:val="en-US"/>
        </w:rPr>
        <w:t>Cesari</w:t>
      </w:r>
      <w:proofErr w:type="spellEnd"/>
      <w:r w:rsidRPr="00B7408D">
        <w:rPr>
          <w:rFonts w:ascii="Book Antiqua" w:hAnsi="Book Antiqua"/>
          <w:b/>
          <w:lang w:val="en-US"/>
        </w:rPr>
        <w:t xml:space="preserve"> F</w:t>
      </w:r>
      <w:r w:rsidRPr="00B7408D">
        <w:rPr>
          <w:rFonts w:ascii="Book Antiqua" w:hAnsi="Book Antiqua"/>
          <w:lang w:val="en-US"/>
        </w:rPr>
        <w:t xml:space="preserve">, Sofi F, Molino </w:t>
      </w:r>
      <w:proofErr w:type="spellStart"/>
      <w:r w:rsidRPr="00B7408D">
        <w:rPr>
          <w:rFonts w:ascii="Book Antiqua" w:hAnsi="Book Antiqua"/>
          <w:lang w:val="en-US"/>
        </w:rPr>
        <w:t>Lova</w:t>
      </w:r>
      <w:proofErr w:type="spellEnd"/>
      <w:r w:rsidRPr="00B7408D">
        <w:rPr>
          <w:rFonts w:ascii="Book Antiqua" w:hAnsi="Book Antiqua"/>
          <w:lang w:val="en-US"/>
        </w:rPr>
        <w:t xml:space="preserve"> R, </w:t>
      </w:r>
      <w:proofErr w:type="spellStart"/>
      <w:r w:rsidRPr="00B7408D">
        <w:rPr>
          <w:rFonts w:ascii="Book Antiqua" w:hAnsi="Book Antiqua"/>
          <w:lang w:val="en-US"/>
        </w:rPr>
        <w:t>Vannetti</w:t>
      </w:r>
      <w:proofErr w:type="spellEnd"/>
      <w:r w:rsidRPr="00B7408D">
        <w:rPr>
          <w:rFonts w:ascii="Book Antiqua" w:hAnsi="Book Antiqua"/>
          <w:lang w:val="en-US"/>
        </w:rPr>
        <w:t xml:space="preserve"> F, </w:t>
      </w:r>
      <w:proofErr w:type="spellStart"/>
      <w:r w:rsidRPr="00B7408D">
        <w:rPr>
          <w:rFonts w:ascii="Book Antiqua" w:hAnsi="Book Antiqua"/>
          <w:lang w:val="en-US"/>
        </w:rPr>
        <w:t>Pasquini</w:t>
      </w:r>
      <w:proofErr w:type="spellEnd"/>
      <w:r w:rsidRPr="00B7408D">
        <w:rPr>
          <w:rFonts w:ascii="Book Antiqua" w:hAnsi="Book Antiqua"/>
          <w:lang w:val="en-US"/>
        </w:rPr>
        <w:t xml:space="preserve"> G, </w:t>
      </w:r>
      <w:proofErr w:type="spellStart"/>
      <w:r w:rsidRPr="00B7408D">
        <w:rPr>
          <w:rFonts w:ascii="Book Antiqua" w:hAnsi="Book Antiqua"/>
          <w:lang w:val="en-US"/>
        </w:rPr>
        <w:t>Cecchi</w:t>
      </w:r>
      <w:proofErr w:type="spellEnd"/>
      <w:r w:rsidRPr="00B7408D">
        <w:rPr>
          <w:rFonts w:ascii="Book Antiqua" w:hAnsi="Book Antiqua"/>
          <w:lang w:val="en-US"/>
        </w:rPr>
        <w:t xml:space="preserve"> F, </w:t>
      </w:r>
      <w:proofErr w:type="spellStart"/>
      <w:r w:rsidRPr="00B7408D">
        <w:rPr>
          <w:rFonts w:ascii="Book Antiqua" w:hAnsi="Book Antiqua"/>
          <w:lang w:val="en-US"/>
        </w:rPr>
        <w:t>Marcucci</w:t>
      </w:r>
      <w:proofErr w:type="spellEnd"/>
      <w:r w:rsidRPr="00B7408D">
        <w:rPr>
          <w:rFonts w:ascii="Book Antiqua" w:hAnsi="Book Antiqua"/>
          <w:lang w:val="en-US"/>
        </w:rPr>
        <w:t xml:space="preserve"> R, Gori AM, </w:t>
      </w:r>
      <w:proofErr w:type="spellStart"/>
      <w:r w:rsidRPr="00B7408D">
        <w:rPr>
          <w:rFonts w:ascii="Book Antiqua" w:hAnsi="Book Antiqua"/>
          <w:lang w:val="en-US"/>
        </w:rPr>
        <w:t>Macchi</w:t>
      </w:r>
      <w:proofErr w:type="spellEnd"/>
      <w:r w:rsidRPr="00B7408D">
        <w:rPr>
          <w:rFonts w:ascii="Book Antiqua" w:hAnsi="Book Antiqua"/>
          <w:lang w:val="en-US"/>
        </w:rPr>
        <w:t xml:space="preserve"> C; </w:t>
      </w:r>
      <w:proofErr w:type="spellStart"/>
      <w:r w:rsidRPr="00B7408D">
        <w:rPr>
          <w:rFonts w:ascii="Book Antiqua" w:hAnsi="Book Antiqua"/>
          <w:lang w:val="en-US"/>
        </w:rPr>
        <w:t>Mugello</w:t>
      </w:r>
      <w:proofErr w:type="spellEnd"/>
      <w:r w:rsidRPr="00B7408D">
        <w:rPr>
          <w:rFonts w:ascii="Book Antiqua" w:hAnsi="Book Antiqua"/>
          <w:lang w:val="en-US"/>
        </w:rPr>
        <w:t xml:space="preserve"> Study Working Group. Aging process, adherence to Mediterranean diet and nutritional status in a large cohort of nonagenarians: Effects on endothelial progenitor cells. </w:t>
      </w:r>
      <w:proofErr w:type="spellStart"/>
      <w:r w:rsidRPr="00B7408D">
        <w:rPr>
          <w:rFonts w:ascii="Book Antiqua" w:hAnsi="Book Antiqua"/>
          <w:i/>
          <w:lang w:val="en-US"/>
        </w:rPr>
        <w:t>Nutr</w:t>
      </w:r>
      <w:proofErr w:type="spellEnd"/>
      <w:r w:rsidRPr="00B7408D">
        <w:rPr>
          <w:rFonts w:ascii="Book Antiqua" w:hAnsi="Book Antiqua"/>
          <w:i/>
          <w:lang w:val="en-US"/>
        </w:rPr>
        <w:t xml:space="preserve"> </w:t>
      </w:r>
      <w:proofErr w:type="spellStart"/>
      <w:r w:rsidRPr="00B7408D">
        <w:rPr>
          <w:rFonts w:ascii="Book Antiqua" w:hAnsi="Book Antiqua"/>
          <w:i/>
          <w:lang w:val="en-US"/>
        </w:rPr>
        <w:t>Metab</w:t>
      </w:r>
      <w:proofErr w:type="spellEnd"/>
      <w:r w:rsidRPr="00B7408D">
        <w:rPr>
          <w:rFonts w:ascii="Book Antiqua" w:hAnsi="Book Antiqua"/>
          <w:i/>
          <w:lang w:val="en-US"/>
        </w:rPr>
        <w:t xml:space="preserve"> </w:t>
      </w:r>
      <w:proofErr w:type="spellStart"/>
      <w:r w:rsidRPr="00B7408D">
        <w:rPr>
          <w:rFonts w:ascii="Book Antiqua" w:hAnsi="Book Antiqua"/>
          <w:i/>
          <w:lang w:val="en-US"/>
        </w:rPr>
        <w:t>Cardiovasc</w:t>
      </w:r>
      <w:proofErr w:type="spellEnd"/>
      <w:r w:rsidRPr="00B7408D">
        <w:rPr>
          <w:rFonts w:ascii="Book Antiqua" w:hAnsi="Book Antiqua"/>
          <w:i/>
          <w:lang w:val="en-US"/>
        </w:rPr>
        <w:t xml:space="preserve"> Dis</w:t>
      </w:r>
      <w:r w:rsidRPr="00B7408D">
        <w:rPr>
          <w:rFonts w:ascii="Book Antiqua" w:hAnsi="Book Antiqua"/>
          <w:lang w:val="en-US"/>
        </w:rPr>
        <w:t xml:space="preserve"> 2018; </w:t>
      </w:r>
      <w:r w:rsidRPr="00B7408D">
        <w:rPr>
          <w:rFonts w:ascii="Book Antiqua" w:hAnsi="Book Antiqua"/>
          <w:b/>
          <w:lang w:val="en-US"/>
        </w:rPr>
        <w:t>28</w:t>
      </w:r>
      <w:r w:rsidRPr="00B7408D">
        <w:rPr>
          <w:rFonts w:ascii="Book Antiqua" w:hAnsi="Book Antiqua"/>
          <w:lang w:val="en-US"/>
        </w:rPr>
        <w:t>: 84-90 [PMID: 29167060 DOI: 10.1016/j.numecd.2017.09.003]</w:t>
      </w:r>
    </w:p>
    <w:p w14:paraId="66777F01" w14:textId="58D4E8DE"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24 </w:t>
      </w:r>
      <w:proofErr w:type="spellStart"/>
      <w:r w:rsidRPr="00B7408D">
        <w:rPr>
          <w:rFonts w:ascii="Book Antiqua" w:hAnsi="Book Antiqua"/>
          <w:b/>
          <w:lang w:val="en-US"/>
        </w:rPr>
        <w:t>Pittenger</w:t>
      </w:r>
      <w:proofErr w:type="spellEnd"/>
      <w:r w:rsidRPr="00B7408D">
        <w:rPr>
          <w:rFonts w:ascii="Book Antiqua" w:hAnsi="Book Antiqua"/>
          <w:b/>
          <w:lang w:val="en-US"/>
        </w:rPr>
        <w:t xml:space="preserve"> MF</w:t>
      </w:r>
      <w:r w:rsidRPr="00B7408D">
        <w:rPr>
          <w:rFonts w:ascii="Book Antiqua" w:hAnsi="Book Antiqua"/>
          <w:lang w:val="en-US"/>
        </w:rPr>
        <w:t xml:space="preserve">, Mackay AM, Beck SC, Jaiswal RK, Douglas R, </w:t>
      </w:r>
      <w:proofErr w:type="spellStart"/>
      <w:r w:rsidRPr="00B7408D">
        <w:rPr>
          <w:rFonts w:ascii="Book Antiqua" w:hAnsi="Book Antiqua"/>
          <w:lang w:val="en-US"/>
        </w:rPr>
        <w:t>Mosca</w:t>
      </w:r>
      <w:proofErr w:type="spellEnd"/>
      <w:r w:rsidRPr="00B7408D">
        <w:rPr>
          <w:rFonts w:ascii="Book Antiqua" w:hAnsi="Book Antiqua"/>
          <w:lang w:val="en-US"/>
        </w:rPr>
        <w:t xml:space="preserve"> JD, Moorman MA, Simonetti DW, Craig S, </w:t>
      </w:r>
      <w:proofErr w:type="spellStart"/>
      <w:r w:rsidRPr="00B7408D">
        <w:rPr>
          <w:rFonts w:ascii="Book Antiqua" w:hAnsi="Book Antiqua"/>
          <w:lang w:val="en-US"/>
        </w:rPr>
        <w:t>Marshak</w:t>
      </w:r>
      <w:proofErr w:type="spellEnd"/>
      <w:r w:rsidRPr="00B7408D">
        <w:rPr>
          <w:rFonts w:ascii="Book Antiqua" w:hAnsi="Book Antiqua"/>
          <w:lang w:val="en-US"/>
        </w:rPr>
        <w:t xml:space="preserve"> DR. Multilineage potential of adult human mesenchymal stem cells. </w:t>
      </w:r>
      <w:r w:rsidRPr="00B7408D">
        <w:rPr>
          <w:rFonts w:ascii="Book Antiqua" w:hAnsi="Book Antiqua"/>
          <w:i/>
          <w:lang w:val="en-US"/>
        </w:rPr>
        <w:t>Science</w:t>
      </w:r>
      <w:r w:rsidRPr="00B7408D">
        <w:rPr>
          <w:rFonts w:ascii="Book Antiqua" w:hAnsi="Book Antiqua"/>
          <w:lang w:val="en-US"/>
        </w:rPr>
        <w:t xml:space="preserve"> 1999; </w:t>
      </w:r>
      <w:r w:rsidRPr="00B7408D">
        <w:rPr>
          <w:rFonts w:ascii="Book Antiqua" w:hAnsi="Book Antiqua"/>
          <w:b/>
          <w:lang w:val="en-US"/>
        </w:rPr>
        <w:t>284</w:t>
      </w:r>
      <w:r w:rsidRPr="00B7408D">
        <w:rPr>
          <w:rFonts w:ascii="Book Antiqua" w:hAnsi="Book Antiqua"/>
          <w:lang w:val="en-US"/>
        </w:rPr>
        <w:t>: 143-147 [PMID: 10102814</w:t>
      </w:r>
      <w:r w:rsidR="000079E4" w:rsidRPr="00B7408D">
        <w:rPr>
          <w:rFonts w:ascii="Book Antiqua" w:hAnsi="Book Antiqua"/>
          <w:lang w:val="en-US"/>
        </w:rPr>
        <w:t xml:space="preserve"> DOI: 10.1126/science.284.5411.143</w:t>
      </w:r>
      <w:r w:rsidRPr="00B7408D">
        <w:rPr>
          <w:rFonts w:ascii="Book Antiqua" w:hAnsi="Book Antiqua"/>
          <w:lang w:val="en-US"/>
        </w:rPr>
        <w:t>]</w:t>
      </w:r>
    </w:p>
    <w:p w14:paraId="11502920"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25 </w:t>
      </w:r>
      <w:r w:rsidRPr="00B7408D">
        <w:rPr>
          <w:rFonts w:ascii="Book Antiqua" w:hAnsi="Book Antiqua"/>
          <w:b/>
          <w:lang w:val="en-US"/>
        </w:rPr>
        <w:t>Huang S</w:t>
      </w:r>
      <w:r w:rsidRPr="00B7408D">
        <w:rPr>
          <w:rFonts w:ascii="Book Antiqua" w:hAnsi="Book Antiqua"/>
          <w:lang w:val="en-US"/>
        </w:rPr>
        <w:t xml:space="preserve">, Leung V, Peng S, Li L, Lu FJ, Wang T, Lu W, Cheung KM, Zhou G. Developmental definition of MSCs: new insights into pending questions. </w:t>
      </w:r>
      <w:r w:rsidRPr="00B7408D">
        <w:rPr>
          <w:rFonts w:ascii="Book Antiqua" w:hAnsi="Book Antiqua"/>
          <w:i/>
          <w:lang w:val="en-US"/>
        </w:rPr>
        <w:t>Cell Reprogram</w:t>
      </w:r>
      <w:r w:rsidRPr="00B7408D">
        <w:rPr>
          <w:rFonts w:ascii="Book Antiqua" w:hAnsi="Book Antiqua"/>
          <w:lang w:val="en-US"/>
        </w:rPr>
        <w:t xml:space="preserve"> 2011; </w:t>
      </w:r>
      <w:r w:rsidRPr="00B7408D">
        <w:rPr>
          <w:rFonts w:ascii="Book Antiqua" w:hAnsi="Book Antiqua"/>
          <w:b/>
          <w:lang w:val="en-US"/>
        </w:rPr>
        <w:t>13</w:t>
      </w:r>
      <w:r w:rsidRPr="00B7408D">
        <w:rPr>
          <w:rFonts w:ascii="Book Antiqua" w:hAnsi="Book Antiqua"/>
          <w:lang w:val="en-US"/>
        </w:rPr>
        <w:t>: 465-472 [PMID: 21919705 DOI: 10.1089/cell.2011.0045]</w:t>
      </w:r>
    </w:p>
    <w:p w14:paraId="4B466958"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lastRenderedPageBreak/>
        <w:t xml:space="preserve">26 </w:t>
      </w:r>
      <w:proofErr w:type="spellStart"/>
      <w:r w:rsidRPr="00B7408D">
        <w:rPr>
          <w:rFonts w:ascii="Book Antiqua" w:hAnsi="Book Antiqua"/>
          <w:b/>
          <w:lang w:val="en-US"/>
        </w:rPr>
        <w:t>Friedenstein</w:t>
      </w:r>
      <w:proofErr w:type="spellEnd"/>
      <w:r w:rsidRPr="00B7408D">
        <w:rPr>
          <w:rFonts w:ascii="Book Antiqua" w:hAnsi="Book Antiqua"/>
          <w:b/>
          <w:lang w:val="en-US"/>
        </w:rPr>
        <w:t xml:space="preserve"> AJ</w:t>
      </w:r>
      <w:r w:rsidRPr="00B7408D">
        <w:rPr>
          <w:rFonts w:ascii="Book Antiqua" w:hAnsi="Book Antiqua"/>
          <w:lang w:val="en-US"/>
        </w:rPr>
        <w:t xml:space="preserve">, </w:t>
      </w:r>
      <w:proofErr w:type="spellStart"/>
      <w:r w:rsidRPr="00B7408D">
        <w:rPr>
          <w:rFonts w:ascii="Book Antiqua" w:hAnsi="Book Antiqua"/>
          <w:lang w:val="en-US"/>
        </w:rPr>
        <w:t>Chailakhjan</w:t>
      </w:r>
      <w:proofErr w:type="spellEnd"/>
      <w:r w:rsidRPr="00B7408D">
        <w:rPr>
          <w:rFonts w:ascii="Book Antiqua" w:hAnsi="Book Antiqua"/>
          <w:lang w:val="en-US"/>
        </w:rPr>
        <w:t xml:space="preserve"> RK, </w:t>
      </w:r>
      <w:proofErr w:type="spellStart"/>
      <w:r w:rsidRPr="00B7408D">
        <w:rPr>
          <w:rFonts w:ascii="Book Antiqua" w:hAnsi="Book Antiqua"/>
          <w:lang w:val="en-US"/>
        </w:rPr>
        <w:t>Lalykina</w:t>
      </w:r>
      <w:proofErr w:type="spellEnd"/>
      <w:r w:rsidRPr="00B7408D">
        <w:rPr>
          <w:rFonts w:ascii="Book Antiqua" w:hAnsi="Book Antiqua"/>
          <w:lang w:val="en-US"/>
        </w:rPr>
        <w:t xml:space="preserve"> KS. The development of fibroblast colonies in monolayer cultures of guinea-pig bone marrow and spleen cells. </w:t>
      </w:r>
      <w:r w:rsidRPr="00B7408D">
        <w:rPr>
          <w:rFonts w:ascii="Book Antiqua" w:hAnsi="Book Antiqua"/>
          <w:i/>
          <w:lang w:val="en-US"/>
        </w:rPr>
        <w:t xml:space="preserve">Cell Tissue </w:t>
      </w:r>
      <w:proofErr w:type="spellStart"/>
      <w:r w:rsidRPr="00B7408D">
        <w:rPr>
          <w:rFonts w:ascii="Book Antiqua" w:hAnsi="Book Antiqua"/>
          <w:i/>
          <w:lang w:val="en-US"/>
        </w:rPr>
        <w:t>Kinet</w:t>
      </w:r>
      <w:proofErr w:type="spellEnd"/>
      <w:r w:rsidRPr="00B7408D">
        <w:rPr>
          <w:rFonts w:ascii="Book Antiqua" w:hAnsi="Book Antiqua"/>
          <w:lang w:val="en-US"/>
        </w:rPr>
        <w:t xml:space="preserve"> 1970; </w:t>
      </w:r>
      <w:r w:rsidRPr="00B7408D">
        <w:rPr>
          <w:rFonts w:ascii="Book Antiqua" w:hAnsi="Book Antiqua"/>
          <w:b/>
          <w:lang w:val="en-US"/>
        </w:rPr>
        <w:t>3</w:t>
      </w:r>
      <w:r w:rsidRPr="00B7408D">
        <w:rPr>
          <w:rFonts w:ascii="Book Antiqua" w:hAnsi="Book Antiqua"/>
          <w:lang w:val="en-US"/>
        </w:rPr>
        <w:t>: 393-403 [PMID: 5523063]</w:t>
      </w:r>
    </w:p>
    <w:p w14:paraId="67444210"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27 </w:t>
      </w:r>
      <w:proofErr w:type="spellStart"/>
      <w:r w:rsidRPr="00B7408D">
        <w:rPr>
          <w:rFonts w:ascii="Book Antiqua" w:hAnsi="Book Antiqua"/>
          <w:b/>
          <w:lang w:val="en-US"/>
        </w:rPr>
        <w:t>Dominici</w:t>
      </w:r>
      <w:proofErr w:type="spellEnd"/>
      <w:r w:rsidRPr="00B7408D">
        <w:rPr>
          <w:rFonts w:ascii="Book Antiqua" w:hAnsi="Book Antiqua"/>
          <w:b/>
          <w:lang w:val="en-US"/>
        </w:rPr>
        <w:t xml:space="preserve"> M</w:t>
      </w:r>
      <w:r w:rsidRPr="00B7408D">
        <w:rPr>
          <w:rFonts w:ascii="Book Antiqua" w:hAnsi="Book Antiqua"/>
          <w:lang w:val="en-US"/>
        </w:rPr>
        <w:t xml:space="preserve">, Le Blanc K, Mueller I, </w:t>
      </w:r>
      <w:proofErr w:type="spellStart"/>
      <w:r w:rsidRPr="00B7408D">
        <w:rPr>
          <w:rFonts w:ascii="Book Antiqua" w:hAnsi="Book Antiqua"/>
          <w:lang w:val="en-US"/>
        </w:rPr>
        <w:t>Slaper-Cortenbach</w:t>
      </w:r>
      <w:proofErr w:type="spellEnd"/>
      <w:r w:rsidRPr="00B7408D">
        <w:rPr>
          <w:rFonts w:ascii="Book Antiqua" w:hAnsi="Book Antiqua"/>
          <w:lang w:val="en-US"/>
        </w:rPr>
        <w:t xml:space="preserve"> I, Marini F, Krause D, Deans R, Keating A, </w:t>
      </w:r>
      <w:proofErr w:type="spellStart"/>
      <w:r w:rsidRPr="00B7408D">
        <w:rPr>
          <w:rFonts w:ascii="Book Antiqua" w:hAnsi="Book Antiqua"/>
          <w:lang w:val="en-US"/>
        </w:rPr>
        <w:t>Prockop</w:t>
      </w:r>
      <w:proofErr w:type="spellEnd"/>
      <w:r w:rsidRPr="00B7408D">
        <w:rPr>
          <w:rFonts w:ascii="Book Antiqua" w:hAnsi="Book Antiqua"/>
          <w:lang w:val="en-US"/>
        </w:rPr>
        <w:t xml:space="preserve"> </w:t>
      </w:r>
      <w:proofErr w:type="spellStart"/>
      <w:r w:rsidRPr="00B7408D">
        <w:rPr>
          <w:rFonts w:ascii="Book Antiqua" w:hAnsi="Book Antiqua"/>
          <w:lang w:val="en-US"/>
        </w:rPr>
        <w:t>Dj</w:t>
      </w:r>
      <w:proofErr w:type="spellEnd"/>
      <w:r w:rsidRPr="00B7408D">
        <w:rPr>
          <w:rFonts w:ascii="Book Antiqua" w:hAnsi="Book Antiqua"/>
          <w:lang w:val="en-US"/>
        </w:rPr>
        <w:t xml:space="preserve">, Horwitz E. Minimal criteria for defining multipotent mesenchymal stromal cells. The International Society for Cellular Therapy position statement. </w:t>
      </w:r>
      <w:proofErr w:type="spellStart"/>
      <w:r w:rsidRPr="00B7408D">
        <w:rPr>
          <w:rFonts w:ascii="Book Antiqua" w:hAnsi="Book Antiqua"/>
          <w:i/>
          <w:lang w:val="en-US"/>
        </w:rPr>
        <w:t>Cytotherapy</w:t>
      </w:r>
      <w:proofErr w:type="spellEnd"/>
      <w:r w:rsidRPr="00B7408D">
        <w:rPr>
          <w:rFonts w:ascii="Book Antiqua" w:hAnsi="Book Antiqua"/>
          <w:lang w:val="en-US"/>
        </w:rPr>
        <w:t xml:space="preserve"> 2006; </w:t>
      </w:r>
      <w:r w:rsidRPr="00B7408D">
        <w:rPr>
          <w:rFonts w:ascii="Book Antiqua" w:hAnsi="Book Antiqua"/>
          <w:b/>
          <w:lang w:val="en-US"/>
        </w:rPr>
        <w:t>8</w:t>
      </w:r>
      <w:r w:rsidRPr="00B7408D">
        <w:rPr>
          <w:rFonts w:ascii="Book Antiqua" w:hAnsi="Book Antiqua"/>
          <w:lang w:val="en-US"/>
        </w:rPr>
        <w:t>: 315-317 [PMID: 16923606 DOI: 10.1080/14653240600855905]</w:t>
      </w:r>
    </w:p>
    <w:p w14:paraId="40A74BA2"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28 </w:t>
      </w:r>
      <w:r w:rsidRPr="00B7408D">
        <w:rPr>
          <w:rFonts w:ascii="Book Antiqua" w:hAnsi="Book Antiqua"/>
          <w:b/>
          <w:lang w:val="en-US"/>
        </w:rPr>
        <w:t>Maurer MH</w:t>
      </w:r>
      <w:r w:rsidRPr="00B7408D">
        <w:rPr>
          <w:rFonts w:ascii="Book Antiqua" w:hAnsi="Book Antiqua"/>
          <w:lang w:val="en-US"/>
        </w:rPr>
        <w:t xml:space="preserve">. Proteomic definitions of mesenchymal stem cells. </w:t>
      </w:r>
      <w:r w:rsidRPr="00B7408D">
        <w:rPr>
          <w:rFonts w:ascii="Book Antiqua" w:hAnsi="Book Antiqua"/>
          <w:i/>
          <w:lang w:val="en-US"/>
        </w:rPr>
        <w:t>Stem Cells Int</w:t>
      </w:r>
      <w:r w:rsidRPr="00B7408D">
        <w:rPr>
          <w:rFonts w:ascii="Book Antiqua" w:hAnsi="Book Antiqua"/>
          <w:lang w:val="en-US"/>
        </w:rPr>
        <w:t xml:space="preserve"> 2011; </w:t>
      </w:r>
      <w:r w:rsidRPr="00B7408D">
        <w:rPr>
          <w:rFonts w:ascii="Book Antiqua" w:hAnsi="Book Antiqua"/>
          <w:b/>
          <w:lang w:val="en-US"/>
        </w:rPr>
        <w:t>2011</w:t>
      </w:r>
      <w:r w:rsidRPr="00B7408D">
        <w:rPr>
          <w:rFonts w:ascii="Book Antiqua" w:hAnsi="Book Antiqua"/>
          <w:lang w:val="en-US"/>
        </w:rPr>
        <w:t>: 704256 [PMID: 21437194 DOI: 10.4061/2011/704256]</w:t>
      </w:r>
    </w:p>
    <w:p w14:paraId="6D0D6E4D"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29 </w:t>
      </w:r>
      <w:proofErr w:type="spellStart"/>
      <w:r w:rsidRPr="00B7408D">
        <w:rPr>
          <w:rFonts w:ascii="Book Antiqua" w:hAnsi="Book Antiqua"/>
          <w:b/>
          <w:lang w:val="en-US"/>
        </w:rPr>
        <w:t>Roson-Burgo</w:t>
      </w:r>
      <w:proofErr w:type="spellEnd"/>
      <w:r w:rsidRPr="00B7408D">
        <w:rPr>
          <w:rFonts w:ascii="Book Antiqua" w:hAnsi="Book Antiqua"/>
          <w:b/>
          <w:lang w:val="en-US"/>
        </w:rPr>
        <w:t xml:space="preserve"> B</w:t>
      </w:r>
      <w:r w:rsidRPr="00B7408D">
        <w:rPr>
          <w:rFonts w:ascii="Book Antiqua" w:hAnsi="Book Antiqua"/>
          <w:lang w:val="en-US"/>
        </w:rPr>
        <w:t>, Sanchez-</w:t>
      </w:r>
      <w:proofErr w:type="spellStart"/>
      <w:r w:rsidRPr="00B7408D">
        <w:rPr>
          <w:rFonts w:ascii="Book Antiqua" w:hAnsi="Book Antiqua"/>
          <w:lang w:val="en-US"/>
        </w:rPr>
        <w:t>Guijo</w:t>
      </w:r>
      <w:proofErr w:type="spellEnd"/>
      <w:r w:rsidRPr="00B7408D">
        <w:rPr>
          <w:rFonts w:ascii="Book Antiqua" w:hAnsi="Book Antiqua"/>
          <w:lang w:val="en-US"/>
        </w:rPr>
        <w:t xml:space="preserve"> F, Del </w:t>
      </w:r>
      <w:proofErr w:type="spellStart"/>
      <w:r w:rsidRPr="00B7408D">
        <w:rPr>
          <w:rFonts w:ascii="Book Antiqua" w:hAnsi="Book Antiqua"/>
          <w:lang w:val="en-US"/>
        </w:rPr>
        <w:t>Cañizo</w:t>
      </w:r>
      <w:proofErr w:type="spellEnd"/>
      <w:r w:rsidRPr="00B7408D">
        <w:rPr>
          <w:rFonts w:ascii="Book Antiqua" w:hAnsi="Book Antiqua"/>
          <w:lang w:val="en-US"/>
        </w:rPr>
        <w:t xml:space="preserve"> C, De Las Rivas J. Insights into the human mesenchymal stromal/stem cell identity through integrative transcriptomic profiling. </w:t>
      </w:r>
      <w:r w:rsidRPr="00B7408D">
        <w:rPr>
          <w:rFonts w:ascii="Book Antiqua" w:hAnsi="Book Antiqua"/>
          <w:i/>
          <w:lang w:val="en-US"/>
        </w:rPr>
        <w:t>BMC Genomics</w:t>
      </w:r>
      <w:r w:rsidRPr="00B7408D">
        <w:rPr>
          <w:rFonts w:ascii="Book Antiqua" w:hAnsi="Book Antiqua"/>
          <w:lang w:val="en-US"/>
        </w:rPr>
        <w:t xml:space="preserve"> 2016; </w:t>
      </w:r>
      <w:r w:rsidRPr="00B7408D">
        <w:rPr>
          <w:rFonts w:ascii="Book Antiqua" w:hAnsi="Book Antiqua"/>
          <w:b/>
          <w:lang w:val="en-US"/>
        </w:rPr>
        <w:t>17</w:t>
      </w:r>
      <w:r w:rsidRPr="00B7408D">
        <w:rPr>
          <w:rFonts w:ascii="Book Antiqua" w:hAnsi="Book Antiqua"/>
          <w:lang w:val="en-US"/>
        </w:rPr>
        <w:t>: 944 [PMID: 27871224 DOI: 10.1186/s12864-016-3230-0]</w:t>
      </w:r>
    </w:p>
    <w:p w14:paraId="374D61C1"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30 </w:t>
      </w:r>
      <w:r w:rsidRPr="00B7408D">
        <w:rPr>
          <w:rFonts w:ascii="Book Antiqua" w:hAnsi="Book Antiqua"/>
          <w:b/>
          <w:lang w:val="en-US"/>
        </w:rPr>
        <w:t>Keating A</w:t>
      </w:r>
      <w:r w:rsidRPr="00B7408D">
        <w:rPr>
          <w:rFonts w:ascii="Book Antiqua" w:hAnsi="Book Antiqua"/>
          <w:lang w:val="en-US"/>
        </w:rPr>
        <w:t xml:space="preserve">. Mesenchymal stromal cells: new directions. </w:t>
      </w:r>
      <w:r w:rsidRPr="00B7408D">
        <w:rPr>
          <w:rFonts w:ascii="Book Antiqua" w:hAnsi="Book Antiqua"/>
          <w:i/>
          <w:lang w:val="en-US"/>
        </w:rPr>
        <w:t>Cell Stem Cell</w:t>
      </w:r>
      <w:r w:rsidRPr="00B7408D">
        <w:rPr>
          <w:rFonts w:ascii="Book Antiqua" w:hAnsi="Book Antiqua"/>
          <w:lang w:val="en-US"/>
        </w:rPr>
        <w:t xml:space="preserve"> 2012; </w:t>
      </w:r>
      <w:r w:rsidRPr="00B7408D">
        <w:rPr>
          <w:rFonts w:ascii="Book Antiqua" w:hAnsi="Book Antiqua"/>
          <w:b/>
          <w:lang w:val="en-US"/>
        </w:rPr>
        <w:t>10</w:t>
      </w:r>
      <w:r w:rsidRPr="00B7408D">
        <w:rPr>
          <w:rFonts w:ascii="Book Antiqua" w:hAnsi="Book Antiqua"/>
          <w:lang w:val="en-US"/>
        </w:rPr>
        <w:t>: 709-716 [PMID: 22704511 DOI: 10.1016/j.stem.2012.05.015]</w:t>
      </w:r>
    </w:p>
    <w:p w14:paraId="2EAC049A"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31 </w:t>
      </w:r>
      <w:r w:rsidRPr="00B7408D">
        <w:rPr>
          <w:rFonts w:ascii="Book Antiqua" w:hAnsi="Book Antiqua"/>
          <w:b/>
          <w:lang w:val="en-US"/>
        </w:rPr>
        <w:t>Sharma RR</w:t>
      </w:r>
      <w:r w:rsidRPr="00B7408D">
        <w:rPr>
          <w:rFonts w:ascii="Book Antiqua" w:hAnsi="Book Antiqua"/>
          <w:lang w:val="en-US"/>
        </w:rPr>
        <w:t xml:space="preserve">, Pollock K, Hubel A, McKenna D. Mesenchymal stem or stromal cells: a review of clinical applications and manufacturing practices. </w:t>
      </w:r>
      <w:r w:rsidRPr="00B7408D">
        <w:rPr>
          <w:rFonts w:ascii="Book Antiqua" w:hAnsi="Book Antiqua"/>
          <w:i/>
          <w:lang w:val="en-US"/>
        </w:rPr>
        <w:t>Transfusion</w:t>
      </w:r>
      <w:r w:rsidRPr="00B7408D">
        <w:rPr>
          <w:rFonts w:ascii="Book Antiqua" w:hAnsi="Book Antiqua"/>
          <w:lang w:val="en-US"/>
        </w:rPr>
        <w:t xml:space="preserve"> 2014; </w:t>
      </w:r>
      <w:r w:rsidRPr="00B7408D">
        <w:rPr>
          <w:rFonts w:ascii="Book Antiqua" w:hAnsi="Book Antiqua"/>
          <w:b/>
          <w:lang w:val="en-US"/>
        </w:rPr>
        <w:t>54</w:t>
      </w:r>
      <w:r w:rsidRPr="00B7408D">
        <w:rPr>
          <w:rFonts w:ascii="Book Antiqua" w:hAnsi="Book Antiqua"/>
          <w:lang w:val="en-US"/>
        </w:rPr>
        <w:t>: 1418-1437 [PMID: 24898458 DOI: 10.1111/trf.12421]</w:t>
      </w:r>
    </w:p>
    <w:p w14:paraId="18395978"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32 </w:t>
      </w:r>
      <w:proofErr w:type="spellStart"/>
      <w:r w:rsidRPr="00B7408D">
        <w:rPr>
          <w:rFonts w:ascii="Book Antiqua" w:hAnsi="Book Antiqua"/>
          <w:b/>
          <w:lang w:val="en-US"/>
        </w:rPr>
        <w:t>Roşca</w:t>
      </w:r>
      <w:proofErr w:type="spellEnd"/>
      <w:r w:rsidRPr="00B7408D">
        <w:rPr>
          <w:rFonts w:ascii="Book Antiqua" w:hAnsi="Book Antiqua"/>
          <w:b/>
          <w:lang w:val="en-US"/>
        </w:rPr>
        <w:t xml:space="preserve"> AM</w:t>
      </w:r>
      <w:r w:rsidRPr="00B7408D">
        <w:rPr>
          <w:rFonts w:ascii="Book Antiqua" w:hAnsi="Book Antiqua"/>
          <w:lang w:val="en-US"/>
        </w:rPr>
        <w:t xml:space="preserve">, </w:t>
      </w:r>
      <w:proofErr w:type="spellStart"/>
      <w:r w:rsidRPr="00B7408D">
        <w:rPr>
          <w:rFonts w:ascii="Book Antiqua" w:hAnsi="Book Antiqua"/>
          <w:lang w:val="en-US"/>
        </w:rPr>
        <w:t>Ţuţuianu</w:t>
      </w:r>
      <w:proofErr w:type="spellEnd"/>
      <w:r w:rsidRPr="00B7408D">
        <w:rPr>
          <w:rFonts w:ascii="Book Antiqua" w:hAnsi="Book Antiqua"/>
          <w:lang w:val="en-US"/>
        </w:rPr>
        <w:t xml:space="preserve"> R, </w:t>
      </w:r>
      <w:proofErr w:type="spellStart"/>
      <w:r w:rsidRPr="00B7408D">
        <w:rPr>
          <w:rFonts w:ascii="Book Antiqua" w:hAnsi="Book Antiqua"/>
          <w:lang w:val="en-US"/>
        </w:rPr>
        <w:t>Titorencu</w:t>
      </w:r>
      <w:proofErr w:type="spellEnd"/>
      <w:r w:rsidRPr="00B7408D">
        <w:rPr>
          <w:rFonts w:ascii="Book Antiqua" w:hAnsi="Book Antiqua"/>
          <w:lang w:val="en-US"/>
        </w:rPr>
        <w:t xml:space="preserve"> ID. Mesenchymal stromal cells derived exosomes as tools for chronic wound healing therapy. </w:t>
      </w:r>
      <w:r w:rsidRPr="00B7408D">
        <w:rPr>
          <w:rFonts w:ascii="Book Antiqua" w:hAnsi="Book Antiqua"/>
          <w:i/>
          <w:lang w:val="en-US"/>
        </w:rPr>
        <w:t xml:space="preserve">Rom J </w:t>
      </w:r>
      <w:proofErr w:type="spellStart"/>
      <w:r w:rsidRPr="00B7408D">
        <w:rPr>
          <w:rFonts w:ascii="Book Antiqua" w:hAnsi="Book Antiqua"/>
          <w:i/>
          <w:lang w:val="en-US"/>
        </w:rPr>
        <w:t>Morphol</w:t>
      </w:r>
      <w:proofErr w:type="spellEnd"/>
      <w:r w:rsidRPr="00B7408D">
        <w:rPr>
          <w:rFonts w:ascii="Book Antiqua" w:hAnsi="Book Antiqua"/>
          <w:i/>
          <w:lang w:val="en-US"/>
        </w:rPr>
        <w:t xml:space="preserve"> </w:t>
      </w:r>
      <w:proofErr w:type="spellStart"/>
      <w:r w:rsidRPr="00B7408D">
        <w:rPr>
          <w:rFonts w:ascii="Book Antiqua" w:hAnsi="Book Antiqua"/>
          <w:i/>
          <w:lang w:val="en-US"/>
        </w:rPr>
        <w:t>Embryol</w:t>
      </w:r>
      <w:proofErr w:type="spellEnd"/>
      <w:r w:rsidRPr="00B7408D">
        <w:rPr>
          <w:rFonts w:ascii="Book Antiqua" w:hAnsi="Book Antiqua"/>
          <w:lang w:val="en-US"/>
        </w:rPr>
        <w:t xml:space="preserve"> 2018; </w:t>
      </w:r>
      <w:r w:rsidRPr="00B7408D">
        <w:rPr>
          <w:rFonts w:ascii="Book Antiqua" w:hAnsi="Book Antiqua"/>
          <w:b/>
          <w:lang w:val="en-US"/>
        </w:rPr>
        <w:t>59</w:t>
      </w:r>
      <w:r w:rsidRPr="00B7408D">
        <w:rPr>
          <w:rFonts w:ascii="Book Antiqua" w:hAnsi="Book Antiqua"/>
          <w:lang w:val="en-US"/>
        </w:rPr>
        <w:t>: 655-662 [PMID: 30534802]</w:t>
      </w:r>
    </w:p>
    <w:p w14:paraId="6B2A1C0B"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33 </w:t>
      </w:r>
      <w:r w:rsidRPr="00B7408D">
        <w:rPr>
          <w:rFonts w:ascii="Book Antiqua" w:hAnsi="Book Antiqua"/>
          <w:b/>
          <w:lang w:val="en-US"/>
        </w:rPr>
        <w:t>Xu S</w:t>
      </w:r>
      <w:r w:rsidRPr="00B7408D">
        <w:rPr>
          <w:rFonts w:ascii="Book Antiqua" w:hAnsi="Book Antiqua"/>
          <w:lang w:val="en-US"/>
        </w:rPr>
        <w:t xml:space="preserve">, Liu C, Ji HL. Concise Review: Therapeutic Potential of the Mesenchymal Stem Cell Derived </w:t>
      </w:r>
      <w:proofErr w:type="spellStart"/>
      <w:r w:rsidRPr="00B7408D">
        <w:rPr>
          <w:rFonts w:ascii="Book Antiqua" w:hAnsi="Book Antiqua"/>
          <w:lang w:val="en-US"/>
        </w:rPr>
        <w:t>Secretome</w:t>
      </w:r>
      <w:proofErr w:type="spellEnd"/>
      <w:r w:rsidRPr="00B7408D">
        <w:rPr>
          <w:rFonts w:ascii="Book Antiqua" w:hAnsi="Book Antiqua"/>
          <w:lang w:val="en-US"/>
        </w:rPr>
        <w:t xml:space="preserve"> and Extracellular Vesicles for Radiation-Induced Lung Injury: Progress and Hypotheses. </w:t>
      </w:r>
      <w:r w:rsidRPr="00B7408D">
        <w:rPr>
          <w:rFonts w:ascii="Book Antiqua" w:hAnsi="Book Antiqua"/>
          <w:i/>
          <w:lang w:val="en-US"/>
        </w:rPr>
        <w:t xml:space="preserve">Stem Cells </w:t>
      </w:r>
      <w:proofErr w:type="spellStart"/>
      <w:r w:rsidRPr="00B7408D">
        <w:rPr>
          <w:rFonts w:ascii="Book Antiqua" w:hAnsi="Book Antiqua"/>
          <w:i/>
          <w:lang w:val="en-US"/>
        </w:rPr>
        <w:t>Transl</w:t>
      </w:r>
      <w:proofErr w:type="spellEnd"/>
      <w:r w:rsidRPr="00B7408D">
        <w:rPr>
          <w:rFonts w:ascii="Book Antiqua" w:hAnsi="Book Antiqua"/>
          <w:i/>
          <w:lang w:val="en-US"/>
        </w:rPr>
        <w:t xml:space="preserve"> Med</w:t>
      </w:r>
      <w:r w:rsidRPr="00B7408D">
        <w:rPr>
          <w:rFonts w:ascii="Book Antiqua" w:hAnsi="Book Antiqua"/>
          <w:lang w:val="en-US"/>
        </w:rPr>
        <w:t xml:space="preserve"> 2019; </w:t>
      </w:r>
      <w:r w:rsidRPr="00B7408D">
        <w:rPr>
          <w:rFonts w:ascii="Book Antiqua" w:hAnsi="Book Antiqua"/>
          <w:b/>
          <w:lang w:val="en-US"/>
        </w:rPr>
        <w:t>8</w:t>
      </w:r>
      <w:r w:rsidRPr="00B7408D">
        <w:rPr>
          <w:rFonts w:ascii="Book Antiqua" w:hAnsi="Book Antiqua"/>
          <w:lang w:val="en-US"/>
        </w:rPr>
        <w:t>: 344-354 [PMID: 30618085 DOI: 10.1002/sctm.18-0038]</w:t>
      </w:r>
    </w:p>
    <w:p w14:paraId="4982CED4"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34 </w:t>
      </w:r>
      <w:r w:rsidRPr="00B7408D">
        <w:rPr>
          <w:rFonts w:ascii="Book Antiqua" w:hAnsi="Book Antiqua"/>
          <w:b/>
          <w:lang w:val="en-US"/>
        </w:rPr>
        <w:t>Singh L</w:t>
      </w:r>
      <w:r w:rsidRPr="00B7408D">
        <w:rPr>
          <w:rFonts w:ascii="Book Antiqua" w:hAnsi="Book Antiqua"/>
          <w:lang w:val="en-US"/>
        </w:rPr>
        <w:t xml:space="preserve">, Brennan TA, Russell E, Kim JH, Chen Q, Brad Johnson F, </w:t>
      </w:r>
      <w:proofErr w:type="spellStart"/>
      <w:r w:rsidRPr="00B7408D">
        <w:rPr>
          <w:rFonts w:ascii="Book Antiqua" w:hAnsi="Book Antiqua"/>
          <w:lang w:val="en-US"/>
        </w:rPr>
        <w:t>Pignolo</w:t>
      </w:r>
      <w:proofErr w:type="spellEnd"/>
      <w:r w:rsidRPr="00B7408D">
        <w:rPr>
          <w:rFonts w:ascii="Book Antiqua" w:hAnsi="Book Antiqua"/>
          <w:lang w:val="en-US"/>
        </w:rPr>
        <w:t xml:space="preserve"> RJ. Aging alters bone-fat reciprocity by shifting in vivo mesenchymal precursor cell fate towards an </w:t>
      </w:r>
      <w:proofErr w:type="spellStart"/>
      <w:r w:rsidRPr="00B7408D">
        <w:rPr>
          <w:rFonts w:ascii="Book Antiqua" w:hAnsi="Book Antiqua"/>
          <w:lang w:val="en-US"/>
        </w:rPr>
        <w:t>adipogenic</w:t>
      </w:r>
      <w:proofErr w:type="spellEnd"/>
      <w:r w:rsidRPr="00B7408D">
        <w:rPr>
          <w:rFonts w:ascii="Book Antiqua" w:hAnsi="Book Antiqua"/>
          <w:lang w:val="en-US"/>
        </w:rPr>
        <w:t xml:space="preserve"> lineage. </w:t>
      </w:r>
      <w:r w:rsidRPr="00B7408D">
        <w:rPr>
          <w:rFonts w:ascii="Book Antiqua" w:hAnsi="Book Antiqua"/>
          <w:i/>
          <w:lang w:val="en-US"/>
        </w:rPr>
        <w:t>Bone</w:t>
      </w:r>
      <w:r w:rsidRPr="00B7408D">
        <w:rPr>
          <w:rFonts w:ascii="Book Antiqua" w:hAnsi="Book Antiqua"/>
          <w:lang w:val="en-US"/>
        </w:rPr>
        <w:t xml:space="preserve"> 2016; </w:t>
      </w:r>
      <w:r w:rsidRPr="00B7408D">
        <w:rPr>
          <w:rFonts w:ascii="Book Antiqua" w:hAnsi="Book Antiqua"/>
          <w:b/>
          <w:lang w:val="en-US"/>
        </w:rPr>
        <w:t>85</w:t>
      </w:r>
      <w:r w:rsidRPr="00B7408D">
        <w:rPr>
          <w:rFonts w:ascii="Book Antiqua" w:hAnsi="Book Antiqua"/>
          <w:lang w:val="en-US"/>
        </w:rPr>
        <w:t>: 29-36 [PMID: 26805026 DOI: 10.1016/j.bone.2016.01.014]</w:t>
      </w:r>
    </w:p>
    <w:p w14:paraId="3A45662B"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lastRenderedPageBreak/>
        <w:t xml:space="preserve">35 </w:t>
      </w:r>
      <w:r w:rsidRPr="00B7408D">
        <w:rPr>
          <w:rFonts w:ascii="Book Antiqua" w:hAnsi="Book Antiqua"/>
          <w:b/>
          <w:lang w:val="en-US"/>
        </w:rPr>
        <w:t>Patel VS</w:t>
      </w:r>
      <w:r w:rsidRPr="00B7408D">
        <w:rPr>
          <w:rFonts w:ascii="Book Antiqua" w:hAnsi="Book Antiqua"/>
          <w:lang w:val="en-US"/>
        </w:rPr>
        <w:t xml:space="preserve">, </w:t>
      </w:r>
      <w:proofErr w:type="spellStart"/>
      <w:r w:rsidRPr="00B7408D">
        <w:rPr>
          <w:rFonts w:ascii="Book Antiqua" w:hAnsi="Book Antiqua"/>
          <w:lang w:val="en-US"/>
        </w:rPr>
        <w:t>Ete</w:t>
      </w:r>
      <w:proofErr w:type="spellEnd"/>
      <w:r w:rsidRPr="00B7408D">
        <w:rPr>
          <w:rFonts w:ascii="Book Antiqua" w:hAnsi="Book Antiqua"/>
          <w:lang w:val="en-US"/>
        </w:rPr>
        <w:t xml:space="preserve"> Chan M, Rubin J, Rubin CT. Marrow Adiposity and Hematopoiesis in Aging and Obesity: Exercise as an Intervention. </w:t>
      </w:r>
      <w:proofErr w:type="spellStart"/>
      <w:r w:rsidRPr="00B7408D">
        <w:rPr>
          <w:rFonts w:ascii="Book Antiqua" w:hAnsi="Book Antiqua"/>
          <w:i/>
          <w:lang w:val="en-US"/>
        </w:rPr>
        <w:t>Curr</w:t>
      </w:r>
      <w:proofErr w:type="spellEnd"/>
      <w:r w:rsidRPr="00B7408D">
        <w:rPr>
          <w:rFonts w:ascii="Book Antiqua" w:hAnsi="Book Antiqua"/>
          <w:i/>
          <w:lang w:val="en-US"/>
        </w:rPr>
        <w:t xml:space="preserve"> </w:t>
      </w:r>
      <w:proofErr w:type="spellStart"/>
      <w:r w:rsidRPr="00B7408D">
        <w:rPr>
          <w:rFonts w:ascii="Book Antiqua" w:hAnsi="Book Antiqua"/>
          <w:i/>
          <w:lang w:val="en-US"/>
        </w:rPr>
        <w:t>Osteoporos</w:t>
      </w:r>
      <w:proofErr w:type="spellEnd"/>
      <w:r w:rsidRPr="00B7408D">
        <w:rPr>
          <w:rFonts w:ascii="Book Antiqua" w:hAnsi="Book Antiqua"/>
          <w:i/>
          <w:lang w:val="en-US"/>
        </w:rPr>
        <w:t xml:space="preserve"> Rep</w:t>
      </w:r>
      <w:r w:rsidRPr="00B7408D">
        <w:rPr>
          <w:rFonts w:ascii="Book Antiqua" w:hAnsi="Book Antiqua"/>
          <w:lang w:val="en-US"/>
        </w:rPr>
        <w:t xml:space="preserve"> 2018; </w:t>
      </w:r>
      <w:r w:rsidRPr="00B7408D">
        <w:rPr>
          <w:rFonts w:ascii="Book Antiqua" w:hAnsi="Book Antiqua"/>
          <w:b/>
          <w:lang w:val="en-US"/>
        </w:rPr>
        <w:t>16</w:t>
      </w:r>
      <w:r w:rsidRPr="00B7408D">
        <w:rPr>
          <w:rFonts w:ascii="Book Antiqua" w:hAnsi="Book Antiqua"/>
          <w:lang w:val="en-US"/>
        </w:rPr>
        <w:t>: 105-115 [PMID: 29476393 DOI: 10.1007/s11914-018-0424-1]</w:t>
      </w:r>
    </w:p>
    <w:p w14:paraId="136D6095"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36 </w:t>
      </w:r>
      <w:r w:rsidRPr="00B7408D">
        <w:rPr>
          <w:rFonts w:ascii="Book Antiqua" w:hAnsi="Book Antiqua"/>
          <w:b/>
          <w:lang w:val="en-US"/>
        </w:rPr>
        <w:t>Liu H</w:t>
      </w:r>
      <w:r w:rsidRPr="00B7408D">
        <w:rPr>
          <w:rFonts w:ascii="Book Antiqua" w:hAnsi="Book Antiqua"/>
          <w:lang w:val="en-US"/>
        </w:rPr>
        <w:t xml:space="preserve">, Xia X, Li B. Mesenchymal stem cell aging: Mechanisms and influences on skeletal and non-skeletal tissues. </w:t>
      </w:r>
      <w:r w:rsidRPr="00B7408D">
        <w:rPr>
          <w:rFonts w:ascii="Book Antiqua" w:hAnsi="Book Antiqua"/>
          <w:i/>
          <w:lang w:val="en-US"/>
        </w:rPr>
        <w:t>Exp Biol Med (Maywood)</w:t>
      </w:r>
      <w:r w:rsidRPr="00B7408D">
        <w:rPr>
          <w:rFonts w:ascii="Book Antiqua" w:hAnsi="Book Antiqua"/>
          <w:lang w:val="en-US"/>
        </w:rPr>
        <w:t xml:space="preserve"> 2015; </w:t>
      </w:r>
      <w:r w:rsidRPr="00B7408D">
        <w:rPr>
          <w:rFonts w:ascii="Book Antiqua" w:hAnsi="Book Antiqua"/>
          <w:b/>
          <w:lang w:val="en-US"/>
        </w:rPr>
        <w:t>240</w:t>
      </w:r>
      <w:r w:rsidRPr="00B7408D">
        <w:rPr>
          <w:rFonts w:ascii="Book Antiqua" w:hAnsi="Book Antiqua"/>
          <w:lang w:val="en-US"/>
        </w:rPr>
        <w:t>: 1099-1106 [PMID: 26088863 DOI: 10.1177/1535370215591828]</w:t>
      </w:r>
    </w:p>
    <w:p w14:paraId="661EE940"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37 </w:t>
      </w:r>
      <w:proofErr w:type="spellStart"/>
      <w:r w:rsidRPr="00B7408D">
        <w:rPr>
          <w:rFonts w:ascii="Book Antiqua" w:hAnsi="Book Antiqua"/>
          <w:b/>
          <w:lang w:val="en-US"/>
        </w:rPr>
        <w:t>Asumda</w:t>
      </w:r>
      <w:proofErr w:type="spellEnd"/>
      <w:r w:rsidRPr="00B7408D">
        <w:rPr>
          <w:rFonts w:ascii="Book Antiqua" w:hAnsi="Book Antiqua"/>
          <w:b/>
          <w:lang w:val="en-US"/>
        </w:rPr>
        <w:t xml:space="preserve"> FZ</w:t>
      </w:r>
      <w:r w:rsidRPr="00B7408D">
        <w:rPr>
          <w:rFonts w:ascii="Book Antiqua" w:hAnsi="Book Antiqua"/>
          <w:lang w:val="en-US"/>
        </w:rPr>
        <w:t xml:space="preserve">. Age-associated changes in the ecological niche: implications for mesenchymal stem cell aging. </w:t>
      </w:r>
      <w:r w:rsidRPr="00B7408D">
        <w:rPr>
          <w:rFonts w:ascii="Book Antiqua" w:hAnsi="Book Antiqua"/>
          <w:i/>
          <w:lang w:val="en-US"/>
        </w:rPr>
        <w:t xml:space="preserve">Stem Cell Res </w:t>
      </w:r>
      <w:proofErr w:type="spellStart"/>
      <w:r w:rsidRPr="00B7408D">
        <w:rPr>
          <w:rFonts w:ascii="Book Antiqua" w:hAnsi="Book Antiqua"/>
          <w:i/>
          <w:lang w:val="en-US"/>
        </w:rPr>
        <w:t>Ther</w:t>
      </w:r>
      <w:proofErr w:type="spellEnd"/>
      <w:r w:rsidRPr="00B7408D">
        <w:rPr>
          <w:rFonts w:ascii="Book Antiqua" w:hAnsi="Book Antiqua"/>
          <w:lang w:val="en-US"/>
        </w:rPr>
        <w:t xml:space="preserve"> 2013; </w:t>
      </w:r>
      <w:r w:rsidRPr="00B7408D">
        <w:rPr>
          <w:rFonts w:ascii="Book Antiqua" w:hAnsi="Book Antiqua"/>
          <w:b/>
          <w:lang w:val="en-US"/>
        </w:rPr>
        <w:t>4</w:t>
      </w:r>
      <w:r w:rsidRPr="00B7408D">
        <w:rPr>
          <w:rFonts w:ascii="Book Antiqua" w:hAnsi="Book Antiqua"/>
          <w:lang w:val="en-US"/>
        </w:rPr>
        <w:t>: 47 [PMID: 23673056 DOI: 10.1186/scrt197]</w:t>
      </w:r>
    </w:p>
    <w:p w14:paraId="4AE73423"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38 </w:t>
      </w:r>
      <w:proofErr w:type="spellStart"/>
      <w:r w:rsidRPr="00B7408D">
        <w:rPr>
          <w:rFonts w:ascii="Book Antiqua" w:hAnsi="Book Antiqua"/>
          <w:b/>
          <w:lang w:val="en-US"/>
        </w:rPr>
        <w:t>Fukada</w:t>
      </w:r>
      <w:proofErr w:type="spellEnd"/>
      <w:r w:rsidRPr="00B7408D">
        <w:rPr>
          <w:rFonts w:ascii="Book Antiqua" w:hAnsi="Book Antiqua"/>
          <w:b/>
          <w:lang w:val="en-US"/>
        </w:rPr>
        <w:t xml:space="preserve"> S</w:t>
      </w:r>
      <w:r w:rsidRPr="00B7408D">
        <w:rPr>
          <w:rFonts w:ascii="Book Antiqua" w:hAnsi="Book Antiqua"/>
          <w:lang w:val="en-US"/>
        </w:rPr>
        <w:t xml:space="preserve">, Ma Y, </w:t>
      </w:r>
      <w:proofErr w:type="spellStart"/>
      <w:r w:rsidRPr="00B7408D">
        <w:rPr>
          <w:rFonts w:ascii="Book Antiqua" w:hAnsi="Book Antiqua"/>
          <w:lang w:val="en-US"/>
        </w:rPr>
        <w:t>Uezumi</w:t>
      </w:r>
      <w:proofErr w:type="spellEnd"/>
      <w:r w:rsidRPr="00B7408D">
        <w:rPr>
          <w:rFonts w:ascii="Book Antiqua" w:hAnsi="Book Antiqua"/>
          <w:lang w:val="en-US"/>
        </w:rPr>
        <w:t xml:space="preserve"> A. Adult stem cell and mesenchymal progenitor theories of aging. </w:t>
      </w:r>
      <w:r w:rsidRPr="00B7408D">
        <w:rPr>
          <w:rFonts w:ascii="Book Antiqua" w:hAnsi="Book Antiqua"/>
          <w:i/>
          <w:lang w:val="en-US"/>
        </w:rPr>
        <w:t>Front Cell Dev Biol</w:t>
      </w:r>
      <w:r w:rsidRPr="00B7408D">
        <w:rPr>
          <w:rFonts w:ascii="Book Antiqua" w:hAnsi="Book Antiqua"/>
          <w:lang w:val="en-US"/>
        </w:rPr>
        <w:t xml:space="preserve"> 2014; </w:t>
      </w:r>
      <w:r w:rsidRPr="00B7408D">
        <w:rPr>
          <w:rFonts w:ascii="Book Antiqua" w:hAnsi="Book Antiqua"/>
          <w:b/>
          <w:lang w:val="en-US"/>
        </w:rPr>
        <w:t>2</w:t>
      </w:r>
      <w:r w:rsidRPr="00B7408D">
        <w:rPr>
          <w:rFonts w:ascii="Book Antiqua" w:hAnsi="Book Antiqua"/>
          <w:lang w:val="en-US"/>
        </w:rPr>
        <w:t>: 10 [PMID: 25364718 DOI: 10.3389/fcell.2014.00010]</w:t>
      </w:r>
    </w:p>
    <w:p w14:paraId="22C7EE2B"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39 </w:t>
      </w:r>
      <w:r w:rsidRPr="00B7408D">
        <w:rPr>
          <w:rFonts w:ascii="Book Antiqua" w:hAnsi="Book Antiqua"/>
          <w:b/>
          <w:lang w:val="en-US"/>
        </w:rPr>
        <w:t>Mana MD</w:t>
      </w:r>
      <w:r w:rsidRPr="00B7408D">
        <w:rPr>
          <w:rFonts w:ascii="Book Antiqua" w:hAnsi="Book Antiqua"/>
          <w:lang w:val="en-US"/>
        </w:rPr>
        <w:t xml:space="preserve">, </w:t>
      </w:r>
      <w:proofErr w:type="spellStart"/>
      <w:r w:rsidRPr="00B7408D">
        <w:rPr>
          <w:rFonts w:ascii="Book Antiqua" w:hAnsi="Book Antiqua"/>
          <w:lang w:val="en-US"/>
        </w:rPr>
        <w:t>Kuo</w:t>
      </w:r>
      <w:proofErr w:type="spellEnd"/>
      <w:r w:rsidRPr="00B7408D">
        <w:rPr>
          <w:rFonts w:ascii="Book Antiqua" w:hAnsi="Book Antiqua"/>
          <w:lang w:val="en-US"/>
        </w:rPr>
        <w:t xml:space="preserve"> EY, Yilmaz ÖH. Dietary Regulation of Adult Stem Cells. </w:t>
      </w:r>
      <w:proofErr w:type="spellStart"/>
      <w:r w:rsidRPr="00B7408D">
        <w:rPr>
          <w:rFonts w:ascii="Book Antiqua" w:hAnsi="Book Antiqua"/>
          <w:i/>
          <w:lang w:val="en-US"/>
        </w:rPr>
        <w:t>Curr</w:t>
      </w:r>
      <w:proofErr w:type="spellEnd"/>
      <w:r w:rsidRPr="00B7408D">
        <w:rPr>
          <w:rFonts w:ascii="Book Antiqua" w:hAnsi="Book Antiqua"/>
          <w:i/>
          <w:lang w:val="en-US"/>
        </w:rPr>
        <w:t xml:space="preserve"> Stem Cell Rep</w:t>
      </w:r>
      <w:r w:rsidRPr="00B7408D">
        <w:rPr>
          <w:rFonts w:ascii="Book Antiqua" w:hAnsi="Book Antiqua"/>
          <w:lang w:val="en-US"/>
        </w:rPr>
        <w:t xml:space="preserve"> 2017; </w:t>
      </w:r>
      <w:r w:rsidRPr="00B7408D">
        <w:rPr>
          <w:rFonts w:ascii="Book Antiqua" w:hAnsi="Book Antiqua"/>
          <w:b/>
          <w:lang w:val="en-US"/>
        </w:rPr>
        <w:t>3</w:t>
      </w:r>
      <w:r w:rsidRPr="00B7408D">
        <w:rPr>
          <w:rFonts w:ascii="Book Antiqua" w:hAnsi="Book Antiqua"/>
          <w:lang w:val="en-US"/>
        </w:rPr>
        <w:t>: 1-8 [PMID: 28966904 DOI: 10.1007/s40778-017-0072-x]</w:t>
      </w:r>
    </w:p>
    <w:p w14:paraId="6B08BE16"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40 </w:t>
      </w:r>
      <w:r w:rsidRPr="00B7408D">
        <w:rPr>
          <w:rFonts w:ascii="Book Antiqua" w:hAnsi="Book Antiqua"/>
          <w:b/>
          <w:lang w:val="en-US"/>
        </w:rPr>
        <w:t>Bickford PC</w:t>
      </w:r>
      <w:r w:rsidRPr="00B7408D">
        <w:rPr>
          <w:rFonts w:ascii="Book Antiqua" w:hAnsi="Book Antiqua"/>
          <w:lang w:val="en-US"/>
        </w:rPr>
        <w:t xml:space="preserve">, Kaneko Y, </w:t>
      </w:r>
      <w:proofErr w:type="spellStart"/>
      <w:r w:rsidRPr="00B7408D">
        <w:rPr>
          <w:rFonts w:ascii="Book Antiqua" w:hAnsi="Book Antiqua"/>
          <w:lang w:val="en-US"/>
        </w:rPr>
        <w:t>Grimmig</w:t>
      </w:r>
      <w:proofErr w:type="spellEnd"/>
      <w:r w:rsidRPr="00B7408D">
        <w:rPr>
          <w:rFonts w:ascii="Book Antiqua" w:hAnsi="Book Antiqua"/>
          <w:lang w:val="en-US"/>
        </w:rPr>
        <w:t xml:space="preserve"> B, Pappas C, Small B, </w:t>
      </w:r>
      <w:proofErr w:type="spellStart"/>
      <w:r w:rsidRPr="00B7408D">
        <w:rPr>
          <w:rFonts w:ascii="Book Antiqua" w:hAnsi="Book Antiqua"/>
          <w:lang w:val="en-US"/>
        </w:rPr>
        <w:t>Sanberg</w:t>
      </w:r>
      <w:proofErr w:type="spellEnd"/>
      <w:r w:rsidRPr="00B7408D">
        <w:rPr>
          <w:rFonts w:ascii="Book Antiqua" w:hAnsi="Book Antiqua"/>
          <w:lang w:val="en-US"/>
        </w:rPr>
        <w:t xml:space="preserve"> CD, </w:t>
      </w:r>
      <w:proofErr w:type="spellStart"/>
      <w:r w:rsidRPr="00B7408D">
        <w:rPr>
          <w:rFonts w:ascii="Book Antiqua" w:hAnsi="Book Antiqua"/>
          <w:lang w:val="en-US"/>
        </w:rPr>
        <w:t>Sanberg</w:t>
      </w:r>
      <w:proofErr w:type="spellEnd"/>
      <w:r w:rsidRPr="00B7408D">
        <w:rPr>
          <w:rFonts w:ascii="Book Antiqua" w:hAnsi="Book Antiqua"/>
          <w:lang w:val="en-US"/>
        </w:rPr>
        <w:t xml:space="preserve"> PR, Tan J, Douglas </w:t>
      </w:r>
      <w:proofErr w:type="spellStart"/>
      <w:r w:rsidRPr="00B7408D">
        <w:rPr>
          <w:rFonts w:ascii="Book Antiqua" w:hAnsi="Book Antiqua"/>
          <w:lang w:val="en-US"/>
        </w:rPr>
        <w:t>Shytle</w:t>
      </w:r>
      <w:proofErr w:type="spellEnd"/>
      <w:r w:rsidRPr="00B7408D">
        <w:rPr>
          <w:rFonts w:ascii="Book Antiqua" w:hAnsi="Book Antiqua"/>
          <w:lang w:val="en-US"/>
        </w:rPr>
        <w:t xml:space="preserve"> R. Nutraceutical intervention reverses the negative effects of blood from aged rats on stem cells. </w:t>
      </w:r>
      <w:r w:rsidRPr="00B7408D">
        <w:rPr>
          <w:rFonts w:ascii="Book Antiqua" w:hAnsi="Book Antiqua"/>
          <w:i/>
          <w:lang w:val="en-US"/>
        </w:rPr>
        <w:t>Age (</w:t>
      </w:r>
      <w:proofErr w:type="spellStart"/>
      <w:r w:rsidRPr="00B7408D">
        <w:rPr>
          <w:rFonts w:ascii="Book Antiqua" w:hAnsi="Book Antiqua"/>
          <w:i/>
          <w:lang w:val="en-US"/>
        </w:rPr>
        <w:t>Dordr</w:t>
      </w:r>
      <w:proofErr w:type="spellEnd"/>
      <w:r w:rsidRPr="00B7408D">
        <w:rPr>
          <w:rFonts w:ascii="Book Antiqua" w:hAnsi="Book Antiqua"/>
          <w:i/>
          <w:lang w:val="en-US"/>
        </w:rPr>
        <w:t>)</w:t>
      </w:r>
      <w:r w:rsidRPr="00B7408D">
        <w:rPr>
          <w:rFonts w:ascii="Book Antiqua" w:hAnsi="Book Antiqua"/>
          <w:lang w:val="en-US"/>
        </w:rPr>
        <w:t xml:space="preserve"> 2015; </w:t>
      </w:r>
      <w:r w:rsidRPr="00B7408D">
        <w:rPr>
          <w:rFonts w:ascii="Book Antiqua" w:hAnsi="Book Antiqua"/>
          <w:b/>
          <w:lang w:val="en-US"/>
        </w:rPr>
        <w:t>37</w:t>
      </w:r>
      <w:r w:rsidRPr="00B7408D">
        <w:rPr>
          <w:rFonts w:ascii="Book Antiqua" w:hAnsi="Book Antiqua"/>
          <w:lang w:val="en-US"/>
        </w:rPr>
        <w:t>: 103 [PMID: 26410618 DOI: 10.1007/s11357-015-9840-7]</w:t>
      </w:r>
    </w:p>
    <w:p w14:paraId="4971435C" w14:textId="4A376951"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41 </w:t>
      </w:r>
      <w:r w:rsidRPr="00B7408D">
        <w:rPr>
          <w:rFonts w:ascii="Book Antiqua" w:hAnsi="Book Antiqua"/>
          <w:b/>
          <w:lang w:val="en-US"/>
        </w:rPr>
        <w:t>Gillet C,</w:t>
      </w:r>
      <w:r w:rsidRPr="00B7408D">
        <w:rPr>
          <w:rFonts w:ascii="Book Antiqua" w:hAnsi="Book Antiqua"/>
          <w:lang w:val="en-US"/>
        </w:rPr>
        <w:t xml:space="preserve"> Valle AD, Gaspard N, </w:t>
      </w:r>
      <w:proofErr w:type="spellStart"/>
      <w:r w:rsidRPr="00B7408D">
        <w:rPr>
          <w:rFonts w:ascii="Book Antiqua" w:hAnsi="Book Antiqua"/>
          <w:lang w:val="en-US"/>
        </w:rPr>
        <w:t>Spruyt</w:t>
      </w:r>
      <w:proofErr w:type="spellEnd"/>
      <w:r w:rsidRPr="00B7408D">
        <w:rPr>
          <w:rFonts w:ascii="Book Antiqua" w:hAnsi="Book Antiqua"/>
          <w:lang w:val="en-US"/>
        </w:rPr>
        <w:t xml:space="preserve"> D, </w:t>
      </w:r>
      <w:proofErr w:type="spellStart"/>
      <w:r w:rsidRPr="00B7408D">
        <w:rPr>
          <w:rFonts w:ascii="Book Antiqua" w:hAnsi="Book Antiqua"/>
          <w:lang w:val="en-US"/>
        </w:rPr>
        <w:t>Vertongen</w:t>
      </w:r>
      <w:proofErr w:type="spellEnd"/>
      <w:r w:rsidRPr="00B7408D">
        <w:rPr>
          <w:rFonts w:ascii="Book Antiqua" w:hAnsi="Book Antiqua"/>
          <w:lang w:val="en-US"/>
        </w:rPr>
        <w:t xml:space="preserve"> P, </w:t>
      </w:r>
      <w:proofErr w:type="spellStart"/>
      <w:r w:rsidRPr="00B7408D">
        <w:rPr>
          <w:rFonts w:ascii="Book Antiqua" w:hAnsi="Book Antiqua"/>
          <w:lang w:val="en-US"/>
        </w:rPr>
        <w:t>Lechanteur</w:t>
      </w:r>
      <w:proofErr w:type="spellEnd"/>
      <w:r w:rsidRPr="00B7408D">
        <w:rPr>
          <w:rFonts w:ascii="Book Antiqua" w:hAnsi="Book Antiqua"/>
          <w:lang w:val="en-US"/>
        </w:rPr>
        <w:t xml:space="preserve"> J, </w:t>
      </w:r>
      <w:proofErr w:type="spellStart"/>
      <w:r w:rsidRPr="00B7408D">
        <w:rPr>
          <w:rFonts w:ascii="Book Antiqua" w:hAnsi="Book Antiqua"/>
          <w:lang w:val="en-US"/>
        </w:rPr>
        <w:t>Rigutto</w:t>
      </w:r>
      <w:proofErr w:type="spellEnd"/>
      <w:r w:rsidRPr="00B7408D">
        <w:rPr>
          <w:rFonts w:ascii="Book Antiqua" w:hAnsi="Book Antiqua"/>
          <w:lang w:val="en-US"/>
        </w:rPr>
        <w:t xml:space="preserve"> S, Dragan ER, </w:t>
      </w:r>
      <w:proofErr w:type="spellStart"/>
      <w:r w:rsidRPr="00B7408D">
        <w:rPr>
          <w:rFonts w:ascii="Book Antiqua" w:hAnsi="Book Antiqua"/>
          <w:lang w:val="en-US"/>
        </w:rPr>
        <w:t>Heuschling</w:t>
      </w:r>
      <w:proofErr w:type="spellEnd"/>
      <w:r w:rsidRPr="00B7408D">
        <w:rPr>
          <w:rFonts w:ascii="Book Antiqua" w:hAnsi="Book Antiqua"/>
          <w:lang w:val="en-US"/>
        </w:rPr>
        <w:t xml:space="preserve"> A, </w:t>
      </w:r>
      <w:proofErr w:type="spellStart"/>
      <w:r w:rsidRPr="00B7408D">
        <w:rPr>
          <w:rFonts w:ascii="Book Antiqua" w:hAnsi="Book Antiqua"/>
          <w:lang w:val="en-US"/>
        </w:rPr>
        <w:t>Gangji</w:t>
      </w:r>
      <w:proofErr w:type="spellEnd"/>
      <w:r w:rsidRPr="00B7408D">
        <w:rPr>
          <w:rFonts w:ascii="Book Antiqua" w:hAnsi="Book Antiqua"/>
          <w:lang w:val="en-US"/>
        </w:rPr>
        <w:t xml:space="preserve"> V, </w:t>
      </w:r>
      <w:proofErr w:type="spellStart"/>
      <w:r w:rsidRPr="00B7408D">
        <w:rPr>
          <w:rFonts w:ascii="Book Antiqua" w:hAnsi="Book Antiqua"/>
          <w:lang w:val="en-US"/>
        </w:rPr>
        <w:t>Rasschaert</w:t>
      </w:r>
      <w:proofErr w:type="spellEnd"/>
      <w:r w:rsidRPr="00B7408D">
        <w:rPr>
          <w:rFonts w:ascii="Book Antiqua" w:hAnsi="Book Antiqua"/>
          <w:lang w:val="en-US"/>
        </w:rPr>
        <w:t xml:space="preserve"> J. Osteonecrosis of the femoral head: </w:t>
      </w:r>
      <w:proofErr w:type="spellStart"/>
      <w:r w:rsidRPr="00B7408D">
        <w:rPr>
          <w:rFonts w:ascii="Book Antiqua" w:hAnsi="Book Antiqua"/>
          <w:lang w:val="en-US"/>
        </w:rPr>
        <w:t>Lipotoxicity</w:t>
      </w:r>
      <w:proofErr w:type="spellEnd"/>
      <w:r w:rsidRPr="00B7408D">
        <w:rPr>
          <w:rFonts w:ascii="Book Antiqua" w:hAnsi="Book Antiqua"/>
          <w:lang w:val="en-US"/>
        </w:rPr>
        <w:t xml:space="preserve"> exacerbation in MSC and modifications of the bone marrow fluid. Endocrinology 2017; </w:t>
      </w:r>
      <w:r w:rsidRPr="00B7408D">
        <w:rPr>
          <w:rFonts w:ascii="Book Antiqua" w:hAnsi="Book Antiqua"/>
          <w:b/>
          <w:lang w:val="en-US"/>
        </w:rPr>
        <w:t>158</w:t>
      </w:r>
      <w:r w:rsidRPr="00B7408D">
        <w:rPr>
          <w:rFonts w:ascii="Book Antiqua" w:hAnsi="Book Antiqua"/>
          <w:lang w:val="en-US"/>
        </w:rPr>
        <w:t xml:space="preserve">: 490-502 [DOI: 10.1210/en.2016-1687] </w:t>
      </w:r>
    </w:p>
    <w:p w14:paraId="1931F385"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42 </w:t>
      </w:r>
      <w:proofErr w:type="spellStart"/>
      <w:r w:rsidRPr="00B7408D">
        <w:rPr>
          <w:rFonts w:ascii="Book Antiqua" w:hAnsi="Book Antiqua"/>
          <w:b/>
          <w:lang w:val="en-US"/>
        </w:rPr>
        <w:t>Schaepe</w:t>
      </w:r>
      <w:proofErr w:type="spellEnd"/>
      <w:r w:rsidRPr="00B7408D">
        <w:rPr>
          <w:rFonts w:ascii="Book Antiqua" w:hAnsi="Book Antiqua"/>
          <w:b/>
          <w:lang w:val="en-US"/>
        </w:rPr>
        <w:t xml:space="preserve"> K</w:t>
      </w:r>
      <w:r w:rsidRPr="00B7408D">
        <w:rPr>
          <w:rFonts w:ascii="Book Antiqua" w:hAnsi="Book Antiqua"/>
          <w:lang w:val="en-US"/>
        </w:rPr>
        <w:t xml:space="preserve">, Werner J, </w:t>
      </w:r>
      <w:proofErr w:type="spellStart"/>
      <w:r w:rsidRPr="00B7408D">
        <w:rPr>
          <w:rFonts w:ascii="Book Antiqua" w:hAnsi="Book Antiqua"/>
          <w:lang w:val="en-US"/>
        </w:rPr>
        <w:t>Glenske</w:t>
      </w:r>
      <w:proofErr w:type="spellEnd"/>
      <w:r w:rsidRPr="00B7408D">
        <w:rPr>
          <w:rFonts w:ascii="Book Antiqua" w:hAnsi="Book Antiqua"/>
          <w:lang w:val="en-US"/>
        </w:rPr>
        <w:t xml:space="preserve"> K, </w:t>
      </w:r>
      <w:proofErr w:type="spellStart"/>
      <w:r w:rsidRPr="00B7408D">
        <w:rPr>
          <w:rFonts w:ascii="Book Antiqua" w:hAnsi="Book Antiqua"/>
          <w:lang w:val="en-US"/>
        </w:rPr>
        <w:t>Bartges</w:t>
      </w:r>
      <w:proofErr w:type="spellEnd"/>
      <w:r w:rsidRPr="00B7408D">
        <w:rPr>
          <w:rFonts w:ascii="Book Antiqua" w:hAnsi="Book Antiqua"/>
          <w:lang w:val="en-US"/>
        </w:rPr>
        <w:t xml:space="preserve"> T, </w:t>
      </w:r>
      <w:proofErr w:type="spellStart"/>
      <w:r w:rsidRPr="00B7408D">
        <w:rPr>
          <w:rFonts w:ascii="Book Antiqua" w:hAnsi="Book Antiqua"/>
          <w:lang w:val="en-US"/>
        </w:rPr>
        <w:t>Henss</w:t>
      </w:r>
      <w:proofErr w:type="spellEnd"/>
      <w:r w:rsidRPr="00B7408D">
        <w:rPr>
          <w:rFonts w:ascii="Book Antiqua" w:hAnsi="Book Antiqua"/>
          <w:lang w:val="en-US"/>
        </w:rPr>
        <w:t xml:space="preserve"> A, </w:t>
      </w:r>
      <w:proofErr w:type="spellStart"/>
      <w:r w:rsidRPr="00B7408D">
        <w:rPr>
          <w:rFonts w:ascii="Book Antiqua" w:hAnsi="Book Antiqua"/>
          <w:lang w:val="en-US"/>
        </w:rPr>
        <w:t>Rohnke</w:t>
      </w:r>
      <w:proofErr w:type="spellEnd"/>
      <w:r w:rsidRPr="00B7408D">
        <w:rPr>
          <w:rFonts w:ascii="Book Antiqua" w:hAnsi="Book Antiqua"/>
          <w:lang w:val="en-US"/>
        </w:rPr>
        <w:t xml:space="preserve"> M, </w:t>
      </w:r>
      <w:proofErr w:type="spellStart"/>
      <w:r w:rsidRPr="00B7408D">
        <w:rPr>
          <w:rFonts w:ascii="Book Antiqua" w:hAnsi="Book Antiqua"/>
          <w:lang w:val="en-US"/>
        </w:rPr>
        <w:t>Wenisch</w:t>
      </w:r>
      <w:proofErr w:type="spellEnd"/>
      <w:r w:rsidRPr="00B7408D">
        <w:rPr>
          <w:rFonts w:ascii="Book Antiqua" w:hAnsi="Book Antiqua"/>
          <w:lang w:val="en-US"/>
        </w:rPr>
        <w:t xml:space="preserve"> S, </w:t>
      </w:r>
      <w:proofErr w:type="spellStart"/>
      <w:r w:rsidRPr="00B7408D">
        <w:rPr>
          <w:rFonts w:ascii="Book Antiqua" w:hAnsi="Book Antiqua"/>
          <w:lang w:val="en-US"/>
        </w:rPr>
        <w:t>Janek</w:t>
      </w:r>
      <w:proofErr w:type="spellEnd"/>
      <w:r w:rsidRPr="00B7408D">
        <w:rPr>
          <w:rFonts w:ascii="Book Antiqua" w:hAnsi="Book Antiqua"/>
          <w:lang w:val="en-US"/>
        </w:rPr>
        <w:t xml:space="preserve"> J. </w:t>
      </w:r>
      <w:proofErr w:type="spellStart"/>
      <w:r w:rsidRPr="00B7408D">
        <w:rPr>
          <w:rFonts w:ascii="Book Antiqua" w:hAnsi="Book Antiqua"/>
          <w:lang w:val="en-US"/>
        </w:rPr>
        <w:t>ToF</w:t>
      </w:r>
      <w:proofErr w:type="spellEnd"/>
      <w:r w:rsidRPr="00B7408D">
        <w:rPr>
          <w:rFonts w:ascii="Book Antiqua" w:hAnsi="Book Antiqua"/>
          <w:lang w:val="en-US"/>
        </w:rPr>
        <w:t xml:space="preserve">-SIMS study of differentiation of human bone-derived stromal cells: new insights into osteoporosis. </w:t>
      </w:r>
      <w:r w:rsidRPr="00B7408D">
        <w:rPr>
          <w:rFonts w:ascii="Book Antiqua" w:hAnsi="Book Antiqua"/>
          <w:i/>
          <w:lang w:val="en-US"/>
        </w:rPr>
        <w:t xml:space="preserve">Anal </w:t>
      </w:r>
      <w:proofErr w:type="spellStart"/>
      <w:r w:rsidRPr="00B7408D">
        <w:rPr>
          <w:rFonts w:ascii="Book Antiqua" w:hAnsi="Book Antiqua"/>
          <w:i/>
          <w:lang w:val="en-US"/>
        </w:rPr>
        <w:t>Bioanal</w:t>
      </w:r>
      <w:proofErr w:type="spellEnd"/>
      <w:r w:rsidRPr="00B7408D">
        <w:rPr>
          <w:rFonts w:ascii="Book Antiqua" w:hAnsi="Book Antiqua"/>
          <w:i/>
          <w:lang w:val="en-US"/>
        </w:rPr>
        <w:t xml:space="preserve"> </w:t>
      </w:r>
      <w:proofErr w:type="spellStart"/>
      <w:r w:rsidRPr="00B7408D">
        <w:rPr>
          <w:rFonts w:ascii="Book Antiqua" w:hAnsi="Book Antiqua"/>
          <w:i/>
          <w:lang w:val="en-US"/>
        </w:rPr>
        <w:t>Chem</w:t>
      </w:r>
      <w:proofErr w:type="spellEnd"/>
      <w:r w:rsidRPr="00B7408D">
        <w:rPr>
          <w:rFonts w:ascii="Book Antiqua" w:hAnsi="Book Antiqua"/>
          <w:lang w:val="en-US"/>
        </w:rPr>
        <w:t xml:space="preserve"> 2017; </w:t>
      </w:r>
      <w:r w:rsidRPr="00B7408D">
        <w:rPr>
          <w:rFonts w:ascii="Book Antiqua" w:hAnsi="Book Antiqua"/>
          <w:b/>
          <w:lang w:val="en-US"/>
        </w:rPr>
        <w:t>409</w:t>
      </w:r>
      <w:r w:rsidRPr="00B7408D">
        <w:rPr>
          <w:rFonts w:ascii="Book Antiqua" w:hAnsi="Book Antiqua"/>
          <w:lang w:val="en-US"/>
        </w:rPr>
        <w:t>: 4425-4435 [PMID: 28516281 DOI: 10.1007/s00216-017-0386-7]</w:t>
      </w:r>
    </w:p>
    <w:p w14:paraId="2C57F9A7"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43 </w:t>
      </w:r>
      <w:proofErr w:type="spellStart"/>
      <w:r w:rsidRPr="00B7408D">
        <w:rPr>
          <w:rFonts w:ascii="Book Antiqua" w:hAnsi="Book Antiqua"/>
          <w:b/>
          <w:lang w:val="en-US"/>
        </w:rPr>
        <w:t>Kojour</w:t>
      </w:r>
      <w:proofErr w:type="spellEnd"/>
      <w:r w:rsidRPr="00B7408D">
        <w:rPr>
          <w:rFonts w:ascii="Book Antiqua" w:hAnsi="Book Antiqua"/>
          <w:b/>
          <w:lang w:val="en-US"/>
        </w:rPr>
        <w:t xml:space="preserve"> MA</w:t>
      </w:r>
      <w:r w:rsidRPr="00B7408D">
        <w:rPr>
          <w:rFonts w:ascii="Book Antiqua" w:hAnsi="Book Antiqua"/>
          <w:lang w:val="en-US"/>
        </w:rPr>
        <w:t xml:space="preserve">, </w:t>
      </w:r>
      <w:proofErr w:type="spellStart"/>
      <w:r w:rsidRPr="00B7408D">
        <w:rPr>
          <w:rFonts w:ascii="Book Antiqua" w:hAnsi="Book Antiqua"/>
          <w:lang w:val="en-US"/>
        </w:rPr>
        <w:t>Ebrahimi-Barough</w:t>
      </w:r>
      <w:proofErr w:type="spellEnd"/>
      <w:r w:rsidRPr="00B7408D">
        <w:rPr>
          <w:rFonts w:ascii="Book Antiqua" w:hAnsi="Book Antiqua"/>
          <w:lang w:val="en-US"/>
        </w:rPr>
        <w:t xml:space="preserve"> S, </w:t>
      </w:r>
      <w:proofErr w:type="spellStart"/>
      <w:r w:rsidRPr="00B7408D">
        <w:rPr>
          <w:rFonts w:ascii="Book Antiqua" w:hAnsi="Book Antiqua"/>
          <w:lang w:val="en-US"/>
        </w:rPr>
        <w:t>Kouchesfehani</w:t>
      </w:r>
      <w:proofErr w:type="spellEnd"/>
      <w:r w:rsidRPr="00B7408D">
        <w:rPr>
          <w:rFonts w:ascii="Book Antiqua" w:hAnsi="Book Antiqua"/>
          <w:lang w:val="en-US"/>
        </w:rPr>
        <w:t xml:space="preserve"> HM, </w:t>
      </w:r>
      <w:proofErr w:type="spellStart"/>
      <w:r w:rsidRPr="00B7408D">
        <w:rPr>
          <w:rFonts w:ascii="Book Antiqua" w:hAnsi="Book Antiqua"/>
          <w:lang w:val="en-US"/>
        </w:rPr>
        <w:t>Jalali</w:t>
      </w:r>
      <w:proofErr w:type="spellEnd"/>
      <w:r w:rsidRPr="00B7408D">
        <w:rPr>
          <w:rFonts w:ascii="Book Antiqua" w:hAnsi="Book Antiqua"/>
          <w:lang w:val="en-US"/>
        </w:rPr>
        <w:t xml:space="preserve"> H, Ebrahim MH. Oleic acid promotes the expression of neural markers in differentiated human </w:t>
      </w:r>
      <w:r w:rsidRPr="00B7408D">
        <w:rPr>
          <w:rFonts w:ascii="Book Antiqua" w:hAnsi="Book Antiqua"/>
          <w:lang w:val="en-US"/>
        </w:rPr>
        <w:lastRenderedPageBreak/>
        <w:t xml:space="preserve">endometrial stem cells. </w:t>
      </w:r>
      <w:r w:rsidRPr="00B7408D">
        <w:rPr>
          <w:rFonts w:ascii="Book Antiqua" w:hAnsi="Book Antiqua"/>
          <w:i/>
          <w:lang w:val="en-US"/>
        </w:rPr>
        <w:t xml:space="preserve">J </w:t>
      </w:r>
      <w:proofErr w:type="spellStart"/>
      <w:r w:rsidRPr="00B7408D">
        <w:rPr>
          <w:rFonts w:ascii="Book Antiqua" w:hAnsi="Book Antiqua"/>
          <w:i/>
          <w:lang w:val="en-US"/>
        </w:rPr>
        <w:t>Chem</w:t>
      </w:r>
      <w:proofErr w:type="spellEnd"/>
      <w:r w:rsidRPr="00B7408D">
        <w:rPr>
          <w:rFonts w:ascii="Book Antiqua" w:hAnsi="Book Antiqua"/>
          <w:i/>
          <w:lang w:val="en-US"/>
        </w:rPr>
        <w:t xml:space="preserve"> </w:t>
      </w:r>
      <w:proofErr w:type="spellStart"/>
      <w:r w:rsidRPr="00B7408D">
        <w:rPr>
          <w:rFonts w:ascii="Book Antiqua" w:hAnsi="Book Antiqua"/>
          <w:i/>
          <w:lang w:val="en-US"/>
        </w:rPr>
        <w:t>Neuroanat</w:t>
      </w:r>
      <w:proofErr w:type="spellEnd"/>
      <w:r w:rsidRPr="00B7408D">
        <w:rPr>
          <w:rFonts w:ascii="Book Antiqua" w:hAnsi="Book Antiqua"/>
          <w:lang w:val="en-US"/>
        </w:rPr>
        <w:t xml:space="preserve"> 2017; </w:t>
      </w:r>
      <w:r w:rsidRPr="00B7408D">
        <w:rPr>
          <w:rFonts w:ascii="Book Antiqua" w:hAnsi="Book Antiqua"/>
          <w:b/>
          <w:lang w:val="en-US"/>
        </w:rPr>
        <w:t>79</w:t>
      </w:r>
      <w:r w:rsidRPr="00B7408D">
        <w:rPr>
          <w:rFonts w:ascii="Book Antiqua" w:hAnsi="Book Antiqua"/>
          <w:lang w:val="en-US"/>
        </w:rPr>
        <w:t>: 51-57 [PMID: 27865908 DOI: 10.1016/j.jchemneu.2016.11.004]</w:t>
      </w:r>
    </w:p>
    <w:p w14:paraId="46114852"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44 </w:t>
      </w:r>
      <w:r w:rsidRPr="00B7408D">
        <w:rPr>
          <w:rFonts w:ascii="Book Antiqua" w:hAnsi="Book Antiqua"/>
          <w:b/>
          <w:lang w:val="en-US"/>
        </w:rPr>
        <w:t>Jung YH</w:t>
      </w:r>
      <w:r w:rsidRPr="00B7408D">
        <w:rPr>
          <w:rFonts w:ascii="Book Antiqua" w:hAnsi="Book Antiqua"/>
          <w:lang w:val="en-US"/>
        </w:rPr>
        <w:t xml:space="preserve">, Lee SJ, Oh SY, Lee HJ, Ryu JM, Han HJ. Oleic acid enhances the motility of umbilical cord blood derived mesenchymal stem cells through EphB2-dependent F-actin formation. </w:t>
      </w:r>
      <w:proofErr w:type="spellStart"/>
      <w:r w:rsidRPr="00B7408D">
        <w:rPr>
          <w:rFonts w:ascii="Book Antiqua" w:hAnsi="Book Antiqua"/>
          <w:i/>
          <w:lang w:val="en-US"/>
        </w:rPr>
        <w:t>Biochim</w:t>
      </w:r>
      <w:proofErr w:type="spellEnd"/>
      <w:r w:rsidRPr="00B7408D">
        <w:rPr>
          <w:rFonts w:ascii="Book Antiqua" w:hAnsi="Book Antiqua"/>
          <w:i/>
          <w:lang w:val="en-US"/>
        </w:rPr>
        <w:t xml:space="preserve"> </w:t>
      </w:r>
      <w:proofErr w:type="spellStart"/>
      <w:r w:rsidRPr="00B7408D">
        <w:rPr>
          <w:rFonts w:ascii="Book Antiqua" w:hAnsi="Book Antiqua"/>
          <w:i/>
          <w:lang w:val="en-US"/>
        </w:rPr>
        <w:t>Biophys</w:t>
      </w:r>
      <w:proofErr w:type="spellEnd"/>
      <w:r w:rsidRPr="00B7408D">
        <w:rPr>
          <w:rFonts w:ascii="Book Antiqua" w:hAnsi="Book Antiqua"/>
          <w:i/>
          <w:lang w:val="en-US"/>
        </w:rPr>
        <w:t xml:space="preserve"> </w:t>
      </w:r>
      <w:proofErr w:type="spellStart"/>
      <w:r w:rsidRPr="00B7408D">
        <w:rPr>
          <w:rFonts w:ascii="Book Antiqua" w:hAnsi="Book Antiqua"/>
          <w:i/>
          <w:lang w:val="en-US"/>
        </w:rPr>
        <w:t>Acta</w:t>
      </w:r>
      <w:proofErr w:type="spellEnd"/>
      <w:r w:rsidRPr="00B7408D">
        <w:rPr>
          <w:rFonts w:ascii="Book Antiqua" w:hAnsi="Book Antiqua"/>
          <w:lang w:val="en-US"/>
        </w:rPr>
        <w:t xml:space="preserve"> 2015; </w:t>
      </w:r>
      <w:r w:rsidRPr="00B7408D">
        <w:rPr>
          <w:rFonts w:ascii="Book Antiqua" w:hAnsi="Book Antiqua"/>
          <w:b/>
          <w:lang w:val="en-US"/>
        </w:rPr>
        <w:t>1853</w:t>
      </w:r>
      <w:r w:rsidRPr="00B7408D">
        <w:rPr>
          <w:rFonts w:ascii="Book Antiqua" w:hAnsi="Book Antiqua"/>
          <w:lang w:val="en-US"/>
        </w:rPr>
        <w:t>: 1905-1917 [PMID: 25962624 DOI: 10.1016/j.bbamcr.2015.05.006]</w:t>
      </w:r>
    </w:p>
    <w:p w14:paraId="201044A9"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45 </w:t>
      </w:r>
      <w:r w:rsidRPr="00B7408D">
        <w:rPr>
          <w:rFonts w:ascii="Book Antiqua" w:hAnsi="Book Antiqua"/>
          <w:b/>
          <w:lang w:val="en-US"/>
        </w:rPr>
        <w:t>Smith AN</w:t>
      </w:r>
      <w:r w:rsidRPr="00B7408D">
        <w:rPr>
          <w:rFonts w:ascii="Book Antiqua" w:hAnsi="Book Antiqua"/>
          <w:lang w:val="en-US"/>
        </w:rPr>
        <w:t xml:space="preserve">, </w:t>
      </w:r>
      <w:proofErr w:type="spellStart"/>
      <w:r w:rsidRPr="00B7408D">
        <w:rPr>
          <w:rFonts w:ascii="Book Antiqua" w:hAnsi="Book Antiqua"/>
          <w:lang w:val="en-US"/>
        </w:rPr>
        <w:t>Muffley</w:t>
      </w:r>
      <w:proofErr w:type="spellEnd"/>
      <w:r w:rsidRPr="00B7408D">
        <w:rPr>
          <w:rFonts w:ascii="Book Antiqua" w:hAnsi="Book Antiqua"/>
          <w:lang w:val="en-US"/>
        </w:rPr>
        <w:t xml:space="preserve"> LA, Bell AN, </w:t>
      </w:r>
      <w:proofErr w:type="spellStart"/>
      <w:r w:rsidRPr="00B7408D">
        <w:rPr>
          <w:rFonts w:ascii="Book Antiqua" w:hAnsi="Book Antiqua"/>
          <w:lang w:val="en-US"/>
        </w:rPr>
        <w:t>Numhom</w:t>
      </w:r>
      <w:proofErr w:type="spellEnd"/>
      <w:r w:rsidRPr="00B7408D">
        <w:rPr>
          <w:rFonts w:ascii="Book Antiqua" w:hAnsi="Book Antiqua"/>
          <w:lang w:val="en-US"/>
        </w:rPr>
        <w:t xml:space="preserve"> S, Hocking AM. Unsaturated fatty acids induce mesenchymal stem cells to increase secretion of angiogenic mediators. </w:t>
      </w:r>
      <w:r w:rsidRPr="00B7408D">
        <w:rPr>
          <w:rFonts w:ascii="Book Antiqua" w:hAnsi="Book Antiqua"/>
          <w:i/>
          <w:lang w:val="en-US"/>
        </w:rPr>
        <w:t xml:space="preserve">J Cell </w:t>
      </w:r>
      <w:proofErr w:type="spellStart"/>
      <w:r w:rsidRPr="00B7408D">
        <w:rPr>
          <w:rFonts w:ascii="Book Antiqua" w:hAnsi="Book Antiqua"/>
          <w:i/>
          <w:lang w:val="en-US"/>
        </w:rPr>
        <w:t>Physiol</w:t>
      </w:r>
      <w:proofErr w:type="spellEnd"/>
      <w:r w:rsidRPr="00B7408D">
        <w:rPr>
          <w:rFonts w:ascii="Book Antiqua" w:hAnsi="Book Antiqua"/>
          <w:lang w:val="en-US"/>
        </w:rPr>
        <w:t xml:space="preserve"> 2012; </w:t>
      </w:r>
      <w:r w:rsidRPr="00B7408D">
        <w:rPr>
          <w:rFonts w:ascii="Book Antiqua" w:hAnsi="Book Antiqua"/>
          <w:b/>
          <w:lang w:val="en-US"/>
        </w:rPr>
        <w:t>227</w:t>
      </w:r>
      <w:r w:rsidRPr="00B7408D">
        <w:rPr>
          <w:rFonts w:ascii="Book Antiqua" w:hAnsi="Book Antiqua"/>
          <w:lang w:val="en-US"/>
        </w:rPr>
        <w:t>: 3225-3233 [PMID: 22105830 DOI: 10.1002/jcp.24013]</w:t>
      </w:r>
    </w:p>
    <w:p w14:paraId="2B26DD30"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46 </w:t>
      </w:r>
      <w:proofErr w:type="spellStart"/>
      <w:r w:rsidRPr="00B7408D">
        <w:rPr>
          <w:rFonts w:ascii="Book Antiqua" w:hAnsi="Book Antiqua"/>
          <w:b/>
          <w:lang w:val="en-US"/>
        </w:rPr>
        <w:t>Burdge</w:t>
      </w:r>
      <w:proofErr w:type="spellEnd"/>
      <w:r w:rsidRPr="00B7408D">
        <w:rPr>
          <w:rFonts w:ascii="Book Antiqua" w:hAnsi="Book Antiqua"/>
          <w:b/>
          <w:lang w:val="en-US"/>
        </w:rPr>
        <w:t xml:space="preserve"> GC</w:t>
      </w:r>
      <w:r w:rsidRPr="00B7408D">
        <w:rPr>
          <w:rFonts w:ascii="Book Antiqua" w:hAnsi="Book Antiqua"/>
          <w:lang w:val="en-US"/>
        </w:rPr>
        <w:t xml:space="preserve">. Metabolism of alpha-linolenic acid in humans. </w:t>
      </w:r>
      <w:r w:rsidRPr="00B7408D">
        <w:rPr>
          <w:rFonts w:ascii="Book Antiqua" w:hAnsi="Book Antiqua"/>
          <w:i/>
          <w:lang w:val="en-US"/>
        </w:rPr>
        <w:t xml:space="preserve">Prostaglandins </w:t>
      </w:r>
      <w:proofErr w:type="spellStart"/>
      <w:r w:rsidRPr="00B7408D">
        <w:rPr>
          <w:rFonts w:ascii="Book Antiqua" w:hAnsi="Book Antiqua"/>
          <w:i/>
          <w:lang w:val="en-US"/>
        </w:rPr>
        <w:t>Leukot</w:t>
      </w:r>
      <w:proofErr w:type="spellEnd"/>
      <w:r w:rsidRPr="00B7408D">
        <w:rPr>
          <w:rFonts w:ascii="Book Antiqua" w:hAnsi="Book Antiqua"/>
          <w:i/>
          <w:lang w:val="en-US"/>
        </w:rPr>
        <w:t xml:space="preserve"> </w:t>
      </w:r>
      <w:proofErr w:type="spellStart"/>
      <w:r w:rsidRPr="00B7408D">
        <w:rPr>
          <w:rFonts w:ascii="Book Antiqua" w:hAnsi="Book Antiqua"/>
          <w:i/>
          <w:lang w:val="en-US"/>
        </w:rPr>
        <w:t>Essent</w:t>
      </w:r>
      <w:proofErr w:type="spellEnd"/>
      <w:r w:rsidRPr="00B7408D">
        <w:rPr>
          <w:rFonts w:ascii="Book Antiqua" w:hAnsi="Book Antiqua"/>
          <w:i/>
          <w:lang w:val="en-US"/>
        </w:rPr>
        <w:t xml:space="preserve"> Fatty Acids</w:t>
      </w:r>
      <w:r w:rsidRPr="00B7408D">
        <w:rPr>
          <w:rFonts w:ascii="Book Antiqua" w:hAnsi="Book Antiqua"/>
          <w:lang w:val="en-US"/>
        </w:rPr>
        <w:t xml:space="preserve"> 2006; </w:t>
      </w:r>
      <w:r w:rsidRPr="00B7408D">
        <w:rPr>
          <w:rFonts w:ascii="Book Antiqua" w:hAnsi="Book Antiqua"/>
          <w:b/>
          <w:lang w:val="en-US"/>
        </w:rPr>
        <w:t>75</w:t>
      </w:r>
      <w:r w:rsidRPr="00B7408D">
        <w:rPr>
          <w:rFonts w:ascii="Book Antiqua" w:hAnsi="Book Antiqua"/>
          <w:lang w:val="en-US"/>
        </w:rPr>
        <w:t>: 161-168 [PMID: 16828546 DOI: 10.1016/j.plefa.2006.05.013]</w:t>
      </w:r>
    </w:p>
    <w:p w14:paraId="0D005375" w14:textId="067DCBDF"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47 </w:t>
      </w:r>
      <w:proofErr w:type="spellStart"/>
      <w:r w:rsidRPr="00B7408D">
        <w:rPr>
          <w:rFonts w:ascii="Book Antiqua" w:hAnsi="Book Antiqua"/>
          <w:b/>
          <w:lang w:val="en-US"/>
        </w:rPr>
        <w:t>Wahle</w:t>
      </w:r>
      <w:proofErr w:type="spellEnd"/>
      <w:r w:rsidRPr="00B7408D">
        <w:rPr>
          <w:rFonts w:ascii="Book Antiqua" w:hAnsi="Book Antiqua"/>
          <w:b/>
          <w:lang w:val="en-US"/>
        </w:rPr>
        <w:t xml:space="preserve"> KW</w:t>
      </w:r>
      <w:r w:rsidRPr="00B7408D">
        <w:rPr>
          <w:rFonts w:ascii="Book Antiqua" w:hAnsi="Book Antiqua"/>
          <w:lang w:val="en-US"/>
        </w:rPr>
        <w:t xml:space="preserve">, Caruso D, Ochoa JJ, </w:t>
      </w:r>
      <w:proofErr w:type="spellStart"/>
      <w:r w:rsidRPr="00B7408D">
        <w:rPr>
          <w:rFonts w:ascii="Book Antiqua" w:hAnsi="Book Antiqua"/>
          <w:lang w:val="en-US"/>
        </w:rPr>
        <w:t>Quiles</w:t>
      </w:r>
      <w:proofErr w:type="spellEnd"/>
      <w:r w:rsidRPr="00B7408D">
        <w:rPr>
          <w:rFonts w:ascii="Book Antiqua" w:hAnsi="Book Antiqua"/>
          <w:lang w:val="en-US"/>
        </w:rPr>
        <w:t xml:space="preserve"> JL. Olive oil and modulation of cell signaling in disease prevention. </w:t>
      </w:r>
      <w:r w:rsidRPr="00B7408D">
        <w:rPr>
          <w:rFonts w:ascii="Book Antiqua" w:hAnsi="Book Antiqua"/>
          <w:i/>
          <w:lang w:val="en-US"/>
        </w:rPr>
        <w:t>Lipids</w:t>
      </w:r>
      <w:r w:rsidRPr="00B7408D">
        <w:rPr>
          <w:rFonts w:ascii="Book Antiqua" w:hAnsi="Book Antiqua"/>
          <w:lang w:val="en-US"/>
        </w:rPr>
        <w:t xml:space="preserve"> 2004; </w:t>
      </w:r>
      <w:r w:rsidRPr="00B7408D">
        <w:rPr>
          <w:rFonts w:ascii="Book Antiqua" w:hAnsi="Book Antiqua"/>
          <w:b/>
          <w:lang w:val="en-US"/>
        </w:rPr>
        <w:t>39</w:t>
      </w:r>
      <w:r w:rsidRPr="00B7408D">
        <w:rPr>
          <w:rFonts w:ascii="Book Antiqua" w:hAnsi="Book Antiqua"/>
          <w:lang w:val="en-US"/>
        </w:rPr>
        <w:t>: 1223-1231 [PMID: 15736919</w:t>
      </w:r>
      <w:r w:rsidR="000079E4" w:rsidRPr="00B7408D">
        <w:rPr>
          <w:rFonts w:ascii="Book Antiqua" w:hAnsi="Book Antiqua"/>
          <w:lang w:val="en-US"/>
        </w:rPr>
        <w:t xml:space="preserve"> DOI: 10.1007/s11745-004-1351-y</w:t>
      </w:r>
      <w:r w:rsidRPr="00B7408D">
        <w:rPr>
          <w:rFonts w:ascii="Book Antiqua" w:hAnsi="Book Antiqua"/>
          <w:lang w:val="en-US"/>
        </w:rPr>
        <w:t>]</w:t>
      </w:r>
    </w:p>
    <w:p w14:paraId="608E5AE3"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48 </w:t>
      </w:r>
      <w:r w:rsidRPr="00B7408D">
        <w:rPr>
          <w:rFonts w:ascii="Book Antiqua" w:hAnsi="Book Antiqua"/>
          <w:b/>
          <w:lang w:val="en-US"/>
        </w:rPr>
        <w:t>Casado-Díaz A</w:t>
      </w:r>
      <w:r w:rsidRPr="00B7408D">
        <w:rPr>
          <w:rFonts w:ascii="Book Antiqua" w:hAnsi="Book Antiqua"/>
          <w:lang w:val="en-US"/>
        </w:rPr>
        <w:t xml:space="preserve">, Santiago-Mora R, Dorado G, Quesada-Gómez JM. The omega-6 arachidonic fatty acid, but not the omega-3 fatty acids, inhibits </w:t>
      </w:r>
      <w:proofErr w:type="spellStart"/>
      <w:r w:rsidRPr="00B7408D">
        <w:rPr>
          <w:rFonts w:ascii="Book Antiqua" w:hAnsi="Book Antiqua"/>
          <w:lang w:val="en-US"/>
        </w:rPr>
        <w:t>osteoblastogenesis</w:t>
      </w:r>
      <w:proofErr w:type="spellEnd"/>
      <w:r w:rsidRPr="00B7408D">
        <w:rPr>
          <w:rFonts w:ascii="Book Antiqua" w:hAnsi="Book Antiqua"/>
          <w:lang w:val="en-US"/>
        </w:rPr>
        <w:t xml:space="preserve"> and induces </w:t>
      </w:r>
      <w:proofErr w:type="spellStart"/>
      <w:r w:rsidRPr="00B7408D">
        <w:rPr>
          <w:rFonts w:ascii="Book Antiqua" w:hAnsi="Book Antiqua"/>
          <w:lang w:val="en-US"/>
        </w:rPr>
        <w:t>adipogenesis</w:t>
      </w:r>
      <w:proofErr w:type="spellEnd"/>
      <w:r w:rsidRPr="00B7408D">
        <w:rPr>
          <w:rFonts w:ascii="Book Antiqua" w:hAnsi="Book Antiqua"/>
          <w:lang w:val="en-US"/>
        </w:rPr>
        <w:t xml:space="preserve"> of human mesenchymal stem cells: potential implication in osteoporosis. </w:t>
      </w:r>
      <w:proofErr w:type="spellStart"/>
      <w:r w:rsidRPr="00B7408D">
        <w:rPr>
          <w:rFonts w:ascii="Book Antiqua" w:hAnsi="Book Antiqua"/>
          <w:i/>
          <w:lang w:val="en-US"/>
        </w:rPr>
        <w:t>Osteoporos</w:t>
      </w:r>
      <w:proofErr w:type="spellEnd"/>
      <w:r w:rsidRPr="00B7408D">
        <w:rPr>
          <w:rFonts w:ascii="Book Antiqua" w:hAnsi="Book Antiqua"/>
          <w:i/>
          <w:lang w:val="en-US"/>
        </w:rPr>
        <w:t xml:space="preserve"> </w:t>
      </w:r>
      <w:proofErr w:type="spellStart"/>
      <w:r w:rsidRPr="00B7408D">
        <w:rPr>
          <w:rFonts w:ascii="Book Antiqua" w:hAnsi="Book Antiqua"/>
          <w:i/>
          <w:lang w:val="en-US"/>
        </w:rPr>
        <w:t>Int</w:t>
      </w:r>
      <w:proofErr w:type="spellEnd"/>
      <w:r w:rsidRPr="00B7408D">
        <w:rPr>
          <w:rFonts w:ascii="Book Antiqua" w:hAnsi="Book Antiqua"/>
          <w:lang w:val="en-US"/>
        </w:rPr>
        <w:t xml:space="preserve"> 2013; </w:t>
      </w:r>
      <w:r w:rsidRPr="00B7408D">
        <w:rPr>
          <w:rFonts w:ascii="Book Antiqua" w:hAnsi="Book Antiqua"/>
          <w:b/>
          <w:lang w:val="en-US"/>
        </w:rPr>
        <w:t>24</w:t>
      </w:r>
      <w:r w:rsidRPr="00B7408D">
        <w:rPr>
          <w:rFonts w:ascii="Book Antiqua" w:hAnsi="Book Antiqua"/>
          <w:lang w:val="en-US"/>
        </w:rPr>
        <w:t>: 1647-1661 [PMID: 23104199 DOI: 10.1007/s00198-012-2138-z]</w:t>
      </w:r>
    </w:p>
    <w:p w14:paraId="504196D2"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49 </w:t>
      </w:r>
      <w:r w:rsidRPr="00B7408D">
        <w:rPr>
          <w:rFonts w:ascii="Book Antiqua" w:hAnsi="Book Antiqua"/>
          <w:b/>
          <w:lang w:val="en-US"/>
        </w:rPr>
        <w:t>Mathew SA</w:t>
      </w:r>
      <w:r w:rsidRPr="00B7408D">
        <w:rPr>
          <w:rFonts w:ascii="Book Antiqua" w:hAnsi="Book Antiqua"/>
          <w:lang w:val="en-US"/>
        </w:rPr>
        <w:t xml:space="preserve">, </w:t>
      </w:r>
      <w:proofErr w:type="spellStart"/>
      <w:r w:rsidRPr="00B7408D">
        <w:rPr>
          <w:rFonts w:ascii="Book Antiqua" w:hAnsi="Book Antiqua"/>
          <w:lang w:val="en-US"/>
        </w:rPr>
        <w:t>Bhonde</w:t>
      </w:r>
      <w:proofErr w:type="spellEnd"/>
      <w:r w:rsidRPr="00B7408D">
        <w:rPr>
          <w:rFonts w:ascii="Book Antiqua" w:hAnsi="Book Antiqua"/>
          <w:lang w:val="en-US"/>
        </w:rPr>
        <w:t xml:space="preserve"> RR. Omega-3 polyunsaturated fatty acids promote angiogenesis in placenta derived mesenchymal stromal cells. </w:t>
      </w:r>
      <w:proofErr w:type="spellStart"/>
      <w:r w:rsidRPr="00B7408D">
        <w:rPr>
          <w:rFonts w:ascii="Book Antiqua" w:hAnsi="Book Antiqua"/>
          <w:i/>
          <w:lang w:val="en-US"/>
        </w:rPr>
        <w:t>Pharmacol</w:t>
      </w:r>
      <w:proofErr w:type="spellEnd"/>
      <w:r w:rsidRPr="00B7408D">
        <w:rPr>
          <w:rFonts w:ascii="Book Antiqua" w:hAnsi="Book Antiqua"/>
          <w:i/>
          <w:lang w:val="en-US"/>
        </w:rPr>
        <w:t xml:space="preserve"> Res</w:t>
      </w:r>
      <w:r w:rsidRPr="00B7408D">
        <w:rPr>
          <w:rFonts w:ascii="Book Antiqua" w:hAnsi="Book Antiqua"/>
          <w:lang w:val="en-US"/>
        </w:rPr>
        <w:t xml:space="preserve"> 2018; </w:t>
      </w:r>
      <w:r w:rsidRPr="00B7408D">
        <w:rPr>
          <w:rFonts w:ascii="Book Antiqua" w:hAnsi="Book Antiqua"/>
          <w:b/>
          <w:lang w:val="en-US"/>
        </w:rPr>
        <w:t>132</w:t>
      </w:r>
      <w:r w:rsidRPr="00B7408D">
        <w:rPr>
          <w:rFonts w:ascii="Book Antiqua" w:hAnsi="Book Antiqua"/>
          <w:lang w:val="en-US"/>
        </w:rPr>
        <w:t>: 90-98 [PMID: 29665425 DOI: 10.1016/j.phrs.2018.04.002]</w:t>
      </w:r>
    </w:p>
    <w:p w14:paraId="7F43E6C1"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50 </w:t>
      </w:r>
      <w:r w:rsidRPr="00B7408D">
        <w:rPr>
          <w:rFonts w:ascii="Book Antiqua" w:hAnsi="Book Antiqua"/>
          <w:b/>
          <w:lang w:val="en-US"/>
        </w:rPr>
        <w:t>Merino J</w:t>
      </w:r>
      <w:r w:rsidRPr="00B7408D">
        <w:rPr>
          <w:rFonts w:ascii="Book Antiqua" w:hAnsi="Book Antiqua"/>
          <w:lang w:val="en-US"/>
        </w:rPr>
        <w:t xml:space="preserve">, Sala-Vila A, Plana N, Girona J, </w:t>
      </w:r>
      <w:proofErr w:type="spellStart"/>
      <w:r w:rsidRPr="00B7408D">
        <w:rPr>
          <w:rFonts w:ascii="Book Antiqua" w:hAnsi="Book Antiqua"/>
          <w:lang w:val="en-US"/>
        </w:rPr>
        <w:t>Vallve</w:t>
      </w:r>
      <w:proofErr w:type="spellEnd"/>
      <w:r w:rsidRPr="00B7408D">
        <w:rPr>
          <w:rFonts w:ascii="Book Antiqua" w:hAnsi="Book Antiqua"/>
          <w:lang w:val="en-US"/>
        </w:rPr>
        <w:t xml:space="preserve"> JC, </w:t>
      </w:r>
      <w:proofErr w:type="spellStart"/>
      <w:r w:rsidRPr="00B7408D">
        <w:rPr>
          <w:rFonts w:ascii="Book Antiqua" w:hAnsi="Book Antiqua"/>
          <w:lang w:val="en-US"/>
        </w:rPr>
        <w:t>Ibarretxe</w:t>
      </w:r>
      <w:proofErr w:type="spellEnd"/>
      <w:r w:rsidRPr="00B7408D">
        <w:rPr>
          <w:rFonts w:ascii="Book Antiqua" w:hAnsi="Book Antiqua"/>
          <w:lang w:val="en-US"/>
        </w:rPr>
        <w:t xml:space="preserve"> D, </w:t>
      </w:r>
      <w:proofErr w:type="spellStart"/>
      <w:r w:rsidRPr="00B7408D">
        <w:rPr>
          <w:rFonts w:ascii="Book Antiqua" w:hAnsi="Book Antiqua"/>
          <w:lang w:val="en-US"/>
        </w:rPr>
        <w:t>Ros</w:t>
      </w:r>
      <w:proofErr w:type="spellEnd"/>
      <w:r w:rsidRPr="00B7408D">
        <w:rPr>
          <w:rFonts w:ascii="Book Antiqua" w:hAnsi="Book Antiqua"/>
          <w:lang w:val="en-US"/>
        </w:rPr>
        <w:t xml:space="preserve"> E, </w:t>
      </w:r>
      <w:proofErr w:type="spellStart"/>
      <w:r w:rsidRPr="00B7408D">
        <w:rPr>
          <w:rFonts w:ascii="Book Antiqua" w:hAnsi="Book Antiqua"/>
          <w:lang w:val="en-US"/>
        </w:rPr>
        <w:t>Ferré</w:t>
      </w:r>
      <w:proofErr w:type="spellEnd"/>
      <w:r w:rsidRPr="00B7408D">
        <w:rPr>
          <w:rFonts w:ascii="Book Antiqua" w:hAnsi="Book Antiqua"/>
          <w:lang w:val="en-US"/>
        </w:rPr>
        <w:t xml:space="preserve"> R, Heras M, </w:t>
      </w:r>
      <w:proofErr w:type="spellStart"/>
      <w:r w:rsidRPr="00B7408D">
        <w:rPr>
          <w:rFonts w:ascii="Book Antiqua" w:hAnsi="Book Antiqua"/>
          <w:lang w:val="en-US"/>
        </w:rPr>
        <w:t>Masana</w:t>
      </w:r>
      <w:proofErr w:type="spellEnd"/>
      <w:r w:rsidRPr="00B7408D">
        <w:rPr>
          <w:rFonts w:ascii="Book Antiqua" w:hAnsi="Book Antiqua"/>
          <w:lang w:val="en-US"/>
        </w:rPr>
        <w:t xml:space="preserve"> L. Serum palmitoleate acts as a </w:t>
      </w:r>
      <w:proofErr w:type="spellStart"/>
      <w:r w:rsidRPr="00B7408D">
        <w:rPr>
          <w:rFonts w:ascii="Book Antiqua" w:hAnsi="Book Antiqua"/>
          <w:lang w:val="en-US"/>
        </w:rPr>
        <w:t>lipokine</w:t>
      </w:r>
      <w:proofErr w:type="spellEnd"/>
      <w:r w:rsidRPr="00B7408D">
        <w:rPr>
          <w:rFonts w:ascii="Book Antiqua" w:hAnsi="Book Antiqua"/>
          <w:lang w:val="en-US"/>
        </w:rPr>
        <w:t xml:space="preserve"> in subjects at high cardiometabolic risk. </w:t>
      </w:r>
      <w:proofErr w:type="spellStart"/>
      <w:r w:rsidRPr="00B7408D">
        <w:rPr>
          <w:rFonts w:ascii="Book Antiqua" w:hAnsi="Book Antiqua"/>
          <w:i/>
          <w:lang w:val="en-US"/>
        </w:rPr>
        <w:t>Nutr</w:t>
      </w:r>
      <w:proofErr w:type="spellEnd"/>
      <w:r w:rsidRPr="00B7408D">
        <w:rPr>
          <w:rFonts w:ascii="Book Antiqua" w:hAnsi="Book Antiqua"/>
          <w:i/>
          <w:lang w:val="en-US"/>
        </w:rPr>
        <w:t xml:space="preserve"> </w:t>
      </w:r>
      <w:proofErr w:type="spellStart"/>
      <w:r w:rsidRPr="00B7408D">
        <w:rPr>
          <w:rFonts w:ascii="Book Antiqua" w:hAnsi="Book Antiqua"/>
          <w:i/>
          <w:lang w:val="en-US"/>
        </w:rPr>
        <w:t>Metab</w:t>
      </w:r>
      <w:proofErr w:type="spellEnd"/>
      <w:r w:rsidRPr="00B7408D">
        <w:rPr>
          <w:rFonts w:ascii="Book Antiqua" w:hAnsi="Book Antiqua"/>
          <w:i/>
          <w:lang w:val="en-US"/>
        </w:rPr>
        <w:t xml:space="preserve"> </w:t>
      </w:r>
      <w:proofErr w:type="spellStart"/>
      <w:r w:rsidRPr="00B7408D">
        <w:rPr>
          <w:rFonts w:ascii="Book Antiqua" w:hAnsi="Book Antiqua"/>
          <w:i/>
          <w:lang w:val="en-US"/>
        </w:rPr>
        <w:t>Cardiovasc</w:t>
      </w:r>
      <w:proofErr w:type="spellEnd"/>
      <w:r w:rsidRPr="00B7408D">
        <w:rPr>
          <w:rFonts w:ascii="Book Antiqua" w:hAnsi="Book Antiqua"/>
          <w:i/>
          <w:lang w:val="en-US"/>
        </w:rPr>
        <w:t xml:space="preserve"> Dis</w:t>
      </w:r>
      <w:r w:rsidRPr="00B7408D">
        <w:rPr>
          <w:rFonts w:ascii="Book Antiqua" w:hAnsi="Book Antiqua"/>
          <w:lang w:val="en-US"/>
        </w:rPr>
        <w:t xml:space="preserve"> 2016; </w:t>
      </w:r>
      <w:r w:rsidRPr="00B7408D">
        <w:rPr>
          <w:rFonts w:ascii="Book Antiqua" w:hAnsi="Book Antiqua"/>
          <w:b/>
          <w:lang w:val="en-US"/>
        </w:rPr>
        <w:t>26</w:t>
      </w:r>
      <w:r w:rsidRPr="00B7408D">
        <w:rPr>
          <w:rFonts w:ascii="Book Antiqua" w:hAnsi="Book Antiqua"/>
          <w:lang w:val="en-US"/>
        </w:rPr>
        <w:t>: 261-267 [PMID: 26817937 DOI: 10.1016/j.numecd.2015.12.008]</w:t>
      </w:r>
    </w:p>
    <w:p w14:paraId="6AF86C9A"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51 </w:t>
      </w:r>
      <w:r w:rsidRPr="00B7408D">
        <w:rPr>
          <w:rFonts w:ascii="Book Antiqua" w:hAnsi="Book Antiqua"/>
          <w:b/>
          <w:lang w:val="en-US"/>
        </w:rPr>
        <w:t>Ruiz-Vela A</w:t>
      </w:r>
      <w:r w:rsidRPr="00B7408D">
        <w:rPr>
          <w:rFonts w:ascii="Book Antiqua" w:hAnsi="Book Antiqua"/>
          <w:lang w:val="en-US"/>
        </w:rPr>
        <w:t xml:space="preserve">, Aguilar-Gallardo C, Martínez-Arroyo AM, Soriano-Navarro M, Ruiz V, Simón C. Specific unsaturated fatty acids enforce the </w:t>
      </w:r>
      <w:proofErr w:type="spellStart"/>
      <w:r w:rsidRPr="00B7408D">
        <w:rPr>
          <w:rFonts w:ascii="Book Antiqua" w:hAnsi="Book Antiqua"/>
          <w:lang w:val="en-US"/>
        </w:rPr>
        <w:lastRenderedPageBreak/>
        <w:t>transdifferentiation</w:t>
      </w:r>
      <w:proofErr w:type="spellEnd"/>
      <w:r w:rsidRPr="00B7408D">
        <w:rPr>
          <w:rFonts w:ascii="Book Antiqua" w:hAnsi="Book Antiqua"/>
          <w:lang w:val="en-US"/>
        </w:rPr>
        <w:t xml:space="preserve"> of human cancer cells toward adipocyte-like cells. </w:t>
      </w:r>
      <w:r w:rsidRPr="00B7408D">
        <w:rPr>
          <w:rFonts w:ascii="Book Antiqua" w:hAnsi="Book Antiqua"/>
          <w:i/>
          <w:lang w:val="en-US"/>
        </w:rPr>
        <w:t>Stem Cell Rev Rep</w:t>
      </w:r>
      <w:r w:rsidRPr="00B7408D">
        <w:rPr>
          <w:rFonts w:ascii="Book Antiqua" w:hAnsi="Book Antiqua"/>
          <w:lang w:val="en-US"/>
        </w:rPr>
        <w:t xml:space="preserve"> 2011; </w:t>
      </w:r>
      <w:r w:rsidRPr="00B7408D">
        <w:rPr>
          <w:rFonts w:ascii="Book Antiqua" w:hAnsi="Book Antiqua"/>
          <w:b/>
          <w:lang w:val="en-US"/>
        </w:rPr>
        <w:t>7</w:t>
      </w:r>
      <w:r w:rsidRPr="00B7408D">
        <w:rPr>
          <w:rFonts w:ascii="Book Antiqua" w:hAnsi="Book Antiqua"/>
          <w:lang w:val="en-US"/>
        </w:rPr>
        <w:t>: 898-909 [PMID: 21499706 DOI: 10.1007/s12015-011-9253-7]</w:t>
      </w:r>
    </w:p>
    <w:p w14:paraId="576B3EC3"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52 </w:t>
      </w:r>
      <w:r w:rsidRPr="00B7408D">
        <w:rPr>
          <w:rFonts w:ascii="Book Antiqua" w:hAnsi="Book Antiqua"/>
          <w:b/>
          <w:lang w:val="en-US"/>
        </w:rPr>
        <w:t>Carta G</w:t>
      </w:r>
      <w:r w:rsidRPr="00B7408D">
        <w:rPr>
          <w:rFonts w:ascii="Book Antiqua" w:hAnsi="Book Antiqua"/>
          <w:lang w:val="en-US"/>
        </w:rPr>
        <w:t xml:space="preserve">, </w:t>
      </w:r>
      <w:proofErr w:type="spellStart"/>
      <w:r w:rsidRPr="00B7408D">
        <w:rPr>
          <w:rFonts w:ascii="Book Antiqua" w:hAnsi="Book Antiqua"/>
          <w:lang w:val="en-US"/>
        </w:rPr>
        <w:t>Murru</w:t>
      </w:r>
      <w:proofErr w:type="spellEnd"/>
      <w:r w:rsidRPr="00B7408D">
        <w:rPr>
          <w:rFonts w:ascii="Book Antiqua" w:hAnsi="Book Antiqua"/>
          <w:lang w:val="en-US"/>
        </w:rPr>
        <w:t xml:space="preserve"> E, </w:t>
      </w:r>
      <w:proofErr w:type="spellStart"/>
      <w:r w:rsidRPr="00B7408D">
        <w:rPr>
          <w:rFonts w:ascii="Book Antiqua" w:hAnsi="Book Antiqua"/>
          <w:lang w:val="en-US"/>
        </w:rPr>
        <w:t>Banni</w:t>
      </w:r>
      <w:proofErr w:type="spellEnd"/>
      <w:r w:rsidRPr="00B7408D">
        <w:rPr>
          <w:rFonts w:ascii="Book Antiqua" w:hAnsi="Book Antiqua"/>
          <w:lang w:val="en-US"/>
        </w:rPr>
        <w:t xml:space="preserve"> S, </w:t>
      </w:r>
      <w:proofErr w:type="spellStart"/>
      <w:r w:rsidRPr="00B7408D">
        <w:rPr>
          <w:rFonts w:ascii="Book Antiqua" w:hAnsi="Book Antiqua"/>
          <w:lang w:val="en-US"/>
        </w:rPr>
        <w:t>Manca</w:t>
      </w:r>
      <w:proofErr w:type="spellEnd"/>
      <w:r w:rsidRPr="00B7408D">
        <w:rPr>
          <w:rFonts w:ascii="Book Antiqua" w:hAnsi="Book Antiqua"/>
          <w:lang w:val="en-US"/>
        </w:rPr>
        <w:t xml:space="preserve"> C. Palmitic Acid: Physiological Role, Metabolism and Nutritional Implications. </w:t>
      </w:r>
      <w:r w:rsidRPr="00B7408D">
        <w:rPr>
          <w:rFonts w:ascii="Book Antiqua" w:hAnsi="Book Antiqua"/>
          <w:i/>
          <w:lang w:val="en-US"/>
        </w:rPr>
        <w:t xml:space="preserve">Front </w:t>
      </w:r>
      <w:proofErr w:type="spellStart"/>
      <w:r w:rsidRPr="00B7408D">
        <w:rPr>
          <w:rFonts w:ascii="Book Antiqua" w:hAnsi="Book Antiqua"/>
          <w:i/>
          <w:lang w:val="en-US"/>
        </w:rPr>
        <w:t>Physiol</w:t>
      </w:r>
      <w:proofErr w:type="spellEnd"/>
      <w:r w:rsidRPr="00B7408D">
        <w:rPr>
          <w:rFonts w:ascii="Book Antiqua" w:hAnsi="Book Antiqua"/>
          <w:lang w:val="en-US"/>
        </w:rPr>
        <w:t xml:space="preserve"> 2017; </w:t>
      </w:r>
      <w:r w:rsidRPr="00B7408D">
        <w:rPr>
          <w:rFonts w:ascii="Book Antiqua" w:hAnsi="Book Antiqua"/>
          <w:b/>
          <w:lang w:val="en-US"/>
        </w:rPr>
        <w:t>8</w:t>
      </w:r>
      <w:r w:rsidRPr="00B7408D">
        <w:rPr>
          <w:rFonts w:ascii="Book Antiqua" w:hAnsi="Book Antiqua"/>
          <w:lang w:val="en-US"/>
        </w:rPr>
        <w:t>: 902 [PMID: 29167646 DOI: 10.3389/fphys.2017.00902]</w:t>
      </w:r>
    </w:p>
    <w:p w14:paraId="4853B18E"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53 </w:t>
      </w:r>
      <w:r w:rsidRPr="00B7408D">
        <w:rPr>
          <w:rFonts w:ascii="Book Antiqua" w:hAnsi="Book Antiqua"/>
          <w:b/>
          <w:lang w:val="en-US"/>
        </w:rPr>
        <w:t>Zhu Z</w:t>
      </w:r>
      <w:r w:rsidRPr="00B7408D">
        <w:rPr>
          <w:rFonts w:ascii="Book Antiqua" w:hAnsi="Book Antiqua"/>
          <w:lang w:val="en-US"/>
        </w:rPr>
        <w:t>, Gan X, Yu H. NF</w:t>
      </w:r>
      <w:r w:rsidRPr="00B7408D">
        <w:rPr>
          <w:rFonts w:ascii="Times New Roman" w:hAnsi="Times New Roman" w:cs="Times New Roman"/>
          <w:lang w:val="en-US"/>
        </w:rPr>
        <w:t>‑</w:t>
      </w:r>
      <w:r w:rsidRPr="00B7408D">
        <w:rPr>
          <w:rFonts w:ascii="Book Antiqua" w:hAnsi="Book Antiqua" w:cs="Book Antiqua"/>
          <w:lang w:val="en-US"/>
        </w:rPr>
        <w:t>κ</w:t>
      </w:r>
      <w:r w:rsidRPr="00B7408D">
        <w:rPr>
          <w:rFonts w:ascii="Book Antiqua" w:hAnsi="Book Antiqua"/>
          <w:lang w:val="en-US"/>
        </w:rPr>
        <w:t>B</w:t>
      </w:r>
      <w:r w:rsidRPr="00B7408D">
        <w:rPr>
          <w:rFonts w:ascii="Times New Roman" w:hAnsi="Times New Roman" w:cs="Times New Roman"/>
          <w:lang w:val="en-US"/>
        </w:rPr>
        <w:t>‑</w:t>
      </w:r>
      <w:r w:rsidRPr="00B7408D">
        <w:rPr>
          <w:rFonts w:ascii="Book Antiqua" w:hAnsi="Book Antiqua"/>
          <w:lang w:val="en-US"/>
        </w:rPr>
        <w:t>miR15a</w:t>
      </w:r>
      <w:r w:rsidRPr="00B7408D">
        <w:rPr>
          <w:rFonts w:ascii="Times New Roman" w:hAnsi="Times New Roman" w:cs="Times New Roman"/>
          <w:lang w:val="en-US"/>
        </w:rPr>
        <w:t>‑</w:t>
      </w:r>
      <w:r w:rsidRPr="00B7408D">
        <w:rPr>
          <w:rFonts w:ascii="Book Antiqua" w:hAnsi="Book Antiqua"/>
          <w:lang w:val="en-US"/>
        </w:rPr>
        <w:t>bFGF/VEGFA axis contributes to the impaired angiogenic capacity of BM</w:t>
      </w:r>
      <w:r w:rsidRPr="00B7408D">
        <w:rPr>
          <w:rFonts w:ascii="Times New Roman" w:hAnsi="Times New Roman" w:cs="Times New Roman"/>
          <w:lang w:val="en-US"/>
        </w:rPr>
        <w:t>‑</w:t>
      </w:r>
      <w:r w:rsidRPr="00B7408D">
        <w:rPr>
          <w:rFonts w:ascii="Book Antiqua" w:hAnsi="Book Antiqua"/>
          <w:lang w:val="en-US"/>
        </w:rPr>
        <w:t>MSCs in high fat diet</w:t>
      </w:r>
      <w:r w:rsidRPr="00B7408D">
        <w:rPr>
          <w:rFonts w:ascii="Times New Roman" w:hAnsi="Times New Roman" w:cs="Times New Roman"/>
          <w:lang w:val="en-US"/>
        </w:rPr>
        <w:t>‑</w:t>
      </w:r>
      <w:r w:rsidRPr="00B7408D">
        <w:rPr>
          <w:rFonts w:ascii="Book Antiqua" w:hAnsi="Book Antiqua"/>
          <w:lang w:val="en-US"/>
        </w:rPr>
        <w:t xml:space="preserve">fed mice. </w:t>
      </w:r>
      <w:r w:rsidRPr="00B7408D">
        <w:rPr>
          <w:rFonts w:ascii="Book Antiqua" w:hAnsi="Book Antiqua"/>
          <w:i/>
          <w:lang w:val="en-US"/>
        </w:rPr>
        <w:t>Mol Med Rep</w:t>
      </w:r>
      <w:r w:rsidRPr="00B7408D">
        <w:rPr>
          <w:rFonts w:ascii="Book Antiqua" w:hAnsi="Book Antiqua"/>
          <w:lang w:val="en-US"/>
        </w:rPr>
        <w:t xml:space="preserve"> 2017; </w:t>
      </w:r>
      <w:r w:rsidRPr="00B7408D">
        <w:rPr>
          <w:rFonts w:ascii="Book Antiqua" w:hAnsi="Book Antiqua"/>
          <w:b/>
          <w:lang w:val="en-US"/>
        </w:rPr>
        <w:t>16</w:t>
      </w:r>
      <w:r w:rsidRPr="00B7408D">
        <w:rPr>
          <w:rFonts w:ascii="Book Antiqua" w:hAnsi="Book Antiqua"/>
          <w:lang w:val="en-US"/>
        </w:rPr>
        <w:t>: 7609-7616 [PMID: 28944834 DOI: 10.3892/mmr.2017.7498]</w:t>
      </w:r>
    </w:p>
    <w:p w14:paraId="4DCF71F2"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54 </w:t>
      </w:r>
      <w:r w:rsidRPr="00B7408D">
        <w:rPr>
          <w:rFonts w:ascii="Book Antiqua" w:hAnsi="Book Antiqua"/>
          <w:b/>
          <w:lang w:val="en-US"/>
        </w:rPr>
        <w:t>Lu J</w:t>
      </w:r>
      <w:r w:rsidRPr="00B7408D">
        <w:rPr>
          <w:rFonts w:ascii="Book Antiqua" w:hAnsi="Book Antiqua"/>
          <w:lang w:val="en-US"/>
        </w:rPr>
        <w:t xml:space="preserve">, Wang Q, Huang L, Dong H, Lin L, Lin N, Zheng F, Tan J. Palmitate causes endoplasmic reticulum stress and apoptosis in human mesenchymal stem cells: prevention by AMPK activator. </w:t>
      </w:r>
      <w:r w:rsidRPr="00B7408D">
        <w:rPr>
          <w:rFonts w:ascii="Book Antiqua" w:hAnsi="Book Antiqua"/>
          <w:i/>
          <w:lang w:val="en-US"/>
        </w:rPr>
        <w:t>Endocrinology</w:t>
      </w:r>
      <w:r w:rsidRPr="00B7408D">
        <w:rPr>
          <w:rFonts w:ascii="Book Antiqua" w:hAnsi="Book Antiqua"/>
          <w:lang w:val="en-US"/>
        </w:rPr>
        <w:t xml:space="preserve"> 2012; </w:t>
      </w:r>
      <w:r w:rsidRPr="00B7408D">
        <w:rPr>
          <w:rFonts w:ascii="Book Antiqua" w:hAnsi="Book Antiqua"/>
          <w:b/>
          <w:lang w:val="en-US"/>
        </w:rPr>
        <w:t>153</w:t>
      </w:r>
      <w:r w:rsidRPr="00B7408D">
        <w:rPr>
          <w:rFonts w:ascii="Book Antiqua" w:hAnsi="Book Antiqua"/>
          <w:lang w:val="en-US"/>
        </w:rPr>
        <w:t>: 5275-5284 [PMID: 22968644 DOI: 10.1210/en.2012-1418]</w:t>
      </w:r>
    </w:p>
    <w:p w14:paraId="2A533731"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55 </w:t>
      </w:r>
      <w:r w:rsidRPr="00B7408D">
        <w:rPr>
          <w:rFonts w:ascii="Book Antiqua" w:hAnsi="Book Antiqua"/>
          <w:b/>
          <w:lang w:val="en-US"/>
        </w:rPr>
        <w:t>Gillet C</w:t>
      </w:r>
      <w:r w:rsidRPr="00B7408D">
        <w:rPr>
          <w:rFonts w:ascii="Book Antiqua" w:hAnsi="Book Antiqua"/>
          <w:lang w:val="en-US"/>
        </w:rPr>
        <w:t xml:space="preserve">, </w:t>
      </w:r>
      <w:proofErr w:type="spellStart"/>
      <w:r w:rsidRPr="00B7408D">
        <w:rPr>
          <w:rFonts w:ascii="Book Antiqua" w:hAnsi="Book Antiqua"/>
          <w:lang w:val="en-US"/>
        </w:rPr>
        <w:t>Spruyt</w:t>
      </w:r>
      <w:proofErr w:type="spellEnd"/>
      <w:r w:rsidRPr="00B7408D">
        <w:rPr>
          <w:rFonts w:ascii="Book Antiqua" w:hAnsi="Book Antiqua"/>
          <w:lang w:val="en-US"/>
        </w:rPr>
        <w:t xml:space="preserve"> D, </w:t>
      </w:r>
      <w:proofErr w:type="spellStart"/>
      <w:r w:rsidRPr="00B7408D">
        <w:rPr>
          <w:rFonts w:ascii="Book Antiqua" w:hAnsi="Book Antiqua"/>
          <w:lang w:val="en-US"/>
        </w:rPr>
        <w:t>Rigutto</w:t>
      </w:r>
      <w:proofErr w:type="spellEnd"/>
      <w:r w:rsidRPr="00B7408D">
        <w:rPr>
          <w:rFonts w:ascii="Book Antiqua" w:hAnsi="Book Antiqua"/>
          <w:lang w:val="en-US"/>
        </w:rPr>
        <w:t xml:space="preserve"> S, </w:t>
      </w:r>
      <w:proofErr w:type="spellStart"/>
      <w:r w:rsidRPr="00B7408D">
        <w:rPr>
          <w:rFonts w:ascii="Book Antiqua" w:hAnsi="Book Antiqua"/>
          <w:lang w:val="en-US"/>
        </w:rPr>
        <w:t>Dalla</w:t>
      </w:r>
      <w:proofErr w:type="spellEnd"/>
      <w:r w:rsidRPr="00B7408D">
        <w:rPr>
          <w:rFonts w:ascii="Book Antiqua" w:hAnsi="Book Antiqua"/>
          <w:lang w:val="en-US"/>
        </w:rPr>
        <w:t xml:space="preserve"> Valle A, </w:t>
      </w:r>
      <w:proofErr w:type="spellStart"/>
      <w:r w:rsidRPr="00B7408D">
        <w:rPr>
          <w:rFonts w:ascii="Book Antiqua" w:hAnsi="Book Antiqua"/>
          <w:lang w:val="en-US"/>
        </w:rPr>
        <w:t>Berlier</w:t>
      </w:r>
      <w:proofErr w:type="spellEnd"/>
      <w:r w:rsidRPr="00B7408D">
        <w:rPr>
          <w:rFonts w:ascii="Book Antiqua" w:hAnsi="Book Antiqua"/>
          <w:lang w:val="en-US"/>
        </w:rPr>
        <w:t xml:space="preserve"> J, Louis C, </w:t>
      </w:r>
      <w:proofErr w:type="spellStart"/>
      <w:r w:rsidRPr="00B7408D">
        <w:rPr>
          <w:rFonts w:ascii="Book Antiqua" w:hAnsi="Book Antiqua"/>
          <w:lang w:val="en-US"/>
        </w:rPr>
        <w:t>Debier</w:t>
      </w:r>
      <w:proofErr w:type="spellEnd"/>
      <w:r w:rsidRPr="00B7408D">
        <w:rPr>
          <w:rFonts w:ascii="Book Antiqua" w:hAnsi="Book Antiqua"/>
          <w:lang w:val="en-US"/>
        </w:rPr>
        <w:t xml:space="preserve"> C, Gaspard N, </w:t>
      </w:r>
      <w:proofErr w:type="spellStart"/>
      <w:r w:rsidRPr="00B7408D">
        <w:rPr>
          <w:rFonts w:ascii="Book Antiqua" w:hAnsi="Book Antiqua"/>
          <w:lang w:val="en-US"/>
        </w:rPr>
        <w:t>Malaisse</w:t>
      </w:r>
      <w:proofErr w:type="spellEnd"/>
      <w:r w:rsidRPr="00B7408D">
        <w:rPr>
          <w:rFonts w:ascii="Book Antiqua" w:hAnsi="Book Antiqua"/>
          <w:lang w:val="en-US"/>
        </w:rPr>
        <w:t xml:space="preserve"> WJ, </w:t>
      </w:r>
      <w:proofErr w:type="spellStart"/>
      <w:r w:rsidRPr="00B7408D">
        <w:rPr>
          <w:rFonts w:ascii="Book Antiqua" w:hAnsi="Book Antiqua"/>
          <w:lang w:val="en-US"/>
        </w:rPr>
        <w:t>Gangji</w:t>
      </w:r>
      <w:proofErr w:type="spellEnd"/>
      <w:r w:rsidRPr="00B7408D">
        <w:rPr>
          <w:rFonts w:ascii="Book Antiqua" w:hAnsi="Book Antiqua"/>
          <w:lang w:val="en-US"/>
        </w:rPr>
        <w:t xml:space="preserve"> V, </w:t>
      </w:r>
      <w:proofErr w:type="spellStart"/>
      <w:r w:rsidRPr="00B7408D">
        <w:rPr>
          <w:rFonts w:ascii="Book Antiqua" w:hAnsi="Book Antiqua"/>
          <w:lang w:val="en-US"/>
        </w:rPr>
        <w:t>Rasschaert</w:t>
      </w:r>
      <w:proofErr w:type="spellEnd"/>
      <w:r w:rsidRPr="00B7408D">
        <w:rPr>
          <w:rFonts w:ascii="Book Antiqua" w:hAnsi="Book Antiqua"/>
          <w:lang w:val="en-US"/>
        </w:rPr>
        <w:t xml:space="preserve"> J. </w:t>
      </w:r>
      <w:proofErr w:type="spellStart"/>
      <w:r w:rsidRPr="00B7408D">
        <w:rPr>
          <w:rFonts w:ascii="Book Antiqua" w:hAnsi="Book Antiqua"/>
          <w:lang w:val="en-US"/>
        </w:rPr>
        <w:t>Oleate</w:t>
      </w:r>
      <w:proofErr w:type="spellEnd"/>
      <w:r w:rsidRPr="00B7408D">
        <w:rPr>
          <w:rFonts w:ascii="Book Antiqua" w:hAnsi="Book Antiqua"/>
          <w:lang w:val="en-US"/>
        </w:rPr>
        <w:t xml:space="preserve"> Abrogates Palmitate-Induced </w:t>
      </w:r>
      <w:proofErr w:type="spellStart"/>
      <w:r w:rsidRPr="00B7408D">
        <w:rPr>
          <w:rFonts w:ascii="Book Antiqua" w:hAnsi="Book Antiqua"/>
          <w:lang w:val="en-US"/>
        </w:rPr>
        <w:t>Lipotoxicity</w:t>
      </w:r>
      <w:proofErr w:type="spellEnd"/>
      <w:r w:rsidRPr="00B7408D">
        <w:rPr>
          <w:rFonts w:ascii="Book Antiqua" w:hAnsi="Book Antiqua"/>
          <w:lang w:val="en-US"/>
        </w:rPr>
        <w:t xml:space="preserve"> and </w:t>
      </w:r>
      <w:proofErr w:type="spellStart"/>
      <w:r w:rsidRPr="00B7408D">
        <w:rPr>
          <w:rFonts w:ascii="Book Antiqua" w:hAnsi="Book Antiqua"/>
          <w:lang w:val="en-US"/>
        </w:rPr>
        <w:t>Proinflammatory</w:t>
      </w:r>
      <w:proofErr w:type="spellEnd"/>
      <w:r w:rsidRPr="00B7408D">
        <w:rPr>
          <w:rFonts w:ascii="Book Antiqua" w:hAnsi="Book Antiqua"/>
          <w:lang w:val="en-US"/>
        </w:rPr>
        <w:t xml:space="preserve"> Response in Human Bone Marrow-Derived Mesenchymal Stem Cells and Osteoblastic Cells. </w:t>
      </w:r>
      <w:r w:rsidRPr="00B7408D">
        <w:rPr>
          <w:rFonts w:ascii="Book Antiqua" w:hAnsi="Book Antiqua"/>
          <w:i/>
          <w:lang w:val="en-US"/>
        </w:rPr>
        <w:t>Endocrinology</w:t>
      </w:r>
      <w:r w:rsidRPr="00B7408D">
        <w:rPr>
          <w:rFonts w:ascii="Book Antiqua" w:hAnsi="Book Antiqua"/>
          <w:lang w:val="en-US"/>
        </w:rPr>
        <w:t xml:space="preserve"> 2015; </w:t>
      </w:r>
      <w:r w:rsidRPr="00B7408D">
        <w:rPr>
          <w:rFonts w:ascii="Book Antiqua" w:hAnsi="Book Antiqua"/>
          <w:b/>
          <w:lang w:val="en-US"/>
        </w:rPr>
        <w:t>156</w:t>
      </w:r>
      <w:r w:rsidRPr="00B7408D">
        <w:rPr>
          <w:rFonts w:ascii="Book Antiqua" w:hAnsi="Book Antiqua"/>
          <w:lang w:val="en-US"/>
        </w:rPr>
        <w:t>: 4081-4093 [PMID: 26327577 DOI: 10.1210/en.2015-1303]</w:t>
      </w:r>
    </w:p>
    <w:p w14:paraId="55792A51"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56 </w:t>
      </w:r>
      <w:r w:rsidRPr="00B7408D">
        <w:rPr>
          <w:rFonts w:ascii="Book Antiqua" w:hAnsi="Book Antiqua"/>
          <w:b/>
          <w:lang w:val="en-US"/>
        </w:rPr>
        <w:t>van den Berg SA</w:t>
      </w:r>
      <w:r w:rsidRPr="00B7408D">
        <w:rPr>
          <w:rFonts w:ascii="Book Antiqua" w:hAnsi="Book Antiqua"/>
          <w:lang w:val="en-US"/>
        </w:rPr>
        <w:t xml:space="preserve">, </w:t>
      </w:r>
      <w:proofErr w:type="spellStart"/>
      <w:r w:rsidRPr="00B7408D">
        <w:rPr>
          <w:rFonts w:ascii="Book Antiqua" w:hAnsi="Book Antiqua"/>
          <w:lang w:val="en-US"/>
        </w:rPr>
        <w:t>Guigas</w:t>
      </w:r>
      <w:proofErr w:type="spellEnd"/>
      <w:r w:rsidRPr="00B7408D">
        <w:rPr>
          <w:rFonts w:ascii="Book Antiqua" w:hAnsi="Book Antiqua"/>
          <w:lang w:val="en-US"/>
        </w:rPr>
        <w:t xml:space="preserve"> B, </w:t>
      </w:r>
      <w:proofErr w:type="spellStart"/>
      <w:r w:rsidRPr="00B7408D">
        <w:rPr>
          <w:rFonts w:ascii="Book Antiqua" w:hAnsi="Book Antiqua"/>
          <w:lang w:val="en-US"/>
        </w:rPr>
        <w:t>Bijland</w:t>
      </w:r>
      <w:proofErr w:type="spellEnd"/>
      <w:r w:rsidRPr="00B7408D">
        <w:rPr>
          <w:rFonts w:ascii="Book Antiqua" w:hAnsi="Book Antiqua"/>
          <w:lang w:val="en-US"/>
        </w:rPr>
        <w:t xml:space="preserve"> S, </w:t>
      </w:r>
      <w:proofErr w:type="spellStart"/>
      <w:r w:rsidRPr="00B7408D">
        <w:rPr>
          <w:rFonts w:ascii="Book Antiqua" w:hAnsi="Book Antiqua"/>
          <w:lang w:val="en-US"/>
        </w:rPr>
        <w:t>Ouwens</w:t>
      </w:r>
      <w:proofErr w:type="spellEnd"/>
      <w:r w:rsidRPr="00B7408D">
        <w:rPr>
          <w:rFonts w:ascii="Book Antiqua" w:hAnsi="Book Antiqua"/>
          <w:lang w:val="en-US"/>
        </w:rPr>
        <w:t xml:space="preserve"> M, </w:t>
      </w:r>
      <w:proofErr w:type="spellStart"/>
      <w:r w:rsidRPr="00B7408D">
        <w:rPr>
          <w:rFonts w:ascii="Book Antiqua" w:hAnsi="Book Antiqua"/>
          <w:lang w:val="en-US"/>
        </w:rPr>
        <w:t>Voshol</w:t>
      </w:r>
      <w:proofErr w:type="spellEnd"/>
      <w:r w:rsidRPr="00B7408D">
        <w:rPr>
          <w:rFonts w:ascii="Book Antiqua" w:hAnsi="Book Antiqua"/>
          <w:lang w:val="en-US"/>
        </w:rPr>
        <w:t xml:space="preserve"> PJ, </w:t>
      </w:r>
      <w:proofErr w:type="spellStart"/>
      <w:r w:rsidRPr="00B7408D">
        <w:rPr>
          <w:rFonts w:ascii="Book Antiqua" w:hAnsi="Book Antiqua"/>
          <w:lang w:val="en-US"/>
        </w:rPr>
        <w:t>Frants</w:t>
      </w:r>
      <w:proofErr w:type="spellEnd"/>
      <w:r w:rsidRPr="00B7408D">
        <w:rPr>
          <w:rFonts w:ascii="Book Antiqua" w:hAnsi="Book Antiqua"/>
          <w:lang w:val="en-US"/>
        </w:rPr>
        <w:t xml:space="preserve"> RR, </w:t>
      </w:r>
      <w:proofErr w:type="spellStart"/>
      <w:r w:rsidRPr="00B7408D">
        <w:rPr>
          <w:rFonts w:ascii="Book Antiqua" w:hAnsi="Book Antiqua"/>
          <w:lang w:val="en-US"/>
        </w:rPr>
        <w:t>Havekes</w:t>
      </w:r>
      <w:proofErr w:type="spellEnd"/>
      <w:r w:rsidRPr="00B7408D">
        <w:rPr>
          <w:rFonts w:ascii="Book Antiqua" w:hAnsi="Book Antiqua"/>
          <w:lang w:val="en-US"/>
        </w:rPr>
        <w:t xml:space="preserve"> LM, </w:t>
      </w:r>
      <w:proofErr w:type="spellStart"/>
      <w:r w:rsidRPr="00B7408D">
        <w:rPr>
          <w:rFonts w:ascii="Book Antiqua" w:hAnsi="Book Antiqua"/>
          <w:lang w:val="en-US"/>
        </w:rPr>
        <w:t>Romijn</w:t>
      </w:r>
      <w:proofErr w:type="spellEnd"/>
      <w:r w:rsidRPr="00B7408D">
        <w:rPr>
          <w:rFonts w:ascii="Book Antiqua" w:hAnsi="Book Antiqua"/>
          <w:lang w:val="en-US"/>
        </w:rPr>
        <w:t xml:space="preserve"> JA, van </w:t>
      </w:r>
      <w:proofErr w:type="spellStart"/>
      <w:r w:rsidRPr="00B7408D">
        <w:rPr>
          <w:rFonts w:ascii="Book Antiqua" w:hAnsi="Book Antiqua"/>
          <w:lang w:val="en-US"/>
        </w:rPr>
        <w:t>Dijk</w:t>
      </w:r>
      <w:proofErr w:type="spellEnd"/>
      <w:r w:rsidRPr="00B7408D">
        <w:rPr>
          <w:rFonts w:ascii="Book Antiqua" w:hAnsi="Book Antiqua"/>
          <w:lang w:val="en-US"/>
        </w:rPr>
        <w:t xml:space="preserve"> KW. High levels of dietary stearate promote adiposity and deteriorate hepatic insulin sensitivity. </w:t>
      </w:r>
      <w:proofErr w:type="spellStart"/>
      <w:r w:rsidRPr="00B7408D">
        <w:rPr>
          <w:rFonts w:ascii="Book Antiqua" w:hAnsi="Book Antiqua"/>
          <w:i/>
          <w:lang w:val="en-US"/>
        </w:rPr>
        <w:t>Nutr</w:t>
      </w:r>
      <w:proofErr w:type="spellEnd"/>
      <w:r w:rsidRPr="00B7408D">
        <w:rPr>
          <w:rFonts w:ascii="Book Antiqua" w:hAnsi="Book Antiqua"/>
          <w:i/>
          <w:lang w:val="en-US"/>
        </w:rPr>
        <w:t xml:space="preserve"> </w:t>
      </w:r>
      <w:proofErr w:type="spellStart"/>
      <w:r w:rsidRPr="00B7408D">
        <w:rPr>
          <w:rFonts w:ascii="Book Antiqua" w:hAnsi="Book Antiqua"/>
          <w:i/>
          <w:lang w:val="en-US"/>
        </w:rPr>
        <w:t>Metab</w:t>
      </w:r>
      <w:proofErr w:type="spellEnd"/>
      <w:r w:rsidRPr="00B7408D">
        <w:rPr>
          <w:rFonts w:ascii="Book Antiqua" w:hAnsi="Book Antiqua"/>
          <w:i/>
          <w:lang w:val="en-US"/>
        </w:rPr>
        <w:t xml:space="preserve"> (</w:t>
      </w:r>
      <w:proofErr w:type="spellStart"/>
      <w:r w:rsidRPr="00B7408D">
        <w:rPr>
          <w:rFonts w:ascii="Book Antiqua" w:hAnsi="Book Antiqua"/>
          <w:i/>
          <w:lang w:val="en-US"/>
        </w:rPr>
        <w:t>Lond</w:t>
      </w:r>
      <w:proofErr w:type="spellEnd"/>
      <w:r w:rsidRPr="00B7408D">
        <w:rPr>
          <w:rFonts w:ascii="Book Antiqua" w:hAnsi="Book Antiqua"/>
          <w:i/>
          <w:lang w:val="en-US"/>
        </w:rPr>
        <w:t>)</w:t>
      </w:r>
      <w:r w:rsidRPr="00B7408D">
        <w:rPr>
          <w:rFonts w:ascii="Book Antiqua" w:hAnsi="Book Antiqua"/>
          <w:lang w:val="en-US"/>
        </w:rPr>
        <w:t xml:space="preserve"> 2010; </w:t>
      </w:r>
      <w:r w:rsidRPr="00B7408D">
        <w:rPr>
          <w:rFonts w:ascii="Book Antiqua" w:hAnsi="Book Antiqua"/>
          <w:b/>
          <w:lang w:val="en-US"/>
        </w:rPr>
        <w:t>7</w:t>
      </w:r>
      <w:r w:rsidRPr="00B7408D">
        <w:rPr>
          <w:rFonts w:ascii="Book Antiqua" w:hAnsi="Book Antiqua"/>
          <w:lang w:val="en-US"/>
        </w:rPr>
        <w:t>: 24 [PMID: 20346174 DOI: 10.1186/1743-7075-7-24]</w:t>
      </w:r>
    </w:p>
    <w:p w14:paraId="24594543"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57 </w:t>
      </w:r>
      <w:r w:rsidRPr="00B7408D">
        <w:rPr>
          <w:rFonts w:ascii="Book Antiqua" w:hAnsi="Book Antiqua"/>
          <w:b/>
          <w:lang w:val="en-US"/>
        </w:rPr>
        <w:t>Niki E</w:t>
      </w:r>
      <w:r w:rsidRPr="00B7408D">
        <w:rPr>
          <w:rFonts w:ascii="Book Antiqua" w:hAnsi="Book Antiqua"/>
          <w:lang w:val="en-US"/>
        </w:rPr>
        <w:t xml:space="preserve">, Traber MG. A history of vitamin E. </w:t>
      </w:r>
      <w:r w:rsidRPr="00B7408D">
        <w:rPr>
          <w:rFonts w:ascii="Book Antiqua" w:hAnsi="Book Antiqua"/>
          <w:i/>
          <w:lang w:val="en-US"/>
        </w:rPr>
        <w:t xml:space="preserve">Ann </w:t>
      </w:r>
      <w:proofErr w:type="spellStart"/>
      <w:r w:rsidRPr="00B7408D">
        <w:rPr>
          <w:rFonts w:ascii="Book Antiqua" w:hAnsi="Book Antiqua"/>
          <w:i/>
          <w:lang w:val="en-US"/>
        </w:rPr>
        <w:t>Nutr</w:t>
      </w:r>
      <w:proofErr w:type="spellEnd"/>
      <w:r w:rsidRPr="00B7408D">
        <w:rPr>
          <w:rFonts w:ascii="Book Antiqua" w:hAnsi="Book Antiqua"/>
          <w:i/>
          <w:lang w:val="en-US"/>
        </w:rPr>
        <w:t xml:space="preserve"> </w:t>
      </w:r>
      <w:proofErr w:type="spellStart"/>
      <w:r w:rsidRPr="00B7408D">
        <w:rPr>
          <w:rFonts w:ascii="Book Antiqua" w:hAnsi="Book Antiqua"/>
          <w:i/>
          <w:lang w:val="en-US"/>
        </w:rPr>
        <w:t>Metab</w:t>
      </w:r>
      <w:proofErr w:type="spellEnd"/>
      <w:r w:rsidRPr="00B7408D">
        <w:rPr>
          <w:rFonts w:ascii="Book Antiqua" w:hAnsi="Book Antiqua"/>
          <w:lang w:val="en-US"/>
        </w:rPr>
        <w:t xml:space="preserve"> 2012; </w:t>
      </w:r>
      <w:r w:rsidRPr="00B7408D">
        <w:rPr>
          <w:rFonts w:ascii="Book Antiqua" w:hAnsi="Book Antiqua"/>
          <w:b/>
          <w:lang w:val="en-US"/>
        </w:rPr>
        <w:t>61</w:t>
      </w:r>
      <w:r w:rsidRPr="00B7408D">
        <w:rPr>
          <w:rFonts w:ascii="Book Antiqua" w:hAnsi="Book Antiqua"/>
          <w:lang w:val="en-US"/>
        </w:rPr>
        <w:t>: 207-212 [PMID: 23183290 DOI: 10.1159/000343106]</w:t>
      </w:r>
    </w:p>
    <w:p w14:paraId="0FC2DB08"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58 </w:t>
      </w:r>
      <w:proofErr w:type="spellStart"/>
      <w:r w:rsidRPr="00B7408D">
        <w:rPr>
          <w:rFonts w:ascii="Book Antiqua" w:hAnsi="Book Antiqua"/>
          <w:b/>
          <w:lang w:val="en-US"/>
        </w:rPr>
        <w:t>Casado-Díaz</w:t>
      </w:r>
      <w:proofErr w:type="spellEnd"/>
      <w:r w:rsidRPr="00B7408D">
        <w:rPr>
          <w:rFonts w:ascii="Book Antiqua" w:hAnsi="Book Antiqua"/>
          <w:b/>
          <w:lang w:val="en-US"/>
        </w:rPr>
        <w:t xml:space="preserve"> A</w:t>
      </w:r>
      <w:r w:rsidRPr="00B7408D">
        <w:rPr>
          <w:rFonts w:ascii="Book Antiqua" w:hAnsi="Book Antiqua"/>
          <w:lang w:val="en-US"/>
        </w:rPr>
        <w:t xml:space="preserve">, </w:t>
      </w:r>
      <w:proofErr w:type="spellStart"/>
      <w:r w:rsidRPr="00B7408D">
        <w:rPr>
          <w:rFonts w:ascii="Book Antiqua" w:hAnsi="Book Antiqua"/>
          <w:lang w:val="en-US"/>
        </w:rPr>
        <w:t>Túnez-Fiñana</w:t>
      </w:r>
      <w:proofErr w:type="spellEnd"/>
      <w:r w:rsidRPr="00B7408D">
        <w:rPr>
          <w:rFonts w:ascii="Book Antiqua" w:hAnsi="Book Antiqua"/>
          <w:lang w:val="en-US"/>
        </w:rPr>
        <w:t xml:space="preserve"> I, Mata-Granados JM, Ruiz-Méndez MV, Dorado G, Romero-Sánchez MC, Navarro-Valverde C, Quesada-Gómez JM. Serum from postmenopausal women treated with a by-product of olive-oil extraction process stimulates </w:t>
      </w:r>
      <w:proofErr w:type="spellStart"/>
      <w:r w:rsidRPr="00B7408D">
        <w:rPr>
          <w:rFonts w:ascii="Book Antiqua" w:hAnsi="Book Antiqua"/>
          <w:lang w:val="en-US"/>
        </w:rPr>
        <w:t>osteoblastogenesis</w:t>
      </w:r>
      <w:proofErr w:type="spellEnd"/>
      <w:r w:rsidRPr="00B7408D">
        <w:rPr>
          <w:rFonts w:ascii="Book Antiqua" w:hAnsi="Book Antiqua"/>
          <w:lang w:val="en-US"/>
        </w:rPr>
        <w:t xml:space="preserve"> and inhibits </w:t>
      </w:r>
      <w:proofErr w:type="spellStart"/>
      <w:r w:rsidRPr="00B7408D">
        <w:rPr>
          <w:rFonts w:ascii="Book Antiqua" w:hAnsi="Book Antiqua"/>
          <w:lang w:val="en-US"/>
        </w:rPr>
        <w:t>adipogenesis</w:t>
      </w:r>
      <w:proofErr w:type="spellEnd"/>
      <w:r w:rsidRPr="00B7408D">
        <w:rPr>
          <w:rFonts w:ascii="Book Antiqua" w:hAnsi="Book Antiqua"/>
          <w:lang w:val="en-US"/>
        </w:rPr>
        <w:t xml:space="preserve"> in human mesenchymal stem-cells (MSC). </w:t>
      </w:r>
      <w:proofErr w:type="spellStart"/>
      <w:r w:rsidRPr="00B7408D">
        <w:rPr>
          <w:rFonts w:ascii="Book Antiqua" w:hAnsi="Book Antiqua"/>
          <w:i/>
          <w:lang w:val="en-US"/>
        </w:rPr>
        <w:t>Exp</w:t>
      </w:r>
      <w:proofErr w:type="spellEnd"/>
      <w:r w:rsidRPr="00B7408D">
        <w:rPr>
          <w:rFonts w:ascii="Book Antiqua" w:hAnsi="Book Antiqua"/>
          <w:i/>
          <w:lang w:val="en-US"/>
        </w:rPr>
        <w:t xml:space="preserve"> </w:t>
      </w:r>
      <w:proofErr w:type="spellStart"/>
      <w:r w:rsidRPr="00B7408D">
        <w:rPr>
          <w:rFonts w:ascii="Book Antiqua" w:hAnsi="Book Antiqua"/>
          <w:i/>
          <w:lang w:val="en-US"/>
        </w:rPr>
        <w:t>Gerontol</w:t>
      </w:r>
      <w:proofErr w:type="spellEnd"/>
      <w:r w:rsidRPr="00B7408D">
        <w:rPr>
          <w:rFonts w:ascii="Book Antiqua" w:hAnsi="Book Antiqua"/>
          <w:lang w:val="en-US"/>
        </w:rPr>
        <w:t xml:space="preserve"> 2017; </w:t>
      </w:r>
      <w:r w:rsidRPr="00B7408D">
        <w:rPr>
          <w:rFonts w:ascii="Book Antiqua" w:hAnsi="Book Antiqua"/>
          <w:b/>
          <w:lang w:val="en-US"/>
        </w:rPr>
        <w:t>90</w:t>
      </w:r>
      <w:r w:rsidRPr="00B7408D">
        <w:rPr>
          <w:rFonts w:ascii="Book Antiqua" w:hAnsi="Book Antiqua"/>
          <w:lang w:val="en-US"/>
        </w:rPr>
        <w:t>: 71-78 [PMID: 28167238 DOI: 10.1016/j.exger.2017.01.024]</w:t>
      </w:r>
    </w:p>
    <w:p w14:paraId="41598485"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59 </w:t>
      </w:r>
      <w:r w:rsidRPr="00B7408D">
        <w:rPr>
          <w:rFonts w:ascii="Book Antiqua" w:hAnsi="Book Antiqua"/>
          <w:b/>
          <w:lang w:val="en-US"/>
        </w:rPr>
        <w:t>Bhatti FU</w:t>
      </w:r>
      <w:r w:rsidRPr="00B7408D">
        <w:rPr>
          <w:rFonts w:ascii="Book Antiqua" w:hAnsi="Book Antiqua"/>
          <w:lang w:val="en-US"/>
        </w:rPr>
        <w:t xml:space="preserve">, </w:t>
      </w:r>
      <w:proofErr w:type="spellStart"/>
      <w:r w:rsidRPr="00B7408D">
        <w:rPr>
          <w:rFonts w:ascii="Book Antiqua" w:hAnsi="Book Antiqua"/>
          <w:lang w:val="en-US"/>
        </w:rPr>
        <w:t>Mehmood</w:t>
      </w:r>
      <w:proofErr w:type="spellEnd"/>
      <w:r w:rsidRPr="00B7408D">
        <w:rPr>
          <w:rFonts w:ascii="Book Antiqua" w:hAnsi="Book Antiqua"/>
          <w:lang w:val="en-US"/>
        </w:rPr>
        <w:t xml:space="preserve"> A, </w:t>
      </w:r>
      <w:proofErr w:type="spellStart"/>
      <w:r w:rsidRPr="00B7408D">
        <w:rPr>
          <w:rFonts w:ascii="Book Antiqua" w:hAnsi="Book Antiqua"/>
          <w:lang w:val="en-US"/>
        </w:rPr>
        <w:t>Latief</w:t>
      </w:r>
      <w:proofErr w:type="spellEnd"/>
      <w:r w:rsidRPr="00B7408D">
        <w:rPr>
          <w:rFonts w:ascii="Book Antiqua" w:hAnsi="Book Antiqua"/>
          <w:lang w:val="en-US"/>
        </w:rPr>
        <w:t xml:space="preserve"> N, Zahra S, Cho H, Khan SN, </w:t>
      </w:r>
      <w:proofErr w:type="spellStart"/>
      <w:r w:rsidRPr="00B7408D">
        <w:rPr>
          <w:rFonts w:ascii="Book Antiqua" w:hAnsi="Book Antiqua"/>
          <w:lang w:val="en-US"/>
        </w:rPr>
        <w:t>Riazuddin</w:t>
      </w:r>
      <w:proofErr w:type="spellEnd"/>
      <w:r w:rsidRPr="00B7408D">
        <w:rPr>
          <w:rFonts w:ascii="Book Antiqua" w:hAnsi="Book Antiqua"/>
          <w:lang w:val="en-US"/>
        </w:rPr>
        <w:t xml:space="preserve"> S. Vitamin E protects rat mesenchymal stem cells against hydrogen </w:t>
      </w:r>
      <w:r w:rsidRPr="00B7408D">
        <w:rPr>
          <w:rFonts w:ascii="Book Antiqua" w:hAnsi="Book Antiqua"/>
          <w:lang w:val="en-US"/>
        </w:rPr>
        <w:lastRenderedPageBreak/>
        <w:t xml:space="preserve">peroxide-induced oxidative stress in vitro and improves their therapeutic potential in surgically-induced rat model of osteoarthritis. </w:t>
      </w:r>
      <w:r w:rsidRPr="00B7408D">
        <w:rPr>
          <w:rFonts w:ascii="Book Antiqua" w:hAnsi="Book Antiqua"/>
          <w:i/>
          <w:lang w:val="en-US"/>
        </w:rPr>
        <w:t>Osteoarthritis Cartilage</w:t>
      </w:r>
      <w:r w:rsidRPr="00B7408D">
        <w:rPr>
          <w:rFonts w:ascii="Book Antiqua" w:hAnsi="Book Antiqua"/>
          <w:lang w:val="en-US"/>
        </w:rPr>
        <w:t xml:space="preserve"> 2017; </w:t>
      </w:r>
      <w:r w:rsidRPr="00B7408D">
        <w:rPr>
          <w:rFonts w:ascii="Book Antiqua" w:hAnsi="Book Antiqua"/>
          <w:b/>
          <w:lang w:val="en-US"/>
        </w:rPr>
        <w:t>25</w:t>
      </w:r>
      <w:r w:rsidRPr="00B7408D">
        <w:rPr>
          <w:rFonts w:ascii="Book Antiqua" w:hAnsi="Book Antiqua"/>
          <w:lang w:val="en-US"/>
        </w:rPr>
        <w:t>: 321-331 [PMID: 27693502 DOI: 10.1016/j.joca.2016.09.014]</w:t>
      </w:r>
    </w:p>
    <w:p w14:paraId="223DA827"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60 </w:t>
      </w:r>
      <w:r w:rsidRPr="00B7408D">
        <w:rPr>
          <w:rFonts w:ascii="Book Antiqua" w:hAnsi="Book Antiqua"/>
          <w:b/>
          <w:lang w:val="en-US"/>
        </w:rPr>
        <w:t>Bhatti FUR</w:t>
      </w:r>
      <w:r w:rsidRPr="00B7408D">
        <w:rPr>
          <w:rFonts w:ascii="Book Antiqua" w:hAnsi="Book Antiqua"/>
          <w:lang w:val="en-US"/>
        </w:rPr>
        <w:t xml:space="preserve">, Kim SJ, Yi AK, Hasty KA, Cho H. Cytoprotective role of vitamin E in porcine adipose-tissue-derived mesenchymal stem cells against hydrogen-peroxide-induced oxidative stress. </w:t>
      </w:r>
      <w:r w:rsidRPr="00B7408D">
        <w:rPr>
          <w:rFonts w:ascii="Book Antiqua" w:hAnsi="Book Antiqua"/>
          <w:i/>
          <w:lang w:val="en-US"/>
        </w:rPr>
        <w:t>Cell Tissue Res</w:t>
      </w:r>
      <w:r w:rsidRPr="00B7408D">
        <w:rPr>
          <w:rFonts w:ascii="Book Antiqua" w:hAnsi="Book Antiqua"/>
          <w:lang w:val="en-US"/>
        </w:rPr>
        <w:t xml:space="preserve"> 2018; </w:t>
      </w:r>
      <w:r w:rsidRPr="00B7408D">
        <w:rPr>
          <w:rFonts w:ascii="Book Antiqua" w:hAnsi="Book Antiqua"/>
          <w:b/>
          <w:lang w:val="en-US"/>
        </w:rPr>
        <w:t>374</w:t>
      </w:r>
      <w:r w:rsidRPr="00B7408D">
        <w:rPr>
          <w:rFonts w:ascii="Book Antiqua" w:hAnsi="Book Antiqua"/>
          <w:lang w:val="en-US"/>
        </w:rPr>
        <w:t>: 111-120 [PMID: 29951700 DOI: 10.1007/s00441-018-2857-3]</w:t>
      </w:r>
    </w:p>
    <w:p w14:paraId="32689EBC"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61 </w:t>
      </w:r>
      <w:r w:rsidRPr="00B7408D">
        <w:rPr>
          <w:rFonts w:ascii="Book Antiqua" w:hAnsi="Book Antiqua"/>
          <w:b/>
          <w:lang w:val="en-US"/>
        </w:rPr>
        <w:t>Liu P</w:t>
      </w:r>
      <w:r w:rsidRPr="00B7408D">
        <w:rPr>
          <w:rFonts w:ascii="Book Antiqua" w:hAnsi="Book Antiqua"/>
          <w:lang w:val="en-US"/>
        </w:rPr>
        <w:t xml:space="preserve">, Feng Y, Dong C, Liu D, Wu X, Wu H, </w:t>
      </w:r>
      <w:proofErr w:type="spellStart"/>
      <w:r w:rsidRPr="00B7408D">
        <w:rPr>
          <w:rFonts w:ascii="Book Antiqua" w:hAnsi="Book Antiqua"/>
          <w:lang w:val="en-US"/>
        </w:rPr>
        <w:t>Lv</w:t>
      </w:r>
      <w:proofErr w:type="spellEnd"/>
      <w:r w:rsidRPr="00B7408D">
        <w:rPr>
          <w:rFonts w:ascii="Book Antiqua" w:hAnsi="Book Antiqua"/>
          <w:lang w:val="en-US"/>
        </w:rPr>
        <w:t xml:space="preserve"> P, Zhou Y. Study on therapeutic action of bone marrow derived mesenchymal stem cell combined with vitamin E against acute kidney injury in rats. </w:t>
      </w:r>
      <w:r w:rsidRPr="00B7408D">
        <w:rPr>
          <w:rFonts w:ascii="Book Antiqua" w:hAnsi="Book Antiqua"/>
          <w:i/>
          <w:lang w:val="en-US"/>
        </w:rPr>
        <w:t>Life Sci</w:t>
      </w:r>
      <w:r w:rsidRPr="00B7408D">
        <w:rPr>
          <w:rFonts w:ascii="Book Antiqua" w:hAnsi="Book Antiqua"/>
          <w:lang w:val="en-US"/>
        </w:rPr>
        <w:t xml:space="preserve"> 2013; </w:t>
      </w:r>
      <w:r w:rsidRPr="00B7408D">
        <w:rPr>
          <w:rFonts w:ascii="Book Antiqua" w:hAnsi="Book Antiqua"/>
          <w:b/>
          <w:lang w:val="en-US"/>
        </w:rPr>
        <w:t>92</w:t>
      </w:r>
      <w:r w:rsidRPr="00B7408D">
        <w:rPr>
          <w:rFonts w:ascii="Book Antiqua" w:hAnsi="Book Antiqua"/>
          <w:lang w:val="en-US"/>
        </w:rPr>
        <w:t>: 829-837 [PMID: 23499556 DOI: 10.1016/j.lfs.2013.02.016]</w:t>
      </w:r>
    </w:p>
    <w:p w14:paraId="729E5F78" w14:textId="6544FD7E"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62 </w:t>
      </w:r>
      <w:proofErr w:type="spellStart"/>
      <w:r w:rsidRPr="00B7408D">
        <w:rPr>
          <w:rFonts w:ascii="Book Antiqua" w:hAnsi="Book Antiqua"/>
          <w:b/>
          <w:lang w:val="en-US"/>
        </w:rPr>
        <w:t>Szulc</w:t>
      </w:r>
      <w:proofErr w:type="spellEnd"/>
      <w:r w:rsidRPr="00B7408D">
        <w:rPr>
          <w:rFonts w:ascii="Book Antiqua" w:hAnsi="Book Antiqua"/>
          <w:b/>
          <w:lang w:val="en-US"/>
        </w:rPr>
        <w:t xml:space="preserve"> P</w:t>
      </w:r>
      <w:r w:rsidRPr="00B7408D">
        <w:rPr>
          <w:rFonts w:ascii="Book Antiqua" w:hAnsi="Book Antiqua"/>
          <w:lang w:val="en-US"/>
        </w:rPr>
        <w:t xml:space="preserve">, </w:t>
      </w:r>
      <w:proofErr w:type="spellStart"/>
      <w:r w:rsidRPr="00B7408D">
        <w:rPr>
          <w:rFonts w:ascii="Book Antiqua" w:hAnsi="Book Antiqua"/>
          <w:lang w:val="en-US"/>
        </w:rPr>
        <w:t>Chapuy</w:t>
      </w:r>
      <w:proofErr w:type="spellEnd"/>
      <w:r w:rsidRPr="00B7408D">
        <w:rPr>
          <w:rFonts w:ascii="Book Antiqua" w:hAnsi="Book Antiqua"/>
          <w:lang w:val="en-US"/>
        </w:rPr>
        <w:t xml:space="preserve"> MC, Meunier PJ, Delmas PD. Serum undercarboxylated osteocalcin is a marker of the risk of hip fracture: a three year follow-up study. </w:t>
      </w:r>
      <w:r w:rsidRPr="00B7408D">
        <w:rPr>
          <w:rFonts w:ascii="Book Antiqua" w:hAnsi="Book Antiqua"/>
          <w:i/>
          <w:lang w:val="en-US"/>
        </w:rPr>
        <w:t>Bone</w:t>
      </w:r>
      <w:r w:rsidRPr="00B7408D">
        <w:rPr>
          <w:rFonts w:ascii="Book Antiqua" w:hAnsi="Book Antiqua"/>
          <w:lang w:val="en-US"/>
        </w:rPr>
        <w:t xml:space="preserve"> 1996; </w:t>
      </w:r>
      <w:r w:rsidRPr="00B7408D">
        <w:rPr>
          <w:rFonts w:ascii="Book Antiqua" w:hAnsi="Book Antiqua"/>
          <w:b/>
          <w:lang w:val="en-US"/>
        </w:rPr>
        <w:t>18</w:t>
      </w:r>
      <w:r w:rsidRPr="00B7408D">
        <w:rPr>
          <w:rFonts w:ascii="Book Antiqua" w:hAnsi="Book Antiqua"/>
          <w:lang w:val="en-US"/>
        </w:rPr>
        <w:t>: 487-488 [PMID: 8739908</w:t>
      </w:r>
      <w:r w:rsidR="000079E4" w:rsidRPr="00B7408D">
        <w:rPr>
          <w:rFonts w:ascii="Book Antiqua" w:hAnsi="Book Antiqua"/>
          <w:lang w:val="en-US"/>
        </w:rPr>
        <w:t xml:space="preserve"> DOI: 10.1016/8756-3282(96)00037-3</w:t>
      </w:r>
      <w:r w:rsidRPr="00B7408D">
        <w:rPr>
          <w:rFonts w:ascii="Book Antiqua" w:hAnsi="Book Antiqua"/>
          <w:lang w:val="en-US"/>
        </w:rPr>
        <w:t>]</w:t>
      </w:r>
    </w:p>
    <w:p w14:paraId="40C1823E"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63 </w:t>
      </w:r>
      <w:proofErr w:type="spellStart"/>
      <w:r w:rsidRPr="00B7408D">
        <w:rPr>
          <w:rFonts w:ascii="Book Antiqua" w:hAnsi="Book Antiqua"/>
          <w:b/>
          <w:lang w:val="en-US"/>
        </w:rPr>
        <w:t>Gigante</w:t>
      </w:r>
      <w:proofErr w:type="spellEnd"/>
      <w:r w:rsidRPr="00B7408D">
        <w:rPr>
          <w:rFonts w:ascii="Book Antiqua" w:hAnsi="Book Antiqua"/>
          <w:b/>
          <w:lang w:val="en-US"/>
        </w:rPr>
        <w:t xml:space="preserve"> A</w:t>
      </w:r>
      <w:r w:rsidRPr="00B7408D">
        <w:rPr>
          <w:rFonts w:ascii="Book Antiqua" w:hAnsi="Book Antiqua"/>
          <w:lang w:val="en-US"/>
        </w:rPr>
        <w:t xml:space="preserve">, </w:t>
      </w:r>
      <w:proofErr w:type="spellStart"/>
      <w:r w:rsidRPr="00B7408D">
        <w:rPr>
          <w:rFonts w:ascii="Book Antiqua" w:hAnsi="Book Antiqua"/>
          <w:lang w:val="en-US"/>
        </w:rPr>
        <w:t>Torcianti</w:t>
      </w:r>
      <w:proofErr w:type="spellEnd"/>
      <w:r w:rsidRPr="00B7408D">
        <w:rPr>
          <w:rFonts w:ascii="Book Antiqua" w:hAnsi="Book Antiqua"/>
          <w:lang w:val="en-US"/>
        </w:rPr>
        <w:t xml:space="preserve"> M, </w:t>
      </w:r>
      <w:proofErr w:type="spellStart"/>
      <w:r w:rsidRPr="00B7408D">
        <w:rPr>
          <w:rFonts w:ascii="Book Antiqua" w:hAnsi="Book Antiqua"/>
          <w:lang w:val="en-US"/>
        </w:rPr>
        <w:t>Boldrini</w:t>
      </w:r>
      <w:proofErr w:type="spellEnd"/>
      <w:r w:rsidRPr="00B7408D">
        <w:rPr>
          <w:rFonts w:ascii="Book Antiqua" w:hAnsi="Book Antiqua"/>
          <w:lang w:val="en-US"/>
        </w:rPr>
        <w:t xml:space="preserve"> E, </w:t>
      </w:r>
      <w:proofErr w:type="spellStart"/>
      <w:r w:rsidRPr="00B7408D">
        <w:rPr>
          <w:rFonts w:ascii="Book Antiqua" w:hAnsi="Book Antiqua"/>
          <w:lang w:val="en-US"/>
        </w:rPr>
        <w:t>Manzotti</w:t>
      </w:r>
      <w:proofErr w:type="spellEnd"/>
      <w:r w:rsidRPr="00B7408D">
        <w:rPr>
          <w:rFonts w:ascii="Book Antiqua" w:hAnsi="Book Antiqua"/>
          <w:lang w:val="en-US"/>
        </w:rPr>
        <w:t xml:space="preserve"> S, Falcone G, Greco F, Mattioli-Belmonte M. Vitamin K and D association stimulates in vitro osteoblast differentiation of fracture site derived human mesenchymal stem cells. </w:t>
      </w:r>
      <w:r w:rsidRPr="00B7408D">
        <w:rPr>
          <w:rFonts w:ascii="Book Antiqua" w:hAnsi="Book Antiqua"/>
          <w:i/>
          <w:lang w:val="en-US"/>
        </w:rPr>
        <w:t xml:space="preserve">J </w:t>
      </w:r>
      <w:proofErr w:type="spellStart"/>
      <w:r w:rsidRPr="00B7408D">
        <w:rPr>
          <w:rFonts w:ascii="Book Antiqua" w:hAnsi="Book Antiqua"/>
          <w:i/>
          <w:lang w:val="en-US"/>
        </w:rPr>
        <w:t>Biol</w:t>
      </w:r>
      <w:proofErr w:type="spellEnd"/>
      <w:r w:rsidRPr="00B7408D">
        <w:rPr>
          <w:rFonts w:ascii="Book Antiqua" w:hAnsi="Book Antiqua"/>
          <w:i/>
          <w:lang w:val="en-US"/>
        </w:rPr>
        <w:t xml:space="preserve"> </w:t>
      </w:r>
      <w:proofErr w:type="spellStart"/>
      <w:r w:rsidRPr="00B7408D">
        <w:rPr>
          <w:rFonts w:ascii="Book Antiqua" w:hAnsi="Book Antiqua"/>
          <w:i/>
          <w:lang w:val="en-US"/>
        </w:rPr>
        <w:t>Regul</w:t>
      </w:r>
      <w:proofErr w:type="spellEnd"/>
      <w:r w:rsidRPr="00B7408D">
        <w:rPr>
          <w:rFonts w:ascii="Book Antiqua" w:hAnsi="Book Antiqua"/>
          <w:i/>
          <w:lang w:val="en-US"/>
        </w:rPr>
        <w:t xml:space="preserve"> </w:t>
      </w:r>
      <w:proofErr w:type="spellStart"/>
      <w:r w:rsidRPr="00B7408D">
        <w:rPr>
          <w:rFonts w:ascii="Book Antiqua" w:hAnsi="Book Antiqua"/>
          <w:i/>
          <w:lang w:val="en-US"/>
        </w:rPr>
        <w:t>Homeost</w:t>
      </w:r>
      <w:proofErr w:type="spellEnd"/>
      <w:r w:rsidRPr="00B7408D">
        <w:rPr>
          <w:rFonts w:ascii="Book Antiqua" w:hAnsi="Book Antiqua"/>
          <w:i/>
          <w:lang w:val="en-US"/>
        </w:rPr>
        <w:t xml:space="preserve"> Agents</w:t>
      </w:r>
      <w:r w:rsidRPr="00B7408D">
        <w:rPr>
          <w:rFonts w:ascii="Book Antiqua" w:hAnsi="Book Antiqua"/>
          <w:lang w:val="en-US"/>
        </w:rPr>
        <w:t xml:space="preserve"> 2008; </w:t>
      </w:r>
      <w:r w:rsidRPr="00B7408D">
        <w:rPr>
          <w:rFonts w:ascii="Book Antiqua" w:hAnsi="Book Antiqua"/>
          <w:b/>
          <w:lang w:val="en-US"/>
        </w:rPr>
        <w:t>22</w:t>
      </w:r>
      <w:r w:rsidRPr="00B7408D">
        <w:rPr>
          <w:rFonts w:ascii="Book Antiqua" w:hAnsi="Book Antiqua"/>
          <w:lang w:val="en-US"/>
        </w:rPr>
        <w:t>: 35-44 [PMID: 18394316]</w:t>
      </w:r>
    </w:p>
    <w:p w14:paraId="5AAE63E8"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64 </w:t>
      </w:r>
      <w:proofErr w:type="spellStart"/>
      <w:r w:rsidRPr="00B7408D">
        <w:rPr>
          <w:rFonts w:ascii="Book Antiqua" w:hAnsi="Book Antiqua"/>
          <w:b/>
          <w:lang w:val="en-US"/>
        </w:rPr>
        <w:t>Ambra</w:t>
      </w:r>
      <w:proofErr w:type="spellEnd"/>
      <w:r w:rsidRPr="00B7408D">
        <w:rPr>
          <w:rFonts w:ascii="Book Antiqua" w:hAnsi="Book Antiqua"/>
          <w:b/>
          <w:lang w:val="en-US"/>
        </w:rPr>
        <w:t xml:space="preserve"> R</w:t>
      </w:r>
      <w:r w:rsidRPr="00B7408D">
        <w:rPr>
          <w:rFonts w:ascii="Book Antiqua" w:hAnsi="Book Antiqua"/>
          <w:lang w:val="en-US"/>
        </w:rPr>
        <w:t xml:space="preserve">, </w:t>
      </w:r>
      <w:proofErr w:type="spellStart"/>
      <w:r w:rsidRPr="00B7408D">
        <w:rPr>
          <w:rFonts w:ascii="Book Antiqua" w:hAnsi="Book Antiqua"/>
          <w:lang w:val="en-US"/>
        </w:rPr>
        <w:t>Natella</w:t>
      </w:r>
      <w:proofErr w:type="spellEnd"/>
      <w:r w:rsidRPr="00B7408D">
        <w:rPr>
          <w:rFonts w:ascii="Book Antiqua" w:hAnsi="Book Antiqua"/>
          <w:lang w:val="en-US"/>
        </w:rPr>
        <w:t xml:space="preserve"> F, </w:t>
      </w:r>
      <w:proofErr w:type="spellStart"/>
      <w:r w:rsidRPr="00B7408D">
        <w:rPr>
          <w:rFonts w:ascii="Book Antiqua" w:hAnsi="Book Antiqua"/>
          <w:lang w:val="en-US"/>
        </w:rPr>
        <w:t>Lucchetti</w:t>
      </w:r>
      <w:proofErr w:type="spellEnd"/>
      <w:r w:rsidRPr="00B7408D">
        <w:rPr>
          <w:rFonts w:ascii="Book Antiqua" w:hAnsi="Book Antiqua"/>
          <w:lang w:val="en-US"/>
        </w:rPr>
        <w:t xml:space="preserve"> S, Forte V, Pastore G. α-Tocopherol, β-carotene, lutein, squalene and </w:t>
      </w:r>
      <w:proofErr w:type="spellStart"/>
      <w:r w:rsidRPr="00B7408D">
        <w:rPr>
          <w:rFonts w:ascii="Book Antiqua" w:hAnsi="Book Antiqua"/>
          <w:lang w:val="en-US"/>
        </w:rPr>
        <w:t>secoiridoids</w:t>
      </w:r>
      <w:proofErr w:type="spellEnd"/>
      <w:r w:rsidRPr="00B7408D">
        <w:rPr>
          <w:rFonts w:ascii="Book Antiqua" w:hAnsi="Book Antiqua"/>
          <w:lang w:val="en-US"/>
        </w:rPr>
        <w:t xml:space="preserve"> in seven </w:t>
      </w:r>
      <w:proofErr w:type="spellStart"/>
      <w:r w:rsidRPr="00B7408D">
        <w:rPr>
          <w:rFonts w:ascii="Book Antiqua" w:hAnsi="Book Antiqua"/>
          <w:lang w:val="en-US"/>
        </w:rPr>
        <w:t>monocultivar</w:t>
      </w:r>
      <w:proofErr w:type="spellEnd"/>
      <w:r w:rsidRPr="00B7408D">
        <w:rPr>
          <w:rFonts w:ascii="Book Antiqua" w:hAnsi="Book Antiqua"/>
          <w:lang w:val="en-US"/>
        </w:rPr>
        <w:t xml:space="preserve"> Italian extra-virgin olive oils. </w:t>
      </w:r>
      <w:proofErr w:type="spellStart"/>
      <w:r w:rsidRPr="00B7408D">
        <w:rPr>
          <w:rFonts w:ascii="Book Antiqua" w:hAnsi="Book Antiqua"/>
          <w:i/>
          <w:lang w:val="en-US"/>
        </w:rPr>
        <w:t>Int</w:t>
      </w:r>
      <w:proofErr w:type="spellEnd"/>
      <w:r w:rsidRPr="00B7408D">
        <w:rPr>
          <w:rFonts w:ascii="Book Antiqua" w:hAnsi="Book Antiqua"/>
          <w:i/>
          <w:lang w:val="en-US"/>
        </w:rPr>
        <w:t xml:space="preserve"> J Food </w:t>
      </w:r>
      <w:proofErr w:type="spellStart"/>
      <w:r w:rsidRPr="00B7408D">
        <w:rPr>
          <w:rFonts w:ascii="Book Antiqua" w:hAnsi="Book Antiqua"/>
          <w:i/>
          <w:lang w:val="en-US"/>
        </w:rPr>
        <w:t>Sci</w:t>
      </w:r>
      <w:proofErr w:type="spellEnd"/>
      <w:r w:rsidRPr="00B7408D">
        <w:rPr>
          <w:rFonts w:ascii="Book Antiqua" w:hAnsi="Book Antiqua"/>
          <w:i/>
          <w:lang w:val="en-US"/>
        </w:rPr>
        <w:t xml:space="preserve"> </w:t>
      </w:r>
      <w:proofErr w:type="spellStart"/>
      <w:r w:rsidRPr="00B7408D">
        <w:rPr>
          <w:rFonts w:ascii="Book Antiqua" w:hAnsi="Book Antiqua"/>
          <w:i/>
          <w:lang w:val="en-US"/>
        </w:rPr>
        <w:t>Nutr</w:t>
      </w:r>
      <w:proofErr w:type="spellEnd"/>
      <w:r w:rsidRPr="00B7408D">
        <w:rPr>
          <w:rFonts w:ascii="Book Antiqua" w:hAnsi="Book Antiqua"/>
          <w:lang w:val="en-US"/>
        </w:rPr>
        <w:t xml:space="preserve"> 2017; </w:t>
      </w:r>
      <w:r w:rsidRPr="00B7408D">
        <w:rPr>
          <w:rFonts w:ascii="Book Antiqua" w:hAnsi="Book Antiqua"/>
          <w:b/>
          <w:lang w:val="en-US"/>
        </w:rPr>
        <w:t>68</w:t>
      </w:r>
      <w:r w:rsidRPr="00B7408D">
        <w:rPr>
          <w:rFonts w:ascii="Book Antiqua" w:hAnsi="Book Antiqua"/>
          <w:lang w:val="en-US"/>
        </w:rPr>
        <w:t>: 538-545 [PMID: 27931126 DOI: 10.1080/09637486.2016.1265099]</w:t>
      </w:r>
    </w:p>
    <w:p w14:paraId="6F3B9DE2"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65 </w:t>
      </w:r>
      <w:proofErr w:type="spellStart"/>
      <w:r w:rsidRPr="00B7408D">
        <w:rPr>
          <w:rFonts w:ascii="Book Antiqua" w:hAnsi="Book Antiqua"/>
          <w:b/>
          <w:lang w:val="en-US"/>
        </w:rPr>
        <w:t>Dingwall</w:t>
      </w:r>
      <w:proofErr w:type="spellEnd"/>
      <w:r w:rsidRPr="00B7408D">
        <w:rPr>
          <w:rFonts w:ascii="Book Antiqua" w:hAnsi="Book Antiqua"/>
          <w:b/>
          <w:lang w:val="en-US"/>
        </w:rPr>
        <w:t xml:space="preserve"> M</w:t>
      </w:r>
      <w:r w:rsidRPr="00B7408D">
        <w:rPr>
          <w:rFonts w:ascii="Book Antiqua" w:hAnsi="Book Antiqua"/>
          <w:lang w:val="en-US"/>
        </w:rPr>
        <w:t xml:space="preserve">, </w:t>
      </w:r>
      <w:proofErr w:type="spellStart"/>
      <w:r w:rsidRPr="00B7408D">
        <w:rPr>
          <w:rFonts w:ascii="Book Antiqua" w:hAnsi="Book Antiqua"/>
          <w:lang w:val="en-US"/>
        </w:rPr>
        <w:t>Marchildon</w:t>
      </w:r>
      <w:proofErr w:type="spellEnd"/>
      <w:r w:rsidRPr="00B7408D">
        <w:rPr>
          <w:rFonts w:ascii="Book Antiqua" w:hAnsi="Book Antiqua"/>
          <w:lang w:val="en-US"/>
        </w:rPr>
        <w:t xml:space="preserve"> F, </w:t>
      </w:r>
      <w:proofErr w:type="spellStart"/>
      <w:r w:rsidRPr="00B7408D">
        <w:rPr>
          <w:rFonts w:ascii="Book Antiqua" w:hAnsi="Book Antiqua"/>
          <w:lang w:val="en-US"/>
        </w:rPr>
        <w:t>Gunanayagam</w:t>
      </w:r>
      <w:proofErr w:type="spellEnd"/>
      <w:r w:rsidRPr="00B7408D">
        <w:rPr>
          <w:rFonts w:ascii="Book Antiqua" w:hAnsi="Book Antiqua"/>
          <w:lang w:val="en-US"/>
        </w:rPr>
        <w:t xml:space="preserve"> A, Louis CS, Wiper-Bergeron N. Retinoic acid-induced Smad3 expression is required for the induction of </w:t>
      </w:r>
      <w:proofErr w:type="spellStart"/>
      <w:r w:rsidRPr="00B7408D">
        <w:rPr>
          <w:rFonts w:ascii="Book Antiqua" w:hAnsi="Book Antiqua"/>
          <w:lang w:val="en-US"/>
        </w:rPr>
        <w:t>osteoblastogenesis</w:t>
      </w:r>
      <w:proofErr w:type="spellEnd"/>
      <w:r w:rsidRPr="00B7408D">
        <w:rPr>
          <w:rFonts w:ascii="Book Antiqua" w:hAnsi="Book Antiqua"/>
          <w:lang w:val="en-US"/>
        </w:rPr>
        <w:t xml:space="preserve"> of mesenchymal stem cells. </w:t>
      </w:r>
      <w:r w:rsidRPr="00B7408D">
        <w:rPr>
          <w:rFonts w:ascii="Book Antiqua" w:hAnsi="Book Antiqua"/>
          <w:i/>
          <w:lang w:val="en-US"/>
        </w:rPr>
        <w:t>Differentiation</w:t>
      </w:r>
      <w:r w:rsidRPr="00B7408D">
        <w:rPr>
          <w:rFonts w:ascii="Book Antiqua" w:hAnsi="Book Antiqua"/>
          <w:lang w:val="en-US"/>
        </w:rPr>
        <w:t xml:space="preserve"> 2011; </w:t>
      </w:r>
      <w:r w:rsidRPr="00B7408D">
        <w:rPr>
          <w:rFonts w:ascii="Book Antiqua" w:hAnsi="Book Antiqua"/>
          <w:b/>
          <w:lang w:val="en-US"/>
        </w:rPr>
        <w:t>82</w:t>
      </w:r>
      <w:r w:rsidRPr="00B7408D">
        <w:rPr>
          <w:rFonts w:ascii="Book Antiqua" w:hAnsi="Book Antiqua"/>
          <w:lang w:val="en-US"/>
        </w:rPr>
        <w:t>: 57-65 [PMID: 21612856 DOI: 10.1016/j.diff.2011.05.003]</w:t>
      </w:r>
    </w:p>
    <w:p w14:paraId="5D24E8CD"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66 </w:t>
      </w:r>
      <w:r w:rsidRPr="00B7408D">
        <w:rPr>
          <w:rFonts w:ascii="Book Antiqua" w:hAnsi="Book Antiqua"/>
          <w:b/>
          <w:lang w:val="en-US"/>
        </w:rPr>
        <w:t>Hisada K</w:t>
      </w:r>
      <w:r w:rsidRPr="00B7408D">
        <w:rPr>
          <w:rFonts w:ascii="Book Antiqua" w:hAnsi="Book Antiqua"/>
          <w:lang w:val="en-US"/>
        </w:rPr>
        <w:t xml:space="preserve">, </w:t>
      </w:r>
      <w:proofErr w:type="spellStart"/>
      <w:r w:rsidRPr="00B7408D">
        <w:rPr>
          <w:rFonts w:ascii="Book Antiqua" w:hAnsi="Book Antiqua"/>
          <w:lang w:val="en-US"/>
        </w:rPr>
        <w:t>Hata</w:t>
      </w:r>
      <w:proofErr w:type="spellEnd"/>
      <w:r w:rsidRPr="00B7408D">
        <w:rPr>
          <w:rFonts w:ascii="Book Antiqua" w:hAnsi="Book Antiqua"/>
          <w:lang w:val="en-US"/>
        </w:rPr>
        <w:t xml:space="preserve"> K, Ichida F, Matsubara T, </w:t>
      </w:r>
      <w:proofErr w:type="spellStart"/>
      <w:r w:rsidRPr="00B7408D">
        <w:rPr>
          <w:rFonts w:ascii="Book Antiqua" w:hAnsi="Book Antiqua"/>
          <w:lang w:val="en-US"/>
        </w:rPr>
        <w:t>Orimo</w:t>
      </w:r>
      <w:proofErr w:type="spellEnd"/>
      <w:r w:rsidRPr="00B7408D">
        <w:rPr>
          <w:rFonts w:ascii="Book Antiqua" w:hAnsi="Book Antiqua"/>
          <w:lang w:val="en-US"/>
        </w:rPr>
        <w:t xml:space="preserve"> H, Nakano T, </w:t>
      </w:r>
      <w:proofErr w:type="spellStart"/>
      <w:r w:rsidRPr="00B7408D">
        <w:rPr>
          <w:rFonts w:ascii="Book Antiqua" w:hAnsi="Book Antiqua"/>
          <w:lang w:val="en-US"/>
        </w:rPr>
        <w:t>Yatani</w:t>
      </w:r>
      <w:proofErr w:type="spellEnd"/>
      <w:r w:rsidRPr="00B7408D">
        <w:rPr>
          <w:rFonts w:ascii="Book Antiqua" w:hAnsi="Book Antiqua"/>
          <w:lang w:val="en-US"/>
        </w:rPr>
        <w:t xml:space="preserve"> H, Nishimura R, </w:t>
      </w:r>
      <w:proofErr w:type="spellStart"/>
      <w:r w:rsidRPr="00B7408D">
        <w:rPr>
          <w:rFonts w:ascii="Book Antiqua" w:hAnsi="Book Antiqua"/>
          <w:lang w:val="en-US"/>
        </w:rPr>
        <w:t>Yoneda</w:t>
      </w:r>
      <w:proofErr w:type="spellEnd"/>
      <w:r w:rsidRPr="00B7408D">
        <w:rPr>
          <w:rFonts w:ascii="Book Antiqua" w:hAnsi="Book Antiqua"/>
          <w:lang w:val="en-US"/>
        </w:rPr>
        <w:t xml:space="preserve"> T. Retinoic acid regulates commitment of undifferentiated mesenchymal stem cells into osteoblasts and adipocytes. </w:t>
      </w:r>
      <w:r w:rsidRPr="00B7408D">
        <w:rPr>
          <w:rFonts w:ascii="Book Antiqua" w:hAnsi="Book Antiqua"/>
          <w:i/>
          <w:lang w:val="en-US"/>
        </w:rPr>
        <w:t xml:space="preserve">J Bone Miner </w:t>
      </w:r>
      <w:proofErr w:type="spellStart"/>
      <w:r w:rsidRPr="00B7408D">
        <w:rPr>
          <w:rFonts w:ascii="Book Antiqua" w:hAnsi="Book Antiqua"/>
          <w:i/>
          <w:lang w:val="en-US"/>
        </w:rPr>
        <w:t>Metab</w:t>
      </w:r>
      <w:proofErr w:type="spellEnd"/>
      <w:r w:rsidRPr="00B7408D">
        <w:rPr>
          <w:rFonts w:ascii="Book Antiqua" w:hAnsi="Book Antiqua"/>
          <w:lang w:val="en-US"/>
        </w:rPr>
        <w:t xml:space="preserve"> 2013; </w:t>
      </w:r>
      <w:r w:rsidRPr="00B7408D">
        <w:rPr>
          <w:rFonts w:ascii="Book Antiqua" w:hAnsi="Book Antiqua"/>
          <w:b/>
          <w:lang w:val="en-US"/>
        </w:rPr>
        <w:t>31</w:t>
      </w:r>
      <w:r w:rsidRPr="00B7408D">
        <w:rPr>
          <w:rFonts w:ascii="Book Antiqua" w:hAnsi="Book Antiqua"/>
          <w:lang w:val="en-US"/>
        </w:rPr>
        <w:t>: 53-63 [PMID: 23014973 DOI: 10.1007/s00774-012-0385-x]</w:t>
      </w:r>
    </w:p>
    <w:p w14:paraId="6C03EA7E"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lastRenderedPageBreak/>
        <w:t xml:space="preserve">67 </w:t>
      </w:r>
      <w:proofErr w:type="spellStart"/>
      <w:r w:rsidRPr="00B7408D">
        <w:rPr>
          <w:rFonts w:ascii="Book Antiqua" w:hAnsi="Book Antiqua"/>
          <w:b/>
          <w:lang w:val="en-US"/>
        </w:rPr>
        <w:t>Goudarzi</w:t>
      </w:r>
      <w:proofErr w:type="spellEnd"/>
      <w:r w:rsidRPr="00B7408D">
        <w:rPr>
          <w:rFonts w:ascii="Book Antiqua" w:hAnsi="Book Antiqua"/>
          <w:b/>
          <w:lang w:val="en-US"/>
        </w:rPr>
        <w:t xml:space="preserve"> F</w:t>
      </w:r>
      <w:r w:rsidRPr="00B7408D">
        <w:rPr>
          <w:rFonts w:ascii="Book Antiqua" w:hAnsi="Book Antiqua"/>
          <w:lang w:val="en-US"/>
        </w:rPr>
        <w:t xml:space="preserve">, </w:t>
      </w:r>
      <w:proofErr w:type="spellStart"/>
      <w:r w:rsidRPr="00B7408D">
        <w:rPr>
          <w:rFonts w:ascii="Book Antiqua" w:hAnsi="Book Antiqua"/>
          <w:lang w:val="en-US"/>
        </w:rPr>
        <w:t>Sarveazad</w:t>
      </w:r>
      <w:proofErr w:type="spellEnd"/>
      <w:r w:rsidRPr="00B7408D">
        <w:rPr>
          <w:rFonts w:ascii="Book Antiqua" w:hAnsi="Book Antiqua"/>
          <w:lang w:val="en-US"/>
        </w:rPr>
        <w:t xml:space="preserve"> A, </w:t>
      </w:r>
      <w:proofErr w:type="spellStart"/>
      <w:r w:rsidRPr="00B7408D">
        <w:rPr>
          <w:rFonts w:ascii="Book Antiqua" w:hAnsi="Book Antiqua"/>
          <w:lang w:val="en-US"/>
        </w:rPr>
        <w:t>Mahmoudi</w:t>
      </w:r>
      <w:proofErr w:type="spellEnd"/>
      <w:r w:rsidRPr="00B7408D">
        <w:rPr>
          <w:rFonts w:ascii="Book Antiqua" w:hAnsi="Book Antiqua"/>
          <w:lang w:val="en-US"/>
        </w:rPr>
        <w:t xml:space="preserve"> M, </w:t>
      </w:r>
      <w:proofErr w:type="spellStart"/>
      <w:r w:rsidRPr="00B7408D">
        <w:rPr>
          <w:rFonts w:ascii="Book Antiqua" w:hAnsi="Book Antiqua"/>
          <w:lang w:val="en-US"/>
        </w:rPr>
        <w:t>Mohammadalipour</w:t>
      </w:r>
      <w:proofErr w:type="spellEnd"/>
      <w:r w:rsidRPr="00B7408D">
        <w:rPr>
          <w:rFonts w:ascii="Book Antiqua" w:hAnsi="Book Antiqua"/>
          <w:lang w:val="en-US"/>
        </w:rPr>
        <w:t xml:space="preserve"> A, </w:t>
      </w:r>
      <w:proofErr w:type="spellStart"/>
      <w:r w:rsidRPr="00B7408D">
        <w:rPr>
          <w:rFonts w:ascii="Book Antiqua" w:hAnsi="Book Antiqua"/>
          <w:lang w:val="en-US"/>
        </w:rPr>
        <w:t>Chahardoli</w:t>
      </w:r>
      <w:proofErr w:type="spellEnd"/>
      <w:r w:rsidRPr="00B7408D">
        <w:rPr>
          <w:rFonts w:ascii="Book Antiqua" w:hAnsi="Book Antiqua"/>
          <w:lang w:val="en-US"/>
        </w:rPr>
        <w:t xml:space="preserve"> R, </w:t>
      </w:r>
      <w:proofErr w:type="spellStart"/>
      <w:r w:rsidRPr="00B7408D">
        <w:rPr>
          <w:rFonts w:ascii="Book Antiqua" w:hAnsi="Book Antiqua"/>
          <w:lang w:val="en-US"/>
        </w:rPr>
        <w:t>Malekshah</w:t>
      </w:r>
      <w:proofErr w:type="spellEnd"/>
      <w:r w:rsidRPr="00B7408D">
        <w:rPr>
          <w:rFonts w:ascii="Book Antiqua" w:hAnsi="Book Antiqua"/>
          <w:lang w:val="en-US"/>
        </w:rPr>
        <w:t xml:space="preserve"> OM, </w:t>
      </w:r>
      <w:proofErr w:type="spellStart"/>
      <w:r w:rsidRPr="00B7408D">
        <w:rPr>
          <w:rFonts w:ascii="Book Antiqua" w:hAnsi="Book Antiqua"/>
          <w:lang w:val="en-US"/>
        </w:rPr>
        <w:t>Karimi</w:t>
      </w:r>
      <w:proofErr w:type="spellEnd"/>
      <w:r w:rsidRPr="00B7408D">
        <w:rPr>
          <w:rFonts w:ascii="Book Antiqua" w:hAnsi="Book Antiqua"/>
          <w:lang w:val="en-US"/>
        </w:rPr>
        <w:t xml:space="preserve"> </w:t>
      </w:r>
      <w:proofErr w:type="spellStart"/>
      <w:r w:rsidRPr="00B7408D">
        <w:rPr>
          <w:rFonts w:ascii="Book Antiqua" w:hAnsi="Book Antiqua"/>
          <w:lang w:val="en-US"/>
        </w:rPr>
        <w:t>Gorgani</w:t>
      </w:r>
      <w:proofErr w:type="spellEnd"/>
      <w:r w:rsidRPr="00B7408D">
        <w:rPr>
          <w:rFonts w:ascii="Book Antiqua" w:hAnsi="Book Antiqua"/>
          <w:lang w:val="en-US"/>
        </w:rPr>
        <w:t xml:space="preserve"> S, </w:t>
      </w:r>
      <w:proofErr w:type="spellStart"/>
      <w:r w:rsidRPr="00B7408D">
        <w:rPr>
          <w:rFonts w:ascii="Book Antiqua" w:hAnsi="Book Antiqua"/>
          <w:lang w:val="en-US"/>
        </w:rPr>
        <w:t>Saboor-Yaraghi</w:t>
      </w:r>
      <w:proofErr w:type="spellEnd"/>
      <w:r w:rsidRPr="00B7408D">
        <w:rPr>
          <w:rFonts w:ascii="Book Antiqua" w:hAnsi="Book Antiqua"/>
          <w:lang w:val="en-US"/>
        </w:rPr>
        <w:t xml:space="preserve"> AA. Combined effect of retinoic acid and calcium on the in vitro differentiation of human adipose-derived stem cells to adipocytes. </w:t>
      </w:r>
      <w:r w:rsidRPr="00B7408D">
        <w:rPr>
          <w:rFonts w:ascii="Book Antiqua" w:hAnsi="Book Antiqua"/>
          <w:i/>
          <w:lang w:val="en-US"/>
        </w:rPr>
        <w:t xml:space="preserve">Arch </w:t>
      </w:r>
      <w:proofErr w:type="spellStart"/>
      <w:r w:rsidRPr="00B7408D">
        <w:rPr>
          <w:rFonts w:ascii="Book Antiqua" w:hAnsi="Book Antiqua"/>
          <w:i/>
          <w:lang w:val="en-US"/>
        </w:rPr>
        <w:t>Physiol</w:t>
      </w:r>
      <w:proofErr w:type="spellEnd"/>
      <w:r w:rsidRPr="00B7408D">
        <w:rPr>
          <w:rFonts w:ascii="Book Antiqua" w:hAnsi="Book Antiqua"/>
          <w:i/>
          <w:lang w:val="en-US"/>
        </w:rPr>
        <w:t xml:space="preserve"> </w:t>
      </w:r>
      <w:proofErr w:type="spellStart"/>
      <w:r w:rsidRPr="00B7408D">
        <w:rPr>
          <w:rFonts w:ascii="Book Antiqua" w:hAnsi="Book Antiqua"/>
          <w:i/>
          <w:lang w:val="en-US"/>
        </w:rPr>
        <w:t>Biochem</w:t>
      </w:r>
      <w:proofErr w:type="spellEnd"/>
      <w:r w:rsidRPr="00B7408D">
        <w:rPr>
          <w:rFonts w:ascii="Book Antiqua" w:hAnsi="Book Antiqua"/>
          <w:lang w:val="en-US"/>
        </w:rPr>
        <w:t xml:space="preserve"> 2018; </w:t>
      </w:r>
      <w:r w:rsidRPr="00B7408D">
        <w:rPr>
          <w:rFonts w:ascii="Book Antiqua" w:hAnsi="Book Antiqua"/>
          <w:b/>
          <w:lang w:val="en-US"/>
        </w:rPr>
        <w:t>124</w:t>
      </w:r>
      <w:r w:rsidRPr="00B7408D">
        <w:rPr>
          <w:rFonts w:ascii="Book Antiqua" w:hAnsi="Book Antiqua"/>
          <w:lang w:val="en-US"/>
        </w:rPr>
        <w:t>: 109-118 [PMID: 28850272 DOI: 10.1080/13813455.2017.1367009]</w:t>
      </w:r>
    </w:p>
    <w:p w14:paraId="6D47E4CC"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68 </w:t>
      </w:r>
      <w:proofErr w:type="spellStart"/>
      <w:r w:rsidRPr="00B7408D">
        <w:rPr>
          <w:rFonts w:ascii="Book Antiqua" w:hAnsi="Book Antiqua"/>
          <w:b/>
          <w:lang w:val="en-US"/>
        </w:rPr>
        <w:t>Esmailian</w:t>
      </w:r>
      <w:proofErr w:type="spellEnd"/>
      <w:r w:rsidRPr="00B7408D">
        <w:rPr>
          <w:rFonts w:ascii="Book Antiqua" w:hAnsi="Book Antiqua"/>
          <w:b/>
          <w:lang w:val="en-US"/>
        </w:rPr>
        <w:t xml:space="preserve"> S</w:t>
      </w:r>
      <w:r w:rsidRPr="00B7408D">
        <w:rPr>
          <w:rFonts w:ascii="Book Antiqua" w:hAnsi="Book Antiqua"/>
          <w:lang w:val="en-US"/>
        </w:rPr>
        <w:t xml:space="preserve">, </w:t>
      </w:r>
      <w:proofErr w:type="spellStart"/>
      <w:r w:rsidRPr="00B7408D">
        <w:rPr>
          <w:rFonts w:ascii="Book Antiqua" w:hAnsi="Book Antiqua"/>
          <w:lang w:val="en-US"/>
        </w:rPr>
        <w:t>Irani</w:t>
      </w:r>
      <w:proofErr w:type="spellEnd"/>
      <w:r w:rsidRPr="00B7408D">
        <w:rPr>
          <w:rFonts w:ascii="Book Antiqua" w:hAnsi="Book Antiqua"/>
          <w:lang w:val="en-US"/>
        </w:rPr>
        <w:t xml:space="preserve"> S, </w:t>
      </w:r>
      <w:proofErr w:type="spellStart"/>
      <w:r w:rsidRPr="00B7408D">
        <w:rPr>
          <w:rFonts w:ascii="Book Antiqua" w:hAnsi="Book Antiqua"/>
          <w:lang w:val="en-US"/>
        </w:rPr>
        <w:t>Bakhshi</w:t>
      </w:r>
      <w:proofErr w:type="spellEnd"/>
      <w:r w:rsidRPr="00B7408D">
        <w:rPr>
          <w:rFonts w:ascii="Book Antiqua" w:hAnsi="Book Antiqua"/>
          <w:lang w:val="en-US"/>
        </w:rPr>
        <w:t xml:space="preserve"> H, </w:t>
      </w:r>
      <w:proofErr w:type="spellStart"/>
      <w:r w:rsidRPr="00B7408D">
        <w:rPr>
          <w:rFonts w:ascii="Book Antiqua" w:hAnsi="Book Antiqua"/>
          <w:lang w:val="en-US"/>
        </w:rPr>
        <w:t>Zandi</w:t>
      </w:r>
      <w:proofErr w:type="spellEnd"/>
      <w:r w:rsidRPr="00B7408D">
        <w:rPr>
          <w:rFonts w:ascii="Book Antiqua" w:hAnsi="Book Antiqua"/>
          <w:lang w:val="en-US"/>
        </w:rPr>
        <w:t xml:space="preserve"> M. Biodegradable bead-on-spring nanofibers releasing β-carotene for bone tissue engineering. </w:t>
      </w:r>
      <w:r w:rsidRPr="00B7408D">
        <w:rPr>
          <w:rFonts w:ascii="Book Antiqua" w:hAnsi="Book Antiqua"/>
          <w:i/>
          <w:lang w:val="en-US"/>
        </w:rPr>
        <w:t xml:space="preserve">Mater </w:t>
      </w:r>
      <w:proofErr w:type="spellStart"/>
      <w:r w:rsidRPr="00B7408D">
        <w:rPr>
          <w:rFonts w:ascii="Book Antiqua" w:hAnsi="Book Antiqua"/>
          <w:i/>
          <w:lang w:val="en-US"/>
        </w:rPr>
        <w:t>Sci</w:t>
      </w:r>
      <w:proofErr w:type="spellEnd"/>
      <w:r w:rsidRPr="00B7408D">
        <w:rPr>
          <w:rFonts w:ascii="Book Antiqua" w:hAnsi="Book Antiqua"/>
          <w:i/>
          <w:lang w:val="en-US"/>
        </w:rPr>
        <w:t xml:space="preserve"> </w:t>
      </w:r>
      <w:proofErr w:type="spellStart"/>
      <w:r w:rsidRPr="00B7408D">
        <w:rPr>
          <w:rFonts w:ascii="Book Antiqua" w:hAnsi="Book Antiqua"/>
          <w:i/>
          <w:lang w:val="en-US"/>
        </w:rPr>
        <w:t>Eng</w:t>
      </w:r>
      <w:proofErr w:type="spellEnd"/>
      <w:r w:rsidRPr="00B7408D">
        <w:rPr>
          <w:rFonts w:ascii="Book Antiqua" w:hAnsi="Book Antiqua"/>
          <w:i/>
          <w:lang w:val="en-US"/>
        </w:rPr>
        <w:t xml:space="preserve"> C Mater </w:t>
      </w:r>
      <w:proofErr w:type="spellStart"/>
      <w:r w:rsidRPr="00B7408D">
        <w:rPr>
          <w:rFonts w:ascii="Book Antiqua" w:hAnsi="Book Antiqua"/>
          <w:i/>
          <w:lang w:val="en-US"/>
        </w:rPr>
        <w:t>Biol</w:t>
      </w:r>
      <w:proofErr w:type="spellEnd"/>
      <w:r w:rsidRPr="00B7408D">
        <w:rPr>
          <w:rFonts w:ascii="Book Antiqua" w:hAnsi="Book Antiqua"/>
          <w:i/>
          <w:lang w:val="en-US"/>
        </w:rPr>
        <w:t xml:space="preserve"> </w:t>
      </w:r>
      <w:proofErr w:type="spellStart"/>
      <w:r w:rsidRPr="00B7408D">
        <w:rPr>
          <w:rFonts w:ascii="Book Antiqua" w:hAnsi="Book Antiqua"/>
          <w:i/>
          <w:lang w:val="en-US"/>
        </w:rPr>
        <w:t>Appl</w:t>
      </w:r>
      <w:proofErr w:type="spellEnd"/>
      <w:r w:rsidRPr="00B7408D">
        <w:rPr>
          <w:rFonts w:ascii="Book Antiqua" w:hAnsi="Book Antiqua"/>
          <w:lang w:val="en-US"/>
        </w:rPr>
        <w:t xml:space="preserve"> 2018; </w:t>
      </w:r>
      <w:r w:rsidRPr="00B7408D">
        <w:rPr>
          <w:rFonts w:ascii="Book Antiqua" w:hAnsi="Book Antiqua"/>
          <w:b/>
          <w:lang w:val="en-US"/>
        </w:rPr>
        <w:t>92</w:t>
      </w:r>
      <w:r w:rsidRPr="00B7408D">
        <w:rPr>
          <w:rFonts w:ascii="Book Antiqua" w:hAnsi="Book Antiqua"/>
          <w:lang w:val="en-US"/>
        </w:rPr>
        <w:t>: 800-806 [PMID: 30184809 DOI: 10.1016/j.msec.2018.07.030]</w:t>
      </w:r>
    </w:p>
    <w:p w14:paraId="7A215E37"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69 </w:t>
      </w:r>
      <w:r w:rsidRPr="00B7408D">
        <w:rPr>
          <w:rFonts w:ascii="Book Antiqua" w:hAnsi="Book Antiqua"/>
          <w:b/>
          <w:lang w:val="en-US"/>
        </w:rPr>
        <w:t>Gong M</w:t>
      </w:r>
      <w:r w:rsidRPr="00B7408D">
        <w:rPr>
          <w:rFonts w:ascii="Book Antiqua" w:hAnsi="Book Antiqua"/>
          <w:lang w:val="en-US"/>
        </w:rPr>
        <w:t xml:space="preserve">, Bi Y, Jiang W, Zhang Y, Chen L, Hou N, Chen J, Li T. Retinoic acid receptor beta mediates all-trans retinoic acid facilitation of mesenchymal stem cells neuronal differentiation. </w:t>
      </w:r>
      <w:proofErr w:type="spellStart"/>
      <w:r w:rsidRPr="00B7408D">
        <w:rPr>
          <w:rFonts w:ascii="Book Antiqua" w:hAnsi="Book Antiqua"/>
          <w:i/>
          <w:lang w:val="en-US"/>
        </w:rPr>
        <w:t>Int</w:t>
      </w:r>
      <w:proofErr w:type="spellEnd"/>
      <w:r w:rsidRPr="00B7408D">
        <w:rPr>
          <w:rFonts w:ascii="Book Antiqua" w:hAnsi="Book Antiqua"/>
          <w:i/>
          <w:lang w:val="en-US"/>
        </w:rPr>
        <w:t xml:space="preserve"> J </w:t>
      </w:r>
      <w:proofErr w:type="spellStart"/>
      <w:r w:rsidRPr="00B7408D">
        <w:rPr>
          <w:rFonts w:ascii="Book Antiqua" w:hAnsi="Book Antiqua"/>
          <w:i/>
          <w:lang w:val="en-US"/>
        </w:rPr>
        <w:t>Biochem</w:t>
      </w:r>
      <w:proofErr w:type="spellEnd"/>
      <w:r w:rsidRPr="00B7408D">
        <w:rPr>
          <w:rFonts w:ascii="Book Antiqua" w:hAnsi="Book Antiqua"/>
          <w:i/>
          <w:lang w:val="en-US"/>
        </w:rPr>
        <w:t xml:space="preserve"> Cell </w:t>
      </w:r>
      <w:proofErr w:type="spellStart"/>
      <w:r w:rsidRPr="00B7408D">
        <w:rPr>
          <w:rFonts w:ascii="Book Antiqua" w:hAnsi="Book Antiqua"/>
          <w:i/>
          <w:lang w:val="en-US"/>
        </w:rPr>
        <w:t>Biol</w:t>
      </w:r>
      <w:proofErr w:type="spellEnd"/>
      <w:r w:rsidRPr="00B7408D">
        <w:rPr>
          <w:rFonts w:ascii="Book Antiqua" w:hAnsi="Book Antiqua"/>
          <w:lang w:val="en-US"/>
        </w:rPr>
        <w:t xml:space="preserve"> 2013; </w:t>
      </w:r>
      <w:r w:rsidRPr="00B7408D">
        <w:rPr>
          <w:rFonts w:ascii="Book Antiqua" w:hAnsi="Book Antiqua"/>
          <w:b/>
          <w:lang w:val="en-US"/>
        </w:rPr>
        <w:t>45</w:t>
      </w:r>
      <w:r w:rsidRPr="00B7408D">
        <w:rPr>
          <w:rFonts w:ascii="Book Antiqua" w:hAnsi="Book Antiqua"/>
          <w:lang w:val="en-US"/>
        </w:rPr>
        <w:t>: 866-875 [PMID: 23318218 DOI: 10.1016/j.biocel.2013.01.002]</w:t>
      </w:r>
    </w:p>
    <w:p w14:paraId="6D286AC6" w14:textId="582A8CBF"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70 </w:t>
      </w:r>
      <w:r w:rsidRPr="00B7408D">
        <w:rPr>
          <w:rFonts w:ascii="Book Antiqua" w:hAnsi="Book Antiqua"/>
          <w:b/>
          <w:lang w:val="en-US"/>
        </w:rPr>
        <w:t>Su ZY</w:t>
      </w:r>
      <w:r w:rsidRPr="00B7408D">
        <w:rPr>
          <w:rFonts w:ascii="Book Antiqua" w:hAnsi="Book Antiqua"/>
          <w:lang w:val="en-US"/>
        </w:rPr>
        <w:t xml:space="preserve">, Li Y, Zhao XL, Zhang M. All-trans retinoic acid promotes smooth muscle cell differentiation of rabbit bone marrow-derived mesenchymal stem cells. </w:t>
      </w:r>
      <w:r w:rsidRPr="00B7408D">
        <w:rPr>
          <w:rFonts w:ascii="Book Antiqua" w:hAnsi="Book Antiqua"/>
          <w:i/>
          <w:lang w:val="en-US"/>
        </w:rPr>
        <w:t>J Zhejiang Univ Sci B</w:t>
      </w:r>
      <w:r w:rsidRPr="00B7408D">
        <w:rPr>
          <w:rFonts w:ascii="Book Antiqua" w:hAnsi="Book Antiqua"/>
          <w:lang w:val="en-US"/>
        </w:rPr>
        <w:t xml:space="preserve"> 2010; </w:t>
      </w:r>
      <w:r w:rsidRPr="00B7408D">
        <w:rPr>
          <w:rFonts w:ascii="Book Antiqua" w:hAnsi="Book Antiqua"/>
          <w:b/>
          <w:lang w:val="en-US"/>
        </w:rPr>
        <w:t>11</w:t>
      </w:r>
      <w:r w:rsidRPr="00B7408D">
        <w:rPr>
          <w:rFonts w:ascii="Book Antiqua" w:hAnsi="Book Antiqua"/>
          <w:lang w:val="en-US"/>
        </w:rPr>
        <w:t xml:space="preserve">: 489-496 [PMID: 20593513 DOI: </w:t>
      </w:r>
      <w:r w:rsidR="000B149D" w:rsidRPr="00B7408D">
        <w:rPr>
          <w:rFonts w:ascii="Book Antiqua" w:hAnsi="Book Antiqua"/>
          <w:lang w:val="en-US"/>
        </w:rPr>
        <w:t>10.1631/jzus.B0900415</w:t>
      </w:r>
      <w:r w:rsidRPr="00B7408D">
        <w:rPr>
          <w:rFonts w:ascii="Book Antiqua" w:hAnsi="Book Antiqua"/>
          <w:lang w:val="en-US"/>
        </w:rPr>
        <w:t>]</w:t>
      </w:r>
    </w:p>
    <w:p w14:paraId="42952571"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71 </w:t>
      </w:r>
      <w:r w:rsidRPr="00B7408D">
        <w:rPr>
          <w:rFonts w:ascii="Book Antiqua" w:hAnsi="Book Antiqua"/>
          <w:b/>
          <w:lang w:val="en-US"/>
        </w:rPr>
        <w:t>Yan Q</w:t>
      </w:r>
      <w:r w:rsidRPr="00B7408D">
        <w:rPr>
          <w:rFonts w:ascii="Book Antiqua" w:hAnsi="Book Antiqua"/>
          <w:lang w:val="en-US"/>
        </w:rPr>
        <w:t xml:space="preserve">, Li Y, Cheng N, Sun W, Shi B. Effect of retinoic acid on the function of lipopolysaccharide-stimulated bone marrow stromal cells grown on titanium surfaces. </w:t>
      </w:r>
      <w:proofErr w:type="spellStart"/>
      <w:r w:rsidRPr="00B7408D">
        <w:rPr>
          <w:rFonts w:ascii="Book Antiqua" w:hAnsi="Book Antiqua"/>
          <w:i/>
          <w:lang w:val="en-US"/>
        </w:rPr>
        <w:t>Inflamm</w:t>
      </w:r>
      <w:proofErr w:type="spellEnd"/>
      <w:r w:rsidRPr="00B7408D">
        <w:rPr>
          <w:rFonts w:ascii="Book Antiqua" w:hAnsi="Book Antiqua"/>
          <w:i/>
          <w:lang w:val="en-US"/>
        </w:rPr>
        <w:t xml:space="preserve"> Res</w:t>
      </w:r>
      <w:r w:rsidRPr="00B7408D">
        <w:rPr>
          <w:rFonts w:ascii="Book Antiqua" w:hAnsi="Book Antiqua"/>
          <w:lang w:val="en-US"/>
        </w:rPr>
        <w:t xml:space="preserve"> 2015; </w:t>
      </w:r>
      <w:r w:rsidRPr="00B7408D">
        <w:rPr>
          <w:rFonts w:ascii="Book Antiqua" w:hAnsi="Book Antiqua"/>
          <w:b/>
          <w:lang w:val="en-US"/>
        </w:rPr>
        <w:t>64</w:t>
      </w:r>
      <w:r w:rsidRPr="00B7408D">
        <w:rPr>
          <w:rFonts w:ascii="Book Antiqua" w:hAnsi="Book Antiqua"/>
          <w:lang w:val="en-US"/>
        </w:rPr>
        <w:t>: 63-70 [PMID: 25403801 DOI: 10.1007/s00011-014-0784-7]</w:t>
      </w:r>
    </w:p>
    <w:p w14:paraId="6ECA2F19"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72 </w:t>
      </w:r>
      <w:r w:rsidRPr="00B7408D">
        <w:rPr>
          <w:rFonts w:ascii="Book Antiqua" w:hAnsi="Book Antiqua"/>
          <w:b/>
          <w:lang w:val="en-US"/>
        </w:rPr>
        <w:t>Waterman E</w:t>
      </w:r>
      <w:r w:rsidRPr="00B7408D">
        <w:rPr>
          <w:rFonts w:ascii="Book Antiqua" w:hAnsi="Book Antiqua"/>
          <w:lang w:val="en-US"/>
        </w:rPr>
        <w:t xml:space="preserve">, Lockwood B. Active components and clinical applications of olive oil. </w:t>
      </w:r>
      <w:proofErr w:type="spellStart"/>
      <w:r w:rsidRPr="00B7408D">
        <w:rPr>
          <w:rFonts w:ascii="Book Antiqua" w:hAnsi="Book Antiqua"/>
          <w:i/>
          <w:lang w:val="en-US"/>
        </w:rPr>
        <w:t>Altern</w:t>
      </w:r>
      <w:proofErr w:type="spellEnd"/>
      <w:r w:rsidRPr="00B7408D">
        <w:rPr>
          <w:rFonts w:ascii="Book Antiqua" w:hAnsi="Book Antiqua"/>
          <w:i/>
          <w:lang w:val="en-US"/>
        </w:rPr>
        <w:t xml:space="preserve"> Med Rev</w:t>
      </w:r>
      <w:r w:rsidRPr="00B7408D">
        <w:rPr>
          <w:rFonts w:ascii="Book Antiqua" w:hAnsi="Book Antiqua"/>
          <w:lang w:val="en-US"/>
        </w:rPr>
        <w:t xml:space="preserve"> 2007; </w:t>
      </w:r>
      <w:r w:rsidRPr="00B7408D">
        <w:rPr>
          <w:rFonts w:ascii="Book Antiqua" w:hAnsi="Book Antiqua"/>
          <w:b/>
          <w:lang w:val="en-US"/>
        </w:rPr>
        <w:t>12</w:t>
      </w:r>
      <w:r w:rsidRPr="00B7408D">
        <w:rPr>
          <w:rFonts w:ascii="Book Antiqua" w:hAnsi="Book Antiqua"/>
          <w:lang w:val="en-US"/>
        </w:rPr>
        <w:t>: 331-342 [PMID: 18069902]</w:t>
      </w:r>
    </w:p>
    <w:p w14:paraId="5D7DC41F"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73 </w:t>
      </w:r>
      <w:proofErr w:type="spellStart"/>
      <w:r w:rsidRPr="00B7408D">
        <w:rPr>
          <w:rFonts w:ascii="Book Antiqua" w:hAnsi="Book Antiqua"/>
          <w:b/>
          <w:lang w:val="en-US"/>
        </w:rPr>
        <w:t>Buddhan</w:t>
      </w:r>
      <w:proofErr w:type="spellEnd"/>
      <w:r w:rsidRPr="00B7408D">
        <w:rPr>
          <w:rFonts w:ascii="Book Antiqua" w:hAnsi="Book Antiqua"/>
          <w:b/>
          <w:lang w:val="en-US"/>
        </w:rPr>
        <w:t xml:space="preserve"> S</w:t>
      </w:r>
      <w:r w:rsidRPr="00B7408D">
        <w:rPr>
          <w:rFonts w:ascii="Book Antiqua" w:hAnsi="Book Antiqua"/>
          <w:lang w:val="en-US"/>
        </w:rPr>
        <w:t xml:space="preserve">, </w:t>
      </w:r>
      <w:proofErr w:type="spellStart"/>
      <w:r w:rsidRPr="00B7408D">
        <w:rPr>
          <w:rFonts w:ascii="Book Antiqua" w:hAnsi="Book Antiqua"/>
          <w:lang w:val="en-US"/>
        </w:rPr>
        <w:t>Sivakumar</w:t>
      </w:r>
      <w:proofErr w:type="spellEnd"/>
      <w:r w:rsidRPr="00B7408D">
        <w:rPr>
          <w:rFonts w:ascii="Book Antiqua" w:hAnsi="Book Antiqua"/>
          <w:lang w:val="en-US"/>
        </w:rPr>
        <w:t xml:space="preserve"> R, </w:t>
      </w:r>
      <w:proofErr w:type="spellStart"/>
      <w:r w:rsidRPr="00B7408D">
        <w:rPr>
          <w:rFonts w:ascii="Book Antiqua" w:hAnsi="Book Antiqua"/>
          <w:lang w:val="en-US"/>
        </w:rPr>
        <w:t>Dhandapani</w:t>
      </w:r>
      <w:proofErr w:type="spellEnd"/>
      <w:r w:rsidRPr="00B7408D">
        <w:rPr>
          <w:rFonts w:ascii="Book Antiqua" w:hAnsi="Book Antiqua"/>
          <w:lang w:val="en-US"/>
        </w:rPr>
        <w:t xml:space="preserve"> N, </w:t>
      </w:r>
      <w:proofErr w:type="spellStart"/>
      <w:r w:rsidRPr="00B7408D">
        <w:rPr>
          <w:rFonts w:ascii="Book Antiqua" w:hAnsi="Book Antiqua"/>
          <w:lang w:val="en-US"/>
        </w:rPr>
        <w:t>Ganesan</w:t>
      </w:r>
      <w:proofErr w:type="spellEnd"/>
      <w:r w:rsidRPr="00B7408D">
        <w:rPr>
          <w:rFonts w:ascii="Book Antiqua" w:hAnsi="Book Antiqua"/>
          <w:lang w:val="en-US"/>
        </w:rPr>
        <w:t xml:space="preserve"> B, </w:t>
      </w:r>
      <w:proofErr w:type="spellStart"/>
      <w:r w:rsidRPr="00B7408D">
        <w:rPr>
          <w:rFonts w:ascii="Book Antiqua" w:hAnsi="Book Antiqua"/>
          <w:lang w:val="en-US"/>
        </w:rPr>
        <w:t>Anandan</w:t>
      </w:r>
      <w:proofErr w:type="spellEnd"/>
      <w:r w:rsidRPr="00B7408D">
        <w:rPr>
          <w:rFonts w:ascii="Book Antiqua" w:hAnsi="Book Antiqua"/>
          <w:lang w:val="en-US"/>
        </w:rPr>
        <w:t xml:space="preserve"> R. Protective effect of dietary squalene supplementation on mitochondrial function in liver of aged rats. </w:t>
      </w:r>
      <w:r w:rsidRPr="00B7408D">
        <w:rPr>
          <w:rFonts w:ascii="Book Antiqua" w:hAnsi="Book Antiqua"/>
          <w:i/>
          <w:lang w:val="en-US"/>
        </w:rPr>
        <w:t xml:space="preserve">Prostaglandins </w:t>
      </w:r>
      <w:proofErr w:type="spellStart"/>
      <w:r w:rsidRPr="00B7408D">
        <w:rPr>
          <w:rFonts w:ascii="Book Antiqua" w:hAnsi="Book Antiqua"/>
          <w:i/>
          <w:lang w:val="en-US"/>
        </w:rPr>
        <w:t>Leukot</w:t>
      </w:r>
      <w:proofErr w:type="spellEnd"/>
      <w:r w:rsidRPr="00B7408D">
        <w:rPr>
          <w:rFonts w:ascii="Book Antiqua" w:hAnsi="Book Antiqua"/>
          <w:i/>
          <w:lang w:val="en-US"/>
        </w:rPr>
        <w:t xml:space="preserve"> </w:t>
      </w:r>
      <w:proofErr w:type="spellStart"/>
      <w:r w:rsidRPr="00B7408D">
        <w:rPr>
          <w:rFonts w:ascii="Book Antiqua" w:hAnsi="Book Antiqua"/>
          <w:i/>
          <w:lang w:val="en-US"/>
        </w:rPr>
        <w:t>Essent</w:t>
      </w:r>
      <w:proofErr w:type="spellEnd"/>
      <w:r w:rsidRPr="00B7408D">
        <w:rPr>
          <w:rFonts w:ascii="Book Antiqua" w:hAnsi="Book Antiqua"/>
          <w:i/>
          <w:lang w:val="en-US"/>
        </w:rPr>
        <w:t xml:space="preserve"> Fatty Acids</w:t>
      </w:r>
      <w:r w:rsidRPr="00B7408D">
        <w:rPr>
          <w:rFonts w:ascii="Book Antiqua" w:hAnsi="Book Antiqua"/>
          <w:lang w:val="en-US"/>
        </w:rPr>
        <w:t xml:space="preserve"> 2007; </w:t>
      </w:r>
      <w:r w:rsidRPr="00B7408D">
        <w:rPr>
          <w:rFonts w:ascii="Book Antiqua" w:hAnsi="Book Antiqua"/>
          <w:b/>
          <w:lang w:val="en-US"/>
        </w:rPr>
        <w:t>76</w:t>
      </w:r>
      <w:r w:rsidRPr="00B7408D">
        <w:rPr>
          <w:rFonts w:ascii="Book Antiqua" w:hAnsi="Book Antiqua"/>
          <w:lang w:val="en-US"/>
        </w:rPr>
        <w:t>: 349-355 [PMID: 17574827 DOI: 10.1016/j.plefa.2007.05.001]</w:t>
      </w:r>
    </w:p>
    <w:p w14:paraId="3CD9C4C9" w14:textId="6E39450D"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74 </w:t>
      </w:r>
      <w:proofErr w:type="spellStart"/>
      <w:r w:rsidRPr="00B7408D">
        <w:rPr>
          <w:rFonts w:ascii="Book Antiqua" w:hAnsi="Book Antiqua"/>
          <w:b/>
          <w:lang w:val="en-US"/>
        </w:rPr>
        <w:t>Farvin</w:t>
      </w:r>
      <w:proofErr w:type="spellEnd"/>
      <w:r w:rsidRPr="00B7408D">
        <w:rPr>
          <w:rFonts w:ascii="Book Antiqua" w:hAnsi="Book Antiqua"/>
          <w:b/>
          <w:lang w:val="en-US"/>
        </w:rPr>
        <w:t xml:space="preserve"> KHS,</w:t>
      </w:r>
      <w:r w:rsidRPr="00B7408D">
        <w:rPr>
          <w:rFonts w:ascii="Book Antiqua" w:hAnsi="Book Antiqua"/>
          <w:lang w:val="en-US"/>
        </w:rPr>
        <w:t xml:space="preserve"> Kumar SHS, </w:t>
      </w:r>
      <w:proofErr w:type="spellStart"/>
      <w:r w:rsidRPr="00B7408D">
        <w:rPr>
          <w:rFonts w:ascii="Book Antiqua" w:hAnsi="Book Antiqua"/>
          <w:lang w:val="en-US"/>
        </w:rPr>
        <w:t>Anandan</w:t>
      </w:r>
      <w:proofErr w:type="spellEnd"/>
      <w:r w:rsidRPr="00B7408D">
        <w:rPr>
          <w:rFonts w:ascii="Book Antiqua" w:hAnsi="Book Antiqua"/>
          <w:lang w:val="en-US"/>
        </w:rPr>
        <w:t xml:space="preserve"> R, Mathew S, Sankar TV, Nair PGV. Supplementation of squalene attenuates experimentally induced myocardial infarction in rats. Food Chem 2007; </w:t>
      </w:r>
      <w:r w:rsidRPr="00B7408D">
        <w:rPr>
          <w:rFonts w:ascii="Book Antiqua" w:hAnsi="Book Antiqua"/>
          <w:b/>
          <w:lang w:val="en-US"/>
        </w:rPr>
        <w:t>105</w:t>
      </w:r>
      <w:r w:rsidRPr="00B7408D">
        <w:rPr>
          <w:rFonts w:ascii="Book Antiqua" w:hAnsi="Book Antiqua"/>
          <w:lang w:val="en-US"/>
        </w:rPr>
        <w:t xml:space="preserve">: 1390-1395 [DOI: 10.1016/j.foodchem.2007.05.034] </w:t>
      </w:r>
    </w:p>
    <w:p w14:paraId="095F1F9A"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lastRenderedPageBreak/>
        <w:t xml:space="preserve">75 </w:t>
      </w:r>
      <w:r w:rsidRPr="00B7408D">
        <w:rPr>
          <w:rFonts w:ascii="Book Antiqua" w:hAnsi="Book Antiqua"/>
          <w:b/>
          <w:lang w:val="en-US"/>
        </w:rPr>
        <w:t>Das B</w:t>
      </w:r>
      <w:r w:rsidRPr="00B7408D">
        <w:rPr>
          <w:rFonts w:ascii="Book Antiqua" w:hAnsi="Book Antiqua"/>
          <w:lang w:val="en-US"/>
        </w:rPr>
        <w:t xml:space="preserve">, </w:t>
      </w:r>
      <w:proofErr w:type="spellStart"/>
      <w:r w:rsidRPr="00B7408D">
        <w:rPr>
          <w:rFonts w:ascii="Book Antiqua" w:hAnsi="Book Antiqua"/>
          <w:lang w:val="en-US"/>
        </w:rPr>
        <w:t>Antoon</w:t>
      </w:r>
      <w:proofErr w:type="spellEnd"/>
      <w:r w:rsidRPr="00B7408D">
        <w:rPr>
          <w:rFonts w:ascii="Book Antiqua" w:hAnsi="Book Antiqua"/>
          <w:lang w:val="en-US"/>
        </w:rPr>
        <w:t xml:space="preserve"> R, </w:t>
      </w:r>
      <w:proofErr w:type="spellStart"/>
      <w:r w:rsidRPr="00B7408D">
        <w:rPr>
          <w:rFonts w:ascii="Book Antiqua" w:hAnsi="Book Antiqua"/>
          <w:lang w:val="en-US"/>
        </w:rPr>
        <w:t>Tsuchida</w:t>
      </w:r>
      <w:proofErr w:type="spellEnd"/>
      <w:r w:rsidRPr="00B7408D">
        <w:rPr>
          <w:rFonts w:ascii="Book Antiqua" w:hAnsi="Book Antiqua"/>
          <w:lang w:val="en-US"/>
        </w:rPr>
        <w:t xml:space="preserve"> R, </w:t>
      </w:r>
      <w:proofErr w:type="spellStart"/>
      <w:r w:rsidRPr="00B7408D">
        <w:rPr>
          <w:rFonts w:ascii="Book Antiqua" w:hAnsi="Book Antiqua"/>
          <w:lang w:val="en-US"/>
        </w:rPr>
        <w:t>Lotfi</w:t>
      </w:r>
      <w:proofErr w:type="spellEnd"/>
      <w:r w:rsidRPr="00B7408D">
        <w:rPr>
          <w:rFonts w:ascii="Book Antiqua" w:hAnsi="Book Antiqua"/>
          <w:lang w:val="en-US"/>
        </w:rPr>
        <w:t xml:space="preserve"> S, </w:t>
      </w:r>
      <w:proofErr w:type="spellStart"/>
      <w:r w:rsidRPr="00B7408D">
        <w:rPr>
          <w:rFonts w:ascii="Book Antiqua" w:hAnsi="Book Antiqua"/>
          <w:lang w:val="en-US"/>
        </w:rPr>
        <w:t>Morozova</w:t>
      </w:r>
      <w:proofErr w:type="spellEnd"/>
      <w:r w:rsidRPr="00B7408D">
        <w:rPr>
          <w:rFonts w:ascii="Book Antiqua" w:hAnsi="Book Antiqua"/>
          <w:lang w:val="en-US"/>
        </w:rPr>
        <w:t xml:space="preserve"> O, </w:t>
      </w:r>
      <w:proofErr w:type="spellStart"/>
      <w:r w:rsidRPr="00B7408D">
        <w:rPr>
          <w:rFonts w:ascii="Book Antiqua" w:hAnsi="Book Antiqua"/>
          <w:lang w:val="en-US"/>
        </w:rPr>
        <w:t>Farhat</w:t>
      </w:r>
      <w:proofErr w:type="spellEnd"/>
      <w:r w:rsidRPr="00B7408D">
        <w:rPr>
          <w:rFonts w:ascii="Book Antiqua" w:hAnsi="Book Antiqua"/>
          <w:lang w:val="en-US"/>
        </w:rPr>
        <w:t xml:space="preserve"> W, Malkin D, </w:t>
      </w:r>
      <w:proofErr w:type="spellStart"/>
      <w:r w:rsidRPr="00B7408D">
        <w:rPr>
          <w:rFonts w:ascii="Book Antiqua" w:hAnsi="Book Antiqua"/>
          <w:lang w:val="en-US"/>
        </w:rPr>
        <w:t>Koren</w:t>
      </w:r>
      <w:proofErr w:type="spellEnd"/>
      <w:r w:rsidRPr="00B7408D">
        <w:rPr>
          <w:rFonts w:ascii="Book Antiqua" w:hAnsi="Book Antiqua"/>
          <w:lang w:val="en-US"/>
        </w:rPr>
        <w:t xml:space="preserve"> G, </w:t>
      </w:r>
      <w:proofErr w:type="spellStart"/>
      <w:r w:rsidRPr="00B7408D">
        <w:rPr>
          <w:rFonts w:ascii="Book Antiqua" w:hAnsi="Book Antiqua"/>
          <w:lang w:val="en-US"/>
        </w:rPr>
        <w:t>Yeger</w:t>
      </w:r>
      <w:proofErr w:type="spellEnd"/>
      <w:r w:rsidRPr="00B7408D">
        <w:rPr>
          <w:rFonts w:ascii="Book Antiqua" w:hAnsi="Book Antiqua"/>
          <w:lang w:val="en-US"/>
        </w:rPr>
        <w:t xml:space="preserve"> H, </w:t>
      </w:r>
      <w:proofErr w:type="spellStart"/>
      <w:r w:rsidRPr="00B7408D">
        <w:rPr>
          <w:rFonts w:ascii="Book Antiqua" w:hAnsi="Book Antiqua"/>
          <w:lang w:val="en-US"/>
        </w:rPr>
        <w:t>Baruchel</w:t>
      </w:r>
      <w:proofErr w:type="spellEnd"/>
      <w:r w:rsidRPr="00B7408D">
        <w:rPr>
          <w:rFonts w:ascii="Book Antiqua" w:hAnsi="Book Antiqua"/>
          <w:lang w:val="en-US"/>
        </w:rPr>
        <w:t xml:space="preserve"> S. Squalene selectively protects mouse bone marrow progenitors against cisplatin and carboplatin-induced cytotoxicity in vivo without protecting tumor growth. </w:t>
      </w:r>
      <w:r w:rsidRPr="00B7408D">
        <w:rPr>
          <w:rFonts w:ascii="Book Antiqua" w:hAnsi="Book Antiqua"/>
          <w:i/>
          <w:lang w:val="en-US"/>
        </w:rPr>
        <w:t>Neoplasia</w:t>
      </w:r>
      <w:r w:rsidRPr="00B7408D">
        <w:rPr>
          <w:rFonts w:ascii="Book Antiqua" w:hAnsi="Book Antiqua"/>
          <w:lang w:val="en-US"/>
        </w:rPr>
        <w:t xml:space="preserve"> 2008; </w:t>
      </w:r>
      <w:r w:rsidRPr="00B7408D">
        <w:rPr>
          <w:rFonts w:ascii="Book Antiqua" w:hAnsi="Book Antiqua"/>
          <w:b/>
          <w:lang w:val="en-US"/>
        </w:rPr>
        <w:t>10</w:t>
      </w:r>
      <w:r w:rsidRPr="00B7408D">
        <w:rPr>
          <w:rFonts w:ascii="Book Antiqua" w:hAnsi="Book Antiqua"/>
          <w:lang w:val="en-US"/>
        </w:rPr>
        <w:t>: 1105-1119 [PMID: 18813359]</w:t>
      </w:r>
    </w:p>
    <w:p w14:paraId="214BFC7D"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76 </w:t>
      </w:r>
      <w:r w:rsidRPr="00B7408D">
        <w:rPr>
          <w:rFonts w:ascii="Book Antiqua" w:hAnsi="Book Antiqua"/>
          <w:b/>
          <w:lang w:val="en-US"/>
        </w:rPr>
        <w:t>Sánchez-Quesada C</w:t>
      </w:r>
      <w:r w:rsidRPr="00B7408D">
        <w:rPr>
          <w:rFonts w:ascii="Book Antiqua" w:hAnsi="Book Antiqua"/>
          <w:lang w:val="en-US"/>
        </w:rPr>
        <w:t xml:space="preserve">, </w:t>
      </w:r>
      <w:proofErr w:type="spellStart"/>
      <w:r w:rsidRPr="00B7408D">
        <w:rPr>
          <w:rFonts w:ascii="Book Antiqua" w:hAnsi="Book Antiqua"/>
          <w:lang w:val="en-US"/>
        </w:rPr>
        <w:t>López-Biedma</w:t>
      </w:r>
      <w:proofErr w:type="spellEnd"/>
      <w:r w:rsidRPr="00B7408D">
        <w:rPr>
          <w:rFonts w:ascii="Book Antiqua" w:hAnsi="Book Antiqua"/>
          <w:lang w:val="en-US"/>
        </w:rPr>
        <w:t xml:space="preserve"> A, </w:t>
      </w:r>
      <w:proofErr w:type="spellStart"/>
      <w:r w:rsidRPr="00B7408D">
        <w:rPr>
          <w:rFonts w:ascii="Book Antiqua" w:hAnsi="Book Antiqua"/>
          <w:lang w:val="en-US"/>
        </w:rPr>
        <w:t>Warleta</w:t>
      </w:r>
      <w:proofErr w:type="spellEnd"/>
      <w:r w:rsidRPr="00B7408D">
        <w:rPr>
          <w:rFonts w:ascii="Book Antiqua" w:hAnsi="Book Antiqua"/>
          <w:lang w:val="en-US"/>
        </w:rPr>
        <w:t xml:space="preserve"> F, Campos M, </w:t>
      </w:r>
      <w:proofErr w:type="spellStart"/>
      <w:r w:rsidRPr="00B7408D">
        <w:rPr>
          <w:rFonts w:ascii="Book Antiqua" w:hAnsi="Book Antiqua"/>
          <w:lang w:val="en-US"/>
        </w:rPr>
        <w:t>Beltrán</w:t>
      </w:r>
      <w:proofErr w:type="spellEnd"/>
      <w:r w:rsidRPr="00B7408D">
        <w:rPr>
          <w:rFonts w:ascii="Book Antiqua" w:hAnsi="Book Antiqua"/>
          <w:lang w:val="en-US"/>
        </w:rPr>
        <w:t xml:space="preserve"> G, </w:t>
      </w:r>
      <w:proofErr w:type="spellStart"/>
      <w:r w:rsidRPr="00B7408D">
        <w:rPr>
          <w:rFonts w:ascii="Book Antiqua" w:hAnsi="Book Antiqua"/>
          <w:lang w:val="en-US"/>
        </w:rPr>
        <w:t>Gaforio</w:t>
      </w:r>
      <w:proofErr w:type="spellEnd"/>
      <w:r w:rsidRPr="00B7408D">
        <w:rPr>
          <w:rFonts w:ascii="Book Antiqua" w:hAnsi="Book Antiqua"/>
          <w:lang w:val="en-US"/>
        </w:rPr>
        <w:t xml:space="preserve"> JJ. Bioactive properties of the main triterpenes found in olives, virgin olive oil, and leaves of Olea </w:t>
      </w:r>
      <w:proofErr w:type="spellStart"/>
      <w:r w:rsidRPr="00B7408D">
        <w:rPr>
          <w:rFonts w:ascii="Book Antiqua" w:hAnsi="Book Antiqua"/>
          <w:lang w:val="en-US"/>
        </w:rPr>
        <w:t>europaea</w:t>
      </w:r>
      <w:proofErr w:type="spellEnd"/>
      <w:r w:rsidRPr="00B7408D">
        <w:rPr>
          <w:rFonts w:ascii="Book Antiqua" w:hAnsi="Book Antiqua"/>
          <w:lang w:val="en-US"/>
        </w:rPr>
        <w:t xml:space="preserve">. </w:t>
      </w:r>
      <w:r w:rsidRPr="00B7408D">
        <w:rPr>
          <w:rFonts w:ascii="Book Antiqua" w:hAnsi="Book Antiqua"/>
          <w:i/>
          <w:lang w:val="en-US"/>
        </w:rPr>
        <w:t>J Agric Food Chem</w:t>
      </w:r>
      <w:r w:rsidRPr="00B7408D">
        <w:rPr>
          <w:rFonts w:ascii="Book Antiqua" w:hAnsi="Book Antiqua"/>
          <w:lang w:val="en-US"/>
        </w:rPr>
        <w:t xml:space="preserve"> 2013; </w:t>
      </w:r>
      <w:r w:rsidRPr="00B7408D">
        <w:rPr>
          <w:rFonts w:ascii="Book Antiqua" w:hAnsi="Book Antiqua"/>
          <w:b/>
          <w:lang w:val="en-US"/>
        </w:rPr>
        <w:t>61</w:t>
      </w:r>
      <w:r w:rsidRPr="00B7408D">
        <w:rPr>
          <w:rFonts w:ascii="Book Antiqua" w:hAnsi="Book Antiqua"/>
          <w:lang w:val="en-US"/>
        </w:rPr>
        <w:t>: 12173-12182 [PMID: 24279741 DOI: 10.1021/jf403154e]</w:t>
      </w:r>
    </w:p>
    <w:p w14:paraId="7B21FAF5"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77 </w:t>
      </w:r>
      <w:r w:rsidRPr="00B7408D">
        <w:rPr>
          <w:rFonts w:ascii="Book Antiqua" w:hAnsi="Book Antiqua"/>
          <w:b/>
          <w:lang w:val="en-US"/>
        </w:rPr>
        <w:t>Shu B</w:t>
      </w:r>
      <w:r w:rsidRPr="00B7408D">
        <w:rPr>
          <w:rFonts w:ascii="Book Antiqua" w:hAnsi="Book Antiqua"/>
          <w:lang w:val="en-US"/>
        </w:rPr>
        <w:t xml:space="preserve">, Zhao Y, Wang Y, Wang G, Shang X, Britt M, </w:t>
      </w:r>
      <w:proofErr w:type="spellStart"/>
      <w:r w:rsidRPr="00B7408D">
        <w:rPr>
          <w:rFonts w:ascii="Book Antiqua" w:hAnsi="Book Antiqua"/>
          <w:lang w:val="en-US"/>
        </w:rPr>
        <w:t>Olmedo</w:t>
      </w:r>
      <w:proofErr w:type="spellEnd"/>
      <w:r w:rsidRPr="00B7408D">
        <w:rPr>
          <w:rFonts w:ascii="Book Antiqua" w:hAnsi="Book Antiqua"/>
          <w:lang w:val="en-US"/>
        </w:rPr>
        <w:t xml:space="preserve"> M, </w:t>
      </w:r>
      <w:proofErr w:type="spellStart"/>
      <w:r w:rsidRPr="00B7408D">
        <w:rPr>
          <w:rFonts w:ascii="Book Antiqua" w:hAnsi="Book Antiqua"/>
          <w:lang w:val="en-US"/>
        </w:rPr>
        <w:t>Chelly</w:t>
      </w:r>
      <w:proofErr w:type="spellEnd"/>
      <w:r w:rsidRPr="00B7408D">
        <w:rPr>
          <w:rFonts w:ascii="Book Antiqua" w:hAnsi="Book Antiqua"/>
          <w:lang w:val="en-US"/>
        </w:rPr>
        <w:t xml:space="preserve"> M, </w:t>
      </w:r>
      <w:proofErr w:type="spellStart"/>
      <w:r w:rsidRPr="00B7408D">
        <w:rPr>
          <w:rFonts w:ascii="Book Antiqua" w:hAnsi="Book Antiqua"/>
          <w:lang w:val="en-US"/>
        </w:rPr>
        <w:t>Morandi</w:t>
      </w:r>
      <w:proofErr w:type="spellEnd"/>
      <w:r w:rsidRPr="00B7408D">
        <w:rPr>
          <w:rFonts w:ascii="Book Antiqua" w:hAnsi="Book Antiqua"/>
          <w:lang w:val="en-US"/>
        </w:rPr>
        <w:t xml:space="preserve"> MM, Barton S, Dong Y. Oleanolic Acid Enhances Mesenchymal Stromal Cell Osteogenic Potential by Inhibition of Notch Signaling. </w:t>
      </w:r>
      <w:r w:rsidRPr="00B7408D">
        <w:rPr>
          <w:rFonts w:ascii="Book Antiqua" w:hAnsi="Book Antiqua"/>
          <w:i/>
          <w:lang w:val="en-US"/>
        </w:rPr>
        <w:t>Sci Rep</w:t>
      </w:r>
      <w:r w:rsidRPr="00B7408D">
        <w:rPr>
          <w:rFonts w:ascii="Book Antiqua" w:hAnsi="Book Antiqua"/>
          <w:lang w:val="en-US"/>
        </w:rPr>
        <w:t xml:space="preserve"> 2017; </w:t>
      </w:r>
      <w:r w:rsidRPr="00B7408D">
        <w:rPr>
          <w:rFonts w:ascii="Book Antiqua" w:hAnsi="Book Antiqua"/>
          <w:b/>
          <w:lang w:val="en-US"/>
        </w:rPr>
        <w:t>7</w:t>
      </w:r>
      <w:r w:rsidRPr="00B7408D">
        <w:rPr>
          <w:rFonts w:ascii="Book Antiqua" w:hAnsi="Book Antiqua"/>
          <w:lang w:val="en-US"/>
        </w:rPr>
        <w:t>: 7002 [PMID: 28765584 DOI: 10.1038/s41598-017-07633-7]</w:t>
      </w:r>
    </w:p>
    <w:p w14:paraId="61A58801"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78 </w:t>
      </w:r>
      <w:proofErr w:type="spellStart"/>
      <w:r w:rsidRPr="00B7408D">
        <w:rPr>
          <w:rFonts w:ascii="Book Antiqua" w:hAnsi="Book Antiqua"/>
          <w:b/>
          <w:lang w:val="en-US"/>
        </w:rPr>
        <w:t>Oprean</w:t>
      </w:r>
      <w:proofErr w:type="spellEnd"/>
      <w:r w:rsidRPr="00B7408D">
        <w:rPr>
          <w:rFonts w:ascii="Book Antiqua" w:hAnsi="Book Antiqua"/>
          <w:b/>
          <w:lang w:val="en-US"/>
        </w:rPr>
        <w:t xml:space="preserve"> C</w:t>
      </w:r>
      <w:r w:rsidRPr="00B7408D">
        <w:rPr>
          <w:rFonts w:ascii="Book Antiqua" w:hAnsi="Book Antiqua"/>
          <w:lang w:val="en-US"/>
        </w:rPr>
        <w:t xml:space="preserve">, Ivan A, </w:t>
      </w:r>
      <w:proofErr w:type="spellStart"/>
      <w:r w:rsidRPr="00B7408D">
        <w:rPr>
          <w:rFonts w:ascii="Book Antiqua" w:hAnsi="Book Antiqua"/>
          <w:lang w:val="en-US"/>
        </w:rPr>
        <w:t>Bojin</w:t>
      </w:r>
      <w:proofErr w:type="spellEnd"/>
      <w:r w:rsidRPr="00B7408D">
        <w:rPr>
          <w:rFonts w:ascii="Book Antiqua" w:hAnsi="Book Antiqua"/>
          <w:lang w:val="en-US"/>
        </w:rPr>
        <w:t xml:space="preserve"> F, </w:t>
      </w:r>
      <w:proofErr w:type="spellStart"/>
      <w:r w:rsidRPr="00B7408D">
        <w:rPr>
          <w:rFonts w:ascii="Book Antiqua" w:hAnsi="Book Antiqua"/>
          <w:lang w:val="en-US"/>
        </w:rPr>
        <w:t>Cristea</w:t>
      </w:r>
      <w:proofErr w:type="spellEnd"/>
      <w:r w:rsidRPr="00B7408D">
        <w:rPr>
          <w:rFonts w:ascii="Book Antiqua" w:hAnsi="Book Antiqua"/>
          <w:lang w:val="en-US"/>
        </w:rPr>
        <w:t xml:space="preserve"> M, </w:t>
      </w:r>
      <w:proofErr w:type="spellStart"/>
      <w:r w:rsidRPr="00B7408D">
        <w:rPr>
          <w:rFonts w:ascii="Book Antiqua" w:hAnsi="Book Antiqua"/>
          <w:lang w:val="en-US"/>
        </w:rPr>
        <w:t>Soica</w:t>
      </w:r>
      <w:proofErr w:type="spellEnd"/>
      <w:r w:rsidRPr="00B7408D">
        <w:rPr>
          <w:rFonts w:ascii="Book Antiqua" w:hAnsi="Book Antiqua"/>
          <w:lang w:val="en-US"/>
        </w:rPr>
        <w:t xml:space="preserve"> C, </w:t>
      </w:r>
      <w:proofErr w:type="spellStart"/>
      <w:r w:rsidRPr="00B7408D">
        <w:rPr>
          <w:rFonts w:ascii="Book Antiqua" w:hAnsi="Book Antiqua"/>
          <w:lang w:val="en-US"/>
        </w:rPr>
        <w:t>Drăghia</w:t>
      </w:r>
      <w:proofErr w:type="spellEnd"/>
      <w:r w:rsidRPr="00B7408D">
        <w:rPr>
          <w:rFonts w:ascii="Book Antiqua" w:hAnsi="Book Antiqua"/>
          <w:lang w:val="en-US"/>
        </w:rPr>
        <w:t xml:space="preserve"> L, </w:t>
      </w:r>
      <w:proofErr w:type="spellStart"/>
      <w:r w:rsidRPr="00B7408D">
        <w:rPr>
          <w:rFonts w:ascii="Book Antiqua" w:hAnsi="Book Antiqua"/>
          <w:lang w:val="en-US"/>
        </w:rPr>
        <w:t>Caunii</w:t>
      </w:r>
      <w:proofErr w:type="spellEnd"/>
      <w:r w:rsidRPr="00B7408D">
        <w:rPr>
          <w:rFonts w:ascii="Book Antiqua" w:hAnsi="Book Antiqua"/>
          <w:lang w:val="en-US"/>
        </w:rPr>
        <w:t xml:space="preserve"> A, </w:t>
      </w:r>
      <w:proofErr w:type="spellStart"/>
      <w:r w:rsidRPr="00B7408D">
        <w:rPr>
          <w:rFonts w:ascii="Book Antiqua" w:hAnsi="Book Antiqua"/>
          <w:lang w:val="en-US"/>
        </w:rPr>
        <w:t>Paunescu</w:t>
      </w:r>
      <w:proofErr w:type="spellEnd"/>
      <w:r w:rsidRPr="00B7408D">
        <w:rPr>
          <w:rFonts w:ascii="Book Antiqua" w:hAnsi="Book Antiqua"/>
          <w:lang w:val="en-US"/>
        </w:rPr>
        <w:t xml:space="preserve"> V, </w:t>
      </w:r>
      <w:proofErr w:type="spellStart"/>
      <w:r w:rsidRPr="00B7408D">
        <w:rPr>
          <w:rFonts w:ascii="Book Antiqua" w:hAnsi="Book Antiqua"/>
          <w:lang w:val="en-US"/>
        </w:rPr>
        <w:t>Tatu</w:t>
      </w:r>
      <w:proofErr w:type="spellEnd"/>
      <w:r w:rsidRPr="00B7408D">
        <w:rPr>
          <w:rFonts w:ascii="Book Antiqua" w:hAnsi="Book Antiqua"/>
          <w:lang w:val="en-US"/>
        </w:rPr>
        <w:t xml:space="preserve"> C. Selective in vitro anti-melanoma activity of </w:t>
      </w:r>
      <w:proofErr w:type="spellStart"/>
      <w:r w:rsidRPr="00B7408D">
        <w:rPr>
          <w:rFonts w:ascii="Book Antiqua" w:hAnsi="Book Antiqua"/>
          <w:lang w:val="en-US"/>
        </w:rPr>
        <w:t>ursolic</w:t>
      </w:r>
      <w:proofErr w:type="spellEnd"/>
      <w:r w:rsidRPr="00B7408D">
        <w:rPr>
          <w:rFonts w:ascii="Book Antiqua" w:hAnsi="Book Antiqua"/>
          <w:lang w:val="en-US"/>
        </w:rPr>
        <w:t xml:space="preserve"> and </w:t>
      </w:r>
      <w:proofErr w:type="spellStart"/>
      <w:r w:rsidRPr="00B7408D">
        <w:rPr>
          <w:rFonts w:ascii="Book Antiqua" w:hAnsi="Book Antiqua"/>
          <w:lang w:val="en-US"/>
        </w:rPr>
        <w:t>oleanolic</w:t>
      </w:r>
      <w:proofErr w:type="spellEnd"/>
      <w:r w:rsidRPr="00B7408D">
        <w:rPr>
          <w:rFonts w:ascii="Book Antiqua" w:hAnsi="Book Antiqua"/>
          <w:lang w:val="en-US"/>
        </w:rPr>
        <w:t xml:space="preserve"> acids. </w:t>
      </w:r>
      <w:proofErr w:type="spellStart"/>
      <w:r w:rsidRPr="00B7408D">
        <w:rPr>
          <w:rFonts w:ascii="Book Antiqua" w:hAnsi="Book Antiqua"/>
          <w:i/>
          <w:lang w:val="en-US"/>
        </w:rPr>
        <w:t>Toxicol</w:t>
      </w:r>
      <w:proofErr w:type="spellEnd"/>
      <w:r w:rsidRPr="00B7408D">
        <w:rPr>
          <w:rFonts w:ascii="Book Antiqua" w:hAnsi="Book Antiqua"/>
          <w:i/>
          <w:lang w:val="en-US"/>
        </w:rPr>
        <w:t xml:space="preserve"> </w:t>
      </w:r>
      <w:proofErr w:type="spellStart"/>
      <w:r w:rsidRPr="00B7408D">
        <w:rPr>
          <w:rFonts w:ascii="Book Antiqua" w:hAnsi="Book Antiqua"/>
          <w:i/>
          <w:lang w:val="en-US"/>
        </w:rPr>
        <w:t>Mech</w:t>
      </w:r>
      <w:proofErr w:type="spellEnd"/>
      <w:r w:rsidRPr="00B7408D">
        <w:rPr>
          <w:rFonts w:ascii="Book Antiqua" w:hAnsi="Book Antiqua"/>
          <w:i/>
          <w:lang w:val="en-US"/>
        </w:rPr>
        <w:t xml:space="preserve"> Methods</w:t>
      </w:r>
      <w:r w:rsidRPr="00B7408D">
        <w:rPr>
          <w:rFonts w:ascii="Book Antiqua" w:hAnsi="Book Antiqua"/>
          <w:lang w:val="en-US"/>
        </w:rPr>
        <w:t xml:space="preserve"> 2018; </w:t>
      </w:r>
      <w:r w:rsidRPr="00B7408D">
        <w:rPr>
          <w:rFonts w:ascii="Book Antiqua" w:hAnsi="Book Antiqua"/>
          <w:b/>
          <w:lang w:val="en-US"/>
        </w:rPr>
        <w:t>28</w:t>
      </w:r>
      <w:r w:rsidRPr="00B7408D">
        <w:rPr>
          <w:rFonts w:ascii="Book Antiqua" w:hAnsi="Book Antiqua"/>
          <w:lang w:val="en-US"/>
        </w:rPr>
        <w:t>: 148-156 [PMID: 28868958 DOI: 10.1080/15376516.2017.1373881]</w:t>
      </w:r>
    </w:p>
    <w:p w14:paraId="265F8A12"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79 </w:t>
      </w:r>
      <w:proofErr w:type="spellStart"/>
      <w:r w:rsidRPr="00B7408D">
        <w:rPr>
          <w:rFonts w:ascii="Book Antiqua" w:hAnsi="Book Antiqua"/>
          <w:b/>
          <w:lang w:val="en-US"/>
        </w:rPr>
        <w:t>Bian</w:t>
      </w:r>
      <w:proofErr w:type="spellEnd"/>
      <w:r w:rsidRPr="00B7408D">
        <w:rPr>
          <w:rFonts w:ascii="Book Antiqua" w:hAnsi="Book Antiqua"/>
          <w:b/>
          <w:lang w:val="en-US"/>
        </w:rPr>
        <w:t xml:space="preserve"> Q</w:t>
      </w:r>
      <w:r w:rsidRPr="00B7408D">
        <w:rPr>
          <w:rFonts w:ascii="Book Antiqua" w:hAnsi="Book Antiqua"/>
          <w:lang w:val="en-US"/>
        </w:rPr>
        <w:t xml:space="preserve">, Liu SF, Huang JH, Yang Z, Tang DZ, Zhou Q, Ning Y, Zhao YJ, Lu S, Shen ZY, Wang YJ. Oleanolic acid exerts an osteoprotective effect in ovariectomy-induced osteoporotic rats and stimulates the osteoblastic differentiation of bone mesenchymal stem cells in vitro. </w:t>
      </w:r>
      <w:r w:rsidRPr="00B7408D">
        <w:rPr>
          <w:rFonts w:ascii="Book Antiqua" w:hAnsi="Book Antiqua"/>
          <w:i/>
          <w:lang w:val="en-US"/>
        </w:rPr>
        <w:t>Menopause</w:t>
      </w:r>
      <w:r w:rsidRPr="00B7408D">
        <w:rPr>
          <w:rFonts w:ascii="Book Antiqua" w:hAnsi="Book Antiqua"/>
          <w:lang w:val="en-US"/>
        </w:rPr>
        <w:t xml:space="preserve"> 2012; </w:t>
      </w:r>
      <w:r w:rsidRPr="00B7408D">
        <w:rPr>
          <w:rFonts w:ascii="Book Antiqua" w:hAnsi="Book Antiqua"/>
          <w:b/>
          <w:lang w:val="en-US"/>
        </w:rPr>
        <w:t>19</w:t>
      </w:r>
      <w:r w:rsidRPr="00B7408D">
        <w:rPr>
          <w:rFonts w:ascii="Book Antiqua" w:hAnsi="Book Antiqua"/>
          <w:lang w:val="en-US"/>
        </w:rPr>
        <w:t>: 225-233 [PMID: 22011754 DOI: 10.1097/gme.0b013e3182272ef1]</w:t>
      </w:r>
    </w:p>
    <w:p w14:paraId="3A40AA1C"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80 </w:t>
      </w:r>
      <w:r w:rsidRPr="00B7408D">
        <w:rPr>
          <w:rFonts w:ascii="Book Antiqua" w:hAnsi="Book Antiqua"/>
          <w:b/>
          <w:lang w:val="en-US"/>
        </w:rPr>
        <w:t>Hilton MJ</w:t>
      </w:r>
      <w:r w:rsidRPr="00B7408D">
        <w:rPr>
          <w:rFonts w:ascii="Book Antiqua" w:hAnsi="Book Antiqua"/>
          <w:lang w:val="en-US"/>
        </w:rPr>
        <w:t xml:space="preserve">, Tu X, Wu X, Bai S, Zhao H, Kobayashi T, </w:t>
      </w:r>
      <w:proofErr w:type="spellStart"/>
      <w:r w:rsidRPr="00B7408D">
        <w:rPr>
          <w:rFonts w:ascii="Book Antiqua" w:hAnsi="Book Antiqua"/>
          <w:lang w:val="en-US"/>
        </w:rPr>
        <w:t>Kronenberg</w:t>
      </w:r>
      <w:proofErr w:type="spellEnd"/>
      <w:r w:rsidRPr="00B7408D">
        <w:rPr>
          <w:rFonts w:ascii="Book Antiqua" w:hAnsi="Book Antiqua"/>
          <w:lang w:val="en-US"/>
        </w:rPr>
        <w:t xml:space="preserve"> HM, </w:t>
      </w:r>
      <w:proofErr w:type="spellStart"/>
      <w:r w:rsidRPr="00B7408D">
        <w:rPr>
          <w:rFonts w:ascii="Book Antiqua" w:hAnsi="Book Antiqua"/>
          <w:lang w:val="en-US"/>
        </w:rPr>
        <w:t>Teitelbaum</w:t>
      </w:r>
      <w:proofErr w:type="spellEnd"/>
      <w:r w:rsidRPr="00B7408D">
        <w:rPr>
          <w:rFonts w:ascii="Book Antiqua" w:hAnsi="Book Antiqua"/>
          <w:lang w:val="en-US"/>
        </w:rPr>
        <w:t xml:space="preserve"> SL, Ross FP, </w:t>
      </w:r>
      <w:proofErr w:type="spellStart"/>
      <w:r w:rsidRPr="00B7408D">
        <w:rPr>
          <w:rFonts w:ascii="Book Antiqua" w:hAnsi="Book Antiqua"/>
          <w:lang w:val="en-US"/>
        </w:rPr>
        <w:t>Kopan</w:t>
      </w:r>
      <w:proofErr w:type="spellEnd"/>
      <w:r w:rsidRPr="00B7408D">
        <w:rPr>
          <w:rFonts w:ascii="Book Antiqua" w:hAnsi="Book Antiqua"/>
          <w:lang w:val="en-US"/>
        </w:rPr>
        <w:t xml:space="preserve"> R, Long F. Notch signaling maintains bone marrow mesenchymal progenitors by suppressing osteoblast differentiation. </w:t>
      </w:r>
      <w:r w:rsidRPr="00B7408D">
        <w:rPr>
          <w:rFonts w:ascii="Book Antiqua" w:hAnsi="Book Antiqua"/>
          <w:i/>
          <w:lang w:val="en-US"/>
        </w:rPr>
        <w:t>Nat Med</w:t>
      </w:r>
      <w:r w:rsidRPr="00B7408D">
        <w:rPr>
          <w:rFonts w:ascii="Book Antiqua" w:hAnsi="Book Antiqua"/>
          <w:lang w:val="en-US"/>
        </w:rPr>
        <w:t xml:space="preserve"> 2008; </w:t>
      </w:r>
      <w:r w:rsidRPr="00B7408D">
        <w:rPr>
          <w:rFonts w:ascii="Book Antiqua" w:hAnsi="Book Antiqua"/>
          <w:b/>
          <w:lang w:val="en-US"/>
        </w:rPr>
        <w:t>14</w:t>
      </w:r>
      <w:r w:rsidRPr="00B7408D">
        <w:rPr>
          <w:rFonts w:ascii="Book Antiqua" w:hAnsi="Book Antiqua"/>
          <w:lang w:val="en-US"/>
        </w:rPr>
        <w:t>: 306-314 [PMID: 18297083 DOI: 10.1038/nm1716]</w:t>
      </w:r>
    </w:p>
    <w:p w14:paraId="5DCAB848"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81 </w:t>
      </w:r>
      <w:r w:rsidRPr="00B7408D">
        <w:rPr>
          <w:rFonts w:ascii="Book Antiqua" w:hAnsi="Book Antiqua"/>
          <w:b/>
          <w:lang w:val="en-US"/>
        </w:rPr>
        <w:t>Sung HY</w:t>
      </w:r>
      <w:r w:rsidRPr="00B7408D">
        <w:rPr>
          <w:rFonts w:ascii="Book Antiqua" w:hAnsi="Book Antiqua"/>
          <w:lang w:val="en-US"/>
        </w:rPr>
        <w:t xml:space="preserve">, Kang SW, Kim JL, Li J, Lee ES, Gong JH, Han SJ, Kang YH. Oleanolic acid reduces markers of differentiation in 3T3-L1 adipocytes. </w:t>
      </w:r>
      <w:proofErr w:type="spellStart"/>
      <w:r w:rsidRPr="00B7408D">
        <w:rPr>
          <w:rFonts w:ascii="Book Antiqua" w:hAnsi="Book Antiqua"/>
          <w:i/>
          <w:lang w:val="en-US"/>
        </w:rPr>
        <w:t>Nutr</w:t>
      </w:r>
      <w:proofErr w:type="spellEnd"/>
      <w:r w:rsidRPr="00B7408D">
        <w:rPr>
          <w:rFonts w:ascii="Book Antiqua" w:hAnsi="Book Antiqua"/>
          <w:i/>
          <w:lang w:val="en-US"/>
        </w:rPr>
        <w:t xml:space="preserve"> Res</w:t>
      </w:r>
      <w:r w:rsidRPr="00B7408D">
        <w:rPr>
          <w:rFonts w:ascii="Book Antiqua" w:hAnsi="Book Antiqua"/>
          <w:lang w:val="en-US"/>
        </w:rPr>
        <w:t xml:space="preserve"> 2010; </w:t>
      </w:r>
      <w:r w:rsidRPr="00B7408D">
        <w:rPr>
          <w:rFonts w:ascii="Book Antiqua" w:hAnsi="Book Antiqua"/>
          <w:b/>
          <w:lang w:val="en-US"/>
        </w:rPr>
        <w:t>30</w:t>
      </w:r>
      <w:r w:rsidRPr="00B7408D">
        <w:rPr>
          <w:rFonts w:ascii="Book Antiqua" w:hAnsi="Book Antiqua"/>
          <w:lang w:val="en-US"/>
        </w:rPr>
        <w:t>: 831-839 [PMID: 21147366 DOI: 10.1016/j.nutres.2010.10.001]</w:t>
      </w:r>
    </w:p>
    <w:p w14:paraId="450C8044"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82 </w:t>
      </w:r>
      <w:r w:rsidRPr="00B7408D">
        <w:rPr>
          <w:rFonts w:ascii="Book Antiqua" w:hAnsi="Book Antiqua"/>
          <w:b/>
          <w:lang w:val="en-US"/>
        </w:rPr>
        <w:t>Kim HS</w:t>
      </w:r>
      <w:r w:rsidRPr="00B7408D">
        <w:rPr>
          <w:rFonts w:ascii="Book Antiqua" w:hAnsi="Book Antiqua"/>
          <w:lang w:val="en-US"/>
        </w:rPr>
        <w:t xml:space="preserve">, Sung HY, Kim MS, Kim JL, Kang MK, Gong JH, Park HS, Kang YH. </w:t>
      </w:r>
      <w:proofErr w:type="spellStart"/>
      <w:r w:rsidRPr="00B7408D">
        <w:rPr>
          <w:rFonts w:ascii="Book Antiqua" w:hAnsi="Book Antiqua"/>
          <w:lang w:val="en-US"/>
        </w:rPr>
        <w:t>Oleanolic</w:t>
      </w:r>
      <w:proofErr w:type="spellEnd"/>
      <w:r w:rsidRPr="00B7408D">
        <w:rPr>
          <w:rFonts w:ascii="Book Antiqua" w:hAnsi="Book Antiqua"/>
          <w:lang w:val="en-US"/>
        </w:rPr>
        <w:t xml:space="preserve"> acid suppresses </w:t>
      </w:r>
      <w:proofErr w:type="spellStart"/>
      <w:r w:rsidRPr="00B7408D">
        <w:rPr>
          <w:rFonts w:ascii="Book Antiqua" w:hAnsi="Book Antiqua"/>
          <w:lang w:val="en-US"/>
        </w:rPr>
        <w:t>resistin</w:t>
      </w:r>
      <w:proofErr w:type="spellEnd"/>
      <w:r w:rsidRPr="00B7408D">
        <w:rPr>
          <w:rFonts w:ascii="Book Antiqua" w:hAnsi="Book Antiqua"/>
          <w:lang w:val="en-US"/>
        </w:rPr>
        <w:t xml:space="preserve"> induction in adipocytes by modulating </w:t>
      </w:r>
      <w:proofErr w:type="spellStart"/>
      <w:r w:rsidRPr="00B7408D">
        <w:rPr>
          <w:rFonts w:ascii="Book Antiqua" w:hAnsi="Book Antiqua"/>
          <w:lang w:val="en-US"/>
        </w:rPr>
        <w:lastRenderedPageBreak/>
        <w:t>Tyk</w:t>
      </w:r>
      <w:proofErr w:type="spellEnd"/>
      <w:r w:rsidRPr="00B7408D">
        <w:rPr>
          <w:rFonts w:ascii="Book Antiqua" w:hAnsi="Book Antiqua"/>
          <w:lang w:val="en-US"/>
        </w:rPr>
        <w:t xml:space="preserve">-STAT signaling. </w:t>
      </w:r>
      <w:proofErr w:type="spellStart"/>
      <w:r w:rsidRPr="00B7408D">
        <w:rPr>
          <w:rFonts w:ascii="Book Antiqua" w:hAnsi="Book Antiqua"/>
          <w:i/>
          <w:lang w:val="en-US"/>
        </w:rPr>
        <w:t>Nutr</w:t>
      </w:r>
      <w:proofErr w:type="spellEnd"/>
      <w:r w:rsidRPr="00B7408D">
        <w:rPr>
          <w:rFonts w:ascii="Book Antiqua" w:hAnsi="Book Antiqua"/>
          <w:i/>
          <w:lang w:val="en-US"/>
        </w:rPr>
        <w:t xml:space="preserve"> Res</w:t>
      </w:r>
      <w:r w:rsidRPr="00B7408D">
        <w:rPr>
          <w:rFonts w:ascii="Book Antiqua" w:hAnsi="Book Antiqua"/>
          <w:lang w:val="en-US"/>
        </w:rPr>
        <w:t xml:space="preserve"> 2013; </w:t>
      </w:r>
      <w:r w:rsidRPr="00B7408D">
        <w:rPr>
          <w:rFonts w:ascii="Book Antiqua" w:hAnsi="Book Antiqua"/>
          <w:b/>
          <w:lang w:val="en-US"/>
        </w:rPr>
        <w:t>33</w:t>
      </w:r>
      <w:r w:rsidRPr="00B7408D">
        <w:rPr>
          <w:rFonts w:ascii="Book Antiqua" w:hAnsi="Book Antiqua"/>
          <w:lang w:val="en-US"/>
        </w:rPr>
        <w:t>: 144-153 [PMID: 23399665 DOI: 10.1016/j.nutres.2012.12.006]</w:t>
      </w:r>
    </w:p>
    <w:p w14:paraId="0BA18FF1"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83 </w:t>
      </w:r>
      <w:r w:rsidRPr="00B7408D">
        <w:rPr>
          <w:rFonts w:ascii="Book Antiqua" w:hAnsi="Book Antiqua"/>
          <w:b/>
          <w:lang w:val="en-US"/>
        </w:rPr>
        <w:t>Li C</w:t>
      </w:r>
      <w:r w:rsidRPr="00B7408D">
        <w:rPr>
          <w:rFonts w:ascii="Book Antiqua" w:hAnsi="Book Antiqua"/>
          <w:lang w:val="en-US"/>
        </w:rPr>
        <w:t xml:space="preserve">, Yang Z, Li Z, Ma Y, Zhang L, Zheng C, </w:t>
      </w:r>
      <w:proofErr w:type="spellStart"/>
      <w:r w:rsidRPr="00B7408D">
        <w:rPr>
          <w:rFonts w:ascii="Book Antiqua" w:hAnsi="Book Antiqua"/>
          <w:lang w:val="en-US"/>
        </w:rPr>
        <w:t>Qiu</w:t>
      </w:r>
      <w:proofErr w:type="spellEnd"/>
      <w:r w:rsidRPr="00B7408D">
        <w:rPr>
          <w:rFonts w:ascii="Book Antiqua" w:hAnsi="Book Antiqua"/>
          <w:lang w:val="en-US"/>
        </w:rPr>
        <w:t xml:space="preserve"> W, Wu X, Wang X, Li H, Tang J, Qian M, Li D, Wang P, Luo J, Liu M. </w:t>
      </w:r>
      <w:proofErr w:type="spellStart"/>
      <w:r w:rsidRPr="00B7408D">
        <w:rPr>
          <w:rFonts w:ascii="Book Antiqua" w:hAnsi="Book Antiqua"/>
          <w:lang w:val="en-US"/>
        </w:rPr>
        <w:t>Maslinic</w:t>
      </w:r>
      <w:proofErr w:type="spellEnd"/>
      <w:r w:rsidRPr="00B7408D">
        <w:rPr>
          <w:rFonts w:ascii="Book Antiqua" w:hAnsi="Book Antiqua"/>
          <w:lang w:val="en-US"/>
        </w:rPr>
        <w:t xml:space="preserve"> acid suppresses </w:t>
      </w:r>
      <w:proofErr w:type="spellStart"/>
      <w:r w:rsidRPr="00B7408D">
        <w:rPr>
          <w:rFonts w:ascii="Book Antiqua" w:hAnsi="Book Antiqua"/>
          <w:lang w:val="en-US"/>
        </w:rPr>
        <w:t>osteoclastogenesis</w:t>
      </w:r>
      <w:proofErr w:type="spellEnd"/>
      <w:r w:rsidRPr="00B7408D">
        <w:rPr>
          <w:rFonts w:ascii="Book Antiqua" w:hAnsi="Book Antiqua"/>
          <w:lang w:val="en-US"/>
        </w:rPr>
        <w:t xml:space="preserve"> and prevents ovariectomy-induced bone loss by regulating RANKL-mediated NF-</w:t>
      </w:r>
      <w:proofErr w:type="spellStart"/>
      <w:r w:rsidRPr="00B7408D">
        <w:rPr>
          <w:rFonts w:ascii="Book Antiqua" w:hAnsi="Book Antiqua"/>
          <w:lang w:val="en-US"/>
        </w:rPr>
        <w:t>κB</w:t>
      </w:r>
      <w:proofErr w:type="spellEnd"/>
      <w:r w:rsidRPr="00B7408D">
        <w:rPr>
          <w:rFonts w:ascii="Book Antiqua" w:hAnsi="Book Antiqua"/>
          <w:lang w:val="en-US"/>
        </w:rPr>
        <w:t xml:space="preserve"> and MAPK signaling pathways. </w:t>
      </w:r>
      <w:r w:rsidRPr="00B7408D">
        <w:rPr>
          <w:rFonts w:ascii="Book Antiqua" w:hAnsi="Book Antiqua"/>
          <w:i/>
          <w:lang w:val="en-US"/>
        </w:rPr>
        <w:t>J Bone Miner Res</w:t>
      </w:r>
      <w:r w:rsidRPr="00B7408D">
        <w:rPr>
          <w:rFonts w:ascii="Book Antiqua" w:hAnsi="Book Antiqua"/>
          <w:lang w:val="en-US"/>
        </w:rPr>
        <w:t xml:space="preserve"> 2011; </w:t>
      </w:r>
      <w:r w:rsidRPr="00B7408D">
        <w:rPr>
          <w:rFonts w:ascii="Book Antiqua" w:hAnsi="Book Antiqua"/>
          <w:b/>
          <w:lang w:val="en-US"/>
        </w:rPr>
        <w:t>26</w:t>
      </w:r>
      <w:r w:rsidRPr="00B7408D">
        <w:rPr>
          <w:rFonts w:ascii="Book Antiqua" w:hAnsi="Book Antiqua"/>
          <w:lang w:val="en-US"/>
        </w:rPr>
        <w:t>: 644-656 [PMID: 20814972 DOI: 10.1002/jbmr.242]</w:t>
      </w:r>
    </w:p>
    <w:p w14:paraId="501BBEDB"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84 </w:t>
      </w:r>
      <w:r w:rsidRPr="00B7408D">
        <w:rPr>
          <w:rFonts w:ascii="Book Antiqua" w:hAnsi="Book Antiqua"/>
          <w:b/>
          <w:lang w:val="en-US"/>
        </w:rPr>
        <w:t>Pérez-Jiménez A</w:t>
      </w:r>
      <w:r w:rsidRPr="00B7408D">
        <w:rPr>
          <w:rFonts w:ascii="Book Antiqua" w:hAnsi="Book Antiqua"/>
          <w:lang w:val="en-US"/>
        </w:rPr>
        <w:t xml:space="preserve">, </w:t>
      </w:r>
      <w:proofErr w:type="spellStart"/>
      <w:r w:rsidRPr="00B7408D">
        <w:rPr>
          <w:rFonts w:ascii="Book Antiqua" w:hAnsi="Book Antiqua"/>
          <w:lang w:val="en-US"/>
        </w:rPr>
        <w:t>Rufino-Palomares</w:t>
      </w:r>
      <w:proofErr w:type="spellEnd"/>
      <w:r w:rsidRPr="00B7408D">
        <w:rPr>
          <w:rFonts w:ascii="Book Antiqua" w:hAnsi="Book Antiqua"/>
          <w:lang w:val="en-US"/>
        </w:rPr>
        <w:t xml:space="preserve"> EE, </w:t>
      </w:r>
      <w:proofErr w:type="spellStart"/>
      <w:r w:rsidRPr="00B7408D">
        <w:rPr>
          <w:rFonts w:ascii="Book Antiqua" w:hAnsi="Book Antiqua"/>
          <w:lang w:val="en-US"/>
        </w:rPr>
        <w:t>Fernández-Gallego</w:t>
      </w:r>
      <w:proofErr w:type="spellEnd"/>
      <w:r w:rsidRPr="00B7408D">
        <w:rPr>
          <w:rFonts w:ascii="Book Antiqua" w:hAnsi="Book Antiqua"/>
          <w:lang w:val="en-US"/>
        </w:rPr>
        <w:t xml:space="preserve"> N, </w:t>
      </w:r>
      <w:proofErr w:type="spellStart"/>
      <w:r w:rsidRPr="00B7408D">
        <w:rPr>
          <w:rFonts w:ascii="Book Antiqua" w:hAnsi="Book Antiqua"/>
          <w:lang w:val="en-US"/>
        </w:rPr>
        <w:t>Ortuño-Costela</w:t>
      </w:r>
      <w:proofErr w:type="spellEnd"/>
      <w:r w:rsidRPr="00B7408D">
        <w:rPr>
          <w:rFonts w:ascii="Book Antiqua" w:hAnsi="Book Antiqua"/>
          <w:lang w:val="en-US"/>
        </w:rPr>
        <w:t xml:space="preserve"> MC, Reyes-</w:t>
      </w:r>
      <w:proofErr w:type="spellStart"/>
      <w:r w:rsidRPr="00B7408D">
        <w:rPr>
          <w:rFonts w:ascii="Book Antiqua" w:hAnsi="Book Antiqua"/>
          <w:lang w:val="en-US"/>
        </w:rPr>
        <w:t>Zurita</w:t>
      </w:r>
      <w:proofErr w:type="spellEnd"/>
      <w:r w:rsidRPr="00B7408D">
        <w:rPr>
          <w:rFonts w:ascii="Book Antiqua" w:hAnsi="Book Antiqua"/>
          <w:lang w:val="en-US"/>
        </w:rPr>
        <w:t xml:space="preserve"> FJ, </w:t>
      </w:r>
      <w:proofErr w:type="spellStart"/>
      <w:r w:rsidRPr="00B7408D">
        <w:rPr>
          <w:rFonts w:ascii="Book Antiqua" w:hAnsi="Book Antiqua"/>
          <w:lang w:val="en-US"/>
        </w:rPr>
        <w:t>Peragón</w:t>
      </w:r>
      <w:proofErr w:type="spellEnd"/>
      <w:r w:rsidRPr="00B7408D">
        <w:rPr>
          <w:rFonts w:ascii="Book Antiqua" w:hAnsi="Book Antiqua"/>
          <w:lang w:val="en-US"/>
        </w:rPr>
        <w:t xml:space="preserve"> J, </w:t>
      </w:r>
      <w:proofErr w:type="spellStart"/>
      <w:r w:rsidRPr="00B7408D">
        <w:rPr>
          <w:rFonts w:ascii="Book Antiqua" w:hAnsi="Book Antiqua"/>
          <w:lang w:val="en-US"/>
        </w:rPr>
        <w:t>García-Salguero</w:t>
      </w:r>
      <w:proofErr w:type="spellEnd"/>
      <w:r w:rsidRPr="00B7408D">
        <w:rPr>
          <w:rFonts w:ascii="Book Antiqua" w:hAnsi="Book Antiqua"/>
          <w:lang w:val="en-US"/>
        </w:rPr>
        <w:t xml:space="preserve"> L, Mokhtari K, Medina PP, </w:t>
      </w:r>
      <w:proofErr w:type="spellStart"/>
      <w:r w:rsidRPr="00B7408D">
        <w:rPr>
          <w:rFonts w:ascii="Book Antiqua" w:hAnsi="Book Antiqua"/>
          <w:lang w:val="en-US"/>
        </w:rPr>
        <w:t>Lupiáñez</w:t>
      </w:r>
      <w:proofErr w:type="spellEnd"/>
      <w:r w:rsidRPr="00B7408D">
        <w:rPr>
          <w:rFonts w:ascii="Book Antiqua" w:hAnsi="Book Antiqua"/>
          <w:lang w:val="en-US"/>
        </w:rPr>
        <w:t xml:space="preserve"> JA. Target molecules in 3T3-L1 adipocytes differentiation are regulated by </w:t>
      </w:r>
      <w:proofErr w:type="spellStart"/>
      <w:r w:rsidRPr="00B7408D">
        <w:rPr>
          <w:rFonts w:ascii="Book Antiqua" w:hAnsi="Book Antiqua"/>
          <w:lang w:val="en-US"/>
        </w:rPr>
        <w:t>maslinic</w:t>
      </w:r>
      <w:proofErr w:type="spellEnd"/>
      <w:r w:rsidRPr="00B7408D">
        <w:rPr>
          <w:rFonts w:ascii="Book Antiqua" w:hAnsi="Book Antiqua"/>
          <w:lang w:val="en-US"/>
        </w:rPr>
        <w:t xml:space="preserve"> acid, a natural triterpene from Olea </w:t>
      </w:r>
      <w:proofErr w:type="spellStart"/>
      <w:r w:rsidRPr="00B7408D">
        <w:rPr>
          <w:rFonts w:ascii="Book Antiqua" w:hAnsi="Book Antiqua"/>
          <w:lang w:val="en-US"/>
        </w:rPr>
        <w:t>europaea</w:t>
      </w:r>
      <w:proofErr w:type="spellEnd"/>
      <w:r w:rsidRPr="00B7408D">
        <w:rPr>
          <w:rFonts w:ascii="Book Antiqua" w:hAnsi="Book Antiqua"/>
          <w:lang w:val="en-US"/>
        </w:rPr>
        <w:t xml:space="preserve">. </w:t>
      </w:r>
      <w:r w:rsidRPr="00B7408D">
        <w:rPr>
          <w:rFonts w:ascii="Book Antiqua" w:hAnsi="Book Antiqua"/>
          <w:i/>
          <w:lang w:val="en-US"/>
        </w:rPr>
        <w:t>Phytomedicine</w:t>
      </w:r>
      <w:r w:rsidRPr="00B7408D">
        <w:rPr>
          <w:rFonts w:ascii="Book Antiqua" w:hAnsi="Book Antiqua"/>
          <w:lang w:val="en-US"/>
        </w:rPr>
        <w:t xml:space="preserve"> 2016; </w:t>
      </w:r>
      <w:r w:rsidRPr="00B7408D">
        <w:rPr>
          <w:rFonts w:ascii="Book Antiqua" w:hAnsi="Book Antiqua"/>
          <w:b/>
          <w:lang w:val="en-US"/>
        </w:rPr>
        <w:t>23</w:t>
      </w:r>
      <w:r w:rsidRPr="00B7408D">
        <w:rPr>
          <w:rFonts w:ascii="Book Antiqua" w:hAnsi="Book Antiqua"/>
          <w:lang w:val="en-US"/>
        </w:rPr>
        <w:t>: 1301-1311 [PMID: 27765349 DOI: 10.1016/j.phymed.2016.07.001]</w:t>
      </w:r>
    </w:p>
    <w:p w14:paraId="5375BB23"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85 </w:t>
      </w:r>
      <w:proofErr w:type="spellStart"/>
      <w:r w:rsidRPr="00B7408D">
        <w:rPr>
          <w:rFonts w:ascii="Book Antiqua" w:hAnsi="Book Antiqua"/>
          <w:b/>
          <w:lang w:val="en-US"/>
        </w:rPr>
        <w:t>Fukumitsu</w:t>
      </w:r>
      <w:proofErr w:type="spellEnd"/>
      <w:r w:rsidRPr="00B7408D">
        <w:rPr>
          <w:rFonts w:ascii="Book Antiqua" w:hAnsi="Book Antiqua"/>
          <w:b/>
          <w:lang w:val="en-US"/>
        </w:rPr>
        <w:t xml:space="preserve"> S</w:t>
      </w:r>
      <w:r w:rsidRPr="00B7408D">
        <w:rPr>
          <w:rFonts w:ascii="Book Antiqua" w:hAnsi="Book Antiqua"/>
          <w:lang w:val="en-US"/>
        </w:rPr>
        <w:t xml:space="preserve">, </w:t>
      </w:r>
      <w:proofErr w:type="spellStart"/>
      <w:r w:rsidRPr="00B7408D">
        <w:rPr>
          <w:rFonts w:ascii="Book Antiqua" w:hAnsi="Book Antiqua"/>
          <w:lang w:val="en-US"/>
        </w:rPr>
        <w:t>Villareal</w:t>
      </w:r>
      <w:proofErr w:type="spellEnd"/>
      <w:r w:rsidRPr="00B7408D">
        <w:rPr>
          <w:rFonts w:ascii="Book Antiqua" w:hAnsi="Book Antiqua"/>
          <w:lang w:val="en-US"/>
        </w:rPr>
        <w:t xml:space="preserve"> MO, </w:t>
      </w:r>
      <w:proofErr w:type="spellStart"/>
      <w:r w:rsidRPr="00B7408D">
        <w:rPr>
          <w:rFonts w:ascii="Book Antiqua" w:hAnsi="Book Antiqua"/>
          <w:lang w:val="en-US"/>
        </w:rPr>
        <w:t>Fujitsuka</w:t>
      </w:r>
      <w:proofErr w:type="spellEnd"/>
      <w:r w:rsidRPr="00B7408D">
        <w:rPr>
          <w:rFonts w:ascii="Book Antiqua" w:hAnsi="Book Antiqua"/>
          <w:lang w:val="en-US"/>
        </w:rPr>
        <w:t xml:space="preserve"> T, Aida K, </w:t>
      </w:r>
      <w:proofErr w:type="spellStart"/>
      <w:r w:rsidRPr="00B7408D">
        <w:rPr>
          <w:rFonts w:ascii="Book Antiqua" w:hAnsi="Book Antiqua"/>
          <w:lang w:val="en-US"/>
        </w:rPr>
        <w:t>Isoda</w:t>
      </w:r>
      <w:proofErr w:type="spellEnd"/>
      <w:r w:rsidRPr="00B7408D">
        <w:rPr>
          <w:rFonts w:ascii="Book Antiqua" w:hAnsi="Book Antiqua"/>
          <w:lang w:val="en-US"/>
        </w:rPr>
        <w:t xml:space="preserve"> H. Anti-inflammatory and anti-arthritic effects of </w:t>
      </w:r>
      <w:proofErr w:type="spellStart"/>
      <w:r w:rsidRPr="00B7408D">
        <w:rPr>
          <w:rFonts w:ascii="Book Antiqua" w:hAnsi="Book Antiqua"/>
          <w:lang w:val="en-US"/>
        </w:rPr>
        <w:t>pentacyclic</w:t>
      </w:r>
      <w:proofErr w:type="spellEnd"/>
      <w:r w:rsidRPr="00B7408D">
        <w:rPr>
          <w:rFonts w:ascii="Book Antiqua" w:hAnsi="Book Antiqua"/>
          <w:lang w:val="en-US"/>
        </w:rPr>
        <w:t xml:space="preserve"> triterpenoids </w:t>
      </w:r>
      <w:proofErr w:type="spellStart"/>
      <w:r w:rsidRPr="00B7408D">
        <w:rPr>
          <w:rFonts w:ascii="Book Antiqua" w:hAnsi="Book Antiqua"/>
          <w:lang w:val="en-US"/>
        </w:rPr>
        <w:t>maslinic</w:t>
      </w:r>
      <w:proofErr w:type="spellEnd"/>
      <w:r w:rsidRPr="00B7408D">
        <w:rPr>
          <w:rFonts w:ascii="Book Antiqua" w:hAnsi="Book Antiqua"/>
          <w:lang w:val="en-US"/>
        </w:rPr>
        <w:t xml:space="preserve"> acid through NF-</w:t>
      </w:r>
      <w:proofErr w:type="spellStart"/>
      <w:r w:rsidRPr="00B7408D">
        <w:rPr>
          <w:rFonts w:ascii="Book Antiqua" w:hAnsi="Book Antiqua"/>
          <w:lang w:val="en-US"/>
        </w:rPr>
        <w:t>κB</w:t>
      </w:r>
      <w:proofErr w:type="spellEnd"/>
      <w:r w:rsidRPr="00B7408D">
        <w:rPr>
          <w:rFonts w:ascii="Book Antiqua" w:hAnsi="Book Antiqua"/>
          <w:lang w:val="en-US"/>
        </w:rPr>
        <w:t xml:space="preserve"> inactivation. </w:t>
      </w:r>
      <w:proofErr w:type="spellStart"/>
      <w:r w:rsidRPr="00B7408D">
        <w:rPr>
          <w:rFonts w:ascii="Book Antiqua" w:hAnsi="Book Antiqua"/>
          <w:i/>
          <w:lang w:val="en-US"/>
        </w:rPr>
        <w:t>Mol</w:t>
      </w:r>
      <w:proofErr w:type="spellEnd"/>
      <w:r w:rsidRPr="00B7408D">
        <w:rPr>
          <w:rFonts w:ascii="Book Antiqua" w:hAnsi="Book Antiqua"/>
          <w:i/>
          <w:lang w:val="en-US"/>
        </w:rPr>
        <w:t xml:space="preserve"> </w:t>
      </w:r>
      <w:proofErr w:type="spellStart"/>
      <w:r w:rsidRPr="00B7408D">
        <w:rPr>
          <w:rFonts w:ascii="Book Antiqua" w:hAnsi="Book Antiqua"/>
          <w:i/>
          <w:lang w:val="en-US"/>
        </w:rPr>
        <w:t>Nutr</w:t>
      </w:r>
      <w:proofErr w:type="spellEnd"/>
      <w:r w:rsidRPr="00B7408D">
        <w:rPr>
          <w:rFonts w:ascii="Book Antiqua" w:hAnsi="Book Antiqua"/>
          <w:i/>
          <w:lang w:val="en-US"/>
        </w:rPr>
        <w:t xml:space="preserve"> Food Res</w:t>
      </w:r>
      <w:r w:rsidRPr="00B7408D">
        <w:rPr>
          <w:rFonts w:ascii="Book Antiqua" w:hAnsi="Book Antiqua"/>
          <w:lang w:val="en-US"/>
        </w:rPr>
        <w:t xml:space="preserve"> 2016; </w:t>
      </w:r>
      <w:r w:rsidRPr="00B7408D">
        <w:rPr>
          <w:rFonts w:ascii="Book Antiqua" w:hAnsi="Book Antiqua"/>
          <w:b/>
          <w:lang w:val="en-US"/>
        </w:rPr>
        <w:t>60</w:t>
      </w:r>
      <w:r w:rsidRPr="00B7408D">
        <w:rPr>
          <w:rFonts w:ascii="Book Antiqua" w:hAnsi="Book Antiqua"/>
          <w:lang w:val="en-US"/>
        </w:rPr>
        <w:t>: 399-409 [PMID: 26499467 DOI: 10.1002/mnfr.201500465]</w:t>
      </w:r>
    </w:p>
    <w:p w14:paraId="669916EA"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86 </w:t>
      </w:r>
      <w:r w:rsidRPr="00B7408D">
        <w:rPr>
          <w:rFonts w:ascii="Book Antiqua" w:hAnsi="Book Antiqua"/>
          <w:b/>
          <w:lang w:val="en-US"/>
        </w:rPr>
        <w:t>Su Q</w:t>
      </w:r>
      <w:r w:rsidRPr="00B7408D">
        <w:rPr>
          <w:rFonts w:ascii="Book Antiqua" w:hAnsi="Book Antiqua"/>
          <w:lang w:val="en-US"/>
        </w:rPr>
        <w:t xml:space="preserve">, Rowley KG, </w:t>
      </w:r>
      <w:proofErr w:type="spellStart"/>
      <w:r w:rsidRPr="00B7408D">
        <w:rPr>
          <w:rFonts w:ascii="Book Antiqua" w:hAnsi="Book Antiqua"/>
          <w:lang w:val="en-US"/>
        </w:rPr>
        <w:t>Itsiopoulos</w:t>
      </w:r>
      <w:proofErr w:type="spellEnd"/>
      <w:r w:rsidRPr="00B7408D">
        <w:rPr>
          <w:rFonts w:ascii="Book Antiqua" w:hAnsi="Book Antiqua"/>
          <w:lang w:val="en-US"/>
        </w:rPr>
        <w:t xml:space="preserve"> C, O'Dea K. Identification and quantitation of major carotenoids in selected components of the Mediterranean diet: green leafy vegetables, figs and olive oil. </w:t>
      </w:r>
      <w:proofErr w:type="spellStart"/>
      <w:r w:rsidRPr="00B7408D">
        <w:rPr>
          <w:rFonts w:ascii="Book Antiqua" w:hAnsi="Book Antiqua"/>
          <w:i/>
          <w:lang w:val="en-US"/>
        </w:rPr>
        <w:t>Eur</w:t>
      </w:r>
      <w:proofErr w:type="spellEnd"/>
      <w:r w:rsidRPr="00B7408D">
        <w:rPr>
          <w:rFonts w:ascii="Book Antiqua" w:hAnsi="Book Antiqua"/>
          <w:i/>
          <w:lang w:val="en-US"/>
        </w:rPr>
        <w:t xml:space="preserve"> J </w:t>
      </w:r>
      <w:proofErr w:type="spellStart"/>
      <w:r w:rsidRPr="00B7408D">
        <w:rPr>
          <w:rFonts w:ascii="Book Antiqua" w:hAnsi="Book Antiqua"/>
          <w:i/>
          <w:lang w:val="en-US"/>
        </w:rPr>
        <w:t>Clin</w:t>
      </w:r>
      <w:proofErr w:type="spellEnd"/>
      <w:r w:rsidRPr="00B7408D">
        <w:rPr>
          <w:rFonts w:ascii="Book Antiqua" w:hAnsi="Book Antiqua"/>
          <w:i/>
          <w:lang w:val="en-US"/>
        </w:rPr>
        <w:t xml:space="preserve"> </w:t>
      </w:r>
      <w:proofErr w:type="spellStart"/>
      <w:r w:rsidRPr="00B7408D">
        <w:rPr>
          <w:rFonts w:ascii="Book Antiqua" w:hAnsi="Book Antiqua"/>
          <w:i/>
          <w:lang w:val="en-US"/>
        </w:rPr>
        <w:t>Nutr</w:t>
      </w:r>
      <w:proofErr w:type="spellEnd"/>
      <w:r w:rsidRPr="00B7408D">
        <w:rPr>
          <w:rFonts w:ascii="Book Antiqua" w:hAnsi="Book Antiqua"/>
          <w:lang w:val="en-US"/>
        </w:rPr>
        <w:t xml:space="preserve"> 2002; </w:t>
      </w:r>
      <w:r w:rsidRPr="00B7408D">
        <w:rPr>
          <w:rFonts w:ascii="Book Antiqua" w:hAnsi="Book Antiqua"/>
          <w:b/>
          <w:lang w:val="en-US"/>
        </w:rPr>
        <w:t>56</w:t>
      </w:r>
      <w:r w:rsidRPr="00B7408D">
        <w:rPr>
          <w:rFonts w:ascii="Book Antiqua" w:hAnsi="Book Antiqua"/>
          <w:lang w:val="en-US"/>
        </w:rPr>
        <w:t>: 1149-1154 [PMID: 12428183 DOI: 10.1038/sj.ejcn.1601472]</w:t>
      </w:r>
    </w:p>
    <w:p w14:paraId="1A10E9C0"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87 </w:t>
      </w:r>
      <w:r w:rsidRPr="00B7408D">
        <w:rPr>
          <w:rFonts w:ascii="Book Antiqua" w:hAnsi="Book Antiqua"/>
          <w:b/>
          <w:lang w:val="en-US"/>
        </w:rPr>
        <w:t>Abdel-</w:t>
      </w:r>
      <w:proofErr w:type="spellStart"/>
      <w:r w:rsidRPr="00B7408D">
        <w:rPr>
          <w:rFonts w:ascii="Book Antiqua" w:hAnsi="Book Antiqua"/>
          <w:b/>
          <w:lang w:val="en-US"/>
        </w:rPr>
        <w:t>Aal</w:t>
      </w:r>
      <w:proofErr w:type="spellEnd"/>
      <w:r w:rsidRPr="00B7408D">
        <w:rPr>
          <w:rFonts w:ascii="Book Antiqua" w:hAnsi="Book Antiqua"/>
          <w:b/>
          <w:lang w:val="en-US"/>
        </w:rPr>
        <w:t xml:space="preserve"> el-SM</w:t>
      </w:r>
      <w:r w:rsidRPr="00B7408D">
        <w:rPr>
          <w:rFonts w:ascii="Book Antiqua" w:hAnsi="Book Antiqua"/>
          <w:lang w:val="en-US"/>
        </w:rPr>
        <w:t xml:space="preserve">, Akhtar H, Zaheer K, Ali R. Dietary sources of lutein and zeaxanthin carotenoids and their role in eye health. </w:t>
      </w:r>
      <w:r w:rsidRPr="00B7408D">
        <w:rPr>
          <w:rFonts w:ascii="Book Antiqua" w:hAnsi="Book Antiqua"/>
          <w:i/>
          <w:lang w:val="en-US"/>
        </w:rPr>
        <w:t>Nutrients</w:t>
      </w:r>
      <w:r w:rsidRPr="00B7408D">
        <w:rPr>
          <w:rFonts w:ascii="Book Antiqua" w:hAnsi="Book Antiqua"/>
          <w:lang w:val="en-US"/>
        </w:rPr>
        <w:t xml:space="preserve"> 2013; </w:t>
      </w:r>
      <w:r w:rsidRPr="00B7408D">
        <w:rPr>
          <w:rFonts w:ascii="Book Antiqua" w:hAnsi="Book Antiqua"/>
          <w:b/>
          <w:lang w:val="en-US"/>
        </w:rPr>
        <w:t>5</w:t>
      </w:r>
      <w:r w:rsidRPr="00B7408D">
        <w:rPr>
          <w:rFonts w:ascii="Book Antiqua" w:hAnsi="Book Antiqua"/>
          <w:lang w:val="en-US"/>
        </w:rPr>
        <w:t>: 1169-1185 [PMID: 23571649 DOI: 10.3390/nu5041169]</w:t>
      </w:r>
    </w:p>
    <w:p w14:paraId="15E41CF4"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88 </w:t>
      </w:r>
      <w:r w:rsidRPr="00B7408D">
        <w:rPr>
          <w:rFonts w:ascii="Book Antiqua" w:hAnsi="Book Antiqua"/>
          <w:b/>
          <w:lang w:val="en-US"/>
        </w:rPr>
        <w:t>Takeda H</w:t>
      </w:r>
      <w:r w:rsidRPr="00B7408D">
        <w:rPr>
          <w:rFonts w:ascii="Book Antiqua" w:hAnsi="Book Antiqua"/>
          <w:lang w:val="en-US"/>
        </w:rPr>
        <w:t xml:space="preserve">, </w:t>
      </w:r>
      <w:proofErr w:type="spellStart"/>
      <w:r w:rsidRPr="00B7408D">
        <w:rPr>
          <w:rFonts w:ascii="Book Antiqua" w:hAnsi="Book Antiqua"/>
          <w:lang w:val="en-US"/>
        </w:rPr>
        <w:t>Tominari</w:t>
      </w:r>
      <w:proofErr w:type="spellEnd"/>
      <w:r w:rsidRPr="00B7408D">
        <w:rPr>
          <w:rFonts w:ascii="Book Antiqua" w:hAnsi="Book Antiqua"/>
          <w:lang w:val="en-US"/>
        </w:rPr>
        <w:t xml:space="preserve"> T, Hirata M, Watanabe K, Matsumoto C, </w:t>
      </w:r>
      <w:proofErr w:type="spellStart"/>
      <w:r w:rsidRPr="00B7408D">
        <w:rPr>
          <w:rFonts w:ascii="Book Antiqua" w:hAnsi="Book Antiqua"/>
          <w:lang w:val="en-US"/>
        </w:rPr>
        <w:t>Grundler</w:t>
      </w:r>
      <w:proofErr w:type="spellEnd"/>
      <w:r w:rsidRPr="00B7408D">
        <w:rPr>
          <w:rFonts w:ascii="Book Antiqua" w:hAnsi="Book Antiqua"/>
          <w:lang w:val="en-US"/>
        </w:rPr>
        <w:t xml:space="preserve"> FMW, Inada M, </w:t>
      </w:r>
      <w:proofErr w:type="spellStart"/>
      <w:r w:rsidRPr="00B7408D">
        <w:rPr>
          <w:rFonts w:ascii="Book Antiqua" w:hAnsi="Book Antiqua"/>
          <w:lang w:val="en-US"/>
        </w:rPr>
        <w:t>Miyaura</w:t>
      </w:r>
      <w:proofErr w:type="spellEnd"/>
      <w:r w:rsidRPr="00B7408D">
        <w:rPr>
          <w:rFonts w:ascii="Book Antiqua" w:hAnsi="Book Antiqua"/>
          <w:lang w:val="en-US"/>
        </w:rPr>
        <w:t xml:space="preserve"> C. Lutein Enhances Bone Mass by Stimulating Bone Formation and Suppressing Bone Resorption in Growing Mice. </w:t>
      </w:r>
      <w:r w:rsidRPr="00B7408D">
        <w:rPr>
          <w:rFonts w:ascii="Book Antiqua" w:hAnsi="Book Antiqua"/>
          <w:i/>
          <w:lang w:val="en-US"/>
        </w:rPr>
        <w:t>Biol Pharm Bull</w:t>
      </w:r>
      <w:r w:rsidRPr="00B7408D">
        <w:rPr>
          <w:rFonts w:ascii="Book Antiqua" w:hAnsi="Book Antiqua"/>
          <w:lang w:val="en-US"/>
        </w:rPr>
        <w:t xml:space="preserve"> 2017; </w:t>
      </w:r>
      <w:r w:rsidRPr="00B7408D">
        <w:rPr>
          <w:rFonts w:ascii="Book Antiqua" w:hAnsi="Book Antiqua"/>
          <w:b/>
          <w:lang w:val="en-US"/>
        </w:rPr>
        <w:t>40</w:t>
      </w:r>
      <w:r w:rsidRPr="00B7408D">
        <w:rPr>
          <w:rFonts w:ascii="Book Antiqua" w:hAnsi="Book Antiqua"/>
          <w:lang w:val="en-US"/>
        </w:rPr>
        <w:t>: 716-721 [PMID: 28458359 DOI: 10.1248/bpb.b16-00897]</w:t>
      </w:r>
    </w:p>
    <w:p w14:paraId="6B378AF0" w14:textId="583E6F5B"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89 </w:t>
      </w:r>
      <w:r w:rsidRPr="00B7408D">
        <w:rPr>
          <w:rFonts w:ascii="Book Antiqua" w:hAnsi="Book Antiqua"/>
          <w:b/>
          <w:lang w:val="en-US"/>
        </w:rPr>
        <w:t>Lin CY</w:t>
      </w:r>
      <w:r w:rsidRPr="00B7408D">
        <w:rPr>
          <w:rFonts w:ascii="Book Antiqua" w:hAnsi="Book Antiqua"/>
          <w:lang w:val="en-US"/>
        </w:rPr>
        <w:t xml:space="preserve">, Wang WH, Chen SH, Chang YW, Hung LC, Chen CY, Chen YH. Lipopolysaccharide-Induced Nitric Oxide, Prostaglandin E2, and Cytokine Production of Mouse and Human Macrophages Are Suppressed by </w:t>
      </w:r>
      <w:r w:rsidRPr="00B7408D">
        <w:rPr>
          <w:rFonts w:ascii="Book Antiqua" w:hAnsi="Book Antiqua"/>
          <w:lang w:val="en-US"/>
        </w:rPr>
        <w:lastRenderedPageBreak/>
        <w:t xml:space="preserve">Pheophytin-b. </w:t>
      </w:r>
      <w:r w:rsidRPr="00B7408D">
        <w:rPr>
          <w:rFonts w:ascii="Book Antiqua" w:hAnsi="Book Antiqua"/>
          <w:i/>
          <w:lang w:val="en-US"/>
        </w:rPr>
        <w:t>Int J Mol Sci</w:t>
      </w:r>
      <w:r w:rsidRPr="00B7408D">
        <w:rPr>
          <w:rFonts w:ascii="Book Antiqua" w:hAnsi="Book Antiqua"/>
          <w:lang w:val="en-US"/>
        </w:rPr>
        <w:t xml:space="preserve"> 2017; </w:t>
      </w:r>
      <w:r w:rsidRPr="00B7408D">
        <w:rPr>
          <w:rFonts w:ascii="Book Antiqua" w:hAnsi="Book Antiqua"/>
          <w:b/>
          <w:lang w:val="en-US"/>
        </w:rPr>
        <w:t>18</w:t>
      </w:r>
      <w:r w:rsidRPr="00B7408D">
        <w:rPr>
          <w:rFonts w:ascii="Book Antiqua" w:hAnsi="Book Antiqua"/>
          <w:lang w:val="en-US"/>
        </w:rPr>
        <w:t>: [PMID: 29211014 DOI: 10.3390/ijms18122637]</w:t>
      </w:r>
    </w:p>
    <w:p w14:paraId="4CDA1245"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90 </w:t>
      </w:r>
      <w:proofErr w:type="spellStart"/>
      <w:r w:rsidRPr="00B7408D">
        <w:rPr>
          <w:rFonts w:ascii="Book Antiqua" w:hAnsi="Book Antiqua"/>
          <w:b/>
          <w:lang w:val="en-US"/>
        </w:rPr>
        <w:t>Semaan</w:t>
      </w:r>
      <w:proofErr w:type="spellEnd"/>
      <w:r w:rsidRPr="00B7408D">
        <w:rPr>
          <w:rFonts w:ascii="Book Antiqua" w:hAnsi="Book Antiqua"/>
          <w:b/>
          <w:lang w:val="en-US"/>
        </w:rPr>
        <w:t xml:space="preserve"> DG</w:t>
      </w:r>
      <w:r w:rsidRPr="00B7408D">
        <w:rPr>
          <w:rFonts w:ascii="Book Antiqua" w:hAnsi="Book Antiqua"/>
          <w:lang w:val="en-US"/>
        </w:rPr>
        <w:t xml:space="preserve">, </w:t>
      </w:r>
      <w:proofErr w:type="spellStart"/>
      <w:r w:rsidRPr="00B7408D">
        <w:rPr>
          <w:rFonts w:ascii="Book Antiqua" w:hAnsi="Book Antiqua"/>
          <w:lang w:val="en-US"/>
        </w:rPr>
        <w:t>Igoli</w:t>
      </w:r>
      <w:proofErr w:type="spellEnd"/>
      <w:r w:rsidRPr="00B7408D">
        <w:rPr>
          <w:rFonts w:ascii="Book Antiqua" w:hAnsi="Book Antiqua"/>
          <w:lang w:val="en-US"/>
        </w:rPr>
        <w:t xml:space="preserve"> JO, Young L, Gray AI, Rowan EG, Marrero E. In vitro anti-diabetic effect of flavonoids and </w:t>
      </w:r>
      <w:proofErr w:type="spellStart"/>
      <w:r w:rsidRPr="00B7408D">
        <w:rPr>
          <w:rFonts w:ascii="Book Antiqua" w:hAnsi="Book Antiqua"/>
          <w:lang w:val="en-US"/>
        </w:rPr>
        <w:t>pheophytins</w:t>
      </w:r>
      <w:proofErr w:type="spellEnd"/>
      <w:r w:rsidRPr="00B7408D">
        <w:rPr>
          <w:rFonts w:ascii="Book Antiqua" w:hAnsi="Book Antiqua"/>
          <w:lang w:val="en-US"/>
        </w:rPr>
        <w:t xml:space="preserve"> from </w:t>
      </w:r>
      <w:proofErr w:type="spellStart"/>
      <w:r w:rsidRPr="00B7408D">
        <w:rPr>
          <w:rFonts w:ascii="Book Antiqua" w:hAnsi="Book Antiqua"/>
          <w:lang w:val="en-US"/>
        </w:rPr>
        <w:t>Allophylus</w:t>
      </w:r>
      <w:proofErr w:type="spellEnd"/>
      <w:r w:rsidRPr="00B7408D">
        <w:rPr>
          <w:rFonts w:ascii="Book Antiqua" w:hAnsi="Book Antiqua"/>
          <w:lang w:val="en-US"/>
        </w:rPr>
        <w:t xml:space="preserve"> </w:t>
      </w:r>
      <w:proofErr w:type="spellStart"/>
      <w:r w:rsidRPr="00B7408D">
        <w:rPr>
          <w:rFonts w:ascii="Book Antiqua" w:hAnsi="Book Antiqua"/>
          <w:lang w:val="en-US"/>
        </w:rPr>
        <w:t>cominia</w:t>
      </w:r>
      <w:proofErr w:type="spellEnd"/>
      <w:r w:rsidRPr="00B7408D">
        <w:rPr>
          <w:rFonts w:ascii="Book Antiqua" w:hAnsi="Book Antiqua"/>
          <w:lang w:val="en-US"/>
        </w:rPr>
        <w:t xml:space="preserve"> Sw. on the glucose uptake assays by HepG2, L6, 3T3-L1 and fat accumulation in 3T3-L1 adipocytes. </w:t>
      </w:r>
      <w:r w:rsidRPr="00B7408D">
        <w:rPr>
          <w:rFonts w:ascii="Book Antiqua" w:hAnsi="Book Antiqua"/>
          <w:i/>
          <w:lang w:val="en-US"/>
        </w:rPr>
        <w:t xml:space="preserve">J </w:t>
      </w:r>
      <w:proofErr w:type="spellStart"/>
      <w:r w:rsidRPr="00B7408D">
        <w:rPr>
          <w:rFonts w:ascii="Book Antiqua" w:hAnsi="Book Antiqua"/>
          <w:i/>
          <w:lang w:val="en-US"/>
        </w:rPr>
        <w:t>Ethnopharmacol</w:t>
      </w:r>
      <w:proofErr w:type="spellEnd"/>
      <w:r w:rsidRPr="00B7408D">
        <w:rPr>
          <w:rFonts w:ascii="Book Antiqua" w:hAnsi="Book Antiqua"/>
          <w:lang w:val="en-US"/>
        </w:rPr>
        <w:t xml:space="preserve"> 2018; </w:t>
      </w:r>
      <w:r w:rsidRPr="00B7408D">
        <w:rPr>
          <w:rFonts w:ascii="Book Antiqua" w:hAnsi="Book Antiqua"/>
          <w:b/>
          <w:lang w:val="en-US"/>
        </w:rPr>
        <w:t>216</w:t>
      </w:r>
      <w:r w:rsidRPr="00B7408D">
        <w:rPr>
          <w:rFonts w:ascii="Book Antiqua" w:hAnsi="Book Antiqua"/>
          <w:lang w:val="en-US"/>
        </w:rPr>
        <w:t>: 8-17 [PMID: 29339110 DOI: 10.1016/j.jep.2018.01.014]</w:t>
      </w:r>
    </w:p>
    <w:p w14:paraId="64FBCF49"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91 </w:t>
      </w:r>
      <w:proofErr w:type="spellStart"/>
      <w:r w:rsidRPr="00B7408D">
        <w:rPr>
          <w:rFonts w:ascii="Book Antiqua" w:hAnsi="Book Antiqua"/>
          <w:b/>
          <w:lang w:val="en-US"/>
        </w:rPr>
        <w:t>Kalogeropoulos</w:t>
      </w:r>
      <w:proofErr w:type="spellEnd"/>
      <w:r w:rsidRPr="00B7408D">
        <w:rPr>
          <w:rFonts w:ascii="Book Antiqua" w:hAnsi="Book Antiqua"/>
          <w:b/>
          <w:lang w:val="en-US"/>
        </w:rPr>
        <w:t xml:space="preserve"> N</w:t>
      </w:r>
      <w:r w:rsidRPr="00B7408D">
        <w:rPr>
          <w:rFonts w:ascii="Book Antiqua" w:hAnsi="Book Antiqua"/>
          <w:lang w:val="en-US"/>
        </w:rPr>
        <w:t xml:space="preserve">, </w:t>
      </w:r>
      <w:proofErr w:type="spellStart"/>
      <w:r w:rsidRPr="00B7408D">
        <w:rPr>
          <w:rFonts w:ascii="Book Antiqua" w:hAnsi="Book Antiqua"/>
          <w:lang w:val="en-US"/>
        </w:rPr>
        <w:t>Tsimidou</w:t>
      </w:r>
      <w:proofErr w:type="spellEnd"/>
      <w:r w:rsidRPr="00B7408D">
        <w:rPr>
          <w:rFonts w:ascii="Book Antiqua" w:hAnsi="Book Antiqua"/>
          <w:lang w:val="en-US"/>
        </w:rPr>
        <w:t xml:space="preserve"> MZ. Antioxidants in Greek Virgin Olive Oils. </w:t>
      </w:r>
      <w:r w:rsidRPr="00B7408D">
        <w:rPr>
          <w:rFonts w:ascii="Book Antiqua" w:hAnsi="Book Antiqua"/>
          <w:i/>
          <w:lang w:val="en-US"/>
        </w:rPr>
        <w:t>Antioxidants (Basel)</w:t>
      </w:r>
      <w:r w:rsidRPr="00B7408D">
        <w:rPr>
          <w:rFonts w:ascii="Book Antiqua" w:hAnsi="Book Antiqua"/>
          <w:lang w:val="en-US"/>
        </w:rPr>
        <w:t xml:space="preserve"> 2014; </w:t>
      </w:r>
      <w:r w:rsidRPr="00B7408D">
        <w:rPr>
          <w:rFonts w:ascii="Book Antiqua" w:hAnsi="Book Antiqua"/>
          <w:b/>
          <w:lang w:val="en-US"/>
        </w:rPr>
        <w:t>3</w:t>
      </w:r>
      <w:r w:rsidRPr="00B7408D">
        <w:rPr>
          <w:rFonts w:ascii="Book Antiqua" w:hAnsi="Book Antiqua"/>
          <w:lang w:val="en-US"/>
        </w:rPr>
        <w:t>: 387-413 [PMID: 26784878 DOI: 10.3390/antiox3020387]</w:t>
      </w:r>
    </w:p>
    <w:p w14:paraId="2B4C04C7" w14:textId="2F61DBEA"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92 </w:t>
      </w:r>
      <w:proofErr w:type="spellStart"/>
      <w:r w:rsidRPr="00B7408D">
        <w:rPr>
          <w:rFonts w:ascii="Book Antiqua" w:hAnsi="Book Antiqua"/>
          <w:b/>
          <w:lang w:val="en-US"/>
        </w:rPr>
        <w:t>Fanali</w:t>
      </w:r>
      <w:proofErr w:type="spellEnd"/>
      <w:r w:rsidRPr="00B7408D">
        <w:rPr>
          <w:rFonts w:ascii="Book Antiqua" w:hAnsi="Book Antiqua"/>
          <w:b/>
          <w:lang w:val="en-US"/>
        </w:rPr>
        <w:t xml:space="preserve"> C</w:t>
      </w:r>
      <w:r w:rsidRPr="00B7408D">
        <w:rPr>
          <w:rFonts w:ascii="Book Antiqua" w:hAnsi="Book Antiqua"/>
          <w:lang w:val="en-US"/>
        </w:rPr>
        <w:t xml:space="preserve">, Della Posta S, </w:t>
      </w:r>
      <w:proofErr w:type="spellStart"/>
      <w:r w:rsidRPr="00B7408D">
        <w:rPr>
          <w:rFonts w:ascii="Book Antiqua" w:hAnsi="Book Antiqua"/>
          <w:lang w:val="en-US"/>
        </w:rPr>
        <w:t>Vilmercati</w:t>
      </w:r>
      <w:proofErr w:type="spellEnd"/>
      <w:r w:rsidRPr="00B7408D">
        <w:rPr>
          <w:rFonts w:ascii="Book Antiqua" w:hAnsi="Book Antiqua"/>
          <w:lang w:val="en-US"/>
        </w:rPr>
        <w:t xml:space="preserve"> A, </w:t>
      </w:r>
      <w:proofErr w:type="spellStart"/>
      <w:r w:rsidRPr="00B7408D">
        <w:rPr>
          <w:rFonts w:ascii="Book Antiqua" w:hAnsi="Book Antiqua"/>
          <w:lang w:val="en-US"/>
        </w:rPr>
        <w:t>Dugo</w:t>
      </w:r>
      <w:proofErr w:type="spellEnd"/>
      <w:r w:rsidRPr="00B7408D">
        <w:rPr>
          <w:rFonts w:ascii="Book Antiqua" w:hAnsi="Book Antiqua"/>
          <w:lang w:val="en-US"/>
        </w:rPr>
        <w:t xml:space="preserve"> L, Russo M, </w:t>
      </w:r>
      <w:proofErr w:type="spellStart"/>
      <w:r w:rsidRPr="00B7408D">
        <w:rPr>
          <w:rFonts w:ascii="Book Antiqua" w:hAnsi="Book Antiqua"/>
          <w:lang w:val="en-US"/>
        </w:rPr>
        <w:t>Petitti</w:t>
      </w:r>
      <w:proofErr w:type="spellEnd"/>
      <w:r w:rsidRPr="00B7408D">
        <w:rPr>
          <w:rFonts w:ascii="Book Antiqua" w:hAnsi="Book Antiqua"/>
          <w:lang w:val="en-US"/>
        </w:rPr>
        <w:t xml:space="preserve"> T, </w:t>
      </w:r>
      <w:proofErr w:type="spellStart"/>
      <w:r w:rsidRPr="00B7408D">
        <w:rPr>
          <w:rFonts w:ascii="Book Antiqua" w:hAnsi="Book Antiqua"/>
          <w:lang w:val="en-US"/>
        </w:rPr>
        <w:t>Mondello</w:t>
      </w:r>
      <w:proofErr w:type="spellEnd"/>
      <w:r w:rsidRPr="00B7408D">
        <w:rPr>
          <w:rFonts w:ascii="Book Antiqua" w:hAnsi="Book Antiqua"/>
          <w:lang w:val="en-US"/>
        </w:rPr>
        <w:t xml:space="preserve"> L, de </w:t>
      </w:r>
      <w:proofErr w:type="spellStart"/>
      <w:r w:rsidRPr="00B7408D">
        <w:rPr>
          <w:rFonts w:ascii="Book Antiqua" w:hAnsi="Book Antiqua"/>
          <w:lang w:val="en-US"/>
        </w:rPr>
        <w:t>Gara</w:t>
      </w:r>
      <w:proofErr w:type="spellEnd"/>
      <w:r w:rsidRPr="00B7408D">
        <w:rPr>
          <w:rFonts w:ascii="Book Antiqua" w:hAnsi="Book Antiqua"/>
          <w:lang w:val="en-US"/>
        </w:rPr>
        <w:t xml:space="preserve"> L. Extraction, Analysis, and Antioxidant Activity Evaluation of Phenolic Compounds in Different Italian Extra-Virgin Olive Oils. </w:t>
      </w:r>
      <w:r w:rsidRPr="00B7408D">
        <w:rPr>
          <w:rFonts w:ascii="Book Antiqua" w:hAnsi="Book Antiqua"/>
          <w:i/>
          <w:lang w:val="en-US"/>
        </w:rPr>
        <w:t>Molecules</w:t>
      </w:r>
      <w:r w:rsidRPr="00B7408D">
        <w:rPr>
          <w:rFonts w:ascii="Book Antiqua" w:hAnsi="Book Antiqua"/>
          <w:lang w:val="en-US"/>
        </w:rPr>
        <w:t xml:space="preserve"> 2018; </w:t>
      </w:r>
      <w:r w:rsidRPr="00B7408D">
        <w:rPr>
          <w:rFonts w:ascii="Book Antiqua" w:hAnsi="Book Antiqua"/>
          <w:b/>
          <w:lang w:val="en-US"/>
        </w:rPr>
        <w:t>23</w:t>
      </w:r>
      <w:r w:rsidRPr="00B7408D">
        <w:rPr>
          <w:rFonts w:ascii="Book Antiqua" w:hAnsi="Book Antiqua"/>
          <w:lang w:val="en-US"/>
        </w:rPr>
        <w:t>: [PMID: 30544789 DOI: 10.3390/molecules23123249]</w:t>
      </w:r>
    </w:p>
    <w:p w14:paraId="1E60174B"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93 </w:t>
      </w:r>
      <w:proofErr w:type="spellStart"/>
      <w:r w:rsidRPr="00B7408D">
        <w:rPr>
          <w:rFonts w:ascii="Book Antiqua" w:hAnsi="Book Antiqua"/>
          <w:b/>
          <w:lang w:val="en-US"/>
        </w:rPr>
        <w:t>Presti</w:t>
      </w:r>
      <w:proofErr w:type="spellEnd"/>
      <w:r w:rsidRPr="00B7408D">
        <w:rPr>
          <w:rFonts w:ascii="Book Antiqua" w:hAnsi="Book Antiqua"/>
          <w:b/>
          <w:lang w:val="en-US"/>
        </w:rPr>
        <w:t xml:space="preserve"> G</w:t>
      </w:r>
      <w:r w:rsidRPr="00B7408D">
        <w:rPr>
          <w:rFonts w:ascii="Book Antiqua" w:hAnsi="Book Antiqua"/>
          <w:lang w:val="en-US"/>
        </w:rPr>
        <w:t xml:space="preserve">, </w:t>
      </w:r>
      <w:proofErr w:type="spellStart"/>
      <w:r w:rsidRPr="00B7408D">
        <w:rPr>
          <w:rFonts w:ascii="Book Antiqua" w:hAnsi="Book Antiqua"/>
          <w:lang w:val="en-US"/>
        </w:rPr>
        <w:t>Guarrasi</w:t>
      </w:r>
      <w:proofErr w:type="spellEnd"/>
      <w:r w:rsidRPr="00B7408D">
        <w:rPr>
          <w:rFonts w:ascii="Book Antiqua" w:hAnsi="Book Antiqua"/>
          <w:lang w:val="en-US"/>
        </w:rPr>
        <w:t xml:space="preserve"> V, </w:t>
      </w:r>
      <w:proofErr w:type="spellStart"/>
      <w:r w:rsidRPr="00B7408D">
        <w:rPr>
          <w:rFonts w:ascii="Book Antiqua" w:hAnsi="Book Antiqua"/>
          <w:lang w:val="en-US"/>
        </w:rPr>
        <w:t>Gulotta</w:t>
      </w:r>
      <w:proofErr w:type="spellEnd"/>
      <w:r w:rsidRPr="00B7408D">
        <w:rPr>
          <w:rFonts w:ascii="Book Antiqua" w:hAnsi="Book Antiqua"/>
          <w:lang w:val="en-US"/>
        </w:rPr>
        <w:t xml:space="preserve"> E, </w:t>
      </w:r>
      <w:proofErr w:type="spellStart"/>
      <w:r w:rsidRPr="00B7408D">
        <w:rPr>
          <w:rFonts w:ascii="Book Antiqua" w:hAnsi="Book Antiqua"/>
          <w:lang w:val="en-US"/>
        </w:rPr>
        <w:t>Provenzano</w:t>
      </w:r>
      <w:proofErr w:type="spellEnd"/>
      <w:r w:rsidRPr="00B7408D">
        <w:rPr>
          <w:rFonts w:ascii="Book Antiqua" w:hAnsi="Book Antiqua"/>
          <w:lang w:val="en-US"/>
        </w:rPr>
        <w:t xml:space="preserve"> F, Provenzano A, Giuliano S, </w:t>
      </w:r>
      <w:proofErr w:type="spellStart"/>
      <w:r w:rsidRPr="00B7408D">
        <w:rPr>
          <w:rFonts w:ascii="Book Antiqua" w:hAnsi="Book Antiqua"/>
          <w:lang w:val="en-US"/>
        </w:rPr>
        <w:t>Monfreda</w:t>
      </w:r>
      <w:proofErr w:type="spellEnd"/>
      <w:r w:rsidRPr="00B7408D">
        <w:rPr>
          <w:rFonts w:ascii="Book Antiqua" w:hAnsi="Book Antiqua"/>
          <w:lang w:val="en-US"/>
        </w:rPr>
        <w:t xml:space="preserve"> M, </w:t>
      </w:r>
      <w:proofErr w:type="spellStart"/>
      <w:r w:rsidRPr="00B7408D">
        <w:rPr>
          <w:rFonts w:ascii="Book Antiqua" w:hAnsi="Book Antiqua"/>
          <w:lang w:val="en-US"/>
        </w:rPr>
        <w:t>Mangione</w:t>
      </w:r>
      <w:proofErr w:type="spellEnd"/>
      <w:r w:rsidRPr="00B7408D">
        <w:rPr>
          <w:rFonts w:ascii="Book Antiqua" w:hAnsi="Book Antiqua"/>
          <w:lang w:val="en-US"/>
        </w:rPr>
        <w:t xml:space="preserve"> MR, </w:t>
      </w:r>
      <w:proofErr w:type="spellStart"/>
      <w:r w:rsidRPr="00B7408D">
        <w:rPr>
          <w:rFonts w:ascii="Book Antiqua" w:hAnsi="Book Antiqua"/>
          <w:lang w:val="en-US"/>
        </w:rPr>
        <w:t>Passantino</w:t>
      </w:r>
      <w:proofErr w:type="spellEnd"/>
      <w:r w:rsidRPr="00B7408D">
        <w:rPr>
          <w:rFonts w:ascii="Book Antiqua" w:hAnsi="Book Antiqua"/>
          <w:lang w:val="en-US"/>
        </w:rPr>
        <w:t xml:space="preserve"> R, San </w:t>
      </w:r>
      <w:proofErr w:type="spellStart"/>
      <w:r w:rsidRPr="00B7408D">
        <w:rPr>
          <w:rFonts w:ascii="Book Antiqua" w:hAnsi="Book Antiqua"/>
          <w:lang w:val="en-US"/>
        </w:rPr>
        <w:t>Biagio</w:t>
      </w:r>
      <w:proofErr w:type="spellEnd"/>
      <w:r w:rsidRPr="00B7408D">
        <w:rPr>
          <w:rFonts w:ascii="Book Antiqua" w:hAnsi="Book Antiqua"/>
          <w:lang w:val="en-US"/>
        </w:rPr>
        <w:t xml:space="preserve"> PL, Costa MA, </w:t>
      </w:r>
      <w:proofErr w:type="spellStart"/>
      <w:r w:rsidRPr="00B7408D">
        <w:rPr>
          <w:rFonts w:ascii="Book Antiqua" w:hAnsi="Book Antiqua"/>
          <w:lang w:val="en-US"/>
        </w:rPr>
        <w:t>Giacomazza</w:t>
      </w:r>
      <w:proofErr w:type="spellEnd"/>
      <w:r w:rsidRPr="00B7408D">
        <w:rPr>
          <w:rFonts w:ascii="Book Antiqua" w:hAnsi="Book Antiqua"/>
          <w:lang w:val="en-US"/>
        </w:rPr>
        <w:t xml:space="preserve"> D. Bioactive compounds from extra virgin olive oils: Correlation between phenolic content and oxidative stress cell protection. </w:t>
      </w:r>
      <w:proofErr w:type="spellStart"/>
      <w:r w:rsidRPr="00B7408D">
        <w:rPr>
          <w:rFonts w:ascii="Book Antiqua" w:hAnsi="Book Antiqua"/>
          <w:i/>
          <w:lang w:val="en-US"/>
        </w:rPr>
        <w:t>Biophys</w:t>
      </w:r>
      <w:proofErr w:type="spellEnd"/>
      <w:r w:rsidRPr="00B7408D">
        <w:rPr>
          <w:rFonts w:ascii="Book Antiqua" w:hAnsi="Book Antiqua"/>
          <w:i/>
          <w:lang w:val="en-US"/>
        </w:rPr>
        <w:t xml:space="preserve"> </w:t>
      </w:r>
      <w:proofErr w:type="spellStart"/>
      <w:r w:rsidRPr="00B7408D">
        <w:rPr>
          <w:rFonts w:ascii="Book Antiqua" w:hAnsi="Book Antiqua"/>
          <w:i/>
          <w:lang w:val="en-US"/>
        </w:rPr>
        <w:t>Chem</w:t>
      </w:r>
      <w:proofErr w:type="spellEnd"/>
      <w:r w:rsidRPr="00B7408D">
        <w:rPr>
          <w:rFonts w:ascii="Book Antiqua" w:hAnsi="Book Antiqua"/>
          <w:lang w:val="en-US"/>
        </w:rPr>
        <w:t xml:space="preserve"> 2017; </w:t>
      </w:r>
      <w:r w:rsidRPr="00B7408D">
        <w:rPr>
          <w:rFonts w:ascii="Book Antiqua" w:hAnsi="Book Antiqua"/>
          <w:b/>
          <w:lang w:val="en-US"/>
        </w:rPr>
        <w:t>230</w:t>
      </w:r>
      <w:r w:rsidRPr="00B7408D">
        <w:rPr>
          <w:rFonts w:ascii="Book Antiqua" w:hAnsi="Book Antiqua"/>
          <w:lang w:val="en-US"/>
        </w:rPr>
        <w:t>: 109-116 [PMID: 28965785 DOI: 10.1016/j.bpc.2017.09.002]</w:t>
      </w:r>
    </w:p>
    <w:p w14:paraId="676A5948"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94 </w:t>
      </w:r>
      <w:r w:rsidRPr="00B7408D">
        <w:rPr>
          <w:rFonts w:ascii="Book Antiqua" w:hAnsi="Book Antiqua"/>
          <w:b/>
          <w:lang w:val="en-US"/>
        </w:rPr>
        <w:t>Omar SH</w:t>
      </w:r>
      <w:r w:rsidRPr="00B7408D">
        <w:rPr>
          <w:rFonts w:ascii="Book Antiqua" w:hAnsi="Book Antiqua"/>
          <w:lang w:val="en-US"/>
        </w:rPr>
        <w:t xml:space="preserve">. Oleuropein in olive and its pharmacological effects. </w:t>
      </w:r>
      <w:r w:rsidRPr="00B7408D">
        <w:rPr>
          <w:rFonts w:ascii="Book Antiqua" w:hAnsi="Book Antiqua"/>
          <w:i/>
          <w:lang w:val="en-US"/>
        </w:rPr>
        <w:t>Sci Pharm</w:t>
      </w:r>
      <w:r w:rsidRPr="00B7408D">
        <w:rPr>
          <w:rFonts w:ascii="Book Antiqua" w:hAnsi="Book Antiqua"/>
          <w:lang w:val="en-US"/>
        </w:rPr>
        <w:t xml:space="preserve"> 2010; </w:t>
      </w:r>
      <w:r w:rsidRPr="00B7408D">
        <w:rPr>
          <w:rFonts w:ascii="Book Antiqua" w:hAnsi="Book Antiqua"/>
          <w:b/>
          <w:lang w:val="en-US"/>
        </w:rPr>
        <w:t>78</w:t>
      </w:r>
      <w:r w:rsidRPr="00B7408D">
        <w:rPr>
          <w:rFonts w:ascii="Book Antiqua" w:hAnsi="Book Antiqua"/>
          <w:lang w:val="en-US"/>
        </w:rPr>
        <w:t>: 133-154 [PMID: 21179340 DOI: 10.3797/scipharm.0912-18]</w:t>
      </w:r>
    </w:p>
    <w:p w14:paraId="75F01278"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95 </w:t>
      </w:r>
      <w:r w:rsidRPr="00B7408D">
        <w:rPr>
          <w:rFonts w:ascii="Book Antiqua" w:hAnsi="Book Antiqua"/>
          <w:b/>
          <w:lang w:val="en-US"/>
        </w:rPr>
        <w:t>Ji ST</w:t>
      </w:r>
      <w:r w:rsidRPr="00B7408D">
        <w:rPr>
          <w:rFonts w:ascii="Book Antiqua" w:hAnsi="Book Antiqua"/>
          <w:lang w:val="en-US"/>
        </w:rPr>
        <w:t xml:space="preserve">, Kim YJ, Jung SY, Kim DY, Kang S, Park JH, Jang WB, Ha J, Yun J, Kwon SM. Oleuropein attenuates hydrogen peroxide-induced autophagic cell death in human adipose-derived stem cells. </w:t>
      </w:r>
      <w:proofErr w:type="spellStart"/>
      <w:r w:rsidRPr="00B7408D">
        <w:rPr>
          <w:rFonts w:ascii="Book Antiqua" w:hAnsi="Book Antiqua"/>
          <w:i/>
          <w:lang w:val="en-US"/>
        </w:rPr>
        <w:t>Biochem</w:t>
      </w:r>
      <w:proofErr w:type="spellEnd"/>
      <w:r w:rsidRPr="00B7408D">
        <w:rPr>
          <w:rFonts w:ascii="Book Antiqua" w:hAnsi="Book Antiqua"/>
          <w:i/>
          <w:lang w:val="en-US"/>
        </w:rPr>
        <w:t xml:space="preserve"> </w:t>
      </w:r>
      <w:proofErr w:type="spellStart"/>
      <w:r w:rsidRPr="00B7408D">
        <w:rPr>
          <w:rFonts w:ascii="Book Antiqua" w:hAnsi="Book Antiqua"/>
          <w:i/>
          <w:lang w:val="en-US"/>
        </w:rPr>
        <w:t>Biophys</w:t>
      </w:r>
      <w:proofErr w:type="spellEnd"/>
      <w:r w:rsidRPr="00B7408D">
        <w:rPr>
          <w:rFonts w:ascii="Book Antiqua" w:hAnsi="Book Antiqua"/>
          <w:i/>
          <w:lang w:val="en-US"/>
        </w:rPr>
        <w:t xml:space="preserve"> Res </w:t>
      </w:r>
      <w:proofErr w:type="spellStart"/>
      <w:r w:rsidRPr="00B7408D">
        <w:rPr>
          <w:rFonts w:ascii="Book Antiqua" w:hAnsi="Book Antiqua"/>
          <w:i/>
          <w:lang w:val="en-US"/>
        </w:rPr>
        <w:t>Commun</w:t>
      </w:r>
      <w:proofErr w:type="spellEnd"/>
      <w:r w:rsidRPr="00B7408D">
        <w:rPr>
          <w:rFonts w:ascii="Book Antiqua" w:hAnsi="Book Antiqua"/>
          <w:lang w:val="en-US"/>
        </w:rPr>
        <w:t xml:space="preserve"> 2018; </w:t>
      </w:r>
      <w:r w:rsidRPr="00B7408D">
        <w:rPr>
          <w:rFonts w:ascii="Book Antiqua" w:hAnsi="Book Antiqua"/>
          <w:b/>
          <w:lang w:val="en-US"/>
        </w:rPr>
        <w:t>499</w:t>
      </w:r>
      <w:r w:rsidRPr="00B7408D">
        <w:rPr>
          <w:rFonts w:ascii="Book Antiqua" w:hAnsi="Book Antiqua"/>
          <w:lang w:val="en-US"/>
        </w:rPr>
        <w:t>: 675-680 [PMID: 29604275 DOI: 10.1016/j.bbrc.2018.03.211]</w:t>
      </w:r>
    </w:p>
    <w:p w14:paraId="16017457"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96 </w:t>
      </w:r>
      <w:r w:rsidRPr="00B7408D">
        <w:rPr>
          <w:rFonts w:ascii="Book Antiqua" w:hAnsi="Book Antiqua"/>
          <w:b/>
          <w:lang w:val="en-US"/>
        </w:rPr>
        <w:t>Santiago-Mora R</w:t>
      </w:r>
      <w:r w:rsidRPr="00B7408D">
        <w:rPr>
          <w:rFonts w:ascii="Book Antiqua" w:hAnsi="Book Antiqua"/>
          <w:lang w:val="en-US"/>
        </w:rPr>
        <w:t xml:space="preserve">, Casado-Díaz A, De Castro MD, Quesada-Gómez JM. </w:t>
      </w:r>
      <w:proofErr w:type="spellStart"/>
      <w:r w:rsidRPr="00B7408D">
        <w:rPr>
          <w:rFonts w:ascii="Book Antiqua" w:hAnsi="Book Antiqua"/>
          <w:lang w:val="en-US"/>
        </w:rPr>
        <w:t>Oleuropein</w:t>
      </w:r>
      <w:proofErr w:type="spellEnd"/>
      <w:r w:rsidRPr="00B7408D">
        <w:rPr>
          <w:rFonts w:ascii="Book Antiqua" w:hAnsi="Book Antiqua"/>
          <w:lang w:val="en-US"/>
        </w:rPr>
        <w:t xml:space="preserve"> enhances </w:t>
      </w:r>
      <w:proofErr w:type="spellStart"/>
      <w:r w:rsidRPr="00B7408D">
        <w:rPr>
          <w:rFonts w:ascii="Book Antiqua" w:hAnsi="Book Antiqua"/>
          <w:lang w:val="en-US"/>
        </w:rPr>
        <w:t>osteoblastogenesis</w:t>
      </w:r>
      <w:proofErr w:type="spellEnd"/>
      <w:r w:rsidRPr="00B7408D">
        <w:rPr>
          <w:rFonts w:ascii="Book Antiqua" w:hAnsi="Book Antiqua"/>
          <w:lang w:val="en-US"/>
        </w:rPr>
        <w:t xml:space="preserve"> and inhibits </w:t>
      </w:r>
      <w:proofErr w:type="spellStart"/>
      <w:r w:rsidRPr="00B7408D">
        <w:rPr>
          <w:rFonts w:ascii="Book Antiqua" w:hAnsi="Book Antiqua"/>
          <w:lang w:val="en-US"/>
        </w:rPr>
        <w:t>adipogenesis</w:t>
      </w:r>
      <w:proofErr w:type="spellEnd"/>
      <w:r w:rsidRPr="00B7408D">
        <w:rPr>
          <w:rFonts w:ascii="Book Antiqua" w:hAnsi="Book Antiqua"/>
          <w:lang w:val="en-US"/>
        </w:rPr>
        <w:t xml:space="preserve">: the effect on differentiation in stem cells derived from bone marrow. </w:t>
      </w:r>
      <w:proofErr w:type="spellStart"/>
      <w:r w:rsidRPr="00B7408D">
        <w:rPr>
          <w:rFonts w:ascii="Book Antiqua" w:hAnsi="Book Antiqua"/>
          <w:i/>
          <w:lang w:val="en-US"/>
        </w:rPr>
        <w:t>Osteoporos</w:t>
      </w:r>
      <w:proofErr w:type="spellEnd"/>
      <w:r w:rsidRPr="00B7408D">
        <w:rPr>
          <w:rFonts w:ascii="Book Antiqua" w:hAnsi="Book Antiqua"/>
          <w:i/>
          <w:lang w:val="en-US"/>
        </w:rPr>
        <w:t xml:space="preserve"> </w:t>
      </w:r>
      <w:proofErr w:type="spellStart"/>
      <w:r w:rsidRPr="00B7408D">
        <w:rPr>
          <w:rFonts w:ascii="Book Antiqua" w:hAnsi="Book Antiqua"/>
          <w:i/>
          <w:lang w:val="en-US"/>
        </w:rPr>
        <w:t>Int</w:t>
      </w:r>
      <w:proofErr w:type="spellEnd"/>
      <w:r w:rsidRPr="00B7408D">
        <w:rPr>
          <w:rFonts w:ascii="Book Antiqua" w:hAnsi="Book Antiqua"/>
          <w:lang w:val="en-US"/>
        </w:rPr>
        <w:t xml:space="preserve"> 2011; </w:t>
      </w:r>
      <w:r w:rsidRPr="00B7408D">
        <w:rPr>
          <w:rFonts w:ascii="Book Antiqua" w:hAnsi="Book Antiqua"/>
          <w:b/>
          <w:lang w:val="en-US"/>
        </w:rPr>
        <w:t>22</w:t>
      </w:r>
      <w:r w:rsidRPr="00B7408D">
        <w:rPr>
          <w:rFonts w:ascii="Book Antiqua" w:hAnsi="Book Antiqua"/>
          <w:lang w:val="en-US"/>
        </w:rPr>
        <w:t>: 675-684 [PMID: 20495905 DOI: 10.1007/s00198-010-1270-x]</w:t>
      </w:r>
    </w:p>
    <w:p w14:paraId="50D8F310"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97 </w:t>
      </w:r>
      <w:proofErr w:type="spellStart"/>
      <w:r w:rsidRPr="00B7408D">
        <w:rPr>
          <w:rFonts w:ascii="Book Antiqua" w:hAnsi="Book Antiqua"/>
          <w:b/>
          <w:lang w:val="en-US"/>
        </w:rPr>
        <w:t>Casado-Díaz</w:t>
      </w:r>
      <w:proofErr w:type="spellEnd"/>
      <w:r w:rsidRPr="00B7408D">
        <w:rPr>
          <w:rFonts w:ascii="Book Antiqua" w:hAnsi="Book Antiqua"/>
          <w:b/>
          <w:lang w:val="en-US"/>
        </w:rPr>
        <w:t xml:space="preserve"> A</w:t>
      </w:r>
      <w:r w:rsidRPr="00B7408D">
        <w:rPr>
          <w:rFonts w:ascii="Book Antiqua" w:hAnsi="Book Antiqua"/>
          <w:lang w:val="en-US"/>
        </w:rPr>
        <w:t xml:space="preserve">, </w:t>
      </w:r>
      <w:proofErr w:type="spellStart"/>
      <w:r w:rsidRPr="00B7408D">
        <w:rPr>
          <w:rFonts w:ascii="Book Antiqua" w:hAnsi="Book Antiqua"/>
          <w:lang w:val="en-US"/>
        </w:rPr>
        <w:t>Anter</w:t>
      </w:r>
      <w:proofErr w:type="spellEnd"/>
      <w:r w:rsidRPr="00B7408D">
        <w:rPr>
          <w:rFonts w:ascii="Book Antiqua" w:hAnsi="Book Antiqua"/>
          <w:lang w:val="en-US"/>
        </w:rPr>
        <w:t xml:space="preserve"> J, Müller S, Winter P, Quesada-Gómez JM, Dorado G. Transcriptomic analyses of the anti-</w:t>
      </w:r>
      <w:proofErr w:type="spellStart"/>
      <w:r w:rsidRPr="00B7408D">
        <w:rPr>
          <w:rFonts w:ascii="Book Antiqua" w:hAnsi="Book Antiqua"/>
          <w:lang w:val="en-US"/>
        </w:rPr>
        <w:t>adipogenic</w:t>
      </w:r>
      <w:proofErr w:type="spellEnd"/>
      <w:r w:rsidRPr="00B7408D">
        <w:rPr>
          <w:rFonts w:ascii="Book Antiqua" w:hAnsi="Book Antiqua"/>
          <w:lang w:val="en-US"/>
        </w:rPr>
        <w:t xml:space="preserve"> effects of </w:t>
      </w:r>
      <w:proofErr w:type="spellStart"/>
      <w:r w:rsidRPr="00B7408D">
        <w:rPr>
          <w:rFonts w:ascii="Book Antiqua" w:hAnsi="Book Antiqua"/>
          <w:lang w:val="en-US"/>
        </w:rPr>
        <w:t>oleuropein</w:t>
      </w:r>
      <w:proofErr w:type="spellEnd"/>
      <w:r w:rsidRPr="00B7408D">
        <w:rPr>
          <w:rFonts w:ascii="Book Antiqua" w:hAnsi="Book Antiqua"/>
          <w:lang w:val="en-US"/>
        </w:rPr>
        <w:t xml:space="preserve"> in human </w:t>
      </w:r>
      <w:r w:rsidRPr="00B7408D">
        <w:rPr>
          <w:rFonts w:ascii="Book Antiqua" w:hAnsi="Book Antiqua"/>
          <w:lang w:val="en-US"/>
        </w:rPr>
        <w:lastRenderedPageBreak/>
        <w:t xml:space="preserve">mesenchymal stem cells. </w:t>
      </w:r>
      <w:r w:rsidRPr="00B7408D">
        <w:rPr>
          <w:rFonts w:ascii="Book Antiqua" w:hAnsi="Book Antiqua"/>
          <w:i/>
          <w:lang w:val="en-US"/>
        </w:rPr>
        <w:t xml:space="preserve">Food </w:t>
      </w:r>
      <w:proofErr w:type="spellStart"/>
      <w:r w:rsidRPr="00B7408D">
        <w:rPr>
          <w:rFonts w:ascii="Book Antiqua" w:hAnsi="Book Antiqua"/>
          <w:i/>
          <w:lang w:val="en-US"/>
        </w:rPr>
        <w:t>Funct</w:t>
      </w:r>
      <w:proofErr w:type="spellEnd"/>
      <w:r w:rsidRPr="00B7408D">
        <w:rPr>
          <w:rFonts w:ascii="Book Antiqua" w:hAnsi="Book Antiqua"/>
          <w:lang w:val="en-US"/>
        </w:rPr>
        <w:t xml:space="preserve"> 2017; </w:t>
      </w:r>
      <w:r w:rsidRPr="00B7408D">
        <w:rPr>
          <w:rFonts w:ascii="Book Antiqua" w:hAnsi="Book Antiqua"/>
          <w:b/>
          <w:lang w:val="en-US"/>
        </w:rPr>
        <w:t>8</w:t>
      </w:r>
      <w:r w:rsidRPr="00B7408D">
        <w:rPr>
          <w:rFonts w:ascii="Book Antiqua" w:hAnsi="Book Antiqua"/>
          <w:lang w:val="en-US"/>
        </w:rPr>
        <w:t>: 1254-1270 [PMID: 28243663 DOI: 10.1039/c7fo00045f]</w:t>
      </w:r>
    </w:p>
    <w:p w14:paraId="2DF19544"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98 </w:t>
      </w:r>
      <w:r w:rsidRPr="00B7408D">
        <w:rPr>
          <w:rFonts w:ascii="Book Antiqua" w:hAnsi="Book Antiqua"/>
          <w:b/>
          <w:lang w:val="en-US"/>
        </w:rPr>
        <w:t>Hagiwara K</w:t>
      </w:r>
      <w:r w:rsidRPr="00B7408D">
        <w:rPr>
          <w:rFonts w:ascii="Book Antiqua" w:hAnsi="Book Antiqua"/>
          <w:lang w:val="en-US"/>
        </w:rPr>
        <w:t xml:space="preserve">, </w:t>
      </w:r>
      <w:proofErr w:type="spellStart"/>
      <w:r w:rsidRPr="00B7408D">
        <w:rPr>
          <w:rFonts w:ascii="Book Antiqua" w:hAnsi="Book Antiqua"/>
          <w:lang w:val="en-US"/>
        </w:rPr>
        <w:t>Goto</w:t>
      </w:r>
      <w:proofErr w:type="spellEnd"/>
      <w:r w:rsidRPr="00B7408D">
        <w:rPr>
          <w:rFonts w:ascii="Book Antiqua" w:hAnsi="Book Antiqua"/>
          <w:lang w:val="en-US"/>
        </w:rPr>
        <w:t xml:space="preserve"> T, Araki M, Miyazaki H, Hagiwara H. Olive polyphenol </w:t>
      </w:r>
      <w:proofErr w:type="spellStart"/>
      <w:r w:rsidRPr="00B7408D">
        <w:rPr>
          <w:rFonts w:ascii="Book Antiqua" w:hAnsi="Book Antiqua"/>
          <w:lang w:val="en-US"/>
        </w:rPr>
        <w:t>hydroxytyrosol</w:t>
      </w:r>
      <w:proofErr w:type="spellEnd"/>
      <w:r w:rsidRPr="00B7408D">
        <w:rPr>
          <w:rFonts w:ascii="Book Antiqua" w:hAnsi="Book Antiqua"/>
          <w:lang w:val="en-US"/>
        </w:rPr>
        <w:t xml:space="preserve"> prevents bone loss. </w:t>
      </w:r>
      <w:proofErr w:type="spellStart"/>
      <w:r w:rsidRPr="00B7408D">
        <w:rPr>
          <w:rFonts w:ascii="Book Antiqua" w:hAnsi="Book Antiqua"/>
          <w:i/>
          <w:lang w:val="en-US"/>
        </w:rPr>
        <w:t>Eur</w:t>
      </w:r>
      <w:proofErr w:type="spellEnd"/>
      <w:r w:rsidRPr="00B7408D">
        <w:rPr>
          <w:rFonts w:ascii="Book Antiqua" w:hAnsi="Book Antiqua"/>
          <w:i/>
          <w:lang w:val="en-US"/>
        </w:rPr>
        <w:t xml:space="preserve"> J </w:t>
      </w:r>
      <w:proofErr w:type="spellStart"/>
      <w:r w:rsidRPr="00B7408D">
        <w:rPr>
          <w:rFonts w:ascii="Book Antiqua" w:hAnsi="Book Antiqua"/>
          <w:i/>
          <w:lang w:val="en-US"/>
        </w:rPr>
        <w:t>Pharmacol</w:t>
      </w:r>
      <w:proofErr w:type="spellEnd"/>
      <w:r w:rsidRPr="00B7408D">
        <w:rPr>
          <w:rFonts w:ascii="Book Antiqua" w:hAnsi="Book Antiqua"/>
          <w:lang w:val="en-US"/>
        </w:rPr>
        <w:t xml:space="preserve"> 2011; </w:t>
      </w:r>
      <w:r w:rsidRPr="00B7408D">
        <w:rPr>
          <w:rFonts w:ascii="Book Antiqua" w:hAnsi="Book Antiqua"/>
          <w:b/>
          <w:lang w:val="en-US"/>
        </w:rPr>
        <w:t>662</w:t>
      </w:r>
      <w:r w:rsidRPr="00B7408D">
        <w:rPr>
          <w:rFonts w:ascii="Book Antiqua" w:hAnsi="Book Antiqua"/>
          <w:lang w:val="en-US"/>
        </w:rPr>
        <w:t>: 78-84 [PMID: 21539839 DOI: 10.1016/j.ejphar.2011.04.023]</w:t>
      </w:r>
    </w:p>
    <w:p w14:paraId="27F80D20"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99 </w:t>
      </w:r>
      <w:proofErr w:type="spellStart"/>
      <w:r w:rsidRPr="00B7408D">
        <w:rPr>
          <w:rFonts w:ascii="Book Antiqua" w:hAnsi="Book Antiqua"/>
          <w:b/>
          <w:lang w:val="en-US"/>
        </w:rPr>
        <w:t>Kuem</w:t>
      </w:r>
      <w:proofErr w:type="spellEnd"/>
      <w:r w:rsidRPr="00B7408D">
        <w:rPr>
          <w:rFonts w:ascii="Book Antiqua" w:hAnsi="Book Antiqua"/>
          <w:b/>
          <w:lang w:val="en-US"/>
        </w:rPr>
        <w:t xml:space="preserve"> N</w:t>
      </w:r>
      <w:r w:rsidRPr="00B7408D">
        <w:rPr>
          <w:rFonts w:ascii="Book Antiqua" w:hAnsi="Book Antiqua"/>
          <w:lang w:val="en-US"/>
        </w:rPr>
        <w:t xml:space="preserve">, Song SJ, Yu R, Yun JW, Park T. Oleuropein attenuates visceral adiposity in high-fat diet-induced obese mice through the modulation of WNT10b- and </w:t>
      </w:r>
      <w:proofErr w:type="spellStart"/>
      <w:r w:rsidRPr="00B7408D">
        <w:rPr>
          <w:rFonts w:ascii="Book Antiqua" w:hAnsi="Book Antiqua"/>
          <w:lang w:val="en-US"/>
        </w:rPr>
        <w:t>galanin</w:t>
      </w:r>
      <w:proofErr w:type="spellEnd"/>
      <w:r w:rsidRPr="00B7408D">
        <w:rPr>
          <w:rFonts w:ascii="Book Antiqua" w:hAnsi="Book Antiqua"/>
          <w:lang w:val="en-US"/>
        </w:rPr>
        <w:t xml:space="preserve">-mediated </w:t>
      </w:r>
      <w:proofErr w:type="spellStart"/>
      <w:r w:rsidRPr="00B7408D">
        <w:rPr>
          <w:rFonts w:ascii="Book Antiqua" w:hAnsi="Book Antiqua"/>
          <w:lang w:val="en-US"/>
        </w:rPr>
        <w:t>signalings</w:t>
      </w:r>
      <w:proofErr w:type="spellEnd"/>
      <w:r w:rsidRPr="00B7408D">
        <w:rPr>
          <w:rFonts w:ascii="Book Antiqua" w:hAnsi="Book Antiqua"/>
          <w:lang w:val="en-US"/>
        </w:rPr>
        <w:t xml:space="preserve">. </w:t>
      </w:r>
      <w:proofErr w:type="spellStart"/>
      <w:r w:rsidRPr="00B7408D">
        <w:rPr>
          <w:rFonts w:ascii="Book Antiqua" w:hAnsi="Book Antiqua"/>
          <w:i/>
          <w:lang w:val="en-US"/>
        </w:rPr>
        <w:t>Mol</w:t>
      </w:r>
      <w:proofErr w:type="spellEnd"/>
      <w:r w:rsidRPr="00B7408D">
        <w:rPr>
          <w:rFonts w:ascii="Book Antiqua" w:hAnsi="Book Antiqua"/>
          <w:i/>
          <w:lang w:val="en-US"/>
        </w:rPr>
        <w:t xml:space="preserve"> </w:t>
      </w:r>
      <w:proofErr w:type="spellStart"/>
      <w:r w:rsidRPr="00B7408D">
        <w:rPr>
          <w:rFonts w:ascii="Book Antiqua" w:hAnsi="Book Antiqua"/>
          <w:i/>
          <w:lang w:val="en-US"/>
        </w:rPr>
        <w:t>Nutr</w:t>
      </w:r>
      <w:proofErr w:type="spellEnd"/>
      <w:r w:rsidRPr="00B7408D">
        <w:rPr>
          <w:rFonts w:ascii="Book Antiqua" w:hAnsi="Book Antiqua"/>
          <w:i/>
          <w:lang w:val="en-US"/>
        </w:rPr>
        <w:t xml:space="preserve"> Food Res</w:t>
      </w:r>
      <w:r w:rsidRPr="00B7408D">
        <w:rPr>
          <w:rFonts w:ascii="Book Antiqua" w:hAnsi="Book Antiqua"/>
          <w:lang w:val="en-US"/>
        </w:rPr>
        <w:t xml:space="preserve"> 2014; </w:t>
      </w:r>
      <w:r w:rsidRPr="00B7408D">
        <w:rPr>
          <w:rFonts w:ascii="Book Antiqua" w:hAnsi="Book Antiqua"/>
          <w:b/>
          <w:lang w:val="en-US"/>
        </w:rPr>
        <w:t>58</w:t>
      </w:r>
      <w:r w:rsidRPr="00B7408D">
        <w:rPr>
          <w:rFonts w:ascii="Book Antiqua" w:hAnsi="Book Antiqua"/>
          <w:lang w:val="en-US"/>
        </w:rPr>
        <w:t>: 2166-2176 [PMID: 25104077 DOI: 10.1002/mnfr.201400159]</w:t>
      </w:r>
    </w:p>
    <w:p w14:paraId="721C39AC"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100 </w:t>
      </w:r>
      <w:r w:rsidRPr="00B7408D">
        <w:rPr>
          <w:rFonts w:ascii="Book Antiqua" w:hAnsi="Book Antiqua"/>
          <w:b/>
          <w:lang w:val="en-US"/>
        </w:rPr>
        <w:t>Menendez JA</w:t>
      </w:r>
      <w:r w:rsidRPr="00B7408D">
        <w:rPr>
          <w:rFonts w:ascii="Book Antiqua" w:hAnsi="Book Antiqua"/>
          <w:lang w:val="en-US"/>
        </w:rPr>
        <w:t xml:space="preserve">, </w:t>
      </w:r>
      <w:proofErr w:type="spellStart"/>
      <w:r w:rsidRPr="00B7408D">
        <w:rPr>
          <w:rFonts w:ascii="Book Antiqua" w:hAnsi="Book Antiqua"/>
          <w:lang w:val="en-US"/>
        </w:rPr>
        <w:t>Joven</w:t>
      </w:r>
      <w:proofErr w:type="spellEnd"/>
      <w:r w:rsidRPr="00B7408D">
        <w:rPr>
          <w:rFonts w:ascii="Book Antiqua" w:hAnsi="Book Antiqua"/>
          <w:lang w:val="en-US"/>
        </w:rPr>
        <w:t xml:space="preserve"> J, </w:t>
      </w:r>
      <w:proofErr w:type="spellStart"/>
      <w:r w:rsidRPr="00B7408D">
        <w:rPr>
          <w:rFonts w:ascii="Book Antiqua" w:hAnsi="Book Antiqua"/>
          <w:lang w:val="en-US"/>
        </w:rPr>
        <w:t>Aragonès</w:t>
      </w:r>
      <w:proofErr w:type="spellEnd"/>
      <w:r w:rsidRPr="00B7408D">
        <w:rPr>
          <w:rFonts w:ascii="Book Antiqua" w:hAnsi="Book Antiqua"/>
          <w:lang w:val="en-US"/>
        </w:rPr>
        <w:t xml:space="preserve"> G, </w:t>
      </w:r>
      <w:proofErr w:type="spellStart"/>
      <w:r w:rsidRPr="00B7408D">
        <w:rPr>
          <w:rFonts w:ascii="Book Antiqua" w:hAnsi="Book Antiqua"/>
          <w:lang w:val="en-US"/>
        </w:rPr>
        <w:t>Barrajón-Catalán</w:t>
      </w:r>
      <w:proofErr w:type="spellEnd"/>
      <w:r w:rsidRPr="00B7408D">
        <w:rPr>
          <w:rFonts w:ascii="Book Antiqua" w:hAnsi="Book Antiqua"/>
          <w:lang w:val="en-US"/>
        </w:rPr>
        <w:t xml:space="preserve"> E, </w:t>
      </w:r>
      <w:proofErr w:type="spellStart"/>
      <w:r w:rsidRPr="00B7408D">
        <w:rPr>
          <w:rFonts w:ascii="Book Antiqua" w:hAnsi="Book Antiqua"/>
          <w:lang w:val="en-US"/>
        </w:rPr>
        <w:t>Beltrán-Debón</w:t>
      </w:r>
      <w:proofErr w:type="spellEnd"/>
      <w:r w:rsidRPr="00B7408D">
        <w:rPr>
          <w:rFonts w:ascii="Book Antiqua" w:hAnsi="Book Antiqua"/>
          <w:lang w:val="en-US"/>
        </w:rPr>
        <w:t xml:space="preserve"> R, </w:t>
      </w:r>
      <w:proofErr w:type="spellStart"/>
      <w:r w:rsidRPr="00B7408D">
        <w:rPr>
          <w:rFonts w:ascii="Book Antiqua" w:hAnsi="Book Antiqua"/>
          <w:lang w:val="en-US"/>
        </w:rPr>
        <w:t>Borrás</w:t>
      </w:r>
      <w:proofErr w:type="spellEnd"/>
      <w:r w:rsidRPr="00B7408D">
        <w:rPr>
          <w:rFonts w:ascii="Book Antiqua" w:hAnsi="Book Antiqua"/>
          <w:lang w:val="en-US"/>
        </w:rPr>
        <w:t xml:space="preserve">-Linares I, Camps J, </w:t>
      </w:r>
      <w:proofErr w:type="spellStart"/>
      <w:r w:rsidRPr="00B7408D">
        <w:rPr>
          <w:rFonts w:ascii="Book Antiqua" w:hAnsi="Book Antiqua"/>
          <w:lang w:val="en-US"/>
        </w:rPr>
        <w:t>Corominas-Faja</w:t>
      </w:r>
      <w:proofErr w:type="spellEnd"/>
      <w:r w:rsidRPr="00B7408D">
        <w:rPr>
          <w:rFonts w:ascii="Book Antiqua" w:hAnsi="Book Antiqua"/>
          <w:lang w:val="en-US"/>
        </w:rPr>
        <w:t xml:space="preserve"> B, </w:t>
      </w:r>
      <w:proofErr w:type="spellStart"/>
      <w:r w:rsidRPr="00B7408D">
        <w:rPr>
          <w:rFonts w:ascii="Book Antiqua" w:hAnsi="Book Antiqua"/>
          <w:lang w:val="en-US"/>
        </w:rPr>
        <w:t>Cufí</w:t>
      </w:r>
      <w:proofErr w:type="spellEnd"/>
      <w:r w:rsidRPr="00B7408D">
        <w:rPr>
          <w:rFonts w:ascii="Book Antiqua" w:hAnsi="Book Antiqua"/>
          <w:lang w:val="en-US"/>
        </w:rPr>
        <w:t xml:space="preserve"> S, Fernández-Arroyo S, Garcia-Heredia A, Hernández-Aguilera A, </w:t>
      </w:r>
      <w:proofErr w:type="spellStart"/>
      <w:r w:rsidRPr="00B7408D">
        <w:rPr>
          <w:rFonts w:ascii="Book Antiqua" w:hAnsi="Book Antiqua"/>
          <w:lang w:val="en-US"/>
        </w:rPr>
        <w:t>Herranz-López</w:t>
      </w:r>
      <w:proofErr w:type="spellEnd"/>
      <w:r w:rsidRPr="00B7408D">
        <w:rPr>
          <w:rFonts w:ascii="Book Antiqua" w:hAnsi="Book Antiqua"/>
          <w:lang w:val="en-US"/>
        </w:rPr>
        <w:t xml:space="preserve"> M, Jiménez-Sánchez C, </w:t>
      </w:r>
      <w:proofErr w:type="spellStart"/>
      <w:r w:rsidRPr="00B7408D">
        <w:rPr>
          <w:rFonts w:ascii="Book Antiqua" w:hAnsi="Book Antiqua"/>
          <w:lang w:val="en-US"/>
        </w:rPr>
        <w:t>López-Bonet</w:t>
      </w:r>
      <w:proofErr w:type="spellEnd"/>
      <w:r w:rsidRPr="00B7408D">
        <w:rPr>
          <w:rFonts w:ascii="Book Antiqua" w:hAnsi="Book Antiqua"/>
          <w:lang w:val="en-US"/>
        </w:rPr>
        <w:t xml:space="preserve"> E, Lozano-Sánchez J, Luciano-Mateo F, Martin-Castillo B, Martin-</w:t>
      </w:r>
      <w:proofErr w:type="spellStart"/>
      <w:r w:rsidRPr="00B7408D">
        <w:rPr>
          <w:rFonts w:ascii="Book Antiqua" w:hAnsi="Book Antiqua"/>
          <w:lang w:val="en-US"/>
        </w:rPr>
        <w:t>Paredero</w:t>
      </w:r>
      <w:proofErr w:type="spellEnd"/>
      <w:r w:rsidRPr="00B7408D">
        <w:rPr>
          <w:rFonts w:ascii="Book Antiqua" w:hAnsi="Book Antiqua"/>
          <w:lang w:val="en-US"/>
        </w:rPr>
        <w:t xml:space="preserve"> V, Pérez-Sánchez A, </w:t>
      </w:r>
      <w:proofErr w:type="spellStart"/>
      <w:r w:rsidRPr="00B7408D">
        <w:rPr>
          <w:rFonts w:ascii="Book Antiqua" w:hAnsi="Book Antiqua"/>
          <w:lang w:val="en-US"/>
        </w:rPr>
        <w:t>Oliveras-Ferraros</w:t>
      </w:r>
      <w:proofErr w:type="spellEnd"/>
      <w:r w:rsidRPr="00B7408D">
        <w:rPr>
          <w:rFonts w:ascii="Book Antiqua" w:hAnsi="Book Antiqua"/>
          <w:lang w:val="en-US"/>
        </w:rPr>
        <w:t xml:space="preserve"> C, </w:t>
      </w:r>
      <w:proofErr w:type="spellStart"/>
      <w:r w:rsidRPr="00B7408D">
        <w:rPr>
          <w:rFonts w:ascii="Book Antiqua" w:hAnsi="Book Antiqua"/>
          <w:lang w:val="en-US"/>
        </w:rPr>
        <w:t>Riera-Borrull</w:t>
      </w:r>
      <w:proofErr w:type="spellEnd"/>
      <w:r w:rsidRPr="00B7408D">
        <w:rPr>
          <w:rFonts w:ascii="Book Antiqua" w:hAnsi="Book Antiqua"/>
          <w:lang w:val="en-US"/>
        </w:rPr>
        <w:t xml:space="preserve"> M, Rodríguez-</w:t>
      </w:r>
      <w:proofErr w:type="spellStart"/>
      <w:r w:rsidRPr="00B7408D">
        <w:rPr>
          <w:rFonts w:ascii="Book Antiqua" w:hAnsi="Book Antiqua"/>
          <w:lang w:val="en-US"/>
        </w:rPr>
        <w:t>Gallego</w:t>
      </w:r>
      <w:proofErr w:type="spellEnd"/>
      <w:r w:rsidRPr="00B7408D">
        <w:rPr>
          <w:rFonts w:ascii="Book Antiqua" w:hAnsi="Book Antiqua"/>
          <w:lang w:val="en-US"/>
        </w:rPr>
        <w:t xml:space="preserve"> E, </w:t>
      </w:r>
      <w:proofErr w:type="spellStart"/>
      <w:r w:rsidRPr="00B7408D">
        <w:rPr>
          <w:rFonts w:ascii="Book Antiqua" w:hAnsi="Book Antiqua"/>
          <w:lang w:val="en-US"/>
        </w:rPr>
        <w:t>Quirantes-Piné</w:t>
      </w:r>
      <w:proofErr w:type="spellEnd"/>
      <w:r w:rsidRPr="00B7408D">
        <w:rPr>
          <w:rFonts w:ascii="Book Antiqua" w:hAnsi="Book Antiqua"/>
          <w:lang w:val="en-US"/>
        </w:rPr>
        <w:t xml:space="preserve"> R, </w:t>
      </w:r>
      <w:proofErr w:type="spellStart"/>
      <w:r w:rsidRPr="00B7408D">
        <w:rPr>
          <w:rFonts w:ascii="Book Antiqua" w:hAnsi="Book Antiqua"/>
          <w:lang w:val="en-US"/>
        </w:rPr>
        <w:t>Rull</w:t>
      </w:r>
      <w:proofErr w:type="spellEnd"/>
      <w:r w:rsidRPr="00B7408D">
        <w:rPr>
          <w:rFonts w:ascii="Book Antiqua" w:hAnsi="Book Antiqua"/>
          <w:lang w:val="en-US"/>
        </w:rPr>
        <w:t xml:space="preserve"> A, </w:t>
      </w:r>
      <w:proofErr w:type="spellStart"/>
      <w:r w:rsidRPr="00B7408D">
        <w:rPr>
          <w:rFonts w:ascii="Book Antiqua" w:hAnsi="Book Antiqua"/>
          <w:lang w:val="en-US"/>
        </w:rPr>
        <w:t>Tomás-Menor</w:t>
      </w:r>
      <w:proofErr w:type="spellEnd"/>
      <w:r w:rsidRPr="00B7408D">
        <w:rPr>
          <w:rFonts w:ascii="Book Antiqua" w:hAnsi="Book Antiqua"/>
          <w:lang w:val="en-US"/>
        </w:rPr>
        <w:t xml:space="preserve"> L, Vazquez-Martin A, Alonso-</w:t>
      </w:r>
      <w:proofErr w:type="spellStart"/>
      <w:r w:rsidRPr="00B7408D">
        <w:rPr>
          <w:rFonts w:ascii="Book Antiqua" w:hAnsi="Book Antiqua"/>
          <w:lang w:val="en-US"/>
        </w:rPr>
        <w:t>Villaverde</w:t>
      </w:r>
      <w:proofErr w:type="spellEnd"/>
      <w:r w:rsidRPr="00B7408D">
        <w:rPr>
          <w:rFonts w:ascii="Book Antiqua" w:hAnsi="Book Antiqua"/>
          <w:lang w:val="en-US"/>
        </w:rPr>
        <w:t xml:space="preserve"> C, </w:t>
      </w:r>
      <w:proofErr w:type="spellStart"/>
      <w:r w:rsidRPr="00B7408D">
        <w:rPr>
          <w:rFonts w:ascii="Book Antiqua" w:hAnsi="Book Antiqua"/>
          <w:lang w:val="en-US"/>
        </w:rPr>
        <w:t>Micol</w:t>
      </w:r>
      <w:proofErr w:type="spellEnd"/>
      <w:r w:rsidRPr="00B7408D">
        <w:rPr>
          <w:rFonts w:ascii="Book Antiqua" w:hAnsi="Book Antiqua"/>
          <w:lang w:val="en-US"/>
        </w:rPr>
        <w:t xml:space="preserve"> V, Segura-</w:t>
      </w:r>
      <w:proofErr w:type="spellStart"/>
      <w:r w:rsidRPr="00B7408D">
        <w:rPr>
          <w:rFonts w:ascii="Book Antiqua" w:hAnsi="Book Antiqua"/>
          <w:lang w:val="en-US"/>
        </w:rPr>
        <w:t>Carretero</w:t>
      </w:r>
      <w:proofErr w:type="spellEnd"/>
      <w:r w:rsidRPr="00B7408D">
        <w:rPr>
          <w:rFonts w:ascii="Book Antiqua" w:hAnsi="Book Antiqua"/>
          <w:lang w:val="en-US"/>
        </w:rPr>
        <w:t xml:space="preserve"> A. Xenohormetic and anti-aging activity of </w:t>
      </w:r>
      <w:proofErr w:type="spellStart"/>
      <w:r w:rsidRPr="00B7408D">
        <w:rPr>
          <w:rFonts w:ascii="Book Antiqua" w:hAnsi="Book Antiqua"/>
          <w:lang w:val="en-US"/>
        </w:rPr>
        <w:t>secoiridoid</w:t>
      </w:r>
      <w:proofErr w:type="spellEnd"/>
      <w:r w:rsidRPr="00B7408D">
        <w:rPr>
          <w:rFonts w:ascii="Book Antiqua" w:hAnsi="Book Antiqua"/>
          <w:lang w:val="en-US"/>
        </w:rPr>
        <w:t xml:space="preserve"> polyphenols present in extra virgin olive oil: a new family of </w:t>
      </w:r>
      <w:proofErr w:type="spellStart"/>
      <w:r w:rsidRPr="00B7408D">
        <w:rPr>
          <w:rFonts w:ascii="Book Antiqua" w:hAnsi="Book Antiqua"/>
          <w:lang w:val="en-US"/>
        </w:rPr>
        <w:t>gerosuppressant</w:t>
      </w:r>
      <w:proofErr w:type="spellEnd"/>
      <w:r w:rsidRPr="00B7408D">
        <w:rPr>
          <w:rFonts w:ascii="Book Antiqua" w:hAnsi="Book Antiqua"/>
          <w:lang w:val="en-US"/>
        </w:rPr>
        <w:t xml:space="preserve"> agents. </w:t>
      </w:r>
      <w:r w:rsidRPr="00B7408D">
        <w:rPr>
          <w:rFonts w:ascii="Book Antiqua" w:hAnsi="Book Antiqua"/>
          <w:i/>
          <w:lang w:val="en-US"/>
        </w:rPr>
        <w:t>Cell Cycle</w:t>
      </w:r>
      <w:r w:rsidRPr="00B7408D">
        <w:rPr>
          <w:rFonts w:ascii="Book Antiqua" w:hAnsi="Book Antiqua"/>
          <w:lang w:val="en-US"/>
        </w:rPr>
        <w:t xml:space="preserve"> 2013; </w:t>
      </w:r>
      <w:r w:rsidRPr="00B7408D">
        <w:rPr>
          <w:rFonts w:ascii="Book Antiqua" w:hAnsi="Book Antiqua"/>
          <w:b/>
          <w:lang w:val="en-US"/>
        </w:rPr>
        <w:t>12</w:t>
      </w:r>
      <w:r w:rsidRPr="00B7408D">
        <w:rPr>
          <w:rFonts w:ascii="Book Antiqua" w:hAnsi="Book Antiqua"/>
          <w:lang w:val="en-US"/>
        </w:rPr>
        <w:t>: 555-578 [PMID: 23370395 DOI: 10.4161/cc.23756]</w:t>
      </w:r>
    </w:p>
    <w:p w14:paraId="3FDD6C67"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101 </w:t>
      </w:r>
      <w:proofErr w:type="spellStart"/>
      <w:r w:rsidRPr="00B7408D">
        <w:rPr>
          <w:rFonts w:ascii="Book Antiqua" w:hAnsi="Book Antiqua"/>
          <w:b/>
          <w:lang w:val="en-US"/>
        </w:rPr>
        <w:t>Gharibi</w:t>
      </w:r>
      <w:proofErr w:type="spellEnd"/>
      <w:r w:rsidRPr="00B7408D">
        <w:rPr>
          <w:rFonts w:ascii="Book Antiqua" w:hAnsi="Book Antiqua"/>
          <w:b/>
          <w:lang w:val="en-US"/>
        </w:rPr>
        <w:t xml:space="preserve"> B</w:t>
      </w:r>
      <w:r w:rsidRPr="00B7408D">
        <w:rPr>
          <w:rFonts w:ascii="Book Antiqua" w:hAnsi="Book Antiqua"/>
          <w:lang w:val="en-US"/>
        </w:rPr>
        <w:t xml:space="preserve">, </w:t>
      </w:r>
      <w:proofErr w:type="spellStart"/>
      <w:r w:rsidRPr="00B7408D">
        <w:rPr>
          <w:rFonts w:ascii="Book Antiqua" w:hAnsi="Book Antiqua"/>
          <w:lang w:val="en-US"/>
        </w:rPr>
        <w:t>Farzadi</w:t>
      </w:r>
      <w:proofErr w:type="spellEnd"/>
      <w:r w:rsidRPr="00B7408D">
        <w:rPr>
          <w:rFonts w:ascii="Book Antiqua" w:hAnsi="Book Antiqua"/>
          <w:lang w:val="en-US"/>
        </w:rPr>
        <w:t xml:space="preserve"> S, </w:t>
      </w:r>
      <w:proofErr w:type="spellStart"/>
      <w:r w:rsidRPr="00B7408D">
        <w:rPr>
          <w:rFonts w:ascii="Book Antiqua" w:hAnsi="Book Antiqua"/>
          <w:lang w:val="en-US"/>
        </w:rPr>
        <w:t>Ghuman</w:t>
      </w:r>
      <w:proofErr w:type="spellEnd"/>
      <w:r w:rsidRPr="00B7408D">
        <w:rPr>
          <w:rFonts w:ascii="Book Antiqua" w:hAnsi="Book Antiqua"/>
          <w:lang w:val="en-US"/>
        </w:rPr>
        <w:t xml:space="preserve"> M, Hughes FJ. Inhibition of </w:t>
      </w:r>
      <w:proofErr w:type="spellStart"/>
      <w:r w:rsidRPr="00B7408D">
        <w:rPr>
          <w:rFonts w:ascii="Book Antiqua" w:hAnsi="Book Antiqua"/>
          <w:lang w:val="en-US"/>
        </w:rPr>
        <w:t>Akt</w:t>
      </w:r>
      <w:proofErr w:type="spellEnd"/>
      <w:r w:rsidRPr="00B7408D">
        <w:rPr>
          <w:rFonts w:ascii="Book Antiqua" w:hAnsi="Book Antiqua"/>
          <w:lang w:val="en-US"/>
        </w:rPr>
        <w:t>/</w:t>
      </w:r>
      <w:proofErr w:type="spellStart"/>
      <w:r w:rsidRPr="00B7408D">
        <w:rPr>
          <w:rFonts w:ascii="Book Antiqua" w:hAnsi="Book Antiqua"/>
          <w:lang w:val="en-US"/>
        </w:rPr>
        <w:t>mTOR</w:t>
      </w:r>
      <w:proofErr w:type="spellEnd"/>
      <w:r w:rsidRPr="00B7408D">
        <w:rPr>
          <w:rFonts w:ascii="Book Antiqua" w:hAnsi="Book Antiqua"/>
          <w:lang w:val="en-US"/>
        </w:rPr>
        <w:t xml:space="preserve"> attenuates age-related changes in mesenchymal stem cells. </w:t>
      </w:r>
      <w:r w:rsidRPr="00B7408D">
        <w:rPr>
          <w:rFonts w:ascii="Book Antiqua" w:hAnsi="Book Antiqua"/>
          <w:i/>
          <w:lang w:val="en-US"/>
        </w:rPr>
        <w:t>Stem Cells</w:t>
      </w:r>
      <w:r w:rsidRPr="00B7408D">
        <w:rPr>
          <w:rFonts w:ascii="Book Antiqua" w:hAnsi="Book Antiqua"/>
          <w:lang w:val="en-US"/>
        </w:rPr>
        <w:t xml:space="preserve"> 2014; </w:t>
      </w:r>
      <w:r w:rsidRPr="00B7408D">
        <w:rPr>
          <w:rFonts w:ascii="Book Antiqua" w:hAnsi="Book Antiqua"/>
          <w:b/>
          <w:lang w:val="en-US"/>
        </w:rPr>
        <w:t>32</w:t>
      </w:r>
      <w:r w:rsidRPr="00B7408D">
        <w:rPr>
          <w:rFonts w:ascii="Book Antiqua" w:hAnsi="Book Antiqua"/>
          <w:lang w:val="en-US"/>
        </w:rPr>
        <w:t>: 2256-2266 [PMID: 24659476 DOI: 10.1002/stem.1709]</w:t>
      </w:r>
    </w:p>
    <w:p w14:paraId="2C947B11"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102 </w:t>
      </w:r>
      <w:r w:rsidRPr="00B7408D">
        <w:rPr>
          <w:rFonts w:ascii="Book Antiqua" w:hAnsi="Book Antiqua"/>
          <w:b/>
          <w:lang w:val="en-US"/>
        </w:rPr>
        <w:t>Robles-</w:t>
      </w:r>
      <w:proofErr w:type="spellStart"/>
      <w:r w:rsidRPr="00B7408D">
        <w:rPr>
          <w:rFonts w:ascii="Book Antiqua" w:hAnsi="Book Antiqua"/>
          <w:b/>
          <w:lang w:val="en-US"/>
        </w:rPr>
        <w:t>Almazan</w:t>
      </w:r>
      <w:proofErr w:type="spellEnd"/>
      <w:r w:rsidRPr="00B7408D">
        <w:rPr>
          <w:rFonts w:ascii="Book Antiqua" w:hAnsi="Book Antiqua"/>
          <w:b/>
          <w:lang w:val="en-US"/>
        </w:rPr>
        <w:t xml:space="preserve"> M</w:t>
      </w:r>
      <w:r w:rsidRPr="00B7408D">
        <w:rPr>
          <w:rFonts w:ascii="Book Antiqua" w:hAnsi="Book Antiqua"/>
          <w:lang w:val="en-US"/>
        </w:rPr>
        <w:t>, Pulido-Moran M, Moreno-Fernandez J, Ramirez-</w:t>
      </w:r>
      <w:proofErr w:type="spellStart"/>
      <w:r w:rsidRPr="00B7408D">
        <w:rPr>
          <w:rFonts w:ascii="Book Antiqua" w:hAnsi="Book Antiqua"/>
          <w:lang w:val="en-US"/>
        </w:rPr>
        <w:t>Tortosa</w:t>
      </w:r>
      <w:proofErr w:type="spellEnd"/>
      <w:r w:rsidRPr="00B7408D">
        <w:rPr>
          <w:rFonts w:ascii="Book Antiqua" w:hAnsi="Book Antiqua"/>
          <w:lang w:val="en-US"/>
        </w:rPr>
        <w:t xml:space="preserve"> C, Rodriguez-Garcia C, </w:t>
      </w:r>
      <w:proofErr w:type="spellStart"/>
      <w:r w:rsidRPr="00B7408D">
        <w:rPr>
          <w:rFonts w:ascii="Book Antiqua" w:hAnsi="Book Antiqua"/>
          <w:lang w:val="en-US"/>
        </w:rPr>
        <w:t>Quiles</w:t>
      </w:r>
      <w:proofErr w:type="spellEnd"/>
      <w:r w:rsidRPr="00B7408D">
        <w:rPr>
          <w:rFonts w:ascii="Book Antiqua" w:hAnsi="Book Antiqua"/>
          <w:lang w:val="en-US"/>
        </w:rPr>
        <w:t xml:space="preserve"> JL, Ramirez-</w:t>
      </w:r>
      <w:proofErr w:type="spellStart"/>
      <w:r w:rsidRPr="00B7408D">
        <w:rPr>
          <w:rFonts w:ascii="Book Antiqua" w:hAnsi="Book Antiqua"/>
          <w:lang w:val="en-US"/>
        </w:rPr>
        <w:t>Tortosa</w:t>
      </w:r>
      <w:proofErr w:type="spellEnd"/>
      <w:r w:rsidRPr="00B7408D">
        <w:rPr>
          <w:rFonts w:ascii="Book Antiqua" w:hAnsi="Book Antiqua"/>
          <w:lang w:val="en-US"/>
        </w:rPr>
        <w:t xml:space="preserve"> M. </w:t>
      </w:r>
      <w:proofErr w:type="spellStart"/>
      <w:r w:rsidRPr="00B7408D">
        <w:rPr>
          <w:rFonts w:ascii="Book Antiqua" w:hAnsi="Book Antiqua"/>
          <w:lang w:val="en-US"/>
        </w:rPr>
        <w:t>Hydroxytyrosol</w:t>
      </w:r>
      <w:proofErr w:type="spellEnd"/>
      <w:r w:rsidRPr="00B7408D">
        <w:rPr>
          <w:rFonts w:ascii="Book Antiqua" w:hAnsi="Book Antiqua"/>
          <w:lang w:val="en-US"/>
        </w:rPr>
        <w:t xml:space="preserve">: Bioavailability, toxicity, and clinical applications. </w:t>
      </w:r>
      <w:r w:rsidRPr="00B7408D">
        <w:rPr>
          <w:rFonts w:ascii="Book Antiqua" w:hAnsi="Book Antiqua"/>
          <w:i/>
          <w:lang w:val="en-US"/>
        </w:rPr>
        <w:t>Food Res Int</w:t>
      </w:r>
      <w:r w:rsidRPr="00B7408D">
        <w:rPr>
          <w:rFonts w:ascii="Book Antiqua" w:hAnsi="Book Antiqua"/>
          <w:lang w:val="en-US"/>
        </w:rPr>
        <w:t xml:space="preserve"> 2018; </w:t>
      </w:r>
      <w:r w:rsidRPr="00B7408D">
        <w:rPr>
          <w:rFonts w:ascii="Book Antiqua" w:hAnsi="Book Antiqua"/>
          <w:b/>
          <w:lang w:val="en-US"/>
        </w:rPr>
        <w:t>105</w:t>
      </w:r>
      <w:r w:rsidRPr="00B7408D">
        <w:rPr>
          <w:rFonts w:ascii="Book Antiqua" w:hAnsi="Book Antiqua"/>
          <w:lang w:val="en-US"/>
        </w:rPr>
        <w:t>: 654-667 [PMID: 29433260 DOI: 10.1016/j.foodres.2017.11.053]</w:t>
      </w:r>
    </w:p>
    <w:p w14:paraId="5742183C"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103 </w:t>
      </w:r>
      <w:proofErr w:type="spellStart"/>
      <w:r w:rsidRPr="00B7408D">
        <w:rPr>
          <w:rFonts w:ascii="Book Antiqua" w:hAnsi="Book Antiqua"/>
          <w:b/>
          <w:lang w:val="en-US"/>
        </w:rPr>
        <w:t>Anter</w:t>
      </w:r>
      <w:proofErr w:type="spellEnd"/>
      <w:r w:rsidRPr="00B7408D">
        <w:rPr>
          <w:rFonts w:ascii="Book Antiqua" w:hAnsi="Book Antiqua"/>
          <w:b/>
          <w:lang w:val="en-US"/>
        </w:rPr>
        <w:t xml:space="preserve"> J</w:t>
      </w:r>
      <w:r w:rsidRPr="00B7408D">
        <w:rPr>
          <w:rFonts w:ascii="Book Antiqua" w:hAnsi="Book Antiqua"/>
          <w:lang w:val="en-US"/>
        </w:rPr>
        <w:t xml:space="preserve">, Quesada-Gómez JM, Dorado G, Casado-Díaz A. Effect of </w:t>
      </w:r>
      <w:proofErr w:type="spellStart"/>
      <w:r w:rsidRPr="00B7408D">
        <w:rPr>
          <w:rFonts w:ascii="Book Antiqua" w:hAnsi="Book Antiqua"/>
          <w:lang w:val="en-US"/>
        </w:rPr>
        <w:t>Hydroxytyrosol</w:t>
      </w:r>
      <w:proofErr w:type="spellEnd"/>
      <w:r w:rsidRPr="00B7408D">
        <w:rPr>
          <w:rFonts w:ascii="Book Antiqua" w:hAnsi="Book Antiqua"/>
          <w:lang w:val="en-US"/>
        </w:rPr>
        <w:t xml:space="preserve"> on Human Mesenchymal Stromal/Stem Cell Differentiation into Adipocytes and Osteoblasts. </w:t>
      </w:r>
      <w:r w:rsidRPr="00B7408D">
        <w:rPr>
          <w:rFonts w:ascii="Book Antiqua" w:hAnsi="Book Antiqua"/>
          <w:i/>
          <w:lang w:val="en-US"/>
        </w:rPr>
        <w:t>Arch Med Res</w:t>
      </w:r>
      <w:r w:rsidRPr="00B7408D">
        <w:rPr>
          <w:rFonts w:ascii="Book Antiqua" w:hAnsi="Book Antiqua"/>
          <w:lang w:val="en-US"/>
        </w:rPr>
        <w:t xml:space="preserve"> 2016; </w:t>
      </w:r>
      <w:r w:rsidRPr="00B7408D">
        <w:rPr>
          <w:rFonts w:ascii="Book Antiqua" w:hAnsi="Book Antiqua"/>
          <w:b/>
          <w:lang w:val="en-US"/>
        </w:rPr>
        <w:t>47</w:t>
      </w:r>
      <w:r w:rsidRPr="00B7408D">
        <w:rPr>
          <w:rFonts w:ascii="Book Antiqua" w:hAnsi="Book Antiqua"/>
          <w:lang w:val="en-US"/>
        </w:rPr>
        <w:t>: 162-171 [PMID: 27393375 DOI: 10.1016/j.arcmed.2016.06.006]</w:t>
      </w:r>
    </w:p>
    <w:p w14:paraId="1DA8A691"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lastRenderedPageBreak/>
        <w:t xml:space="preserve">104 </w:t>
      </w:r>
      <w:proofErr w:type="spellStart"/>
      <w:r w:rsidRPr="00B7408D">
        <w:rPr>
          <w:rFonts w:ascii="Book Antiqua" w:hAnsi="Book Antiqua"/>
          <w:b/>
          <w:lang w:val="en-US"/>
        </w:rPr>
        <w:t>Drira</w:t>
      </w:r>
      <w:proofErr w:type="spellEnd"/>
      <w:r w:rsidRPr="00B7408D">
        <w:rPr>
          <w:rFonts w:ascii="Book Antiqua" w:hAnsi="Book Antiqua"/>
          <w:b/>
          <w:lang w:val="en-US"/>
        </w:rPr>
        <w:t xml:space="preserve"> R</w:t>
      </w:r>
      <w:r w:rsidRPr="00B7408D">
        <w:rPr>
          <w:rFonts w:ascii="Book Antiqua" w:hAnsi="Book Antiqua"/>
          <w:lang w:val="en-US"/>
        </w:rPr>
        <w:t xml:space="preserve">, Chen S, Sakamoto K. </w:t>
      </w:r>
      <w:proofErr w:type="spellStart"/>
      <w:r w:rsidRPr="00B7408D">
        <w:rPr>
          <w:rFonts w:ascii="Book Antiqua" w:hAnsi="Book Antiqua"/>
          <w:lang w:val="en-US"/>
        </w:rPr>
        <w:t>Oleuropein</w:t>
      </w:r>
      <w:proofErr w:type="spellEnd"/>
      <w:r w:rsidRPr="00B7408D">
        <w:rPr>
          <w:rFonts w:ascii="Book Antiqua" w:hAnsi="Book Antiqua"/>
          <w:lang w:val="en-US"/>
        </w:rPr>
        <w:t xml:space="preserve"> and </w:t>
      </w:r>
      <w:proofErr w:type="spellStart"/>
      <w:r w:rsidRPr="00B7408D">
        <w:rPr>
          <w:rFonts w:ascii="Book Antiqua" w:hAnsi="Book Antiqua"/>
          <w:lang w:val="en-US"/>
        </w:rPr>
        <w:t>hydroxytyrosol</w:t>
      </w:r>
      <w:proofErr w:type="spellEnd"/>
      <w:r w:rsidRPr="00B7408D">
        <w:rPr>
          <w:rFonts w:ascii="Book Antiqua" w:hAnsi="Book Antiqua"/>
          <w:lang w:val="en-US"/>
        </w:rPr>
        <w:t xml:space="preserve"> inhibit adipocyte differentiation in 3 T3-L1 cells. </w:t>
      </w:r>
      <w:r w:rsidRPr="00B7408D">
        <w:rPr>
          <w:rFonts w:ascii="Book Antiqua" w:hAnsi="Book Antiqua"/>
          <w:i/>
          <w:lang w:val="en-US"/>
        </w:rPr>
        <w:t>Life Sci</w:t>
      </w:r>
      <w:r w:rsidRPr="00B7408D">
        <w:rPr>
          <w:rFonts w:ascii="Book Antiqua" w:hAnsi="Book Antiqua"/>
          <w:lang w:val="en-US"/>
        </w:rPr>
        <w:t xml:space="preserve"> 2011; </w:t>
      </w:r>
      <w:r w:rsidRPr="00B7408D">
        <w:rPr>
          <w:rFonts w:ascii="Book Antiqua" w:hAnsi="Book Antiqua"/>
          <w:b/>
          <w:lang w:val="en-US"/>
        </w:rPr>
        <w:t>89</w:t>
      </w:r>
      <w:r w:rsidRPr="00B7408D">
        <w:rPr>
          <w:rFonts w:ascii="Book Antiqua" w:hAnsi="Book Antiqua"/>
          <w:lang w:val="en-US"/>
        </w:rPr>
        <w:t>: 708-716 [PMID: 21945192 DOI: 10.1016/j.lfs.2011.08.012]</w:t>
      </w:r>
    </w:p>
    <w:p w14:paraId="6A0ACA50"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105 </w:t>
      </w:r>
      <w:proofErr w:type="spellStart"/>
      <w:r w:rsidRPr="00B7408D">
        <w:rPr>
          <w:rFonts w:ascii="Book Antiqua" w:hAnsi="Book Antiqua"/>
          <w:b/>
          <w:lang w:val="en-US"/>
        </w:rPr>
        <w:t>Tutino</w:t>
      </w:r>
      <w:proofErr w:type="spellEnd"/>
      <w:r w:rsidRPr="00B7408D">
        <w:rPr>
          <w:rFonts w:ascii="Book Antiqua" w:hAnsi="Book Antiqua"/>
          <w:b/>
          <w:lang w:val="en-US"/>
        </w:rPr>
        <w:t xml:space="preserve"> V</w:t>
      </w:r>
      <w:r w:rsidRPr="00B7408D">
        <w:rPr>
          <w:rFonts w:ascii="Book Antiqua" w:hAnsi="Book Antiqua"/>
          <w:lang w:val="en-US"/>
        </w:rPr>
        <w:t xml:space="preserve">, Orlando A, Russo F, </w:t>
      </w:r>
      <w:proofErr w:type="spellStart"/>
      <w:r w:rsidRPr="00B7408D">
        <w:rPr>
          <w:rFonts w:ascii="Book Antiqua" w:hAnsi="Book Antiqua"/>
          <w:lang w:val="en-US"/>
        </w:rPr>
        <w:t>Notarnicola</w:t>
      </w:r>
      <w:proofErr w:type="spellEnd"/>
      <w:r w:rsidRPr="00B7408D">
        <w:rPr>
          <w:rFonts w:ascii="Book Antiqua" w:hAnsi="Book Antiqua"/>
          <w:lang w:val="en-US"/>
        </w:rPr>
        <w:t xml:space="preserve"> M. </w:t>
      </w:r>
      <w:proofErr w:type="spellStart"/>
      <w:r w:rsidRPr="00B7408D">
        <w:rPr>
          <w:rFonts w:ascii="Book Antiqua" w:hAnsi="Book Antiqua"/>
          <w:lang w:val="en-US"/>
        </w:rPr>
        <w:t>Hydroxytyrosol</w:t>
      </w:r>
      <w:proofErr w:type="spellEnd"/>
      <w:r w:rsidRPr="00B7408D">
        <w:rPr>
          <w:rFonts w:ascii="Book Antiqua" w:hAnsi="Book Antiqua"/>
          <w:lang w:val="en-US"/>
        </w:rPr>
        <w:t xml:space="preserve"> Inhibits Cannabinoid CB1 Receptor Gene Expression in 3T3-L1 Preadipocyte Cell Line. </w:t>
      </w:r>
      <w:r w:rsidRPr="00B7408D">
        <w:rPr>
          <w:rFonts w:ascii="Book Antiqua" w:hAnsi="Book Antiqua"/>
          <w:i/>
          <w:lang w:val="en-US"/>
        </w:rPr>
        <w:t xml:space="preserve">J Cell </w:t>
      </w:r>
      <w:proofErr w:type="spellStart"/>
      <w:r w:rsidRPr="00B7408D">
        <w:rPr>
          <w:rFonts w:ascii="Book Antiqua" w:hAnsi="Book Antiqua"/>
          <w:i/>
          <w:lang w:val="en-US"/>
        </w:rPr>
        <w:t>Physiol</w:t>
      </w:r>
      <w:proofErr w:type="spellEnd"/>
      <w:r w:rsidRPr="00B7408D">
        <w:rPr>
          <w:rFonts w:ascii="Book Antiqua" w:hAnsi="Book Antiqua"/>
          <w:lang w:val="en-US"/>
        </w:rPr>
        <w:t xml:space="preserve"> 2016; </w:t>
      </w:r>
      <w:r w:rsidRPr="00B7408D">
        <w:rPr>
          <w:rFonts w:ascii="Book Antiqua" w:hAnsi="Book Antiqua"/>
          <w:b/>
          <w:lang w:val="en-US"/>
        </w:rPr>
        <w:t>231</w:t>
      </w:r>
      <w:r w:rsidRPr="00B7408D">
        <w:rPr>
          <w:rFonts w:ascii="Book Antiqua" w:hAnsi="Book Antiqua"/>
          <w:lang w:val="en-US"/>
        </w:rPr>
        <w:t>: 483-489 [PMID: 26189725 DOI: 10.1002/jcp.25094]</w:t>
      </w:r>
    </w:p>
    <w:p w14:paraId="3B003D66"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106 </w:t>
      </w:r>
      <w:proofErr w:type="spellStart"/>
      <w:r w:rsidRPr="00B7408D">
        <w:rPr>
          <w:rFonts w:ascii="Book Antiqua" w:hAnsi="Book Antiqua"/>
          <w:b/>
          <w:lang w:val="en-US"/>
        </w:rPr>
        <w:t>Stefanon</w:t>
      </w:r>
      <w:proofErr w:type="spellEnd"/>
      <w:r w:rsidRPr="00B7408D">
        <w:rPr>
          <w:rFonts w:ascii="Book Antiqua" w:hAnsi="Book Antiqua"/>
          <w:b/>
          <w:lang w:val="en-US"/>
        </w:rPr>
        <w:t xml:space="preserve"> B</w:t>
      </w:r>
      <w:r w:rsidRPr="00B7408D">
        <w:rPr>
          <w:rFonts w:ascii="Book Antiqua" w:hAnsi="Book Antiqua"/>
          <w:lang w:val="en-US"/>
        </w:rPr>
        <w:t xml:space="preserve">, </w:t>
      </w:r>
      <w:proofErr w:type="spellStart"/>
      <w:r w:rsidRPr="00B7408D">
        <w:rPr>
          <w:rFonts w:ascii="Book Antiqua" w:hAnsi="Book Antiqua"/>
          <w:lang w:val="en-US"/>
        </w:rPr>
        <w:t>Colitti</w:t>
      </w:r>
      <w:proofErr w:type="spellEnd"/>
      <w:r w:rsidRPr="00B7408D">
        <w:rPr>
          <w:rFonts w:ascii="Book Antiqua" w:hAnsi="Book Antiqua"/>
          <w:lang w:val="en-US"/>
        </w:rPr>
        <w:t xml:space="preserve"> M. Original Research: </w:t>
      </w:r>
      <w:proofErr w:type="spellStart"/>
      <w:r w:rsidRPr="00B7408D">
        <w:rPr>
          <w:rFonts w:ascii="Book Antiqua" w:hAnsi="Book Antiqua"/>
          <w:lang w:val="en-US"/>
        </w:rPr>
        <w:t>Hydroxytyrosol</w:t>
      </w:r>
      <w:proofErr w:type="spellEnd"/>
      <w:r w:rsidRPr="00B7408D">
        <w:rPr>
          <w:rFonts w:ascii="Book Antiqua" w:hAnsi="Book Antiqua"/>
          <w:lang w:val="en-US"/>
        </w:rPr>
        <w:t xml:space="preserve">, an ingredient of olive oil, reduces triglyceride accumulation and promotes lipolysis in human primary visceral adipocytes during differentiation. </w:t>
      </w:r>
      <w:r w:rsidRPr="00B7408D">
        <w:rPr>
          <w:rFonts w:ascii="Book Antiqua" w:hAnsi="Book Antiqua"/>
          <w:i/>
          <w:lang w:val="en-US"/>
        </w:rPr>
        <w:t>Exp Biol Med (Maywood)</w:t>
      </w:r>
      <w:r w:rsidRPr="00B7408D">
        <w:rPr>
          <w:rFonts w:ascii="Book Antiqua" w:hAnsi="Book Antiqua"/>
          <w:lang w:val="en-US"/>
        </w:rPr>
        <w:t xml:space="preserve"> 2016; </w:t>
      </w:r>
      <w:r w:rsidRPr="00B7408D">
        <w:rPr>
          <w:rFonts w:ascii="Book Antiqua" w:hAnsi="Book Antiqua"/>
          <w:b/>
          <w:lang w:val="en-US"/>
        </w:rPr>
        <w:t>241</w:t>
      </w:r>
      <w:r w:rsidRPr="00B7408D">
        <w:rPr>
          <w:rFonts w:ascii="Book Antiqua" w:hAnsi="Book Antiqua"/>
          <w:lang w:val="en-US"/>
        </w:rPr>
        <w:t>: 1796-1802 [PMID: 27287014 DOI: 10.1177/1535370216654226]</w:t>
      </w:r>
    </w:p>
    <w:p w14:paraId="13403FD5"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107 </w:t>
      </w:r>
      <w:r w:rsidRPr="00B7408D">
        <w:rPr>
          <w:rFonts w:ascii="Book Antiqua" w:hAnsi="Book Antiqua"/>
          <w:b/>
          <w:lang w:val="en-US"/>
        </w:rPr>
        <w:t>Pastor A</w:t>
      </w:r>
      <w:r w:rsidRPr="00B7408D">
        <w:rPr>
          <w:rFonts w:ascii="Book Antiqua" w:hAnsi="Book Antiqua"/>
          <w:lang w:val="en-US"/>
        </w:rPr>
        <w:t>, Rodríguez-</w:t>
      </w:r>
      <w:proofErr w:type="spellStart"/>
      <w:r w:rsidRPr="00B7408D">
        <w:rPr>
          <w:rFonts w:ascii="Book Antiqua" w:hAnsi="Book Antiqua"/>
          <w:lang w:val="en-US"/>
        </w:rPr>
        <w:t>Morató</w:t>
      </w:r>
      <w:proofErr w:type="spellEnd"/>
      <w:r w:rsidRPr="00B7408D">
        <w:rPr>
          <w:rFonts w:ascii="Book Antiqua" w:hAnsi="Book Antiqua"/>
          <w:lang w:val="en-US"/>
        </w:rPr>
        <w:t xml:space="preserve"> J, </w:t>
      </w:r>
      <w:proofErr w:type="spellStart"/>
      <w:r w:rsidRPr="00B7408D">
        <w:rPr>
          <w:rFonts w:ascii="Book Antiqua" w:hAnsi="Book Antiqua"/>
          <w:lang w:val="en-US"/>
        </w:rPr>
        <w:t>Olesti</w:t>
      </w:r>
      <w:proofErr w:type="spellEnd"/>
      <w:r w:rsidRPr="00B7408D">
        <w:rPr>
          <w:rFonts w:ascii="Book Antiqua" w:hAnsi="Book Antiqua"/>
          <w:lang w:val="en-US"/>
        </w:rPr>
        <w:t xml:space="preserve"> E, Pujadas M, Pérez-</w:t>
      </w:r>
      <w:proofErr w:type="spellStart"/>
      <w:r w:rsidRPr="00B7408D">
        <w:rPr>
          <w:rFonts w:ascii="Book Antiqua" w:hAnsi="Book Antiqua"/>
          <w:lang w:val="en-US"/>
        </w:rPr>
        <w:t>Mañá</w:t>
      </w:r>
      <w:proofErr w:type="spellEnd"/>
      <w:r w:rsidRPr="00B7408D">
        <w:rPr>
          <w:rFonts w:ascii="Book Antiqua" w:hAnsi="Book Antiqua"/>
          <w:lang w:val="en-US"/>
        </w:rPr>
        <w:t xml:space="preserve"> C, </w:t>
      </w:r>
      <w:proofErr w:type="spellStart"/>
      <w:r w:rsidRPr="00B7408D">
        <w:rPr>
          <w:rFonts w:ascii="Book Antiqua" w:hAnsi="Book Antiqua"/>
          <w:lang w:val="en-US"/>
        </w:rPr>
        <w:t>Khymenets</w:t>
      </w:r>
      <w:proofErr w:type="spellEnd"/>
      <w:r w:rsidRPr="00B7408D">
        <w:rPr>
          <w:rFonts w:ascii="Book Antiqua" w:hAnsi="Book Antiqua"/>
          <w:lang w:val="en-US"/>
        </w:rPr>
        <w:t xml:space="preserve"> O, </w:t>
      </w:r>
      <w:proofErr w:type="spellStart"/>
      <w:r w:rsidRPr="00B7408D">
        <w:rPr>
          <w:rFonts w:ascii="Book Antiqua" w:hAnsi="Book Antiqua"/>
          <w:lang w:val="en-US"/>
        </w:rPr>
        <w:t>Fitó</w:t>
      </w:r>
      <w:proofErr w:type="spellEnd"/>
      <w:r w:rsidRPr="00B7408D">
        <w:rPr>
          <w:rFonts w:ascii="Book Antiqua" w:hAnsi="Book Antiqua"/>
          <w:lang w:val="en-US"/>
        </w:rPr>
        <w:t xml:space="preserve"> M, </w:t>
      </w:r>
      <w:proofErr w:type="spellStart"/>
      <w:r w:rsidRPr="00B7408D">
        <w:rPr>
          <w:rFonts w:ascii="Book Antiqua" w:hAnsi="Book Antiqua"/>
          <w:lang w:val="en-US"/>
        </w:rPr>
        <w:t>Covas</w:t>
      </w:r>
      <w:proofErr w:type="spellEnd"/>
      <w:r w:rsidRPr="00B7408D">
        <w:rPr>
          <w:rFonts w:ascii="Book Antiqua" w:hAnsi="Book Antiqua"/>
          <w:lang w:val="en-US"/>
        </w:rPr>
        <w:t xml:space="preserve"> MI, </w:t>
      </w:r>
      <w:proofErr w:type="spellStart"/>
      <w:r w:rsidRPr="00B7408D">
        <w:rPr>
          <w:rFonts w:ascii="Book Antiqua" w:hAnsi="Book Antiqua"/>
          <w:lang w:val="en-US"/>
        </w:rPr>
        <w:t>Solá</w:t>
      </w:r>
      <w:proofErr w:type="spellEnd"/>
      <w:r w:rsidRPr="00B7408D">
        <w:rPr>
          <w:rFonts w:ascii="Book Antiqua" w:hAnsi="Book Antiqua"/>
          <w:lang w:val="en-US"/>
        </w:rPr>
        <w:t xml:space="preserve"> R, </w:t>
      </w:r>
      <w:proofErr w:type="spellStart"/>
      <w:r w:rsidRPr="00B7408D">
        <w:rPr>
          <w:rFonts w:ascii="Book Antiqua" w:hAnsi="Book Antiqua"/>
          <w:lang w:val="en-US"/>
        </w:rPr>
        <w:t>Motilva</w:t>
      </w:r>
      <w:proofErr w:type="spellEnd"/>
      <w:r w:rsidRPr="00B7408D">
        <w:rPr>
          <w:rFonts w:ascii="Book Antiqua" w:hAnsi="Book Antiqua"/>
          <w:lang w:val="en-US"/>
        </w:rPr>
        <w:t xml:space="preserve"> MJ, </w:t>
      </w:r>
      <w:proofErr w:type="spellStart"/>
      <w:r w:rsidRPr="00B7408D">
        <w:rPr>
          <w:rFonts w:ascii="Book Antiqua" w:hAnsi="Book Antiqua"/>
          <w:lang w:val="en-US"/>
        </w:rPr>
        <w:t>Farré</w:t>
      </w:r>
      <w:proofErr w:type="spellEnd"/>
      <w:r w:rsidRPr="00B7408D">
        <w:rPr>
          <w:rFonts w:ascii="Book Antiqua" w:hAnsi="Book Antiqua"/>
          <w:lang w:val="en-US"/>
        </w:rPr>
        <w:t xml:space="preserve"> M, de la Torre R. Analysis of free </w:t>
      </w:r>
      <w:proofErr w:type="spellStart"/>
      <w:r w:rsidRPr="00B7408D">
        <w:rPr>
          <w:rFonts w:ascii="Book Antiqua" w:hAnsi="Book Antiqua"/>
          <w:lang w:val="en-US"/>
        </w:rPr>
        <w:t>hydroxytyrosol</w:t>
      </w:r>
      <w:proofErr w:type="spellEnd"/>
      <w:r w:rsidRPr="00B7408D">
        <w:rPr>
          <w:rFonts w:ascii="Book Antiqua" w:hAnsi="Book Antiqua"/>
          <w:lang w:val="en-US"/>
        </w:rPr>
        <w:t xml:space="preserve"> in human plasma following the administration of olive oil. </w:t>
      </w:r>
      <w:r w:rsidRPr="00B7408D">
        <w:rPr>
          <w:rFonts w:ascii="Book Antiqua" w:hAnsi="Book Antiqua"/>
          <w:i/>
          <w:lang w:val="en-US"/>
        </w:rPr>
        <w:t xml:space="preserve">J </w:t>
      </w:r>
      <w:proofErr w:type="spellStart"/>
      <w:r w:rsidRPr="00B7408D">
        <w:rPr>
          <w:rFonts w:ascii="Book Antiqua" w:hAnsi="Book Antiqua"/>
          <w:i/>
          <w:lang w:val="en-US"/>
        </w:rPr>
        <w:t>Chromatogr</w:t>
      </w:r>
      <w:proofErr w:type="spellEnd"/>
      <w:r w:rsidRPr="00B7408D">
        <w:rPr>
          <w:rFonts w:ascii="Book Antiqua" w:hAnsi="Book Antiqua"/>
          <w:i/>
          <w:lang w:val="en-US"/>
        </w:rPr>
        <w:t xml:space="preserve"> A</w:t>
      </w:r>
      <w:r w:rsidRPr="00B7408D">
        <w:rPr>
          <w:rFonts w:ascii="Book Antiqua" w:hAnsi="Book Antiqua"/>
          <w:lang w:val="en-US"/>
        </w:rPr>
        <w:t xml:space="preserve"> 2016; </w:t>
      </w:r>
      <w:r w:rsidRPr="00B7408D">
        <w:rPr>
          <w:rFonts w:ascii="Book Antiqua" w:hAnsi="Book Antiqua"/>
          <w:b/>
          <w:lang w:val="en-US"/>
        </w:rPr>
        <w:t>1437</w:t>
      </w:r>
      <w:r w:rsidRPr="00B7408D">
        <w:rPr>
          <w:rFonts w:ascii="Book Antiqua" w:hAnsi="Book Antiqua"/>
          <w:lang w:val="en-US"/>
        </w:rPr>
        <w:t>: 183-190 [PMID: 26877176 DOI: 10.1016/j.chroma.2016.02.016]</w:t>
      </w:r>
    </w:p>
    <w:p w14:paraId="22DD96B0"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108 </w:t>
      </w:r>
      <w:proofErr w:type="spellStart"/>
      <w:r w:rsidRPr="00B7408D">
        <w:rPr>
          <w:rFonts w:ascii="Book Antiqua" w:hAnsi="Book Antiqua"/>
          <w:b/>
          <w:lang w:val="en-US"/>
        </w:rPr>
        <w:t>Facchini</w:t>
      </w:r>
      <w:proofErr w:type="spellEnd"/>
      <w:r w:rsidRPr="00B7408D">
        <w:rPr>
          <w:rFonts w:ascii="Book Antiqua" w:hAnsi="Book Antiqua"/>
          <w:b/>
          <w:lang w:val="en-US"/>
        </w:rPr>
        <w:t xml:space="preserve"> A</w:t>
      </w:r>
      <w:r w:rsidRPr="00B7408D">
        <w:rPr>
          <w:rFonts w:ascii="Book Antiqua" w:hAnsi="Book Antiqua"/>
          <w:lang w:val="en-US"/>
        </w:rPr>
        <w:t xml:space="preserve">, </w:t>
      </w:r>
      <w:proofErr w:type="spellStart"/>
      <w:r w:rsidRPr="00B7408D">
        <w:rPr>
          <w:rFonts w:ascii="Book Antiqua" w:hAnsi="Book Antiqua"/>
          <w:lang w:val="en-US"/>
        </w:rPr>
        <w:t>Cetrullo</w:t>
      </w:r>
      <w:proofErr w:type="spellEnd"/>
      <w:r w:rsidRPr="00B7408D">
        <w:rPr>
          <w:rFonts w:ascii="Book Antiqua" w:hAnsi="Book Antiqua"/>
          <w:lang w:val="en-US"/>
        </w:rPr>
        <w:t xml:space="preserve"> S, </w:t>
      </w:r>
      <w:proofErr w:type="spellStart"/>
      <w:r w:rsidRPr="00B7408D">
        <w:rPr>
          <w:rFonts w:ascii="Book Antiqua" w:hAnsi="Book Antiqua"/>
          <w:lang w:val="en-US"/>
        </w:rPr>
        <w:t>D'Adamo</w:t>
      </w:r>
      <w:proofErr w:type="spellEnd"/>
      <w:r w:rsidRPr="00B7408D">
        <w:rPr>
          <w:rFonts w:ascii="Book Antiqua" w:hAnsi="Book Antiqua"/>
          <w:lang w:val="en-US"/>
        </w:rPr>
        <w:t xml:space="preserve"> S, </w:t>
      </w:r>
      <w:proofErr w:type="spellStart"/>
      <w:r w:rsidRPr="00B7408D">
        <w:rPr>
          <w:rFonts w:ascii="Book Antiqua" w:hAnsi="Book Antiqua"/>
          <w:lang w:val="en-US"/>
        </w:rPr>
        <w:t>Guidotti</w:t>
      </w:r>
      <w:proofErr w:type="spellEnd"/>
      <w:r w:rsidRPr="00B7408D">
        <w:rPr>
          <w:rFonts w:ascii="Book Antiqua" w:hAnsi="Book Antiqua"/>
          <w:lang w:val="en-US"/>
        </w:rPr>
        <w:t xml:space="preserve"> S, </w:t>
      </w:r>
      <w:proofErr w:type="spellStart"/>
      <w:r w:rsidRPr="00B7408D">
        <w:rPr>
          <w:rFonts w:ascii="Book Antiqua" w:hAnsi="Book Antiqua"/>
          <w:lang w:val="en-US"/>
        </w:rPr>
        <w:t>Minguzzi</w:t>
      </w:r>
      <w:proofErr w:type="spellEnd"/>
      <w:r w:rsidRPr="00B7408D">
        <w:rPr>
          <w:rFonts w:ascii="Book Antiqua" w:hAnsi="Book Antiqua"/>
          <w:lang w:val="en-US"/>
        </w:rPr>
        <w:t xml:space="preserve"> M, </w:t>
      </w:r>
      <w:proofErr w:type="spellStart"/>
      <w:r w:rsidRPr="00B7408D">
        <w:rPr>
          <w:rFonts w:ascii="Book Antiqua" w:hAnsi="Book Antiqua"/>
          <w:lang w:val="en-US"/>
        </w:rPr>
        <w:t>Facchini</w:t>
      </w:r>
      <w:proofErr w:type="spellEnd"/>
      <w:r w:rsidRPr="00B7408D">
        <w:rPr>
          <w:rFonts w:ascii="Book Antiqua" w:hAnsi="Book Antiqua"/>
          <w:lang w:val="en-US"/>
        </w:rPr>
        <w:t xml:space="preserve"> A, </w:t>
      </w:r>
      <w:proofErr w:type="spellStart"/>
      <w:r w:rsidRPr="00B7408D">
        <w:rPr>
          <w:rFonts w:ascii="Book Antiqua" w:hAnsi="Book Antiqua"/>
          <w:lang w:val="en-US"/>
        </w:rPr>
        <w:t>Borzì</w:t>
      </w:r>
      <w:proofErr w:type="spellEnd"/>
      <w:r w:rsidRPr="00B7408D">
        <w:rPr>
          <w:rFonts w:ascii="Book Antiqua" w:hAnsi="Book Antiqua"/>
          <w:lang w:val="en-US"/>
        </w:rPr>
        <w:t xml:space="preserve"> RM, </w:t>
      </w:r>
      <w:proofErr w:type="spellStart"/>
      <w:r w:rsidRPr="00B7408D">
        <w:rPr>
          <w:rFonts w:ascii="Book Antiqua" w:hAnsi="Book Antiqua"/>
          <w:lang w:val="en-US"/>
        </w:rPr>
        <w:t>Flamigni</w:t>
      </w:r>
      <w:proofErr w:type="spellEnd"/>
      <w:r w:rsidRPr="00B7408D">
        <w:rPr>
          <w:rFonts w:ascii="Book Antiqua" w:hAnsi="Book Antiqua"/>
          <w:lang w:val="en-US"/>
        </w:rPr>
        <w:t xml:space="preserve"> F. </w:t>
      </w:r>
      <w:proofErr w:type="spellStart"/>
      <w:r w:rsidRPr="00B7408D">
        <w:rPr>
          <w:rFonts w:ascii="Book Antiqua" w:hAnsi="Book Antiqua"/>
          <w:lang w:val="en-US"/>
        </w:rPr>
        <w:t>Hydroxytyrosol</w:t>
      </w:r>
      <w:proofErr w:type="spellEnd"/>
      <w:r w:rsidRPr="00B7408D">
        <w:rPr>
          <w:rFonts w:ascii="Book Antiqua" w:hAnsi="Book Antiqua"/>
          <w:lang w:val="en-US"/>
        </w:rPr>
        <w:t xml:space="preserve"> prevents increase of osteoarthritis markers in human chondrocytes treated with hydrogen peroxide or growth-related oncogene α. </w:t>
      </w:r>
      <w:proofErr w:type="spellStart"/>
      <w:r w:rsidRPr="00B7408D">
        <w:rPr>
          <w:rFonts w:ascii="Book Antiqua" w:hAnsi="Book Antiqua"/>
          <w:i/>
          <w:lang w:val="en-US"/>
        </w:rPr>
        <w:t>PLoS</w:t>
      </w:r>
      <w:proofErr w:type="spellEnd"/>
      <w:r w:rsidRPr="00B7408D">
        <w:rPr>
          <w:rFonts w:ascii="Book Antiqua" w:hAnsi="Book Antiqua"/>
          <w:i/>
          <w:lang w:val="en-US"/>
        </w:rPr>
        <w:t xml:space="preserve"> One</w:t>
      </w:r>
      <w:r w:rsidRPr="00B7408D">
        <w:rPr>
          <w:rFonts w:ascii="Book Antiqua" w:hAnsi="Book Antiqua"/>
          <w:lang w:val="en-US"/>
        </w:rPr>
        <w:t xml:space="preserve"> 2014; </w:t>
      </w:r>
      <w:r w:rsidRPr="00B7408D">
        <w:rPr>
          <w:rFonts w:ascii="Book Antiqua" w:hAnsi="Book Antiqua"/>
          <w:b/>
          <w:lang w:val="en-US"/>
        </w:rPr>
        <w:t>9</w:t>
      </w:r>
      <w:r w:rsidRPr="00B7408D">
        <w:rPr>
          <w:rFonts w:ascii="Book Antiqua" w:hAnsi="Book Antiqua"/>
          <w:lang w:val="en-US"/>
        </w:rPr>
        <w:t>: e109724 [PMID: 25279550 DOI: 10.1371/journal.pone.0109724]</w:t>
      </w:r>
    </w:p>
    <w:p w14:paraId="29EA9C48"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109 </w:t>
      </w:r>
      <w:proofErr w:type="spellStart"/>
      <w:r w:rsidRPr="00B7408D">
        <w:rPr>
          <w:rFonts w:ascii="Book Antiqua" w:hAnsi="Book Antiqua"/>
          <w:b/>
          <w:lang w:val="en-US"/>
        </w:rPr>
        <w:t>Kozłowska</w:t>
      </w:r>
      <w:proofErr w:type="spellEnd"/>
      <w:r w:rsidRPr="00B7408D">
        <w:rPr>
          <w:rFonts w:ascii="Book Antiqua" w:hAnsi="Book Antiqua"/>
          <w:b/>
          <w:lang w:val="en-US"/>
        </w:rPr>
        <w:t xml:space="preserve"> A</w:t>
      </w:r>
      <w:r w:rsidRPr="00B7408D">
        <w:rPr>
          <w:rFonts w:ascii="Book Antiqua" w:hAnsi="Book Antiqua"/>
          <w:lang w:val="en-US"/>
        </w:rPr>
        <w:t xml:space="preserve">, </w:t>
      </w:r>
      <w:proofErr w:type="spellStart"/>
      <w:r w:rsidRPr="00B7408D">
        <w:rPr>
          <w:rFonts w:ascii="Book Antiqua" w:hAnsi="Book Antiqua"/>
          <w:lang w:val="en-US"/>
        </w:rPr>
        <w:t>Szostak-Wegierek</w:t>
      </w:r>
      <w:proofErr w:type="spellEnd"/>
      <w:r w:rsidRPr="00B7408D">
        <w:rPr>
          <w:rFonts w:ascii="Book Antiqua" w:hAnsi="Book Antiqua"/>
          <w:lang w:val="en-US"/>
        </w:rPr>
        <w:t xml:space="preserve"> D. Flavonoids--food sources and health benefits. </w:t>
      </w:r>
      <w:proofErr w:type="spellStart"/>
      <w:r w:rsidRPr="00B7408D">
        <w:rPr>
          <w:rFonts w:ascii="Book Antiqua" w:hAnsi="Book Antiqua"/>
          <w:i/>
          <w:lang w:val="en-US"/>
        </w:rPr>
        <w:t>Rocz</w:t>
      </w:r>
      <w:proofErr w:type="spellEnd"/>
      <w:r w:rsidRPr="00B7408D">
        <w:rPr>
          <w:rFonts w:ascii="Book Antiqua" w:hAnsi="Book Antiqua"/>
          <w:i/>
          <w:lang w:val="en-US"/>
        </w:rPr>
        <w:t xml:space="preserve"> </w:t>
      </w:r>
      <w:proofErr w:type="spellStart"/>
      <w:r w:rsidRPr="00B7408D">
        <w:rPr>
          <w:rFonts w:ascii="Book Antiqua" w:hAnsi="Book Antiqua"/>
          <w:i/>
          <w:lang w:val="en-US"/>
        </w:rPr>
        <w:t>Panstw</w:t>
      </w:r>
      <w:proofErr w:type="spellEnd"/>
      <w:r w:rsidRPr="00B7408D">
        <w:rPr>
          <w:rFonts w:ascii="Book Antiqua" w:hAnsi="Book Antiqua"/>
          <w:i/>
          <w:lang w:val="en-US"/>
        </w:rPr>
        <w:t xml:space="preserve"> </w:t>
      </w:r>
      <w:proofErr w:type="spellStart"/>
      <w:r w:rsidRPr="00B7408D">
        <w:rPr>
          <w:rFonts w:ascii="Book Antiqua" w:hAnsi="Book Antiqua"/>
          <w:i/>
          <w:lang w:val="en-US"/>
        </w:rPr>
        <w:t>Zakl</w:t>
      </w:r>
      <w:proofErr w:type="spellEnd"/>
      <w:r w:rsidRPr="00B7408D">
        <w:rPr>
          <w:rFonts w:ascii="Book Antiqua" w:hAnsi="Book Antiqua"/>
          <w:i/>
          <w:lang w:val="en-US"/>
        </w:rPr>
        <w:t xml:space="preserve"> </w:t>
      </w:r>
      <w:proofErr w:type="spellStart"/>
      <w:r w:rsidRPr="00B7408D">
        <w:rPr>
          <w:rFonts w:ascii="Book Antiqua" w:hAnsi="Book Antiqua"/>
          <w:i/>
          <w:lang w:val="en-US"/>
        </w:rPr>
        <w:t>Hig</w:t>
      </w:r>
      <w:proofErr w:type="spellEnd"/>
      <w:r w:rsidRPr="00B7408D">
        <w:rPr>
          <w:rFonts w:ascii="Book Antiqua" w:hAnsi="Book Antiqua"/>
          <w:lang w:val="en-US"/>
        </w:rPr>
        <w:t xml:space="preserve"> 2014; </w:t>
      </w:r>
      <w:r w:rsidRPr="00B7408D">
        <w:rPr>
          <w:rFonts w:ascii="Book Antiqua" w:hAnsi="Book Antiqua"/>
          <w:b/>
          <w:lang w:val="en-US"/>
        </w:rPr>
        <w:t>65</w:t>
      </w:r>
      <w:r w:rsidRPr="00B7408D">
        <w:rPr>
          <w:rFonts w:ascii="Book Antiqua" w:hAnsi="Book Antiqua"/>
          <w:lang w:val="en-US"/>
        </w:rPr>
        <w:t>: 79-85 [PMID: 25272572]</w:t>
      </w:r>
    </w:p>
    <w:p w14:paraId="287A2E6E"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110 </w:t>
      </w:r>
      <w:r w:rsidRPr="00B7408D">
        <w:rPr>
          <w:rFonts w:ascii="Book Antiqua" w:hAnsi="Book Antiqua"/>
          <w:b/>
          <w:lang w:val="en-US"/>
        </w:rPr>
        <w:t>Liu L</w:t>
      </w:r>
      <w:r w:rsidRPr="00B7408D">
        <w:rPr>
          <w:rFonts w:ascii="Book Antiqua" w:hAnsi="Book Antiqua"/>
          <w:lang w:val="en-US"/>
        </w:rPr>
        <w:t xml:space="preserve">, Peng Z, Huang H, Xu Z, Wei X. Luteolin and apigenin activate the Oct-4/Sox2 signal via NFATc1 in human periodontal ligament cells. </w:t>
      </w:r>
      <w:r w:rsidRPr="00B7408D">
        <w:rPr>
          <w:rFonts w:ascii="Book Antiqua" w:hAnsi="Book Antiqua"/>
          <w:i/>
          <w:lang w:val="en-US"/>
        </w:rPr>
        <w:t>Cell Biol Int</w:t>
      </w:r>
      <w:r w:rsidRPr="00B7408D">
        <w:rPr>
          <w:rFonts w:ascii="Book Antiqua" w:hAnsi="Book Antiqua"/>
          <w:lang w:val="en-US"/>
        </w:rPr>
        <w:t xml:space="preserve"> 2016; </w:t>
      </w:r>
      <w:r w:rsidRPr="00B7408D">
        <w:rPr>
          <w:rFonts w:ascii="Book Antiqua" w:hAnsi="Book Antiqua"/>
          <w:b/>
          <w:lang w:val="en-US"/>
        </w:rPr>
        <w:t>40</w:t>
      </w:r>
      <w:r w:rsidRPr="00B7408D">
        <w:rPr>
          <w:rFonts w:ascii="Book Antiqua" w:hAnsi="Book Antiqua"/>
          <w:lang w:val="en-US"/>
        </w:rPr>
        <w:t>: 1094-1106 [PMID: 27449921 DOI: 10.1002/cbin.10648]</w:t>
      </w:r>
    </w:p>
    <w:p w14:paraId="7253F53E"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111 </w:t>
      </w:r>
      <w:proofErr w:type="spellStart"/>
      <w:r w:rsidRPr="00B7408D">
        <w:rPr>
          <w:rFonts w:ascii="Book Antiqua" w:hAnsi="Book Antiqua"/>
          <w:b/>
          <w:lang w:val="en-US"/>
        </w:rPr>
        <w:t>Calloni</w:t>
      </w:r>
      <w:proofErr w:type="spellEnd"/>
      <w:r w:rsidRPr="00B7408D">
        <w:rPr>
          <w:rFonts w:ascii="Book Antiqua" w:hAnsi="Book Antiqua"/>
          <w:b/>
          <w:lang w:val="en-US"/>
        </w:rPr>
        <w:t xml:space="preserve"> R</w:t>
      </w:r>
      <w:r w:rsidRPr="00B7408D">
        <w:rPr>
          <w:rFonts w:ascii="Book Antiqua" w:hAnsi="Book Antiqua"/>
          <w:lang w:val="en-US"/>
        </w:rPr>
        <w:t xml:space="preserve">, Cordero EA, </w:t>
      </w:r>
      <w:proofErr w:type="spellStart"/>
      <w:r w:rsidRPr="00B7408D">
        <w:rPr>
          <w:rFonts w:ascii="Book Antiqua" w:hAnsi="Book Antiqua"/>
          <w:lang w:val="en-US"/>
        </w:rPr>
        <w:t>Henriques</w:t>
      </w:r>
      <w:proofErr w:type="spellEnd"/>
      <w:r w:rsidRPr="00B7408D">
        <w:rPr>
          <w:rFonts w:ascii="Book Antiqua" w:hAnsi="Book Antiqua"/>
          <w:lang w:val="en-US"/>
        </w:rPr>
        <w:t xml:space="preserve"> JA, </w:t>
      </w:r>
      <w:proofErr w:type="spellStart"/>
      <w:r w:rsidRPr="00B7408D">
        <w:rPr>
          <w:rFonts w:ascii="Book Antiqua" w:hAnsi="Book Antiqua"/>
          <w:lang w:val="en-US"/>
        </w:rPr>
        <w:t>Bonatto</w:t>
      </w:r>
      <w:proofErr w:type="spellEnd"/>
      <w:r w:rsidRPr="00B7408D">
        <w:rPr>
          <w:rFonts w:ascii="Book Antiqua" w:hAnsi="Book Antiqua"/>
          <w:lang w:val="en-US"/>
        </w:rPr>
        <w:t xml:space="preserve"> D. Reviewing and updating the major molecular markers for stem cells. </w:t>
      </w:r>
      <w:r w:rsidRPr="00B7408D">
        <w:rPr>
          <w:rFonts w:ascii="Book Antiqua" w:hAnsi="Book Antiqua"/>
          <w:i/>
          <w:lang w:val="en-US"/>
        </w:rPr>
        <w:t>Stem Cells Dev</w:t>
      </w:r>
      <w:r w:rsidRPr="00B7408D">
        <w:rPr>
          <w:rFonts w:ascii="Book Antiqua" w:hAnsi="Book Antiqua"/>
          <w:lang w:val="en-US"/>
        </w:rPr>
        <w:t xml:space="preserve"> 2013; </w:t>
      </w:r>
      <w:r w:rsidRPr="00B7408D">
        <w:rPr>
          <w:rFonts w:ascii="Book Antiqua" w:hAnsi="Book Antiqua"/>
          <w:b/>
          <w:lang w:val="en-US"/>
        </w:rPr>
        <w:t>22</w:t>
      </w:r>
      <w:r w:rsidRPr="00B7408D">
        <w:rPr>
          <w:rFonts w:ascii="Book Antiqua" w:hAnsi="Book Antiqua"/>
          <w:lang w:val="en-US"/>
        </w:rPr>
        <w:t>: 1455-1476 [PMID: 23336433 DOI: 10.1089/scd.2012.0637]</w:t>
      </w:r>
    </w:p>
    <w:p w14:paraId="19F45013"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112 </w:t>
      </w:r>
      <w:proofErr w:type="spellStart"/>
      <w:r w:rsidRPr="00B7408D">
        <w:rPr>
          <w:rFonts w:ascii="Book Antiqua" w:hAnsi="Book Antiqua"/>
          <w:b/>
          <w:lang w:val="en-US"/>
        </w:rPr>
        <w:t>Xie</w:t>
      </w:r>
      <w:proofErr w:type="spellEnd"/>
      <w:r w:rsidRPr="00B7408D">
        <w:rPr>
          <w:rFonts w:ascii="Book Antiqua" w:hAnsi="Book Antiqua"/>
          <w:b/>
          <w:lang w:val="en-US"/>
        </w:rPr>
        <w:t xml:space="preserve"> Y</w:t>
      </w:r>
      <w:r w:rsidRPr="00B7408D">
        <w:rPr>
          <w:rFonts w:ascii="Book Antiqua" w:hAnsi="Book Antiqua"/>
          <w:lang w:val="en-US"/>
        </w:rPr>
        <w:t xml:space="preserve">, Li X, Xu J, Jiang Q, </w:t>
      </w:r>
      <w:proofErr w:type="spellStart"/>
      <w:r w:rsidRPr="00B7408D">
        <w:rPr>
          <w:rFonts w:ascii="Book Antiqua" w:hAnsi="Book Antiqua"/>
          <w:lang w:val="en-US"/>
        </w:rPr>
        <w:t>Xie</w:t>
      </w:r>
      <w:proofErr w:type="spellEnd"/>
      <w:r w:rsidRPr="00B7408D">
        <w:rPr>
          <w:rFonts w:ascii="Book Antiqua" w:hAnsi="Book Antiqua"/>
          <w:lang w:val="en-US"/>
        </w:rPr>
        <w:t xml:space="preserve"> H, He J, Chen D. Two phenolic antioxidants in </w:t>
      </w:r>
      <w:proofErr w:type="spellStart"/>
      <w:r w:rsidRPr="00B7408D">
        <w:rPr>
          <w:rFonts w:ascii="Book Antiqua" w:hAnsi="Book Antiqua"/>
          <w:lang w:val="en-US"/>
        </w:rPr>
        <w:t>Suoyang</w:t>
      </w:r>
      <w:proofErr w:type="spellEnd"/>
      <w:r w:rsidRPr="00B7408D">
        <w:rPr>
          <w:rFonts w:ascii="Book Antiqua" w:hAnsi="Book Antiqua"/>
          <w:lang w:val="en-US"/>
        </w:rPr>
        <w:t xml:space="preserve"> enhance viability of •OH-damaged mesenchymal stem cells: </w:t>
      </w:r>
      <w:r w:rsidRPr="00B7408D">
        <w:rPr>
          <w:rFonts w:ascii="Book Antiqua" w:hAnsi="Book Antiqua"/>
          <w:lang w:val="en-US"/>
        </w:rPr>
        <w:lastRenderedPageBreak/>
        <w:t xml:space="preserve">comparison and mechanistic chemistry. </w:t>
      </w:r>
      <w:r w:rsidRPr="00B7408D">
        <w:rPr>
          <w:rFonts w:ascii="Book Antiqua" w:hAnsi="Book Antiqua"/>
          <w:i/>
          <w:lang w:val="en-US"/>
        </w:rPr>
        <w:t>Chem Cent J</w:t>
      </w:r>
      <w:r w:rsidRPr="00B7408D">
        <w:rPr>
          <w:rFonts w:ascii="Book Antiqua" w:hAnsi="Book Antiqua"/>
          <w:lang w:val="en-US"/>
        </w:rPr>
        <w:t xml:space="preserve"> 2017; </w:t>
      </w:r>
      <w:r w:rsidRPr="00B7408D">
        <w:rPr>
          <w:rFonts w:ascii="Book Antiqua" w:hAnsi="Book Antiqua"/>
          <w:b/>
          <w:lang w:val="en-US"/>
        </w:rPr>
        <w:t>11</w:t>
      </w:r>
      <w:r w:rsidRPr="00B7408D">
        <w:rPr>
          <w:rFonts w:ascii="Book Antiqua" w:hAnsi="Book Antiqua"/>
          <w:lang w:val="en-US"/>
        </w:rPr>
        <w:t>: 84 [PMID: 29086885 DOI: 10.1186/s13065-017-0313-1]</w:t>
      </w:r>
    </w:p>
    <w:p w14:paraId="4CB0A8D1"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113 </w:t>
      </w:r>
      <w:r w:rsidRPr="00B7408D">
        <w:rPr>
          <w:rFonts w:ascii="Book Antiqua" w:hAnsi="Book Antiqua"/>
          <w:b/>
          <w:lang w:val="en-US"/>
        </w:rPr>
        <w:t>Park HS</w:t>
      </w:r>
      <w:r w:rsidRPr="00B7408D">
        <w:rPr>
          <w:rFonts w:ascii="Book Antiqua" w:hAnsi="Book Antiqua"/>
          <w:lang w:val="en-US"/>
        </w:rPr>
        <w:t xml:space="preserve">, Kim SH, Kim YS, Ryu SY, Hwang JT, Yang HJ, Kim GH, Kwon DY, Kim MS. </w:t>
      </w:r>
      <w:proofErr w:type="spellStart"/>
      <w:r w:rsidRPr="00B7408D">
        <w:rPr>
          <w:rFonts w:ascii="Book Antiqua" w:hAnsi="Book Antiqua"/>
          <w:lang w:val="en-US"/>
        </w:rPr>
        <w:t>Luteolin</w:t>
      </w:r>
      <w:proofErr w:type="spellEnd"/>
      <w:r w:rsidRPr="00B7408D">
        <w:rPr>
          <w:rFonts w:ascii="Book Antiqua" w:hAnsi="Book Antiqua"/>
          <w:lang w:val="en-US"/>
        </w:rPr>
        <w:t xml:space="preserve"> inhibits </w:t>
      </w:r>
      <w:proofErr w:type="spellStart"/>
      <w:r w:rsidRPr="00B7408D">
        <w:rPr>
          <w:rFonts w:ascii="Book Antiqua" w:hAnsi="Book Antiqua"/>
          <w:lang w:val="en-US"/>
        </w:rPr>
        <w:t>adipogenic</w:t>
      </w:r>
      <w:proofErr w:type="spellEnd"/>
      <w:r w:rsidRPr="00B7408D">
        <w:rPr>
          <w:rFonts w:ascii="Book Antiqua" w:hAnsi="Book Antiqua"/>
          <w:lang w:val="en-US"/>
        </w:rPr>
        <w:t xml:space="preserve"> differentiation by regulating </w:t>
      </w:r>
      <w:proofErr w:type="spellStart"/>
      <w:r w:rsidRPr="00B7408D">
        <w:rPr>
          <w:rFonts w:ascii="Book Antiqua" w:hAnsi="Book Antiqua"/>
          <w:lang w:val="en-US"/>
        </w:rPr>
        <w:t>PPARgamma</w:t>
      </w:r>
      <w:proofErr w:type="spellEnd"/>
      <w:r w:rsidRPr="00B7408D">
        <w:rPr>
          <w:rFonts w:ascii="Book Antiqua" w:hAnsi="Book Antiqua"/>
          <w:lang w:val="en-US"/>
        </w:rPr>
        <w:t xml:space="preserve"> activation. </w:t>
      </w:r>
      <w:proofErr w:type="spellStart"/>
      <w:r w:rsidRPr="00B7408D">
        <w:rPr>
          <w:rFonts w:ascii="Book Antiqua" w:hAnsi="Book Antiqua"/>
          <w:i/>
          <w:lang w:val="en-US"/>
        </w:rPr>
        <w:t>Biofactors</w:t>
      </w:r>
      <w:proofErr w:type="spellEnd"/>
      <w:r w:rsidRPr="00B7408D">
        <w:rPr>
          <w:rFonts w:ascii="Book Antiqua" w:hAnsi="Book Antiqua"/>
          <w:lang w:val="en-US"/>
        </w:rPr>
        <w:t xml:space="preserve"> 2009; </w:t>
      </w:r>
      <w:r w:rsidRPr="00B7408D">
        <w:rPr>
          <w:rFonts w:ascii="Book Antiqua" w:hAnsi="Book Antiqua"/>
          <w:b/>
          <w:lang w:val="en-US"/>
        </w:rPr>
        <w:t>35</w:t>
      </w:r>
      <w:r w:rsidRPr="00B7408D">
        <w:rPr>
          <w:rFonts w:ascii="Book Antiqua" w:hAnsi="Book Antiqua"/>
          <w:lang w:val="en-US"/>
        </w:rPr>
        <w:t>: 373-379 [PMID: 19353690 DOI: 10.1002/biof.38]</w:t>
      </w:r>
    </w:p>
    <w:p w14:paraId="30493171"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114 </w:t>
      </w:r>
      <w:r w:rsidRPr="00B7408D">
        <w:rPr>
          <w:rFonts w:ascii="Book Antiqua" w:hAnsi="Book Antiqua"/>
          <w:b/>
          <w:lang w:val="en-US"/>
        </w:rPr>
        <w:t>Lai CH</w:t>
      </w:r>
      <w:r w:rsidRPr="00B7408D">
        <w:rPr>
          <w:rFonts w:ascii="Book Antiqua" w:hAnsi="Book Antiqua"/>
          <w:lang w:val="en-US"/>
        </w:rPr>
        <w:t xml:space="preserve">, Wu YW, Yeh SD, Lin YH, Tsai YH. Effects of 6-Hydroxyflavone on Osteoblast Differentiation in MC3T3-E1 Cells. </w:t>
      </w:r>
      <w:proofErr w:type="spellStart"/>
      <w:r w:rsidRPr="00B7408D">
        <w:rPr>
          <w:rFonts w:ascii="Book Antiqua" w:hAnsi="Book Antiqua"/>
          <w:i/>
          <w:lang w:val="en-US"/>
        </w:rPr>
        <w:t>Evid</w:t>
      </w:r>
      <w:proofErr w:type="spellEnd"/>
      <w:r w:rsidRPr="00B7408D">
        <w:rPr>
          <w:rFonts w:ascii="Book Antiqua" w:hAnsi="Book Antiqua"/>
          <w:i/>
          <w:lang w:val="en-US"/>
        </w:rPr>
        <w:t xml:space="preserve"> Based Complement </w:t>
      </w:r>
      <w:proofErr w:type="spellStart"/>
      <w:r w:rsidRPr="00B7408D">
        <w:rPr>
          <w:rFonts w:ascii="Book Antiqua" w:hAnsi="Book Antiqua"/>
          <w:i/>
          <w:lang w:val="en-US"/>
        </w:rPr>
        <w:t>Alternat</w:t>
      </w:r>
      <w:proofErr w:type="spellEnd"/>
      <w:r w:rsidRPr="00B7408D">
        <w:rPr>
          <w:rFonts w:ascii="Book Antiqua" w:hAnsi="Book Antiqua"/>
          <w:i/>
          <w:lang w:val="en-US"/>
        </w:rPr>
        <w:t xml:space="preserve"> Med</w:t>
      </w:r>
      <w:r w:rsidRPr="00B7408D">
        <w:rPr>
          <w:rFonts w:ascii="Book Antiqua" w:hAnsi="Book Antiqua"/>
          <w:lang w:val="en-US"/>
        </w:rPr>
        <w:t xml:space="preserve"> 2014; </w:t>
      </w:r>
      <w:r w:rsidRPr="00B7408D">
        <w:rPr>
          <w:rFonts w:ascii="Book Antiqua" w:hAnsi="Book Antiqua"/>
          <w:b/>
          <w:lang w:val="en-US"/>
        </w:rPr>
        <w:t>2014</w:t>
      </w:r>
      <w:r w:rsidRPr="00B7408D">
        <w:rPr>
          <w:rFonts w:ascii="Book Antiqua" w:hAnsi="Book Antiqua"/>
          <w:lang w:val="en-US"/>
        </w:rPr>
        <w:t>: 924560 [PMID: 24795772 DOI: 10.1155/2014/924560]</w:t>
      </w:r>
    </w:p>
    <w:p w14:paraId="02FA9BE3"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115 </w:t>
      </w:r>
      <w:r w:rsidRPr="00B7408D">
        <w:rPr>
          <w:rFonts w:ascii="Book Antiqua" w:hAnsi="Book Antiqua"/>
          <w:b/>
          <w:lang w:val="en-US"/>
        </w:rPr>
        <w:t>Jing Z</w:t>
      </w:r>
      <w:r w:rsidRPr="00B7408D">
        <w:rPr>
          <w:rFonts w:ascii="Book Antiqua" w:hAnsi="Book Antiqua"/>
          <w:lang w:val="en-US"/>
        </w:rPr>
        <w:t xml:space="preserve">, Wang C, Yang Q, Wei X, </w:t>
      </w:r>
      <w:proofErr w:type="spellStart"/>
      <w:r w:rsidRPr="00B7408D">
        <w:rPr>
          <w:rFonts w:ascii="Book Antiqua" w:hAnsi="Book Antiqua"/>
          <w:lang w:val="en-US"/>
        </w:rPr>
        <w:t>Jin</w:t>
      </w:r>
      <w:proofErr w:type="spellEnd"/>
      <w:r w:rsidRPr="00B7408D">
        <w:rPr>
          <w:rFonts w:ascii="Book Antiqua" w:hAnsi="Book Antiqua"/>
          <w:lang w:val="en-US"/>
        </w:rPr>
        <w:t xml:space="preserve"> Y, </w:t>
      </w:r>
      <w:proofErr w:type="spellStart"/>
      <w:r w:rsidRPr="00B7408D">
        <w:rPr>
          <w:rFonts w:ascii="Book Antiqua" w:hAnsi="Book Antiqua"/>
          <w:lang w:val="en-US"/>
        </w:rPr>
        <w:t>Meng</w:t>
      </w:r>
      <w:proofErr w:type="spellEnd"/>
      <w:r w:rsidRPr="00B7408D">
        <w:rPr>
          <w:rFonts w:ascii="Book Antiqua" w:hAnsi="Book Antiqua"/>
          <w:lang w:val="en-US"/>
        </w:rPr>
        <w:t xml:space="preserve"> Q, Liu Q, Liu Z, Ma X, Liu K, Sun H, Liu M. Luteolin attenuates glucocorticoid-induced osteoporosis by regulating ERK/Lrp-5/GSK-3β signaling pathway in vivo and in vitro. </w:t>
      </w:r>
      <w:r w:rsidRPr="00B7408D">
        <w:rPr>
          <w:rFonts w:ascii="Book Antiqua" w:hAnsi="Book Antiqua"/>
          <w:i/>
          <w:lang w:val="en-US"/>
        </w:rPr>
        <w:t xml:space="preserve">J Cell </w:t>
      </w:r>
      <w:proofErr w:type="spellStart"/>
      <w:r w:rsidRPr="00B7408D">
        <w:rPr>
          <w:rFonts w:ascii="Book Antiqua" w:hAnsi="Book Antiqua"/>
          <w:i/>
          <w:lang w:val="en-US"/>
        </w:rPr>
        <w:t>Physiol</w:t>
      </w:r>
      <w:proofErr w:type="spellEnd"/>
      <w:r w:rsidRPr="00B7408D">
        <w:rPr>
          <w:rFonts w:ascii="Book Antiqua" w:hAnsi="Book Antiqua"/>
          <w:lang w:val="en-US"/>
        </w:rPr>
        <w:t xml:space="preserve"> 2019; </w:t>
      </w:r>
      <w:r w:rsidRPr="00B7408D">
        <w:rPr>
          <w:rFonts w:ascii="Book Antiqua" w:hAnsi="Book Antiqua"/>
          <w:b/>
          <w:lang w:val="en-US"/>
        </w:rPr>
        <w:t>234</w:t>
      </w:r>
      <w:r w:rsidRPr="00B7408D">
        <w:rPr>
          <w:rFonts w:ascii="Book Antiqua" w:hAnsi="Book Antiqua"/>
          <w:lang w:val="en-US"/>
        </w:rPr>
        <w:t>: 4472-4490 [PMID: 30192012 DOI: 10.1002/jcp.27252]</w:t>
      </w:r>
    </w:p>
    <w:p w14:paraId="633B1327" w14:textId="6E9A454F"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116 </w:t>
      </w:r>
      <w:r w:rsidRPr="00B7408D">
        <w:rPr>
          <w:rFonts w:ascii="Book Antiqua" w:hAnsi="Book Antiqua"/>
          <w:b/>
          <w:lang w:val="en-US"/>
        </w:rPr>
        <w:t>Huan-tian Z,</w:t>
      </w:r>
      <w:r w:rsidRPr="00B7408D">
        <w:rPr>
          <w:rFonts w:ascii="Book Antiqua" w:hAnsi="Book Antiqua"/>
          <w:lang w:val="en-US"/>
        </w:rPr>
        <w:t xml:space="preserve"> Zhen-gang Z, </w:t>
      </w:r>
      <w:proofErr w:type="spellStart"/>
      <w:r w:rsidRPr="00B7408D">
        <w:rPr>
          <w:rFonts w:ascii="Book Antiqua" w:hAnsi="Book Antiqua"/>
          <w:lang w:val="en-US"/>
        </w:rPr>
        <w:t>Jia</w:t>
      </w:r>
      <w:proofErr w:type="spellEnd"/>
      <w:r w:rsidRPr="00B7408D">
        <w:rPr>
          <w:rFonts w:ascii="Book Antiqua" w:hAnsi="Book Antiqua"/>
          <w:lang w:val="en-US"/>
        </w:rPr>
        <w:t xml:space="preserve">-hui C, </w:t>
      </w:r>
      <w:proofErr w:type="spellStart"/>
      <w:r w:rsidRPr="00B7408D">
        <w:rPr>
          <w:rFonts w:ascii="Book Antiqua" w:hAnsi="Book Antiqua"/>
          <w:lang w:val="en-US"/>
        </w:rPr>
        <w:t>Zu-jian</w:t>
      </w:r>
      <w:proofErr w:type="spellEnd"/>
      <w:r w:rsidRPr="00B7408D">
        <w:rPr>
          <w:rFonts w:ascii="Book Antiqua" w:hAnsi="Book Antiqua"/>
          <w:lang w:val="en-US"/>
        </w:rPr>
        <w:t xml:space="preserve"> L, </w:t>
      </w:r>
      <w:proofErr w:type="spellStart"/>
      <w:r w:rsidRPr="00B7408D">
        <w:rPr>
          <w:rFonts w:ascii="Book Antiqua" w:hAnsi="Book Antiqua"/>
          <w:lang w:val="en-US"/>
        </w:rPr>
        <w:t>Hao</w:t>
      </w:r>
      <w:proofErr w:type="spellEnd"/>
      <w:r w:rsidRPr="00B7408D">
        <w:rPr>
          <w:rFonts w:ascii="Book Antiqua" w:hAnsi="Book Antiqua"/>
          <w:lang w:val="en-US"/>
        </w:rPr>
        <w:t xml:space="preserve"> W, Ming-</w:t>
      </w:r>
      <w:proofErr w:type="spellStart"/>
      <w:r w:rsidRPr="00B7408D">
        <w:rPr>
          <w:rFonts w:ascii="Book Antiqua" w:hAnsi="Book Antiqua"/>
          <w:lang w:val="en-US"/>
        </w:rPr>
        <w:t>tao</w:t>
      </w:r>
      <w:proofErr w:type="spellEnd"/>
      <w:r w:rsidRPr="00B7408D">
        <w:rPr>
          <w:rFonts w:ascii="Book Antiqua" w:hAnsi="Book Antiqua"/>
          <w:lang w:val="en-US"/>
        </w:rPr>
        <w:t xml:space="preserve"> H, Xiao Z, Ping Y, </w:t>
      </w:r>
      <w:proofErr w:type="spellStart"/>
      <w:r w:rsidRPr="00B7408D">
        <w:rPr>
          <w:rFonts w:ascii="Book Antiqua" w:hAnsi="Book Antiqua"/>
          <w:lang w:val="en-US"/>
        </w:rPr>
        <w:t>Jia-qing</w:t>
      </w:r>
      <w:proofErr w:type="spellEnd"/>
      <w:r w:rsidRPr="00B7408D">
        <w:rPr>
          <w:rFonts w:ascii="Book Antiqua" w:hAnsi="Book Antiqua"/>
          <w:lang w:val="en-US"/>
        </w:rPr>
        <w:t xml:space="preserve"> Z. Apigenin accelerates lipopolysaccharide induced apoptosis in mesenchymal stem cells through suppressing vitamin D receptor expression. Chin Med J (</w:t>
      </w:r>
      <w:proofErr w:type="spellStart"/>
      <w:r w:rsidRPr="00B7408D">
        <w:rPr>
          <w:rFonts w:ascii="Book Antiqua" w:hAnsi="Book Antiqua"/>
          <w:lang w:val="en-US"/>
        </w:rPr>
        <w:t>Engl</w:t>
      </w:r>
      <w:proofErr w:type="spellEnd"/>
      <w:r w:rsidRPr="00B7408D">
        <w:rPr>
          <w:rFonts w:ascii="Book Antiqua" w:hAnsi="Book Antiqua"/>
          <w:lang w:val="en-US"/>
        </w:rPr>
        <w:t xml:space="preserve">) 2011; </w:t>
      </w:r>
      <w:r w:rsidRPr="00B7408D">
        <w:rPr>
          <w:rFonts w:ascii="Book Antiqua" w:hAnsi="Book Antiqua"/>
          <w:b/>
          <w:lang w:val="en-US"/>
        </w:rPr>
        <w:t>124</w:t>
      </w:r>
      <w:r w:rsidRPr="00B7408D">
        <w:rPr>
          <w:rFonts w:ascii="Book Antiqua" w:hAnsi="Book Antiqua"/>
          <w:lang w:val="en-US"/>
        </w:rPr>
        <w:t>: 3537-3545 [DOI: 10.3760/cma.j.issn.0366-6999.2011.21.019]</w:t>
      </w:r>
    </w:p>
    <w:p w14:paraId="6C5AA824"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117 </w:t>
      </w:r>
      <w:r w:rsidRPr="00B7408D">
        <w:rPr>
          <w:rFonts w:ascii="Book Antiqua" w:hAnsi="Book Antiqua"/>
          <w:b/>
          <w:lang w:val="en-US"/>
        </w:rPr>
        <w:t>Ono M</w:t>
      </w:r>
      <w:r w:rsidRPr="00B7408D">
        <w:rPr>
          <w:rFonts w:ascii="Book Antiqua" w:hAnsi="Book Antiqua"/>
          <w:lang w:val="en-US"/>
        </w:rPr>
        <w:t xml:space="preserve">, Fujimori K. Antiadipogenic effect of dietary apigenin through activation of AMPK in 3T3-L1 cells. </w:t>
      </w:r>
      <w:r w:rsidRPr="00B7408D">
        <w:rPr>
          <w:rFonts w:ascii="Book Antiqua" w:hAnsi="Book Antiqua"/>
          <w:i/>
          <w:lang w:val="en-US"/>
        </w:rPr>
        <w:t>J Agric Food Chem</w:t>
      </w:r>
      <w:r w:rsidRPr="00B7408D">
        <w:rPr>
          <w:rFonts w:ascii="Book Antiqua" w:hAnsi="Book Antiqua"/>
          <w:lang w:val="en-US"/>
        </w:rPr>
        <w:t xml:space="preserve"> 2011; </w:t>
      </w:r>
      <w:r w:rsidRPr="00B7408D">
        <w:rPr>
          <w:rFonts w:ascii="Book Antiqua" w:hAnsi="Book Antiqua"/>
          <w:b/>
          <w:lang w:val="en-US"/>
        </w:rPr>
        <w:t>59</w:t>
      </w:r>
      <w:r w:rsidRPr="00B7408D">
        <w:rPr>
          <w:rFonts w:ascii="Book Antiqua" w:hAnsi="Book Antiqua"/>
          <w:lang w:val="en-US"/>
        </w:rPr>
        <w:t>: 13346-13352 [PMID: 22098587 DOI: 10.1021/jf203490a]</w:t>
      </w:r>
    </w:p>
    <w:p w14:paraId="6CF17046"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118 </w:t>
      </w:r>
      <w:r w:rsidRPr="00B7408D">
        <w:rPr>
          <w:rFonts w:ascii="Book Antiqua" w:hAnsi="Book Antiqua"/>
          <w:b/>
          <w:lang w:val="en-US"/>
        </w:rPr>
        <w:t>Kim MA</w:t>
      </w:r>
      <w:r w:rsidRPr="00B7408D">
        <w:rPr>
          <w:rFonts w:ascii="Book Antiqua" w:hAnsi="Book Antiqua"/>
          <w:lang w:val="en-US"/>
        </w:rPr>
        <w:t xml:space="preserve">, Kang K, Lee HJ, Kim M, Kim CY, </w:t>
      </w:r>
      <w:proofErr w:type="spellStart"/>
      <w:r w:rsidRPr="00B7408D">
        <w:rPr>
          <w:rFonts w:ascii="Book Antiqua" w:hAnsi="Book Antiqua"/>
          <w:lang w:val="en-US"/>
        </w:rPr>
        <w:t>Nho</w:t>
      </w:r>
      <w:proofErr w:type="spellEnd"/>
      <w:r w:rsidRPr="00B7408D">
        <w:rPr>
          <w:rFonts w:ascii="Book Antiqua" w:hAnsi="Book Antiqua"/>
          <w:lang w:val="en-US"/>
        </w:rPr>
        <w:t xml:space="preserve"> CW. Apigenin isolated from Daphne </w:t>
      </w:r>
      <w:proofErr w:type="spellStart"/>
      <w:r w:rsidRPr="00B7408D">
        <w:rPr>
          <w:rFonts w:ascii="Book Antiqua" w:hAnsi="Book Antiqua"/>
          <w:lang w:val="en-US"/>
        </w:rPr>
        <w:t>genkwa</w:t>
      </w:r>
      <w:proofErr w:type="spellEnd"/>
      <w:r w:rsidRPr="00B7408D">
        <w:rPr>
          <w:rFonts w:ascii="Book Antiqua" w:hAnsi="Book Antiqua"/>
          <w:lang w:val="en-US"/>
        </w:rPr>
        <w:t xml:space="preserve"> </w:t>
      </w:r>
      <w:proofErr w:type="spellStart"/>
      <w:r w:rsidRPr="00B7408D">
        <w:rPr>
          <w:rFonts w:ascii="Book Antiqua" w:hAnsi="Book Antiqua"/>
          <w:lang w:val="en-US"/>
        </w:rPr>
        <w:t>Siebold</w:t>
      </w:r>
      <w:proofErr w:type="spellEnd"/>
      <w:r w:rsidRPr="00B7408D">
        <w:rPr>
          <w:rFonts w:ascii="Book Antiqua" w:hAnsi="Book Antiqua"/>
          <w:lang w:val="en-US"/>
        </w:rPr>
        <w:t xml:space="preserve"> et </w:t>
      </w:r>
      <w:proofErr w:type="spellStart"/>
      <w:r w:rsidRPr="00B7408D">
        <w:rPr>
          <w:rFonts w:ascii="Book Antiqua" w:hAnsi="Book Antiqua"/>
          <w:lang w:val="en-US"/>
        </w:rPr>
        <w:t>Zucc</w:t>
      </w:r>
      <w:proofErr w:type="spellEnd"/>
      <w:r w:rsidRPr="00B7408D">
        <w:rPr>
          <w:rFonts w:ascii="Book Antiqua" w:hAnsi="Book Antiqua"/>
          <w:lang w:val="en-US"/>
        </w:rPr>
        <w:t xml:space="preserve">. inhibits 3T3-L1 preadipocyte differentiation through a modulation of mitotic clonal expansion. </w:t>
      </w:r>
      <w:r w:rsidRPr="00B7408D">
        <w:rPr>
          <w:rFonts w:ascii="Book Antiqua" w:hAnsi="Book Antiqua"/>
          <w:i/>
          <w:lang w:val="en-US"/>
        </w:rPr>
        <w:t>Life Sci</w:t>
      </w:r>
      <w:r w:rsidRPr="00B7408D">
        <w:rPr>
          <w:rFonts w:ascii="Book Antiqua" w:hAnsi="Book Antiqua"/>
          <w:lang w:val="en-US"/>
        </w:rPr>
        <w:t xml:space="preserve"> 2014; </w:t>
      </w:r>
      <w:r w:rsidRPr="00B7408D">
        <w:rPr>
          <w:rFonts w:ascii="Book Antiqua" w:hAnsi="Book Antiqua"/>
          <w:b/>
          <w:lang w:val="en-US"/>
        </w:rPr>
        <w:t>101</w:t>
      </w:r>
      <w:r w:rsidRPr="00B7408D">
        <w:rPr>
          <w:rFonts w:ascii="Book Antiqua" w:hAnsi="Book Antiqua"/>
          <w:lang w:val="en-US"/>
        </w:rPr>
        <w:t>: 64-72 [PMID: 24582594 DOI: 10.1016/j.lfs.2014.02.012]</w:t>
      </w:r>
    </w:p>
    <w:p w14:paraId="056D2FBC"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119 </w:t>
      </w:r>
      <w:r w:rsidRPr="00B7408D">
        <w:rPr>
          <w:rFonts w:ascii="Book Antiqua" w:hAnsi="Book Antiqua"/>
          <w:b/>
          <w:lang w:val="en-US"/>
        </w:rPr>
        <w:t>Gómez-</w:t>
      </w:r>
      <w:proofErr w:type="spellStart"/>
      <w:r w:rsidRPr="00B7408D">
        <w:rPr>
          <w:rFonts w:ascii="Book Antiqua" w:hAnsi="Book Antiqua"/>
          <w:b/>
          <w:lang w:val="en-US"/>
        </w:rPr>
        <w:t>Zorita</w:t>
      </w:r>
      <w:proofErr w:type="spellEnd"/>
      <w:r w:rsidRPr="00B7408D">
        <w:rPr>
          <w:rFonts w:ascii="Book Antiqua" w:hAnsi="Book Antiqua"/>
          <w:b/>
          <w:lang w:val="en-US"/>
        </w:rPr>
        <w:t xml:space="preserve"> S</w:t>
      </w:r>
      <w:r w:rsidRPr="00B7408D">
        <w:rPr>
          <w:rFonts w:ascii="Book Antiqua" w:hAnsi="Book Antiqua"/>
          <w:lang w:val="en-US"/>
        </w:rPr>
        <w:t xml:space="preserve">, Lasa A, </w:t>
      </w:r>
      <w:proofErr w:type="spellStart"/>
      <w:r w:rsidRPr="00B7408D">
        <w:rPr>
          <w:rFonts w:ascii="Book Antiqua" w:hAnsi="Book Antiqua"/>
          <w:lang w:val="en-US"/>
        </w:rPr>
        <w:t>Abendaño</w:t>
      </w:r>
      <w:proofErr w:type="spellEnd"/>
      <w:r w:rsidRPr="00B7408D">
        <w:rPr>
          <w:rFonts w:ascii="Book Antiqua" w:hAnsi="Book Antiqua"/>
          <w:lang w:val="en-US"/>
        </w:rPr>
        <w:t xml:space="preserve"> N, </w:t>
      </w:r>
      <w:proofErr w:type="spellStart"/>
      <w:r w:rsidRPr="00B7408D">
        <w:rPr>
          <w:rFonts w:ascii="Book Antiqua" w:hAnsi="Book Antiqua"/>
          <w:lang w:val="en-US"/>
        </w:rPr>
        <w:t>Fernández-Quintela</w:t>
      </w:r>
      <w:proofErr w:type="spellEnd"/>
      <w:r w:rsidRPr="00B7408D">
        <w:rPr>
          <w:rFonts w:ascii="Book Antiqua" w:hAnsi="Book Antiqua"/>
          <w:lang w:val="en-US"/>
        </w:rPr>
        <w:t xml:space="preserve"> A, </w:t>
      </w:r>
      <w:proofErr w:type="spellStart"/>
      <w:r w:rsidRPr="00B7408D">
        <w:rPr>
          <w:rFonts w:ascii="Book Antiqua" w:hAnsi="Book Antiqua"/>
          <w:lang w:val="en-US"/>
        </w:rPr>
        <w:t>Mosqueda-Solís</w:t>
      </w:r>
      <w:proofErr w:type="spellEnd"/>
      <w:r w:rsidRPr="00B7408D">
        <w:rPr>
          <w:rFonts w:ascii="Book Antiqua" w:hAnsi="Book Antiqua"/>
          <w:lang w:val="en-US"/>
        </w:rPr>
        <w:t xml:space="preserve"> A, Garcia-</w:t>
      </w:r>
      <w:proofErr w:type="spellStart"/>
      <w:r w:rsidRPr="00B7408D">
        <w:rPr>
          <w:rFonts w:ascii="Book Antiqua" w:hAnsi="Book Antiqua"/>
          <w:lang w:val="en-US"/>
        </w:rPr>
        <w:t>Sobreviela</w:t>
      </w:r>
      <w:proofErr w:type="spellEnd"/>
      <w:r w:rsidRPr="00B7408D">
        <w:rPr>
          <w:rFonts w:ascii="Book Antiqua" w:hAnsi="Book Antiqua"/>
          <w:lang w:val="en-US"/>
        </w:rPr>
        <w:t xml:space="preserve"> MP, </w:t>
      </w:r>
      <w:proofErr w:type="spellStart"/>
      <w:r w:rsidRPr="00B7408D">
        <w:rPr>
          <w:rFonts w:ascii="Book Antiqua" w:hAnsi="Book Antiqua"/>
          <w:lang w:val="en-US"/>
        </w:rPr>
        <w:t>Arbonés-Mainar</w:t>
      </w:r>
      <w:proofErr w:type="spellEnd"/>
      <w:r w:rsidRPr="00B7408D">
        <w:rPr>
          <w:rFonts w:ascii="Book Antiqua" w:hAnsi="Book Antiqua"/>
          <w:lang w:val="en-US"/>
        </w:rPr>
        <w:t xml:space="preserve"> JM, Portillo MP. Phenolic compounds apigenin, hesperidin and kaempferol reduce in vitro lipid accumulation in human adipocytes. </w:t>
      </w:r>
      <w:r w:rsidRPr="00B7408D">
        <w:rPr>
          <w:rFonts w:ascii="Book Antiqua" w:hAnsi="Book Antiqua"/>
          <w:i/>
          <w:lang w:val="en-US"/>
        </w:rPr>
        <w:t xml:space="preserve">J </w:t>
      </w:r>
      <w:proofErr w:type="spellStart"/>
      <w:r w:rsidRPr="00B7408D">
        <w:rPr>
          <w:rFonts w:ascii="Book Antiqua" w:hAnsi="Book Antiqua"/>
          <w:i/>
          <w:lang w:val="en-US"/>
        </w:rPr>
        <w:t>Transl</w:t>
      </w:r>
      <w:proofErr w:type="spellEnd"/>
      <w:r w:rsidRPr="00B7408D">
        <w:rPr>
          <w:rFonts w:ascii="Book Antiqua" w:hAnsi="Book Antiqua"/>
          <w:i/>
          <w:lang w:val="en-US"/>
        </w:rPr>
        <w:t xml:space="preserve"> Med</w:t>
      </w:r>
      <w:r w:rsidRPr="00B7408D">
        <w:rPr>
          <w:rFonts w:ascii="Book Antiqua" w:hAnsi="Book Antiqua"/>
          <w:lang w:val="en-US"/>
        </w:rPr>
        <w:t xml:space="preserve"> 2017; </w:t>
      </w:r>
      <w:r w:rsidRPr="00B7408D">
        <w:rPr>
          <w:rFonts w:ascii="Book Antiqua" w:hAnsi="Book Antiqua"/>
          <w:b/>
          <w:lang w:val="en-US"/>
        </w:rPr>
        <w:t>15</w:t>
      </w:r>
      <w:r w:rsidRPr="00B7408D">
        <w:rPr>
          <w:rFonts w:ascii="Book Antiqua" w:hAnsi="Book Antiqua"/>
          <w:lang w:val="en-US"/>
        </w:rPr>
        <w:t>: 237 [PMID: 29162103 DOI: 10.1186/s12967-017-1343-0]</w:t>
      </w:r>
    </w:p>
    <w:p w14:paraId="48CCEDFA"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lastRenderedPageBreak/>
        <w:t xml:space="preserve">120 </w:t>
      </w:r>
      <w:r w:rsidRPr="00B7408D">
        <w:rPr>
          <w:rFonts w:ascii="Book Antiqua" w:hAnsi="Book Antiqua"/>
          <w:b/>
          <w:lang w:val="en-US"/>
        </w:rPr>
        <w:t>Jung WW</w:t>
      </w:r>
      <w:r w:rsidRPr="00B7408D">
        <w:rPr>
          <w:rFonts w:ascii="Book Antiqua" w:hAnsi="Book Antiqua"/>
          <w:lang w:val="en-US"/>
        </w:rPr>
        <w:t xml:space="preserve">. Protective effect of apigenin against oxidative stress-induced damage in osteoblastic cells. </w:t>
      </w:r>
      <w:r w:rsidRPr="00B7408D">
        <w:rPr>
          <w:rFonts w:ascii="Book Antiqua" w:hAnsi="Book Antiqua"/>
          <w:i/>
          <w:lang w:val="en-US"/>
        </w:rPr>
        <w:t>Int J Mol Med</w:t>
      </w:r>
      <w:r w:rsidRPr="00B7408D">
        <w:rPr>
          <w:rFonts w:ascii="Book Antiqua" w:hAnsi="Book Antiqua"/>
          <w:lang w:val="en-US"/>
        </w:rPr>
        <w:t xml:space="preserve"> 2014; </w:t>
      </w:r>
      <w:r w:rsidRPr="00B7408D">
        <w:rPr>
          <w:rFonts w:ascii="Book Antiqua" w:hAnsi="Book Antiqua"/>
          <w:b/>
          <w:lang w:val="en-US"/>
        </w:rPr>
        <w:t>33</w:t>
      </w:r>
      <w:r w:rsidRPr="00B7408D">
        <w:rPr>
          <w:rFonts w:ascii="Book Antiqua" w:hAnsi="Book Antiqua"/>
          <w:lang w:val="en-US"/>
        </w:rPr>
        <w:t>: 1327-1334 [PMID: 24573323 DOI: 10.3892/ijmm.2014.1666]</w:t>
      </w:r>
    </w:p>
    <w:p w14:paraId="78D26FE0"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121 </w:t>
      </w:r>
      <w:proofErr w:type="spellStart"/>
      <w:r w:rsidRPr="00B7408D">
        <w:rPr>
          <w:rFonts w:ascii="Book Antiqua" w:hAnsi="Book Antiqua"/>
          <w:b/>
          <w:lang w:val="en-US"/>
        </w:rPr>
        <w:t>Goto</w:t>
      </w:r>
      <w:proofErr w:type="spellEnd"/>
      <w:r w:rsidRPr="00B7408D">
        <w:rPr>
          <w:rFonts w:ascii="Book Antiqua" w:hAnsi="Book Antiqua"/>
          <w:b/>
          <w:lang w:val="en-US"/>
        </w:rPr>
        <w:t xml:space="preserve"> T</w:t>
      </w:r>
      <w:r w:rsidRPr="00B7408D">
        <w:rPr>
          <w:rFonts w:ascii="Book Antiqua" w:hAnsi="Book Antiqua"/>
          <w:lang w:val="en-US"/>
        </w:rPr>
        <w:t xml:space="preserve">, Hagiwara K, Shirai N, Yoshida K, Hagiwara H. </w:t>
      </w:r>
      <w:proofErr w:type="spellStart"/>
      <w:r w:rsidRPr="00B7408D">
        <w:rPr>
          <w:rFonts w:ascii="Book Antiqua" w:hAnsi="Book Antiqua"/>
          <w:lang w:val="en-US"/>
        </w:rPr>
        <w:t>Apigenin</w:t>
      </w:r>
      <w:proofErr w:type="spellEnd"/>
      <w:r w:rsidRPr="00B7408D">
        <w:rPr>
          <w:rFonts w:ascii="Book Antiqua" w:hAnsi="Book Antiqua"/>
          <w:lang w:val="en-US"/>
        </w:rPr>
        <w:t xml:space="preserve"> inhibits </w:t>
      </w:r>
      <w:proofErr w:type="spellStart"/>
      <w:r w:rsidRPr="00B7408D">
        <w:rPr>
          <w:rFonts w:ascii="Book Antiqua" w:hAnsi="Book Antiqua"/>
          <w:lang w:val="en-US"/>
        </w:rPr>
        <w:t>osteoblastogenesis</w:t>
      </w:r>
      <w:proofErr w:type="spellEnd"/>
      <w:r w:rsidRPr="00B7408D">
        <w:rPr>
          <w:rFonts w:ascii="Book Antiqua" w:hAnsi="Book Antiqua"/>
          <w:lang w:val="en-US"/>
        </w:rPr>
        <w:t xml:space="preserve"> and </w:t>
      </w:r>
      <w:proofErr w:type="spellStart"/>
      <w:r w:rsidRPr="00B7408D">
        <w:rPr>
          <w:rFonts w:ascii="Book Antiqua" w:hAnsi="Book Antiqua"/>
          <w:lang w:val="en-US"/>
        </w:rPr>
        <w:t>osteoclastogenesis</w:t>
      </w:r>
      <w:proofErr w:type="spellEnd"/>
      <w:r w:rsidRPr="00B7408D">
        <w:rPr>
          <w:rFonts w:ascii="Book Antiqua" w:hAnsi="Book Antiqua"/>
          <w:lang w:val="en-US"/>
        </w:rPr>
        <w:t xml:space="preserve"> and prevents bone loss in ovariectomized mice. </w:t>
      </w:r>
      <w:r w:rsidRPr="00B7408D">
        <w:rPr>
          <w:rFonts w:ascii="Book Antiqua" w:hAnsi="Book Antiqua"/>
          <w:i/>
          <w:lang w:val="en-US"/>
        </w:rPr>
        <w:t>Cytotechnology</w:t>
      </w:r>
      <w:r w:rsidRPr="00B7408D">
        <w:rPr>
          <w:rFonts w:ascii="Book Antiqua" w:hAnsi="Book Antiqua"/>
          <w:lang w:val="en-US"/>
        </w:rPr>
        <w:t xml:space="preserve"> 2015; </w:t>
      </w:r>
      <w:r w:rsidRPr="00B7408D">
        <w:rPr>
          <w:rFonts w:ascii="Book Antiqua" w:hAnsi="Book Antiqua"/>
          <w:b/>
          <w:lang w:val="en-US"/>
        </w:rPr>
        <w:t>67</w:t>
      </w:r>
      <w:r w:rsidRPr="00B7408D">
        <w:rPr>
          <w:rFonts w:ascii="Book Antiqua" w:hAnsi="Book Antiqua"/>
          <w:lang w:val="en-US"/>
        </w:rPr>
        <w:t>: 357-365 [PMID: 24500394 DOI: 10.1007/s10616-014-9694-3]</w:t>
      </w:r>
    </w:p>
    <w:p w14:paraId="3C1ADF55"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122 </w:t>
      </w:r>
      <w:r w:rsidRPr="00B7408D">
        <w:rPr>
          <w:rFonts w:ascii="Book Antiqua" w:hAnsi="Book Antiqua"/>
          <w:b/>
          <w:lang w:val="en-US"/>
        </w:rPr>
        <w:t>Zhang X</w:t>
      </w:r>
      <w:r w:rsidRPr="00B7408D">
        <w:rPr>
          <w:rFonts w:ascii="Book Antiqua" w:hAnsi="Book Antiqua"/>
          <w:lang w:val="en-US"/>
        </w:rPr>
        <w:t xml:space="preserve">, Zhou C, </w:t>
      </w:r>
      <w:proofErr w:type="spellStart"/>
      <w:r w:rsidRPr="00B7408D">
        <w:rPr>
          <w:rFonts w:ascii="Book Antiqua" w:hAnsi="Book Antiqua"/>
          <w:lang w:val="en-US"/>
        </w:rPr>
        <w:t>Zha</w:t>
      </w:r>
      <w:proofErr w:type="spellEnd"/>
      <w:r w:rsidRPr="00B7408D">
        <w:rPr>
          <w:rFonts w:ascii="Book Antiqua" w:hAnsi="Book Antiqua"/>
          <w:lang w:val="en-US"/>
        </w:rPr>
        <w:t xml:space="preserve"> X, Xu Z, Li L, Liu Y, Xu L, Cui L, Xu D, Zhu B. Apigenin promotes osteogenic differentiation of human mesenchymal stem cells through JNK and p38 MAPK pathways. </w:t>
      </w:r>
      <w:proofErr w:type="spellStart"/>
      <w:r w:rsidRPr="00B7408D">
        <w:rPr>
          <w:rFonts w:ascii="Book Antiqua" w:hAnsi="Book Antiqua"/>
          <w:i/>
          <w:lang w:val="en-US"/>
        </w:rPr>
        <w:t>Mol</w:t>
      </w:r>
      <w:proofErr w:type="spellEnd"/>
      <w:r w:rsidRPr="00B7408D">
        <w:rPr>
          <w:rFonts w:ascii="Book Antiqua" w:hAnsi="Book Antiqua"/>
          <w:i/>
          <w:lang w:val="en-US"/>
        </w:rPr>
        <w:t xml:space="preserve"> Cell </w:t>
      </w:r>
      <w:proofErr w:type="spellStart"/>
      <w:r w:rsidRPr="00B7408D">
        <w:rPr>
          <w:rFonts w:ascii="Book Antiqua" w:hAnsi="Book Antiqua"/>
          <w:i/>
          <w:lang w:val="en-US"/>
        </w:rPr>
        <w:t>Biochem</w:t>
      </w:r>
      <w:proofErr w:type="spellEnd"/>
      <w:r w:rsidRPr="00B7408D">
        <w:rPr>
          <w:rFonts w:ascii="Book Antiqua" w:hAnsi="Book Antiqua"/>
          <w:lang w:val="en-US"/>
        </w:rPr>
        <w:t xml:space="preserve"> 2015; </w:t>
      </w:r>
      <w:r w:rsidRPr="00B7408D">
        <w:rPr>
          <w:rFonts w:ascii="Book Antiqua" w:hAnsi="Book Antiqua"/>
          <w:b/>
          <w:lang w:val="en-US"/>
        </w:rPr>
        <w:t>407</w:t>
      </w:r>
      <w:r w:rsidRPr="00B7408D">
        <w:rPr>
          <w:rFonts w:ascii="Book Antiqua" w:hAnsi="Book Antiqua"/>
          <w:lang w:val="en-US"/>
        </w:rPr>
        <w:t>: 41-50 [PMID: 25994505 DOI: 10.1007/s11010-015-2452-9]</w:t>
      </w:r>
    </w:p>
    <w:p w14:paraId="6DF69C90"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123 </w:t>
      </w:r>
      <w:r w:rsidRPr="00B7408D">
        <w:rPr>
          <w:rFonts w:ascii="Book Antiqua" w:hAnsi="Book Antiqua"/>
          <w:b/>
          <w:lang w:val="en-US"/>
        </w:rPr>
        <w:t>Wang X</w:t>
      </w:r>
      <w:r w:rsidRPr="00B7408D">
        <w:rPr>
          <w:rFonts w:ascii="Book Antiqua" w:hAnsi="Book Antiqua"/>
          <w:lang w:val="en-US"/>
        </w:rPr>
        <w:t xml:space="preserve">, Goh CH, Li B. p38 mitogen-activated protein kinase regulates osteoblast differentiation through </w:t>
      </w:r>
      <w:proofErr w:type="spellStart"/>
      <w:r w:rsidRPr="00B7408D">
        <w:rPr>
          <w:rFonts w:ascii="Book Antiqua" w:hAnsi="Book Antiqua"/>
          <w:lang w:val="en-US"/>
        </w:rPr>
        <w:t>osterix</w:t>
      </w:r>
      <w:proofErr w:type="spellEnd"/>
      <w:r w:rsidRPr="00B7408D">
        <w:rPr>
          <w:rFonts w:ascii="Book Antiqua" w:hAnsi="Book Antiqua"/>
          <w:lang w:val="en-US"/>
        </w:rPr>
        <w:t xml:space="preserve">. </w:t>
      </w:r>
      <w:r w:rsidRPr="00B7408D">
        <w:rPr>
          <w:rFonts w:ascii="Book Antiqua" w:hAnsi="Book Antiqua"/>
          <w:i/>
          <w:lang w:val="en-US"/>
        </w:rPr>
        <w:t>Endocrinology</w:t>
      </w:r>
      <w:r w:rsidRPr="00B7408D">
        <w:rPr>
          <w:rFonts w:ascii="Book Antiqua" w:hAnsi="Book Antiqua"/>
          <w:lang w:val="en-US"/>
        </w:rPr>
        <w:t xml:space="preserve"> 2007; </w:t>
      </w:r>
      <w:r w:rsidRPr="00B7408D">
        <w:rPr>
          <w:rFonts w:ascii="Book Antiqua" w:hAnsi="Book Antiqua"/>
          <w:b/>
          <w:lang w:val="en-US"/>
        </w:rPr>
        <w:t>148</w:t>
      </w:r>
      <w:r w:rsidRPr="00B7408D">
        <w:rPr>
          <w:rFonts w:ascii="Book Antiqua" w:hAnsi="Book Antiqua"/>
          <w:lang w:val="en-US"/>
        </w:rPr>
        <w:t>: 1629-1637 [PMID: 17185377 DOI: 10.1210/en.2006-1000]</w:t>
      </w:r>
    </w:p>
    <w:p w14:paraId="28E1349A"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124 </w:t>
      </w:r>
      <w:proofErr w:type="spellStart"/>
      <w:r w:rsidRPr="00B7408D">
        <w:rPr>
          <w:rFonts w:ascii="Book Antiqua" w:hAnsi="Book Antiqua"/>
          <w:b/>
          <w:lang w:val="en-US"/>
        </w:rPr>
        <w:t>Hlima</w:t>
      </w:r>
      <w:proofErr w:type="spellEnd"/>
      <w:r w:rsidRPr="00B7408D">
        <w:rPr>
          <w:rFonts w:ascii="Book Antiqua" w:hAnsi="Book Antiqua"/>
          <w:b/>
          <w:lang w:val="en-US"/>
        </w:rPr>
        <w:t xml:space="preserve"> HB</w:t>
      </w:r>
      <w:r w:rsidRPr="00B7408D">
        <w:rPr>
          <w:rFonts w:ascii="Book Antiqua" w:hAnsi="Book Antiqua"/>
          <w:lang w:val="en-US"/>
        </w:rPr>
        <w:t xml:space="preserve">, </w:t>
      </w:r>
      <w:proofErr w:type="spellStart"/>
      <w:r w:rsidRPr="00B7408D">
        <w:rPr>
          <w:rFonts w:ascii="Book Antiqua" w:hAnsi="Book Antiqua"/>
          <w:lang w:val="en-US"/>
        </w:rPr>
        <w:t>Ayed</w:t>
      </w:r>
      <w:proofErr w:type="spellEnd"/>
      <w:r w:rsidRPr="00B7408D">
        <w:rPr>
          <w:rFonts w:ascii="Book Antiqua" w:hAnsi="Book Antiqua"/>
          <w:lang w:val="en-US"/>
        </w:rPr>
        <w:t xml:space="preserve"> RB, </w:t>
      </w:r>
      <w:proofErr w:type="spellStart"/>
      <w:r w:rsidRPr="00B7408D">
        <w:rPr>
          <w:rFonts w:ascii="Book Antiqua" w:hAnsi="Book Antiqua"/>
          <w:lang w:val="en-US"/>
        </w:rPr>
        <w:t>Ennouri</w:t>
      </w:r>
      <w:proofErr w:type="spellEnd"/>
      <w:r w:rsidRPr="00B7408D">
        <w:rPr>
          <w:rFonts w:ascii="Book Antiqua" w:hAnsi="Book Antiqua"/>
          <w:lang w:val="en-US"/>
        </w:rPr>
        <w:t xml:space="preserve"> K, </w:t>
      </w:r>
      <w:proofErr w:type="spellStart"/>
      <w:r w:rsidRPr="00B7408D">
        <w:rPr>
          <w:rFonts w:ascii="Book Antiqua" w:hAnsi="Book Antiqua"/>
          <w:lang w:val="en-US"/>
        </w:rPr>
        <w:t>Smaoui</w:t>
      </w:r>
      <w:proofErr w:type="spellEnd"/>
      <w:r w:rsidRPr="00B7408D">
        <w:rPr>
          <w:rFonts w:ascii="Book Antiqua" w:hAnsi="Book Antiqua"/>
          <w:lang w:val="en-US"/>
        </w:rPr>
        <w:t xml:space="preserve"> S. Geographical Discrimination of Virgin Olive Oils from the Tunisian Coasts by Combining Fatty Acids and Phenolic Acids Profiles within a Multivariate Analysis. </w:t>
      </w:r>
      <w:r w:rsidRPr="00B7408D">
        <w:rPr>
          <w:rFonts w:ascii="Book Antiqua" w:hAnsi="Book Antiqua"/>
          <w:i/>
          <w:lang w:val="en-US"/>
        </w:rPr>
        <w:t>J Oleo Sci</w:t>
      </w:r>
      <w:r w:rsidRPr="00B7408D">
        <w:rPr>
          <w:rFonts w:ascii="Book Antiqua" w:hAnsi="Book Antiqua"/>
          <w:lang w:val="en-US"/>
        </w:rPr>
        <w:t xml:space="preserve"> 2017; </w:t>
      </w:r>
      <w:r w:rsidRPr="00B7408D">
        <w:rPr>
          <w:rFonts w:ascii="Book Antiqua" w:hAnsi="Book Antiqua"/>
          <w:b/>
          <w:lang w:val="en-US"/>
        </w:rPr>
        <w:t>66</w:t>
      </w:r>
      <w:r w:rsidRPr="00B7408D">
        <w:rPr>
          <w:rFonts w:ascii="Book Antiqua" w:hAnsi="Book Antiqua"/>
          <w:lang w:val="en-US"/>
        </w:rPr>
        <w:t>: 963-971 [PMID: 28794314 DOI: 10.5650/jos.ess17080]</w:t>
      </w:r>
    </w:p>
    <w:p w14:paraId="62ABCE30" w14:textId="26E9A04F"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125 </w:t>
      </w:r>
      <w:r w:rsidRPr="00B7408D">
        <w:rPr>
          <w:rFonts w:ascii="Book Antiqua" w:hAnsi="Book Antiqua"/>
          <w:b/>
          <w:lang w:val="en-US"/>
        </w:rPr>
        <w:t>Itoh A</w:t>
      </w:r>
      <w:r w:rsidRPr="00B7408D">
        <w:rPr>
          <w:rFonts w:ascii="Book Antiqua" w:hAnsi="Book Antiqua"/>
          <w:lang w:val="en-US"/>
        </w:rPr>
        <w:t xml:space="preserve">, </w:t>
      </w:r>
      <w:proofErr w:type="spellStart"/>
      <w:r w:rsidRPr="00B7408D">
        <w:rPr>
          <w:rFonts w:ascii="Book Antiqua" w:hAnsi="Book Antiqua"/>
          <w:lang w:val="en-US"/>
        </w:rPr>
        <w:t>Isoda</w:t>
      </w:r>
      <w:proofErr w:type="spellEnd"/>
      <w:r w:rsidRPr="00B7408D">
        <w:rPr>
          <w:rFonts w:ascii="Book Antiqua" w:hAnsi="Book Antiqua"/>
          <w:lang w:val="en-US"/>
        </w:rPr>
        <w:t xml:space="preserve"> K, </w:t>
      </w:r>
      <w:proofErr w:type="spellStart"/>
      <w:r w:rsidRPr="00B7408D">
        <w:rPr>
          <w:rFonts w:ascii="Book Antiqua" w:hAnsi="Book Antiqua"/>
          <w:lang w:val="en-US"/>
        </w:rPr>
        <w:t>Kondoh</w:t>
      </w:r>
      <w:proofErr w:type="spellEnd"/>
      <w:r w:rsidRPr="00B7408D">
        <w:rPr>
          <w:rFonts w:ascii="Book Antiqua" w:hAnsi="Book Antiqua"/>
          <w:lang w:val="en-US"/>
        </w:rPr>
        <w:t xml:space="preserve"> M, </w:t>
      </w:r>
      <w:proofErr w:type="spellStart"/>
      <w:r w:rsidRPr="00B7408D">
        <w:rPr>
          <w:rFonts w:ascii="Book Antiqua" w:hAnsi="Book Antiqua"/>
          <w:lang w:val="en-US"/>
        </w:rPr>
        <w:t>Kawase</w:t>
      </w:r>
      <w:proofErr w:type="spellEnd"/>
      <w:r w:rsidRPr="00B7408D">
        <w:rPr>
          <w:rFonts w:ascii="Book Antiqua" w:hAnsi="Book Antiqua"/>
          <w:lang w:val="en-US"/>
        </w:rPr>
        <w:t xml:space="preserve"> M, </w:t>
      </w:r>
      <w:proofErr w:type="spellStart"/>
      <w:r w:rsidRPr="00B7408D">
        <w:rPr>
          <w:rFonts w:ascii="Book Antiqua" w:hAnsi="Book Antiqua"/>
          <w:lang w:val="en-US"/>
        </w:rPr>
        <w:t>Watari</w:t>
      </w:r>
      <w:proofErr w:type="spellEnd"/>
      <w:r w:rsidRPr="00B7408D">
        <w:rPr>
          <w:rFonts w:ascii="Book Antiqua" w:hAnsi="Book Antiqua"/>
          <w:lang w:val="en-US"/>
        </w:rPr>
        <w:t xml:space="preserve"> A, Kobayashi M, </w:t>
      </w:r>
      <w:proofErr w:type="spellStart"/>
      <w:r w:rsidRPr="00B7408D">
        <w:rPr>
          <w:rFonts w:ascii="Book Antiqua" w:hAnsi="Book Antiqua"/>
          <w:lang w:val="en-US"/>
        </w:rPr>
        <w:t>Tamesada</w:t>
      </w:r>
      <w:proofErr w:type="spellEnd"/>
      <w:r w:rsidRPr="00B7408D">
        <w:rPr>
          <w:rFonts w:ascii="Book Antiqua" w:hAnsi="Book Antiqua"/>
          <w:lang w:val="en-US"/>
        </w:rPr>
        <w:t xml:space="preserve"> M, Yagi K. </w:t>
      </w:r>
      <w:proofErr w:type="spellStart"/>
      <w:r w:rsidRPr="00B7408D">
        <w:rPr>
          <w:rFonts w:ascii="Book Antiqua" w:hAnsi="Book Antiqua"/>
          <w:lang w:val="en-US"/>
        </w:rPr>
        <w:t>Hepatoprotective</w:t>
      </w:r>
      <w:proofErr w:type="spellEnd"/>
      <w:r w:rsidRPr="00B7408D">
        <w:rPr>
          <w:rFonts w:ascii="Book Antiqua" w:hAnsi="Book Antiqua"/>
          <w:lang w:val="en-US"/>
        </w:rPr>
        <w:t xml:space="preserve"> effect of </w:t>
      </w:r>
      <w:proofErr w:type="spellStart"/>
      <w:r w:rsidRPr="00B7408D">
        <w:rPr>
          <w:rFonts w:ascii="Book Antiqua" w:hAnsi="Book Antiqua"/>
          <w:lang w:val="en-US"/>
        </w:rPr>
        <w:t>syringic</w:t>
      </w:r>
      <w:proofErr w:type="spellEnd"/>
      <w:r w:rsidRPr="00B7408D">
        <w:rPr>
          <w:rFonts w:ascii="Book Antiqua" w:hAnsi="Book Antiqua"/>
          <w:lang w:val="en-US"/>
        </w:rPr>
        <w:t xml:space="preserve"> acid and </w:t>
      </w:r>
      <w:proofErr w:type="spellStart"/>
      <w:r w:rsidRPr="00B7408D">
        <w:rPr>
          <w:rFonts w:ascii="Book Antiqua" w:hAnsi="Book Antiqua"/>
          <w:lang w:val="en-US"/>
        </w:rPr>
        <w:t>vanillic</w:t>
      </w:r>
      <w:proofErr w:type="spellEnd"/>
      <w:r w:rsidRPr="00B7408D">
        <w:rPr>
          <w:rFonts w:ascii="Book Antiqua" w:hAnsi="Book Antiqua"/>
          <w:lang w:val="en-US"/>
        </w:rPr>
        <w:t xml:space="preserve"> acid on CCl4-induced liver injury. </w:t>
      </w:r>
      <w:r w:rsidRPr="00B7408D">
        <w:rPr>
          <w:rFonts w:ascii="Book Antiqua" w:hAnsi="Book Antiqua"/>
          <w:i/>
          <w:lang w:val="en-US"/>
        </w:rPr>
        <w:t>Biol Pharm Bull</w:t>
      </w:r>
      <w:r w:rsidRPr="00B7408D">
        <w:rPr>
          <w:rFonts w:ascii="Book Antiqua" w:hAnsi="Book Antiqua"/>
          <w:lang w:val="en-US"/>
        </w:rPr>
        <w:t xml:space="preserve"> 2010; </w:t>
      </w:r>
      <w:r w:rsidRPr="00B7408D">
        <w:rPr>
          <w:rFonts w:ascii="Book Antiqua" w:hAnsi="Book Antiqua"/>
          <w:b/>
          <w:lang w:val="en-US"/>
        </w:rPr>
        <w:t>33</w:t>
      </w:r>
      <w:r w:rsidRPr="00B7408D">
        <w:rPr>
          <w:rFonts w:ascii="Book Antiqua" w:hAnsi="Book Antiqua"/>
          <w:lang w:val="en-US"/>
        </w:rPr>
        <w:t>: 983-987 [PMID: 20522963</w:t>
      </w:r>
      <w:r w:rsidR="000079E4" w:rsidRPr="00B7408D">
        <w:rPr>
          <w:rFonts w:ascii="Book Antiqua" w:hAnsi="Book Antiqua"/>
          <w:lang w:val="en-US"/>
        </w:rPr>
        <w:t xml:space="preserve"> DOI: 10.1248/bpb.33.983</w:t>
      </w:r>
      <w:r w:rsidRPr="00B7408D">
        <w:rPr>
          <w:rFonts w:ascii="Book Antiqua" w:hAnsi="Book Antiqua"/>
          <w:lang w:val="en-US"/>
        </w:rPr>
        <w:t>]</w:t>
      </w:r>
    </w:p>
    <w:p w14:paraId="7411E3E5"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126 </w:t>
      </w:r>
      <w:proofErr w:type="spellStart"/>
      <w:r w:rsidRPr="00B7408D">
        <w:rPr>
          <w:rFonts w:ascii="Book Antiqua" w:hAnsi="Book Antiqua"/>
          <w:b/>
          <w:lang w:val="en-US"/>
        </w:rPr>
        <w:t>Stanely</w:t>
      </w:r>
      <w:proofErr w:type="spellEnd"/>
      <w:r w:rsidRPr="00B7408D">
        <w:rPr>
          <w:rFonts w:ascii="Book Antiqua" w:hAnsi="Book Antiqua"/>
          <w:b/>
          <w:lang w:val="en-US"/>
        </w:rPr>
        <w:t xml:space="preserve"> </w:t>
      </w:r>
      <w:proofErr w:type="spellStart"/>
      <w:r w:rsidRPr="00B7408D">
        <w:rPr>
          <w:rFonts w:ascii="Book Antiqua" w:hAnsi="Book Antiqua"/>
          <w:b/>
          <w:lang w:val="en-US"/>
        </w:rPr>
        <w:t>Mainzen</w:t>
      </w:r>
      <w:proofErr w:type="spellEnd"/>
      <w:r w:rsidRPr="00B7408D">
        <w:rPr>
          <w:rFonts w:ascii="Book Antiqua" w:hAnsi="Book Antiqua"/>
          <w:b/>
          <w:lang w:val="en-US"/>
        </w:rPr>
        <w:t xml:space="preserve"> Prince P</w:t>
      </w:r>
      <w:r w:rsidRPr="00B7408D">
        <w:rPr>
          <w:rFonts w:ascii="Book Antiqua" w:hAnsi="Book Antiqua"/>
          <w:lang w:val="en-US"/>
        </w:rPr>
        <w:t xml:space="preserve">, </w:t>
      </w:r>
      <w:proofErr w:type="spellStart"/>
      <w:r w:rsidRPr="00B7408D">
        <w:rPr>
          <w:rFonts w:ascii="Book Antiqua" w:hAnsi="Book Antiqua"/>
          <w:lang w:val="en-US"/>
        </w:rPr>
        <w:t>Rajakumar</w:t>
      </w:r>
      <w:proofErr w:type="spellEnd"/>
      <w:r w:rsidRPr="00B7408D">
        <w:rPr>
          <w:rFonts w:ascii="Book Antiqua" w:hAnsi="Book Antiqua"/>
          <w:lang w:val="en-US"/>
        </w:rPr>
        <w:t xml:space="preserve"> S, </w:t>
      </w:r>
      <w:proofErr w:type="spellStart"/>
      <w:r w:rsidRPr="00B7408D">
        <w:rPr>
          <w:rFonts w:ascii="Book Antiqua" w:hAnsi="Book Antiqua"/>
          <w:lang w:val="en-US"/>
        </w:rPr>
        <w:t>Dhanasekar</w:t>
      </w:r>
      <w:proofErr w:type="spellEnd"/>
      <w:r w:rsidRPr="00B7408D">
        <w:rPr>
          <w:rFonts w:ascii="Book Antiqua" w:hAnsi="Book Antiqua"/>
          <w:lang w:val="en-US"/>
        </w:rPr>
        <w:t xml:space="preserve"> K. Protective effects of </w:t>
      </w:r>
      <w:proofErr w:type="spellStart"/>
      <w:r w:rsidRPr="00B7408D">
        <w:rPr>
          <w:rFonts w:ascii="Book Antiqua" w:hAnsi="Book Antiqua"/>
          <w:lang w:val="en-US"/>
        </w:rPr>
        <w:t>vanillic</w:t>
      </w:r>
      <w:proofErr w:type="spellEnd"/>
      <w:r w:rsidRPr="00B7408D">
        <w:rPr>
          <w:rFonts w:ascii="Book Antiqua" w:hAnsi="Book Antiqua"/>
          <w:lang w:val="en-US"/>
        </w:rPr>
        <w:t xml:space="preserve"> acid on electrocardiogram, lipid peroxidation, antioxidants, proinflammatory markers and histopathology in isoproterenol induced cardiotoxic rats. </w:t>
      </w:r>
      <w:proofErr w:type="spellStart"/>
      <w:r w:rsidRPr="00B7408D">
        <w:rPr>
          <w:rFonts w:ascii="Book Antiqua" w:hAnsi="Book Antiqua"/>
          <w:i/>
          <w:lang w:val="en-US"/>
        </w:rPr>
        <w:t>Eur</w:t>
      </w:r>
      <w:proofErr w:type="spellEnd"/>
      <w:r w:rsidRPr="00B7408D">
        <w:rPr>
          <w:rFonts w:ascii="Book Antiqua" w:hAnsi="Book Antiqua"/>
          <w:i/>
          <w:lang w:val="en-US"/>
        </w:rPr>
        <w:t xml:space="preserve"> J </w:t>
      </w:r>
      <w:proofErr w:type="spellStart"/>
      <w:r w:rsidRPr="00B7408D">
        <w:rPr>
          <w:rFonts w:ascii="Book Antiqua" w:hAnsi="Book Antiqua"/>
          <w:i/>
          <w:lang w:val="en-US"/>
        </w:rPr>
        <w:t>Pharmacol</w:t>
      </w:r>
      <w:proofErr w:type="spellEnd"/>
      <w:r w:rsidRPr="00B7408D">
        <w:rPr>
          <w:rFonts w:ascii="Book Antiqua" w:hAnsi="Book Antiqua"/>
          <w:lang w:val="en-US"/>
        </w:rPr>
        <w:t xml:space="preserve"> 2011; </w:t>
      </w:r>
      <w:r w:rsidRPr="00B7408D">
        <w:rPr>
          <w:rFonts w:ascii="Book Antiqua" w:hAnsi="Book Antiqua"/>
          <w:b/>
          <w:lang w:val="en-US"/>
        </w:rPr>
        <w:t>668</w:t>
      </w:r>
      <w:r w:rsidRPr="00B7408D">
        <w:rPr>
          <w:rFonts w:ascii="Book Antiqua" w:hAnsi="Book Antiqua"/>
          <w:lang w:val="en-US"/>
        </w:rPr>
        <w:t>: 233-240 [PMID: 21763302 DOI: 10.1016/j.ejphar.2011.06.053]</w:t>
      </w:r>
    </w:p>
    <w:p w14:paraId="6D60CDF0" w14:textId="0D46147A"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127 </w:t>
      </w:r>
      <w:r w:rsidRPr="00B7408D">
        <w:rPr>
          <w:rFonts w:ascii="Book Antiqua" w:hAnsi="Book Antiqua"/>
          <w:b/>
          <w:lang w:val="en-US"/>
        </w:rPr>
        <w:t>Li H</w:t>
      </w:r>
      <w:r w:rsidRPr="00B7408D">
        <w:rPr>
          <w:rFonts w:ascii="Book Antiqua" w:hAnsi="Book Antiqua"/>
          <w:lang w:val="en-US"/>
        </w:rPr>
        <w:t xml:space="preserve">, Li J, </w:t>
      </w:r>
      <w:proofErr w:type="spellStart"/>
      <w:r w:rsidRPr="00B7408D">
        <w:rPr>
          <w:rFonts w:ascii="Book Antiqua" w:hAnsi="Book Antiqua"/>
          <w:lang w:val="en-US"/>
        </w:rPr>
        <w:t>Prasain</w:t>
      </w:r>
      <w:proofErr w:type="spellEnd"/>
      <w:r w:rsidRPr="00B7408D">
        <w:rPr>
          <w:rFonts w:ascii="Book Antiqua" w:hAnsi="Book Antiqua"/>
          <w:lang w:val="en-US"/>
        </w:rPr>
        <w:t xml:space="preserve"> JK, </w:t>
      </w:r>
      <w:proofErr w:type="spellStart"/>
      <w:r w:rsidRPr="00B7408D">
        <w:rPr>
          <w:rFonts w:ascii="Book Antiqua" w:hAnsi="Book Antiqua"/>
          <w:lang w:val="en-US"/>
        </w:rPr>
        <w:t>Tezuka</w:t>
      </w:r>
      <w:proofErr w:type="spellEnd"/>
      <w:r w:rsidRPr="00B7408D">
        <w:rPr>
          <w:rFonts w:ascii="Book Antiqua" w:hAnsi="Book Antiqua"/>
          <w:lang w:val="en-US"/>
        </w:rPr>
        <w:t xml:space="preserve"> Y, </w:t>
      </w:r>
      <w:proofErr w:type="spellStart"/>
      <w:r w:rsidRPr="00B7408D">
        <w:rPr>
          <w:rFonts w:ascii="Book Antiqua" w:hAnsi="Book Antiqua"/>
          <w:lang w:val="en-US"/>
        </w:rPr>
        <w:t>Namba</w:t>
      </w:r>
      <w:proofErr w:type="spellEnd"/>
      <w:r w:rsidRPr="00B7408D">
        <w:rPr>
          <w:rFonts w:ascii="Book Antiqua" w:hAnsi="Book Antiqua"/>
          <w:lang w:val="en-US"/>
        </w:rPr>
        <w:t xml:space="preserve"> T, Miyahara T, Tonami S, </w:t>
      </w:r>
      <w:proofErr w:type="spellStart"/>
      <w:r w:rsidRPr="00B7408D">
        <w:rPr>
          <w:rFonts w:ascii="Book Antiqua" w:hAnsi="Book Antiqua"/>
          <w:lang w:val="en-US"/>
        </w:rPr>
        <w:t>Seto</w:t>
      </w:r>
      <w:proofErr w:type="spellEnd"/>
      <w:r w:rsidRPr="00B7408D">
        <w:rPr>
          <w:rFonts w:ascii="Book Antiqua" w:hAnsi="Book Antiqua"/>
          <w:lang w:val="en-US"/>
        </w:rPr>
        <w:t xml:space="preserve"> H, Tada T, </w:t>
      </w:r>
      <w:proofErr w:type="spellStart"/>
      <w:r w:rsidRPr="00B7408D">
        <w:rPr>
          <w:rFonts w:ascii="Book Antiqua" w:hAnsi="Book Antiqua"/>
          <w:lang w:val="en-US"/>
        </w:rPr>
        <w:t>Kadota</w:t>
      </w:r>
      <w:proofErr w:type="spellEnd"/>
      <w:r w:rsidRPr="00B7408D">
        <w:rPr>
          <w:rFonts w:ascii="Book Antiqua" w:hAnsi="Book Antiqua"/>
          <w:lang w:val="en-US"/>
        </w:rPr>
        <w:t xml:space="preserve"> S. </w:t>
      </w:r>
      <w:proofErr w:type="spellStart"/>
      <w:r w:rsidRPr="00B7408D">
        <w:rPr>
          <w:rFonts w:ascii="Book Antiqua" w:hAnsi="Book Antiqua"/>
          <w:lang w:val="en-US"/>
        </w:rPr>
        <w:t>Antiosteoporotic</w:t>
      </w:r>
      <w:proofErr w:type="spellEnd"/>
      <w:r w:rsidRPr="00B7408D">
        <w:rPr>
          <w:rFonts w:ascii="Book Antiqua" w:hAnsi="Book Antiqua"/>
          <w:lang w:val="en-US"/>
        </w:rPr>
        <w:t xml:space="preserve"> activity of the stems of </w:t>
      </w:r>
      <w:proofErr w:type="spellStart"/>
      <w:r w:rsidRPr="00B7408D">
        <w:rPr>
          <w:rFonts w:ascii="Book Antiqua" w:hAnsi="Book Antiqua"/>
          <w:lang w:val="en-US"/>
        </w:rPr>
        <w:t>Sambucus</w:t>
      </w:r>
      <w:proofErr w:type="spellEnd"/>
      <w:r w:rsidRPr="00B7408D">
        <w:rPr>
          <w:rFonts w:ascii="Book Antiqua" w:hAnsi="Book Antiqua"/>
          <w:lang w:val="en-US"/>
        </w:rPr>
        <w:t xml:space="preserve"> </w:t>
      </w:r>
      <w:proofErr w:type="spellStart"/>
      <w:r w:rsidRPr="00B7408D">
        <w:rPr>
          <w:rFonts w:ascii="Book Antiqua" w:hAnsi="Book Antiqua"/>
          <w:lang w:val="en-US"/>
        </w:rPr>
        <w:t>sieboldiana</w:t>
      </w:r>
      <w:proofErr w:type="spellEnd"/>
      <w:r w:rsidRPr="00B7408D">
        <w:rPr>
          <w:rFonts w:ascii="Book Antiqua" w:hAnsi="Book Antiqua"/>
          <w:lang w:val="en-US"/>
        </w:rPr>
        <w:t xml:space="preserve">. </w:t>
      </w:r>
      <w:r w:rsidRPr="00B7408D">
        <w:rPr>
          <w:rFonts w:ascii="Book Antiqua" w:hAnsi="Book Antiqua"/>
          <w:i/>
          <w:lang w:val="en-US"/>
        </w:rPr>
        <w:t>Biol Pharm Bull</w:t>
      </w:r>
      <w:r w:rsidRPr="00B7408D">
        <w:rPr>
          <w:rFonts w:ascii="Book Antiqua" w:hAnsi="Book Antiqua"/>
          <w:lang w:val="en-US"/>
        </w:rPr>
        <w:t xml:space="preserve"> 1998; </w:t>
      </w:r>
      <w:r w:rsidRPr="00B7408D">
        <w:rPr>
          <w:rFonts w:ascii="Book Antiqua" w:hAnsi="Book Antiqua"/>
          <w:b/>
          <w:lang w:val="en-US"/>
        </w:rPr>
        <w:t>21</w:t>
      </w:r>
      <w:r w:rsidRPr="00B7408D">
        <w:rPr>
          <w:rFonts w:ascii="Book Antiqua" w:hAnsi="Book Antiqua"/>
          <w:lang w:val="en-US"/>
        </w:rPr>
        <w:t>: 594-598 [PMID: 9657044</w:t>
      </w:r>
      <w:r w:rsidR="000079E4" w:rsidRPr="00B7408D">
        <w:rPr>
          <w:rFonts w:ascii="Book Antiqua" w:hAnsi="Book Antiqua"/>
          <w:lang w:val="en-US"/>
        </w:rPr>
        <w:t xml:space="preserve"> DOI: 10.1248/bpb.21.594</w:t>
      </w:r>
      <w:r w:rsidRPr="00B7408D">
        <w:rPr>
          <w:rFonts w:ascii="Book Antiqua" w:hAnsi="Book Antiqua"/>
          <w:lang w:val="en-US"/>
        </w:rPr>
        <w:t>]</w:t>
      </w:r>
    </w:p>
    <w:p w14:paraId="35C952DE"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lastRenderedPageBreak/>
        <w:t xml:space="preserve">128 </w:t>
      </w:r>
      <w:r w:rsidRPr="00B7408D">
        <w:rPr>
          <w:rFonts w:ascii="Book Antiqua" w:hAnsi="Book Antiqua"/>
          <w:b/>
          <w:lang w:val="en-US"/>
        </w:rPr>
        <w:t>Xiao HH</w:t>
      </w:r>
      <w:r w:rsidRPr="00B7408D">
        <w:rPr>
          <w:rFonts w:ascii="Book Antiqua" w:hAnsi="Book Antiqua"/>
          <w:lang w:val="en-US"/>
        </w:rPr>
        <w:t xml:space="preserve">, Gao QG, Zhang Y, Wong KC, Dai Y, Yao XS, Wong MS. </w:t>
      </w:r>
      <w:proofErr w:type="spellStart"/>
      <w:r w:rsidRPr="00B7408D">
        <w:rPr>
          <w:rFonts w:ascii="Book Antiqua" w:hAnsi="Book Antiqua"/>
          <w:lang w:val="en-US"/>
        </w:rPr>
        <w:t>Vanillic</w:t>
      </w:r>
      <w:proofErr w:type="spellEnd"/>
      <w:r w:rsidRPr="00B7408D">
        <w:rPr>
          <w:rFonts w:ascii="Book Antiqua" w:hAnsi="Book Antiqua"/>
          <w:lang w:val="en-US"/>
        </w:rPr>
        <w:t xml:space="preserve"> acid exerts </w:t>
      </w:r>
      <w:proofErr w:type="spellStart"/>
      <w:r w:rsidRPr="00B7408D">
        <w:rPr>
          <w:rFonts w:ascii="Book Antiqua" w:hAnsi="Book Antiqua"/>
          <w:lang w:val="en-US"/>
        </w:rPr>
        <w:t>oestrogen</w:t>
      </w:r>
      <w:proofErr w:type="spellEnd"/>
      <w:r w:rsidRPr="00B7408D">
        <w:rPr>
          <w:rFonts w:ascii="Book Antiqua" w:hAnsi="Book Antiqua"/>
          <w:lang w:val="en-US"/>
        </w:rPr>
        <w:t xml:space="preserve">-like activities in osteoblast-like UMR 106 cells through MAP kinase (MEK/ERK)-mediated ER signaling pathway. </w:t>
      </w:r>
      <w:r w:rsidRPr="00B7408D">
        <w:rPr>
          <w:rFonts w:ascii="Book Antiqua" w:hAnsi="Book Antiqua"/>
          <w:i/>
          <w:lang w:val="en-US"/>
        </w:rPr>
        <w:t xml:space="preserve">J Steroid </w:t>
      </w:r>
      <w:proofErr w:type="spellStart"/>
      <w:r w:rsidRPr="00B7408D">
        <w:rPr>
          <w:rFonts w:ascii="Book Antiqua" w:hAnsi="Book Antiqua"/>
          <w:i/>
          <w:lang w:val="en-US"/>
        </w:rPr>
        <w:t>Biochem</w:t>
      </w:r>
      <w:proofErr w:type="spellEnd"/>
      <w:r w:rsidRPr="00B7408D">
        <w:rPr>
          <w:rFonts w:ascii="Book Antiqua" w:hAnsi="Book Antiqua"/>
          <w:i/>
          <w:lang w:val="en-US"/>
        </w:rPr>
        <w:t xml:space="preserve"> </w:t>
      </w:r>
      <w:proofErr w:type="spellStart"/>
      <w:r w:rsidRPr="00B7408D">
        <w:rPr>
          <w:rFonts w:ascii="Book Antiqua" w:hAnsi="Book Antiqua"/>
          <w:i/>
          <w:lang w:val="en-US"/>
        </w:rPr>
        <w:t>Mol</w:t>
      </w:r>
      <w:proofErr w:type="spellEnd"/>
      <w:r w:rsidRPr="00B7408D">
        <w:rPr>
          <w:rFonts w:ascii="Book Antiqua" w:hAnsi="Book Antiqua"/>
          <w:i/>
          <w:lang w:val="en-US"/>
        </w:rPr>
        <w:t xml:space="preserve"> </w:t>
      </w:r>
      <w:proofErr w:type="spellStart"/>
      <w:r w:rsidRPr="00B7408D">
        <w:rPr>
          <w:rFonts w:ascii="Book Antiqua" w:hAnsi="Book Antiqua"/>
          <w:i/>
          <w:lang w:val="en-US"/>
        </w:rPr>
        <w:t>Biol</w:t>
      </w:r>
      <w:proofErr w:type="spellEnd"/>
      <w:r w:rsidRPr="00B7408D">
        <w:rPr>
          <w:rFonts w:ascii="Book Antiqua" w:hAnsi="Book Antiqua"/>
          <w:lang w:val="en-US"/>
        </w:rPr>
        <w:t xml:space="preserve"> 2014; </w:t>
      </w:r>
      <w:r w:rsidRPr="00B7408D">
        <w:rPr>
          <w:rFonts w:ascii="Book Antiqua" w:hAnsi="Book Antiqua"/>
          <w:b/>
          <w:lang w:val="en-US"/>
        </w:rPr>
        <w:t>144 Pt B</w:t>
      </w:r>
      <w:r w:rsidRPr="00B7408D">
        <w:rPr>
          <w:rFonts w:ascii="Book Antiqua" w:hAnsi="Book Antiqua"/>
          <w:lang w:val="en-US"/>
        </w:rPr>
        <w:t>: 382-391 [PMID: 25106917 DOI: 10.1016/j.jsbmb.2014.08.002]</w:t>
      </w:r>
    </w:p>
    <w:p w14:paraId="077CF108"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129 </w:t>
      </w:r>
      <w:proofErr w:type="spellStart"/>
      <w:r w:rsidRPr="00B7408D">
        <w:rPr>
          <w:rFonts w:ascii="Book Antiqua" w:hAnsi="Book Antiqua"/>
          <w:b/>
          <w:lang w:val="en-US"/>
        </w:rPr>
        <w:t>Mosqueda-Solís</w:t>
      </w:r>
      <w:proofErr w:type="spellEnd"/>
      <w:r w:rsidRPr="00B7408D">
        <w:rPr>
          <w:rFonts w:ascii="Book Antiqua" w:hAnsi="Book Antiqua"/>
          <w:b/>
          <w:lang w:val="en-US"/>
        </w:rPr>
        <w:t xml:space="preserve"> A</w:t>
      </w:r>
      <w:r w:rsidRPr="00B7408D">
        <w:rPr>
          <w:rFonts w:ascii="Book Antiqua" w:hAnsi="Book Antiqua"/>
          <w:lang w:val="en-US"/>
        </w:rPr>
        <w:t>, Lasa A, Gómez-</w:t>
      </w:r>
      <w:proofErr w:type="spellStart"/>
      <w:r w:rsidRPr="00B7408D">
        <w:rPr>
          <w:rFonts w:ascii="Book Antiqua" w:hAnsi="Book Antiqua"/>
          <w:lang w:val="en-US"/>
        </w:rPr>
        <w:t>Zorita</w:t>
      </w:r>
      <w:proofErr w:type="spellEnd"/>
      <w:r w:rsidRPr="00B7408D">
        <w:rPr>
          <w:rFonts w:ascii="Book Antiqua" w:hAnsi="Book Antiqua"/>
          <w:lang w:val="en-US"/>
        </w:rPr>
        <w:t xml:space="preserve"> S, </w:t>
      </w:r>
      <w:proofErr w:type="spellStart"/>
      <w:r w:rsidRPr="00B7408D">
        <w:rPr>
          <w:rFonts w:ascii="Book Antiqua" w:hAnsi="Book Antiqua"/>
          <w:lang w:val="en-US"/>
        </w:rPr>
        <w:t>Eseberri</w:t>
      </w:r>
      <w:proofErr w:type="spellEnd"/>
      <w:r w:rsidRPr="00B7408D">
        <w:rPr>
          <w:rFonts w:ascii="Book Antiqua" w:hAnsi="Book Antiqua"/>
          <w:lang w:val="en-US"/>
        </w:rPr>
        <w:t xml:space="preserve"> I, </w:t>
      </w:r>
      <w:proofErr w:type="spellStart"/>
      <w:r w:rsidRPr="00B7408D">
        <w:rPr>
          <w:rFonts w:ascii="Book Antiqua" w:hAnsi="Book Antiqua"/>
          <w:lang w:val="en-US"/>
        </w:rPr>
        <w:t>Picó</w:t>
      </w:r>
      <w:proofErr w:type="spellEnd"/>
      <w:r w:rsidRPr="00B7408D">
        <w:rPr>
          <w:rFonts w:ascii="Book Antiqua" w:hAnsi="Book Antiqua"/>
          <w:lang w:val="en-US"/>
        </w:rPr>
        <w:t xml:space="preserve"> C, Portillo MP. Screening of potential anti-</w:t>
      </w:r>
      <w:proofErr w:type="spellStart"/>
      <w:r w:rsidRPr="00B7408D">
        <w:rPr>
          <w:rFonts w:ascii="Book Antiqua" w:hAnsi="Book Antiqua"/>
          <w:lang w:val="en-US"/>
        </w:rPr>
        <w:t>adipogenic</w:t>
      </w:r>
      <w:proofErr w:type="spellEnd"/>
      <w:r w:rsidRPr="00B7408D">
        <w:rPr>
          <w:rFonts w:ascii="Book Antiqua" w:hAnsi="Book Antiqua"/>
          <w:lang w:val="en-US"/>
        </w:rPr>
        <w:t xml:space="preserve"> effects of phenolic compounds showing different chemical structure in 3T3-L1 preadipocytes. </w:t>
      </w:r>
      <w:r w:rsidRPr="00B7408D">
        <w:rPr>
          <w:rFonts w:ascii="Book Antiqua" w:hAnsi="Book Antiqua"/>
          <w:i/>
          <w:lang w:val="en-US"/>
        </w:rPr>
        <w:t xml:space="preserve">Food </w:t>
      </w:r>
      <w:proofErr w:type="spellStart"/>
      <w:r w:rsidRPr="00B7408D">
        <w:rPr>
          <w:rFonts w:ascii="Book Antiqua" w:hAnsi="Book Antiqua"/>
          <w:i/>
          <w:lang w:val="en-US"/>
        </w:rPr>
        <w:t>Funct</w:t>
      </w:r>
      <w:proofErr w:type="spellEnd"/>
      <w:r w:rsidRPr="00B7408D">
        <w:rPr>
          <w:rFonts w:ascii="Book Antiqua" w:hAnsi="Book Antiqua"/>
          <w:lang w:val="en-US"/>
        </w:rPr>
        <w:t xml:space="preserve"> 2017; </w:t>
      </w:r>
      <w:r w:rsidRPr="00B7408D">
        <w:rPr>
          <w:rFonts w:ascii="Book Antiqua" w:hAnsi="Book Antiqua"/>
          <w:b/>
          <w:lang w:val="en-US"/>
        </w:rPr>
        <w:t>8</w:t>
      </w:r>
      <w:r w:rsidRPr="00B7408D">
        <w:rPr>
          <w:rFonts w:ascii="Book Antiqua" w:hAnsi="Book Antiqua"/>
          <w:lang w:val="en-US"/>
        </w:rPr>
        <w:t>: 3576-3586 [PMID: 28884178 DOI: 10.1039/c7fo00679a]</w:t>
      </w:r>
    </w:p>
    <w:p w14:paraId="5F378656"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130 </w:t>
      </w:r>
      <w:proofErr w:type="spellStart"/>
      <w:r w:rsidRPr="00B7408D">
        <w:rPr>
          <w:rFonts w:ascii="Book Antiqua" w:hAnsi="Book Antiqua"/>
          <w:b/>
          <w:lang w:val="en-US"/>
        </w:rPr>
        <w:t>Srinivasulu</w:t>
      </w:r>
      <w:proofErr w:type="spellEnd"/>
      <w:r w:rsidRPr="00B7408D">
        <w:rPr>
          <w:rFonts w:ascii="Book Antiqua" w:hAnsi="Book Antiqua"/>
          <w:b/>
          <w:lang w:val="en-US"/>
        </w:rPr>
        <w:t xml:space="preserve"> C</w:t>
      </w:r>
      <w:r w:rsidRPr="00B7408D">
        <w:rPr>
          <w:rFonts w:ascii="Book Antiqua" w:hAnsi="Book Antiqua"/>
          <w:lang w:val="en-US"/>
        </w:rPr>
        <w:t xml:space="preserve">, </w:t>
      </w:r>
      <w:proofErr w:type="spellStart"/>
      <w:r w:rsidRPr="00B7408D">
        <w:rPr>
          <w:rFonts w:ascii="Book Antiqua" w:hAnsi="Book Antiqua"/>
          <w:lang w:val="en-US"/>
        </w:rPr>
        <w:t>Ramgopal</w:t>
      </w:r>
      <w:proofErr w:type="spellEnd"/>
      <w:r w:rsidRPr="00B7408D">
        <w:rPr>
          <w:rFonts w:ascii="Book Antiqua" w:hAnsi="Book Antiqua"/>
          <w:lang w:val="en-US"/>
        </w:rPr>
        <w:t xml:space="preserve"> M, </w:t>
      </w:r>
      <w:proofErr w:type="spellStart"/>
      <w:r w:rsidRPr="00B7408D">
        <w:rPr>
          <w:rFonts w:ascii="Book Antiqua" w:hAnsi="Book Antiqua"/>
          <w:lang w:val="en-US"/>
        </w:rPr>
        <w:t>Ramanjaneyulu</w:t>
      </w:r>
      <w:proofErr w:type="spellEnd"/>
      <w:r w:rsidRPr="00B7408D">
        <w:rPr>
          <w:rFonts w:ascii="Book Antiqua" w:hAnsi="Book Antiqua"/>
          <w:lang w:val="en-US"/>
        </w:rPr>
        <w:t xml:space="preserve"> G, </w:t>
      </w:r>
      <w:proofErr w:type="spellStart"/>
      <w:r w:rsidRPr="00B7408D">
        <w:rPr>
          <w:rFonts w:ascii="Book Antiqua" w:hAnsi="Book Antiqua"/>
          <w:lang w:val="en-US"/>
        </w:rPr>
        <w:t>Anuradha</w:t>
      </w:r>
      <w:proofErr w:type="spellEnd"/>
      <w:r w:rsidRPr="00B7408D">
        <w:rPr>
          <w:rFonts w:ascii="Book Antiqua" w:hAnsi="Book Antiqua"/>
          <w:lang w:val="en-US"/>
        </w:rPr>
        <w:t xml:space="preserve"> CM, Suresh Kumar C. Syringic acid (SA) </w:t>
      </w:r>
      <w:r w:rsidRPr="00B7408D">
        <w:rPr>
          <w:rFonts w:ascii="Times New Roman" w:hAnsi="Times New Roman" w:cs="Times New Roman"/>
          <w:lang w:val="en-US"/>
        </w:rPr>
        <w:t>‒</w:t>
      </w:r>
      <w:r w:rsidRPr="00B7408D">
        <w:rPr>
          <w:rFonts w:ascii="Book Antiqua" w:hAnsi="Book Antiqua"/>
          <w:lang w:val="en-US"/>
        </w:rPr>
        <w:t xml:space="preserve"> A Review of Its Occurrence, Biosynthesis, Pharmacological and Industrial Importance. </w:t>
      </w:r>
      <w:r w:rsidRPr="00B7408D">
        <w:rPr>
          <w:rFonts w:ascii="Book Antiqua" w:hAnsi="Book Antiqua"/>
          <w:i/>
          <w:lang w:val="en-US"/>
        </w:rPr>
        <w:t xml:space="preserve">Biomed </w:t>
      </w:r>
      <w:proofErr w:type="spellStart"/>
      <w:r w:rsidRPr="00B7408D">
        <w:rPr>
          <w:rFonts w:ascii="Book Antiqua" w:hAnsi="Book Antiqua"/>
          <w:i/>
          <w:lang w:val="en-US"/>
        </w:rPr>
        <w:t>Pharmacother</w:t>
      </w:r>
      <w:proofErr w:type="spellEnd"/>
      <w:r w:rsidRPr="00B7408D">
        <w:rPr>
          <w:rFonts w:ascii="Book Antiqua" w:hAnsi="Book Antiqua"/>
          <w:lang w:val="en-US"/>
        </w:rPr>
        <w:t xml:space="preserve"> 2018; </w:t>
      </w:r>
      <w:r w:rsidRPr="00B7408D">
        <w:rPr>
          <w:rFonts w:ascii="Book Antiqua" w:hAnsi="Book Antiqua"/>
          <w:b/>
          <w:lang w:val="en-US"/>
        </w:rPr>
        <w:t>108</w:t>
      </w:r>
      <w:r w:rsidRPr="00B7408D">
        <w:rPr>
          <w:rFonts w:ascii="Book Antiqua" w:hAnsi="Book Antiqua"/>
          <w:lang w:val="en-US"/>
        </w:rPr>
        <w:t>: 547-557 [PMID: 30243088 DOI: 10.1016/j.biopha.2018.09.069]</w:t>
      </w:r>
    </w:p>
    <w:p w14:paraId="7029878D"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131 </w:t>
      </w:r>
      <w:proofErr w:type="spellStart"/>
      <w:r w:rsidRPr="00B7408D">
        <w:rPr>
          <w:rFonts w:ascii="Book Antiqua" w:hAnsi="Book Antiqua"/>
          <w:b/>
          <w:lang w:val="en-US"/>
        </w:rPr>
        <w:t>Arumugam</w:t>
      </w:r>
      <w:proofErr w:type="spellEnd"/>
      <w:r w:rsidRPr="00B7408D">
        <w:rPr>
          <w:rFonts w:ascii="Book Antiqua" w:hAnsi="Book Antiqua"/>
          <w:b/>
          <w:lang w:val="en-US"/>
        </w:rPr>
        <w:t xml:space="preserve"> B</w:t>
      </w:r>
      <w:r w:rsidRPr="00B7408D">
        <w:rPr>
          <w:rFonts w:ascii="Book Antiqua" w:hAnsi="Book Antiqua"/>
          <w:lang w:val="en-US"/>
        </w:rPr>
        <w:t xml:space="preserve">, </w:t>
      </w:r>
      <w:proofErr w:type="spellStart"/>
      <w:r w:rsidRPr="00B7408D">
        <w:rPr>
          <w:rFonts w:ascii="Book Antiqua" w:hAnsi="Book Antiqua"/>
          <w:lang w:val="en-US"/>
        </w:rPr>
        <w:t>Balagangadharan</w:t>
      </w:r>
      <w:proofErr w:type="spellEnd"/>
      <w:r w:rsidRPr="00B7408D">
        <w:rPr>
          <w:rFonts w:ascii="Book Antiqua" w:hAnsi="Book Antiqua"/>
          <w:lang w:val="en-US"/>
        </w:rPr>
        <w:t xml:space="preserve"> K, </w:t>
      </w:r>
      <w:proofErr w:type="spellStart"/>
      <w:r w:rsidRPr="00B7408D">
        <w:rPr>
          <w:rFonts w:ascii="Book Antiqua" w:hAnsi="Book Antiqua"/>
          <w:lang w:val="en-US"/>
        </w:rPr>
        <w:t>Selvamurugan</w:t>
      </w:r>
      <w:proofErr w:type="spellEnd"/>
      <w:r w:rsidRPr="00B7408D">
        <w:rPr>
          <w:rFonts w:ascii="Book Antiqua" w:hAnsi="Book Antiqua"/>
          <w:lang w:val="en-US"/>
        </w:rPr>
        <w:t xml:space="preserve"> N. Syringic acid, a phenolic acid, promotes osteoblast differentiation by stimulation of Runx2 expression and targeting of Smad7 by miR-21 in mouse mesenchymal stem cells. </w:t>
      </w:r>
      <w:r w:rsidRPr="00B7408D">
        <w:rPr>
          <w:rFonts w:ascii="Book Antiqua" w:hAnsi="Book Antiqua"/>
          <w:i/>
          <w:lang w:val="en-US"/>
        </w:rPr>
        <w:t xml:space="preserve">J Cell </w:t>
      </w:r>
      <w:proofErr w:type="spellStart"/>
      <w:r w:rsidRPr="00B7408D">
        <w:rPr>
          <w:rFonts w:ascii="Book Antiqua" w:hAnsi="Book Antiqua"/>
          <w:i/>
          <w:lang w:val="en-US"/>
        </w:rPr>
        <w:t>Commun</w:t>
      </w:r>
      <w:proofErr w:type="spellEnd"/>
      <w:r w:rsidRPr="00B7408D">
        <w:rPr>
          <w:rFonts w:ascii="Book Antiqua" w:hAnsi="Book Antiqua"/>
          <w:i/>
          <w:lang w:val="en-US"/>
        </w:rPr>
        <w:t xml:space="preserve"> Signal</w:t>
      </w:r>
      <w:r w:rsidRPr="00B7408D">
        <w:rPr>
          <w:rFonts w:ascii="Book Antiqua" w:hAnsi="Book Antiqua"/>
          <w:lang w:val="en-US"/>
        </w:rPr>
        <w:t xml:space="preserve"> 2018; </w:t>
      </w:r>
      <w:r w:rsidRPr="00B7408D">
        <w:rPr>
          <w:rFonts w:ascii="Book Antiqua" w:hAnsi="Book Antiqua"/>
          <w:b/>
          <w:lang w:val="en-US"/>
        </w:rPr>
        <w:t>12</w:t>
      </w:r>
      <w:r w:rsidRPr="00B7408D">
        <w:rPr>
          <w:rFonts w:ascii="Book Antiqua" w:hAnsi="Book Antiqua"/>
          <w:lang w:val="en-US"/>
        </w:rPr>
        <w:t>: 561-573 [PMID: 29350343 DOI: 10.1007/s12079-018-0449-3]</w:t>
      </w:r>
    </w:p>
    <w:p w14:paraId="04422529"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132 </w:t>
      </w:r>
      <w:r w:rsidRPr="00B7408D">
        <w:rPr>
          <w:rFonts w:ascii="Book Antiqua" w:hAnsi="Book Antiqua"/>
          <w:b/>
          <w:lang w:val="en-US"/>
        </w:rPr>
        <w:t>Li X</w:t>
      </w:r>
      <w:r w:rsidRPr="00B7408D">
        <w:rPr>
          <w:rFonts w:ascii="Book Antiqua" w:hAnsi="Book Antiqua"/>
          <w:lang w:val="en-US"/>
        </w:rPr>
        <w:t xml:space="preserve">, Guo L, Liu Y, Su Y, </w:t>
      </w:r>
      <w:proofErr w:type="spellStart"/>
      <w:r w:rsidRPr="00B7408D">
        <w:rPr>
          <w:rFonts w:ascii="Book Antiqua" w:hAnsi="Book Antiqua"/>
          <w:lang w:val="en-US"/>
        </w:rPr>
        <w:t>Xie</w:t>
      </w:r>
      <w:proofErr w:type="spellEnd"/>
      <w:r w:rsidRPr="00B7408D">
        <w:rPr>
          <w:rFonts w:ascii="Book Antiqua" w:hAnsi="Book Antiqua"/>
          <w:lang w:val="en-US"/>
        </w:rPr>
        <w:t xml:space="preserve"> Y, Du J, Zhou J, Ding G, Wang H, Bai Y, Liu Y. MicroRNA-21 promotes osteogenesis of bone marrow mesenchymal stem cells via the Smad7-Smad1/5/8-Runx2 pathway. </w:t>
      </w:r>
      <w:proofErr w:type="spellStart"/>
      <w:r w:rsidRPr="00B7408D">
        <w:rPr>
          <w:rFonts w:ascii="Book Antiqua" w:hAnsi="Book Antiqua"/>
          <w:i/>
          <w:lang w:val="en-US"/>
        </w:rPr>
        <w:t>Biochem</w:t>
      </w:r>
      <w:proofErr w:type="spellEnd"/>
      <w:r w:rsidRPr="00B7408D">
        <w:rPr>
          <w:rFonts w:ascii="Book Antiqua" w:hAnsi="Book Antiqua"/>
          <w:i/>
          <w:lang w:val="en-US"/>
        </w:rPr>
        <w:t xml:space="preserve"> </w:t>
      </w:r>
      <w:proofErr w:type="spellStart"/>
      <w:r w:rsidRPr="00B7408D">
        <w:rPr>
          <w:rFonts w:ascii="Book Antiqua" w:hAnsi="Book Antiqua"/>
          <w:i/>
          <w:lang w:val="en-US"/>
        </w:rPr>
        <w:t>Biophys</w:t>
      </w:r>
      <w:proofErr w:type="spellEnd"/>
      <w:r w:rsidRPr="00B7408D">
        <w:rPr>
          <w:rFonts w:ascii="Book Antiqua" w:hAnsi="Book Antiqua"/>
          <w:i/>
          <w:lang w:val="en-US"/>
        </w:rPr>
        <w:t xml:space="preserve"> Res </w:t>
      </w:r>
      <w:proofErr w:type="spellStart"/>
      <w:r w:rsidRPr="00B7408D">
        <w:rPr>
          <w:rFonts w:ascii="Book Antiqua" w:hAnsi="Book Antiqua"/>
          <w:i/>
          <w:lang w:val="en-US"/>
        </w:rPr>
        <w:t>Commun</w:t>
      </w:r>
      <w:proofErr w:type="spellEnd"/>
      <w:r w:rsidRPr="00B7408D">
        <w:rPr>
          <w:rFonts w:ascii="Book Antiqua" w:hAnsi="Book Antiqua"/>
          <w:lang w:val="en-US"/>
        </w:rPr>
        <w:t xml:space="preserve"> 2017; </w:t>
      </w:r>
      <w:r w:rsidRPr="00B7408D">
        <w:rPr>
          <w:rFonts w:ascii="Book Antiqua" w:hAnsi="Book Antiqua"/>
          <w:b/>
          <w:lang w:val="en-US"/>
        </w:rPr>
        <w:t>493</w:t>
      </w:r>
      <w:r w:rsidRPr="00B7408D">
        <w:rPr>
          <w:rFonts w:ascii="Book Antiqua" w:hAnsi="Book Antiqua"/>
          <w:lang w:val="en-US"/>
        </w:rPr>
        <w:t>: 928-933 [PMID: 28943430 DOI: 10.1016/j.bbrc.2017.09.119]</w:t>
      </w:r>
    </w:p>
    <w:p w14:paraId="78984FF6"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133 </w:t>
      </w:r>
      <w:r w:rsidRPr="00B7408D">
        <w:rPr>
          <w:rFonts w:ascii="Book Antiqua" w:hAnsi="Book Antiqua"/>
          <w:b/>
          <w:lang w:val="en-US"/>
        </w:rPr>
        <w:t>Hu P</w:t>
      </w:r>
      <w:r w:rsidRPr="00B7408D">
        <w:rPr>
          <w:rFonts w:ascii="Book Antiqua" w:hAnsi="Book Antiqua"/>
          <w:lang w:val="en-US"/>
        </w:rPr>
        <w:t xml:space="preserve">, Chen X, Whitener RJ, </w:t>
      </w:r>
      <w:proofErr w:type="spellStart"/>
      <w:r w:rsidRPr="00B7408D">
        <w:rPr>
          <w:rFonts w:ascii="Book Antiqua" w:hAnsi="Book Antiqua"/>
          <w:lang w:val="en-US"/>
        </w:rPr>
        <w:t>Boder</w:t>
      </w:r>
      <w:proofErr w:type="spellEnd"/>
      <w:r w:rsidRPr="00B7408D">
        <w:rPr>
          <w:rFonts w:ascii="Book Antiqua" w:hAnsi="Book Antiqua"/>
          <w:lang w:val="en-US"/>
        </w:rPr>
        <w:t xml:space="preserve"> ET, Jones JO, </w:t>
      </w:r>
      <w:proofErr w:type="spellStart"/>
      <w:r w:rsidRPr="00B7408D">
        <w:rPr>
          <w:rFonts w:ascii="Book Antiqua" w:hAnsi="Book Antiqua"/>
          <w:lang w:val="en-US"/>
        </w:rPr>
        <w:t>Porollo</w:t>
      </w:r>
      <w:proofErr w:type="spellEnd"/>
      <w:r w:rsidRPr="00B7408D">
        <w:rPr>
          <w:rFonts w:ascii="Book Antiqua" w:hAnsi="Book Antiqua"/>
          <w:lang w:val="en-US"/>
        </w:rPr>
        <w:t xml:space="preserve"> A, Chen J, Zhao L. Effects of parabens on adipocyte differentiation. </w:t>
      </w:r>
      <w:proofErr w:type="spellStart"/>
      <w:r w:rsidRPr="00B7408D">
        <w:rPr>
          <w:rFonts w:ascii="Book Antiqua" w:hAnsi="Book Antiqua"/>
          <w:i/>
          <w:lang w:val="en-US"/>
        </w:rPr>
        <w:t>Toxicol</w:t>
      </w:r>
      <w:proofErr w:type="spellEnd"/>
      <w:r w:rsidRPr="00B7408D">
        <w:rPr>
          <w:rFonts w:ascii="Book Antiqua" w:hAnsi="Book Antiqua"/>
          <w:i/>
          <w:lang w:val="en-US"/>
        </w:rPr>
        <w:t xml:space="preserve"> </w:t>
      </w:r>
      <w:proofErr w:type="spellStart"/>
      <w:r w:rsidRPr="00B7408D">
        <w:rPr>
          <w:rFonts w:ascii="Book Antiqua" w:hAnsi="Book Antiqua"/>
          <w:i/>
          <w:lang w:val="en-US"/>
        </w:rPr>
        <w:t>Sci</w:t>
      </w:r>
      <w:proofErr w:type="spellEnd"/>
      <w:r w:rsidRPr="00B7408D">
        <w:rPr>
          <w:rFonts w:ascii="Book Antiqua" w:hAnsi="Book Antiqua"/>
          <w:lang w:val="en-US"/>
        </w:rPr>
        <w:t xml:space="preserve"> 2013; </w:t>
      </w:r>
      <w:r w:rsidRPr="00B7408D">
        <w:rPr>
          <w:rFonts w:ascii="Book Antiqua" w:hAnsi="Book Antiqua"/>
          <w:b/>
          <w:lang w:val="en-US"/>
        </w:rPr>
        <w:t>131</w:t>
      </w:r>
      <w:r w:rsidRPr="00B7408D">
        <w:rPr>
          <w:rFonts w:ascii="Book Antiqua" w:hAnsi="Book Antiqua"/>
          <w:lang w:val="en-US"/>
        </w:rPr>
        <w:t>: 56-70 [PMID: 22956630 DOI: 10.1093/</w:t>
      </w:r>
      <w:proofErr w:type="spellStart"/>
      <w:r w:rsidRPr="00B7408D">
        <w:rPr>
          <w:rFonts w:ascii="Book Antiqua" w:hAnsi="Book Antiqua"/>
          <w:lang w:val="en-US"/>
        </w:rPr>
        <w:t>toxsci</w:t>
      </w:r>
      <w:proofErr w:type="spellEnd"/>
      <w:r w:rsidRPr="00B7408D">
        <w:rPr>
          <w:rFonts w:ascii="Book Antiqua" w:hAnsi="Book Antiqua"/>
          <w:lang w:val="en-US"/>
        </w:rPr>
        <w:t>/kfs262]</w:t>
      </w:r>
    </w:p>
    <w:p w14:paraId="064087CF"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134 </w:t>
      </w:r>
      <w:proofErr w:type="spellStart"/>
      <w:r w:rsidRPr="00B7408D">
        <w:rPr>
          <w:rFonts w:ascii="Book Antiqua" w:hAnsi="Book Antiqua"/>
          <w:b/>
          <w:lang w:val="en-US"/>
        </w:rPr>
        <w:t>Ricciutelli</w:t>
      </w:r>
      <w:proofErr w:type="spellEnd"/>
      <w:r w:rsidRPr="00B7408D">
        <w:rPr>
          <w:rFonts w:ascii="Book Antiqua" w:hAnsi="Book Antiqua"/>
          <w:b/>
          <w:lang w:val="en-US"/>
        </w:rPr>
        <w:t xml:space="preserve"> M</w:t>
      </w:r>
      <w:r w:rsidRPr="00B7408D">
        <w:rPr>
          <w:rFonts w:ascii="Book Antiqua" w:hAnsi="Book Antiqua"/>
          <w:lang w:val="en-US"/>
        </w:rPr>
        <w:t xml:space="preserve">, Marconi S, </w:t>
      </w:r>
      <w:proofErr w:type="spellStart"/>
      <w:r w:rsidRPr="00B7408D">
        <w:rPr>
          <w:rFonts w:ascii="Book Antiqua" w:hAnsi="Book Antiqua"/>
          <w:lang w:val="en-US"/>
        </w:rPr>
        <w:t>Boarelli</w:t>
      </w:r>
      <w:proofErr w:type="spellEnd"/>
      <w:r w:rsidRPr="00B7408D">
        <w:rPr>
          <w:rFonts w:ascii="Book Antiqua" w:hAnsi="Book Antiqua"/>
          <w:lang w:val="en-US"/>
        </w:rPr>
        <w:t xml:space="preserve"> MC, </w:t>
      </w:r>
      <w:proofErr w:type="spellStart"/>
      <w:r w:rsidRPr="00B7408D">
        <w:rPr>
          <w:rFonts w:ascii="Book Antiqua" w:hAnsi="Book Antiqua"/>
          <w:lang w:val="en-US"/>
        </w:rPr>
        <w:t>Caprioli</w:t>
      </w:r>
      <w:proofErr w:type="spellEnd"/>
      <w:r w:rsidRPr="00B7408D">
        <w:rPr>
          <w:rFonts w:ascii="Book Antiqua" w:hAnsi="Book Antiqua"/>
          <w:lang w:val="en-US"/>
        </w:rPr>
        <w:t xml:space="preserve"> G, </w:t>
      </w:r>
      <w:proofErr w:type="spellStart"/>
      <w:r w:rsidRPr="00B7408D">
        <w:rPr>
          <w:rFonts w:ascii="Book Antiqua" w:hAnsi="Book Antiqua"/>
          <w:lang w:val="en-US"/>
        </w:rPr>
        <w:t>Sagratini</w:t>
      </w:r>
      <w:proofErr w:type="spellEnd"/>
      <w:r w:rsidRPr="00B7408D">
        <w:rPr>
          <w:rFonts w:ascii="Book Antiqua" w:hAnsi="Book Antiqua"/>
          <w:lang w:val="en-US"/>
        </w:rPr>
        <w:t xml:space="preserve"> G, </w:t>
      </w:r>
      <w:proofErr w:type="spellStart"/>
      <w:r w:rsidRPr="00B7408D">
        <w:rPr>
          <w:rFonts w:ascii="Book Antiqua" w:hAnsi="Book Antiqua"/>
          <w:lang w:val="en-US"/>
        </w:rPr>
        <w:t>Ballini</w:t>
      </w:r>
      <w:proofErr w:type="spellEnd"/>
      <w:r w:rsidRPr="00B7408D">
        <w:rPr>
          <w:rFonts w:ascii="Book Antiqua" w:hAnsi="Book Antiqua"/>
          <w:lang w:val="en-US"/>
        </w:rPr>
        <w:t xml:space="preserve"> R, </w:t>
      </w:r>
      <w:proofErr w:type="spellStart"/>
      <w:r w:rsidRPr="00B7408D">
        <w:rPr>
          <w:rFonts w:ascii="Book Antiqua" w:hAnsi="Book Antiqua"/>
          <w:lang w:val="en-US"/>
        </w:rPr>
        <w:t>Fiorini</w:t>
      </w:r>
      <w:proofErr w:type="spellEnd"/>
      <w:r w:rsidRPr="00B7408D">
        <w:rPr>
          <w:rFonts w:ascii="Book Antiqua" w:hAnsi="Book Antiqua"/>
          <w:lang w:val="en-US"/>
        </w:rPr>
        <w:t xml:space="preserve"> D. Olive oil polyphenols: A quantitative method by high-performance liquid-chromatography-diode-array detection for their determination and the assessment of the related health claim. </w:t>
      </w:r>
      <w:r w:rsidRPr="00B7408D">
        <w:rPr>
          <w:rFonts w:ascii="Book Antiqua" w:hAnsi="Book Antiqua"/>
          <w:i/>
          <w:lang w:val="en-US"/>
        </w:rPr>
        <w:t xml:space="preserve">J </w:t>
      </w:r>
      <w:proofErr w:type="spellStart"/>
      <w:r w:rsidRPr="00B7408D">
        <w:rPr>
          <w:rFonts w:ascii="Book Antiqua" w:hAnsi="Book Antiqua"/>
          <w:i/>
          <w:lang w:val="en-US"/>
        </w:rPr>
        <w:t>Chromatogr</w:t>
      </w:r>
      <w:proofErr w:type="spellEnd"/>
      <w:r w:rsidRPr="00B7408D">
        <w:rPr>
          <w:rFonts w:ascii="Book Antiqua" w:hAnsi="Book Antiqua"/>
          <w:i/>
          <w:lang w:val="en-US"/>
        </w:rPr>
        <w:t xml:space="preserve"> A</w:t>
      </w:r>
      <w:r w:rsidRPr="00B7408D">
        <w:rPr>
          <w:rFonts w:ascii="Book Antiqua" w:hAnsi="Book Antiqua"/>
          <w:lang w:val="en-US"/>
        </w:rPr>
        <w:t xml:space="preserve"> 2017; </w:t>
      </w:r>
      <w:r w:rsidRPr="00B7408D">
        <w:rPr>
          <w:rFonts w:ascii="Book Antiqua" w:hAnsi="Book Antiqua"/>
          <w:b/>
          <w:lang w:val="en-US"/>
        </w:rPr>
        <w:t>1481</w:t>
      </w:r>
      <w:r w:rsidRPr="00B7408D">
        <w:rPr>
          <w:rFonts w:ascii="Book Antiqua" w:hAnsi="Book Antiqua"/>
          <w:lang w:val="en-US"/>
        </w:rPr>
        <w:t>: 53-63 [PMID: 28024731 DOI: 10.1016/j.chroma.2016.12.020]</w:t>
      </w:r>
    </w:p>
    <w:p w14:paraId="74A6B1FD"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lastRenderedPageBreak/>
        <w:t xml:space="preserve">135 </w:t>
      </w:r>
      <w:r w:rsidRPr="00B7408D">
        <w:rPr>
          <w:rFonts w:ascii="Book Antiqua" w:hAnsi="Book Antiqua"/>
          <w:b/>
          <w:lang w:val="en-US"/>
        </w:rPr>
        <w:t>Pei K</w:t>
      </w:r>
      <w:r w:rsidRPr="00B7408D">
        <w:rPr>
          <w:rFonts w:ascii="Book Antiqua" w:hAnsi="Book Antiqua"/>
          <w:lang w:val="en-US"/>
        </w:rPr>
        <w:t xml:space="preserve">, </w:t>
      </w:r>
      <w:proofErr w:type="spellStart"/>
      <w:r w:rsidRPr="00B7408D">
        <w:rPr>
          <w:rFonts w:ascii="Book Antiqua" w:hAnsi="Book Antiqua"/>
          <w:lang w:val="en-US"/>
        </w:rPr>
        <w:t>Ou</w:t>
      </w:r>
      <w:proofErr w:type="spellEnd"/>
      <w:r w:rsidRPr="00B7408D">
        <w:rPr>
          <w:rFonts w:ascii="Book Antiqua" w:hAnsi="Book Antiqua"/>
          <w:lang w:val="en-US"/>
        </w:rPr>
        <w:t xml:space="preserve"> J, Huang J, </w:t>
      </w:r>
      <w:proofErr w:type="spellStart"/>
      <w:r w:rsidRPr="00B7408D">
        <w:rPr>
          <w:rFonts w:ascii="Book Antiqua" w:hAnsi="Book Antiqua"/>
          <w:lang w:val="en-US"/>
        </w:rPr>
        <w:t>Ou</w:t>
      </w:r>
      <w:proofErr w:type="spellEnd"/>
      <w:r w:rsidRPr="00B7408D">
        <w:rPr>
          <w:rFonts w:ascii="Book Antiqua" w:hAnsi="Book Antiqua"/>
          <w:lang w:val="en-US"/>
        </w:rPr>
        <w:t xml:space="preserve"> S. p-Coumaric acid and its conjugates: dietary sources, pharmacokinetic properties and biological activities. </w:t>
      </w:r>
      <w:r w:rsidRPr="00B7408D">
        <w:rPr>
          <w:rFonts w:ascii="Book Antiqua" w:hAnsi="Book Antiqua"/>
          <w:i/>
          <w:lang w:val="en-US"/>
        </w:rPr>
        <w:t>J Sci Food Agric</w:t>
      </w:r>
      <w:r w:rsidRPr="00B7408D">
        <w:rPr>
          <w:rFonts w:ascii="Book Antiqua" w:hAnsi="Book Antiqua"/>
          <w:lang w:val="en-US"/>
        </w:rPr>
        <w:t xml:space="preserve"> 2016; </w:t>
      </w:r>
      <w:r w:rsidRPr="00B7408D">
        <w:rPr>
          <w:rFonts w:ascii="Book Antiqua" w:hAnsi="Book Antiqua"/>
          <w:b/>
          <w:lang w:val="en-US"/>
        </w:rPr>
        <w:t>96</w:t>
      </w:r>
      <w:r w:rsidRPr="00B7408D">
        <w:rPr>
          <w:rFonts w:ascii="Book Antiqua" w:hAnsi="Book Antiqua"/>
          <w:lang w:val="en-US"/>
        </w:rPr>
        <w:t>: 2952-2962 [PMID: 26692250 DOI: 10.1002/jsfa.7578]</w:t>
      </w:r>
    </w:p>
    <w:p w14:paraId="3A07340B"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136 </w:t>
      </w:r>
      <w:r w:rsidRPr="00B7408D">
        <w:rPr>
          <w:rFonts w:ascii="Book Antiqua" w:hAnsi="Book Antiqua"/>
          <w:b/>
          <w:lang w:val="en-US"/>
        </w:rPr>
        <w:t>Kim MJ</w:t>
      </w:r>
      <w:r w:rsidRPr="00B7408D">
        <w:rPr>
          <w:rFonts w:ascii="Book Antiqua" w:hAnsi="Book Antiqua"/>
          <w:lang w:val="en-US"/>
        </w:rPr>
        <w:t xml:space="preserve">, Jang WS, Lee IK, Kim JK, </w:t>
      </w:r>
      <w:proofErr w:type="spellStart"/>
      <w:r w:rsidRPr="00B7408D">
        <w:rPr>
          <w:rFonts w:ascii="Book Antiqua" w:hAnsi="Book Antiqua"/>
          <w:lang w:val="en-US"/>
        </w:rPr>
        <w:t>Seong</w:t>
      </w:r>
      <w:proofErr w:type="spellEnd"/>
      <w:r w:rsidRPr="00B7408D">
        <w:rPr>
          <w:rFonts w:ascii="Book Antiqua" w:hAnsi="Book Antiqua"/>
          <w:lang w:val="en-US"/>
        </w:rPr>
        <w:t xml:space="preserve"> KS, </w:t>
      </w:r>
      <w:proofErr w:type="spellStart"/>
      <w:r w:rsidRPr="00B7408D">
        <w:rPr>
          <w:rFonts w:ascii="Book Antiqua" w:hAnsi="Book Antiqua"/>
          <w:lang w:val="en-US"/>
        </w:rPr>
        <w:t>Seo</w:t>
      </w:r>
      <w:proofErr w:type="spellEnd"/>
      <w:r w:rsidRPr="00B7408D">
        <w:rPr>
          <w:rFonts w:ascii="Book Antiqua" w:hAnsi="Book Antiqua"/>
          <w:lang w:val="en-US"/>
        </w:rPr>
        <w:t xml:space="preserve"> CR, Song NJ, Bang MH, Lee YM, Kim HR, Park KM, Park KW. Reciprocal regulation of adipocyte and osteoblast differentiation of mesenchymal stem cells by Eupatorium japonicum prevents bone loss and adiposity increase in osteoporotic rats. </w:t>
      </w:r>
      <w:r w:rsidRPr="00B7408D">
        <w:rPr>
          <w:rFonts w:ascii="Book Antiqua" w:hAnsi="Book Antiqua"/>
          <w:i/>
          <w:lang w:val="en-US"/>
        </w:rPr>
        <w:t>J Med Food</w:t>
      </w:r>
      <w:r w:rsidRPr="00B7408D">
        <w:rPr>
          <w:rFonts w:ascii="Book Antiqua" w:hAnsi="Book Antiqua"/>
          <w:lang w:val="en-US"/>
        </w:rPr>
        <w:t xml:space="preserve"> 2014; </w:t>
      </w:r>
      <w:r w:rsidRPr="00B7408D">
        <w:rPr>
          <w:rFonts w:ascii="Book Antiqua" w:hAnsi="Book Antiqua"/>
          <w:b/>
          <w:lang w:val="en-US"/>
        </w:rPr>
        <w:t>17</w:t>
      </w:r>
      <w:r w:rsidRPr="00B7408D">
        <w:rPr>
          <w:rFonts w:ascii="Book Antiqua" w:hAnsi="Book Antiqua"/>
          <w:lang w:val="en-US"/>
        </w:rPr>
        <w:t>: 772-781 [PMID: 24927400 DOI: 10.1089/jmf.2013.3056]</w:t>
      </w:r>
    </w:p>
    <w:p w14:paraId="41644AA9"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137 </w:t>
      </w:r>
      <w:r w:rsidRPr="00B7408D">
        <w:rPr>
          <w:rFonts w:ascii="Book Antiqua" w:hAnsi="Book Antiqua"/>
          <w:b/>
          <w:lang w:val="en-US"/>
        </w:rPr>
        <w:t>Kang SW</w:t>
      </w:r>
      <w:r w:rsidRPr="00B7408D">
        <w:rPr>
          <w:rFonts w:ascii="Book Antiqua" w:hAnsi="Book Antiqua"/>
          <w:lang w:val="en-US"/>
        </w:rPr>
        <w:t xml:space="preserve">, Kang SI, Shin HS, Yoon SA, Kim JH, Ko HC, Kim SJ. </w:t>
      </w:r>
      <w:proofErr w:type="spellStart"/>
      <w:r w:rsidRPr="00B7408D">
        <w:rPr>
          <w:rFonts w:ascii="Book Antiqua" w:hAnsi="Book Antiqua"/>
          <w:lang w:val="en-US"/>
        </w:rPr>
        <w:t>Sasa</w:t>
      </w:r>
      <w:proofErr w:type="spellEnd"/>
      <w:r w:rsidRPr="00B7408D">
        <w:rPr>
          <w:rFonts w:ascii="Book Antiqua" w:hAnsi="Book Antiqua"/>
          <w:lang w:val="en-US"/>
        </w:rPr>
        <w:t xml:space="preserve"> </w:t>
      </w:r>
      <w:proofErr w:type="spellStart"/>
      <w:r w:rsidRPr="00B7408D">
        <w:rPr>
          <w:rFonts w:ascii="Book Antiqua" w:hAnsi="Book Antiqua"/>
          <w:lang w:val="en-US"/>
        </w:rPr>
        <w:t>quelpaertensis</w:t>
      </w:r>
      <w:proofErr w:type="spellEnd"/>
      <w:r w:rsidRPr="00B7408D">
        <w:rPr>
          <w:rFonts w:ascii="Book Antiqua" w:hAnsi="Book Antiqua"/>
          <w:lang w:val="en-US"/>
        </w:rPr>
        <w:t xml:space="preserve"> </w:t>
      </w:r>
      <w:proofErr w:type="spellStart"/>
      <w:r w:rsidRPr="00B7408D">
        <w:rPr>
          <w:rFonts w:ascii="Book Antiqua" w:hAnsi="Book Antiqua"/>
          <w:lang w:val="en-US"/>
        </w:rPr>
        <w:t>Nakai</w:t>
      </w:r>
      <w:proofErr w:type="spellEnd"/>
      <w:r w:rsidRPr="00B7408D">
        <w:rPr>
          <w:rFonts w:ascii="Book Antiqua" w:hAnsi="Book Antiqua"/>
          <w:lang w:val="en-US"/>
        </w:rPr>
        <w:t xml:space="preserve"> extract and its constituent p-coumaric acid inhibit adipogenesis in 3T3-L1 cells through activation of the AMPK pathway. </w:t>
      </w:r>
      <w:r w:rsidRPr="00B7408D">
        <w:rPr>
          <w:rFonts w:ascii="Book Antiqua" w:hAnsi="Book Antiqua"/>
          <w:i/>
          <w:lang w:val="en-US"/>
        </w:rPr>
        <w:t xml:space="preserve">Food </w:t>
      </w:r>
      <w:proofErr w:type="spellStart"/>
      <w:r w:rsidRPr="00B7408D">
        <w:rPr>
          <w:rFonts w:ascii="Book Antiqua" w:hAnsi="Book Antiqua"/>
          <w:i/>
          <w:lang w:val="en-US"/>
        </w:rPr>
        <w:t>Chem</w:t>
      </w:r>
      <w:proofErr w:type="spellEnd"/>
      <w:r w:rsidRPr="00B7408D">
        <w:rPr>
          <w:rFonts w:ascii="Book Antiqua" w:hAnsi="Book Antiqua"/>
          <w:i/>
          <w:lang w:val="en-US"/>
        </w:rPr>
        <w:t xml:space="preserve"> </w:t>
      </w:r>
      <w:proofErr w:type="spellStart"/>
      <w:r w:rsidRPr="00B7408D">
        <w:rPr>
          <w:rFonts w:ascii="Book Antiqua" w:hAnsi="Book Antiqua"/>
          <w:i/>
          <w:lang w:val="en-US"/>
        </w:rPr>
        <w:t>Toxicol</w:t>
      </w:r>
      <w:proofErr w:type="spellEnd"/>
      <w:r w:rsidRPr="00B7408D">
        <w:rPr>
          <w:rFonts w:ascii="Book Antiqua" w:hAnsi="Book Antiqua"/>
          <w:lang w:val="en-US"/>
        </w:rPr>
        <w:t xml:space="preserve"> 2013; </w:t>
      </w:r>
      <w:r w:rsidRPr="00B7408D">
        <w:rPr>
          <w:rFonts w:ascii="Book Antiqua" w:hAnsi="Book Antiqua"/>
          <w:b/>
          <w:lang w:val="en-US"/>
        </w:rPr>
        <w:t>59</w:t>
      </w:r>
      <w:r w:rsidRPr="00B7408D">
        <w:rPr>
          <w:rFonts w:ascii="Book Antiqua" w:hAnsi="Book Antiqua"/>
          <w:lang w:val="en-US"/>
        </w:rPr>
        <w:t>: 380-385 [PMID: 23810795 DOI: 10.1016/j.fct.2013.06.033]</w:t>
      </w:r>
    </w:p>
    <w:p w14:paraId="3F9105DE" w14:textId="65D1AC65"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138 </w:t>
      </w:r>
      <w:proofErr w:type="spellStart"/>
      <w:r w:rsidRPr="00B7408D">
        <w:rPr>
          <w:rFonts w:ascii="Book Antiqua" w:hAnsi="Book Antiqua"/>
          <w:b/>
          <w:lang w:val="en-US"/>
        </w:rPr>
        <w:t>Ilavenil</w:t>
      </w:r>
      <w:proofErr w:type="spellEnd"/>
      <w:r w:rsidRPr="00B7408D">
        <w:rPr>
          <w:rFonts w:ascii="Book Antiqua" w:hAnsi="Book Antiqua"/>
          <w:b/>
          <w:lang w:val="en-US"/>
        </w:rPr>
        <w:t xml:space="preserve"> S</w:t>
      </w:r>
      <w:r w:rsidRPr="00B7408D">
        <w:rPr>
          <w:rFonts w:ascii="Book Antiqua" w:hAnsi="Book Antiqua"/>
          <w:lang w:val="en-US"/>
        </w:rPr>
        <w:t xml:space="preserve">, Kim da H, </w:t>
      </w:r>
      <w:proofErr w:type="spellStart"/>
      <w:r w:rsidRPr="00B7408D">
        <w:rPr>
          <w:rFonts w:ascii="Book Antiqua" w:hAnsi="Book Antiqua"/>
          <w:lang w:val="en-US"/>
        </w:rPr>
        <w:t>Srigopalram</w:t>
      </w:r>
      <w:proofErr w:type="spellEnd"/>
      <w:r w:rsidRPr="00B7408D">
        <w:rPr>
          <w:rFonts w:ascii="Book Antiqua" w:hAnsi="Book Antiqua"/>
          <w:lang w:val="en-US"/>
        </w:rPr>
        <w:t xml:space="preserve"> S, </w:t>
      </w:r>
      <w:proofErr w:type="spellStart"/>
      <w:r w:rsidRPr="00B7408D">
        <w:rPr>
          <w:rFonts w:ascii="Book Antiqua" w:hAnsi="Book Antiqua"/>
          <w:lang w:val="en-US"/>
        </w:rPr>
        <w:t>Arasu</w:t>
      </w:r>
      <w:proofErr w:type="spellEnd"/>
      <w:r w:rsidRPr="00B7408D">
        <w:rPr>
          <w:rFonts w:ascii="Book Antiqua" w:hAnsi="Book Antiqua"/>
          <w:lang w:val="en-US"/>
        </w:rPr>
        <w:t xml:space="preserve"> MV, Lee KD, Lee JC, Lee JS, </w:t>
      </w:r>
      <w:proofErr w:type="spellStart"/>
      <w:r w:rsidRPr="00B7408D">
        <w:rPr>
          <w:rFonts w:ascii="Book Antiqua" w:hAnsi="Book Antiqua"/>
          <w:lang w:val="en-US"/>
        </w:rPr>
        <w:t>Renganathan</w:t>
      </w:r>
      <w:proofErr w:type="spellEnd"/>
      <w:r w:rsidRPr="00B7408D">
        <w:rPr>
          <w:rFonts w:ascii="Book Antiqua" w:hAnsi="Book Antiqua"/>
          <w:lang w:val="en-US"/>
        </w:rPr>
        <w:t xml:space="preserve"> S, Choi KC. Potential Application of p-Coumaric Acid on Differentiation of C2C12 Skeletal Muscle and 3T3-L1 Preadipocytes-An in Vitro and in Silico Approach. </w:t>
      </w:r>
      <w:r w:rsidRPr="00B7408D">
        <w:rPr>
          <w:rFonts w:ascii="Book Antiqua" w:hAnsi="Book Antiqua"/>
          <w:i/>
          <w:lang w:val="en-US"/>
        </w:rPr>
        <w:t>Molecules</w:t>
      </w:r>
      <w:r w:rsidRPr="00B7408D">
        <w:rPr>
          <w:rFonts w:ascii="Book Antiqua" w:hAnsi="Book Antiqua"/>
          <w:lang w:val="en-US"/>
        </w:rPr>
        <w:t xml:space="preserve"> 2016; </w:t>
      </w:r>
      <w:r w:rsidRPr="00B7408D">
        <w:rPr>
          <w:rFonts w:ascii="Book Antiqua" w:hAnsi="Book Antiqua"/>
          <w:b/>
          <w:lang w:val="en-US"/>
        </w:rPr>
        <w:t>21</w:t>
      </w:r>
      <w:r w:rsidRPr="00B7408D">
        <w:rPr>
          <w:rFonts w:ascii="Book Antiqua" w:hAnsi="Book Antiqua"/>
          <w:lang w:val="en-US"/>
        </w:rPr>
        <w:t>: [PMID: 27490527 DOI: 10.3390/molecules21080997]</w:t>
      </w:r>
    </w:p>
    <w:p w14:paraId="399AF2A3"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139 </w:t>
      </w:r>
      <w:r w:rsidRPr="00B7408D">
        <w:rPr>
          <w:rFonts w:ascii="Book Antiqua" w:hAnsi="Book Antiqua"/>
          <w:b/>
          <w:lang w:val="en-US"/>
        </w:rPr>
        <w:t>Jung UJ</w:t>
      </w:r>
      <w:r w:rsidRPr="00B7408D">
        <w:rPr>
          <w:rFonts w:ascii="Book Antiqua" w:hAnsi="Book Antiqua"/>
          <w:lang w:val="en-US"/>
        </w:rPr>
        <w:t xml:space="preserve">, Lee MK, Park YB, Jeon SM, Choi MS. Antihyperglycemic and antioxidant properties of </w:t>
      </w:r>
      <w:proofErr w:type="spellStart"/>
      <w:r w:rsidRPr="00B7408D">
        <w:rPr>
          <w:rFonts w:ascii="Book Antiqua" w:hAnsi="Book Antiqua"/>
          <w:lang w:val="en-US"/>
        </w:rPr>
        <w:t>caffeic</w:t>
      </w:r>
      <w:proofErr w:type="spellEnd"/>
      <w:r w:rsidRPr="00B7408D">
        <w:rPr>
          <w:rFonts w:ascii="Book Antiqua" w:hAnsi="Book Antiqua"/>
          <w:lang w:val="en-US"/>
        </w:rPr>
        <w:t xml:space="preserve"> acid in </w:t>
      </w:r>
      <w:proofErr w:type="spellStart"/>
      <w:r w:rsidRPr="00B7408D">
        <w:rPr>
          <w:rFonts w:ascii="Book Antiqua" w:hAnsi="Book Antiqua"/>
          <w:lang w:val="en-US"/>
        </w:rPr>
        <w:t>db</w:t>
      </w:r>
      <w:proofErr w:type="spellEnd"/>
      <w:r w:rsidRPr="00B7408D">
        <w:rPr>
          <w:rFonts w:ascii="Book Antiqua" w:hAnsi="Book Antiqua"/>
          <w:lang w:val="en-US"/>
        </w:rPr>
        <w:t>/</w:t>
      </w:r>
      <w:proofErr w:type="spellStart"/>
      <w:r w:rsidRPr="00B7408D">
        <w:rPr>
          <w:rFonts w:ascii="Book Antiqua" w:hAnsi="Book Antiqua"/>
          <w:lang w:val="en-US"/>
        </w:rPr>
        <w:t>db</w:t>
      </w:r>
      <w:proofErr w:type="spellEnd"/>
      <w:r w:rsidRPr="00B7408D">
        <w:rPr>
          <w:rFonts w:ascii="Book Antiqua" w:hAnsi="Book Antiqua"/>
          <w:lang w:val="en-US"/>
        </w:rPr>
        <w:t xml:space="preserve"> mice. </w:t>
      </w:r>
      <w:r w:rsidRPr="00B7408D">
        <w:rPr>
          <w:rFonts w:ascii="Book Antiqua" w:hAnsi="Book Antiqua"/>
          <w:i/>
          <w:lang w:val="en-US"/>
        </w:rPr>
        <w:t xml:space="preserve">J </w:t>
      </w:r>
      <w:proofErr w:type="spellStart"/>
      <w:r w:rsidRPr="00B7408D">
        <w:rPr>
          <w:rFonts w:ascii="Book Antiqua" w:hAnsi="Book Antiqua"/>
          <w:i/>
          <w:lang w:val="en-US"/>
        </w:rPr>
        <w:t>Pharmacol</w:t>
      </w:r>
      <w:proofErr w:type="spellEnd"/>
      <w:r w:rsidRPr="00B7408D">
        <w:rPr>
          <w:rFonts w:ascii="Book Antiqua" w:hAnsi="Book Antiqua"/>
          <w:i/>
          <w:lang w:val="en-US"/>
        </w:rPr>
        <w:t xml:space="preserve"> </w:t>
      </w:r>
      <w:proofErr w:type="spellStart"/>
      <w:r w:rsidRPr="00B7408D">
        <w:rPr>
          <w:rFonts w:ascii="Book Antiqua" w:hAnsi="Book Antiqua"/>
          <w:i/>
          <w:lang w:val="en-US"/>
        </w:rPr>
        <w:t>Exp</w:t>
      </w:r>
      <w:proofErr w:type="spellEnd"/>
      <w:r w:rsidRPr="00B7408D">
        <w:rPr>
          <w:rFonts w:ascii="Book Antiqua" w:hAnsi="Book Antiqua"/>
          <w:i/>
          <w:lang w:val="en-US"/>
        </w:rPr>
        <w:t xml:space="preserve"> </w:t>
      </w:r>
      <w:proofErr w:type="spellStart"/>
      <w:r w:rsidRPr="00B7408D">
        <w:rPr>
          <w:rFonts w:ascii="Book Antiqua" w:hAnsi="Book Antiqua"/>
          <w:i/>
          <w:lang w:val="en-US"/>
        </w:rPr>
        <w:t>Ther</w:t>
      </w:r>
      <w:proofErr w:type="spellEnd"/>
      <w:r w:rsidRPr="00B7408D">
        <w:rPr>
          <w:rFonts w:ascii="Book Antiqua" w:hAnsi="Book Antiqua"/>
          <w:lang w:val="en-US"/>
        </w:rPr>
        <w:t xml:space="preserve"> 2006; </w:t>
      </w:r>
      <w:r w:rsidRPr="00B7408D">
        <w:rPr>
          <w:rFonts w:ascii="Book Antiqua" w:hAnsi="Book Antiqua"/>
          <w:b/>
          <w:lang w:val="en-US"/>
        </w:rPr>
        <w:t>318</w:t>
      </w:r>
      <w:r w:rsidRPr="00B7408D">
        <w:rPr>
          <w:rFonts w:ascii="Book Antiqua" w:hAnsi="Book Antiqua"/>
          <w:lang w:val="en-US"/>
        </w:rPr>
        <w:t>: 476-483 [PMID: 16644902 DOI: 10.1124/jpet.106.105163]</w:t>
      </w:r>
    </w:p>
    <w:p w14:paraId="085B1AA7" w14:textId="011D8DB3"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140 </w:t>
      </w:r>
      <w:proofErr w:type="spellStart"/>
      <w:r w:rsidRPr="00B7408D">
        <w:rPr>
          <w:rFonts w:ascii="Book Antiqua" w:hAnsi="Book Antiqua"/>
          <w:b/>
          <w:lang w:val="en-US"/>
        </w:rPr>
        <w:t>Melguizo</w:t>
      </w:r>
      <w:proofErr w:type="spellEnd"/>
      <w:r w:rsidRPr="00B7408D">
        <w:rPr>
          <w:rFonts w:ascii="Book Antiqua" w:hAnsi="Book Antiqua"/>
          <w:b/>
          <w:lang w:val="en-US"/>
        </w:rPr>
        <w:t>-Rodríguez L</w:t>
      </w:r>
      <w:r w:rsidRPr="00B7408D">
        <w:rPr>
          <w:rFonts w:ascii="Book Antiqua" w:hAnsi="Book Antiqua"/>
          <w:lang w:val="en-US"/>
        </w:rPr>
        <w:t xml:space="preserve">, </w:t>
      </w:r>
      <w:proofErr w:type="spellStart"/>
      <w:r w:rsidRPr="00B7408D">
        <w:rPr>
          <w:rFonts w:ascii="Book Antiqua" w:hAnsi="Book Antiqua"/>
          <w:lang w:val="en-US"/>
        </w:rPr>
        <w:t>Manzano</w:t>
      </w:r>
      <w:proofErr w:type="spellEnd"/>
      <w:r w:rsidRPr="00B7408D">
        <w:rPr>
          <w:rFonts w:ascii="Book Antiqua" w:hAnsi="Book Antiqua"/>
          <w:lang w:val="en-US"/>
        </w:rPr>
        <w:t>-Moreno FJ, De Luna-</w:t>
      </w:r>
      <w:proofErr w:type="spellStart"/>
      <w:r w:rsidRPr="00B7408D">
        <w:rPr>
          <w:rFonts w:ascii="Book Antiqua" w:hAnsi="Book Antiqua"/>
          <w:lang w:val="en-US"/>
        </w:rPr>
        <w:t>Bertos</w:t>
      </w:r>
      <w:proofErr w:type="spellEnd"/>
      <w:r w:rsidRPr="00B7408D">
        <w:rPr>
          <w:rFonts w:ascii="Book Antiqua" w:hAnsi="Book Antiqua"/>
          <w:lang w:val="en-US"/>
        </w:rPr>
        <w:t xml:space="preserve"> E, Rivas A, Ramos-</w:t>
      </w:r>
      <w:proofErr w:type="spellStart"/>
      <w:r w:rsidRPr="00B7408D">
        <w:rPr>
          <w:rFonts w:ascii="Book Antiqua" w:hAnsi="Book Antiqua"/>
          <w:lang w:val="en-US"/>
        </w:rPr>
        <w:t>Torrecillas</w:t>
      </w:r>
      <w:proofErr w:type="spellEnd"/>
      <w:r w:rsidRPr="00B7408D">
        <w:rPr>
          <w:rFonts w:ascii="Book Antiqua" w:hAnsi="Book Antiqua"/>
          <w:lang w:val="en-US"/>
        </w:rPr>
        <w:t xml:space="preserve"> J, Ruiz C, García-Martínez O. Effect of olive oil phenolic compounds on osteoblast differentiation. </w:t>
      </w:r>
      <w:r w:rsidRPr="00B7408D">
        <w:rPr>
          <w:rFonts w:ascii="Book Antiqua" w:hAnsi="Book Antiqua"/>
          <w:i/>
          <w:lang w:val="en-US"/>
        </w:rPr>
        <w:t>Eur J Clin Invest</w:t>
      </w:r>
      <w:r w:rsidRPr="00B7408D">
        <w:rPr>
          <w:rFonts w:ascii="Book Antiqua" w:hAnsi="Book Antiqua"/>
          <w:lang w:val="en-US"/>
        </w:rPr>
        <w:t xml:space="preserve"> 2018; </w:t>
      </w:r>
      <w:r w:rsidRPr="00B7408D">
        <w:rPr>
          <w:rFonts w:ascii="Book Antiqua" w:hAnsi="Book Antiqua"/>
          <w:b/>
          <w:lang w:val="en-US"/>
        </w:rPr>
        <w:t>48</w:t>
      </w:r>
      <w:r w:rsidRPr="00B7408D">
        <w:rPr>
          <w:rFonts w:ascii="Book Antiqua" w:hAnsi="Book Antiqua"/>
          <w:lang w:val="en-US"/>
        </w:rPr>
        <w:t>: [PMID: 29392706 DOI: 10.1111/eci.12904]</w:t>
      </w:r>
    </w:p>
    <w:p w14:paraId="2A1A3E6E"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141 </w:t>
      </w:r>
      <w:proofErr w:type="spellStart"/>
      <w:r w:rsidRPr="00B7408D">
        <w:rPr>
          <w:rFonts w:ascii="Book Antiqua" w:hAnsi="Book Antiqua"/>
          <w:b/>
          <w:lang w:val="en-US"/>
        </w:rPr>
        <w:t>García-Martínez</w:t>
      </w:r>
      <w:proofErr w:type="spellEnd"/>
      <w:r w:rsidRPr="00B7408D">
        <w:rPr>
          <w:rFonts w:ascii="Book Antiqua" w:hAnsi="Book Antiqua"/>
          <w:b/>
          <w:lang w:val="en-US"/>
        </w:rPr>
        <w:t xml:space="preserve"> O</w:t>
      </w:r>
      <w:r w:rsidRPr="00B7408D">
        <w:rPr>
          <w:rFonts w:ascii="Book Antiqua" w:hAnsi="Book Antiqua"/>
          <w:lang w:val="en-US"/>
        </w:rPr>
        <w:t>, De Luna-</w:t>
      </w:r>
      <w:proofErr w:type="spellStart"/>
      <w:r w:rsidRPr="00B7408D">
        <w:rPr>
          <w:rFonts w:ascii="Book Antiqua" w:hAnsi="Book Antiqua"/>
          <w:lang w:val="en-US"/>
        </w:rPr>
        <w:t>Bertos</w:t>
      </w:r>
      <w:proofErr w:type="spellEnd"/>
      <w:r w:rsidRPr="00B7408D">
        <w:rPr>
          <w:rFonts w:ascii="Book Antiqua" w:hAnsi="Book Antiqua"/>
          <w:lang w:val="en-US"/>
        </w:rPr>
        <w:t xml:space="preserve"> E, Ramos-</w:t>
      </w:r>
      <w:proofErr w:type="spellStart"/>
      <w:r w:rsidRPr="00B7408D">
        <w:rPr>
          <w:rFonts w:ascii="Book Antiqua" w:hAnsi="Book Antiqua"/>
          <w:lang w:val="en-US"/>
        </w:rPr>
        <w:t>Torrecillas</w:t>
      </w:r>
      <w:proofErr w:type="spellEnd"/>
      <w:r w:rsidRPr="00B7408D">
        <w:rPr>
          <w:rFonts w:ascii="Book Antiqua" w:hAnsi="Book Antiqua"/>
          <w:lang w:val="en-US"/>
        </w:rPr>
        <w:t xml:space="preserve"> J, Ruiz C, Milia E, Lorenzo ML, Jimenez B, Sánchez-Ortiz A, Rivas A. Phenolic Compounds in Extra Virgin Olive Oil Stimulate Human Osteoblastic Cell Proliferation. </w:t>
      </w:r>
      <w:proofErr w:type="spellStart"/>
      <w:r w:rsidRPr="00B7408D">
        <w:rPr>
          <w:rFonts w:ascii="Book Antiqua" w:hAnsi="Book Antiqua"/>
          <w:i/>
          <w:lang w:val="en-US"/>
        </w:rPr>
        <w:t>PLoS</w:t>
      </w:r>
      <w:proofErr w:type="spellEnd"/>
      <w:r w:rsidRPr="00B7408D">
        <w:rPr>
          <w:rFonts w:ascii="Book Antiqua" w:hAnsi="Book Antiqua"/>
          <w:i/>
          <w:lang w:val="en-US"/>
        </w:rPr>
        <w:t xml:space="preserve"> One</w:t>
      </w:r>
      <w:r w:rsidRPr="00B7408D">
        <w:rPr>
          <w:rFonts w:ascii="Book Antiqua" w:hAnsi="Book Antiqua"/>
          <w:lang w:val="en-US"/>
        </w:rPr>
        <w:t xml:space="preserve"> 2016; </w:t>
      </w:r>
      <w:r w:rsidRPr="00B7408D">
        <w:rPr>
          <w:rFonts w:ascii="Book Antiqua" w:hAnsi="Book Antiqua"/>
          <w:b/>
          <w:lang w:val="en-US"/>
        </w:rPr>
        <w:t>11</w:t>
      </w:r>
      <w:r w:rsidRPr="00B7408D">
        <w:rPr>
          <w:rFonts w:ascii="Book Antiqua" w:hAnsi="Book Antiqua"/>
          <w:lang w:val="en-US"/>
        </w:rPr>
        <w:t>: e0150045 [PMID: 26930190 DOI: 10.1371/journal.pone.0150045]</w:t>
      </w:r>
    </w:p>
    <w:p w14:paraId="4BD9B98F" w14:textId="1FCFC74D"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142 </w:t>
      </w:r>
      <w:r w:rsidRPr="00B7408D">
        <w:rPr>
          <w:rFonts w:ascii="Book Antiqua" w:hAnsi="Book Antiqua"/>
          <w:b/>
          <w:lang w:val="en-US"/>
        </w:rPr>
        <w:t>Chin KY</w:t>
      </w:r>
      <w:r w:rsidRPr="00B7408D">
        <w:rPr>
          <w:rFonts w:ascii="Book Antiqua" w:hAnsi="Book Antiqua"/>
          <w:lang w:val="en-US"/>
        </w:rPr>
        <w:t>, Ima-</w:t>
      </w:r>
      <w:proofErr w:type="spellStart"/>
      <w:r w:rsidRPr="00B7408D">
        <w:rPr>
          <w:rFonts w:ascii="Book Antiqua" w:hAnsi="Book Antiqua"/>
          <w:lang w:val="en-US"/>
        </w:rPr>
        <w:t>Nirwana</w:t>
      </w:r>
      <w:proofErr w:type="spellEnd"/>
      <w:r w:rsidRPr="00B7408D">
        <w:rPr>
          <w:rFonts w:ascii="Book Antiqua" w:hAnsi="Book Antiqua"/>
          <w:lang w:val="en-US"/>
        </w:rPr>
        <w:t xml:space="preserve"> S. Olives and Bone: A Green Osteoporosis Prevention Option. </w:t>
      </w:r>
      <w:r w:rsidRPr="00B7408D">
        <w:rPr>
          <w:rFonts w:ascii="Book Antiqua" w:hAnsi="Book Antiqua"/>
          <w:i/>
          <w:lang w:val="en-US"/>
        </w:rPr>
        <w:t>Int J Environ Res Public Health</w:t>
      </w:r>
      <w:r w:rsidRPr="00B7408D">
        <w:rPr>
          <w:rFonts w:ascii="Book Antiqua" w:hAnsi="Book Antiqua"/>
          <w:lang w:val="en-US"/>
        </w:rPr>
        <w:t xml:space="preserve"> 2016; </w:t>
      </w:r>
      <w:r w:rsidRPr="00B7408D">
        <w:rPr>
          <w:rFonts w:ascii="Book Antiqua" w:hAnsi="Book Antiqua"/>
          <w:b/>
          <w:lang w:val="en-US"/>
        </w:rPr>
        <w:t>13</w:t>
      </w:r>
      <w:r w:rsidRPr="00B7408D">
        <w:rPr>
          <w:rFonts w:ascii="Book Antiqua" w:hAnsi="Book Antiqua"/>
          <w:lang w:val="en-US"/>
        </w:rPr>
        <w:t>: [PMID: 27472350 DOI: 10.3390/ijerph13080755]</w:t>
      </w:r>
    </w:p>
    <w:p w14:paraId="7AB0743E" w14:textId="6B89C823"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lastRenderedPageBreak/>
        <w:t xml:space="preserve">143 </w:t>
      </w:r>
      <w:proofErr w:type="spellStart"/>
      <w:r w:rsidRPr="00B7408D">
        <w:rPr>
          <w:rFonts w:ascii="Book Antiqua" w:hAnsi="Book Antiqua"/>
          <w:b/>
          <w:lang w:val="en-US"/>
        </w:rPr>
        <w:t>Roncero</w:t>
      </w:r>
      <w:proofErr w:type="spellEnd"/>
      <w:r w:rsidRPr="00B7408D">
        <w:rPr>
          <w:rFonts w:ascii="Book Antiqua" w:hAnsi="Book Antiqua"/>
          <w:b/>
          <w:lang w:val="en-US"/>
        </w:rPr>
        <w:t>-Martín R</w:t>
      </w:r>
      <w:r w:rsidRPr="00B7408D">
        <w:rPr>
          <w:rFonts w:ascii="Book Antiqua" w:hAnsi="Book Antiqua"/>
          <w:lang w:val="en-US"/>
        </w:rPr>
        <w:t xml:space="preserve">, </w:t>
      </w:r>
      <w:proofErr w:type="spellStart"/>
      <w:r w:rsidRPr="00B7408D">
        <w:rPr>
          <w:rFonts w:ascii="Book Antiqua" w:hAnsi="Book Antiqua"/>
          <w:lang w:val="en-US"/>
        </w:rPr>
        <w:t>Aliaga</w:t>
      </w:r>
      <w:proofErr w:type="spellEnd"/>
      <w:r w:rsidRPr="00B7408D">
        <w:rPr>
          <w:rFonts w:ascii="Book Antiqua" w:hAnsi="Book Antiqua"/>
          <w:lang w:val="en-US"/>
        </w:rPr>
        <w:t xml:space="preserve"> Vera I, Moreno-Corral LJ, Moran JM, </w:t>
      </w:r>
      <w:proofErr w:type="spellStart"/>
      <w:r w:rsidRPr="00B7408D">
        <w:rPr>
          <w:rFonts w:ascii="Book Antiqua" w:hAnsi="Book Antiqua"/>
          <w:lang w:val="en-US"/>
        </w:rPr>
        <w:t>Lavado</w:t>
      </w:r>
      <w:proofErr w:type="spellEnd"/>
      <w:r w:rsidRPr="00B7408D">
        <w:rPr>
          <w:rFonts w:ascii="Book Antiqua" w:hAnsi="Book Antiqua"/>
          <w:lang w:val="en-US"/>
        </w:rPr>
        <w:t xml:space="preserve">-Garcia JM, </w:t>
      </w:r>
      <w:proofErr w:type="spellStart"/>
      <w:r w:rsidRPr="00B7408D">
        <w:rPr>
          <w:rFonts w:ascii="Book Antiqua" w:hAnsi="Book Antiqua"/>
          <w:lang w:val="en-US"/>
        </w:rPr>
        <w:t>Pedrera-Zamorano</w:t>
      </w:r>
      <w:proofErr w:type="spellEnd"/>
      <w:r w:rsidRPr="00B7408D">
        <w:rPr>
          <w:rFonts w:ascii="Book Antiqua" w:hAnsi="Book Antiqua"/>
          <w:lang w:val="en-US"/>
        </w:rPr>
        <w:t xml:space="preserve"> JD, Pedrera-Canal M. Olive Oil Consumption and Bone Microarchitecture in Spanish Women. </w:t>
      </w:r>
      <w:r w:rsidRPr="00B7408D">
        <w:rPr>
          <w:rFonts w:ascii="Book Antiqua" w:hAnsi="Book Antiqua"/>
          <w:i/>
          <w:lang w:val="en-US"/>
        </w:rPr>
        <w:t>Nutrients</w:t>
      </w:r>
      <w:r w:rsidRPr="00B7408D">
        <w:rPr>
          <w:rFonts w:ascii="Book Antiqua" w:hAnsi="Book Antiqua"/>
          <w:lang w:val="en-US"/>
        </w:rPr>
        <w:t xml:space="preserve"> 2018; </w:t>
      </w:r>
      <w:r w:rsidRPr="00B7408D">
        <w:rPr>
          <w:rFonts w:ascii="Book Antiqua" w:hAnsi="Book Antiqua"/>
          <w:b/>
          <w:lang w:val="en-US"/>
        </w:rPr>
        <w:t>10</w:t>
      </w:r>
      <w:r w:rsidRPr="00B7408D">
        <w:rPr>
          <w:rFonts w:ascii="Book Antiqua" w:hAnsi="Book Antiqua"/>
          <w:lang w:val="en-US"/>
        </w:rPr>
        <w:t>: [PMID: 30049982 DOI: 10.3390/nu10080968]</w:t>
      </w:r>
    </w:p>
    <w:p w14:paraId="5E6871CC" w14:textId="77777777"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144 </w:t>
      </w:r>
      <w:proofErr w:type="spellStart"/>
      <w:r w:rsidRPr="00B7408D">
        <w:rPr>
          <w:rFonts w:ascii="Book Antiqua" w:hAnsi="Book Antiqua"/>
          <w:b/>
          <w:lang w:val="en-US"/>
        </w:rPr>
        <w:t>Virruso</w:t>
      </w:r>
      <w:proofErr w:type="spellEnd"/>
      <w:r w:rsidRPr="00B7408D">
        <w:rPr>
          <w:rFonts w:ascii="Book Antiqua" w:hAnsi="Book Antiqua"/>
          <w:b/>
          <w:lang w:val="en-US"/>
        </w:rPr>
        <w:t xml:space="preserve"> C</w:t>
      </w:r>
      <w:r w:rsidRPr="00B7408D">
        <w:rPr>
          <w:rFonts w:ascii="Book Antiqua" w:hAnsi="Book Antiqua"/>
          <w:lang w:val="en-US"/>
        </w:rPr>
        <w:t xml:space="preserve">, </w:t>
      </w:r>
      <w:proofErr w:type="spellStart"/>
      <w:r w:rsidRPr="00B7408D">
        <w:rPr>
          <w:rFonts w:ascii="Book Antiqua" w:hAnsi="Book Antiqua"/>
          <w:lang w:val="en-US"/>
        </w:rPr>
        <w:t>Accardi</w:t>
      </w:r>
      <w:proofErr w:type="spellEnd"/>
      <w:r w:rsidRPr="00B7408D">
        <w:rPr>
          <w:rFonts w:ascii="Book Antiqua" w:hAnsi="Book Antiqua"/>
          <w:lang w:val="en-US"/>
        </w:rPr>
        <w:t xml:space="preserve"> G, Colonna-Romano G, </w:t>
      </w:r>
      <w:proofErr w:type="spellStart"/>
      <w:r w:rsidRPr="00B7408D">
        <w:rPr>
          <w:rFonts w:ascii="Book Antiqua" w:hAnsi="Book Antiqua"/>
          <w:lang w:val="en-US"/>
        </w:rPr>
        <w:t>Candore</w:t>
      </w:r>
      <w:proofErr w:type="spellEnd"/>
      <w:r w:rsidRPr="00B7408D">
        <w:rPr>
          <w:rFonts w:ascii="Book Antiqua" w:hAnsi="Book Antiqua"/>
          <w:lang w:val="en-US"/>
        </w:rPr>
        <w:t xml:space="preserve"> G, </w:t>
      </w:r>
      <w:proofErr w:type="spellStart"/>
      <w:r w:rsidRPr="00B7408D">
        <w:rPr>
          <w:rFonts w:ascii="Book Antiqua" w:hAnsi="Book Antiqua"/>
          <w:lang w:val="en-US"/>
        </w:rPr>
        <w:t>Vasto</w:t>
      </w:r>
      <w:proofErr w:type="spellEnd"/>
      <w:r w:rsidRPr="00B7408D">
        <w:rPr>
          <w:rFonts w:ascii="Book Antiqua" w:hAnsi="Book Antiqua"/>
          <w:lang w:val="en-US"/>
        </w:rPr>
        <w:t xml:space="preserve"> S, Caruso C. Nutraceutical properties of extra-virgin olive oil: a natural remedy for age-related disease? </w:t>
      </w:r>
      <w:r w:rsidRPr="00B7408D">
        <w:rPr>
          <w:rFonts w:ascii="Book Antiqua" w:hAnsi="Book Antiqua"/>
          <w:i/>
          <w:lang w:val="en-US"/>
        </w:rPr>
        <w:t>Rejuvenation Res</w:t>
      </w:r>
      <w:r w:rsidRPr="00B7408D">
        <w:rPr>
          <w:rFonts w:ascii="Book Antiqua" w:hAnsi="Book Antiqua"/>
          <w:lang w:val="en-US"/>
        </w:rPr>
        <w:t xml:space="preserve"> 2014; </w:t>
      </w:r>
      <w:r w:rsidRPr="00B7408D">
        <w:rPr>
          <w:rFonts w:ascii="Book Antiqua" w:hAnsi="Book Antiqua"/>
          <w:b/>
          <w:lang w:val="en-US"/>
        </w:rPr>
        <w:t>17</w:t>
      </w:r>
      <w:r w:rsidRPr="00B7408D">
        <w:rPr>
          <w:rFonts w:ascii="Book Antiqua" w:hAnsi="Book Antiqua"/>
          <w:lang w:val="en-US"/>
        </w:rPr>
        <w:t>: 217-220 [PMID: 24219356 DOI: 10.1089/rej.2013.1532]</w:t>
      </w:r>
    </w:p>
    <w:p w14:paraId="67E281F0" w14:textId="4BADF481" w:rsidR="00F807A6"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145 </w:t>
      </w:r>
      <w:r w:rsidRPr="00B7408D">
        <w:rPr>
          <w:rFonts w:ascii="Book Antiqua" w:hAnsi="Book Antiqua"/>
          <w:b/>
          <w:lang w:val="en-US"/>
        </w:rPr>
        <w:t>Parkinson L</w:t>
      </w:r>
      <w:r w:rsidRPr="00B7408D">
        <w:rPr>
          <w:rFonts w:ascii="Book Antiqua" w:hAnsi="Book Antiqua"/>
          <w:lang w:val="en-US"/>
        </w:rPr>
        <w:t xml:space="preserve">, </w:t>
      </w:r>
      <w:proofErr w:type="spellStart"/>
      <w:r w:rsidRPr="00B7408D">
        <w:rPr>
          <w:rFonts w:ascii="Book Antiqua" w:hAnsi="Book Antiqua"/>
          <w:lang w:val="en-US"/>
        </w:rPr>
        <w:t>Cicerale</w:t>
      </w:r>
      <w:proofErr w:type="spellEnd"/>
      <w:r w:rsidRPr="00B7408D">
        <w:rPr>
          <w:rFonts w:ascii="Book Antiqua" w:hAnsi="Book Antiqua"/>
          <w:lang w:val="en-US"/>
        </w:rPr>
        <w:t xml:space="preserve"> S. The Health Benefiting Mechanisms of Virgin Olive Oil Phenolic Compounds. </w:t>
      </w:r>
      <w:r w:rsidRPr="00B7408D">
        <w:rPr>
          <w:rFonts w:ascii="Book Antiqua" w:hAnsi="Book Antiqua"/>
          <w:i/>
          <w:lang w:val="en-US"/>
        </w:rPr>
        <w:t>Molecules</w:t>
      </w:r>
      <w:r w:rsidRPr="00B7408D">
        <w:rPr>
          <w:rFonts w:ascii="Book Antiqua" w:hAnsi="Book Antiqua"/>
          <w:lang w:val="en-US"/>
        </w:rPr>
        <w:t xml:space="preserve"> 2016; </w:t>
      </w:r>
      <w:r w:rsidRPr="00B7408D">
        <w:rPr>
          <w:rFonts w:ascii="Book Antiqua" w:hAnsi="Book Antiqua"/>
          <w:b/>
          <w:lang w:val="en-US"/>
        </w:rPr>
        <w:t>21</w:t>
      </w:r>
      <w:r w:rsidRPr="00B7408D">
        <w:rPr>
          <w:rFonts w:ascii="Book Antiqua" w:hAnsi="Book Antiqua"/>
          <w:lang w:val="en-US"/>
        </w:rPr>
        <w:t>: [PMID: 27999296 DOI: 10.3390/molecules21121734]</w:t>
      </w:r>
    </w:p>
    <w:p w14:paraId="2F28C425" w14:textId="465F28D3" w:rsidR="006A0C4B" w:rsidRPr="00B7408D" w:rsidRDefault="00F807A6" w:rsidP="00F807A6">
      <w:pPr>
        <w:snapToGrid w:val="0"/>
        <w:spacing w:line="360" w:lineRule="auto"/>
        <w:jc w:val="both"/>
        <w:rPr>
          <w:rFonts w:ascii="Book Antiqua" w:hAnsi="Book Antiqua"/>
          <w:lang w:val="en-US"/>
        </w:rPr>
      </w:pPr>
      <w:r w:rsidRPr="00B7408D">
        <w:rPr>
          <w:rFonts w:ascii="Book Antiqua" w:hAnsi="Book Antiqua"/>
          <w:lang w:val="en-US"/>
        </w:rPr>
        <w:t xml:space="preserve">146 </w:t>
      </w:r>
      <w:proofErr w:type="spellStart"/>
      <w:r w:rsidRPr="00B7408D">
        <w:rPr>
          <w:rFonts w:ascii="Book Antiqua" w:hAnsi="Book Antiqua"/>
          <w:b/>
          <w:lang w:val="en-US"/>
        </w:rPr>
        <w:t>Alkhatib</w:t>
      </w:r>
      <w:proofErr w:type="spellEnd"/>
      <w:r w:rsidRPr="00B7408D">
        <w:rPr>
          <w:rFonts w:ascii="Book Antiqua" w:hAnsi="Book Antiqua"/>
          <w:b/>
          <w:lang w:val="en-US"/>
        </w:rPr>
        <w:t xml:space="preserve"> A</w:t>
      </w:r>
      <w:r w:rsidRPr="00B7408D">
        <w:rPr>
          <w:rFonts w:ascii="Book Antiqua" w:hAnsi="Book Antiqua"/>
          <w:lang w:val="en-US"/>
        </w:rPr>
        <w:t xml:space="preserve">, Tsang C, </w:t>
      </w:r>
      <w:proofErr w:type="spellStart"/>
      <w:r w:rsidRPr="00B7408D">
        <w:rPr>
          <w:rFonts w:ascii="Book Antiqua" w:hAnsi="Book Antiqua"/>
          <w:lang w:val="en-US"/>
        </w:rPr>
        <w:t>Tuomilehto</w:t>
      </w:r>
      <w:proofErr w:type="spellEnd"/>
      <w:r w:rsidRPr="00B7408D">
        <w:rPr>
          <w:rFonts w:ascii="Book Antiqua" w:hAnsi="Book Antiqua"/>
          <w:lang w:val="en-US"/>
        </w:rPr>
        <w:t xml:space="preserve"> J. Olive Oil Nutraceuticals in the Prevention and Management of Diabetes: From Molecules to Lifestyle. </w:t>
      </w:r>
      <w:r w:rsidRPr="00B7408D">
        <w:rPr>
          <w:rFonts w:ascii="Book Antiqua" w:hAnsi="Book Antiqua"/>
          <w:i/>
          <w:lang w:val="en-US"/>
        </w:rPr>
        <w:t>Int J Mol Sci</w:t>
      </w:r>
      <w:r w:rsidRPr="00B7408D">
        <w:rPr>
          <w:rFonts w:ascii="Book Antiqua" w:hAnsi="Book Antiqua"/>
          <w:lang w:val="en-US"/>
        </w:rPr>
        <w:t xml:space="preserve"> 2018; </w:t>
      </w:r>
      <w:r w:rsidRPr="00B7408D">
        <w:rPr>
          <w:rFonts w:ascii="Book Antiqua" w:hAnsi="Book Antiqua"/>
          <w:b/>
          <w:lang w:val="en-US"/>
        </w:rPr>
        <w:t>19</w:t>
      </w:r>
      <w:r w:rsidRPr="00B7408D">
        <w:rPr>
          <w:rFonts w:ascii="Book Antiqua" w:hAnsi="Book Antiqua"/>
          <w:lang w:val="en-US"/>
        </w:rPr>
        <w:t>: [PMID: 30002281 DOI: 10.3390/ijms19072024]</w:t>
      </w:r>
    </w:p>
    <w:p w14:paraId="22162391" w14:textId="77777777" w:rsidR="00F807A6" w:rsidRPr="00B7408D" w:rsidRDefault="00F807A6" w:rsidP="00F807A6">
      <w:pPr>
        <w:snapToGrid w:val="0"/>
        <w:spacing w:line="360" w:lineRule="auto"/>
        <w:jc w:val="both"/>
        <w:rPr>
          <w:rFonts w:ascii="Book Antiqua" w:hAnsi="Book Antiqua"/>
          <w:lang w:val="en-US"/>
        </w:rPr>
      </w:pPr>
    </w:p>
    <w:p w14:paraId="49F99E4D" w14:textId="26C2550F" w:rsidR="006A0C4B" w:rsidRPr="00B7408D" w:rsidRDefault="006A0C4B" w:rsidP="00466A97">
      <w:pPr>
        <w:wordWrap w:val="0"/>
        <w:spacing w:line="360" w:lineRule="auto"/>
        <w:jc w:val="right"/>
        <w:rPr>
          <w:rFonts w:ascii="Book Antiqua" w:hAnsi="Book Antiqua"/>
          <w:bCs/>
          <w:lang w:val="en-US"/>
        </w:rPr>
      </w:pPr>
      <w:r w:rsidRPr="00B7408D">
        <w:rPr>
          <w:rFonts w:ascii="Book Antiqua" w:hAnsi="Book Antiqua"/>
          <w:b/>
          <w:bCs/>
          <w:lang w:val="en-US"/>
        </w:rPr>
        <w:t xml:space="preserve">P-Reviewer: </w:t>
      </w:r>
      <w:r w:rsidR="00732AA9" w:rsidRPr="00B7408D">
        <w:rPr>
          <w:rFonts w:ascii="Book Antiqua" w:hAnsi="Book Antiqua"/>
          <w:bCs/>
          <w:lang w:val="en-US"/>
        </w:rPr>
        <w:t xml:space="preserve">Saeki K, </w:t>
      </w:r>
      <w:proofErr w:type="spellStart"/>
      <w:r w:rsidR="00732AA9" w:rsidRPr="00B7408D">
        <w:rPr>
          <w:rFonts w:ascii="Book Antiqua" w:hAnsi="Book Antiqua"/>
          <w:bCs/>
          <w:lang w:val="en-US"/>
        </w:rPr>
        <w:t>Wakao</w:t>
      </w:r>
      <w:proofErr w:type="spellEnd"/>
      <w:r w:rsidR="00732AA9" w:rsidRPr="00B7408D">
        <w:rPr>
          <w:rFonts w:ascii="Book Antiqua" w:hAnsi="Book Antiqua"/>
          <w:bCs/>
          <w:lang w:val="en-US"/>
        </w:rPr>
        <w:t xml:space="preserve"> H</w:t>
      </w:r>
      <w:r w:rsidR="00732AA9" w:rsidRPr="00B7408D">
        <w:rPr>
          <w:rFonts w:ascii="Book Antiqua" w:hAnsi="Book Antiqua"/>
          <w:b/>
          <w:bCs/>
          <w:lang w:val="en-US"/>
        </w:rPr>
        <w:t xml:space="preserve"> </w:t>
      </w:r>
      <w:r w:rsidRPr="00B7408D">
        <w:rPr>
          <w:rFonts w:ascii="Book Antiqua" w:hAnsi="Book Antiqua"/>
          <w:b/>
          <w:bCs/>
          <w:lang w:val="en-US"/>
        </w:rPr>
        <w:t>S-Editor:</w:t>
      </w:r>
      <w:r w:rsidRPr="00B7408D">
        <w:rPr>
          <w:rFonts w:ascii="Book Antiqua" w:hAnsi="Book Antiqua"/>
          <w:lang w:val="en-US"/>
        </w:rPr>
        <w:t xml:space="preserve"> </w:t>
      </w:r>
      <w:r w:rsidR="00732AA9" w:rsidRPr="00B7408D">
        <w:rPr>
          <w:rFonts w:ascii="Book Antiqua" w:hAnsi="Book Antiqua"/>
          <w:lang w:val="en-US"/>
        </w:rPr>
        <w:t>W</w:t>
      </w:r>
      <w:r w:rsidR="00732AA9" w:rsidRPr="00B7408D">
        <w:rPr>
          <w:rFonts w:ascii="Book Antiqua" w:hAnsi="Book Antiqua" w:hint="eastAsia"/>
          <w:lang w:val="en-US"/>
        </w:rPr>
        <w:t>ang</w:t>
      </w:r>
      <w:r w:rsidR="00A07220" w:rsidRPr="00B7408D">
        <w:rPr>
          <w:rFonts w:ascii="Book Antiqua" w:hAnsi="Book Antiqua" w:hint="eastAsia"/>
          <w:lang w:val="en-US"/>
        </w:rPr>
        <w:t xml:space="preserve"> J</w:t>
      </w:r>
      <w:r w:rsidR="00732AA9" w:rsidRPr="00B7408D">
        <w:rPr>
          <w:rFonts w:ascii="Book Antiqua" w:hAnsi="Book Antiqua"/>
          <w:lang w:val="en-US"/>
        </w:rPr>
        <w:t xml:space="preserve"> </w:t>
      </w:r>
      <w:r w:rsidRPr="00B7408D">
        <w:rPr>
          <w:rFonts w:ascii="Book Antiqua" w:hAnsi="Book Antiqua"/>
          <w:b/>
          <w:bCs/>
          <w:lang w:val="en-US"/>
        </w:rPr>
        <w:t>L-Editor:</w:t>
      </w:r>
      <w:r w:rsidRPr="00B7408D">
        <w:rPr>
          <w:rFonts w:ascii="Book Antiqua" w:hAnsi="Book Antiqua"/>
          <w:lang w:val="en-US"/>
        </w:rPr>
        <w:t xml:space="preserve"> </w:t>
      </w:r>
      <w:r w:rsidR="00466A97" w:rsidRPr="00B7408D">
        <w:rPr>
          <w:rFonts w:ascii="Book Antiqua" w:hAnsi="Book Antiqua" w:hint="eastAsia"/>
          <w:lang w:val="en-US"/>
        </w:rPr>
        <w:t xml:space="preserve">A </w:t>
      </w:r>
      <w:r w:rsidRPr="00B7408D">
        <w:rPr>
          <w:rFonts w:ascii="Book Antiqua" w:hAnsi="Book Antiqua"/>
          <w:b/>
          <w:bCs/>
          <w:lang w:val="en-US"/>
        </w:rPr>
        <w:t>E-Editor:</w:t>
      </w:r>
      <w:r w:rsidR="00466A97" w:rsidRPr="00B7408D">
        <w:rPr>
          <w:rFonts w:ascii="Book Antiqua" w:hAnsi="Book Antiqua" w:hint="eastAsia"/>
          <w:b/>
          <w:bCs/>
          <w:lang w:val="en-US"/>
        </w:rPr>
        <w:t xml:space="preserve"> </w:t>
      </w:r>
      <w:r w:rsidR="00466A97" w:rsidRPr="00B7408D">
        <w:rPr>
          <w:rFonts w:ascii="Book Antiqua" w:hAnsi="Book Antiqua" w:hint="eastAsia"/>
          <w:bCs/>
          <w:lang w:val="en-US"/>
        </w:rPr>
        <w:t>Liu MY</w:t>
      </w:r>
    </w:p>
    <w:p w14:paraId="083AC82B" w14:textId="77777777" w:rsidR="006A0C4B" w:rsidRPr="00B7408D" w:rsidRDefault="006A0C4B" w:rsidP="006A0C4B">
      <w:pPr>
        <w:spacing w:line="360" w:lineRule="auto"/>
        <w:rPr>
          <w:rFonts w:ascii="Book Antiqua" w:hAnsi="Book Antiqua" w:cs="Arial"/>
          <w:color w:val="2B2B2B"/>
          <w:shd w:val="clear" w:color="auto" w:fill="FAFAFA"/>
          <w:lang w:val="en-US"/>
        </w:rPr>
      </w:pPr>
    </w:p>
    <w:p w14:paraId="521DC514" w14:textId="38FF6794" w:rsidR="006A0C4B" w:rsidRPr="00B7408D" w:rsidRDefault="006A0C4B" w:rsidP="006A0C4B">
      <w:pPr>
        <w:shd w:val="clear" w:color="auto" w:fill="FFFFFF"/>
        <w:snapToGrid w:val="0"/>
        <w:spacing w:line="360" w:lineRule="auto"/>
        <w:rPr>
          <w:rFonts w:ascii="Book Antiqua" w:hAnsi="Book Antiqua" w:cs="Helvetica"/>
          <w:b/>
          <w:lang w:val="en-US"/>
        </w:rPr>
      </w:pPr>
      <w:r w:rsidRPr="00B7408D">
        <w:rPr>
          <w:rFonts w:ascii="Book Antiqua" w:hAnsi="Book Antiqua" w:cs="Helvetica"/>
          <w:b/>
          <w:lang w:val="en-US"/>
        </w:rPr>
        <w:t>Specialty type:</w:t>
      </w:r>
      <w:r w:rsidR="003714DD" w:rsidRPr="00B7408D">
        <w:rPr>
          <w:rFonts w:ascii="Book Antiqua" w:hAnsi="Book Antiqua" w:cs="Helvetica"/>
          <w:b/>
          <w:lang w:val="en-US"/>
        </w:rPr>
        <w:t xml:space="preserve"> </w:t>
      </w:r>
      <w:r w:rsidR="003714DD" w:rsidRPr="00B7408D">
        <w:rPr>
          <w:rFonts w:ascii="Book Antiqua" w:hAnsi="Book Antiqua" w:cs="Helvetica"/>
          <w:bCs/>
          <w:lang w:val="en-US"/>
        </w:rPr>
        <w:t>Cell and tissue engineering</w:t>
      </w:r>
    </w:p>
    <w:p w14:paraId="5B1E7797" w14:textId="2F232DB7" w:rsidR="006A0C4B" w:rsidRPr="00B7408D" w:rsidRDefault="006A0C4B" w:rsidP="006A0C4B">
      <w:pPr>
        <w:shd w:val="clear" w:color="auto" w:fill="FFFFFF"/>
        <w:snapToGrid w:val="0"/>
        <w:spacing w:line="360" w:lineRule="auto"/>
        <w:rPr>
          <w:rFonts w:ascii="Book Antiqua" w:hAnsi="Book Antiqua" w:cs="Helvetica"/>
          <w:lang w:val="en-US"/>
        </w:rPr>
      </w:pPr>
      <w:r w:rsidRPr="00B7408D">
        <w:rPr>
          <w:rFonts w:ascii="Book Antiqua" w:hAnsi="Book Antiqua" w:cs="Helvetica"/>
          <w:b/>
          <w:lang w:val="en-US"/>
        </w:rPr>
        <w:t>Country of origin:</w:t>
      </w:r>
      <w:r w:rsidR="003714DD" w:rsidRPr="00B7408D">
        <w:rPr>
          <w:rFonts w:ascii="Book Antiqua" w:hAnsi="Book Antiqua" w:cs="Helvetica"/>
          <w:b/>
          <w:lang w:val="en-US"/>
        </w:rPr>
        <w:t xml:space="preserve"> </w:t>
      </w:r>
      <w:r w:rsidR="003714DD" w:rsidRPr="00B7408D">
        <w:rPr>
          <w:rFonts w:ascii="Book Antiqua" w:hAnsi="Book Antiqua" w:cs="Helvetica"/>
          <w:bCs/>
          <w:lang w:val="en-US"/>
        </w:rPr>
        <w:t>Spain</w:t>
      </w:r>
    </w:p>
    <w:p w14:paraId="3ADEC834" w14:textId="77777777" w:rsidR="006A0C4B" w:rsidRPr="00B7408D" w:rsidRDefault="006A0C4B" w:rsidP="006A0C4B">
      <w:pPr>
        <w:shd w:val="clear" w:color="auto" w:fill="FFFFFF"/>
        <w:snapToGrid w:val="0"/>
        <w:spacing w:line="360" w:lineRule="auto"/>
        <w:rPr>
          <w:rFonts w:ascii="Book Antiqua" w:hAnsi="Book Antiqua" w:cs="Helvetica"/>
          <w:b/>
          <w:lang w:val="en-US"/>
        </w:rPr>
      </w:pPr>
      <w:r w:rsidRPr="00B7408D">
        <w:rPr>
          <w:rFonts w:ascii="Book Antiqua" w:hAnsi="Book Antiqua" w:cs="Helvetica"/>
          <w:b/>
          <w:lang w:val="en-US"/>
        </w:rPr>
        <w:t>Peer-review report classification</w:t>
      </w:r>
    </w:p>
    <w:p w14:paraId="0FB33F65" w14:textId="3AC35C33" w:rsidR="006A0C4B" w:rsidRPr="00B7408D" w:rsidRDefault="006A0C4B" w:rsidP="006A0C4B">
      <w:pPr>
        <w:shd w:val="clear" w:color="auto" w:fill="FFFFFF"/>
        <w:snapToGrid w:val="0"/>
        <w:spacing w:line="360" w:lineRule="auto"/>
        <w:rPr>
          <w:rFonts w:ascii="Book Antiqua" w:hAnsi="Book Antiqua" w:cs="Helvetica"/>
          <w:b/>
          <w:bCs/>
          <w:lang w:val="en-US"/>
        </w:rPr>
      </w:pPr>
      <w:r w:rsidRPr="00B7408D">
        <w:rPr>
          <w:rFonts w:ascii="Book Antiqua" w:hAnsi="Book Antiqua" w:cs="Helvetica"/>
          <w:b/>
          <w:bCs/>
          <w:lang w:val="en-US"/>
        </w:rPr>
        <w:t>Grade A (Excellent):</w:t>
      </w:r>
      <w:r w:rsidR="00A07220" w:rsidRPr="00B7408D">
        <w:rPr>
          <w:rFonts w:ascii="Book Antiqua" w:hAnsi="Book Antiqua" w:cs="Helvetica" w:hint="eastAsia"/>
          <w:b/>
          <w:bCs/>
          <w:lang w:val="en-US"/>
        </w:rPr>
        <w:t xml:space="preserve"> </w:t>
      </w:r>
      <w:r w:rsidR="00A07220" w:rsidRPr="00B7408D">
        <w:rPr>
          <w:rFonts w:ascii="Book Antiqua" w:hAnsi="Book Antiqua" w:cs="Helvetica" w:hint="eastAsia"/>
          <w:bCs/>
          <w:lang w:val="en-US"/>
        </w:rPr>
        <w:t>0</w:t>
      </w:r>
    </w:p>
    <w:p w14:paraId="6A93CAA0" w14:textId="007D93A0" w:rsidR="006A0C4B" w:rsidRPr="00B7408D" w:rsidRDefault="006A0C4B" w:rsidP="006A0C4B">
      <w:pPr>
        <w:shd w:val="clear" w:color="auto" w:fill="FFFFFF"/>
        <w:snapToGrid w:val="0"/>
        <w:spacing w:line="360" w:lineRule="auto"/>
        <w:rPr>
          <w:rFonts w:ascii="Book Antiqua" w:hAnsi="Book Antiqua" w:cs="Helvetica"/>
          <w:b/>
          <w:bCs/>
          <w:lang w:val="en-US"/>
        </w:rPr>
      </w:pPr>
      <w:r w:rsidRPr="00B7408D">
        <w:rPr>
          <w:rFonts w:ascii="Book Antiqua" w:hAnsi="Book Antiqua" w:cs="Helvetica"/>
          <w:b/>
          <w:bCs/>
          <w:lang w:val="en-US"/>
        </w:rPr>
        <w:t>Grade B (Very good):</w:t>
      </w:r>
      <w:r w:rsidR="00A07220" w:rsidRPr="00B7408D">
        <w:rPr>
          <w:rFonts w:ascii="Book Antiqua" w:hAnsi="Book Antiqua" w:cs="Helvetica" w:hint="eastAsia"/>
          <w:b/>
          <w:bCs/>
          <w:lang w:val="en-US"/>
        </w:rPr>
        <w:t xml:space="preserve"> </w:t>
      </w:r>
      <w:r w:rsidR="00A07220" w:rsidRPr="00B7408D">
        <w:rPr>
          <w:rFonts w:ascii="Book Antiqua" w:hAnsi="Book Antiqua" w:cs="Helvetica" w:hint="eastAsia"/>
          <w:bCs/>
          <w:lang w:val="en-US"/>
        </w:rPr>
        <w:t>0</w:t>
      </w:r>
    </w:p>
    <w:p w14:paraId="42D13A29" w14:textId="0EDBDEA4" w:rsidR="006A0C4B" w:rsidRPr="00B7408D" w:rsidRDefault="006A0C4B" w:rsidP="006A0C4B">
      <w:pPr>
        <w:shd w:val="clear" w:color="auto" w:fill="FFFFFF"/>
        <w:snapToGrid w:val="0"/>
        <w:spacing w:line="360" w:lineRule="auto"/>
        <w:rPr>
          <w:rFonts w:ascii="Book Antiqua" w:hAnsi="Book Antiqua" w:cs="Helvetica"/>
          <w:b/>
          <w:bCs/>
          <w:lang w:val="en-US"/>
        </w:rPr>
      </w:pPr>
      <w:r w:rsidRPr="00B7408D">
        <w:rPr>
          <w:rFonts w:ascii="Book Antiqua" w:hAnsi="Book Antiqua" w:cs="Helvetica"/>
          <w:b/>
          <w:bCs/>
          <w:lang w:val="en-US"/>
        </w:rPr>
        <w:t>Grade C (Good):</w:t>
      </w:r>
      <w:r w:rsidR="00F705AE" w:rsidRPr="00B7408D">
        <w:rPr>
          <w:rFonts w:ascii="Book Antiqua" w:hAnsi="Book Antiqua" w:cs="Helvetica"/>
          <w:b/>
          <w:bCs/>
          <w:lang w:val="en-US"/>
        </w:rPr>
        <w:t xml:space="preserve"> </w:t>
      </w:r>
      <w:r w:rsidR="00F705AE" w:rsidRPr="00B7408D">
        <w:rPr>
          <w:rFonts w:ascii="Book Antiqua" w:hAnsi="Book Antiqua" w:cs="Helvetica"/>
          <w:lang w:val="en-US"/>
        </w:rPr>
        <w:t>C, C</w:t>
      </w:r>
    </w:p>
    <w:p w14:paraId="6FB10F28" w14:textId="69A88184" w:rsidR="006A0C4B" w:rsidRPr="00B7408D" w:rsidRDefault="006A0C4B" w:rsidP="006A0C4B">
      <w:pPr>
        <w:shd w:val="clear" w:color="auto" w:fill="FFFFFF"/>
        <w:snapToGrid w:val="0"/>
        <w:spacing w:line="360" w:lineRule="auto"/>
        <w:rPr>
          <w:rFonts w:ascii="Book Antiqua" w:hAnsi="Book Antiqua" w:cs="Helvetica"/>
          <w:b/>
          <w:bCs/>
          <w:lang w:val="en-US"/>
        </w:rPr>
      </w:pPr>
      <w:r w:rsidRPr="00B7408D">
        <w:rPr>
          <w:rFonts w:ascii="Book Antiqua" w:hAnsi="Book Antiqua" w:cs="Helvetica"/>
          <w:b/>
          <w:bCs/>
          <w:lang w:val="en-US"/>
        </w:rPr>
        <w:t>Grade D (Fair):</w:t>
      </w:r>
      <w:r w:rsidR="00A07220" w:rsidRPr="00B7408D">
        <w:rPr>
          <w:rFonts w:ascii="Book Antiqua" w:hAnsi="Book Antiqua" w:cs="Helvetica" w:hint="eastAsia"/>
          <w:b/>
          <w:bCs/>
          <w:lang w:val="en-US"/>
        </w:rPr>
        <w:t xml:space="preserve"> </w:t>
      </w:r>
      <w:r w:rsidR="00A07220" w:rsidRPr="00B7408D">
        <w:rPr>
          <w:rFonts w:ascii="Book Antiqua" w:hAnsi="Book Antiqua" w:cs="Helvetica" w:hint="eastAsia"/>
          <w:bCs/>
          <w:lang w:val="en-US"/>
        </w:rPr>
        <w:t>0</w:t>
      </w:r>
    </w:p>
    <w:p w14:paraId="769F70AE" w14:textId="392C0AD6" w:rsidR="006A0C4B" w:rsidRPr="00B7408D" w:rsidRDefault="006A0C4B" w:rsidP="006A0C4B">
      <w:pPr>
        <w:spacing w:line="360" w:lineRule="auto"/>
        <w:jc w:val="both"/>
        <w:rPr>
          <w:rFonts w:ascii="Book Antiqua" w:hAnsi="Book Antiqua" w:cs="Arial"/>
          <w:lang w:val="en-US"/>
        </w:rPr>
      </w:pPr>
      <w:r w:rsidRPr="00B7408D">
        <w:rPr>
          <w:rFonts w:ascii="Book Antiqua" w:hAnsi="Book Antiqua" w:cs="Helvetica"/>
          <w:b/>
          <w:bCs/>
          <w:lang w:val="en-US"/>
        </w:rPr>
        <w:t>Grade E (Poor):</w:t>
      </w:r>
      <w:r w:rsidR="00A07220" w:rsidRPr="00B7408D">
        <w:rPr>
          <w:rFonts w:ascii="Book Antiqua" w:hAnsi="Book Antiqua" w:cs="Helvetica" w:hint="eastAsia"/>
          <w:b/>
          <w:bCs/>
          <w:lang w:val="en-US"/>
        </w:rPr>
        <w:t xml:space="preserve"> </w:t>
      </w:r>
      <w:r w:rsidR="00A07220" w:rsidRPr="00B7408D">
        <w:rPr>
          <w:rFonts w:ascii="Book Antiqua" w:hAnsi="Book Antiqua" w:cs="Helvetica" w:hint="eastAsia"/>
          <w:bCs/>
          <w:lang w:val="en-US"/>
        </w:rPr>
        <w:t>0</w:t>
      </w:r>
    </w:p>
    <w:p w14:paraId="5DB2CCDA" w14:textId="77777777" w:rsidR="006A0C4B" w:rsidRPr="00B7408D" w:rsidRDefault="006A0C4B" w:rsidP="006A0C4B">
      <w:pPr>
        <w:snapToGrid w:val="0"/>
        <w:spacing w:line="360" w:lineRule="auto"/>
        <w:jc w:val="both"/>
        <w:rPr>
          <w:rFonts w:ascii="Book Antiqua" w:hAnsi="Book Antiqua"/>
          <w:lang w:val="en-US"/>
        </w:rPr>
      </w:pPr>
    </w:p>
    <w:p w14:paraId="2F69BAF6" w14:textId="77777777" w:rsidR="006A0C4B" w:rsidRPr="00B7408D" w:rsidRDefault="006A0C4B" w:rsidP="006A0C4B">
      <w:pPr>
        <w:snapToGrid w:val="0"/>
        <w:spacing w:line="360" w:lineRule="auto"/>
        <w:jc w:val="both"/>
        <w:rPr>
          <w:rFonts w:ascii="Book Antiqua" w:hAnsi="Book Antiqua"/>
          <w:lang w:val="en-US"/>
        </w:rPr>
      </w:pPr>
    </w:p>
    <w:p w14:paraId="06363B33" w14:textId="77777777" w:rsidR="006A0C4B" w:rsidRPr="00B7408D" w:rsidRDefault="006A0C4B" w:rsidP="006A0C4B">
      <w:pPr>
        <w:snapToGrid w:val="0"/>
        <w:spacing w:line="360" w:lineRule="auto"/>
        <w:jc w:val="both"/>
        <w:rPr>
          <w:rFonts w:ascii="Book Antiqua" w:hAnsi="Book Antiqua"/>
          <w:lang w:val="en-US"/>
        </w:rPr>
      </w:pPr>
    </w:p>
    <w:p w14:paraId="6989C01C" w14:textId="491710D2" w:rsidR="005029D0" w:rsidRPr="00B7408D" w:rsidRDefault="005029D0">
      <w:pPr>
        <w:rPr>
          <w:rFonts w:ascii="Book Antiqua" w:hAnsi="Book Antiqua"/>
          <w:lang w:val="en-US"/>
        </w:rPr>
      </w:pPr>
      <w:r w:rsidRPr="00B7408D">
        <w:rPr>
          <w:rFonts w:ascii="Book Antiqua" w:hAnsi="Book Antiqua"/>
          <w:lang w:val="en-US"/>
        </w:rPr>
        <w:br w:type="page"/>
      </w:r>
    </w:p>
    <w:p w14:paraId="0762C9B8" w14:textId="31CAA65B" w:rsidR="005029D0" w:rsidRPr="00B7408D" w:rsidRDefault="006A0C4B" w:rsidP="009A0167">
      <w:pPr>
        <w:snapToGrid w:val="0"/>
        <w:spacing w:line="360" w:lineRule="auto"/>
        <w:jc w:val="both"/>
        <w:rPr>
          <w:rFonts w:ascii="Book Antiqua" w:hAnsi="Book Antiqua"/>
          <w:b/>
          <w:lang w:val="en-US"/>
        </w:rPr>
      </w:pPr>
      <w:r w:rsidRPr="00B7408D">
        <w:rPr>
          <w:rFonts w:ascii="Book Antiqua" w:hAnsi="Book Antiqua"/>
          <w:b/>
          <w:lang w:val="en-US"/>
        </w:rPr>
        <w:lastRenderedPageBreak/>
        <w:t>Table 1 Principal components of extra virgin olive oil</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244"/>
      </w:tblGrid>
      <w:tr w:rsidR="005029D0" w:rsidRPr="00B7408D" w14:paraId="5332F2D9" w14:textId="77777777" w:rsidTr="009A0167">
        <w:tc>
          <w:tcPr>
            <w:tcW w:w="4244" w:type="dxa"/>
            <w:tcBorders>
              <w:top w:val="single" w:sz="4" w:space="0" w:color="auto"/>
              <w:bottom w:val="single" w:sz="4" w:space="0" w:color="auto"/>
            </w:tcBorders>
          </w:tcPr>
          <w:p w14:paraId="1FE9A352" w14:textId="196046BB" w:rsidR="005029D0" w:rsidRPr="00B7408D" w:rsidRDefault="005029D0" w:rsidP="006A0C4B">
            <w:pPr>
              <w:rPr>
                <w:rFonts w:ascii="Book Antiqua" w:hAnsi="Book Antiqua"/>
                <w:b/>
                <w:lang w:val="en-US"/>
              </w:rPr>
            </w:pPr>
            <w:r w:rsidRPr="00B7408D">
              <w:rPr>
                <w:rFonts w:ascii="Book Antiqua" w:hAnsi="Book Antiqua" w:cs="Arial"/>
                <w:b/>
                <w:lang w:val="en-US"/>
              </w:rPr>
              <w:t>Saponifiable fraction</w:t>
            </w:r>
          </w:p>
        </w:tc>
        <w:tc>
          <w:tcPr>
            <w:tcW w:w="4244" w:type="dxa"/>
            <w:tcBorders>
              <w:top w:val="single" w:sz="4" w:space="0" w:color="auto"/>
              <w:bottom w:val="single" w:sz="4" w:space="0" w:color="auto"/>
            </w:tcBorders>
          </w:tcPr>
          <w:p w14:paraId="612B3F94" w14:textId="29D7EB40" w:rsidR="005029D0" w:rsidRPr="00B7408D" w:rsidRDefault="005029D0" w:rsidP="009A0167">
            <w:pPr>
              <w:jc w:val="center"/>
              <w:rPr>
                <w:rFonts w:ascii="Book Antiqua" w:hAnsi="Book Antiqua"/>
                <w:b/>
                <w:lang w:val="en-US"/>
              </w:rPr>
            </w:pPr>
            <w:r w:rsidRPr="00B7408D">
              <w:rPr>
                <w:rFonts w:ascii="Book Antiqua" w:hAnsi="Book Antiqua" w:cs="Arial"/>
                <w:b/>
                <w:lang w:val="en-US"/>
              </w:rPr>
              <w:t>98%</w:t>
            </w:r>
            <w:r w:rsidR="009A0167" w:rsidRPr="00B7408D">
              <w:rPr>
                <w:rFonts w:ascii="Book Antiqua" w:hAnsi="Book Antiqua" w:cs="Arial"/>
                <w:b/>
                <w:lang w:val="en-US"/>
              </w:rPr>
              <w:t>-</w:t>
            </w:r>
            <w:r w:rsidRPr="00B7408D">
              <w:rPr>
                <w:rFonts w:ascii="Book Antiqua" w:hAnsi="Book Antiqua" w:cs="Arial"/>
                <w:b/>
                <w:lang w:val="en-US"/>
              </w:rPr>
              <w:t>99% of total</w:t>
            </w:r>
          </w:p>
        </w:tc>
      </w:tr>
      <w:tr w:rsidR="005029D0" w:rsidRPr="00B7408D" w14:paraId="4A005EEE" w14:textId="77777777" w:rsidTr="009A0167">
        <w:tc>
          <w:tcPr>
            <w:tcW w:w="4244" w:type="dxa"/>
            <w:tcBorders>
              <w:top w:val="single" w:sz="4" w:space="0" w:color="auto"/>
            </w:tcBorders>
          </w:tcPr>
          <w:p w14:paraId="649B3FC1" w14:textId="4AE91767" w:rsidR="005029D0" w:rsidRPr="00B7408D" w:rsidRDefault="005029D0" w:rsidP="006A0C4B">
            <w:pPr>
              <w:rPr>
                <w:rFonts w:ascii="Book Antiqua" w:hAnsi="Book Antiqua"/>
                <w:b/>
                <w:lang w:val="en-US"/>
              </w:rPr>
            </w:pPr>
            <w:r w:rsidRPr="00B7408D">
              <w:rPr>
                <w:rFonts w:ascii="Book Antiqua" w:hAnsi="Book Antiqua" w:cs="Arial"/>
                <w:lang w:val="en-US"/>
              </w:rPr>
              <w:t>Fatty acid residues</w:t>
            </w:r>
          </w:p>
        </w:tc>
        <w:tc>
          <w:tcPr>
            <w:tcW w:w="4244" w:type="dxa"/>
            <w:tcBorders>
              <w:top w:val="single" w:sz="4" w:space="0" w:color="auto"/>
            </w:tcBorders>
          </w:tcPr>
          <w:p w14:paraId="32E9AF8C" w14:textId="0896D3C9" w:rsidR="005029D0" w:rsidRPr="00B7408D" w:rsidRDefault="005029D0" w:rsidP="009A0167">
            <w:pPr>
              <w:jc w:val="center"/>
              <w:rPr>
                <w:rFonts w:ascii="Book Antiqua" w:hAnsi="Book Antiqua"/>
                <w:b/>
                <w:lang w:val="en-US"/>
              </w:rPr>
            </w:pPr>
            <w:r w:rsidRPr="00B7408D">
              <w:rPr>
                <w:rFonts w:ascii="Book Antiqua" w:hAnsi="Book Antiqua" w:cs="Arial"/>
                <w:lang w:val="en-US"/>
              </w:rPr>
              <w:t>Percentage of total</w:t>
            </w:r>
          </w:p>
        </w:tc>
      </w:tr>
      <w:tr w:rsidR="005029D0" w:rsidRPr="00B7408D" w14:paraId="73DB725F" w14:textId="77777777" w:rsidTr="009A0167">
        <w:tc>
          <w:tcPr>
            <w:tcW w:w="4244" w:type="dxa"/>
          </w:tcPr>
          <w:p w14:paraId="0B46BED5" w14:textId="616F6FE4" w:rsidR="005029D0" w:rsidRPr="00B7408D" w:rsidRDefault="005029D0" w:rsidP="006A0C4B">
            <w:pPr>
              <w:rPr>
                <w:rFonts w:ascii="Book Antiqua" w:hAnsi="Book Antiqua"/>
                <w:b/>
                <w:lang w:val="en-US"/>
              </w:rPr>
            </w:pPr>
            <w:r w:rsidRPr="00B7408D">
              <w:rPr>
                <w:rFonts w:ascii="Book Antiqua" w:hAnsi="Book Antiqua" w:cs="Arial"/>
                <w:lang w:val="en-US"/>
              </w:rPr>
              <w:t>Oleic acid (C18:1)</w:t>
            </w:r>
          </w:p>
        </w:tc>
        <w:tc>
          <w:tcPr>
            <w:tcW w:w="4244" w:type="dxa"/>
          </w:tcPr>
          <w:p w14:paraId="3413BA36" w14:textId="5AB125D1" w:rsidR="005029D0" w:rsidRPr="00B7408D" w:rsidRDefault="005029D0" w:rsidP="009A0167">
            <w:pPr>
              <w:jc w:val="center"/>
              <w:rPr>
                <w:rFonts w:ascii="Book Antiqua" w:hAnsi="Book Antiqua"/>
                <w:b/>
                <w:lang w:val="en-US"/>
              </w:rPr>
            </w:pPr>
            <w:r w:rsidRPr="00B7408D">
              <w:rPr>
                <w:rFonts w:ascii="Book Antiqua" w:hAnsi="Book Antiqua" w:cs="Arial"/>
                <w:lang w:val="en-US"/>
              </w:rPr>
              <w:t>55</w:t>
            </w:r>
            <w:r w:rsidR="009A0167" w:rsidRPr="00B7408D">
              <w:rPr>
                <w:rFonts w:ascii="Book Antiqua" w:hAnsi="Book Antiqua" w:cs="Arial"/>
                <w:lang w:val="en-US"/>
              </w:rPr>
              <w:t>-</w:t>
            </w:r>
            <w:r w:rsidRPr="00B7408D">
              <w:rPr>
                <w:rFonts w:ascii="Book Antiqua" w:hAnsi="Book Antiqua" w:cs="Arial"/>
                <w:lang w:val="en-US"/>
              </w:rPr>
              <w:t>83</w:t>
            </w:r>
          </w:p>
        </w:tc>
      </w:tr>
      <w:tr w:rsidR="005029D0" w:rsidRPr="00B7408D" w14:paraId="7DA78664" w14:textId="77777777" w:rsidTr="009A0167">
        <w:tc>
          <w:tcPr>
            <w:tcW w:w="4244" w:type="dxa"/>
          </w:tcPr>
          <w:p w14:paraId="44BF8EA9" w14:textId="0AB5D4BA" w:rsidR="005029D0" w:rsidRPr="00B7408D" w:rsidRDefault="005029D0" w:rsidP="006A0C4B">
            <w:pPr>
              <w:rPr>
                <w:rFonts w:ascii="Book Antiqua" w:hAnsi="Book Antiqua"/>
                <w:b/>
                <w:lang w:val="en-US"/>
              </w:rPr>
            </w:pPr>
            <w:r w:rsidRPr="00B7408D">
              <w:rPr>
                <w:rFonts w:ascii="Book Antiqua" w:hAnsi="Book Antiqua" w:cs="Arial"/>
                <w:lang w:val="en-US"/>
              </w:rPr>
              <w:t>Linoleic acid (C18:2)</w:t>
            </w:r>
          </w:p>
        </w:tc>
        <w:tc>
          <w:tcPr>
            <w:tcW w:w="4244" w:type="dxa"/>
          </w:tcPr>
          <w:p w14:paraId="03D0D5D2" w14:textId="22FBA5FD" w:rsidR="005029D0" w:rsidRPr="00B7408D" w:rsidRDefault="00891FED" w:rsidP="009A0167">
            <w:pPr>
              <w:jc w:val="center"/>
              <w:rPr>
                <w:rFonts w:ascii="Book Antiqua" w:hAnsi="Book Antiqua"/>
                <w:b/>
                <w:lang w:val="en-US"/>
              </w:rPr>
            </w:pPr>
            <w:r w:rsidRPr="00B7408D">
              <w:rPr>
                <w:rFonts w:ascii="Book Antiqua" w:hAnsi="Book Antiqua" w:cs="Arial"/>
                <w:lang w:val="en-US"/>
              </w:rPr>
              <w:t>3.5</w:t>
            </w:r>
            <w:r w:rsidR="009A0167" w:rsidRPr="00B7408D">
              <w:rPr>
                <w:rFonts w:ascii="Book Antiqua" w:hAnsi="Book Antiqua" w:cs="Arial"/>
                <w:lang w:val="en-US"/>
              </w:rPr>
              <w:t>-</w:t>
            </w:r>
            <w:r w:rsidRPr="00B7408D">
              <w:rPr>
                <w:rFonts w:ascii="Book Antiqua" w:hAnsi="Book Antiqua" w:cs="Arial"/>
                <w:lang w:val="en-US"/>
              </w:rPr>
              <w:t>21</w:t>
            </w:r>
          </w:p>
        </w:tc>
      </w:tr>
      <w:tr w:rsidR="005029D0" w:rsidRPr="00B7408D" w14:paraId="4DA45A10" w14:textId="77777777" w:rsidTr="009A0167">
        <w:tc>
          <w:tcPr>
            <w:tcW w:w="4244" w:type="dxa"/>
          </w:tcPr>
          <w:p w14:paraId="1EDBB7DF" w14:textId="77B4C264" w:rsidR="005029D0" w:rsidRPr="00B7408D" w:rsidRDefault="00891FED" w:rsidP="006A0C4B">
            <w:pPr>
              <w:rPr>
                <w:rFonts w:ascii="Book Antiqua" w:hAnsi="Book Antiqua"/>
                <w:b/>
                <w:lang w:val="en-US"/>
              </w:rPr>
            </w:pPr>
            <w:r w:rsidRPr="00B7408D">
              <w:rPr>
                <w:rFonts w:ascii="Book Antiqua" w:hAnsi="Book Antiqua" w:cs="Arial"/>
                <w:lang w:val="en-US"/>
              </w:rPr>
              <w:t>Linolenic acid (C18:3)</w:t>
            </w:r>
          </w:p>
        </w:tc>
        <w:tc>
          <w:tcPr>
            <w:tcW w:w="4244" w:type="dxa"/>
          </w:tcPr>
          <w:p w14:paraId="6E299E21" w14:textId="5B0CDF51" w:rsidR="005029D0" w:rsidRPr="00B7408D" w:rsidRDefault="00891FED" w:rsidP="009A0167">
            <w:pPr>
              <w:jc w:val="center"/>
              <w:rPr>
                <w:rFonts w:ascii="Book Antiqua" w:hAnsi="Book Antiqua"/>
                <w:b/>
                <w:lang w:val="en-US"/>
              </w:rPr>
            </w:pPr>
            <w:r w:rsidRPr="00B7408D">
              <w:rPr>
                <w:rFonts w:ascii="Book Antiqua" w:hAnsi="Book Antiqua" w:cs="Arial"/>
                <w:lang w:val="en-US"/>
              </w:rPr>
              <w:t>0.1</w:t>
            </w:r>
            <w:r w:rsidR="009A0167" w:rsidRPr="00B7408D">
              <w:rPr>
                <w:rFonts w:ascii="Book Antiqua" w:hAnsi="Book Antiqua" w:cs="Arial"/>
                <w:lang w:val="en-US"/>
              </w:rPr>
              <w:t>-</w:t>
            </w:r>
            <w:r w:rsidRPr="00B7408D">
              <w:rPr>
                <w:rFonts w:ascii="Book Antiqua" w:hAnsi="Book Antiqua" w:cs="Arial"/>
                <w:lang w:val="en-US"/>
              </w:rPr>
              <w:t>1.5</w:t>
            </w:r>
          </w:p>
        </w:tc>
      </w:tr>
      <w:tr w:rsidR="005029D0" w:rsidRPr="00B7408D" w14:paraId="0E2011A1" w14:textId="77777777" w:rsidTr="009A0167">
        <w:tc>
          <w:tcPr>
            <w:tcW w:w="4244" w:type="dxa"/>
          </w:tcPr>
          <w:p w14:paraId="351FFE3E" w14:textId="003D1102" w:rsidR="005029D0" w:rsidRPr="00B7408D" w:rsidRDefault="00BF3A2F" w:rsidP="006A0C4B">
            <w:pPr>
              <w:rPr>
                <w:rFonts w:ascii="Book Antiqua" w:hAnsi="Book Antiqua"/>
                <w:b/>
                <w:lang w:val="en-US"/>
              </w:rPr>
            </w:pPr>
            <w:r w:rsidRPr="00B7408D">
              <w:rPr>
                <w:rFonts w:ascii="Book Antiqua" w:hAnsi="Book Antiqua" w:cs="Arial"/>
                <w:lang w:val="en-US"/>
              </w:rPr>
              <w:t>Palmitoleic acid (C16:1)</w:t>
            </w:r>
          </w:p>
        </w:tc>
        <w:tc>
          <w:tcPr>
            <w:tcW w:w="4244" w:type="dxa"/>
          </w:tcPr>
          <w:p w14:paraId="27694F9D" w14:textId="09AD48E7" w:rsidR="005029D0" w:rsidRPr="00B7408D" w:rsidRDefault="00BF3A2F" w:rsidP="009A0167">
            <w:pPr>
              <w:jc w:val="center"/>
              <w:rPr>
                <w:rFonts w:ascii="Book Antiqua" w:hAnsi="Book Antiqua"/>
                <w:b/>
                <w:lang w:val="en-US"/>
              </w:rPr>
            </w:pPr>
            <w:r w:rsidRPr="00B7408D">
              <w:rPr>
                <w:rFonts w:ascii="Book Antiqua" w:hAnsi="Book Antiqua" w:cs="Arial"/>
                <w:lang w:val="en-US"/>
              </w:rPr>
              <w:t>0.3</w:t>
            </w:r>
            <w:r w:rsidR="009A0167" w:rsidRPr="00B7408D">
              <w:rPr>
                <w:rFonts w:ascii="Book Antiqua" w:hAnsi="Book Antiqua" w:cs="Arial"/>
                <w:lang w:val="en-US"/>
              </w:rPr>
              <w:t>-</w:t>
            </w:r>
            <w:r w:rsidRPr="00B7408D">
              <w:rPr>
                <w:rFonts w:ascii="Book Antiqua" w:hAnsi="Book Antiqua" w:cs="Arial"/>
                <w:lang w:val="en-US"/>
              </w:rPr>
              <w:t>3.5</w:t>
            </w:r>
          </w:p>
        </w:tc>
      </w:tr>
      <w:tr w:rsidR="005029D0" w:rsidRPr="00B7408D" w14:paraId="2B0338F8" w14:textId="77777777" w:rsidTr="009A0167">
        <w:tc>
          <w:tcPr>
            <w:tcW w:w="4244" w:type="dxa"/>
          </w:tcPr>
          <w:p w14:paraId="7F510DEC" w14:textId="41EA4DE2" w:rsidR="005029D0" w:rsidRPr="00B7408D" w:rsidRDefault="00BF3A2F" w:rsidP="006A0C4B">
            <w:pPr>
              <w:rPr>
                <w:rFonts w:ascii="Book Antiqua" w:hAnsi="Book Antiqua"/>
                <w:b/>
                <w:lang w:val="en-US"/>
              </w:rPr>
            </w:pPr>
            <w:r w:rsidRPr="00B7408D">
              <w:rPr>
                <w:rFonts w:ascii="Book Antiqua" w:hAnsi="Book Antiqua" w:cs="Arial"/>
                <w:lang w:val="en-US"/>
              </w:rPr>
              <w:t>Palmitic acid (C16:0)</w:t>
            </w:r>
          </w:p>
        </w:tc>
        <w:tc>
          <w:tcPr>
            <w:tcW w:w="4244" w:type="dxa"/>
          </w:tcPr>
          <w:p w14:paraId="63901F07" w14:textId="3F8814E0" w:rsidR="005029D0" w:rsidRPr="00B7408D" w:rsidRDefault="00BF3A2F" w:rsidP="009A0167">
            <w:pPr>
              <w:jc w:val="center"/>
              <w:rPr>
                <w:rFonts w:ascii="Book Antiqua" w:hAnsi="Book Antiqua"/>
                <w:b/>
                <w:lang w:val="en-US"/>
              </w:rPr>
            </w:pPr>
            <w:r w:rsidRPr="00B7408D">
              <w:rPr>
                <w:rFonts w:ascii="Book Antiqua" w:hAnsi="Book Antiqua" w:cs="Arial"/>
                <w:lang w:val="en-US"/>
              </w:rPr>
              <w:t>7.5</w:t>
            </w:r>
            <w:r w:rsidR="009A0167" w:rsidRPr="00B7408D">
              <w:rPr>
                <w:rFonts w:ascii="Book Antiqua" w:hAnsi="Book Antiqua" w:cs="Arial"/>
                <w:lang w:val="en-US"/>
              </w:rPr>
              <w:t>-</w:t>
            </w:r>
            <w:r w:rsidRPr="00B7408D">
              <w:rPr>
                <w:rFonts w:ascii="Book Antiqua" w:hAnsi="Book Antiqua" w:cs="Arial"/>
                <w:lang w:val="en-US"/>
              </w:rPr>
              <w:t>20</w:t>
            </w:r>
          </w:p>
        </w:tc>
      </w:tr>
      <w:tr w:rsidR="005029D0" w:rsidRPr="00B7408D" w14:paraId="0758C4B2" w14:textId="77777777" w:rsidTr="009A0167">
        <w:tc>
          <w:tcPr>
            <w:tcW w:w="4244" w:type="dxa"/>
          </w:tcPr>
          <w:p w14:paraId="35AD4B60" w14:textId="0E060274" w:rsidR="005029D0" w:rsidRPr="00B7408D" w:rsidRDefault="00BF3A2F" w:rsidP="006A0C4B">
            <w:pPr>
              <w:rPr>
                <w:rFonts w:ascii="Book Antiqua" w:hAnsi="Book Antiqua"/>
                <w:b/>
                <w:lang w:val="en-US"/>
              </w:rPr>
            </w:pPr>
            <w:r w:rsidRPr="00B7408D">
              <w:rPr>
                <w:rFonts w:ascii="Book Antiqua" w:hAnsi="Book Antiqua" w:cs="Arial"/>
                <w:lang w:val="en-US"/>
              </w:rPr>
              <w:t>Stearic acid (C18:0)</w:t>
            </w:r>
          </w:p>
        </w:tc>
        <w:tc>
          <w:tcPr>
            <w:tcW w:w="4244" w:type="dxa"/>
          </w:tcPr>
          <w:p w14:paraId="54316E13" w14:textId="20D7A087" w:rsidR="005029D0" w:rsidRPr="00B7408D" w:rsidRDefault="00BF3A2F" w:rsidP="009A0167">
            <w:pPr>
              <w:jc w:val="center"/>
              <w:rPr>
                <w:rFonts w:ascii="Book Antiqua" w:hAnsi="Book Antiqua"/>
                <w:b/>
                <w:lang w:val="en-US"/>
              </w:rPr>
            </w:pPr>
            <w:r w:rsidRPr="00B7408D">
              <w:rPr>
                <w:rFonts w:ascii="Book Antiqua" w:hAnsi="Book Antiqua" w:cs="Arial"/>
                <w:lang w:val="en-US"/>
              </w:rPr>
              <w:t>0.5</w:t>
            </w:r>
            <w:r w:rsidR="009A0167" w:rsidRPr="00B7408D">
              <w:rPr>
                <w:rFonts w:ascii="Book Antiqua" w:hAnsi="Book Antiqua" w:cs="Arial"/>
                <w:lang w:val="en-US"/>
              </w:rPr>
              <w:t>-</w:t>
            </w:r>
            <w:r w:rsidRPr="00B7408D">
              <w:rPr>
                <w:rFonts w:ascii="Book Antiqua" w:hAnsi="Book Antiqua" w:cs="Arial"/>
                <w:lang w:val="en-US"/>
              </w:rPr>
              <w:t>5</w:t>
            </w:r>
          </w:p>
        </w:tc>
      </w:tr>
      <w:tr w:rsidR="005029D0" w:rsidRPr="00B7408D" w14:paraId="0987D319" w14:textId="77777777" w:rsidTr="009A0167">
        <w:tc>
          <w:tcPr>
            <w:tcW w:w="4244" w:type="dxa"/>
          </w:tcPr>
          <w:p w14:paraId="737E8274" w14:textId="6095F138" w:rsidR="005029D0" w:rsidRPr="00B7408D" w:rsidRDefault="00BF3A2F" w:rsidP="006A0C4B">
            <w:pPr>
              <w:rPr>
                <w:rFonts w:ascii="Book Antiqua" w:hAnsi="Book Antiqua"/>
                <w:b/>
                <w:lang w:val="en-US"/>
              </w:rPr>
            </w:pPr>
            <w:r w:rsidRPr="00B7408D">
              <w:rPr>
                <w:rFonts w:ascii="Book Antiqua" w:hAnsi="Book Antiqua" w:cs="Arial"/>
                <w:b/>
                <w:lang w:val="en-US"/>
              </w:rPr>
              <w:t>Unsaponifiable fraction</w:t>
            </w:r>
          </w:p>
        </w:tc>
        <w:tc>
          <w:tcPr>
            <w:tcW w:w="4244" w:type="dxa"/>
          </w:tcPr>
          <w:p w14:paraId="575F9945" w14:textId="387540D6" w:rsidR="005029D0" w:rsidRPr="00B7408D" w:rsidRDefault="00BF3A2F" w:rsidP="009A0167">
            <w:pPr>
              <w:jc w:val="center"/>
              <w:rPr>
                <w:rFonts w:ascii="Book Antiqua" w:hAnsi="Book Antiqua"/>
                <w:b/>
                <w:lang w:val="en-US"/>
              </w:rPr>
            </w:pPr>
            <w:r w:rsidRPr="00B7408D">
              <w:rPr>
                <w:rFonts w:ascii="Book Antiqua" w:hAnsi="Book Antiqua" w:cs="Arial"/>
                <w:b/>
                <w:lang w:val="en-US"/>
              </w:rPr>
              <w:t>1%</w:t>
            </w:r>
            <w:r w:rsidR="009A0167" w:rsidRPr="00B7408D">
              <w:rPr>
                <w:rFonts w:ascii="Book Antiqua" w:hAnsi="Book Antiqua" w:cs="Arial"/>
                <w:b/>
                <w:lang w:val="en-US"/>
              </w:rPr>
              <w:t>-</w:t>
            </w:r>
            <w:r w:rsidRPr="00B7408D">
              <w:rPr>
                <w:rFonts w:ascii="Book Antiqua" w:hAnsi="Book Antiqua" w:cs="Arial"/>
                <w:b/>
                <w:lang w:val="en-US"/>
              </w:rPr>
              <w:t>2% of total</w:t>
            </w:r>
          </w:p>
        </w:tc>
      </w:tr>
      <w:tr w:rsidR="009A0167" w:rsidRPr="00B7408D" w14:paraId="5B207CD1" w14:textId="77777777" w:rsidTr="009A0167">
        <w:tc>
          <w:tcPr>
            <w:tcW w:w="8488" w:type="dxa"/>
            <w:gridSpan w:val="2"/>
          </w:tcPr>
          <w:p w14:paraId="0F0C04CA" w14:textId="6FB9464B" w:rsidR="009A0167" w:rsidRPr="00B7408D" w:rsidRDefault="009A0167" w:rsidP="009A0167">
            <w:pPr>
              <w:rPr>
                <w:rFonts w:ascii="Book Antiqua" w:hAnsi="Book Antiqua"/>
                <w:b/>
                <w:lang w:val="en-US"/>
              </w:rPr>
            </w:pPr>
            <w:r w:rsidRPr="00B7408D">
              <w:rPr>
                <w:rFonts w:ascii="Book Antiqua" w:hAnsi="Book Antiqua" w:cs="Arial"/>
                <w:lang w:val="en-US"/>
              </w:rPr>
              <w:t>Vitamins</w:t>
            </w:r>
          </w:p>
        </w:tc>
      </w:tr>
      <w:tr w:rsidR="005029D0" w:rsidRPr="00B7408D" w14:paraId="3AADF716" w14:textId="77777777" w:rsidTr="009A0167">
        <w:tc>
          <w:tcPr>
            <w:tcW w:w="4244" w:type="dxa"/>
          </w:tcPr>
          <w:p w14:paraId="08614A0D" w14:textId="7B4055F4" w:rsidR="005029D0" w:rsidRPr="00B7408D" w:rsidRDefault="00BF3A2F" w:rsidP="006A0C4B">
            <w:pPr>
              <w:rPr>
                <w:rFonts w:ascii="Book Antiqua" w:hAnsi="Book Antiqua"/>
                <w:b/>
                <w:lang w:val="en-US"/>
              </w:rPr>
            </w:pPr>
            <w:r w:rsidRPr="00B7408D">
              <w:rPr>
                <w:rFonts w:ascii="Book Antiqua" w:hAnsi="Book Antiqua" w:cs="Arial"/>
                <w:lang w:val="en-US"/>
              </w:rPr>
              <w:t>Alpha tocopherol</w:t>
            </w:r>
          </w:p>
        </w:tc>
        <w:tc>
          <w:tcPr>
            <w:tcW w:w="4244" w:type="dxa"/>
          </w:tcPr>
          <w:p w14:paraId="17628C52" w14:textId="787F0372" w:rsidR="005029D0" w:rsidRPr="00B7408D" w:rsidRDefault="00BF3A2F" w:rsidP="009A0167">
            <w:pPr>
              <w:jc w:val="center"/>
              <w:rPr>
                <w:rFonts w:ascii="Book Antiqua" w:hAnsi="Book Antiqua"/>
                <w:b/>
                <w:lang w:val="en-US"/>
              </w:rPr>
            </w:pPr>
            <w:r w:rsidRPr="00B7408D">
              <w:rPr>
                <w:rFonts w:ascii="Book Antiqua" w:hAnsi="Book Antiqua" w:cs="Arial"/>
                <w:lang w:val="en-US"/>
              </w:rPr>
              <w:t>&gt; 100 mg/kg</w:t>
            </w:r>
          </w:p>
        </w:tc>
      </w:tr>
      <w:tr w:rsidR="005029D0" w:rsidRPr="00B7408D" w14:paraId="31004AA1" w14:textId="77777777" w:rsidTr="009A0167">
        <w:tc>
          <w:tcPr>
            <w:tcW w:w="4244" w:type="dxa"/>
          </w:tcPr>
          <w:p w14:paraId="3EECE3E7" w14:textId="781ACF3A" w:rsidR="005029D0" w:rsidRPr="00B7408D" w:rsidRDefault="00BF3A2F" w:rsidP="006A0C4B">
            <w:pPr>
              <w:rPr>
                <w:rFonts w:ascii="Book Antiqua" w:hAnsi="Book Antiqua"/>
                <w:b/>
                <w:lang w:val="en-US"/>
              </w:rPr>
            </w:pPr>
            <w:r w:rsidRPr="00B7408D">
              <w:rPr>
                <w:rFonts w:ascii="Book Antiqua" w:hAnsi="Book Antiqua" w:cs="Arial"/>
                <w:lang w:val="en-US"/>
              </w:rPr>
              <w:t>Vitamin K</w:t>
            </w:r>
          </w:p>
        </w:tc>
        <w:tc>
          <w:tcPr>
            <w:tcW w:w="4244" w:type="dxa"/>
          </w:tcPr>
          <w:p w14:paraId="20EFF7C0" w14:textId="24C4B181" w:rsidR="005029D0" w:rsidRPr="00B7408D" w:rsidRDefault="00A07220" w:rsidP="009A0167">
            <w:pPr>
              <w:jc w:val="center"/>
              <w:rPr>
                <w:rFonts w:ascii="Book Antiqua" w:hAnsi="Book Antiqua"/>
                <w:b/>
                <w:lang w:val="en-US"/>
              </w:rPr>
            </w:pPr>
            <w:r w:rsidRPr="00B7408D">
              <w:rPr>
                <w:rFonts w:ascii="Book Antiqua" w:hAnsi="Book Antiqua" w:cs="Arial"/>
                <w:lang w:val="en-US"/>
              </w:rPr>
              <w:t xml:space="preserve">Approximately </w:t>
            </w:r>
            <w:r w:rsidR="00BF3A2F" w:rsidRPr="00B7408D">
              <w:rPr>
                <w:rFonts w:ascii="Book Antiqua" w:hAnsi="Book Antiqua" w:cs="Arial"/>
                <w:lang w:val="en-US"/>
              </w:rPr>
              <w:t xml:space="preserve">500 </w:t>
            </w:r>
            <w:proofErr w:type="spellStart"/>
            <w:r w:rsidR="00BF3A2F" w:rsidRPr="00B7408D">
              <w:rPr>
                <w:rFonts w:ascii="Book Antiqua" w:hAnsi="Book Antiqua" w:cs="Arial"/>
                <w:lang w:val="en-US"/>
              </w:rPr>
              <w:t>μg</w:t>
            </w:r>
            <w:proofErr w:type="spellEnd"/>
            <w:r w:rsidR="00BF3A2F" w:rsidRPr="00B7408D">
              <w:rPr>
                <w:rFonts w:ascii="Book Antiqua" w:hAnsi="Book Antiqua" w:cs="Arial"/>
                <w:lang w:val="en-US"/>
              </w:rPr>
              <w:t>/kg</w:t>
            </w:r>
          </w:p>
        </w:tc>
      </w:tr>
      <w:tr w:rsidR="005029D0" w:rsidRPr="00B7408D" w14:paraId="11EB3D5D" w14:textId="77777777" w:rsidTr="009A0167">
        <w:tc>
          <w:tcPr>
            <w:tcW w:w="4244" w:type="dxa"/>
          </w:tcPr>
          <w:p w14:paraId="733BE012" w14:textId="4443D6FF" w:rsidR="005029D0" w:rsidRPr="00B7408D" w:rsidRDefault="00BF3A2F" w:rsidP="006A0C4B">
            <w:pPr>
              <w:rPr>
                <w:rFonts w:ascii="Book Antiqua" w:hAnsi="Book Antiqua"/>
                <w:b/>
                <w:lang w:val="en-US"/>
              </w:rPr>
            </w:pPr>
            <w:r w:rsidRPr="00B7408D">
              <w:rPr>
                <w:rFonts w:ascii="Book Antiqua" w:hAnsi="Book Antiqua" w:cs="Arial"/>
                <w:lang w:val="en-US"/>
              </w:rPr>
              <w:t>Beta carotene</w:t>
            </w:r>
          </w:p>
        </w:tc>
        <w:tc>
          <w:tcPr>
            <w:tcW w:w="4244" w:type="dxa"/>
          </w:tcPr>
          <w:p w14:paraId="5B100DB8" w14:textId="48B72F89" w:rsidR="005029D0" w:rsidRPr="00B7408D" w:rsidRDefault="00BF3A2F" w:rsidP="009A0167">
            <w:pPr>
              <w:jc w:val="center"/>
              <w:rPr>
                <w:rFonts w:ascii="Book Antiqua" w:hAnsi="Book Antiqua"/>
                <w:b/>
                <w:lang w:val="en-US"/>
              </w:rPr>
            </w:pPr>
            <w:r w:rsidRPr="00B7408D">
              <w:rPr>
                <w:rFonts w:ascii="Book Antiqua" w:hAnsi="Book Antiqua" w:cs="Arial"/>
                <w:lang w:val="en-US"/>
              </w:rPr>
              <w:t>2</w:t>
            </w:r>
            <w:r w:rsidR="009A0167" w:rsidRPr="00B7408D">
              <w:rPr>
                <w:rFonts w:ascii="Book Antiqua" w:hAnsi="Book Antiqua" w:cs="Arial"/>
                <w:lang w:val="en-US"/>
              </w:rPr>
              <w:t>-</w:t>
            </w:r>
            <w:r w:rsidRPr="00B7408D">
              <w:rPr>
                <w:rFonts w:ascii="Book Antiqua" w:hAnsi="Book Antiqua" w:cs="Arial"/>
                <w:lang w:val="en-US"/>
              </w:rPr>
              <w:t>4 mg/kg</w:t>
            </w:r>
          </w:p>
        </w:tc>
      </w:tr>
      <w:tr w:rsidR="009A0167" w:rsidRPr="00B7408D" w14:paraId="3AA5B018" w14:textId="77777777" w:rsidTr="009A0167">
        <w:tc>
          <w:tcPr>
            <w:tcW w:w="8488" w:type="dxa"/>
            <w:gridSpan w:val="2"/>
          </w:tcPr>
          <w:p w14:paraId="29C30BBA" w14:textId="3FF1D2CE" w:rsidR="009A0167" w:rsidRPr="00B7408D" w:rsidRDefault="009A0167" w:rsidP="009A0167">
            <w:pPr>
              <w:rPr>
                <w:rFonts w:ascii="Book Antiqua" w:hAnsi="Book Antiqua"/>
                <w:b/>
                <w:lang w:val="en-US"/>
              </w:rPr>
            </w:pPr>
            <w:r w:rsidRPr="00B7408D">
              <w:rPr>
                <w:rFonts w:ascii="Book Antiqua" w:hAnsi="Book Antiqua" w:cs="Arial"/>
                <w:lang w:val="en-US"/>
              </w:rPr>
              <w:t>Squalene</w:t>
            </w:r>
          </w:p>
        </w:tc>
      </w:tr>
      <w:tr w:rsidR="005029D0" w:rsidRPr="00B7408D" w14:paraId="6FF01724" w14:textId="77777777" w:rsidTr="009A0167">
        <w:tc>
          <w:tcPr>
            <w:tcW w:w="4244" w:type="dxa"/>
          </w:tcPr>
          <w:p w14:paraId="0161542D" w14:textId="435E25D4" w:rsidR="005029D0" w:rsidRPr="00B7408D" w:rsidRDefault="00BF3A2F" w:rsidP="006A0C4B">
            <w:pPr>
              <w:rPr>
                <w:rFonts w:ascii="Book Antiqua" w:hAnsi="Book Antiqua"/>
                <w:b/>
                <w:lang w:val="en-US"/>
              </w:rPr>
            </w:pPr>
            <w:r w:rsidRPr="00B7408D">
              <w:rPr>
                <w:rFonts w:ascii="Book Antiqua" w:hAnsi="Book Antiqua" w:cs="Arial"/>
                <w:lang w:val="en-US"/>
              </w:rPr>
              <w:t>Squalene</w:t>
            </w:r>
          </w:p>
        </w:tc>
        <w:tc>
          <w:tcPr>
            <w:tcW w:w="4244" w:type="dxa"/>
          </w:tcPr>
          <w:p w14:paraId="0DE6F274" w14:textId="50A47CAE" w:rsidR="005029D0" w:rsidRPr="00B7408D" w:rsidRDefault="00BF3A2F" w:rsidP="009A0167">
            <w:pPr>
              <w:jc w:val="center"/>
              <w:rPr>
                <w:rFonts w:ascii="Book Antiqua" w:hAnsi="Book Antiqua"/>
                <w:b/>
                <w:lang w:val="en-US"/>
              </w:rPr>
            </w:pPr>
            <w:r w:rsidRPr="00B7408D">
              <w:rPr>
                <w:rFonts w:ascii="Book Antiqua" w:hAnsi="Book Antiqua" w:cs="Arial"/>
                <w:lang w:val="en-US"/>
              </w:rPr>
              <w:t>200</w:t>
            </w:r>
            <w:r w:rsidR="009A0167" w:rsidRPr="00B7408D">
              <w:rPr>
                <w:rFonts w:ascii="Book Antiqua" w:hAnsi="Book Antiqua" w:cs="Arial"/>
                <w:lang w:val="en-US"/>
              </w:rPr>
              <w:t>-</w:t>
            </w:r>
            <w:r w:rsidRPr="00B7408D">
              <w:rPr>
                <w:rFonts w:ascii="Book Antiqua" w:hAnsi="Book Antiqua" w:cs="Arial"/>
                <w:lang w:val="en-US"/>
              </w:rPr>
              <w:t>7500 mg/kg</w:t>
            </w:r>
          </w:p>
        </w:tc>
      </w:tr>
      <w:tr w:rsidR="005029D0" w:rsidRPr="00B7408D" w14:paraId="479EF782" w14:textId="77777777" w:rsidTr="009A0167">
        <w:tc>
          <w:tcPr>
            <w:tcW w:w="4244" w:type="dxa"/>
          </w:tcPr>
          <w:p w14:paraId="68B4C4F6" w14:textId="6733C839" w:rsidR="005029D0" w:rsidRPr="00B7408D" w:rsidRDefault="00BF3A2F" w:rsidP="006A0C4B">
            <w:pPr>
              <w:rPr>
                <w:rFonts w:ascii="Book Antiqua" w:hAnsi="Book Antiqua"/>
                <w:b/>
                <w:lang w:val="en-US"/>
              </w:rPr>
            </w:pPr>
            <w:r w:rsidRPr="00B7408D">
              <w:rPr>
                <w:rFonts w:ascii="Book Antiqua" w:hAnsi="Book Antiqua" w:cs="Arial"/>
                <w:lang w:val="en-US"/>
              </w:rPr>
              <w:t>Sterols</w:t>
            </w:r>
          </w:p>
        </w:tc>
        <w:tc>
          <w:tcPr>
            <w:tcW w:w="4244" w:type="dxa"/>
          </w:tcPr>
          <w:p w14:paraId="79F503C8" w14:textId="058508B7" w:rsidR="005029D0" w:rsidRPr="00B7408D" w:rsidRDefault="00BF3A2F" w:rsidP="009A0167">
            <w:pPr>
              <w:jc w:val="center"/>
              <w:rPr>
                <w:rFonts w:ascii="Book Antiqua" w:hAnsi="Book Antiqua"/>
                <w:b/>
                <w:lang w:val="en-US"/>
              </w:rPr>
            </w:pPr>
            <w:r w:rsidRPr="00B7408D">
              <w:rPr>
                <w:rFonts w:ascii="Book Antiqua" w:hAnsi="Book Antiqua" w:cs="Arial"/>
                <w:lang w:val="en-US"/>
              </w:rPr>
              <w:t>1000</w:t>
            </w:r>
            <w:r w:rsidR="009A0167" w:rsidRPr="00B7408D">
              <w:rPr>
                <w:rFonts w:ascii="Book Antiqua" w:hAnsi="Book Antiqua" w:cs="Arial"/>
                <w:lang w:val="en-US"/>
              </w:rPr>
              <w:t>-</w:t>
            </w:r>
            <w:r w:rsidRPr="00B7408D">
              <w:rPr>
                <w:rFonts w:ascii="Book Antiqua" w:hAnsi="Book Antiqua" w:cs="Arial"/>
                <w:lang w:val="en-US"/>
              </w:rPr>
              <w:t>2000 mg/kg</w:t>
            </w:r>
          </w:p>
        </w:tc>
      </w:tr>
      <w:tr w:rsidR="005029D0" w:rsidRPr="00B7408D" w14:paraId="0FAB6CC8" w14:textId="77777777" w:rsidTr="009A0167">
        <w:tc>
          <w:tcPr>
            <w:tcW w:w="4244" w:type="dxa"/>
          </w:tcPr>
          <w:p w14:paraId="388A06C6" w14:textId="47879A22" w:rsidR="005029D0" w:rsidRPr="00B7408D" w:rsidRDefault="00BF3A2F" w:rsidP="006A0C4B">
            <w:pPr>
              <w:rPr>
                <w:rFonts w:ascii="Book Antiqua" w:hAnsi="Book Antiqua"/>
                <w:b/>
                <w:lang w:val="en-US"/>
              </w:rPr>
            </w:pPr>
            <w:r w:rsidRPr="00B7408D">
              <w:rPr>
                <w:rFonts w:ascii="Book Antiqua" w:hAnsi="Book Antiqua" w:cs="Arial"/>
                <w:lang w:val="en-US"/>
              </w:rPr>
              <w:t>Common sterols</w:t>
            </w:r>
          </w:p>
        </w:tc>
        <w:tc>
          <w:tcPr>
            <w:tcW w:w="4244" w:type="dxa"/>
          </w:tcPr>
          <w:p w14:paraId="2232BDE3" w14:textId="727AAB02" w:rsidR="005029D0" w:rsidRPr="00B7408D" w:rsidRDefault="00BF3A2F" w:rsidP="009A0167">
            <w:pPr>
              <w:jc w:val="center"/>
              <w:rPr>
                <w:rFonts w:ascii="Book Antiqua" w:hAnsi="Book Antiqua"/>
                <w:b/>
                <w:lang w:val="en-US"/>
              </w:rPr>
            </w:pPr>
            <w:r w:rsidRPr="00B7408D">
              <w:rPr>
                <w:rFonts w:ascii="Book Antiqua" w:hAnsi="Book Antiqua" w:cs="Arial"/>
                <w:lang w:val="en-US"/>
              </w:rPr>
              <w:t>750</w:t>
            </w:r>
            <w:r w:rsidR="009A0167" w:rsidRPr="00B7408D">
              <w:rPr>
                <w:rFonts w:ascii="Book Antiqua" w:hAnsi="Book Antiqua" w:cs="Arial"/>
                <w:lang w:val="en-US"/>
              </w:rPr>
              <w:t>-</w:t>
            </w:r>
            <w:r w:rsidRPr="00B7408D">
              <w:rPr>
                <w:rFonts w:ascii="Book Antiqua" w:hAnsi="Book Antiqua" w:cs="Arial"/>
                <w:lang w:val="en-US"/>
              </w:rPr>
              <w:t>1800 mg/kg</w:t>
            </w:r>
          </w:p>
        </w:tc>
      </w:tr>
      <w:tr w:rsidR="005029D0" w:rsidRPr="00B7408D" w14:paraId="43FEE858" w14:textId="77777777" w:rsidTr="009A0167">
        <w:tc>
          <w:tcPr>
            <w:tcW w:w="4244" w:type="dxa"/>
          </w:tcPr>
          <w:p w14:paraId="3E78FACA" w14:textId="3B948958" w:rsidR="005029D0" w:rsidRPr="00B7408D" w:rsidRDefault="00BF3A2F" w:rsidP="006A0C4B">
            <w:pPr>
              <w:rPr>
                <w:rFonts w:ascii="Book Antiqua" w:hAnsi="Book Antiqua"/>
                <w:b/>
                <w:lang w:val="en-US"/>
              </w:rPr>
            </w:pPr>
            <w:r w:rsidRPr="00B7408D">
              <w:rPr>
                <w:rFonts w:ascii="Book Antiqua" w:hAnsi="Book Antiqua" w:cs="Arial"/>
                <w:lang w:val="en-US"/>
              </w:rPr>
              <w:t>4-Methyl sterols</w:t>
            </w:r>
          </w:p>
        </w:tc>
        <w:tc>
          <w:tcPr>
            <w:tcW w:w="4244" w:type="dxa"/>
          </w:tcPr>
          <w:p w14:paraId="4239F1D2" w14:textId="6EA8C8F8" w:rsidR="005029D0" w:rsidRPr="00B7408D" w:rsidRDefault="00BF3A2F" w:rsidP="009A0167">
            <w:pPr>
              <w:jc w:val="center"/>
              <w:rPr>
                <w:rFonts w:ascii="Book Antiqua" w:hAnsi="Book Antiqua"/>
                <w:b/>
                <w:lang w:val="en-US"/>
              </w:rPr>
            </w:pPr>
            <w:r w:rsidRPr="00B7408D">
              <w:rPr>
                <w:rFonts w:ascii="Book Antiqua" w:hAnsi="Book Antiqua" w:cs="Arial"/>
                <w:lang w:val="en-US"/>
              </w:rPr>
              <w:t>50</w:t>
            </w:r>
            <w:r w:rsidR="009A0167" w:rsidRPr="00B7408D">
              <w:rPr>
                <w:rFonts w:ascii="Book Antiqua" w:hAnsi="Book Antiqua" w:cs="Arial"/>
                <w:lang w:val="en-US"/>
              </w:rPr>
              <w:t>-</w:t>
            </w:r>
            <w:r w:rsidRPr="00B7408D">
              <w:rPr>
                <w:rFonts w:ascii="Book Antiqua" w:hAnsi="Book Antiqua" w:cs="Arial"/>
                <w:lang w:val="en-US"/>
              </w:rPr>
              <w:t>360 mg/kg</w:t>
            </w:r>
          </w:p>
        </w:tc>
      </w:tr>
      <w:tr w:rsidR="005029D0" w:rsidRPr="00B7408D" w14:paraId="5256E82F" w14:textId="77777777" w:rsidTr="009A0167">
        <w:tc>
          <w:tcPr>
            <w:tcW w:w="4244" w:type="dxa"/>
          </w:tcPr>
          <w:p w14:paraId="252456C1" w14:textId="00355A3F" w:rsidR="005029D0" w:rsidRPr="00B7408D" w:rsidRDefault="00BF3A2F" w:rsidP="006A0C4B">
            <w:pPr>
              <w:rPr>
                <w:rFonts w:ascii="Book Antiqua" w:hAnsi="Book Antiqua"/>
                <w:b/>
                <w:lang w:val="en-US"/>
              </w:rPr>
            </w:pPr>
            <w:r w:rsidRPr="00B7408D">
              <w:rPr>
                <w:rFonts w:ascii="Book Antiqua" w:hAnsi="Book Antiqua" w:cs="Arial"/>
                <w:lang w:val="en-US"/>
              </w:rPr>
              <w:t>Triterpene alcohols</w:t>
            </w:r>
          </w:p>
        </w:tc>
        <w:tc>
          <w:tcPr>
            <w:tcW w:w="4244" w:type="dxa"/>
          </w:tcPr>
          <w:p w14:paraId="7E20FB55" w14:textId="21C0C1B4" w:rsidR="005029D0" w:rsidRPr="00B7408D" w:rsidRDefault="00BF3A2F" w:rsidP="009A0167">
            <w:pPr>
              <w:jc w:val="center"/>
              <w:rPr>
                <w:rFonts w:ascii="Book Antiqua" w:hAnsi="Book Antiqua"/>
                <w:b/>
                <w:lang w:val="en-US"/>
              </w:rPr>
            </w:pPr>
            <w:r w:rsidRPr="00B7408D">
              <w:rPr>
                <w:rFonts w:ascii="Book Antiqua" w:hAnsi="Book Antiqua" w:cs="Arial"/>
                <w:lang w:val="en-US"/>
              </w:rPr>
              <w:t>350</w:t>
            </w:r>
            <w:r w:rsidR="009A0167" w:rsidRPr="00B7408D">
              <w:rPr>
                <w:rFonts w:ascii="Book Antiqua" w:hAnsi="Book Antiqua" w:cs="Arial"/>
                <w:lang w:val="en-US"/>
              </w:rPr>
              <w:t>-</w:t>
            </w:r>
            <w:r w:rsidRPr="00B7408D">
              <w:rPr>
                <w:rFonts w:ascii="Book Antiqua" w:hAnsi="Book Antiqua" w:cs="Arial"/>
                <w:lang w:val="en-US"/>
              </w:rPr>
              <w:t>1500 mg/kg</w:t>
            </w:r>
          </w:p>
        </w:tc>
      </w:tr>
      <w:tr w:rsidR="005029D0" w:rsidRPr="00B7408D" w14:paraId="2E655F82" w14:textId="77777777" w:rsidTr="009A0167">
        <w:tc>
          <w:tcPr>
            <w:tcW w:w="4244" w:type="dxa"/>
          </w:tcPr>
          <w:p w14:paraId="6B163A19" w14:textId="26E0B380" w:rsidR="005029D0" w:rsidRPr="00B7408D" w:rsidRDefault="00BF3A2F" w:rsidP="006A0C4B">
            <w:pPr>
              <w:rPr>
                <w:rFonts w:ascii="Book Antiqua" w:hAnsi="Book Antiqua"/>
                <w:b/>
                <w:lang w:val="en-US"/>
              </w:rPr>
            </w:pPr>
            <w:r w:rsidRPr="00B7408D">
              <w:rPr>
                <w:rFonts w:ascii="Book Antiqua" w:hAnsi="Book Antiqua" w:cs="Arial"/>
                <w:lang w:val="en-US"/>
              </w:rPr>
              <w:t>Triterpene dialcohols</w:t>
            </w:r>
          </w:p>
        </w:tc>
        <w:tc>
          <w:tcPr>
            <w:tcW w:w="4244" w:type="dxa"/>
          </w:tcPr>
          <w:p w14:paraId="4EBFC7EB" w14:textId="461D884C" w:rsidR="005029D0" w:rsidRPr="00B7408D" w:rsidRDefault="00BF3A2F" w:rsidP="009A0167">
            <w:pPr>
              <w:jc w:val="center"/>
              <w:rPr>
                <w:rFonts w:ascii="Book Antiqua" w:hAnsi="Book Antiqua"/>
                <w:b/>
                <w:lang w:val="en-US"/>
              </w:rPr>
            </w:pPr>
            <w:r w:rsidRPr="00B7408D">
              <w:rPr>
                <w:rFonts w:ascii="Book Antiqua" w:hAnsi="Book Antiqua" w:cs="Arial"/>
                <w:lang w:val="en-US"/>
              </w:rPr>
              <w:t>&lt; 4.5% of total sterol</w:t>
            </w:r>
          </w:p>
        </w:tc>
      </w:tr>
      <w:tr w:rsidR="005029D0" w:rsidRPr="00B7408D" w14:paraId="07D20195" w14:textId="77777777" w:rsidTr="009A0167">
        <w:tc>
          <w:tcPr>
            <w:tcW w:w="4244" w:type="dxa"/>
          </w:tcPr>
          <w:p w14:paraId="020DCF9A" w14:textId="15691FEB" w:rsidR="005029D0" w:rsidRPr="00B7408D" w:rsidRDefault="00BF3A2F" w:rsidP="006A0C4B">
            <w:pPr>
              <w:rPr>
                <w:rFonts w:ascii="Book Antiqua" w:hAnsi="Book Antiqua"/>
                <w:b/>
                <w:lang w:val="en-US"/>
              </w:rPr>
            </w:pPr>
            <w:r w:rsidRPr="00B7408D">
              <w:rPr>
                <w:rFonts w:ascii="Book Antiqua" w:hAnsi="Book Antiqua" w:cs="Arial"/>
                <w:lang w:val="en-US"/>
              </w:rPr>
              <w:t>Triterpene acids</w:t>
            </w:r>
          </w:p>
        </w:tc>
        <w:tc>
          <w:tcPr>
            <w:tcW w:w="4244" w:type="dxa"/>
          </w:tcPr>
          <w:p w14:paraId="66E20476" w14:textId="2EA88522" w:rsidR="005029D0" w:rsidRPr="00B7408D" w:rsidRDefault="00BF3A2F" w:rsidP="009A0167">
            <w:pPr>
              <w:jc w:val="center"/>
              <w:rPr>
                <w:rFonts w:ascii="Book Antiqua" w:hAnsi="Book Antiqua"/>
                <w:b/>
                <w:lang w:val="en-US"/>
              </w:rPr>
            </w:pPr>
            <w:r w:rsidRPr="00B7408D">
              <w:rPr>
                <w:rFonts w:ascii="Book Antiqua" w:hAnsi="Book Antiqua" w:cs="Arial"/>
                <w:lang w:val="en-US"/>
              </w:rPr>
              <w:t>40</w:t>
            </w:r>
            <w:r w:rsidR="009A0167" w:rsidRPr="00B7408D">
              <w:rPr>
                <w:rFonts w:ascii="Book Antiqua" w:hAnsi="Book Antiqua" w:cs="Arial"/>
                <w:lang w:val="en-US"/>
              </w:rPr>
              <w:t>-</w:t>
            </w:r>
            <w:r w:rsidRPr="00B7408D">
              <w:rPr>
                <w:rFonts w:ascii="Book Antiqua" w:hAnsi="Book Antiqua" w:cs="Arial"/>
                <w:lang w:val="en-US"/>
              </w:rPr>
              <w:t>185 mg/kg</w:t>
            </w:r>
          </w:p>
        </w:tc>
      </w:tr>
      <w:tr w:rsidR="005029D0" w:rsidRPr="00B7408D" w14:paraId="64B4ECBF" w14:textId="77777777" w:rsidTr="009A0167">
        <w:tc>
          <w:tcPr>
            <w:tcW w:w="4244" w:type="dxa"/>
          </w:tcPr>
          <w:p w14:paraId="1E936C06" w14:textId="297CDEA5" w:rsidR="005029D0" w:rsidRPr="00B7408D" w:rsidRDefault="00BF3A2F" w:rsidP="006A0C4B">
            <w:pPr>
              <w:rPr>
                <w:rFonts w:ascii="Book Antiqua" w:hAnsi="Book Antiqua"/>
                <w:b/>
                <w:lang w:val="en-US"/>
              </w:rPr>
            </w:pPr>
            <w:r w:rsidRPr="00B7408D">
              <w:rPr>
                <w:rFonts w:ascii="Book Antiqua" w:hAnsi="Book Antiqua" w:cs="Arial"/>
                <w:lang w:val="en-US"/>
              </w:rPr>
              <w:t>Oleanolic acid</w:t>
            </w:r>
          </w:p>
        </w:tc>
        <w:tc>
          <w:tcPr>
            <w:tcW w:w="4244" w:type="dxa"/>
          </w:tcPr>
          <w:p w14:paraId="18A3F32E" w14:textId="7A4CE0EC" w:rsidR="005029D0" w:rsidRPr="00B7408D" w:rsidRDefault="00A07220" w:rsidP="009A0167">
            <w:pPr>
              <w:jc w:val="center"/>
              <w:rPr>
                <w:rFonts w:ascii="Book Antiqua" w:hAnsi="Book Antiqua"/>
                <w:b/>
                <w:lang w:val="en-US"/>
              </w:rPr>
            </w:pPr>
            <w:r w:rsidRPr="00B7408D">
              <w:rPr>
                <w:rFonts w:ascii="Book Antiqua" w:hAnsi="Book Antiqua" w:cs="Arial"/>
                <w:lang w:val="en-US"/>
              </w:rPr>
              <w:t>Approximately</w:t>
            </w:r>
            <w:r w:rsidRPr="00B7408D">
              <w:rPr>
                <w:rFonts w:ascii="Book Antiqua" w:hAnsi="Book Antiqua" w:cs="Arial" w:hint="eastAsia"/>
                <w:lang w:val="en-US" w:eastAsia="zh-CN"/>
              </w:rPr>
              <w:t xml:space="preserve"> </w:t>
            </w:r>
            <w:r w:rsidRPr="00B7408D">
              <w:rPr>
                <w:rFonts w:ascii="Book Antiqua" w:hAnsi="Book Antiqua" w:cs="Arial"/>
                <w:lang w:val="en-US"/>
              </w:rPr>
              <w:t>50</w:t>
            </w:r>
            <w:r w:rsidR="00BF3A2F" w:rsidRPr="00B7408D">
              <w:rPr>
                <w:rFonts w:ascii="Book Antiqua" w:hAnsi="Book Antiqua" w:cs="Arial"/>
                <w:lang w:val="en-US"/>
              </w:rPr>
              <w:t>% of total triterpene acids</w:t>
            </w:r>
          </w:p>
        </w:tc>
      </w:tr>
      <w:tr w:rsidR="005029D0" w:rsidRPr="00B7408D" w14:paraId="2597CC3E" w14:textId="77777777" w:rsidTr="009A0167">
        <w:tc>
          <w:tcPr>
            <w:tcW w:w="4244" w:type="dxa"/>
          </w:tcPr>
          <w:p w14:paraId="0BEB4EB4" w14:textId="12C063AB" w:rsidR="005029D0" w:rsidRPr="00B7408D" w:rsidRDefault="00BF3A2F" w:rsidP="006A0C4B">
            <w:pPr>
              <w:rPr>
                <w:rFonts w:ascii="Book Antiqua" w:hAnsi="Book Antiqua"/>
                <w:b/>
                <w:lang w:val="en-US"/>
              </w:rPr>
            </w:pPr>
            <w:proofErr w:type="spellStart"/>
            <w:r w:rsidRPr="00B7408D">
              <w:rPr>
                <w:rFonts w:ascii="Book Antiqua" w:hAnsi="Book Antiqua" w:cs="Arial"/>
                <w:lang w:val="en-US"/>
              </w:rPr>
              <w:t>Maslinic</w:t>
            </w:r>
            <w:proofErr w:type="spellEnd"/>
            <w:r w:rsidRPr="00B7408D">
              <w:rPr>
                <w:rFonts w:ascii="Book Antiqua" w:hAnsi="Book Antiqua" w:cs="Arial"/>
                <w:lang w:val="en-US"/>
              </w:rPr>
              <w:t xml:space="preserve"> acid</w:t>
            </w:r>
          </w:p>
        </w:tc>
        <w:tc>
          <w:tcPr>
            <w:tcW w:w="4244" w:type="dxa"/>
          </w:tcPr>
          <w:p w14:paraId="5D3717C5" w14:textId="1AC7BCA3" w:rsidR="005029D0" w:rsidRPr="00B7408D" w:rsidRDefault="00A07220" w:rsidP="009A0167">
            <w:pPr>
              <w:jc w:val="center"/>
              <w:rPr>
                <w:rFonts w:ascii="Book Antiqua" w:hAnsi="Book Antiqua"/>
                <w:b/>
                <w:lang w:val="en-US"/>
              </w:rPr>
            </w:pPr>
            <w:r w:rsidRPr="00B7408D">
              <w:rPr>
                <w:rFonts w:ascii="Book Antiqua" w:hAnsi="Book Antiqua" w:cs="Arial"/>
                <w:lang w:val="en-US"/>
              </w:rPr>
              <w:t>Approximately</w:t>
            </w:r>
            <w:r w:rsidRPr="00B7408D">
              <w:rPr>
                <w:rFonts w:ascii="Book Antiqua" w:hAnsi="Book Antiqua" w:cs="Arial" w:hint="eastAsia"/>
                <w:lang w:val="en-US" w:eastAsia="zh-CN"/>
              </w:rPr>
              <w:t xml:space="preserve"> </w:t>
            </w:r>
            <w:r w:rsidR="00BF3A2F" w:rsidRPr="00B7408D">
              <w:rPr>
                <w:rFonts w:ascii="Book Antiqua" w:hAnsi="Book Antiqua" w:cs="Arial"/>
                <w:lang w:val="en-US"/>
              </w:rPr>
              <w:t>50% of total triterpene acids</w:t>
            </w:r>
          </w:p>
        </w:tc>
      </w:tr>
      <w:tr w:rsidR="009A0167" w:rsidRPr="00B7408D" w14:paraId="306FAFE4" w14:textId="77777777" w:rsidTr="009A0167">
        <w:tc>
          <w:tcPr>
            <w:tcW w:w="8488" w:type="dxa"/>
            <w:gridSpan w:val="2"/>
          </w:tcPr>
          <w:p w14:paraId="7FA32281" w14:textId="7FF552D4" w:rsidR="009A0167" w:rsidRPr="00B7408D" w:rsidRDefault="009A0167" w:rsidP="009A0167">
            <w:pPr>
              <w:rPr>
                <w:rFonts w:ascii="Book Antiqua" w:hAnsi="Book Antiqua"/>
                <w:b/>
                <w:lang w:val="en-US"/>
              </w:rPr>
            </w:pPr>
            <w:r w:rsidRPr="00B7408D">
              <w:rPr>
                <w:rFonts w:ascii="Book Antiqua" w:hAnsi="Book Antiqua" w:cs="Arial"/>
                <w:lang w:val="en-US"/>
              </w:rPr>
              <w:t>Pigments</w:t>
            </w:r>
          </w:p>
        </w:tc>
      </w:tr>
      <w:tr w:rsidR="005029D0" w:rsidRPr="00B7408D" w14:paraId="20F834F2" w14:textId="77777777" w:rsidTr="009A0167">
        <w:tc>
          <w:tcPr>
            <w:tcW w:w="4244" w:type="dxa"/>
          </w:tcPr>
          <w:p w14:paraId="47BB8F93" w14:textId="744103FE" w:rsidR="005029D0" w:rsidRPr="00B7408D" w:rsidRDefault="00BF3A2F" w:rsidP="006A0C4B">
            <w:pPr>
              <w:rPr>
                <w:rFonts w:ascii="Book Antiqua" w:hAnsi="Book Antiqua"/>
                <w:b/>
                <w:lang w:val="en-US"/>
              </w:rPr>
            </w:pPr>
            <w:r w:rsidRPr="00B7408D">
              <w:rPr>
                <w:rFonts w:ascii="Book Antiqua" w:hAnsi="Book Antiqua" w:cs="Arial"/>
                <w:lang w:val="en-US"/>
              </w:rPr>
              <w:t>Lutein</w:t>
            </w:r>
          </w:p>
        </w:tc>
        <w:tc>
          <w:tcPr>
            <w:tcW w:w="4244" w:type="dxa"/>
          </w:tcPr>
          <w:p w14:paraId="017FDAC4" w14:textId="087D4FF0" w:rsidR="005029D0" w:rsidRPr="00B7408D" w:rsidRDefault="00BF3A2F" w:rsidP="009A0167">
            <w:pPr>
              <w:jc w:val="center"/>
              <w:rPr>
                <w:rFonts w:ascii="Book Antiqua" w:hAnsi="Book Antiqua"/>
                <w:b/>
                <w:lang w:val="en-US"/>
              </w:rPr>
            </w:pPr>
            <w:r w:rsidRPr="00B7408D">
              <w:rPr>
                <w:rFonts w:ascii="Book Antiqua" w:hAnsi="Book Antiqua" w:cs="Arial"/>
                <w:lang w:val="en-US"/>
              </w:rPr>
              <w:t>3.5 mg/kg</w:t>
            </w:r>
          </w:p>
        </w:tc>
      </w:tr>
      <w:tr w:rsidR="005029D0" w:rsidRPr="00B7408D" w14:paraId="0137F4AF" w14:textId="77777777" w:rsidTr="009A0167">
        <w:tc>
          <w:tcPr>
            <w:tcW w:w="4244" w:type="dxa"/>
          </w:tcPr>
          <w:p w14:paraId="6D13F40A" w14:textId="4D1B908C" w:rsidR="005029D0" w:rsidRPr="00B7408D" w:rsidRDefault="00BF3A2F" w:rsidP="006A0C4B">
            <w:pPr>
              <w:rPr>
                <w:rFonts w:ascii="Book Antiqua" w:hAnsi="Book Antiqua"/>
                <w:b/>
                <w:lang w:val="en-US"/>
              </w:rPr>
            </w:pPr>
            <w:r w:rsidRPr="00B7408D">
              <w:rPr>
                <w:rFonts w:ascii="Book Antiqua" w:hAnsi="Book Antiqua" w:cs="Arial"/>
                <w:lang w:val="en-US"/>
              </w:rPr>
              <w:t>Pheophytins</w:t>
            </w:r>
          </w:p>
        </w:tc>
        <w:tc>
          <w:tcPr>
            <w:tcW w:w="4244" w:type="dxa"/>
          </w:tcPr>
          <w:p w14:paraId="31861DF4" w14:textId="61E9C1C4" w:rsidR="005029D0" w:rsidRPr="00B7408D" w:rsidRDefault="00BF3A2F" w:rsidP="009A0167">
            <w:pPr>
              <w:jc w:val="center"/>
              <w:rPr>
                <w:rFonts w:ascii="Book Antiqua" w:hAnsi="Book Antiqua"/>
                <w:b/>
                <w:lang w:val="en-US"/>
              </w:rPr>
            </w:pPr>
            <w:r w:rsidRPr="00B7408D">
              <w:rPr>
                <w:rFonts w:ascii="Book Antiqua" w:hAnsi="Book Antiqua" w:cs="Arial"/>
                <w:lang w:val="en-US"/>
              </w:rPr>
              <w:t>0</w:t>
            </w:r>
            <w:r w:rsidR="009A0167" w:rsidRPr="00B7408D">
              <w:rPr>
                <w:rFonts w:ascii="Book Antiqua" w:hAnsi="Book Antiqua" w:cs="Arial"/>
                <w:lang w:val="en-US"/>
              </w:rPr>
              <w:t>-</w:t>
            </w:r>
            <w:r w:rsidRPr="00B7408D">
              <w:rPr>
                <w:rFonts w:ascii="Book Antiqua" w:hAnsi="Book Antiqua" w:cs="Arial"/>
                <w:lang w:val="en-US"/>
              </w:rPr>
              <w:t>30 mg/kg</w:t>
            </w:r>
          </w:p>
        </w:tc>
      </w:tr>
      <w:tr w:rsidR="005029D0" w:rsidRPr="00B7408D" w14:paraId="39A323B6" w14:textId="77777777" w:rsidTr="009A0167">
        <w:tc>
          <w:tcPr>
            <w:tcW w:w="4244" w:type="dxa"/>
          </w:tcPr>
          <w:p w14:paraId="5AB28549" w14:textId="2DFDF267" w:rsidR="005029D0" w:rsidRPr="00B7408D" w:rsidRDefault="00BF3A2F" w:rsidP="006A0C4B">
            <w:pPr>
              <w:rPr>
                <w:rFonts w:ascii="Book Antiqua" w:hAnsi="Book Antiqua"/>
                <w:b/>
                <w:lang w:val="en-US"/>
              </w:rPr>
            </w:pPr>
            <w:r w:rsidRPr="00B7408D">
              <w:rPr>
                <w:rFonts w:ascii="Book Antiqua" w:hAnsi="Book Antiqua" w:cs="Arial"/>
                <w:lang w:val="en-US"/>
              </w:rPr>
              <w:t>Phenols</w:t>
            </w:r>
          </w:p>
        </w:tc>
        <w:tc>
          <w:tcPr>
            <w:tcW w:w="4244" w:type="dxa"/>
          </w:tcPr>
          <w:p w14:paraId="0DB025B4" w14:textId="313CB188" w:rsidR="005029D0" w:rsidRPr="00B7408D" w:rsidRDefault="00BF3A2F" w:rsidP="009A0167">
            <w:pPr>
              <w:jc w:val="center"/>
              <w:rPr>
                <w:rFonts w:ascii="Book Antiqua" w:hAnsi="Book Antiqua"/>
                <w:b/>
                <w:lang w:val="en-US"/>
              </w:rPr>
            </w:pPr>
            <w:r w:rsidRPr="00B7408D">
              <w:rPr>
                <w:rFonts w:ascii="Book Antiqua" w:hAnsi="Book Antiqua" w:cs="Arial"/>
                <w:lang w:val="en-US"/>
              </w:rPr>
              <w:t>100</w:t>
            </w:r>
            <w:r w:rsidR="009A0167" w:rsidRPr="00B7408D">
              <w:rPr>
                <w:rFonts w:ascii="Book Antiqua" w:hAnsi="Book Antiqua" w:cs="Arial"/>
                <w:lang w:val="en-US"/>
              </w:rPr>
              <w:t>-</w:t>
            </w:r>
            <w:r w:rsidRPr="00B7408D">
              <w:rPr>
                <w:rFonts w:ascii="Book Antiqua" w:hAnsi="Book Antiqua" w:cs="Arial"/>
                <w:lang w:val="en-US"/>
              </w:rPr>
              <w:t>300 mg/kg</w:t>
            </w:r>
          </w:p>
        </w:tc>
      </w:tr>
      <w:tr w:rsidR="005029D0" w:rsidRPr="00B7408D" w14:paraId="6CECB0C0" w14:textId="77777777" w:rsidTr="009A0167">
        <w:tc>
          <w:tcPr>
            <w:tcW w:w="4244" w:type="dxa"/>
          </w:tcPr>
          <w:p w14:paraId="429DD53C" w14:textId="0D0D2A68" w:rsidR="005029D0" w:rsidRPr="00B7408D" w:rsidRDefault="00BF3A2F" w:rsidP="006A0C4B">
            <w:pPr>
              <w:rPr>
                <w:rFonts w:ascii="Book Antiqua" w:hAnsi="Book Antiqua"/>
                <w:b/>
                <w:lang w:val="en-US"/>
              </w:rPr>
            </w:pPr>
            <w:r w:rsidRPr="00B7408D">
              <w:rPr>
                <w:rFonts w:ascii="Book Antiqua" w:hAnsi="Book Antiqua" w:cs="Arial"/>
                <w:lang w:val="en-US"/>
              </w:rPr>
              <w:t>Oleuropein derivatives</w:t>
            </w:r>
          </w:p>
        </w:tc>
        <w:tc>
          <w:tcPr>
            <w:tcW w:w="4244" w:type="dxa"/>
          </w:tcPr>
          <w:p w14:paraId="3C0A29A7" w14:textId="68A9884D" w:rsidR="005029D0" w:rsidRPr="00B7408D" w:rsidRDefault="00BF3A2F" w:rsidP="009A0167">
            <w:pPr>
              <w:jc w:val="center"/>
              <w:rPr>
                <w:rFonts w:ascii="Book Antiqua" w:hAnsi="Book Antiqua"/>
                <w:b/>
                <w:lang w:val="en-US"/>
              </w:rPr>
            </w:pPr>
            <w:r w:rsidRPr="00B7408D">
              <w:rPr>
                <w:rFonts w:ascii="Book Antiqua" w:hAnsi="Book Antiqua" w:cs="Arial"/>
                <w:lang w:val="en-US"/>
              </w:rPr>
              <w:t>1.2</w:t>
            </w:r>
            <w:r w:rsidR="009A0167" w:rsidRPr="00B7408D">
              <w:rPr>
                <w:rFonts w:ascii="Book Antiqua" w:hAnsi="Book Antiqua" w:cs="Arial"/>
                <w:lang w:val="en-US"/>
              </w:rPr>
              <w:t>-</w:t>
            </w:r>
            <w:r w:rsidRPr="00B7408D">
              <w:rPr>
                <w:rFonts w:ascii="Book Antiqua" w:hAnsi="Book Antiqua" w:cs="Arial"/>
                <w:lang w:val="en-US"/>
              </w:rPr>
              <w:t>120 mg/kg</w:t>
            </w:r>
          </w:p>
        </w:tc>
      </w:tr>
      <w:tr w:rsidR="005029D0" w:rsidRPr="00B7408D" w14:paraId="41B0BED8" w14:textId="77777777" w:rsidTr="009A0167">
        <w:tc>
          <w:tcPr>
            <w:tcW w:w="4244" w:type="dxa"/>
          </w:tcPr>
          <w:p w14:paraId="4F45A1B9" w14:textId="2E3ED1DD" w:rsidR="005029D0" w:rsidRPr="00B7408D" w:rsidRDefault="00BF3A2F" w:rsidP="006A0C4B">
            <w:pPr>
              <w:rPr>
                <w:rFonts w:ascii="Book Antiqua" w:hAnsi="Book Antiqua"/>
                <w:b/>
                <w:lang w:val="en-US"/>
              </w:rPr>
            </w:pPr>
            <w:proofErr w:type="spellStart"/>
            <w:r w:rsidRPr="00B7408D">
              <w:rPr>
                <w:rFonts w:ascii="Book Antiqua" w:hAnsi="Book Antiqua" w:cs="Arial"/>
                <w:lang w:val="en-US"/>
              </w:rPr>
              <w:t>Hydroxytyrosol</w:t>
            </w:r>
            <w:proofErr w:type="spellEnd"/>
          </w:p>
        </w:tc>
        <w:tc>
          <w:tcPr>
            <w:tcW w:w="4244" w:type="dxa"/>
          </w:tcPr>
          <w:p w14:paraId="3D5A064E" w14:textId="643D19A8" w:rsidR="005029D0" w:rsidRPr="00B7408D" w:rsidRDefault="00BF3A2F" w:rsidP="009A0167">
            <w:pPr>
              <w:jc w:val="center"/>
              <w:rPr>
                <w:rFonts w:ascii="Book Antiqua" w:hAnsi="Book Antiqua"/>
                <w:b/>
                <w:lang w:val="en-US"/>
              </w:rPr>
            </w:pPr>
            <w:r w:rsidRPr="00B7408D">
              <w:rPr>
                <w:rFonts w:ascii="Book Antiqua" w:hAnsi="Book Antiqua" w:cs="Arial"/>
                <w:lang w:val="en-US"/>
              </w:rPr>
              <w:t>1.1</w:t>
            </w:r>
            <w:r w:rsidR="009A0167" w:rsidRPr="00B7408D">
              <w:rPr>
                <w:rFonts w:ascii="Book Antiqua" w:hAnsi="Book Antiqua" w:cs="Arial"/>
                <w:lang w:val="en-US"/>
              </w:rPr>
              <w:t>-</w:t>
            </w:r>
            <w:r w:rsidRPr="00B7408D">
              <w:rPr>
                <w:rFonts w:ascii="Book Antiqua" w:hAnsi="Book Antiqua" w:cs="Arial"/>
                <w:lang w:val="en-US"/>
              </w:rPr>
              <w:t>75 mg/kg</w:t>
            </w:r>
          </w:p>
        </w:tc>
      </w:tr>
      <w:tr w:rsidR="005029D0" w:rsidRPr="00B7408D" w14:paraId="3D22DE87" w14:textId="77777777" w:rsidTr="009A0167">
        <w:tc>
          <w:tcPr>
            <w:tcW w:w="4244" w:type="dxa"/>
          </w:tcPr>
          <w:p w14:paraId="34963C83" w14:textId="4AF68555" w:rsidR="005029D0" w:rsidRPr="00B7408D" w:rsidRDefault="00BF3A2F" w:rsidP="006A0C4B">
            <w:pPr>
              <w:rPr>
                <w:rFonts w:ascii="Book Antiqua" w:hAnsi="Book Antiqua"/>
                <w:b/>
                <w:lang w:val="en-US"/>
              </w:rPr>
            </w:pPr>
            <w:r w:rsidRPr="00B7408D">
              <w:rPr>
                <w:rFonts w:ascii="Book Antiqua" w:hAnsi="Book Antiqua" w:cs="Arial"/>
                <w:lang w:val="en-US"/>
              </w:rPr>
              <w:t>Luteolin</w:t>
            </w:r>
          </w:p>
        </w:tc>
        <w:tc>
          <w:tcPr>
            <w:tcW w:w="4244" w:type="dxa"/>
          </w:tcPr>
          <w:p w14:paraId="029C317B" w14:textId="1666881F" w:rsidR="005029D0" w:rsidRPr="00B7408D" w:rsidRDefault="00BF3A2F" w:rsidP="009A0167">
            <w:pPr>
              <w:jc w:val="center"/>
              <w:rPr>
                <w:rFonts w:ascii="Book Antiqua" w:hAnsi="Book Antiqua"/>
                <w:b/>
                <w:lang w:val="en-US"/>
              </w:rPr>
            </w:pPr>
            <w:r w:rsidRPr="00B7408D">
              <w:rPr>
                <w:rFonts w:ascii="Book Antiqua" w:hAnsi="Book Antiqua" w:cs="Arial"/>
                <w:lang w:val="en-US"/>
              </w:rPr>
              <w:t>0</w:t>
            </w:r>
            <w:r w:rsidR="009A0167" w:rsidRPr="00B7408D">
              <w:rPr>
                <w:rFonts w:ascii="Book Antiqua" w:hAnsi="Book Antiqua" w:cs="Arial"/>
                <w:lang w:val="en-US"/>
              </w:rPr>
              <w:t>-</w:t>
            </w:r>
            <w:r w:rsidRPr="00B7408D">
              <w:rPr>
                <w:rFonts w:ascii="Book Antiqua" w:hAnsi="Book Antiqua" w:cs="Arial"/>
                <w:lang w:val="en-US"/>
              </w:rPr>
              <w:t>19 mg/kg</w:t>
            </w:r>
          </w:p>
        </w:tc>
      </w:tr>
      <w:tr w:rsidR="005029D0" w:rsidRPr="00B7408D" w14:paraId="04C3DAD6" w14:textId="77777777" w:rsidTr="009A0167">
        <w:tc>
          <w:tcPr>
            <w:tcW w:w="4244" w:type="dxa"/>
          </w:tcPr>
          <w:p w14:paraId="7DBFA647" w14:textId="7BAF423B" w:rsidR="005029D0" w:rsidRPr="00B7408D" w:rsidRDefault="00BF3A2F" w:rsidP="006A0C4B">
            <w:pPr>
              <w:rPr>
                <w:rFonts w:ascii="Book Antiqua" w:hAnsi="Book Antiqua"/>
                <w:b/>
                <w:lang w:val="en-US"/>
              </w:rPr>
            </w:pPr>
            <w:r w:rsidRPr="00B7408D">
              <w:rPr>
                <w:rFonts w:ascii="Book Antiqua" w:hAnsi="Book Antiqua" w:cs="Arial"/>
                <w:lang w:val="en-US"/>
              </w:rPr>
              <w:t>Apigenin</w:t>
            </w:r>
          </w:p>
        </w:tc>
        <w:tc>
          <w:tcPr>
            <w:tcW w:w="4244" w:type="dxa"/>
          </w:tcPr>
          <w:p w14:paraId="3C5ADC57" w14:textId="470126B7" w:rsidR="005029D0" w:rsidRPr="00B7408D" w:rsidRDefault="00BF3A2F" w:rsidP="009A0167">
            <w:pPr>
              <w:jc w:val="center"/>
              <w:rPr>
                <w:rFonts w:ascii="Book Antiqua" w:hAnsi="Book Antiqua"/>
                <w:b/>
                <w:lang w:val="en-US"/>
              </w:rPr>
            </w:pPr>
            <w:r w:rsidRPr="00B7408D">
              <w:rPr>
                <w:rFonts w:ascii="Book Antiqua" w:hAnsi="Book Antiqua" w:cs="Arial"/>
                <w:lang w:val="en-US"/>
              </w:rPr>
              <w:t>0</w:t>
            </w:r>
            <w:r w:rsidR="009A0167" w:rsidRPr="00B7408D">
              <w:rPr>
                <w:rFonts w:ascii="Book Antiqua" w:hAnsi="Book Antiqua" w:cs="Arial"/>
                <w:lang w:val="en-US"/>
              </w:rPr>
              <w:t>-</w:t>
            </w:r>
            <w:r w:rsidRPr="00B7408D">
              <w:rPr>
                <w:rFonts w:ascii="Book Antiqua" w:hAnsi="Book Antiqua" w:cs="Arial"/>
                <w:lang w:val="en-US"/>
              </w:rPr>
              <w:t>19 mg/kg</w:t>
            </w:r>
          </w:p>
        </w:tc>
      </w:tr>
      <w:tr w:rsidR="005029D0" w:rsidRPr="00B7408D" w14:paraId="3056F7A6" w14:textId="77777777" w:rsidTr="009A0167">
        <w:tc>
          <w:tcPr>
            <w:tcW w:w="4244" w:type="dxa"/>
          </w:tcPr>
          <w:p w14:paraId="68AF066D" w14:textId="4C7A2450" w:rsidR="005029D0" w:rsidRPr="00B7408D" w:rsidRDefault="00BF3A2F" w:rsidP="006A0C4B">
            <w:pPr>
              <w:rPr>
                <w:rFonts w:ascii="Book Antiqua" w:hAnsi="Book Antiqua"/>
                <w:b/>
                <w:lang w:val="en-US"/>
              </w:rPr>
            </w:pPr>
            <w:proofErr w:type="spellStart"/>
            <w:r w:rsidRPr="00B7408D">
              <w:rPr>
                <w:rFonts w:ascii="Book Antiqua" w:hAnsi="Book Antiqua" w:cs="Arial"/>
                <w:lang w:val="en-US"/>
              </w:rPr>
              <w:t>Vanillic</w:t>
            </w:r>
            <w:proofErr w:type="spellEnd"/>
            <w:r w:rsidRPr="00B7408D">
              <w:rPr>
                <w:rFonts w:ascii="Book Antiqua" w:hAnsi="Book Antiqua" w:cs="Arial"/>
                <w:lang w:val="en-US"/>
              </w:rPr>
              <w:t xml:space="preserve"> acid</w:t>
            </w:r>
          </w:p>
        </w:tc>
        <w:tc>
          <w:tcPr>
            <w:tcW w:w="4244" w:type="dxa"/>
          </w:tcPr>
          <w:p w14:paraId="1D9676C4" w14:textId="68524598" w:rsidR="005029D0" w:rsidRPr="00B7408D" w:rsidRDefault="00BF3A2F" w:rsidP="009A0167">
            <w:pPr>
              <w:jc w:val="center"/>
              <w:rPr>
                <w:rFonts w:ascii="Book Antiqua" w:hAnsi="Book Antiqua"/>
                <w:b/>
                <w:lang w:val="en-US"/>
              </w:rPr>
            </w:pPr>
            <w:r w:rsidRPr="00B7408D">
              <w:rPr>
                <w:rFonts w:ascii="Book Antiqua" w:hAnsi="Book Antiqua" w:cs="Arial"/>
                <w:lang w:val="en-US"/>
              </w:rPr>
              <w:t>11</w:t>
            </w:r>
            <w:r w:rsidR="009A0167" w:rsidRPr="00B7408D">
              <w:rPr>
                <w:rFonts w:ascii="Book Antiqua" w:hAnsi="Book Antiqua" w:cs="Arial"/>
                <w:lang w:val="en-US"/>
              </w:rPr>
              <w:t>-</w:t>
            </w:r>
            <w:r w:rsidRPr="00B7408D">
              <w:rPr>
                <w:rFonts w:ascii="Book Antiqua" w:hAnsi="Book Antiqua" w:cs="Arial"/>
                <w:lang w:val="en-US"/>
              </w:rPr>
              <w:t xml:space="preserve">18 </w:t>
            </w:r>
            <w:proofErr w:type="spellStart"/>
            <w:r w:rsidRPr="00B7408D">
              <w:rPr>
                <w:rFonts w:ascii="Book Antiqua" w:hAnsi="Book Antiqua" w:cs="Arial"/>
                <w:lang w:val="en-US"/>
              </w:rPr>
              <w:t>μg</w:t>
            </w:r>
            <w:proofErr w:type="spellEnd"/>
            <w:r w:rsidRPr="00B7408D">
              <w:rPr>
                <w:rFonts w:ascii="Book Antiqua" w:hAnsi="Book Antiqua" w:cs="Arial"/>
                <w:lang w:val="en-US"/>
              </w:rPr>
              <w:t>/mL</w:t>
            </w:r>
          </w:p>
        </w:tc>
      </w:tr>
      <w:tr w:rsidR="005029D0" w:rsidRPr="00B7408D" w14:paraId="6E0B01DA" w14:textId="77777777" w:rsidTr="009A0167">
        <w:tc>
          <w:tcPr>
            <w:tcW w:w="4244" w:type="dxa"/>
          </w:tcPr>
          <w:p w14:paraId="136768DC" w14:textId="68724606" w:rsidR="005029D0" w:rsidRPr="00B7408D" w:rsidRDefault="00BF3A2F" w:rsidP="006A0C4B">
            <w:pPr>
              <w:rPr>
                <w:rFonts w:ascii="Book Antiqua" w:hAnsi="Book Antiqua"/>
                <w:b/>
                <w:lang w:val="en-US"/>
              </w:rPr>
            </w:pPr>
            <w:r w:rsidRPr="00B7408D">
              <w:rPr>
                <w:rFonts w:ascii="Book Antiqua" w:hAnsi="Book Antiqua" w:cs="Arial"/>
                <w:lang w:val="en-US"/>
              </w:rPr>
              <w:t>Syringic acid</w:t>
            </w:r>
          </w:p>
        </w:tc>
        <w:tc>
          <w:tcPr>
            <w:tcW w:w="4244" w:type="dxa"/>
          </w:tcPr>
          <w:p w14:paraId="012E7354" w14:textId="645559C1" w:rsidR="005029D0" w:rsidRPr="00B7408D" w:rsidRDefault="00BF3A2F" w:rsidP="009A0167">
            <w:pPr>
              <w:jc w:val="center"/>
              <w:rPr>
                <w:rFonts w:ascii="Book Antiqua" w:hAnsi="Book Antiqua"/>
                <w:b/>
                <w:lang w:val="en-US"/>
              </w:rPr>
            </w:pPr>
            <w:r w:rsidRPr="00B7408D">
              <w:rPr>
                <w:rFonts w:ascii="Book Antiqua" w:hAnsi="Book Antiqua" w:cs="Arial"/>
                <w:lang w:val="en-US"/>
              </w:rPr>
              <w:t>32</w:t>
            </w:r>
            <w:r w:rsidR="009A0167" w:rsidRPr="00B7408D">
              <w:rPr>
                <w:rFonts w:ascii="Book Antiqua" w:hAnsi="Book Antiqua" w:cs="Arial"/>
                <w:lang w:val="en-US"/>
              </w:rPr>
              <w:t>-</w:t>
            </w:r>
            <w:r w:rsidRPr="00B7408D">
              <w:rPr>
                <w:rFonts w:ascii="Book Antiqua" w:hAnsi="Book Antiqua" w:cs="Arial"/>
                <w:lang w:val="en-US"/>
              </w:rPr>
              <w:t xml:space="preserve">65 </w:t>
            </w:r>
            <w:proofErr w:type="spellStart"/>
            <w:r w:rsidRPr="00B7408D">
              <w:rPr>
                <w:rFonts w:ascii="Book Antiqua" w:hAnsi="Book Antiqua" w:cs="Arial"/>
                <w:lang w:val="en-US"/>
              </w:rPr>
              <w:t>μg</w:t>
            </w:r>
            <w:proofErr w:type="spellEnd"/>
            <w:r w:rsidRPr="00B7408D">
              <w:rPr>
                <w:rFonts w:ascii="Book Antiqua" w:hAnsi="Book Antiqua" w:cs="Arial"/>
                <w:lang w:val="en-US"/>
              </w:rPr>
              <w:t>/mL</w:t>
            </w:r>
          </w:p>
        </w:tc>
      </w:tr>
      <w:tr w:rsidR="005029D0" w:rsidRPr="00B7408D" w14:paraId="728863AF" w14:textId="77777777" w:rsidTr="009A0167">
        <w:tc>
          <w:tcPr>
            <w:tcW w:w="4244" w:type="dxa"/>
          </w:tcPr>
          <w:p w14:paraId="37530C12" w14:textId="18EFA7B6" w:rsidR="005029D0" w:rsidRPr="00B7408D" w:rsidRDefault="00BF3A2F" w:rsidP="006A0C4B">
            <w:pPr>
              <w:rPr>
                <w:rFonts w:ascii="Book Antiqua" w:hAnsi="Book Antiqua"/>
                <w:b/>
                <w:lang w:val="en-US"/>
              </w:rPr>
            </w:pPr>
            <w:r w:rsidRPr="00B7408D">
              <w:rPr>
                <w:rFonts w:ascii="Book Antiqua" w:hAnsi="Book Antiqua" w:cs="Arial"/>
                <w:lang w:val="en-US"/>
              </w:rPr>
              <w:t>4</w:t>
            </w:r>
            <w:r w:rsidR="00CF4CD7" w:rsidRPr="00B7408D">
              <w:rPr>
                <w:rFonts w:ascii="Book Antiqua" w:hAnsi="Book Antiqua" w:cs="Arial"/>
                <w:lang w:val="en-US"/>
              </w:rPr>
              <w:t>-</w:t>
            </w:r>
            <w:r w:rsidRPr="00B7408D">
              <w:rPr>
                <w:rFonts w:ascii="Book Antiqua" w:hAnsi="Book Antiqua" w:cs="Arial"/>
                <w:lang w:val="en-US"/>
              </w:rPr>
              <w:t>Hydroxybenzoic acid</w:t>
            </w:r>
          </w:p>
        </w:tc>
        <w:tc>
          <w:tcPr>
            <w:tcW w:w="4244" w:type="dxa"/>
          </w:tcPr>
          <w:p w14:paraId="0802E7EF" w14:textId="5EE64235" w:rsidR="005029D0" w:rsidRPr="00B7408D" w:rsidRDefault="00BF3A2F" w:rsidP="009A0167">
            <w:pPr>
              <w:jc w:val="center"/>
              <w:rPr>
                <w:rFonts w:ascii="Book Antiqua" w:hAnsi="Book Antiqua"/>
                <w:b/>
                <w:lang w:val="en-US"/>
              </w:rPr>
            </w:pPr>
            <w:r w:rsidRPr="00B7408D">
              <w:rPr>
                <w:rFonts w:ascii="Book Antiqua" w:hAnsi="Book Antiqua" w:cs="Arial"/>
                <w:lang w:val="en-US"/>
              </w:rPr>
              <w:t>5</w:t>
            </w:r>
            <w:r w:rsidR="009A0167" w:rsidRPr="00B7408D">
              <w:rPr>
                <w:rFonts w:ascii="Book Antiqua" w:hAnsi="Book Antiqua" w:cs="Arial"/>
                <w:lang w:val="en-US"/>
              </w:rPr>
              <w:t>-</w:t>
            </w:r>
            <w:r w:rsidRPr="00B7408D">
              <w:rPr>
                <w:rFonts w:ascii="Book Antiqua" w:hAnsi="Book Antiqua" w:cs="Arial"/>
                <w:lang w:val="en-US"/>
              </w:rPr>
              <w:t xml:space="preserve">25 </w:t>
            </w:r>
            <w:proofErr w:type="spellStart"/>
            <w:r w:rsidRPr="00B7408D">
              <w:rPr>
                <w:rFonts w:ascii="Book Antiqua" w:hAnsi="Book Antiqua" w:cs="Arial"/>
                <w:lang w:val="en-US"/>
              </w:rPr>
              <w:t>μg</w:t>
            </w:r>
            <w:proofErr w:type="spellEnd"/>
            <w:r w:rsidRPr="00B7408D">
              <w:rPr>
                <w:rFonts w:ascii="Book Antiqua" w:hAnsi="Book Antiqua" w:cs="Arial"/>
                <w:lang w:val="en-US"/>
              </w:rPr>
              <w:t>/mL</w:t>
            </w:r>
          </w:p>
        </w:tc>
      </w:tr>
      <w:tr w:rsidR="005029D0" w:rsidRPr="00B7408D" w14:paraId="0310E0A0" w14:textId="77777777" w:rsidTr="009A0167">
        <w:tc>
          <w:tcPr>
            <w:tcW w:w="4244" w:type="dxa"/>
          </w:tcPr>
          <w:p w14:paraId="756522B0" w14:textId="04E8B7D0" w:rsidR="005029D0" w:rsidRPr="00B7408D" w:rsidRDefault="00BF3A2F" w:rsidP="006A0C4B">
            <w:pPr>
              <w:rPr>
                <w:rFonts w:ascii="Book Antiqua" w:hAnsi="Book Antiqua"/>
                <w:b/>
                <w:lang w:val="en-US"/>
              </w:rPr>
            </w:pPr>
            <w:r w:rsidRPr="00B7408D">
              <w:rPr>
                <w:rFonts w:ascii="Book Antiqua" w:hAnsi="Book Antiqua" w:cs="Arial"/>
                <w:i/>
                <w:lang w:val="en-US"/>
              </w:rPr>
              <w:t>p</w:t>
            </w:r>
            <w:r w:rsidR="00CF4CD7" w:rsidRPr="00B7408D">
              <w:rPr>
                <w:rFonts w:ascii="Book Antiqua" w:hAnsi="Book Antiqua" w:cs="Arial"/>
                <w:lang w:val="en-US"/>
              </w:rPr>
              <w:t>-</w:t>
            </w:r>
            <w:r w:rsidRPr="00B7408D">
              <w:rPr>
                <w:rFonts w:ascii="Book Antiqua" w:hAnsi="Book Antiqua" w:cs="Arial"/>
                <w:lang w:val="en-US"/>
              </w:rPr>
              <w:t>Coumaric acid</w:t>
            </w:r>
          </w:p>
        </w:tc>
        <w:tc>
          <w:tcPr>
            <w:tcW w:w="4244" w:type="dxa"/>
          </w:tcPr>
          <w:p w14:paraId="43F0AC5A" w14:textId="46F93EC1" w:rsidR="005029D0" w:rsidRPr="00B7408D" w:rsidRDefault="00BF3A2F" w:rsidP="009A0167">
            <w:pPr>
              <w:jc w:val="center"/>
              <w:rPr>
                <w:rFonts w:ascii="Book Antiqua" w:hAnsi="Book Antiqua"/>
                <w:b/>
                <w:lang w:val="en-US"/>
              </w:rPr>
            </w:pPr>
            <w:r w:rsidRPr="00B7408D">
              <w:rPr>
                <w:rFonts w:ascii="Book Antiqua" w:hAnsi="Book Antiqua" w:cs="Arial"/>
                <w:lang w:val="en-US"/>
              </w:rPr>
              <w:t>2</w:t>
            </w:r>
            <w:r w:rsidR="009A0167" w:rsidRPr="00B7408D">
              <w:rPr>
                <w:rFonts w:ascii="Book Antiqua" w:hAnsi="Book Antiqua" w:cs="Arial"/>
                <w:lang w:val="en-US"/>
              </w:rPr>
              <w:t>-</w:t>
            </w:r>
            <w:r w:rsidRPr="00B7408D">
              <w:rPr>
                <w:rFonts w:ascii="Book Antiqua" w:hAnsi="Book Antiqua" w:cs="Arial"/>
                <w:lang w:val="en-US"/>
              </w:rPr>
              <w:t xml:space="preserve">8 </w:t>
            </w:r>
            <w:proofErr w:type="spellStart"/>
            <w:r w:rsidRPr="00B7408D">
              <w:rPr>
                <w:rFonts w:ascii="Book Antiqua" w:hAnsi="Book Antiqua" w:cs="Arial"/>
                <w:lang w:val="en-US"/>
              </w:rPr>
              <w:t>μg</w:t>
            </w:r>
            <w:proofErr w:type="spellEnd"/>
            <w:r w:rsidRPr="00B7408D">
              <w:rPr>
                <w:rFonts w:ascii="Book Antiqua" w:hAnsi="Book Antiqua" w:cs="Arial"/>
                <w:lang w:val="en-US"/>
              </w:rPr>
              <w:t>/mL</w:t>
            </w:r>
          </w:p>
        </w:tc>
      </w:tr>
      <w:tr w:rsidR="005029D0" w:rsidRPr="00B7408D" w14:paraId="68F25D66" w14:textId="77777777" w:rsidTr="009A0167">
        <w:tc>
          <w:tcPr>
            <w:tcW w:w="4244" w:type="dxa"/>
          </w:tcPr>
          <w:p w14:paraId="39860B21" w14:textId="0FD27C47" w:rsidR="005029D0" w:rsidRPr="00B7408D" w:rsidRDefault="00BF3A2F" w:rsidP="006A0C4B">
            <w:pPr>
              <w:rPr>
                <w:rFonts w:ascii="Book Antiqua" w:hAnsi="Book Antiqua"/>
                <w:b/>
                <w:lang w:val="en-US"/>
              </w:rPr>
            </w:pPr>
            <w:r w:rsidRPr="00B7408D">
              <w:rPr>
                <w:rFonts w:ascii="Book Antiqua" w:hAnsi="Book Antiqua" w:cs="Arial"/>
                <w:lang w:val="en-US"/>
              </w:rPr>
              <w:t>Caffeic acid</w:t>
            </w:r>
          </w:p>
        </w:tc>
        <w:tc>
          <w:tcPr>
            <w:tcW w:w="4244" w:type="dxa"/>
          </w:tcPr>
          <w:p w14:paraId="6665C2E3" w14:textId="29D1AFCC" w:rsidR="005029D0" w:rsidRPr="00B7408D" w:rsidRDefault="00BF3A2F" w:rsidP="009A0167">
            <w:pPr>
              <w:jc w:val="center"/>
              <w:rPr>
                <w:rFonts w:ascii="Book Antiqua" w:hAnsi="Book Antiqua"/>
                <w:b/>
                <w:lang w:val="en-US"/>
              </w:rPr>
            </w:pPr>
            <w:r w:rsidRPr="00B7408D">
              <w:rPr>
                <w:rFonts w:ascii="Book Antiqua" w:hAnsi="Book Antiqua" w:cs="Arial"/>
                <w:lang w:val="en-US"/>
              </w:rPr>
              <w:t>1.9</w:t>
            </w:r>
            <w:r w:rsidR="009A0167" w:rsidRPr="00B7408D">
              <w:rPr>
                <w:rFonts w:ascii="Book Antiqua" w:hAnsi="Book Antiqua" w:cs="Arial"/>
                <w:lang w:val="en-US"/>
              </w:rPr>
              <w:t>-</w:t>
            </w:r>
            <w:r w:rsidRPr="00B7408D">
              <w:rPr>
                <w:rFonts w:ascii="Book Antiqua" w:hAnsi="Book Antiqua" w:cs="Arial"/>
                <w:lang w:val="en-US"/>
              </w:rPr>
              <w:t xml:space="preserve">4.5 </w:t>
            </w:r>
            <w:proofErr w:type="spellStart"/>
            <w:r w:rsidRPr="00B7408D">
              <w:rPr>
                <w:rFonts w:ascii="Book Antiqua" w:hAnsi="Book Antiqua" w:cs="Arial"/>
                <w:lang w:val="en-US"/>
              </w:rPr>
              <w:t>μg</w:t>
            </w:r>
            <w:proofErr w:type="spellEnd"/>
            <w:r w:rsidRPr="00B7408D">
              <w:rPr>
                <w:rFonts w:ascii="Book Antiqua" w:hAnsi="Book Antiqua" w:cs="Arial"/>
                <w:lang w:val="en-US"/>
              </w:rPr>
              <w:t>/mL</w:t>
            </w:r>
          </w:p>
        </w:tc>
      </w:tr>
      <w:tr w:rsidR="005029D0" w:rsidRPr="00B7408D" w14:paraId="087532EA" w14:textId="77777777" w:rsidTr="009A0167">
        <w:tc>
          <w:tcPr>
            <w:tcW w:w="4244" w:type="dxa"/>
          </w:tcPr>
          <w:p w14:paraId="34F5F137" w14:textId="0E9E7E88" w:rsidR="005029D0" w:rsidRPr="00B7408D" w:rsidRDefault="00BF3A2F" w:rsidP="006A0C4B">
            <w:pPr>
              <w:rPr>
                <w:rFonts w:ascii="Book Antiqua" w:hAnsi="Book Antiqua"/>
                <w:b/>
                <w:lang w:val="en-US"/>
              </w:rPr>
            </w:pPr>
            <w:proofErr w:type="spellStart"/>
            <w:r w:rsidRPr="00B7408D">
              <w:rPr>
                <w:rFonts w:ascii="Book Antiqua" w:hAnsi="Book Antiqua" w:cs="Arial"/>
                <w:lang w:val="en-US"/>
              </w:rPr>
              <w:t>Tyrosol</w:t>
            </w:r>
            <w:proofErr w:type="spellEnd"/>
          </w:p>
        </w:tc>
        <w:tc>
          <w:tcPr>
            <w:tcW w:w="4244" w:type="dxa"/>
          </w:tcPr>
          <w:p w14:paraId="5A3398AE" w14:textId="20CB40A8" w:rsidR="005029D0" w:rsidRPr="00B7408D" w:rsidRDefault="00BF3A2F" w:rsidP="009A0167">
            <w:pPr>
              <w:jc w:val="center"/>
              <w:rPr>
                <w:rFonts w:ascii="Book Antiqua" w:hAnsi="Book Antiqua"/>
                <w:b/>
                <w:lang w:val="en-US"/>
              </w:rPr>
            </w:pPr>
            <w:r w:rsidRPr="00B7408D">
              <w:rPr>
                <w:rFonts w:ascii="Book Antiqua" w:hAnsi="Book Antiqua" w:cs="Arial"/>
                <w:lang w:val="en-US"/>
              </w:rPr>
              <w:t>1.1</w:t>
            </w:r>
            <w:r w:rsidR="009A0167" w:rsidRPr="00B7408D">
              <w:rPr>
                <w:rFonts w:ascii="Book Antiqua" w:hAnsi="Book Antiqua" w:cs="Arial"/>
                <w:lang w:val="en-US"/>
              </w:rPr>
              <w:t>-</w:t>
            </w:r>
            <w:r w:rsidRPr="00B7408D">
              <w:rPr>
                <w:rFonts w:ascii="Book Antiqua" w:hAnsi="Book Antiqua" w:cs="Arial"/>
                <w:lang w:val="en-US"/>
              </w:rPr>
              <w:t xml:space="preserve">45 </w:t>
            </w:r>
            <w:proofErr w:type="spellStart"/>
            <w:r w:rsidRPr="00B7408D">
              <w:rPr>
                <w:rFonts w:ascii="Book Antiqua" w:hAnsi="Book Antiqua" w:cs="Arial"/>
                <w:lang w:val="en-US"/>
              </w:rPr>
              <w:t>μg</w:t>
            </w:r>
            <w:proofErr w:type="spellEnd"/>
            <w:r w:rsidRPr="00B7408D">
              <w:rPr>
                <w:rFonts w:ascii="Book Antiqua" w:hAnsi="Book Antiqua" w:cs="Arial"/>
                <w:lang w:val="en-US"/>
              </w:rPr>
              <w:t>/mL</w:t>
            </w:r>
          </w:p>
        </w:tc>
      </w:tr>
      <w:tr w:rsidR="005029D0" w:rsidRPr="00B7408D" w14:paraId="0D46125F" w14:textId="77777777" w:rsidTr="009A0167">
        <w:tc>
          <w:tcPr>
            <w:tcW w:w="4244" w:type="dxa"/>
          </w:tcPr>
          <w:p w14:paraId="132EFD79" w14:textId="037E8E97" w:rsidR="005029D0" w:rsidRPr="00B7408D" w:rsidRDefault="00BF3A2F" w:rsidP="006A0C4B">
            <w:pPr>
              <w:rPr>
                <w:rFonts w:ascii="Book Antiqua" w:hAnsi="Book Antiqua"/>
                <w:b/>
                <w:lang w:val="en-US"/>
              </w:rPr>
            </w:pPr>
            <w:proofErr w:type="spellStart"/>
            <w:r w:rsidRPr="00B7408D">
              <w:rPr>
                <w:rFonts w:ascii="Book Antiqua" w:hAnsi="Book Antiqua" w:cs="Arial"/>
                <w:lang w:val="en-US"/>
              </w:rPr>
              <w:t>Ligostride</w:t>
            </w:r>
            <w:proofErr w:type="spellEnd"/>
            <w:r w:rsidRPr="00B7408D">
              <w:rPr>
                <w:rFonts w:ascii="Book Antiqua" w:hAnsi="Book Antiqua" w:cs="Arial"/>
                <w:lang w:val="en-US"/>
              </w:rPr>
              <w:t xml:space="preserve"> derivatives</w:t>
            </w:r>
          </w:p>
        </w:tc>
        <w:tc>
          <w:tcPr>
            <w:tcW w:w="4244" w:type="dxa"/>
          </w:tcPr>
          <w:p w14:paraId="0CBEC2DB" w14:textId="2A393060" w:rsidR="005029D0" w:rsidRPr="00B7408D" w:rsidRDefault="00BF3A2F" w:rsidP="009A0167">
            <w:pPr>
              <w:jc w:val="center"/>
              <w:rPr>
                <w:rFonts w:ascii="Book Antiqua" w:hAnsi="Book Antiqua"/>
                <w:b/>
                <w:lang w:val="en-US"/>
              </w:rPr>
            </w:pPr>
            <w:r w:rsidRPr="00B7408D">
              <w:rPr>
                <w:rFonts w:ascii="Book Antiqua" w:hAnsi="Book Antiqua" w:cs="Arial"/>
                <w:lang w:val="en-US"/>
              </w:rPr>
              <w:t>0</w:t>
            </w:r>
            <w:r w:rsidR="009A0167" w:rsidRPr="00B7408D">
              <w:rPr>
                <w:rFonts w:ascii="Book Antiqua" w:hAnsi="Book Antiqua" w:cs="Arial"/>
                <w:lang w:val="en-US"/>
              </w:rPr>
              <w:t>-</w:t>
            </w:r>
            <w:r w:rsidRPr="00B7408D">
              <w:rPr>
                <w:rFonts w:ascii="Book Antiqua" w:hAnsi="Book Antiqua" w:cs="Arial"/>
                <w:lang w:val="en-US"/>
              </w:rPr>
              <w:t xml:space="preserve">78 </w:t>
            </w:r>
            <w:proofErr w:type="spellStart"/>
            <w:r w:rsidRPr="00B7408D">
              <w:rPr>
                <w:rFonts w:ascii="Book Antiqua" w:hAnsi="Book Antiqua" w:cs="Arial"/>
                <w:lang w:val="en-US"/>
              </w:rPr>
              <w:t>μg</w:t>
            </w:r>
            <w:proofErr w:type="spellEnd"/>
            <w:r w:rsidRPr="00B7408D">
              <w:rPr>
                <w:rFonts w:ascii="Book Antiqua" w:hAnsi="Book Antiqua" w:cs="Arial"/>
                <w:lang w:val="en-US"/>
              </w:rPr>
              <w:t>/mL</w:t>
            </w:r>
          </w:p>
        </w:tc>
      </w:tr>
      <w:tr w:rsidR="005029D0" w:rsidRPr="00B7408D" w14:paraId="3B1E1317" w14:textId="77777777" w:rsidTr="009A0167">
        <w:tc>
          <w:tcPr>
            <w:tcW w:w="4244" w:type="dxa"/>
          </w:tcPr>
          <w:p w14:paraId="543B6C93" w14:textId="1AAF0EED" w:rsidR="005029D0" w:rsidRPr="00B7408D" w:rsidRDefault="00BF3A2F" w:rsidP="006A0C4B">
            <w:pPr>
              <w:rPr>
                <w:rFonts w:ascii="Book Antiqua" w:hAnsi="Book Antiqua"/>
                <w:b/>
                <w:lang w:val="en-US"/>
              </w:rPr>
            </w:pPr>
            <w:proofErr w:type="spellStart"/>
            <w:r w:rsidRPr="00B7408D">
              <w:rPr>
                <w:rFonts w:ascii="Book Antiqua" w:hAnsi="Book Antiqua" w:cs="Arial"/>
                <w:lang w:val="en-US"/>
              </w:rPr>
              <w:t>Pinoresinol</w:t>
            </w:r>
            <w:proofErr w:type="spellEnd"/>
          </w:p>
        </w:tc>
        <w:tc>
          <w:tcPr>
            <w:tcW w:w="4244" w:type="dxa"/>
          </w:tcPr>
          <w:p w14:paraId="06C127BC" w14:textId="2CA80D09" w:rsidR="005029D0" w:rsidRPr="00B7408D" w:rsidRDefault="00BF3A2F" w:rsidP="009A0167">
            <w:pPr>
              <w:jc w:val="center"/>
              <w:rPr>
                <w:rFonts w:ascii="Book Antiqua" w:hAnsi="Book Antiqua"/>
                <w:b/>
                <w:lang w:val="en-US"/>
              </w:rPr>
            </w:pPr>
            <w:r w:rsidRPr="00B7408D">
              <w:rPr>
                <w:rFonts w:ascii="Book Antiqua" w:hAnsi="Book Antiqua" w:cs="Arial"/>
                <w:lang w:val="en-US"/>
              </w:rPr>
              <w:t>2</w:t>
            </w:r>
            <w:r w:rsidR="009A0167" w:rsidRPr="00B7408D">
              <w:rPr>
                <w:rFonts w:ascii="Book Antiqua" w:hAnsi="Book Antiqua" w:cs="Arial"/>
                <w:lang w:val="en-US"/>
              </w:rPr>
              <w:t>-</w:t>
            </w:r>
            <w:r w:rsidRPr="00B7408D">
              <w:rPr>
                <w:rFonts w:ascii="Book Antiqua" w:hAnsi="Book Antiqua" w:cs="Arial"/>
                <w:lang w:val="en-US"/>
              </w:rPr>
              <w:t>55 μg/mL</w:t>
            </w:r>
          </w:p>
        </w:tc>
      </w:tr>
      <w:tr w:rsidR="009A0167" w:rsidRPr="00B7408D" w14:paraId="0D76E7FA" w14:textId="77777777" w:rsidTr="009A0167">
        <w:tc>
          <w:tcPr>
            <w:tcW w:w="8488" w:type="dxa"/>
            <w:gridSpan w:val="2"/>
            <w:tcBorders>
              <w:bottom w:val="single" w:sz="4" w:space="0" w:color="auto"/>
            </w:tcBorders>
          </w:tcPr>
          <w:p w14:paraId="26A11A33" w14:textId="6B41C007" w:rsidR="009A0167" w:rsidRPr="00B7408D" w:rsidRDefault="009A0167" w:rsidP="009A0167">
            <w:pPr>
              <w:jc w:val="center"/>
              <w:rPr>
                <w:rFonts w:ascii="Book Antiqua" w:hAnsi="Book Antiqua"/>
                <w:b/>
                <w:lang w:val="en-US"/>
              </w:rPr>
            </w:pPr>
            <w:r w:rsidRPr="00B7408D">
              <w:rPr>
                <w:rFonts w:ascii="Book Antiqua" w:hAnsi="Book Antiqua" w:cs="Arial"/>
                <w:lang w:val="en-US"/>
              </w:rPr>
              <w:t xml:space="preserve">Other compounds (fatty alcohols, diterpene alcohols, volatile compounds, </w:t>
            </w:r>
            <w:proofErr w:type="spellStart"/>
            <w:r w:rsidRPr="00B7408D">
              <w:rPr>
                <w:rFonts w:ascii="Book Antiqua" w:hAnsi="Book Antiqua" w:cs="Arial"/>
                <w:i/>
                <w:lang w:val="en-US"/>
              </w:rPr>
              <w:t>etc</w:t>
            </w:r>
            <w:proofErr w:type="spellEnd"/>
            <w:r w:rsidRPr="00B7408D">
              <w:rPr>
                <w:rFonts w:ascii="Book Antiqua" w:hAnsi="Book Antiqua" w:cs="Arial"/>
                <w:lang w:val="en-US"/>
              </w:rPr>
              <w:t>)</w:t>
            </w:r>
          </w:p>
        </w:tc>
      </w:tr>
    </w:tbl>
    <w:p w14:paraId="273861C3" w14:textId="77777777" w:rsidR="005029D0" w:rsidRPr="00B7408D" w:rsidRDefault="005029D0" w:rsidP="006A0C4B">
      <w:pPr>
        <w:rPr>
          <w:rFonts w:ascii="Book Antiqua" w:hAnsi="Book Antiqua"/>
          <w:b/>
          <w:lang w:val="en-US"/>
        </w:rPr>
      </w:pPr>
    </w:p>
    <w:p w14:paraId="7EF47ACC" w14:textId="77777777" w:rsidR="005029D0" w:rsidRPr="00B7408D" w:rsidRDefault="005029D0" w:rsidP="006A0C4B">
      <w:pPr>
        <w:rPr>
          <w:rFonts w:ascii="Book Antiqua" w:hAnsi="Book Antiqua"/>
          <w:b/>
          <w:lang w:val="en-US"/>
        </w:rPr>
      </w:pPr>
    </w:p>
    <w:p w14:paraId="23932354" w14:textId="77777777" w:rsidR="005029D0" w:rsidRPr="00B7408D" w:rsidRDefault="005029D0" w:rsidP="006A0C4B">
      <w:pPr>
        <w:rPr>
          <w:rFonts w:ascii="Book Antiqua" w:hAnsi="Book Antiqua"/>
          <w:b/>
          <w:lang w:val="en-US"/>
        </w:rPr>
      </w:pPr>
    </w:p>
    <w:p w14:paraId="56C82BA9" w14:textId="0417E404" w:rsidR="006A0C4B" w:rsidRPr="00B7408D" w:rsidRDefault="006A0C4B" w:rsidP="006A0C4B">
      <w:pPr>
        <w:rPr>
          <w:rFonts w:ascii="Book Antiqua" w:hAnsi="Book Antiqua"/>
          <w:b/>
          <w:lang w:val="en-US"/>
        </w:rPr>
      </w:pPr>
      <w:r w:rsidRPr="00B7408D">
        <w:rPr>
          <w:rFonts w:ascii="Book Antiqua" w:hAnsi="Book Antiqua"/>
          <w:b/>
          <w:lang w:val="en-US"/>
        </w:rPr>
        <w:lastRenderedPageBreak/>
        <w:br w:type="page"/>
      </w:r>
    </w:p>
    <w:p w14:paraId="583FD466" w14:textId="6EE06C65" w:rsidR="006A0C4B" w:rsidRPr="00B7408D" w:rsidRDefault="006A0C4B" w:rsidP="006A0C4B">
      <w:pPr>
        <w:adjustRightInd w:val="0"/>
        <w:snapToGrid w:val="0"/>
        <w:spacing w:line="360" w:lineRule="auto"/>
        <w:ind w:right="-7"/>
        <w:jc w:val="both"/>
        <w:rPr>
          <w:rFonts w:ascii="Book Antiqua" w:hAnsi="Book Antiqua"/>
          <w:b/>
          <w:lang w:val="en-US"/>
        </w:rPr>
      </w:pPr>
      <w:r w:rsidRPr="00B7408D">
        <w:rPr>
          <w:rFonts w:ascii="Book Antiqua" w:hAnsi="Book Antiqua"/>
          <w:b/>
          <w:noProof/>
          <w:lang w:val="en-US" w:bidi="ar-SA"/>
        </w:rPr>
        <w:lastRenderedPageBreak/>
        <w:drawing>
          <wp:anchor distT="0" distB="0" distL="114300" distR="114300" simplePos="0" relativeHeight="251659264" behindDoc="0" locked="0" layoutInCell="1" allowOverlap="1" wp14:anchorId="47CB5CEB" wp14:editId="5FB87F02">
            <wp:simplePos x="0" y="0"/>
            <wp:positionH relativeFrom="column">
              <wp:posOffset>2413000</wp:posOffset>
            </wp:positionH>
            <wp:positionV relativeFrom="paragraph">
              <wp:posOffset>542290</wp:posOffset>
            </wp:positionV>
            <wp:extent cx="1926503" cy="2485173"/>
            <wp:effectExtent l="0" t="0" r="4445" b="4445"/>
            <wp:wrapNone/>
            <wp:docPr id="10" name="Imagen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33BAAB-8C4B-495F-AA2D-661C2C01C9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33BAAB-8C4B-495F-AA2D-661C2C01C9F9}"/>
                        </a:ext>
                      </a:extLst>
                    </pic:cNvPr>
                    <pic:cNvPicPr>
                      <a:picLocks noChangeAspect="1"/>
                    </pic:cNvPicPr>
                  </pic:nvPicPr>
                  <pic:blipFill>
                    <a:blip r:embed="rId8">
                      <a:alphaModFix amt="20000"/>
                    </a:blip>
                    <a:stretch>
                      <a:fillRect/>
                    </a:stretch>
                  </pic:blipFill>
                  <pic:spPr>
                    <a:xfrm>
                      <a:off x="0" y="0"/>
                      <a:ext cx="1926503" cy="2485173"/>
                    </a:xfrm>
                    <a:prstGeom prst="rect">
                      <a:avLst/>
                    </a:prstGeom>
                  </pic:spPr>
                </pic:pic>
              </a:graphicData>
            </a:graphic>
          </wp:anchor>
        </w:drawing>
      </w:r>
      <w:r w:rsidRPr="00B7408D">
        <w:rPr>
          <w:rFonts w:ascii="Book Antiqua" w:hAnsi="Book Antiqua"/>
          <w:b/>
          <w:noProof/>
          <w:lang w:val="en-US" w:bidi="ar-SA"/>
        </w:rPr>
        <w:drawing>
          <wp:anchor distT="0" distB="0" distL="114300" distR="114300" simplePos="0" relativeHeight="251660288" behindDoc="0" locked="0" layoutInCell="1" allowOverlap="1" wp14:anchorId="43ED4F2F" wp14:editId="0203A7A7">
            <wp:simplePos x="0" y="0"/>
            <wp:positionH relativeFrom="column">
              <wp:posOffset>2589530</wp:posOffset>
            </wp:positionH>
            <wp:positionV relativeFrom="paragraph">
              <wp:posOffset>591820</wp:posOffset>
            </wp:positionV>
            <wp:extent cx="1700475" cy="2425800"/>
            <wp:effectExtent l="0" t="0" r="1905" b="0"/>
            <wp:wrapNone/>
            <wp:docPr id="12" name="Imagen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4B6CB1-800D-44DA-9369-3150C356D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4B6CB1-800D-44DA-9369-3150C356D86D}"/>
                        </a:ext>
                      </a:extLst>
                    </pic:cNvPr>
                    <pic:cNvPicPr>
                      <a:picLocks noChangeAspect="1"/>
                    </pic:cNvPicPr>
                  </pic:nvPicPr>
                  <pic:blipFill>
                    <a:blip r:embed="rId9">
                      <a:alphaModFix amt="35000"/>
                    </a:blip>
                    <a:stretch>
                      <a:fillRect/>
                    </a:stretch>
                  </pic:blipFill>
                  <pic:spPr>
                    <a:xfrm>
                      <a:off x="0" y="0"/>
                      <a:ext cx="1700475" cy="2425800"/>
                    </a:xfrm>
                    <a:prstGeom prst="rect">
                      <a:avLst/>
                    </a:prstGeom>
                  </pic:spPr>
                </pic:pic>
              </a:graphicData>
            </a:graphic>
          </wp:anchor>
        </w:drawing>
      </w:r>
      <w:r w:rsidRPr="00B7408D">
        <w:rPr>
          <w:rFonts w:ascii="Book Antiqua" w:hAnsi="Book Antiqua"/>
          <w:b/>
          <w:noProof/>
          <w:lang w:val="en-US" w:bidi="ar-SA"/>
        </w:rPr>
        <mc:AlternateContent>
          <mc:Choice Requires="wps">
            <w:drawing>
              <wp:anchor distT="0" distB="0" distL="114300" distR="114300" simplePos="0" relativeHeight="251661312" behindDoc="0" locked="0" layoutInCell="1" allowOverlap="1" wp14:anchorId="61436285" wp14:editId="712772A4">
                <wp:simplePos x="0" y="0"/>
                <wp:positionH relativeFrom="column">
                  <wp:posOffset>2724150</wp:posOffset>
                </wp:positionH>
                <wp:positionV relativeFrom="paragraph">
                  <wp:posOffset>1106170</wp:posOffset>
                </wp:positionV>
                <wp:extent cx="1616083" cy="1169551"/>
                <wp:effectExtent l="0" t="0" r="0" b="0"/>
                <wp:wrapNone/>
                <wp:docPr id="11" name="CuadroTexto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E9D293-F593-48DE-A9B2-B8AB9EAD1D17}"/>
                    </a:ext>
                  </a:extLst>
                </wp:docPr>
                <wp:cNvGraphicFramePr/>
                <a:graphic xmlns:a="http://schemas.openxmlformats.org/drawingml/2006/main">
                  <a:graphicData uri="http://schemas.microsoft.com/office/word/2010/wordprocessingShape">
                    <wps:wsp>
                      <wps:cNvSpPr txBox="1"/>
                      <wps:spPr>
                        <a:xfrm>
                          <a:off x="0" y="0"/>
                          <a:ext cx="1616083" cy="1169551"/>
                        </a:xfrm>
                        <a:prstGeom prst="rect">
                          <a:avLst/>
                        </a:prstGeom>
                        <a:noFill/>
                      </wps:spPr>
                      <wps:txbx>
                        <w:txbxContent>
                          <w:p w14:paraId="18401A0D" w14:textId="77777777" w:rsidR="005029D0" w:rsidRPr="008B42A0" w:rsidRDefault="005029D0" w:rsidP="006A0C4B">
                            <w:pPr>
                              <w:rPr>
                                <w:lang w:val="en-US"/>
                              </w:rPr>
                            </w:pPr>
                            <w:r w:rsidRPr="008B42A0">
                              <w:rPr>
                                <w:rFonts w:asciiTheme="minorHAnsi" w:hAnsi="Calibri" w:cstheme="minorBidi"/>
                                <w:color w:val="000000" w:themeColor="text1"/>
                                <w:kern w:val="24"/>
                                <w:sz w:val="28"/>
                                <w:szCs w:val="28"/>
                                <w:lang w:val="en-US"/>
                              </w:rPr>
                              <w:t>Cardiovascular risk</w:t>
                            </w:r>
                          </w:p>
                          <w:p w14:paraId="6E34296E" w14:textId="77777777" w:rsidR="005029D0" w:rsidRPr="008B42A0" w:rsidRDefault="005029D0" w:rsidP="006A0C4B">
                            <w:pPr>
                              <w:rPr>
                                <w:lang w:val="en-US"/>
                              </w:rPr>
                            </w:pPr>
                            <w:r w:rsidRPr="008B42A0">
                              <w:rPr>
                                <w:rFonts w:asciiTheme="minorHAnsi" w:hAnsi="Calibri" w:cstheme="minorBidi"/>
                                <w:color w:val="000000" w:themeColor="text1"/>
                                <w:kern w:val="24"/>
                                <w:sz w:val="28"/>
                                <w:szCs w:val="28"/>
                                <w:lang w:val="en-US"/>
                              </w:rPr>
                              <w:t>Tumors</w:t>
                            </w:r>
                          </w:p>
                          <w:p w14:paraId="62265074" w14:textId="77777777" w:rsidR="005029D0" w:rsidRPr="008B42A0" w:rsidRDefault="005029D0" w:rsidP="006A0C4B">
                            <w:pPr>
                              <w:rPr>
                                <w:lang w:val="en-US"/>
                              </w:rPr>
                            </w:pPr>
                            <w:r w:rsidRPr="008B42A0">
                              <w:rPr>
                                <w:rFonts w:asciiTheme="minorHAnsi" w:hAnsi="Calibri" w:cstheme="minorBidi"/>
                                <w:color w:val="000000" w:themeColor="text1"/>
                                <w:kern w:val="24"/>
                                <w:sz w:val="28"/>
                                <w:szCs w:val="28"/>
                                <w:lang w:val="en-US"/>
                              </w:rPr>
                              <w:t>Neurodegeneration</w:t>
                            </w:r>
                          </w:p>
                          <w:p w14:paraId="72E956C4" w14:textId="77777777" w:rsidR="005029D0" w:rsidRPr="008B42A0" w:rsidRDefault="005029D0" w:rsidP="006A0C4B">
                            <w:pPr>
                              <w:rPr>
                                <w:lang w:val="en-US"/>
                              </w:rPr>
                            </w:pPr>
                            <w:r w:rsidRPr="008B42A0">
                              <w:rPr>
                                <w:rFonts w:asciiTheme="minorHAnsi" w:hAnsi="Calibri" w:cstheme="minorBidi"/>
                                <w:color w:val="000000" w:themeColor="text1"/>
                                <w:kern w:val="24"/>
                                <w:sz w:val="28"/>
                                <w:szCs w:val="28"/>
                                <w:lang w:val="en-US"/>
                              </w:rPr>
                              <w:t>Diabetes</w:t>
                            </w:r>
                          </w:p>
                          <w:p w14:paraId="7CB29B3B" w14:textId="77777777" w:rsidR="005029D0" w:rsidRPr="008B42A0" w:rsidRDefault="005029D0" w:rsidP="006A0C4B">
                            <w:pPr>
                              <w:rPr>
                                <w:lang w:val="en-US"/>
                              </w:rPr>
                            </w:pPr>
                            <w:r w:rsidRPr="008B42A0">
                              <w:rPr>
                                <w:rFonts w:asciiTheme="minorHAnsi" w:hAnsi="Calibri" w:cstheme="minorBidi"/>
                                <w:color w:val="000000" w:themeColor="text1"/>
                                <w:kern w:val="24"/>
                                <w:sz w:val="28"/>
                                <w:szCs w:val="28"/>
                                <w:lang w:val="en-US"/>
                              </w:rPr>
                              <w:t>Aging</w:t>
                            </w:r>
                          </w:p>
                        </w:txbxContent>
                      </wps:txbx>
                      <wps:bodyPr wrap="none" rtlCol="0">
                        <a:spAutoFit/>
                      </wps:bodyPr>
                    </wps:wsp>
                  </a:graphicData>
                </a:graphic>
              </wp:anchor>
            </w:drawing>
          </mc:Choice>
          <mc:Fallback>
            <w:pict>
              <v:shapetype id="_x0000_t202" coordsize="21600,21600" o:spt="202" path="m,l,21600r21600,l21600,xe">
                <v:stroke joinstyle="miter"/>
                <v:path gradientshapeok="t" o:connecttype="rect"/>
              </v:shapetype>
              <v:shape id="CuadroTexto 10" o:spid="_x0000_s1026" type="#_x0000_t202" style="position:absolute;left:0;text-align:left;margin-left:214.5pt;margin-top:87.1pt;width:127.25pt;height:92.1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" filled="f" stroked="f">
                <v:textbox style="mso-fit-shape-to-text:t">
                  <w:txbxContent>
                    <w:p w14:paraId="18401A0D" w14:textId="77777777" w:rsidR="005029D0" w:rsidRPr="008B42A0" w:rsidRDefault="005029D0" w:rsidP="006A0C4B">
                      <w:pPr>
                        <w:rPr>
                          <w:lang w:val="en-US"/>
                        </w:rPr>
                      </w:pPr>
                      <w:r w:rsidRPr="008B42A0">
                        <w:rPr>
                          <w:rFonts w:asciiTheme="minorHAnsi" w:hAnsi="Calibri" w:cstheme="minorBidi"/>
                          <w:color w:val="000000" w:themeColor="text1"/>
                          <w:kern w:val="24"/>
                          <w:sz w:val="28"/>
                          <w:szCs w:val="28"/>
                          <w:lang w:val="en-US"/>
                        </w:rPr>
                        <w:t>Cardiovascular risk</w:t>
                      </w:r>
                    </w:p>
                    <w:p w14:paraId="6E34296E" w14:textId="77777777" w:rsidR="005029D0" w:rsidRPr="008B42A0" w:rsidRDefault="005029D0" w:rsidP="006A0C4B">
                      <w:pPr>
                        <w:rPr>
                          <w:lang w:val="en-US"/>
                        </w:rPr>
                      </w:pPr>
                      <w:r w:rsidRPr="008B42A0">
                        <w:rPr>
                          <w:rFonts w:asciiTheme="minorHAnsi" w:hAnsi="Calibri" w:cstheme="minorBidi"/>
                          <w:color w:val="000000" w:themeColor="text1"/>
                          <w:kern w:val="24"/>
                          <w:sz w:val="28"/>
                          <w:szCs w:val="28"/>
                          <w:lang w:val="en-US"/>
                        </w:rPr>
                        <w:t>Tumors</w:t>
                      </w:r>
                    </w:p>
                    <w:p w14:paraId="62265074" w14:textId="77777777" w:rsidR="005029D0" w:rsidRPr="008B42A0" w:rsidRDefault="005029D0" w:rsidP="006A0C4B">
                      <w:pPr>
                        <w:rPr>
                          <w:lang w:val="en-US"/>
                        </w:rPr>
                      </w:pPr>
                      <w:r w:rsidRPr="008B42A0">
                        <w:rPr>
                          <w:rFonts w:asciiTheme="minorHAnsi" w:hAnsi="Calibri" w:cstheme="minorBidi"/>
                          <w:color w:val="000000" w:themeColor="text1"/>
                          <w:kern w:val="24"/>
                          <w:sz w:val="28"/>
                          <w:szCs w:val="28"/>
                          <w:lang w:val="en-US"/>
                        </w:rPr>
                        <w:t>Neurodegeneration</w:t>
                      </w:r>
                    </w:p>
                    <w:p w14:paraId="72E956C4" w14:textId="77777777" w:rsidR="005029D0" w:rsidRPr="008B42A0" w:rsidRDefault="005029D0" w:rsidP="006A0C4B">
                      <w:pPr>
                        <w:rPr>
                          <w:lang w:val="en-US"/>
                        </w:rPr>
                      </w:pPr>
                      <w:r w:rsidRPr="008B42A0">
                        <w:rPr>
                          <w:rFonts w:asciiTheme="minorHAnsi" w:hAnsi="Calibri" w:cstheme="minorBidi"/>
                          <w:color w:val="000000" w:themeColor="text1"/>
                          <w:kern w:val="24"/>
                          <w:sz w:val="28"/>
                          <w:szCs w:val="28"/>
                          <w:lang w:val="en-US"/>
                        </w:rPr>
                        <w:t>Diabetes</w:t>
                      </w:r>
                    </w:p>
                    <w:p w14:paraId="7CB29B3B" w14:textId="77777777" w:rsidR="005029D0" w:rsidRPr="008B42A0" w:rsidRDefault="005029D0" w:rsidP="006A0C4B">
                      <w:pPr>
                        <w:rPr>
                          <w:lang w:val="en-US"/>
                        </w:rPr>
                      </w:pPr>
                      <w:r w:rsidRPr="008B42A0">
                        <w:rPr>
                          <w:rFonts w:asciiTheme="minorHAnsi" w:hAnsi="Calibri" w:cstheme="minorBidi"/>
                          <w:color w:val="000000" w:themeColor="text1"/>
                          <w:kern w:val="24"/>
                          <w:sz w:val="28"/>
                          <w:szCs w:val="28"/>
                          <w:lang w:val="en-US"/>
                        </w:rPr>
                        <w:t>Aging</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662336" behindDoc="0" locked="0" layoutInCell="1" allowOverlap="1" wp14:anchorId="1165E4C2" wp14:editId="0D059E9A">
                <wp:simplePos x="0" y="0"/>
                <wp:positionH relativeFrom="column">
                  <wp:posOffset>2540000</wp:posOffset>
                </wp:positionH>
                <wp:positionV relativeFrom="paragraph">
                  <wp:posOffset>1181100</wp:posOffset>
                </wp:positionV>
                <wp:extent cx="210589" cy="1136072"/>
                <wp:effectExtent l="12700" t="0" r="31115" b="19685"/>
                <wp:wrapNone/>
                <wp:docPr id="2" name="Flecha: hacia abajo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E3C21B-D790-4297-97BE-FED257057120}"/>
                    </a:ext>
                  </a:extLst>
                </wp:docPr>
                <wp:cNvGraphicFramePr/>
                <a:graphic xmlns:a="http://schemas.openxmlformats.org/drawingml/2006/main">
                  <a:graphicData uri="http://schemas.microsoft.com/office/word/2010/wordprocessingShape">
                    <wps:wsp>
                      <wps:cNvSpPr/>
                      <wps:spPr>
                        <a:xfrm>
                          <a:off x="0" y="0"/>
                          <a:ext cx="210589" cy="1136072"/>
                        </a:xfrm>
                        <a:prstGeom prst="downArrow">
                          <a:avLst>
                            <a:gd name="adj1" fmla="val 50000"/>
                            <a:gd name="adj2" fmla="val 55263"/>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2630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 o:spid="_x0000_s1026" type="#_x0000_t67" style="position:absolute;margin-left:200pt;margin-top:93pt;width:16.6pt;height:89.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" adj="19387" fillcolor="black [3213]" strokecolor="black [3213]" strokeweight="1pt"/>
            </w:pict>
          </mc:Fallback>
        </mc:AlternateContent>
      </w:r>
      <w:r w:rsidRPr="00B7408D">
        <w:rPr>
          <w:rFonts w:ascii="Book Antiqua" w:hAnsi="Book Antiqua"/>
          <w:b/>
          <w:noProof/>
          <w:lang w:val="en-US" w:bidi="ar-SA"/>
        </w:rPr>
        <mc:AlternateContent>
          <mc:Choice Requires="wps">
            <w:drawing>
              <wp:anchor distT="0" distB="0" distL="114300" distR="114300" simplePos="0" relativeHeight="251663360" behindDoc="0" locked="0" layoutInCell="1" allowOverlap="1" wp14:anchorId="2BA22F4C" wp14:editId="07FD36AD">
                <wp:simplePos x="0" y="0"/>
                <wp:positionH relativeFrom="column">
                  <wp:posOffset>0</wp:posOffset>
                </wp:positionH>
                <wp:positionV relativeFrom="paragraph">
                  <wp:posOffset>2733040</wp:posOffset>
                </wp:positionV>
                <wp:extent cx="1133644" cy="230832"/>
                <wp:effectExtent l="0" t="0" r="0" b="0"/>
                <wp:wrapNone/>
                <wp:docPr id="3" name="CuadroTexto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2E856C-3658-4495-A90E-E4B9BE79766D}"/>
                    </a:ext>
                  </a:extLst>
                </wp:docPr>
                <wp:cNvGraphicFramePr/>
                <a:graphic xmlns:a="http://schemas.openxmlformats.org/drawingml/2006/main">
                  <a:graphicData uri="http://schemas.microsoft.com/office/word/2010/wordprocessingShape">
                    <wps:wsp>
                      <wps:cNvSpPr txBox="1"/>
                      <wps:spPr>
                        <a:xfrm>
                          <a:off x="0" y="0"/>
                          <a:ext cx="1133644" cy="230832"/>
                        </a:xfrm>
                        <a:prstGeom prst="rect">
                          <a:avLst/>
                        </a:prstGeom>
                        <a:noFill/>
                      </wps:spPr>
                      <wps:txbx>
                        <w:txbxContent>
                          <w:p w14:paraId="16EBAC85" w14:textId="77777777" w:rsidR="005029D0" w:rsidRDefault="005029D0" w:rsidP="006A0C4B">
                            <w:r>
                              <w:rPr>
                                <w:rFonts w:asciiTheme="minorHAnsi" w:hAnsi="Calibri" w:cstheme="minorBidi"/>
                                <w:b/>
                                <w:bCs/>
                                <w:i/>
                                <w:iCs/>
                                <w:color w:val="000000" w:themeColor="text1"/>
                                <w:kern w:val="24"/>
                                <w:sz w:val="18"/>
                                <w:szCs w:val="18"/>
                              </w:rPr>
                              <w:t>Extra virgin olive oil</w:t>
                            </w:r>
                          </w:p>
                        </w:txbxContent>
                      </wps:txbx>
                      <wps:bodyPr wrap="none" rtlCol="0">
                        <a:spAutoFit/>
                      </wps:bodyPr>
                    </wps:wsp>
                  </a:graphicData>
                </a:graphic>
              </wp:anchor>
            </w:drawing>
          </mc:Choice>
          <mc:Fallback>
            <w:pict>
              <v:shape id="CuadroTexto 2" o:spid="_x0000_s1027" type="#_x0000_t202" style="position:absolute;left:0;text-align:left;margin-left:0;margin-top:215.2pt;width:89.25pt;height:18.2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" filled="f" stroked="f">
                <v:textbox style="mso-fit-shape-to-text:t">
                  <w:txbxContent>
                    <w:p w14:paraId="16EBAC85" w14:textId="77777777" w:rsidR="005029D0" w:rsidRDefault="005029D0" w:rsidP="006A0C4B">
                      <w:r>
                        <w:rPr>
                          <w:rFonts w:asciiTheme="minorHAnsi" w:hAnsi="Calibri" w:cstheme="minorBidi"/>
                          <w:b/>
                          <w:bCs/>
                          <w:i/>
                          <w:iCs/>
                          <w:color w:val="000000" w:themeColor="text1"/>
                          <w:kern w:val="24"/>
                          <w:sz w:val="18"/>
                          <w:szCs w:val="18"/>
                        </w:rPr>
                        <w:t>Extra virgin olive oil</w:t>
                      </w:r>
                    </w:p>
                  </w:txbxContent>
                </v:textbox>
              </v:shape>
            </w:pict>
          </mc:Fallback>
        </mc:AlternateContent>
      </w:r>
      <w:r w:rsidRPr="00B7408D">
        <w:rPr>
          <w:rFonts w:ascii="Book Antiqua" w:hAnsi="Book Antiqua"/>
          <w:b/>
          <w:noProof/>
          <w:lang w:val="en-US" w:bidi="ar-SA"/>
        </w:rPr>
        <w:drawing>
          <wp:anchor distT="0" distB="0" distL="114300" distR="114300" simplePos="0" relativeHeight="251664384" behindDoc="0" locked="0" layoutInCell="1" allowOverlap="1" wp14:anchorId="182749F1" wp14:editId="364C53C8">
            <wp:simplePos x="0" y="0"/>
            <wp:positionH relativeFrom="column">
              <wp:posOffset>1642110</wp:posOffset>
            </wp:positionH>
            <wp:positionV relativeFrom="paragraph">
              <wp:posOffset>3931285</wp:posOffset>
            </wp:positionV>
            <wp:extent cx="2359171" cy="803564"/>
            <wp:effectExtent l="0" t="0" r="3175" b="0"/>
            <wp:wrapNone/>
            <wp:docPr id="6" name="Imagen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EA7F22-A28F-4B5A-A72D-40F310A7F6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EA7F22-A28F-4B5A-A72D-40F310A7F6FC}"/>
                        </a:ext>
                      </a:extLst>
                    </pic:cNvPr>
                    <pic:cNvPicPr>
                      <a:picLocks noChangeAspect="1"/>
                    </pic:cNvPicPr>
                  </pic:nvPicPr>
                  <pic:blipFill>
                    <a:blip r:embed="rId10">
                      <a:alphaModFix amt="20000"/>
                    </a:blip>
                    <a:stretch>
                      <a:fillRect/>
                    </a:stretch>
                  </pic:blipFill>
                  <pic:spPr>
                    <a:xfrm>
                      <a:off x="0" y="0"/>
                      <a:ext cx="2359171" cy="803564"/>
                    </a:xfrm>
                    <a:prstGeom prst="rect">
                      <a:avLst/>
                    </a:prstGeom>
                  </pic:spPr>
                </pic:pic>
              </a:graphicData>
            </a:graphic>
          </wp:anchor>
        </w:drawing>
      </w:r>
      <w:r w:rsidRPr="00B7408D">
        <w:rPr>
          <w:rFonts w:ascii="Book Antiqua" w:hAnsi="Book Antiqua"/>
          <w:b/>
          <w:noProof/>
          <w:lang w:val="en-US" w:bidi="ar-SA"/>
        </w:rPr>
        <w:drawing>
          <wp:anchor distT="0" distB="0" distL="114300" distR="114300" simplePos="0" relativeHeight="251665408" behindDoc="0" locked="0" layoutInCell="1" allowOverlap="1" wp14:anchorId="2936E019" wp14:editId="393FDAA7">
            <wp:simplePos x="0" y="0"/>
            <wp:positionH relativeFrom="column">
              <wp:posOffset>1549400</wp:posOffset>
            </wp:positionH>
            <wp:positionV relativeFrom="paragraph">
              <wp:posOffset>3670935</wp:posOffset>
            </wp:positionV>
            <wp:extent cx="2595665" cy="1407622"/>
            <wp:effectExtent l="0" t="0" r="0" b="2540"/>
            <wp:wrapNone/>
            <wp:docPr id="15" name="Imagen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B45E23-4E9C-44CD-96A0-B244B45961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B45E23-4E9C-44CD-96A0-B244B45961A0}"/>
                        </a:ext>
                      </a:extLst>
                    </pic:cNvPr>
                    <pic:cNvPicPr>
                      <a:picLocks noChangeAspect="1"/>
                    </pic:cNvPicPr>
                  </pic:nvPicPr>
                  <pic:blipFill>
                    <a:blip r:embed="rId8">
                      <a:alphaModFix amt="20000"/>
                    </a:blip>
                    <a:stretch>
                      <a:fillRect/>
                    </a:stretch>
                  </pic:blipFill>
                  <pic:spPr>
                    <a:xfrm>
                      <a:off x="0" y="0"/>
                      <a:ext cx="2595665" cy="1407622"/>
                    </a:xfrm>
                    <a:prstGeom prst="rect">
                      <a:avLst/>
                    </a:prstGeom>
                  </pic:spPr>
                </pic:pic>
              </a:graphicData>
            </a:graphic>
          </wp:anchor>
        </w:drawing>
      </w:r>
      <w:r w:rsidRPr="00B7408D">
        <w:rPr>
          <w:rFonts w:ascii="Book Antiqua" w:hAnsi="Book Antiqua"/>
          <w:b/>
          <w:noProof/>
          <w:lang w:val="en-US" w:bidi="ar-SA"/>
        </w:rPr>
        <mc:AlternateContent>
          <mc:Choice Requires="wps">
            <w:drawing>
              <wp:anchor distT="0" distB="0" distL="114300" distR="114300" simplePos="0" relativeHeight="251666432" behindDoc="0" locked="0" layoutInCell="1" allowOverlap="1" wp14:anchorId="61B3FBA7" wp14:editId="50CA1E58">
                <wp:simplePos x="0" y="0"/>
                <wp:positionH relativeFrom="column">
                  <wp:posOffset>2043430</wp:posOffset>
                </wp:positionH>
                <wp:positionV relativeFrom="paragraph">
                  <wp:posOffset>3942715</wp:posOffset>
                </wp:positionV>
                <wp:extent cx="1892890" cy="954107"/>
                <wp:effectExtent l="0" t="0" r="0" b="0"/>
                <wp:wrapNone/>
                <wp:docPr id="14" name="CuadroTexto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396848-10ED-4DFC-8D7A-F732B313A23B}"/>
                    </a:ext>
                  </a:extLst>
                </wp:docPr>
                <wp:cNvGraphicFramePr/>
                <a:graphic xmlns:a="http://schemas.openxmlformats.org/drawingml/2006/main">
                  <a:graphicData uri="http://schemas.microsoft.com/office/word/2010/wordprocessingShape">
                    <wps:wsp>
                      <wps:cNvSpPr txBox="1"/>
                      <wps:spPr>
                        <a:xfrm>
                          <a:off x="0" y="0"/>
                          <a:ext cx="1892890" cy="954107"/>
                        </a:xfrm>
                        <a:prstGeom prst="rect">
                          <a:avLst/>
                        </a:prstGeom>
                        <a:noFill/>
                      </wps:spPr>
                      <wps:txbx>
                        <w:txbxContent>
                          <w:p w14:paraId="21252D13" w14:textId="77777777" w:rsidR="005029D0" w:rsidRPr="008B42A0" w:rsidRDefault="005029D0" w:rsidP="006A0C4B">
                            <w:pPr>
                              <w:rPr>
                                <w:lang w:val="en-US"/>
                              </w:rPr>
                            </w:pPr>
                            <w:r w:rsidRPr="008B42A0">
                              <w:rPr>
                                <w:rFonts w:asciiTheme="minorHAnsi" w:hAnsi="Calibri" w:cstheme="minorBidi"/>
                                <w:color w:val="000000" w:themeColor="text1"/>
                                <w:kern w:val="24"/>
                                <w:sz w:val="28"/>
                                <w:szCs w:val="28"/>
                                <w:lang w:val="en-US"/>
                              </w:rPr>
                              <w:t>Proliferation</w:t>
                            </w:r>
                          </w:p>
                          <w:p w14:paraId="2A3EE2D5" w14:textId="77777777" w:rsidR="005029D0" w:rsidRPr="008B42A0" w:rsidRDefault="005029D0" w:rsidP="006A0C4B">
                            <w:pPr>
                              <w:rPr>
                                <w:lang w:val="en-US"/>
                              </w:rPr>
                            </w:pPr>
                            <w:r w:rsidRPr="008B42A0">
                              <w:rPr>
                                <w:rFonts w:asciiTheme="minorHAnsi" w:hAnsi="Calibri" w:cstheme="minorBidi"/>
                                <w:color w:val="000000" w:themeColor="text1"/>
                                <w:kern w:val="24"/>
                                <w:sz w:val="28"/>
                                <w:szCs w:val="28"/>
                                <w:lang w:val="en-US"/>
                              </w:rPr>
                              <w:t>Viability</w:t>
                            </w:r>
                          </w:p>
                          <w:p w14:paraId="4990D04F" w14:textId="77777777" w:rsidR="005029D0" w:rsidRPr="008B42A0" w:rsidRDefault="005029D0" w:rsidP="006A0C4B">
                            <w:pPr>
                              <w:rPr>
                                <w:lang w:val="en-US"/>
                              </w:rPr>
                            </w:pPr>
                            <w:r w:rsidRPr="008B42A0">
                              <w:rPr>
                                <w:rFonts w:asciiTheme="minorHAnsi" w:hAnsi="Calibri" w:cstheme="minorBidi"/>
                                <w:color w:val="000000" w:themeColor="text1"/>
                                <w:kern w:val="24"/>
                                <w:sz w:val="28"/>
                                <w:szCs w:val="28"/>
                                <w:lang w:val="en-US"/>
                              </w:rPr>
                              <w:t>Differentiation capacity</w:t>
                            </w:r>
                          </w:p>
                          <w:p w14:paraId="539432C0" w14:textId="77777777" w:rsidR="005029D0" w:rsidRPr="008B42A0" w:rsidRDefault="005029D0" w:rsidP="006A0C4B">
                            <w:pPr>
                              <w:rPr>
                                <w:lang w:val="en-US"/>
                              </w:rPr>
                            </w:pPr>
                            <w:r w:rsidRPr="008B42A0">
                              <w:rPr>
                                <w:rFonts w:asciiTheme="minorHAnsi" w:hAnsi="Calibri" w:cstheme="minorBidi"/>
                                <w:color w:val="000000" w:themeColor="text1"/>
                                <w:kern w:val="24"/>
                                <w:sz w:val="28"/>
                                <w:szCs w:val="28"/>
                                <w:lang w:val="en-US"/>
                              </w:rPr>
                              <w:t>Regeneration capacity</w:t>
                            </w:r>
                          </w:p>
                        </w:txbxContent>
                      </wps:txbx>
                      <wps:bodyPr wrap="none" rtlCol="0">
                        <a:spAutoFit/>
                      </wps:bodyPr>
                    </wps:wsp>
                  </a:graphicData>
                </a:graphic>
              </wp:anchor>
            </w:drawing>
          </mc:Choice>
          <mc:Fallback>
            <w:pict>
              <v:shape id="CuadroTexto 13" o:spid="_x0000_s1028" type="#_x0000_t202" style="position:absolute;left:0;text-align:left;margin-left:160.9pt;margin-top:310.45pt;width:149.05pt;height:75.1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" filled="f" stroked="f">
                <v:textbox style="mso-fit-shape-to-text:t">
                  <w:txbxContent>
                    <w:p w14:paraId="21252D13" w14:textId="77777777" w:rsidR="005029D0" w:rsidRPr="008B42A0" w:rsidRDefault="005029D0" w:rsidP="006A0C4B">
                      <w:pPr>
                        <w:rPr>
                          <w:lang w:val="en-US"/>
                        </w:rPr>
                      </w:pPr>
                      <w:r w:rsidRPr="008B42A0">
                        <w:rPr>
                          <w:rFonts w:asciiTheme="minorHAnsi" w:hAnsi="Calibri" w:cstheme="minorBidi"/>
                          <w:color w:val="000000" w:themeColor="text1"/>
                          <w:kern w:val="24"/>
                          <w:sz w:val="28"/>
                          <w:szCs w:val="28"/>
                          <w:lang w:val="en-US"/>
                        </w:rPr>
                        <w:t>Proliferation</w:t>
                      </w:r>
                    </w:p>
                    <w:p w14:paraId="2A3EE2D5" w14:textId="77777777" w:rsidR="005029D0" w:rsidRPr="008B42A0" w:rsidRDefault="005029D0" w:rsidP="006A0C4B">
                      <w:pPr>
                        <w:rPr>
                          <w:lang w:val="en-US"/>
                        </w:rPr>
                      </w:pPr>
                      <w:r w:rsidRPr="008B42A0">
                        <w:rPr>
                          <w:rFonts w:asciiTheme="minorHAnsi" w:hAnsi="Calibri" w:cstheme="minorBidi"/>
                          <w:color w:val="000000" w:themeColor="text1"/>
                          <w:kern w:val="24"/>
                          <w:sz w:val="28"/>
                          <w:szCs w:val="28"/>
                          <w:lang w:val="en-US"/>
                        </w:rPr>
                        <w:t>Viability</w:t>
                      </w:r>
                    </w:p>
                    <w:p w14:paraId="4990D04F" w14:textId="77777777" w:rsidR="005029D0" w:rsidRPr="008B42A0" w:rsidRDefault="005029D0" w:rsidP="006A0C4B">
                      <w:pPr>
                        <w:rPr>
                          <w:lang w:val="en-US"/>
                        </w:rPr>
                      </w:pPr>
                      <w:r w:rsidRPr="008B42A0">
                        <w:rPr>
                          <w:rFonts w:asciiTheme="minorHAnsi" w:hAnsi="Calibri" w:cstheme="minorBidi"/>
                          <w:color w:val="000000" w:themeColor="text1"/>
                          <w:kern w:val="24"/>
                          <w:sz w:val="28"/>
                          <w:szCs w:val="28"/>
                          <w:lang w:val="en-US"/>
                        </w:rPr>
                        <w:t>Differentiation capacity</w:t>
                      </w:r>
                    </w:p>
                    <w:p w14:paraId="539432C0" w14:textId="77777777" w:rsidR="005029D0" w:rsidRPr="008B42A0" w:rsidRDefault="005029D0" w:rsidP="006A0C4B">
                      <w:pPr>
                        <w:rPr>
                          <w:lang w:val="en-US"/>
                        </w:rPr>
                      </w:pPr>
                      <w:r w:rsidRPr="008B42A0">
                        <w:rPr>
                          <w:rFonts w:asciiTheme="minorHAnsi" w:hAnsi="Calibri" w:cstheme="minorBidi"/>
                          <w:color w:val="000000" w:themeColor="text1"/>
                          <w:kern w:val="24"/>
                          <w:sz w:val="28"/>
                          <w:szCs w:val="28"/>
                          <w:lang w:val="en-US"/>
                        </w:rPr>
                        <w:t>Regeneration capacity</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667456" behindDoc="0" locked="0" layoutInCell="1" allowOverlap="1" wp14:anchorId="74FAE64A" wp14:editId="58619A4B">
                <wp:simplePos x="0" y="0"/>
                <wp:positionH relativeFrom="column">
                  <wp:posOffset>2678430</wp:posOffset>
                </wp:positionH>
                <wp:positionV relativeFrom="paragraph">
                  <wp:posOffset>781685</wp:posOffset>
                </wp:positionV>
                <wp:extent cx="1459887" cy="338554"/>
                <wp:effectExtent l="0" t="0" r="0" b="0"/>
                <wp:wrapNone/>
                <wp:docPr id="16" name="CuadroTexto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6572F0-7DB9-4C3B-A382-F8AFDFF1FAB6}"/>
                    </a:ext>
                  </a:extLst>
                </wp:docPr>
                <wp:cNvGraphicFramePr/>
                <a:graphic xmlns:a="http://schemas.openxmlformats.org/drawingml/2006/main">
                  <a:graphicData uri="http://schemas.microsoft.com/office/word/2010/wordprocessingShape">
                    <wps:wsp>
                      <wps:cNvSpPr txBox="1"/>
                      <wps:spPr>
                        <a:xfrm>
                          <a:off x="0" y="0"/>
                          <a:ext cx="1459887" cy="338554"/>
                        </a:xfrm>
                        <a:prstGeom prst="rect">
                          <a:avLst/>
                        </a:prstGeom>
                        <a:noFill/>
                      </wps:spPr>
                      <wps:txbx>
                        <w:txbxContent>
                          <w:p w14:paraId="7F3AFF57" w14:textId="77777777" w:rsidR="005029D0" w:rsidRDefault="005029D0" w:rsidP="006A0C4B">
                            <w:r>
                              <w:rPr>
                                <w:rFonts w:asciiTheme="minorHAnsi" w:hAnsi="Calibri" w:cstheme="minorBidi"/>
                                <w:b/>
                                <w:bCs/>
                                <w:color w:val="000000" w:themeColor="text1"/>
                                <w:kern w:val="24"/>
                                <w:sz w:val="32"/>
                                <w:szCs w:val="32"/>
                                <w:u w:val="single"/>
                              </w:rPr>
                              <w:t>Healthy effects</w:t>
                            </w:r>
                          </w:p>
                        </w:txbxContent>
                      </wps:txbx>
                      <wps:bodyPr wrap="none" rtlCol="0">
                        <a:spAutoFit/>
                      </wps:bodyPr>
                    </wps:wsp>
                  </a:graphicData>
                </a:graphic>
              </wp:anchor>
            </w:drawing>
          </mc:Choice>
          <mc:Fallback>
            <w:pict>
              <v:shape id="CuadroTexto 15" o:spid="_x0000_s1029" type="#_x0000_t202" style="position:absolute;left:0;text-align:left;margin-left:210.9pt;margin-top:61.55pt;width:114.95pt;height:26.6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" filled="f" stroked="f">
                <v:textbox style="mso-fit-shape-to-text:t">
                  <w:txbxContent>
                    <w:p w14:paraId="7F3AFF57" w14:textId="77777777" w:rsidR="005029D0" w:rsidRDefault="005029D0" w:rsidP="006A0C4B">
                      <w:r>
                        <w:rPr>
                          <w:rFonts w:asciiTheme="minorHAnsi" w:hAnsi="Calibri" w:cstheme="minorBidi"/>
                          <w:b/>
                          <w:bCs/>
                          <w:color w:val="000000" w:themeColor="text1"/>
                          <w:kern w:val="24"/>
                          <w:sz w:val="32"/>
                          <w:szCs w:val="32"/>
                          <w:u w:val="single"/>
                        </w:rPr>
                        <w:t>Healthy effects</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668480" behindDoc="0" locked="0" layoutInCell="1" allowOverlap="1" wp14:anchorId="3369215D" wp14:editId="6331B8C3">
                <wp:simplePos x="0" y="0"/>
                <wp:positionH relativeFrom="column">
                  <wp:posOffset>2363470</wp:posOffset>
                </wp:positionH>
                <wp:positionV relativeFrom="paragraph">
                  <wp:posOffset>3684905</wp:posOffset>
                </wp:positionV>
                <wp:extent cx="1187889" cy="338554"/>
                <wp:effectExtent l="0" t="0" r="0" b="0"/>
                <wp:wrapNone/>
                <wp:docPr id="17" name="CuadroTexto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7A5F01-CA8F-4705-AB9F-FA9DC5C9F803}"/>
                    </a:ext>
                  </a:extLst>
                </wp:docPr>
                <wp:cNvGraphicFramePr/>
                <a:graphic xmlns:a="http://schemas.openxmlformats.org/drawingml/2006/main">
                  <a:graphicData uri="http://schemas.microsoft.com/office/word/2010/wordprocessingShape">
                    <wps:wsp>
                      <wps:cNvSpPr txBox="1"/>
                      <wps:spPr>
                        <a:xfrm>
                          <a:off x="0" y="0"/>
                          <a:ext cx="1187889" cy="338554"/>
                        </a:xfrm>
                        <a:prstGeom prst="rect">
                          <a:avLst/>
                        </a:prstGeom>
                        <a:noFill/>
                      </wps:spPr>
                      <wps:txbx>
                        <w:txbxContent>
                          <w:p w14:paraId="04FC996B" w14:textId="77777777" w:rsidR="005029D0" w:rsidRDefault="005029D0" w:rsidP="006A0C4B">
                            <w:r>
                              <w:rPr>
                                <w:rFonts w:asciiTheme="minorHAnsi" w:hAnsi="Calibri" w:cstheme="minorBidi"/>
                                <w:b/>
                                <w:bCs/>
                                <w:color w:val="000000" w:themeColor="text1"/>
                                <w:kern w:val="24"/>
                                <w:sz w:val="32"/>
                                <w:szCs w:val="32"/>
                                <w:u w:val="single"/>
                              </w:rPr>
                              <w:t>MSC effects</w:t>
                            </w:r>
                          </w:p>
                        </w:txbxContent>
                      </wps:txbx>
                      <wps:bodyPr wrap="none" rtlCol="0">
                        <a:spAutoFit/>
                      </wps:bodyPr>
                    </wps:wsp>
                  </a:graphicData>
                </a:graphic>
              </wp:anchor>
            </w:drawing>
          </mc:Choice>
          <mc:Fallback>
            <w:pict>
              <v:shape id="CuadroTexto 16" o:spid="_x0000_s1030" type="#_x0000_t202" style="position:absolute;left:0;text-align:left;margin-left:186.1pt;margin-top:290.15pt;width:93.55pt;height:26.6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" filled="f" stroked="f">
                <v:textbox style="mso-fit-shape-to-text:t">
                  <w:txbxContent>
                    <w:p w14:paraId="04FC996B" w14:textId="77777777" w:rsidR="005029D0" w:rsidRDefault="005029D0" w:rsidP="006A0C4B">
                      <w:r>
                        <w:rPr>
                          <w:rFonts w:asciiTheme="minorHAnsi" w:hAnsi="Calibri" w:cstheme="minorBidi"/>
                          <w:b/>
                          <w:bCs/>
                          <w:color w:val="000000" w:themeColor="text1"/>
                          <w:kern w:val="24"/>
                          <w:sz w:val="32"/>
                          <w:szCs w:val="32"/>
                          <w:u w:val="single"/>
                        </w:rPr>
                        <w:t>MSC effects</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669504" behindDoc="0" locked="0" layoutInCell="1" allowOverlap="1" wp14:anchorId="0589F1BA" wp14:editId="180B1ABB">
                <wp:simplePos x="0" y="0"/>
                <wp:positionH relativeFrom="column">
                  <wp:posOffset>1853565</wp:posOffset>
                </wp:positionH>
                <wp:positionV relativeFrom="paragraph">
                  <wp:posOffset>4013200</wp:posOffset>
                </wp:positionV>
                <wp:extent cx="210589" cy="817421"/>
                <wp:effectExtent l="12700" t="12700" r="18415" b="8255"/>
                <wp:wrapNone/>
                <wp:docPr id="18" name="Flecha: hacia abajo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815078-C285-472C-825D-A663AB07F1AA}"/>
                    </a:ext>
                  </a:extLst>
                </wp:docPr>
                <wp:cNvGraphicFramePr/>
                <a:graphic xmlns:a="http://schemas.openxmlformats.org/drawingml/2006/main">
                  <a:graphicData uri="http://schemas.microsoft.com/office/word/2010/wordprocessingShape">
                    <wps:wsp>
                      <wps:cNvSpPr/>
                      <wps:spPr>
                        <a:xfrm flipV="1">
                          <a:off x="0" y="0"/>
                          <a:ext cx="210589" cy="817421"/>
                        </a:xfrm>
                        <a:prstGeom prst="downArrow">
                          <a:avLst>
                            <a:gd name="adj1" fmla="val 50000"/>
                            <a:gd name="adj2" fmla="val 55263"/>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3379CD" id="Flecha: hacia abajo 17" o:spid="_x0000_s1026" type="#_x0000_t67" style="position:absolute;margin-left:145.95pt;margin-top:316pt;width:16.6pt;height:64.35pt;flip:y;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" adj="18525" fillcolor="black [3213]" strokecolor="black [3213]" strokeweight="1pt"/>
            </w:pict>
          </mc:Fallback>
        </mc:AlternateContent>
      </w:r>
      <w:r w:rsidRPr="00B7408D">
        <w:rPr>
          <w:rFonts w:ascii="Book Antiqua" w:hAnsi="Book Antiqua"/>
          <w:b/>
          <w:noProof/>
          <w:lang w:val="en-US" w:bidi="ar-SA"/>
        </w:rPr>
        <mc:AlternateContent>
          <mc:Choice Requires="wps">
            <w:drawing>
              <wp:anchor distT="0" distB="0" distL="114300" distR="114300" simplePos="0" relativeHeight="251670528" behindDoc="0" locked="0" layoutInCell="1" allowOverlap="1" wp14:anchorId="7D0D2736" wp14:editId="7CA6340E">
                <wp:simplePos x="0" y="0"/>
                <wp:positionH relativeFrom="column">
                  <wp:posOffset>923290</wp:posOffset>
                </wp:positionH>
                <wp:positionV relativeFrom="paragraph">
                  <wp:posOffset>1460500</wp:posOffset>
                </wp:positionV>
                <wp:extent cx="1352204" cy="312398"/>
                <wp:effectExtent l="0" t="25400" r="19685" b="94615"/>
                <wp:wrapNone/>
                <wp:docPr id="20" name="Forma libre: forma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EC31AA-2F7E-4747-9BAB-629500C408F6}"/>
                    </a:ext>
                  </a:extLst>
                </wp:docPr>
                <wp:cNvGraphicFramePr/>
                <a:graphic xmlns:a="http://schemas.openxmlformats.org/drawingml/2006/main">
                  <a:graphicData uri="http://schemas.microsoft.com/office/word/2010/wordprocessingShape">
                    <wps:wsp>
                      <wps:cNvSpPr/>
                      <wps:spPr>
                        <a:xfrm rot="21185514">
                          <a:off x="0" y="0"/>
                          <a:ext cx="1352204" cy="312398"/>
                        </a:xfrm>
                        <a:custGeom>
                          <a:avLst/>
                          <a:gdLst>
                            <a:gd name="connsiteX0" fmla="*/ 0 w 1296785"/>
                            <a:gd name="connsiteY0" fmla="*/ 256979 h 256979"/>
                            <a:gd name="connsiteX1" fmla="*/ 254923 w 1296785"/>
                            <a:gd name="connsiteY1" fmla="*/ 63015 h 256979"/>
                            <a:gd name="connsiteX2" fmla="*/ 698269 w 1296785"/>
                            <a:gd name="connsiteY2" fmla="*/ 2055 h 256979"/>
                            <a:gd name="connsiteX3" fmla="*/ 1180407 w 1296785"/>
                            <a:gd name="connsiteY3" fmla="*/ 123975 h 256979"/>
                            <a:gd name="connsiteX4" fmla="*/ 1296785 w 1296785"/>
                            <a:gd name="connsiteY4" fmla="*/ 157226 h 256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6785" h="256979">
                              <a:moveTo>
                                <a:pt x="0" y="256979"/>
                              </a:moveTo>
                              <a:cubicBezTo>
                                <a:pt x="69272" y="181240"/>
                                <a:pt x="138545" y="105502"/>
                                <a:pt x="254923" y="63015"/>
                              </a:cubicBezTo>
                              <a:cubicBezTo>
                                <a:pt x="371301" y="20528"/>
                                <a:pt x="544022" y="-8105"/>
                                <a:pt x="698269" y="2055"/>
                              </a:cubicBezTo>
                              <a:cubicBezTo>
                                <a:pt x="852516" y="12215"/>
                                <a:pt x="1080654" y="98113"/>
                                <a:pt x="1180407" y="123975"/>
                              </a:cubicBezTo>
                              <a:cubicBezTo>
                                <a:pt x="1280160" y="149837"/>
                                <a:pt x="1288472" y="153531"/>
                                <a:pt x="1296785" y="157226"/>
                              </a:cubicBezTo>
                            </a:path>
                          </a:pathLst>
                        </a:custGeom>
                        <a:noFill/>
                        <a:ln w="38100">
                          <a:solidFill>
                            <a:schemeClr val="tx1"/>
                          </a:solidFill>
                          <a:tailEnd type="triangle" w="lg"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0C3047" id="Forma libre: forma 19" o:spid="_x0000_s1026" style="position:absolute;margin-left:72.7pt;margin-top:115pt;width:106.45pt;height:24.6pt;rotation:-452729fd;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296785,256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" path="m,256979c69272,181240,138545,105502,254923,63015,371301,20528,544022,-8105,698269,2055v154247,10160,382385,96058,482138,121920c1280160,149837,1288472,153531,1296785,157226e" filled="f" strokecolor="black [3213]" strokeweight="3pt">
                <v:stroke endarrow="block" endarrowwidth="wide" joinstyle="miter"/>
                <v:path arrowok="t" o:connecttype="custom" o:connectlocs="0,312398;265817,76605;728110,2498;1230853,150711;1352204,191133" o:connectangles="0,0,0,0,0"/>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671552" behindDoc="0" locked="0" layoutInCell="1" allowOverlap="1" wp14:anchorId="0F27FD97" wp14:editId="0C38511E">
                <wp:simplePos x="0" y="0"/>
                <wp:positionH relativeFrom="column">
                  <wp:posOffset>356870</wp:posOffset>
                </wp:positionH>
                <wp:positionV relativeFrom="paragraph">
                  <wp:posOffset>3816350</wp:posOffset>
                </wp:positionV>
                <wp:extent cx="1352204" cy="312398"/>
                <wp:effectExtent l="0" t="406400" r="0" b="335915"/>
                <wp:wrapNone/>
                <wp:docPr id="21" name="Forma libre: forma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A067A4-BBBA-47CD-8E6C-0C376AE47E08}"/>
                    </a:ext>
                  </a:extLst>
                </wp:docPr>
                <wp:cNvGraphicFramePr/>
                <a:graphic xmlns:a="http://schemas.openxmlformats.org/drawingml/2006/main">
                  <a:graphicData uri="http://schemas.microsoft.com/office/word/2010/wordprocessingShape">
                    <wps:wsp>
                      <wps:cNvSpPr/>
                      <wps:spPr>
                        <a:xfrm rot="2410667" flipV="1">
                          <a:off x="0" y="0"/>
                          <a:ext cx="1352204" cy="312398"/>
                        </a:xfrm>
                        <a:custGeom>
                          <a:avLst/>
                          <a:gdLst>
                            <a:gd name="connsiteX0" fmla="*/ 0 w 1296785"/>
                            <a:gd name="connsiteY0" fmla="*/ 256979 h 256979"/>
                            <a:gd name="connsiteX1" fmla="*/ 254923 w 1296785"/>
                            <a:gd name="connsiteY1" fmla="*/ 63015 h 256979"/>
                            <a:gd name="connsiteX2" fmla="*/ 698269 w 1296785"/>
                            <a:gd name="connsiteY2" fmla="*/ 2055 h 256979"/>
                            <a:gd name="connsiteX3" fmla="*/ 1180407 w 1296785"/>
                            <a:gd name="connsiteY3" fmla="*/ 123975 h 256979"/>
                            <a:gd name="connsiteX4" fmla="*/ 1296785 w 1296785"/>
                            <a:gd name="connsiteY4" fmla="*/ 157226 h 256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6785" h="256979">
                              <a:moveTo>
                                <a:pt x="0" y="256979"/>
                              </a:moveTo>
                              <a:cubicBezTo>
                                <a:pt x="69272" y="181240"/>
                                <a:pt x="138545" y="105502"/>
                                <a:pt x="254923" y="63015"/>
                              </a:cubicBezTo>
                              <a:cubicBezTo>
                                <a:pt x="371301" y="20528"/>
                                <a:pt x="544022" y="-8105"/>
                                <a:pt x="698269" y="2055"/>
                              </a:cubicBezTo>
                              <a:cubicBezTo>
                                <a:pt x="852516" y="12215"/>
                                <a:pt x="1080654" y="98113"/>
                                <a:pt x="1180407" y="123975"/>
                              </a:cubicBezTo>
                              <a:cubicBezTo>
                                <a:pt x="1280160" y="149837"/>
                                <a:pt x="1288472" y="153531"/>
                                <a:pt x="1296785" y="157226"/>
                              </a:cubicBezTo>
                            </a:path>
                          </a:pathLst>
                        </a:custGeom>
                        <a:noFill/>
                        <a:ln w="38100">
                          <a:solidFill>
                            <a:schemeClr val="tx1"/>
                          </a:solidFill>
                          <a:prstDash val="sysDash"/>
                          <a:tailEnd type="triangle" w="lg"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F80C20" id="Forma libre: forma 20" o:spid="_x0000_s1026" style="position:absolute;margin-left:28.1pt;margin-top:300.5pt;width:106.45pt;height:24.6pt;rotation:-2633091fd;flip:y;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296785,256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" path="m,256979c69272,181240,138545,105502,254923,63015,371301,20528,544022,-8105,698269,2055v154247,10160,382385,96058,482138,121920c1280160,149837,1288472,153531,1296785,157226e" filled="f" strokecolor="black [3213]" strokeweight="3pt">
                <v:stroke dashstyle="3 1" endarrow="block" endarrowwidth="wide" joinstyle="miter"/>
                <v:path arrowok="t" o:connecttype="custom" o:connectlocs="0,312398;265817,76605;728110,2498;1230853,150711;1352204,191133" o:connectangles="0,0,0,0,0"/>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672576" behindDoc="0" locked="0" layoutInCell="1" allowOverlap="1" wp14:anchorId="678C9568" wp14:editId="174CA8C0">
                <wp:simplePos x="0" y="0"/>
                <wp:positionH relativeFrom="column">
                  <wp:posOffset>3636010</wp:posOffset>
                </wp:positionH>
                <wp:positionV relativeFrom="paragraph">
                  <wp:posOffset>3212465</wp:posOffset>
                </wp:positionV>
                <wp:extent cx="1352204" cy="312398"/>
                <wp:effectExtent l="12065" t="26035" r="31750" b="31750"/>
                <wp:wrapNone/>
                <wp:docPr id="22" name="Forma libre: forma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C7D0E3-ED98-4C67-A8B6-8D283FE19920}"/>
                    </a:ext>
                  </a:extLst>
                </wp:docPr>
                <wp:cNvGraphicFramePr/>
                <a:graphic xmlns:a="http://schemas.openxmlformats.org/drawingml/2006/main">
                  <a:graphicData uri="http://schemas.microsoft.com/office/word/2010/wordprocessingShape">
                    <wps:wsp>
                      <wps:cNvSpPr/>
                      <wps:spPr>
                        <a:xfrm rot="16200000" flipV="1">
                          <a:off x="0" y="0"/>
                          <a:ext cx="1352204" cy="312398"/>
                        </a:xfrm>
                        <a:custGeom>
                          <a:avLst/>
                          <a:gdLst>
                            <a:gd name="connsiteX0" fmla="*/ 0 w 1296785"/>
                            <a:gd name="connsiteY0" fmla="*/ 256979 h 256979"/>
                            <a:gd name="connsiteX1" fmla="*/ 254923 w 1296785"/>
                            <a:gd name="connsiteY1" fmla="*/ 63015 h 256979"/>
                            <a:gd name="connsiteX2" fmla="*/ 698269 w 1296785"/>
                            <a:gd name="connsiteY2" fmla="*/ 2055 h 256979"/>
                            <a:gd name="connsiteX3" fmla="*/ 1180407 w 1296785"/>
                            <a:gd name="connsiteY3" fmla="*/ 123975 h 256979"/>
                            <a:gd name="connsiteX4" fmla="*/ 1296785 w 1296785"/>
                            <a:gd name="connsiteY4" fmla="*/ 157226 h 256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6785" h="256979">
                              <a:moveTo>
                                <a:pt x="0" y="256979"/>
                              </a:moveTo>
                              <a:cubicBezTo>
                                <a:pt x="69272" y="181240"/>
                                <a:pt x="138545" y="105502"/>
                                <a:pt x="254923" y="63015"/>
                              </a:cubicBezTo>
                              <a:cubicBezTo>
                                <a:pt x="371301" y="20528"/>
                                <a:pt x="544022" y="-8105"/>
                                <a:pt x="698269" y="2055"/>
                              </a:cubicBezTo>
                              <a:cubicBezTo>
                                <a:pt x="852516" y="12215"/>
                                <a:pt x="1080654" y="98113"/>
                                <a:pt x="1180407" y="123975"/>
                              </a:cubicBezTo>
                              <a:cubicBezTo>
                                <a:pt x="1280160" y="149837"/>
                                <a:pt x="1288472" y="153531"/>
                                <a:pt x="1296785" y="157226"/>
                              </a:cubicBezTo>
                            </a:path>
                          </a:pathLst>
                        </a:custGeom>
                        <a:noFill/>
                        <a:ln w="38100">
                          <a:solidFill>
                            <a:schemeClr val="tx1"/>
                          </a:solidFill>
                          <a:prstDash val="sysDash"/>
                          <a:tailEnd type="triangle" w="lg"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5FEAD" id="Forma libre: forma 21" o:spid="_x0000_s1026" style="position:absolute;margin-left:286.3pt;margin-top:252.95pt;width:106.45pt;height:24.6pt;rotation:90;flip:y;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1296785,256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" path="m,256979c69272,181240,138545,105502,254923,63015,371301,20528,544022,-8105,698269,2055v154247,10160,382385,96058,482138,121920c1280160,149837,1288472,153531,1296785,157226e" filled="f" strokecolor="black [3213]" strokeweight="3pt">
                <v:stroke dashstyle="3 1" endarrow="block" endarrowwidth="wide" joinstyle="miter"/>
                <v:path arrowok="t" o:connecttype="custom" o:connectlocs="0,312398;265817,76605;728110,2498;1230853,150711;1352204,191133" o:connectangles="0,0,0,0,0"/>
              </v:shape>
            </w:pict>
          </mc:Fallback>
        </mc:AlternateContent>
      </w:r>
      <w:r w:rsidRPr="00B7408D">
        <w:rPr>
          <w:rFonts w:ascii="Book Antiqua" w:hAnsi="Book Antiqua"/>
          <w:b/>
          <w:noProof/>
          <w:lang w:val="en-US" w:bidi="ar-SA"/>
        </w:rPr>
        <w:drawing>
          <wp:anchor distT="0" distB="0" distL="114300" distR="114300" simplePos="0" relativeHeight="251673600" behindDoc="0" locked="0" layoutInCell="1" allowOverlap="1" wp14:anchorId="72F28BCA" wp14:editId="5DE9AD81">
            <wp:simplePos x="0" y="0"/>
            <wp:positionH relativeFrom="column">
              <wp:posOffset>57785</wp:posOffset>
            </wp:positionH>
            <wp:positionV relativeFrom="paragraph">
              <wp:posOffset>1718310</wp:posOffset>
            </wp:positionV>
            <wp:extent cx="851111" cy="1034845"/>
            <wp:effectExtent l="0" t="0" r="0" b="0"/>
            <wp:wrapNone/>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1"/>
                    <a:stretch>
                      <a:fillRect/>
                    </a:stretch>
                  </pic:blipFill>
                  <pic:spPr>
                    <a:xfrm>
                      <a:off x="0" y="0"/>
                      <a:ext cx="851111" cy="1034845"/>
                    </a:xfrm>
                    <a:prstGeom prst="rect">
                      <a:avLst/>
                    </a:prstGeom>
                  </pic:spPr>
                </pic:pic>
              </a:graphicData>
            </a:graphic>
          </wp:anchor>
        </w:drawing>
      </w:r>
      <w:r w:rsidRPr="00B7408D">
        <w:rPr>
          <w:rFonts w:ascii="Book Antiqua" w:hAnsi="Book Antiqua"/>
          <w:b/>
          <w:noProof/>
          <w:lang w:val="en-US" w:bidi="ar-SA"/>
        </w:rPr>
        <w:drawing>
          <wp:anchor distT="0" distB="0" distL="114300" distR="114300" simplePos="0" relativeHeight="251674624" behindDoc="0" locked="0" layoutInCell="1" allowOverlap="1" wp14:anchorId="68B22812" wp14:editId="15B81E32">
            <wp:simplePos x="0" y="0"/>
            <wp:positionH relativeFrom="column">
              <wp:posOffset>425450</wp:posOffset>
            </wp:positionH>
            <wp:positionV relativeFrom="paragraph">
              <wp:posOffset>0</wp:posOffset>
            </wp:positionV>
            <wp:extent cx="63500" cy="76200"/>
            <wp:effectExtent l="0" t="0" r="0" b="0"/>
            <wp:wrapNone/>
            <wp:docPr id="5"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B8A891-2A45-5747-A6A9-A85823EE66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B8A891-2A45-5747-A6A9-A85823EE6624}"/>
                        </a:ext>
                      </a:extLst>
                    </pic:cNvPr>
                    <pic:cNvPicPr>
                      <a:picLocks noChangeAspect="1"/>
                    </pic:cNvPicPr>
                  </pic:nvPicPr>
                  <pic:blipFill>
                    <a:blip r:link="rId12"/>
                    <a:stretch>
                      <a:fillRect/>
                    </a:stretch>
                  </pic:blipFill>
                  <pic:spPr>
                    <a:xfrm>
                      <a:off x="0" y="0"/>
                      <a:ext cx="63500" cy="76200"/>
                    </a:xfrm>
                    <a:prstGeom prst="rect">
                      <a:avLst/>
                    </a:prstGeom>
                  </pic:spPr>
                </pic:pic>
              </a:graphicData>
            </a:graphic>
          </wp:anchor>
        </w:drawing>
      </w:r>
    </w:p>
    <w:p w14:paraId="23C43D60"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3A734A11"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73ED3EDF"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6F91E2E6"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4ABA955A"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73008B03"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76E1F2D0"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552D1829"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3E04CDD0"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59587423"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316C38CF"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1FCC2BBA"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76B63FD4"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48BBB03C"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6364D053"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2D98FAE3"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60DD9E2B"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3109D14E"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60AF7693"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4664CC0E" w14:textId="355FF495" w:rsidR="006A0C4B" w:rsidRPr="00B7408D" w:rsidRDefault="006A0C4B" w:rsidP="006A0C4B">
      <w:pPr>
        <w:adjustRightInd w:val="0"/>
        <w:snapToGrid w:val="0"/>
        <w:spacing w:line="360" w:lineRule="auto"/>
        <w:ind w:right="-7"/>
        <w:jc w:val="both"/>
        <w:rPr>
          <w:rFonts w:ascii="Book Antiqua" w:hAnsi="Book Antiqua"/>
          <w:lang w:val="en-US"/>
        </w:rPr>
      </w:pPr>
      <w:r w:rsidRPr="00B7408D">
        <w:rPr>
          <w:rFonts w:ascii="Book Antiqua" w:hAnsi="Book Antiqua"/>
          <w:b/>
          <w:lang w:val="en-US"/>
        </w:rPr>
        <w:t>Figure 1</w:t>
      </w:r>
      <w:r w:rsidRPr="00B7408D">
        <w:rPr>
          <w:rFonts w:ascii="Book Antiqua" w:hAnsi="Book Antiqua"/>
          <w:lang w:val="en-US"/>
        </w:rPr>
        <w:t xml:space="preserve"> </w:t>
      </w:r>
      <w:r w:rsidRPr="00B7408D">
        <w:rPr>
          <w:rFonts w:ascii="Book Antiqua" w:hAnsi="Book Antiqua"/>
          <w:b/>
          <w:lang w:val="en-US"/>
        </w:rPr>
        <w:t xml:space="preserve">Effects of extra virgin olive oil on health and </w:t>
      </w:r>
      <w:r w:rsidR="00CF4CD7" w:rsidRPr="00B7408D">
        <w:rPr>
          <w:rFonts w:ascii="Book Antiqua" w:hAnsi="Book Antiqua"/>
          <w:b/>
          <w:lang w:val="en-US"/>
        </w:rPr>
        <w:t>mesenchymal stem cells</w:t>
      </w:r>
      <w:r w:rsidRPr="00B7408D">
        <w:rPr>
          <w:rFonts w:ascii="Book Antiqua" w:hAnsi="Book Antiqua"/>
          <w:b/>
          <w:lang w:val="en-US"/>
        </w:rPr>
        <w:t>.</w:t>
      </w:r>
      <w:r w:rsidRPr="00B7408D">
        <w:rPr>
          <w:rFonts w:ascii="Book Antiqua" w:hAnsi="Book Antiqua"/>
          <w:lang w:val="en-US"/>
        </w:rPr>
        <w:t xml:space="preserve"> Consumption of extra virgin olive oil has relevant health benefits, preventing cardiovascular and neurological pathologies, diabetes, and some types of cancer, and attenuating degenerative processes associated with aging, like osteoporosis, among others. Some of these healthy properties may be due to the modulation of biochemical pathways and positive effects of the constituents of this food on MSC populations. All that may have positive consequences for other cells, tissues, organs, and the whole organism. MSCs: </w:t>
      </w:r>
      <w:bookmarkStart w:id="15" w:name="_Hlk22542445"/>
      <w:r w:rsidRPr="00B7408D">
        <w:rPr>
          <w:rFonts w:ascii="Book Antiqua" w:hAnsi="Book Antiqua" w:cs="Arial"/>
          <w:lang w:val="en-US"/>
        </w:rPr>
        <w:t>Mesenchymal stem cells</w:t>
      </w:r>
      <w:bookmarkEnd w:id="15"/>
      <w:r w:rsidRPr="00B7408D">
        <w:rPr>
          <w:rFonts w:ascii="Book Antiqua" w:hAnsi="Book Antiqua" w:cs="Arial"/>
          <w:lang w:val="en-US"/>
        </w:rPr>
        <w:t>.</w:t>
      </w:r>
    </w:p>
    <w:p w14:paraId="23F50915" w14:textId="77777777" w:rsidR="006A0C4B" w:rsidRPr="00B7408D" w:rsidRDefault="006A0C4B" w:rsidP="006A0C4B">
      <w:pPr>
        <w:rPr>
          <w:rFonts w:ascii="Book Antiqua" w:hAnsi="Book Antiqua"/>
          <w:b/>
          <w:lang w:val="en-US"/>
        </w:rPr>
      </w:pPr>
      <w:r w:rsidRPr="00B7408D">
        <w:rPr>
          <w:rFonts w:ascii="Book Antiqua" w:hAnsi="Book Antiqua"/>
          <w:b/>
          <w:lang w:val="en-US"/>
        </w:rPr>
        <w:br w:type="page"/>
      </w:r>
    </w:p>
    <w:p w14:paraId="0A6A35DC" w14:textId="4B311825" w:rsidR="006A0C4B" w:rsidRPr="00B7408D" w:rsidRDefault="006A0C4B" w:rsidP="006A0C4B">
      <w:pPr>
        <w:adjustRightInd w:val="0"/>
        <w:snapToGrid w:val="0"/>
        <w:spacing w:line="360" w:lineRule="auto"/>
        <w:ind w:right="-7"/>
        <w:jc w:val="both"/>
        <w:rPr>
          <w:rFonts w:ascii="Book Antiqua" w:hAnsi="Book Antiqua"/>
          <w:b/>
          <w:lang w:val="en-US"/>
        </w:rPr>
      </w:pPr>
      <w:r w:rsidRPr="00B7408D">
        <w:rPr>
          <w:rFonts w:ascii="Book Antiqua" w:hAnsi="Book Antiqua"/>
          <w:b/>
          <w:noProof/>
          <w:lang w:val="en-US" w:bidi="ar-SA"/>
        </w:rPr>
        <w:lastRenderedPageBreak/>
        <mc:AlternateContent>
          <mc:Choice Requires="wps">
            <w:drawing>
              <wp:anchor distT="0" distB="0" distL="114300" distR="114300" simplePos="0" relativeHeight="251675648" behindDoc="0" locked="0" layoutInCell="1" allowOverlap="1" wp14:anchorId="536B2DF8" wp14:editId="51CF59B6">
                <wp:simplePos x="0" y="0"/>
                <wp:positionH relativeFrom="column">
                  <wp:posOffset>664210</wp:posOffset>
                </wp:positionH>
                <wp:positionV relativeFrom="paragraph">
                  <wp:posOffset>0</wp:posOffset>
                </wp:positionV>
                <wp:extent cx="4361387" cy="338554"/>
                <wp:effectExtent l="0" t="0" r="0" b="0"/>
                <wp:wrapNone/>
                <wp:docPr id="4" name="CuadroTexto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11A8AB-1013-4C1F-A43C-9A98CD0F9AAF}"/>
                    </a:ext>
                  </a:extLst>
                </wp:docPr>
                <wp:cNvGraphicFramePr/>
                <a:graphic xmlns:a="http://schemas.openxmlformats.org/drawingml/2006/main">
                  <a:graphicData uri="http://schemas.microsoft.com/office/word/2010/wordprocessingShape">
                    <wps:wsp>
                      <wps:cNvSpPr txBox="1"/>
                      <wps:spPr>
                        <a:xfrm>
                          <a:off x="0" y="0"/>
                          <a:ext cx="4361387" cy="338554"/>
                        </a:xfrm>
                        <a:prstGeom prst="rect">
                          <a:avLst/>
                        </a:prstGeom>
                        <a:noFill/>
                      </wps:spPr>
                      <wps:txbx>
                        <w:txbxContent>
                          <w:p w14:paraId="44181365" w14:textId="0D7F1FE9" w:rsidR="005029D0" w:rsidRPr="008B42A0" w:rsidRDefault="00FE2BE6" w:rsidP="006A0C4B">
                            <w:pPr>
                              <w:rPr>
                                <w:lang w:val="en-US"/>
                              </w:rPr>
                            </w:pPr>
                            <w:r w:rsidRPr="008B42A0">
                              <w:rPr>
                                <w:rFonts w:asciiTheme="minorHAnsi" w:hAnsi="Calibri" w:cstheme="minorBidi"/>
                                <w:b/>
                                <w:bCs/>
                                <w:color w:val="000000" w:themeColor="text1"/>
                                <w:kern w:val="24"/>
                                <w:sz w:val="32"/>
                                <w:szCs w:val="32"/>
                                <w:lang w:val="en-US"/>
                              </w:rPr>
                              <w:t>Saponifiable fraction of olive oil and msc</w:t>
                            </w:r>
                          </w:p>
                        </w:txbxContent>
                      </wps:txbx>
                      <wps:bodyPr wrap="none" rtlCol="0">
                        <a:spAutoFit/>
                      </wps:bodyPr>
                    </wps:wsp>
                  </a:graphicData>
                </a:graphic>
              </wp:anchor>
            </w:drawing>
          </mc:Choice>
          <mc:Fallback>
            <w:pict>
              <v:shape id="CuadroTexto 3" o:spid="_x0000_s1031" type="#_x0000_t202" style="position:absolute;left:0;text-align:left;margin-left:52.3pt;margin-top:0;width:343.4pt;height:26.6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" filled="f" stroked="f">
                <v:textbox style="mso-fit-shape-to-text:t">
                  <w:txbxContent>
                    <w:p w14:paraId="44181365" w14:textId="0D7F1FE9" w:rsidR="005029D0" w:rsidRPr="008B42A0" w:rsidRDefault="00FE2BE6" w:rsidP="006A0C4B">
                      <w:pPr>
                        <w:rPr>
                          <w:lang w:val="en-US"/>
                        </w:rPr>
                      </w:pPr>
                      <w:r w:rsidRPr="008B42A0">
                        <w:rPr>
                          <w:rFonts w:asciiTheme="minorHAnsi" w:hAnsi="Calibri" w:cstheme="minorBidi"/>
                          <w:b/>
                          <w:bCs/>
                          <w:color w:val="000000" w:themeColor="text1"/>
                          <w:kern w:val="24"/>
                          <w:sz w:val="32"/>
                          <w:szCs w:val="32"/>
                          <w:lang w:val="en-US"/>
                        </w:rPr>
                        <w:t>Saponifiable fraction of olive oil and msc</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676672" behindDoc="0" locked="0" layoutInCell="1" allowOverlap="1" wp14:anchorId="1AB1740F" wp14:editId="24BE2E3B">
                <wp:simplePos x="0" y="0"/>
                <wp:positionH relativeFrom="column">
                  <wp:posOffset>207010</wp:posOffset>
                </wp:positionH>
                <wp:positionV relativeFrom="paragraph">
                  <wp:posOffset>426085</wp:posOffset>
                </wp:positionV>
                <wp:extent cx="2015486" cy="261610"/>
                <wp:effectExtent l="0" t="0" r="0" b="0"/>
                <wp:wrapNone/>
                <wp:docPr id="79" name="CuadroTexto 7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241D9D-B6DC-4275-BD04-967DD2E41EC3}"/>
                    </a:ext>
                  </a:extLst>
                </wp:docPr>
                <wp:cNvGraphicFramePr/>
                <a:graphic xmlns:a="http://schemas.openxmlformats.org/drawingml/2006/main">
                  <a:graphicData uri="http://schemas.microsoft.com/office/word/2010/wordprocessingShape">
                    <wps:wsp>
                      <wps:cNvSpPr txBox="1"/>
                      <wps:spPr>
                        <a:xfrm>
                          <a:off x="0" y="0"/>
                          <a:ext cx="2015486" cy="261610"/>
                        </a:xfrm>
                        <a:prstGeom prst="rect">
                          <a:avLst/>
                        </a:prstGeom>
                        <a:noFill/>
                      </wps:spPr>
                      <wps:txbx>
                        <w:txbxContent>
                          <w:p w14:paraId="06F7BAB1" w14:textId="77777777" w:rsidR="005029D0" w:rsidRDefault="005029D0" w:rsidP="006A0C4B">
                            <w:r>
                              <w:rPr>
                                <w:rFonts w:asciiTheme="minorHAnsi" w:hAnsi="Calibri" w:cstheme="minorBidi"/>
                                <w:b/>
                                <w:bCs/>
                                <w:color w:val="000000" w:themeColor="text1"/>
                                <w:kern w:val="24"/>
                                <w:sz w:val="22"/>
                                <w:szCs w:val="22"/>
                                <w:u w:val="single"/>
                              </w:rPr>
                              <w:t>Unsaturated fatty acid (</w:t>
                            </w:r>
                            <w:r>
                              <w:rPr>
                                <w:rFonts w:ascii="Arial" w:hAnsi="Arial" w:cs="Arial"/>
                                <w:b/>
                                <w:bCs/>
                                <w:color w:val="000000" w:themeColor="text1"/>
                                <w:kern w:val="24"/>
                                <w:sz w:val="22"/>
                                <w:szCs w:val="22"/>
                                <w:u w:val="single"/>
                              </w:rPr>
                              <w:t>~</w:t>
                            </w:r>
                            <w:r>
                              <w:rPr>
                                <w:rFonts w:asciiTheme="minorHAnsi" w:hAnsi="Calibri" w:cstheme="minorBidi"/>
                                <w:b/>
                                <w:bCs/>
                                <w:color w:val="000000" w:themeColor="text1"/>
                                <w:kern w:val="24"/>
                                <w:sz w:val="22"/>
                                <w:szCs w:val="22"/>
                                <w:u w:val="single"/>
                              </w:rPr>
                              <w:t>85%)</w:t>
                            </w:r>
                          </w:p>
                        </w:txbxContent>
                      </wps:txbx>
                      <wps:bodyPr wrap="square" rtlCol="0">
                        <a:spAutoFit/>
                      </wps:bodyPr>
                    </wps:wsp>
                  </a:graphicData>
                </a:graphic>
              </wp:anchor>
            </w:drawing>
          </mc:Choice>
          <mc:Fallback>
            <w:pict>
              <v:shape id="CuadroTexto 78" o:spid="_x0000_s1032" type="#_x0000_t202" style="position:absolute;left:0;text-align:left;margin-left:16.3pt;margin-top:33.55pt;width:158.7pt;height:20.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" filled="f" stroked="f">
                <v:textbox style="mso-fit-shape-to-text:t">
                  <w:txbxContent>
                    <w:p w14:paraId="06F7BAB1" w14:textId="77777777" w:rsidR="005029D0" w:rsidRDefault="005029D0" w:rsidP="006A0C4B">
                      <w:r>
                        <w:rPr>
                          <w:rFonts w:asciiTheme="minorHAnsi" w:hAnsi="Calibri" w:cstheme="minorBidi"/>
                          <w:b/>
                          <w:bCs/>
                          <w:color w:val="000000" w:themeColor="text1"/>
                          <w:kern w:val="24"/>
                          <w:sz w:val="22"/>
                          <w:szCs w:val="22"/>
                          <w:u w:val="single"/>
                        </w:rPr>
                        <w:t>Unsaturated fatty acid (</w:t>
                      </w:r>
                      <w:r>
                        <w:rPr>
                          <w:rFonts w:ascii="Arial" w:hAnsi="Arial" w:cs="Arial"/>
                          <w:b/>
                          <w:bCs/>
                          <w:color w:val="000000" w:themeColor="text1"/>
                          <w:kern w:val="24"/>
                          <w:sz w:val="22"/>
                          <w:szCs w:val="22"/>
                          <w:u w:val="single"/>
                        </w:rPr>
                        <w:t>~</w:t>
                      </w:r>
                      <w:r>
                        <w:rPr>
                          <w:rFonts w:asciiTheme="minorHAnsi" w:hAnsi="Calibri" w:cstheme="minorBidi"/>
                          <w:b/>
                          <w:bCs/>
                          <w:color w:val="000000" w:themeColor="text1"/>
                          <w:kern w:val="24"/>
                          <w:sz w:val="22"/>
                          <w:szCs w:val="22"/>
                          <w:u w:val="single"/>
                        </w:rPr>
                        <w:t>85%)</w:t>
                      </w:r>
                    </w:p>
                  </w:txbxContent>
                </v:textbox>
              </v:shape>
            </w:pict>
          </mc:Fallback>
        </mc:AlternateContent>
      </w:r>
      <w:r w:rsidRPr="00B7408D">
        <w:rPr>
          <w:rFonts w:ascii="Book Antiqua" w:hAnsi="Book Antiqua"/>
          <w:b/>
          <w:noProof/>
          <w:lang w:val="en-US" w:bidi="ar-SA"/>
        </w:rPr>
        <w:drawing>
          <wp:anchor distT="0" distB="0" distL="114300" distR="114300" simplePos="0" relativeHeight="251677696" behindDoc="0" locked="0" layoutInCell="1" allowOverlap="1" wp14:anchorId="2F004B8D" wp14:editId="395F29F4">
            <wp:simplePos x="0" y="0"/>
            <wp:positionH relativeFrom="column">
              <wp:posOffset>1257935</wp:posOffset>
            </wp:positionH>
            <wp:positionV relativeFrom="paragraph">
              <wp:posOffset>1431925</wp:posOffset>
            </wp:positionV>
            <wp:extent cx="1485327" cy="196158"/>
            <wp:effectExtent l="0" t="0" r="635" b="0"/>
            <wp:wrapNone/>
            <wp:docPr id="198" name="Imagen 19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FD4855-2900-4A7C-B91E-EE629AEFDFE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n 19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FD4855-2900-4A7C-B91E-EE629AEFDFED}"/>
                        </a:ext>
                      </a:extLst>
                    </pic:cNvPr>
                    <pic:cNvPicPr preferRelativeResize="0">
                      <a:picLocks/>
                    </pic:cNvPicPr>
                  </pic:nvPicPr>
                  <pic:blipFill rotWithShape="1">
                    <a:blip r:embed="rId13"/>
                    <a:srcRect t="35605" b="35244"/>
                    <a:stretch/>
                  </pic:blipFill>
                  <pic:spPr>
                    <a:xfrm>
                      <a:off x="0" y="0"/>
                      <a:ext cx="1485327" cy="196158"/>
                    </a:xfrm>
                    <a:prstGeom prst="rect">
                      <a:avLst/>
                    </a:prstGeom>
                  </pic:spPr>
                </pic:pic>
              </a:graphicData>
            </a:graphic>
          </wp:anchor>
        </w:drawing>
      </w:r>
      <w:r w:rsidRPr="00B7408D">
        <w:rPr>
          <w:rFonts w:ascii="Book Antiqua" w:hAnsi="Book Antiqua"/>
          <w:b/>
          <w:noProof/>
          <w:lang w:val="en-US" w:bidi="ar-SA"/>
        </w:rPr>
        <w:drawing>
          <wp:anchor distT="0" distB="0" distL="114300" distR="114300" simplePos="0" relativeHeight="251678720" behindDoc="0" locked="0" layoutInCell="1" allowOverlap="1" wp14:anchorId="12D9454B" wp14:editId="344404F2">
            <wp:simplePos x="0" y="0"/>
            <wp:positionH relativeFrom="column">
              <wp:posOffset>1276350</wp:posOffset>
            </wp:positionH>
            <wp:positionV relativeFrom="paragraph">
              <wp:posOffset>1186180</wp:posOffset>
            </wp:positionV>
            <wp:extent cx="1422000" cy="242239"/>
            <wp:effectExtent l="0" t="0" r="635" b="0"/>
            <wp:wrapNone/>
            <wp:docPr id="199" name="Imagen 19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6C69FB-A9D4-4807-B417-E813FA667F3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n 19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6C69FB-A9D4-4807-B417-E813FA667F35}"/>
                        </a:ext>
                      </a:extLst>
                    </pic:cNvPr>
                    <pic:cNvPicPr preferRelativeResize="0">
                      <a:picLocks/>
                    </pic:cNvPicPr>
                  </pic:nvPicPr>
                  <pic:blipFill rotWithShape="1">
                    <a:blip r:embed="rId14"/>
                    <a:srcRect l="1847" t="32447" r="2329" b="30981"/>
                    <a:stretch/>
                  </pic:blipFill>
                  <pic:spPr>
                    <a:xfrm>
                      <a:off x="0" y="0"/>
                      <a:ext cx="1422000" cy="242239"/>
                    </a:xfrm>
                    <a:prstGeom prst="rect">
                      <a:avLst/>
                    </a:prstGeom>
                  </pic:spPr>
                </pic:pic>
              </a:graphicData>
            </a:graphic>
          </wp:anchor>
        </w:drawing>
      </w:r>
      <w:r w:rsidRPr="00B7408D">
        <w:rPr>
          <w:rFonts w:ascii="Book Antiqua" w:hAnsi="Book Antiqua"/>
          <w:b/>
          <w:noProof/>
          <w:lang w:val="en-US" w:bidi="ar-SA"/>
        </w:rPr>
        <w:drawing>
          <wp:anchor distT="0" distB="0" distL="114300" distR="114300" simplePos="0" relativeHeight="251679744" behindDoc="0" locked="0" layoutInCell="1" allowOverlap="1" wp14:anchorId="307E8252" wp14:editId="005A456E">
            <wp:simplePos x="0" y="0"/>
            <wp:positionH relativeFrom="column">
              <wp:posOffset>1268730</wp:posOffset>
            </wp:positionH>
            <wp:positionV relativeFrom="paragraph">
              <wp:posOffset>967740</wp:posOffset>
            </wp:positionV>
            <wp:extent cx="1422000" cy="216000"/>
            <wp:effectExtent l="0" t="0" r="635" b="0"/>
            <wp:wrapNone/>
            <wp:docPr id="200" name="Imagen 19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554C2B-B1CE-47D4-A16A-685A21CB292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n 19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554C2B-B1CE-47D4-A16A-685A21CB292B}"/>
                        </a:ext>
                      </a:extLst>
                    </pic:cNvPr>
                    <pic:cNvPicPr preferRelativeResize="0">
                      <a:picLocks/>
                    </pic:cNvPicPr>
                  </pic:nvPicPr>
                  <pic:blipFill rotWithShape="1">
                    <a:blip r:embed="rId15"/>
                    <a:srcRect l="2487" t="35787" b="35202"/>
                    <a:stretch/>
                  </pic:blipFill>
                  <pic:spPr>
                    <a:xfrm>
                      <a:off x="0" y="0"/>
                      <a:ext cx="1422000" cy="216000"/>
                    </a:xfrm>
                    <a:prstGeom prst="rect">
                      <a:avLst/>
                    </a:prstGeom>
                  </pic:spPr>
                </pic:pic>
              </a:graphicData>
            </a:graphic>
          </wp:anchor>
        </w:drawing>
      </w:r>
      <w:r w:rsidRPr="00B7408D">
        <w:rPr>
          <w:rFonts w:ascii="Book Antiqua" w:hAnsi="Book Antiqua"/>
          <w:b/>
          <w:noProof/>
          <w:lang w:val="en-US" w:bidi="ar-SA"/>
        </w:rPr>
        <w:drawing>
          <wp:anchor distT="0" distB="0" distL="114300" distR="114300" simplePos="0" relativeHeight="251680768" behindDoc="0" locked="0" layoutInCell="1" allowOverlap="1" wp14:anchorId="222644EF" wp14:editId="312F529A">
            <wp:simplePos x="0" y="0"/>
            <wp:positionH relativeFrom="column">
              <wp:posOffset>1261110</wp:posOffset>
            </wp:positionH>
            <wp:positionV relativeFrom="paragraph">
              <wp:posOffset>779145</wp:posOffset>
            </wp:positionV>
            <wp:extent cx="1422000" cy="181443"/>
            <wp:effectExtent l="0" t="0" r="635" b="0"/>
            <wp:wrapNone/>
            <wp:docPr id="201" name="Imagen 20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60DCA4-351B-43B5-A275-5A362C2EBDB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n 20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60DCA4-351B-43B5-A275-5A362C2EBDB2}"/>
                        </a:ext>
                      </a:extLst>
                    </pic:cNvPr>
                    <pic:cNvPicPr preferRelativeResize="0">
                      <a:picLocks/>
                    </pic:cNvPicPr>
                  </pic:nvPicPr>
                  <pic:blipFill rotWithShape="1">
                    <a:blip r:embed="rId16"/>
                    <a:srcRect l="2328" t="38425" b="38014"/>
                    <a:stretch/>
                  </pic:blipFill>
                  <pic:spPr>
                    <a:xfrm>
                      <a:off x="0" y="0"/>
                      <a:ext cx="1422000" cy="181443"/>
                    </a:xfrm>
                    <a:prstGeom prst="rect">
                      <a:avLst/>
                    </a:prstGeom>
                  </pic:spPr>
                </pic:pic>
              </a:graphicData>
            </a:graphic>
          </wp:anchor>
        </w:drawing>
      </w:r>
      <w:r w:rsidRPr="00B7408D">
        <w:rPr>
          <w:rFonts w:ascii="Book Antiqua" w:hAnsi="Book Antiqua"/>
          <w:b/>
          <w:noProof/>
          <w:lang w:val="en-US" w:bidi="ar-SA"/>
        </w:rPr>
        <mc:AlternateContent>
          <mc:Choice Requires="wps">
            <w:drawing>
              <wp:anchor distT="0" distB="0" distL="114300" distR="114300" simplePos="0" relativeHeight="251681792" behindDoc="0" locked="0" layoutInCell="1" allowOverlap="1" wp14:anchorId="7F80B4A2" wp14:editId="079EB120">
                <wp:simplePos x="0" y="0"/>
                <wp:positionH relativeFrom="column">
                  <wp:posOffset>0</wp:posOffset>
                </wp:positionH>
                <wp:positionV relativeFrom="paragraph">
                  <wp:posOffset>403860</wp:posOffset>
                </wp:positionV>
                <wp:extent cx="2844000" cy="1415846"/>
                <wp:effectExtent l="0" t="0" r="13970" b="6985"/>
                <wp:wrapNone/>
                <wp:docPr id="206" name="Rectángulo: esquinas redondeadas 20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FB3E35-8CA2-429A-A2D0-2DD8EC55AA15}"/>
                    </a:ext>
                  </a:extLst>
                </wp:docPr>
                <wp:cNvGraphicFramePr/>
                <a:graphic xmlns:a="http://schemas.openxmlformats.org/drawingml/2006/main">
                  <a:graphicData uri="http://schemas.microsoft.com/office/word/2010/wordprocessingShape">
                    <wps:wsp>
                      <wps:cNvSpPr/>
                      <wps:spPr>
                        <a:xfrm>
                          <a:off x="0" y="0"/>
                          <a:ext cx="2844000" cy="1415846"/>
                        </a:xfrm>
                        <a:prstGeom prst="roundRect">
                          <a:avLst>
                            <a:gd name="adj" fmla="val 32974"/>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7C71852" id="Rectángulo: esquinas redondeadas 205" o:spid="_x0000_s1026" style="position:absolute;margin-left:0;margin-top:31.8pt;width:223.95pt;height:111.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216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" filled="f" strokecolor="#0070c0" strokeweight="1pt">
                <v:stroke joinstyle="miter"/>
              </v:roundrect>
            </w:pict>
          </mc:Fallback>
        </mc:AlternateContent>
      </w:r>
      <w:r w:rsidRPr="00B7408D">
        <w:rPr>
          <w:rFonts w:ascii="Book Antiqua" w:hAnsi="Book Antiqua"/>
          <w:b/>
          <w:noProof/>
          <w:lang w:val="en-US" w:bidi="ar-SA"/>
        </w:rPr>
        <mc:AlternateContent>
          <mc:Choice Requires="wps">
            <w:drawing>
              <wp:anchor distT="0" distB="0" distL="114300" distR="114300" simplePos="0" relativeHeight="251682816" behindDoc="0" locked="0" layoutInCell="1" allowOverlap="1" wp14:anchorId="6DFDDF48" wp14:editId="3F6BB203">
                <wp:simplePos x="0" y="0"/>
                <wp:positionH relativeFrom="column">
                  <wp:posOffset>114300</wp:posOffset>
                </wp:positionH>
                <wp:positionV relativeFrom="paragraph">
                  <wp:posOffset>932815</wp:posOffset>
                </wp:positionV>
                <wp:extent cx="1271212" cy="246221"/>
                <wp:effectExtent l="0" t="0" r="0" b="0"/>
                <wp:wrapNone/>
                <wp:docPr id="82" name="CuadroTexto 8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EA84E7-5648-45B3-B8D1-FE5BBF79887B}"/>
                    </a:ext>
                  </a:extLst>
                </wp:docPr>
                <wp:cNvGraphicFramePr/>
                <a:graphic xmlns:a="http://schemas.openxmlformats.org/drawingml/2006/main">
                  <a:graphicData uri="http://schemas.microsoft.com/office/word/2010/wordprocessingShape">
                    <wps:wsp>
                      <wps:cNvSpPr txBox="1"/>
                      <wps:spPr>
                        <a:xfrm>
                          <a:off x="0" y="0"/>
                          <a:ext cx="1271212" cy="246221"/>
                        </a:xfrm>
                        <a:prstGeom prst="rect">
                          <a:avLst/>
                        </a:prstGeom>
                        <a:noFill/>
                      </wps:spPr>
                      <wps:txbx>
                        <w:txbxContent>
                          <w:p w14:paraId="6EE13562" w14:textId="77777777" w:rsidR="005029D0" w:rsidRDefault="005029D0" w:rsidP="006A0C4B">
                            <w:r>
                              <w:rPr>
                                <w:rFonts w:asciiTheme="minorHAnsi" w:hAnsi="Calibri" w:cstheme="minorBidi"/>
                                <w:color w:val="0070C0"/>
                                <w:kern w:val="24"/>
                                <w:sz w:val="20"/>
                                <w:szCs w:val="20"/>
                              </w:rPr>
                              <w:t>Linoleic acid (Lin)</w:t>
                            </w:r>
                          </w:p>
                        </w:txbxContent>
                      </wps:txbx>
                      <wps:bodyPr wrap="square" rtlCol="0">
                        <a:spAutoFit/>
                      </wps:bodyPr>
                    </wps:wsp>
                  </a:graphicData>
                </a:graphic>
              </wp:anchor>
            </w:drawing>
          </mc:Choice>
          <mc:Fallback>
            <w:pict>
              <v:shape id="CuadroTexto 81" o:spid="_x0000_s1033" type="#_x0000_t202" style="position:absolute;left:0;text-align:left;margin-left:9pt;margin-top:73.45pt;width:100.1pt;height:19.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" filled="f" stroked="f">
                <v:textbox style="mso-fit-shape-to-text:t">
                  <w:txbxContent>
                    <w:p w14:paraId="6EE13562" w14:textId="77777777" w:rsidR="005029D0" w:rsidRDefault="005029D0" w:rsidP="006A0C4B">
                      <w:r>
                        <w:rPr>
                          <w:rFonts w:asciiTheme="minorHAnsi" w:hAnsi="Calibri" w:cstheme="minorBidi"/>
                          <w:color w:val="0070C0"/>
                          <w:kern w:val="24"/>
                          <w:sz w:val="20"/>
                          <w:szCs w:val="20"/>
                        </w:rPr>
                        <w:t>Linoleic acid (Lin)</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683840" behindDoc="0" locked="0" layoutInCell="1" allowOverlap="1" wp14:anchorId="2198E373" wp14:editId="015A7BC3">
                <wp:simplePos x="0" y="0"/>
                <wp:positionH relativeFrom="column">
                  <wp:posOffset>76200</wp:posOffset>
                </wp:positionH>
                <wp:positionV relativeFrom="paragraph">
                  <wp:posOffset>1167130</wp:posOffset>
                </wp:positionV>
                <wp:extent cx="1620107" cy="246221"/>
                <wp:effectExtent l="0" t="0" r="0" b="0"/>
                <wp:wrapNone/>
                <wp:docPr id="83" name="CuadroTexto 8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6C964F-B363-4FE0-88C6-3BDA66E7DDFC}"/>
                    </a:ext>
                  </a:extLst>
                </wp:docPr>
                <wp:cNvGraphicFramePr/>
                <a:graphic xmlns:a="http://schemas.openxmlformats.org/drawingml/2006/main">
                  <a:graphicData uri="http://schemas.microsoft.com/office/word/2010/wordprocessingShape">
                    <wps:wsp>
                      <wps:cNvSpPr txBox="1"/>
                      <wps:spPr>
                        <a:xfrm>
                          <a:off x="0" y="0"/>
                          <a:ext cx="1620107" cy="246221"/>
                        </a:xfrm>
                        <a:prstGeom prst="rect">
                          <a:avLst/>
                        </a:prstGeom>
                        <a:noFill/>
                      </wps:spPr>
                      <wps:txbx>
                        <w:txbxContent>
                          <w:p w14:paraId="6C7B93ED" w14:textId="77777777" w:rsidR="005029D0" w:rsidRDefault="005029D0" w:rsidP="006A0C4B">
                            <w:r>
                              <w:rPr>
                                <w:rFonts w:asciiTheme="minorHAnsi" w:hAnsi="Calibri" w:cstheme="minorBidi"/>
                                <w:color w:val="0070C0"/>
                                <w:kern w:val="24"/>
                                <w:sz w:val="20"/>
                                <w:szCs w:val="20"/>
                              </w:rPr>
                              <w:t>Palmitoleic acid (Pal)</w:t>
                            </w:r>
                          </w:p>
                        </w:txbxContent>
                      </wps:txbx>
                      <wps:bodyPr wrap="square" rtlCol="0">
                        <a:spAutoFit/>
                      </wps:bodyPr>
                    </wps:wsp>
                  </a:graphicData>
                </a:graphic>
              </wp:anchor>
            </w:drawing>
          </mc:Choice>
          <mc:Fallback>
            <w:pict>
              <v:shape id="CuadroTexto 82" o:spid="_x0000_s1034" type="#_x0000_t202" style="position:absolute;left:0;text-align:left;margin-left:6pt;margin-top:91.9pt;width:127.55pt;height:19.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" filled="f" stroked="f">
                <v:textbox style="mso-fit-shape-to-text:t">
                  <w:txbxContent>
                    <w:p w14:paraId="6C7B93ED" w14:textId="77777777" w:rsidR="005029D0" w:rsidRDefault="005029D0" w:rsidP="006A0C4B">
                      <w:r>
                        <w:rPr>
                          <w:rFonts w:asciiTheme="minorHAnsi" w:hAnsi="Calibri" w:cstheme="minorBidi"/>
                          <w:color w:val="0070C0"/>
                          <w:kern w:val="24"/>
                          <w:sz w:val="20"/>
                          <w:szCs w:val="20"/>
                        </w:rPr>
                        <w:t>Palmitoleic acid (Pal)</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684864" behindDoc="0" locked="0" layoutInCell="1" allowOverlap="1" wp14:anchorId="074A982C" wp14:editId="53BC8988">
                <wp:simplePos x="0" y="0"/>
                <wp:positionH relativeFrom="column">
                  <wp:posOffset>67945</wp:posOffset>
                </wp:positionH>
                <wp:positionV relativeFrom="paragraph">
                  <wp:posOffset>1423035</wp:posOffset>
                </wp:positionV>
                <wp:extent cx="1620107" cy="246221"/>
                <wp:effectExtent l="0" t="0" r="0" b="0"/>
                <wp:wrapNone/>
                <wp:docPr id="84" name="CuadroTexto 8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D77A01-ED09-4828-A917-9401A27476A9}"/>
                    </a:ext>
                  </a:extLst>
                </wp:docPr>
                <wp:cNvGraphicFramePr/>
                <a:graphic xmlns:a="http://schemas.openxmlformats.org/drawingml/2006/main">
                  <a:graphicData uri="http://schemas.microsoft.com/office/word/2010/wordprocessingShape">
                    <wps:wsp>
                      <wps:cNvSpPr txBox="1"/>
                      <wps:spPr>
                        <a:xfrm>
                          <a:off x="0" y="0"/>
                          <a:ext cx="1620107" cy="246221"/>
                        </a:xfrm>
                        <a:prstGeom prst="rect">
                          <a:avLst/>
                        </a:prstGeom>
                        <a:noFill/>
                      </wps:spPr>
                      <wps:txbx>
                        <w:txbxContent>
                          <w:p w14:paraId="412C0558" w14:textId="77777777" w:rsidR="005029D0" w:rsidRDefault="005029D0" w:rsidP="006A0C4B">
                            <w:r>
                              <w:rPr>
                                <w:rFonts w:asciiTheme="minorHAnsi" w:hAnsi="Calibri" w:cstheme="minorBidi"/>
                                <w:color w:val="0070C0"/>
                                <w:kern w:val="24"/>
                                <w:sz w:val="20"/>
                                <w:szCs w:val="20"/>
                              </w:rPr>
                              <w:t>α</w:t>
                            </w:r>
                            <w:r>
                              <w:rPr>
                                <w:rFonts w:asciiTheme="minorHAnsi" w:hAnsi="Calibri" w:cstheme="minorBidi"/>
                                <w:color w:val="0070C0"/>
                                <w:kern w:val="24"/>
                                <w:sz w:val="20"/>
                                <w:szCs w:val="20"/>
                              </w:rPr>
                              <w:t>-linolenic acid (Lino)</w:t>
                            </w:r>
                          </w:p>
                        </w:txbxContent>
                      </wps:txbx>
                      <wps:bodyPr wrap="square" rtlCol="0">
                        <a:spAutoFit/>
                      </wps:bodyPr>
                    </wps:wsp>
                  </a:graphicData>
                </a:graphic>
              </wp:anchor>
            </w:drawing>
          </mc:Choice>
          <mc:Fallback>
            <w:pict>
              <v:shape id="CuadroTexto 83" o:spid="_x0000_s1035" type="#_x0000_t202" style="position:absolute;left:0;text-align:left;margin-left:5.35pt;margin-top:112.05pt;width:127.55pt;height:19.4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" filled="f" stroked="f">
                <v:textbox style="mso-fit-shape-to-text:t">
                  <w:txbxContent>
                    <w:p w14:paraId="412C0558" w14:textId="77777777" w:rsidR="005029D0" w:rsidRDefault="005029D0" w:rsidP="006A0C4B">
                      <w:r>
                        <w:rPr>
                          <w:rFonts w:asciiTheme="minorHAnsi" w:hAnsi="Calibri" w:cstheme="minorBidi"/>
                          <w:color w:val="0070C0"/>
                          <w:kern w:val="24"/>
                          <w:sz w:val="20"/>
                          <w:szCs w:val="20"/>
                        </w:rPr>
                        <w:t>α</w:t>
                      </w:r>
                      <w:r>
                        <w:rPr>
                          <w:rFonts w:asciiTheme="minorHAnsi" w:hAnsi="Calibri" w:cstheme="minorBidi"/>
                          <w:color w:val="0070C0"/>
                          <w:kern w:val="24"/>
                          <w:sz w:val="20"/>
                          <w:szCs w:val="20"/>
                        </w:rPr>
                        <w:t>-linolenic acid (Lino)</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686912" behindDoc="0" locked="0" layoutInCell="1" allowOverlap="1" wp14:anchorId="4C314B7C" wp14:editId="6C44732D">
                <wp:simplePos x="0" y="0"/>
                <wp:positionH relativeFrom="column">
                  <wp:posOffset>3272155</wp:posOffset>
                </wp:positionH>
                <wp:positionV relativeFrom="paragraph">
                  <wp:posOffset>430530</wp:posOffset>
                </wp:positionV>
                <wp:extent cx="1957666" cy="261610"/>
                <wp:effectExtent l="0" t="0" r="0" b="0"/>
                <wp:wrapNone/>
                <wp:docPr id="90" name="CuadroTexto 8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80CF5E-CC33-4FF6-AB2B-5AAEAD7B4D9D}"/>
                    </a:ext>
                  </a:extLst>
                </wp:docPr>
                <wp:cNvGraphicFramePr/>
                <a:graphic xmlns:a="http://schemas.openxmlformats.org/drawingml/2006/main">
                  <a:graphicData uri="http://schemas.microsoft.com/office/word/2010/wordprocessingShape">
                    <wps:wsp>
                      <wps:cNvSpPr txBox="1"/>
                      <wps:spPr>
                        <a:xfrm>
                          <a:off x="0" y="0"/>
                          <a:ext cx="1957666" cy="261610"/>
                        </a:xfrm>
                        <a:prstGeom prst="rect">
                          <a:avLst/>
                        </a:prstGeom>
                        <a:noFill/>
                      </wps:spPr>
                      <wps:txbx>
                        <w:txbxContent>
                          <w:p w14:paraId="041C09D0" w14:textId="77777777" w:rsidR="005029D0" w:rsidRDefault="005029D0" w:rsidP="006A0C4B">
                            <w:r>
                              <w:rPr>
                                <w:rFonts w:asciiTheme="minorHAnsi" w:hAnsi="Calibri" w:cstheme="minorBidi"/>
                                <w:b/>
                                <w:bCs/>
                                <w:color w:val="000000" w:themeColor="text1"/>
                                <w:kern w:val="24"/>
                                <w:sz w:val="22"/>
                                <w:szCs w:val="22"/>
                                <w:u w:val="single"/>
                              </w:rPr>
                              <w:t>Saturated fatty acid (</w:t>
                            </w:r>
                            <w:r>
                              <w:rPr>
                                <w:rFonts w:ascii="Arial" w:hAnsi="Arial" w:cs="Arial"/>
                                <w:b/>
                                <w:bCs/>
                                <w:color w:val="000000" w:themeColor="text1"/>
                                <w:kern w:val="24"/>
                                <w:sz w:val="22"/>
                                <w:szCs w:val="22"/>
                                <w:u w:val="single"/>
                              </w:rPr>
                              <w:t>~14.5</w:t>
                            </w:r>
                            <w:r>
                              <w:rPr>
                                <w:rFonts w:asciiTheme="minorHAnsi" w:hAnsi="Calibri" w:cstheme="minorBidi"/>
                                <w:b/>
                                <w:bCs/>
                                <w:color w:val="000000" w:themeColor="text1"/>
                                <w:kern w:val="24"/>
                                <w:sz w:val="22"/>
                                <w:szCs w:val="22"/>
                                <w:u w:val="single"/>
                              </w:rPr>
                              <w:t>%)</w:t>
                            </w:r>
                          </w:p>
                        </w:txbxContent>
                      </wps:txbx>
                      <wps:bodyPr wrap="square" rtlCol="0">
                        <a:spAutoFit/>
                      </wps:bodyPr>
                    </wps:wsp>
                  </a:graphicData>
                </a:graphic>
              </wp:anchor>
            </w:drawing>
          </mc:Choice>
          <mc:Fallback>
            <w:pict>
              <v:shape id="CuadroTexto 89" o:spid="_x0000_s1036" type="#_x0000_t202" style="position:absolute;left:0;text-align:left;margin-left:257.65pt;margin-top:33.9pt;width:154.15pt;height:20.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" filled="f" stroked="f">
                <v:textbox style="mso-fit-shape-to-text:t">
                  <w:txbxContent>
                    <w:p w14:paraId="041C09D0" w14:textId="77777777" w:rsidR="005029D0" w:rsidRDefault="005029D0" w:rsidP="006A0C4B">
                      <w:r>
                        <w:rPr>
                          <w:rFonts w:asciiTheme="minorHAnsi" w:hAnsi="Calibri" w:cstheme="minorBidi"/>
                          <w:b/>
                          <w:bCs/>
                          <w:color w:val="000000" w:themeColor="text1"/>
                          <w:kern w:val="24"/>
                          <w:sz w:val="22"/>
                          <w:szCs w:val="22"/>
                          <w:u w:val="single"/>
                        </w:rPr>
                        <w:t>Saturated fatty acid (</w:t>
                      </w:r>
                      <w:r>
                        <w:rPr>
                          <w:rFonts w:ascii="Arial" w:hAnsi="Arial" w:cs="Arial"/>
                          <w:b/>
                          <w:bCs/>
                          <w:color w:val="000000" w:themeColor="text1"/>
                          <w:kern w:val="24"/>
                          <w:sz w:val="22"/>
                          <w:szCs w:val="22"/>
                          <w:u w:val="single"/>
                        </w:rPr>
                        <w:t>~14.5</w:t>
                      </w:r>
                      <w:r>
                        <w:rPr>
                          <w:rFonts w:asciiTheme="minorHAnsi" w:hAnsi="Calibri" w:cstheme="minorBidi"/>
                          <w:b/>
                          <w:bCs/>
                          <w:color w:val="000000" w:themeColor="text1"/>
                          <w:kern w:val="24"/>
                          <w:sz w:val="22"/>
                          <w:szCs w:val="22"/>
                          <w:u w:val="single"/>
                        </w:rPr>
                        <w:t>%)</w:t>
                      </w:r>
                    </w:p>
                  </w:txbxContent>
                </v:textbox>
              </v:shape>
            </w:pict>
          </mc:Fallback>
        </mc:AlternateContent>
      </w:r>
      <w:r w:rsidRPr="00B7408D">
        <w:rPr>
          <w:rFonts w:ascii="Book Antiqua" w:hAnsi="Book Antiqua"/>
          <w:b/>
          <w:noProof/>
          <w:lang w:val="en-US" w:bidi="ar-SA"/>
        </w:rPr>
        <w:drawing>
          <wp:anchor distT="0" distB="0" distL="114300" distR="114300" simplePos="0" relativeHeight="251687936" behindDoc="0" locked="0" layoutInCell="1" allowOverlap="1" wp14:anchorId="4A84E432" wp14:editId="67333059">
            <wp:simplePos x="0" y="0"/>
            <wp:positionH relativeFrom="column">
              <wp:posOffset>4280535</wp:posOffset>
            </wp:positionH>
            <wp:positionV relativeFrom="paragraph">
              <wp:posOffset>755650</wp:posOffset>
            </wp:positionV>
            <wp:extent cx="1422000" cy="185744"/>
            <wp:effectExtent l="0" t="0" r="635" b="5080"/>
            <wp:wrapNone/>
            <wp:docPr id="204" name="Imagen 20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E3C03F-EBB2-4D7A-BAA2-006447B38AF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n 20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E3C03F-EBB2-4D7A-BAA2-006447B38AFE}"/>
                        </a:ext>
                      </a:extLst>
                    </pic:cNvPr>
                    <pic:cNvPicPr preferRelativeResize="0">
                      <a:picLocks/>
                    </pic:cNvPicPr>
                  </pic:nvPicPr>
                  <pic:blipFill rotWithShape="1">
                    <a:blip r:embed="rId17"/>
                    <a:srcRect l="2087" t="36491" r="2167" b="36784"/>
                    <a:stretch/>
                  </pic:blipFill>
                  <pic:spPr>
                    <a:xfrm>
                      <a:off x="0" y="0"/>
                      <a:ext cx="1422000" cy="185744"/>
                    </a:xfrm>
                    <a:prstGeom prst="rect">
                      <a:avLst/>
                    </a:prstGeom>
                  </pic:spPr>
                </pic:pic>
              </a:graphicData>
            </a:graphic>
          </wp:anchor>
        </w:drawing>
      </w:r>
      <w:r w:rsidRPr="00B7408D">
        <w:rPr>
          <w:rFonts w:ascii="Book Antiqua" w:hAnsi="Book Antiqua"/>
          <w:b/>
          <w:noProof/>
          <w:lang w:val="en-US" w:bidi="ar-SA"/>
        </w:rPr>
        <w:drawing>
          <wp:anchor distT="0" distB="0" distL="114300" distR="114300" simplePos="0" relativeHeight="251688960" behindDoc="0" locked="0" layoutInCell="1" allowOverlap="1" wp14:anchorId="31D2AC89" wp14:editId="7A31D450">
            <wp:simplePos x="0" y="0"/>
            <wp:positionH relativeFrom="column">
              <wp:posOffset>4293235</wp:posOffset>
            </wp:positionH>
            <wp:positionV relativeFrom="paragraph">
              <wp:posOffset>1003300</wp:posOffset>
            </wp:positionV>
            <wp:extent cx="1422000" cy="216000"/>
            <wp:effectExtent l="0" t="0" r="635" b="0"/>
            <wp:wrapNone/>
            <wp:docPr id="205" name="Imagen 20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E20EDE-C2D7-42CA-8503-83EB22161AC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n 20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E20EDE-C2D7-42CA-8503-83EB22161ACC}"/>
                        </a:ext>
                      </a:extLst>
                    </pic:cNvPr>
                    <pic:cNvPicPr preferRelativeResize="0">
                      <a:picLocks/>
                    </pic:cNvPicPr>
                  </pic:nvPicPr>
                  <pic:blipFill rotWithShape="1">
                    <a:blip r:embed="rId18"/>
                    <a:srcRect l="1769" t="34909" r="1848" b="35025"/>
                    <a:stretch/>
                  </pic:blipFill>
                  <pic:spPr>
                    <a:xfrm>
                      <a:off x="0" y="0"/>
                      <a:ext cx="1422000" cy="216000"/>
                    </a:xfrm>
                    <a:prstGeom prst="rect">
                      <a:avLst/>
                    </a:prstGeom>
                  </pic:spPr>
                </pic:pic>
              </a:graphicData>
            </a:graphic>
          </wp:anchor>
        </w:drawing>
      </w:r>
      <w:r w:rsidRPr="00B7408D">
        <w:rPr>
          <w:rFonts w:ascii="Book Antiqua" w:hAnsi="Book Antiqua"/>
          <w:b/>
          <w:noProof/>
          <w:lang w:val="en-US" w:bidi="ar-SA"/>
        </w:rPr>
        <mc:AlternateContent>
          <mc:Choice Requires="wps">
            <w:drawing>
              <wp:anchor distT="0" distB="0" distL="114300" distR="114300" simplePos="0" relativeHeight="251689984" behindDoc="0" locked="0" layoutInCell="1" allowOverlap="1" wp14:anchorId="64AB0B61" wp14:editId="10E06E12">
                <wp:simplePos x="0" y="0"/>
                <wp:positionH relativeFrom="column">
                  <wp:posOffset>2966720</wp:posOffset>
                </wp:positionH>
                <wp:positionV relativeFrom="paragraph">
                  <wp:posOffset>403860</wp:posOffset>
                </wp:positionV>
                <wp:extent cx="2844000" cy="1415846"/>
                <wp:effectExtent l="0" t="0" r="13970" b="6985"/>
                <wp:wrapNone/>
                <wp:docPr id="207" name="Rectángulo: esquinas redondeadas 20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7CA817-FFB5-444D-A1E8-52E9AB839772}"/>
                    </a:ext>
                  </a:extLst>
                </wp:docPr>
                <wp:cNvGraphicFramePr/>
                <a:graphic xmlns:a="http://schemas.openxmlformats.org/drawingml/2006/main">
                  <a:graphicData uri="http://schemas.microsoft.com/office/word/2010/wordprocessingShape">
                    <wps:wsp>
                      <wps:cNvSpPr/>
                      <wps:spPr>
                        <a:xfrm>
                          <a:off x="0" y="0"/>
                          <a:ext cx="2844000" cy="1415846"/>
                        </a:xfrm>
                        <a:prstGeom prst="roundRect">
                          <a:avLst>
                            <a:gd name="adj" fmla="val 32974"/>
                          </a:avLst>
                        </a:prstGeom>
                        <a:noFill/>
                        <a:ln>
                          <a:solidFill>
                            <a:srgbClr val="CC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F84493" id="Rectángulo: esquinas redondeadas 206" o:spid="_x0000_s1026" style="position:absolute;margin-left:233.6pt;margin-top:31.8pt;width:223.95pt;height:111.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216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" filled="f" strokecolor="#c00" strokeweight="1pt">
                <v:stroke joinstyle="miter"/>
              </v:roundrect>
            </w:pict>
          </mc:Fallback>
        </mc:AlternateContent>
      </w:r>
      <w:r w:rsidRPr="00B7408D">
        <w:rPr>
          <w:rFonts w:ascii="Book Antiqua" w:hAnsi="Book Antiqua"/>
          <w:b/>
          <w:noProof/>
          <w:lang w:val="en-US" w:bidi="ar-SA"/>
        </w:rPr>
        <mc:AlternateContent>
          <mc:Choice Requires="wps">
            <w:drawing>
              <wp:anchor distT="0" distB="0" distL="114300" distR="114300" simplePos="0" relativeHeight="251691008" behindDoc="0" locked="0" layoutInCell="1" allowOverlap="1" wp14:anchorId="0CEB5640" wp14:editId="3B588115">
                <wp:simplePos x="0" y="0"/>
                <wp:positionH relativeFrom="column">
                  <wp:posOffset>3171825</wp:posOffset>
                </wp:positionH>
                <wp:positionV relativeFrom="paragraph">
                  <wp:posOffset>1035685</wp:posOffset>
                </wp:positionV>
                <wp:extent cx="1409284" cy="246221"/>
                <wp:effectExtent l="0" t="0" r="0" b="0"/>
                <wp:wrapNone/>
                <wp:docPr id="88" name="CuadroTexto 8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3B4051-C1F7-4A40-84B6-1CE8EAAA284C}"/>
                    </a:ext>
                  </a:extLst>
                </wp:docPr>
                <wp:cNvGraphicFramePr/>
                <a:graphic xmlns:a="http://schemas.openxmlformats.org/drawingml/2006/main">
                  <a:graphicData uri="http://schemas.microsoft.com/office/word/2010/wordprocessingShape">
                    <wps:wsp>
                      <wps:cNvSpPr txBox="1"/>
                      <wps:spPr>
                        <a:xfrm>
                          <a:off x="0" y="0"/>
                          <a:ext cx="1409284" cy="246221"/>
                        </a:xfrm>
                        <a:prstGeom prst="rect">
                          <a:avLst/>
                        </a:prstGeom>
                        <a:noFill/>
                      </wps:spPr>
                      <wps:txbx>
                        <w:txbxContent>
                          <w:p w14:paraId="21028255" w14:textId="77777777" w:rsidR="005029D0" w:rsidRDefault="005029D0" w:rsidP="006A0C4B">
                            <w:r>
                              <w:rPr>
                                <w:rFonts w:asciiTheme="minorHAnsi" w:hAnsi="Calibri" w:cstheme="minorBidi"/>
                                <w:color w:val="CC0000"/>
                                <w:kern w:val="24"/>
                                <w:sz w:val="20"/>
                                <w:szCs w:val="20"/>
                              </w:rPr>
                              <w:t>Palmitic acid (Palm)</w:t>
                            </w:r>
                          </w:p>
                        </w:txbxContent>
                      </wps:txbx>
                      <wps:bodyPr wrap="square" rtlCol="0">
                        <a:spAutoFit/>
                      </wps:bodyPr>
                    </wps:wsp>
                  </a:graphicData>
                </a:graphic>
              </wp:anchor>
            </w:drawing>
          </mc:Choice>
          <mc:Fallback>
            <w:pict>
              <v:shape id="CuadroTexto 87" o:spid="_x0000_s1037" type="#_x0000_t202" style="position:absolute;left:0;text-align:left;margin-left:249.75pt;margin-top:81.55pt;width:110.95pt;height:19.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" filled="f" stroked="f">
                <v:textbox style="mso-fit-shape-to-text:t">
                  <w:txbxContent>
                    <w:p w14:paraId="21028255" w14:textId="77777777" w:rsidR="005029D0" w:rsidRDefault="005029D0" w:rsidP="006A0C4B">
                      <w:r>
                        <w:rPr>
                          <w:rFonts w:asciiTheme="minorHAnsi" w:hAnsi="Calibri" w:cstheme="minorBidi"/>
                          <w:color w:val="CC0000"/>
                          <w:kern w:val="24"/>
                          <w:sz w:val="20"/>
                          <w:szCs w:val="20"/>
                        </w:rPr>
                        <w:t>Palmitic acid (Palm)</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692032" behindDoc="0" locked="0" layoutInCell="1" allowOverlap="1" wp14:anchorId="4D5CE66F" wp14:editId="00010812">
                <wp:simplePos x="0" y="0"/>
                <wp:positionH relativeFrom="column">
                  <wp:posOffset>3171825</wp:posOffset>
                </wp:positionH>
                <wp:positionV relativeFrom="paragraph">
                  <wp:posOffset>768985</wp:posOffset>
                </wp:positionV>
                <wp:extent cx="1271435" cy="246221"/>
                <wp:effectExtent l="0" t="0" r="0" b="0"/>
                <wp:wrapNone/>
                <wp:docPr id="89" name="CuadroTexto 8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815A6E-5702-42F9-BE5A-AB50F732FADA}"/>
                    </a:ext>
                  </a:extLst>
                </wp:docPr>
                <wp:cNvGraphicFramePr/>
                <a:graphic xmlns:a="http://schemas.openxmlformats.org/drawingml/2006/main">
                  <a:graphicData uri="http://schemas.microsoft.com/office/word/2010/wordprocessingShape">
                    <wps:wsp>
                      <wps:cNvSpPr txBox="1"/>
                      <wps:spPr>
                        <a:xfrm>
                          <a:off x="0" y="0"/>
                          <a:ext cx="1271435" cy="246221"/>
                        </a:xfrm>
                        <a:prstGeom prst="rect">
                          <a:avLst/>
                        </a:prstGeom>
                        <a:noFill/>
                      </wps:spPr>
                      <wps:txbx>
                        <w:txbxContent>
                          <w:p w14:paraId="7FE3F475" w14:textId="77777777" w:rsidR="005029D0" w:rsidRDefault="005029D0" w:rsidP="006A0C4B">
                            <w:r>
                              <w:rPr>
                                <w:rFonts w:asciiTheme="minorHAnsi" w:hAnsi="Calibri" w:cstheme="minorBidi"/>
                                <w:color w:val="CC0000"/>
                                <w:kern w:val="24"/>
                                <w:sz w:val="20"/>
                                <w:szCs w:val="20"/>
                              </w:rPr>
                              <w:t>Stearic acid (Ste)</w:t>
                            </w:r>
                          </w:p>
                        </w:txbxContent>
                      </wps:txbx>
                      <wps:bodyPr wrap="square" rtlCol="0">
                        <a:spAutoFit/>
                      </wps:bodyPr>
                    </wps:wsp>
                  </a:graphicData>
                </a:graphic>
              </wp:anchor>
            </w:drawing>
          </mc:Choice>
          <mc:Fallback>
            <w:pict>
              <v:shape id="CuadroTexto 88" o:spid="_x0000_s1038" type="#_x0000_t202" style="position:absolute;left:0;text-align:left;margin-left:249.75pt;margin-top:60.55pt;width:100.1pt;height:19.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" filled="f" stroked="f">
                <v:textbox style="mso-fit-shape-to-text:t">
                  <w:txbxContent>
                    <w:p w14:paraId="7FE3F475" w14:textId="77777777" w:rsidR="005029D0" w:rsidRDefault="005029D0" w:rsidP="006A0C4B">
                      <w:r>
                        <w:rPr>
                          <w:rFonts w:asciiTheme="minorHAnsi" w:hAnsi="Calibri" w:cstheme="minorBidi"/>
                          <w:color w:val="CC0000"/>
                          <w:kern w:val="24"/>
                          <w:sz w:val="20"/>
                          <w:szCs w:val="20"/>
                        </w:rPr>
                        <w:t>Stearic acid (Ste)</w:t>
                      </w:r>
                    </w:p>
                  </w:txbxContent>
                </v:textbox>
              </v:shape>
            </w:pict>
          </mc:Fallback>
        </mc:AlternateContent>
      </w:r>
      <w:r w:rsidRPr="00B7408D">
        <w:rPr>
          <w:rFonts w:ascii="Book Antiqua" w:hAnsi="Book Antiqua"/>
          <w:b/>
          <w:noProof/>
          <w:lang w:val="en-US" w:bidi="ar-SA"/>
        </w:rPr>
        <mc:AlternateContent>
          <mc:Choice Requires="wpg">
            <w:drawing>
              <wp:anchor distT="0" distB="0" distL="114300" distR="114300" simplePos="0" relativeHeight="251693056" behindDoc="0" locked="0" layoutInCell="1" allowOverlap="1" wp14:anchorId="429F428D" wp14:editId="72C8F4E9">
                <wp:simplePos x="0" y="0"/>
                <wp:positionH relativeFrom="column">
                  <wp:posOffset>2602230</wp:posOffset>
                </wp:positionH>
                <wp:positionV relativeFrom="paragraph">
                  <wp:posOffset>1760855</wp:posOffset>
                </wp:positionV>
                <wp:extent cx="589071" cy="668072"/>
                <wp:effectExtent l="12700" t="12700" r="20955" b="43180"/>
                <wp:wrapNone/>
                <wp:docPr id="1" name="Grupo 212"/>
                <wp:cNvGraphicFramePr/>
                <a:graphic xmlns:a="http://schemas.openxmlformats.org/drawingml/2006/main">
                  <a:graphicData uri="http://schemas.microsoft.com/office/word/2010/wordprocessingGroup">
                    <wpg:wgp>
                      <wpg:cNvGrpSpPr/>
                      <wpg:grpSpPr>
                        <a:xfrm>
                          <a:off x="0" y="0"/>
                          <a:ext cx="589071" cy="668072"/>
                          <a:chOff x="2602551" y="1748662"/>
                          <a:chExt cx="589071" cy="668072"/>
                        </a:xfrm>
                      </wpg:grpSpPr>
                      <wps:wsp>
                        <wps:cNvPr id="13" name="Forma libre: forma 210"/>
                        <wps:cNvSpPr/>
                        <wps:spPr>
                          <a:xfrm>
                            <a:off x="2602551" y="1748662"/>
                            <a:ext cx="294848" cy="668072"/>
                          </a:xfrm>
                          <a:custGeom>
                            <a:avLst/>
                            <a:gdLst>
                              <a:gd name="connsiteX0" fmla="*/ 0 w 233821"/>
                              <a:gd name="connsiteY0" fmla="*/ 0 h 630750"/>
                              <a:gd name="connsiteX1" fmla="*/ 126897 w 233821"/>
                              <a:gd name="connsiteY1" fmla="*/ 100771 h 630750"/>
                              <a:gd name="connsiteX2" fmla="*/ 220203 w 233821"/>
                              <a:gd name="connsiteY2" fmla="*/ 328438 h 630750"/>
                              <a:gd name="connsiteX3" fmla="*/ 231400 w 233821"/>
                              <a:gd name="connsiteY3" fmla="*/ 630750 h 630750"/>
                            </a:gdLst>
                            <a:ahLst/>
                            <a:cxnLst>
                              <a:cxn ang="0">
                                <a:pos x="connsiteX0" y="connsiteY0"/>
                              </a:cxn>
                              <a:cxn ang="0">
                                <a:pos x="connsiteX1" y="connsiteY1"/>
                              </a:cxn>
                              <a:cxn ang="0">
                                <a:pos x="connsiteX2" y="connsiteY2"/>
                              </a:cxn>
                              <a:cxn ang="0">
                                <a:pos x="connsiteX3" y="connsiteY3"/>
                              </a:cxn>
                            </a:cxnLst>
                            <a:rect l="l" t="t" r="r" b="b"/>
                            <a:pathLst>
                              <a:path w="233821" h="630750">
                                <a:moveTo>
                                  <a:pt x="0" y="0"/>
                                </a:moveTo>
                                <a:cubicBezTo>
                                  <a:pt x="45098" y="23015"/>
                                  <a:pt x="90196" y="46031"/>
                                  <a:pt x="126897" y="100771"/>
                                </a:cubicBezTo>
                                <a:cubicBezTo>
                                  <a:pt x="163598" y="155511"/>
                                  <a:pt x="202786" y="240108"/>
                                  <a:pt x="220203" y="328438"/>
                                </a:cubicBezTo>
                                <a:cubicBezTo>
                                  <a:pt x="237620" y="416768"/>
                                  <a:pt x="234510" y="523759"/>
                                  <a:pt x="231400" y="630750"/>
                                </a:cubicBezTo>
                              </a:path>
                            </a:pathLst>
                          </a:custGeom>
                          <a:noFill/>
                          <a:ln w="38100">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Forma libre: forma 211"/>
                        <wps:cNvSpPr/>
                        <wps:spPr>
                          <a:xfrm flipH="1">
                            <a:off x="2896774" y="1748662"/>
                            <a:ext cx="294848" cy="668072"/>
                          </a:xfrm>
                          <a:custGeom>
                            <a:avLst/>
                            <a:gdLst>
                              <a:gd name="connsiteX0" fmla="*/ 0 w 233821"/>
                              <a:gd name="connsiteY0" fmla="*/ 0 h 630750"/>
                              <a:gd name="connsiteX1" fmla="*/ 126897 w 233821"/>
                              <a:gd name="connsiteY1" fmla="*/ 100771 h 630750"/>
                              <a:gd name="connsiteX2" fmla="*/ 220203 w 233821"/>
                              <a:gd name="connsiteY2" fmla="*/ 328438 h 630750"/>
                              <a:gd name="connsiteX3" fmla="*/ 231400 w 233821"/>
                              <a:gd name="connsiteY3" fmla="*/ 630750 h 630750"/>
                            </a:gdLst>
                            <a:ahLst/>
                            <a:cxnLst>
                              <a:cxn ang="0">
                                <a:pos x="connsiteX0" y="connsiteY0"/>
                              </a:cxn>
                              <a:cxn ang="0">
                                <a:pos x="connsiteX1" y="connsiteY1"/>
                              </a:cxn>
                              <a:cxn ang="0">
                                <a:pos x="connsiteX2" y="connsiteY2"/>
                              </a:cxn>
                              <a:cxn ang="0">
                                <a:pos x="connsiteX3" y="connsiteY3"/>
                              </a:cxn>
                            </a:cxnLst>
                            <a:rect l="l" t="t" r="r" b="b"/>
                            <a:pathLst>
                              <a:path w="233821" h="630750">
                                <a:moveTo>
                                  <a:pt x="0" y="0"/>
                                </a:moveTo>
                                <a:cubicBezTo>
                                  <a:pt x="45098" y="23015"/>
                                  <a:pt x="90196" y="46031"/>
                                  <a:pt x="126897" y="100771"/>
                                </a:cubicBezTo>
                                <a:cubicBezTo>
                                  <a:pt x="163598" y="155511"/>
                                  <a:pt x="202786" y="240108"/>
                                  <a:pt x="220203" y="328438"/>
                                </a:cubicBezTo>
                                <a:cubicBezTo>
                                  <a:pt x="237620" y="416768"/>
                                  <a:pt x="234510" y="523759"/>
                                  <a:pt x="231400" y="630750"/>
                                </a:cubicBezTo>
                              </a:path>
                            </a:pathLst>
                          </a:custGeom>
                          <a:noFill/>
                          <a:ln w="38100">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533F4F" id="Grupo 212" o:spid="_x0000_s1026" style="position:absolute;margin-left:204.9pt;margin-top:138.65pt;width:46.4pt;height:52.6pt;z-index:251693056" coordorigin="26025,17486" coordsize="589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">
                <v:shape id="Forma libre: forma 210" o:spid="_x0000_s1027" style="position:absolute;left:26025;top:17486;width:2948;height:6681;visibility:visible;mso-wrap-style:square;v-text-anchor:middle" coordsize="233821,63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" path="m,c45098,23015,90196,46031,126897,100771v36701,54740,75889,139337,93306,227667c237620,416768,234510,523759,231400,630750e" filled="f" strokecolor="black [3213]" strokeweight="3pt">
                  <v:stroke endarrow="block" joinstyle="miter"/>
                  <v:path arrowok="t" o:connecttype="custom" o:connectlocs="0,0;160017,106734;277676,347872;291795,668072" o:connectangles="0,0,0,0"/>
                </v:shape>
                <v:shape id="Forma libre: forma 211" o:spid="_x0000_s1028" style="position:absolute;left:28967;top:17486;width:2949;height:6681;flip:x;visibility:visible;mso-wrap-style:square;v-text-anchor:middle" coordsize="233821,63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" path="m,c45098,23015,90196,46031,126897,100771v36701,54740,75889,139337,93306,227667c237620,416768,234510,523759,231400,630750e" filled="f" strokecolor="black [3213]" strokeweight="3pt">
                  <v:stroke endarrow="block" joinstyle="miter"/>
                  <v:path arrowok="t" o:connecttype="custom" o:connectlocs="0,0;160017,106734;277676,347872;291795,668072" o:connectangles="0,0,0,0"/>
                </v:shape>
              </v:group>
            </w:pict>
          </mc:Fallback>
        </mc:AlternateContent>
      </w:r>
      <w:r w:rsidRPr="00B7408D">
        <w:rPr>
          <w:rFonts w:ascii="Book Antiqua" w:hAnsi="Book Antiqua"/>
          <w:b/>
          <w:noProof/>
          <w:lang w:val="en-US" w:bidi="ar-SA"/>
        </w:rPr>
        <w:drawing>
          <wp:anchor distT="0" distB="0" distL="114300" distR="114300" simplePos="0" relativeHeight="251694080" behindDoc="0" locked="0" layoutInCell="1" allowOverlap="1" wp14:anchorId="2268869B" wp14:editId="1F00BACF">
            <wp:simplePos x="0" y="0"/>
            <wp:positionH relativeFrom="column">
              <wp:posOffset>2065655</wp:posOffset>
            </wp:positionH>
            <wp:positionV relativeFrom="paragraph">
              <wp:posOffset>2545080</wp:posOffset>
            </wp:positionV>
            <wp:extent cx="1601377" cy="573869"/>
            <wp:effectExtent l="0" t="0" r="0" b="0"/>
            <wp:wrapNone/>
            <wp:docPr id="96" name="Imagen 9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F5A9B5-6536-472A-B541-5E467B2CBC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 9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F5A9B5-6536-472A-B541-5E467B2CBCE3}"/>
                        </a:ext>
                      </a:extLst>
                    </pic:cNvPr>
                    <pic:cNvPicPr>
                      <a:picLocks noChangeAspect="1"/>
                    </pic:cNvPicPr>
                  </pic:nvPicPr>
                  <pic:blipFill>
                    <a:blip r:embed="rId19"/>
                    <a:stretch>
                      <a:fillRect/>
                    </a:stretch>
                  </pic:blipFill>
                  <pic:spPr>
                    <a:xfrm>
                      <a:off x="0" y="0"/>
                      <a:ext cx="1601377" cy="573869"/>
                    </a:xfrm>
                    <a:prstGeom prst="rect">
                      <a:avLst/>
                    </a:prstGeom>
                  </pic:spPr>
                </pic:pic>
              </a:graphicData>
            </a:graphic>
          </wp:anchor>
        </w:drawing>
      </w:r>
      <w:r w:rsidRPr="00B7408D">
        <w:rPr>
          <w:rFonts w:ascii="Book Antiqua" w:hAnsi="Book Antiqua"/>
          <w:b/>
          <w:noProof/>
          <w:lang w:val="en-US" w:bidi="ar-SA"/>
        </w:rPr>
        <mc:AlternateContent>
          <mc:Choice Requires="wps">
            <w:drawing>
              <wp:anchor distT="0" distB="0" distL="114300" distR="114300" simplePos="0" relativeHeight="251695104" behindDoc="0" locked="0" layoutInCell="1" allowOverlap="1" wp14:anchorId="7A0B4A26" wp14:editId="1E28816D">
                <wp:simplePos x="0" y="0"/>
                <wp:positionH relativeFrom="column">
                  <wp:posOffset>2639060</wp:posOffset>
                </wp:positionH>
                <wp:positionV relativeFrom="paragraph">
                  <wp:posOffset>3134360</wp:posOffset>
                </wp:positionV>
                <wp:extent cx="521297" cy="307777"/>
                <wp:effectExtent l="0" t="0" r="0" b="0"/>
                <wp:wrapNone/>
                <wp:docPr id="97" name="CuadroTexto 9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A0164D-C823-4B8B-BEC3-2E0F1360AD6A}"/>
                    </a:ext>
                  </a:extLst>
                </wp:docPr>
                <wp:cNvGraphicFramePr/>
                <a:graphic xmlns:a="http://schemas.openxmlformats.org/drawingml/2006/main">
                  <a:graphicData uri="http://schemas.microsoft.com/office/word/2010/wordprocessingShape">
                    <wps:wsp>
                      <wps:cNvSpPr txBox="1"/>
                      <wps:spPr>
                        <a:xfrm>
                          <a:off x="0" y="0"/>
                          <a:ext cx="521297" cy="307777"/>
                        </a:xfrm>
                        <a:prstGeom prst="rect">
                          <a:avLst/>
                        </a:prstGeom>
                        <a:noFill/>
                      </wps:spPr>
                      <wps:txbx>
                        <w:txbxContent>
                          <w:p w14:paraId="3BD08D0F" w14:textId="77777777" w:rsidR="005029D0" w:rsidRDefault="005029D0" w:rsidP="006A0C4B">
                            <w:r>
                              <w:rPr>
                                <w:rFonts w:asciiTheme="minorHAnsi" w:hAnsi="Calibri" w:cstheme="minorBidi"/>
                                <w:b/>
                                <w:bCs/>
                                <w:color w:val="000000" w:themeColor="text1"/>
                                <w:kern w:val="24"/>
                                <w:sz w:val="28"/>
                                <w:szCs w:val="28"/>
                              </w:rPr>
                              <w:t>MSC</w:t>
                            </w:r>
                          </w:p>
                        </w:txbxContent>
                      </wps:txbx>
                      <wps:bodyPr wrap="none" rtlCol="0">
                        <a:spAutoFit/>
                      </wps:bodyPr>
                    </wps:wsp>
                  </a:graphicData>
                </a:graphic>
              </wp:anchor>
            </w:drawing>
          </mc:Choice>
          <mc:Fallback>
            <w:pict>
              <v:shape id="CuadroTexto 96" o:spid="_x0000_s1039" type="#_x0000_t202" style="position:absolute;left:0;text-align:left;margin-left:207.8pt;margin-top:246.8pt;width:41.05pt;height:24.25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" filled="f" stroked="f">
                <v:textbox style="mso-fit-shape-to-text:t">
                  <w:txbxContent>
                    <w:p w14:paraId="3BD08D0F" w14:textId="77777777" w:rsidR="005029D0" w:rsidRDefault="005029D0" w:rsidP="006A0C4B">
                      <w:r>
                        <w:rPr>
                          <w:rFonts w:asciiTheme="minorHAnsi" w:hAnsi="Calibri" w:cstheme="minorBidi"/>
                          <w:b/>
                          <w:bCs/>
                          <w:color w:val="000000" w:themeColor="text1"/>
                          <w:kern w:val="24"/>
                          <w:sz w:val="28"/>
                          <w:szCs w:val="28"/>
                        </w:rPr>
                        <w:t>MSC</w:t>
                      </w:r>
                    </w:p>
                  </w:txbxContent>
                </v:textbox>
              </v:shape>
            </w:pict>
          </mc:Fallback>
        </mc:AlternateContent>
      </w:r>
      <w:r w:rsidRPr="00B7408D">
        <w:rPr>
          <w:rFonts w:ascii="Book Antiqua" w:hAnsi="Book Antiqua"/>
          <w:b/>
          <w:noProof/>
          <w:lang w:val="en-US" w:bidi="ar-SA"/>
        </w:rPr>
        <mc:AlternateContent>
          <mc:Choice Requires="wpg">
            <w:drawing>
              <wp:anchor distT="0" distB="0" distL="114300" distR="114300" simplePos="0" relativeHeight="251696128" behindDoc="0" locked="0" layoutInCell="1" allowOverlap="1" wp14:anchorId="12FA028D" wp14:editId="1C40876F">
                <wp:simplePos x="0" y="0"/>
                <wp:positionH relativeFrom="column">
                  <wp:posOffset>598170</wp:posOffset>
                </wp:positionH>
                <wp:positionV relativeFrom="paragraph">
                  <wp:posOffset>3175000</wp:posOffset>
                </wp:positionV>
                <wp:extent cx="2052000" cy="1728930"/>
                <wp:effectExtent l="38100" t="0" r="18415" b="36830"/>
                <wp:wrapNone/>
                <wp:docPr id="8" name="Grupo 97"/>
                <wp:cNvGraphicFramePr/>
                <a:graphic xmlns:a="http://schemas.openxmlformats.org/drawingml/2006/main">
                  <a:graphicData uri="http://schemas.microsoft.com/office/word/2010/wordprocessingGroup">
                    <wpg:wgp>
                      <wpg:cNvGrpSpPr/>
                      <wpg:grpSpPr>
                        <a:xfrm>
                          <a:off x="0" y="0"/>
                          <a:ext cx="2052000" cy="1728930"/>
                          <a:chOff x="598586" y="3175326"/>
                          <a:chExt cx="2262588" cy="1728930"/>
                        </a:xfrm>
                      </wpg:grpSpPr>
                      <wps:wsp>
                        <wps:cNvPr id="24" name="Conector: angular 103"/>
                        <wps:cNvCnPr>
                          <a:cxnSpLocks/>
                        </wps:cNvCnPr>
                        <wps:spPr>
                          <a:xfrm rot="5400000">
                            <a:off x="778586" y="2995326"/>
                            <a:ext cx="1728000" cy="2088000"/>
                          </a:xfrm>
                          <a:prstGeom prst="bentConnector3">
                            <a:avLst>
                              <a:gd name="adj1" fmla="val 6812"/>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Conector: angular 105"/>
                        <wps:cNvCnPr>
                          <a:cxnSpLocks/>
                        </wps:cNvCnPr>
                        <wps:spPr>
                          <a:xfrm rot="5400000">
                            <a:off x="1250549" y="3392256"/>
                            <a:ext cx="1692000" cy="1332000"/>
                          </a:xfrm>
                          <a:prstGeom prst="bentConnector3">
                            <a:avLst>
                              <a:gd name="adj1" fmla="val 1076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Conector: angular 109"/>
                        <wps:cNvCnPr>
                          <a:cxnSpLocks/>
                        </wps:cNvCnPr>
                        <wps:spPr>
                          <a:xfrm rot="5400000">
                            <a:off x="1763174" y="3806256"/>
                            <a:ext cx="1656000" cy="540000"/>
                          </a:xfrm>
                          <a:prstGeom prst="bentConnector3">
                            <a:avLst>
                              <a:gd name="adj1" fmla="val 14989"/>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241646" id="Grupo 97" o:spid="_x0000_s1026" style="position:absolute;margin-left:47.1pt;margin-top:250pt;width:161.55pt;height:136.15pt;z-index:251696128" coordorigin="5985,31753" coordsize="22625,1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03" o:spid="_x0000_s1027" type="#_x0000_t34" style="position:absolute;left:7785;top:29953;width:17280;height:2088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" adj="1471" strokecolor="black [3213]" strokeweight="1.5pt">
                  <v:stroke endarrow="block"/>
                  <o:lock v:ext="edit" shapetype="f"/>
                </v:shape>
                <v:shape id="Conector: angular 105" o:spid="_x0000_s1028" type="#_x0000_t34" style="position:absolute;left:12505;top:33922;width:16920;height:133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" adj="2324" strokecolor="black [3213]" strokeweight="1.5pt">
                  <v:stroke endarrow="block"/>
                  <o:lock v:ext="edit" shapetype="f"/>
                </v:shape>
                <v:shape id="Conector: angular 109" o:spid="_x0000_s1029" type="#_x0000_t34" style="position:absolute;left:17631;top:38062;width:16560;height:540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" adj="3238" strokecolor="black [3213]" strokeweight="1.5pt">
                  <v:stroke endarrow="block"/>
                  <o:lock v:ext="edit" shapetype="f"/>
                </v:shape>
              </v:group>
            </w:pict>
          </mc:Fallback>
        </mc:AlternateContent>
      </w:r>
      <w:r w:rsidRPr="00B7408D">
        <w:rPr>
          <w:rFonts w:ascii="Book Antiqua" w:hAnsi="Book Antiqua"/>
          <w:b/>
          <w:noProof/>
          <w:lang w:val="en-US" w:bidi="ar-SA"/>
        </w:rPr>
        <mc:AlternateContent>
          <mc:Choice Requires="wpg">
            <w:drawing>
              <wp:anchor distT="0" distB="0" distL="114300" distR="114300" simplePos="0" relativeHeight="251697152" behindDoc="0" locked="0" layoutInCell="1" allowOverlap="1" wp14:anchorId="7298673E" wp14:editId="5BBD9F05">
                <wp:simplePos x="0" y="0"/>
                <wp:positionH relativeFrom="column">
                  <wp:posOffset>4142105</wp:posOffset>
                </wp:positionH>
                <wp:positionV relativeFrom="paragraph">
                  <wp:posOffset>4997450</wp:posOffset>
                </wp:positionV>
                <wp:extent cx="614712" cy="291484"/>
                <wp:effectExtent l="0" t="0" r="0" b="635"/>
                <wp:wrapNone/>
                <wp:docPr id="9" name="Grupo 110"/>
                <wp:cNvGraphicFramePr/>
                <a:graphic xmlns:a="http://schemas.openxmlformats.org/drawingml/2006/main">
                  <a:graphicData uri="http://schemas.microsoft.com/office/word/2010/wordprocessingGroup">
                    <wpg:wgp>
                      <wpg:cNvGrpSpPr/>
                      <wpg:grpSpPr>
                        <a:xfrm>
                          <a:off x="0" y="0"/>
                          <a:ext cx="614712" cy="291484"/>
                          <a:chOff x="4142160" y="4997910"/>
                          <a:chExt cx="614712" cy="291484"/>
                        </a:xfrm>
                      </wpg:grpSpPr>
                      <pic:pic xmlns:pic="http://schemas.openxmlformats.org/drawingml/2006/picture">
                        <pic:nvPicPr>
                          <pic:cNvPr id="28" name="Imagen 111"/>
                          <pic:cNvPicPr>
                            <a:picLocks noChangeAspect="1"/>
                          </pic:cNvPicPr>
                        </pic:nvPicPr>
                        <pic:blipFill>
                          <a:blip r:embed="rId19"/>
                          <a:stretch>
                            <a:fillRect/>
                          </a:stretch>
                        </pic:blipFill>
                        <pic:spPr>
                          <a:xfrm>
                            <a:off x="4142160" y="4997910"/>
                            <a:ext cx="319323" cy="114432"/>
                          </a:xfrm>
                          <a:prstGeom prst="rect">
                            <a:avLst/>
                          </a:prstGeom>
                        </pic:spPr>
                      </pic:pic>
                      <pic:pic xmlns:pic="http://schemas.openxmlformats.org/drawingml/2006/picture">
                        <pic:nvPicPr>
                          <pic:cNvPr id="29" name="Imagen 112"/>
                          <pic:cNvPicPr>
                            <a:picLocks noChangeAspect="1"/>
                          </pic:cNvPicPr>
                        </pic:nvPicPr>
                        <pic:blipFill>
                          <a:blip r:embed="rId19"/>
                          <a:stretch>
                            <a:fillRect/>
                          </a:stretch>
                        </pic:blipFill>
                        <pic:spPr>
                          <a:xfrm>
                            <a:off x="4193706" y="5116692"/>
                            <a:ext cx="319323" cy="114432"/>
                          </a:xfrm>
                          <a:prstGeom prst="rect">
                            <a:avLst/>
                          </a:prstGeom>
                        </pic:spPr>
                      </pic:pic>
                      <pic:pic xmlns:pic="http://schemas.openxmlformats.org/drawingml/2006/picture">
                        <pic:nvPicPr>
                          <pic:cNvPr id="30" name="Imagen 113"/>
                          <pic:cNvPicPr>
                            <a:picLocks noChangeAspect="1"/>
                          </pic:cNvPicPr>
                        </pic:nvPicPr>
                        <pic:blipFill>
                          <a:blip r:embed="rId19"/>
                          <a:stretch>
                            <a:fillRect/>
                          </a:stretch>
                        </pic:blipFill>
                        <pic:spPr>
                          <a:xfrm>
                            <a:off x="4426790" y="5174962"/>
                            <a:ext cx="319323" cy="114432"/>
                          </a:xfrm>
                          <a:prstGeom prst="rect">
                            <a:avLst/>
                          </a:prstGeom>
                        </pic:spPr>
                      </pic:pic>
                      <pic:pic xmlns:pic="http://schemas.openxmlformats.org/drawingml/2006/picture">
                        <pic:nvPicPr>
                          <pic:cNvPr id="31" name="Imagen 115"/>
                          <pic:cNvPicPr>
                            <a:picLocks noChangeAspect="1"/>
                          </pic:cNvPicPr>
                        </pic:nvPicPr>
                        <pic:blipFill>
                          <a:blip r:embed="rId19"/>
                          <a:stretch>
                            <a:fillRect/>
                          </a:stretch>
                        </pic:blipFill>
                        <pic:spPr>
                          <a:xfrm>
                            <a:off x="4437549" y="5009412"/>
                            <a:ext cx="319323" cy="114432"/>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243AA9" id="Grupo 110" o:spid="_x0000_s1026" style="position:absolute;margin-left:326.15pt;margin-top:393.5pt;width:48.4pt;height:22.95pt;z-index:251697152" coordorigin="41421,49979" coordsize="6147,2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1" o:spid="_x0000_s1027" type="#_x0000_t75" style="position:absolute;left:41421;top:49979;width:3193;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">
                  <v:imagedata r:id="rId20" o:title=""/>
                </v:shape>
                <v:shape id="Imagen 112" o:spid="_x0000_s1028" type="#_x0000_t75" style="position:absolute;left:41937;top:51166;width:3193;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">
                  <v:imagedata r:id="rId20" o:title=""/>
                </v:shape>
                <v:shape id="Imagen 113" o:spid="_x0000_s1029" type="#_x0000_t75" style="position:absolute;left:44267;top:51749;width:3194;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">
                  <v:imagedata r:id="rId20" o:title=""/>
                </v:shape>
                <v:shape id="Imagen 115" o:spid="_x0000_s1030" type="#_x0000_t75" style="position:absolute;left:44375;top:50094;width:3193;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">
                  <v:imagedata r:id="rId20" o:title=""/>
                </v:shape>
              </v:group>
            </w:pict>
          </mc:Fallback>
        </mc:AlternateContent>
      </w:r>
      <w:r w:rsidRPr="00B7408D">
        <w:rPr>
          <w:rFonts w:ascii="Book Antiqua" w:hAnsi="Book Antiqua"/>
          <w:b/>
          <w:noProof/>
          <w:lang w:val="en-US" w:bidi="ar-SA"/>
        </w:rPr>
        <w:drawing>
          <wp:anchor distT="0" distB="0" distL="114300" distR="114300" simplePos="0" relativeHeight="251698176" behindDoc="0" locked="0" layoutInCell="1" allowOverlap="1" wp14:anchorId="148A796E" wp14:editId="1F61390B">
            <wp:simplePos x="0" y="0"/>
            <wp:positionH relativeFrom="column">
              <wp:posOffset>1158875</wp:posOffset>
            </wp:positionH>
            <wp:positionV relativeFrom="paragraph">
              <wp:posOffset>4963160</wp:posOffset>
            </wp:positionV>
            <wp:extent cx="398471" cy="360099"/>
            <wp:effectExtent l="0" t="0" r="0" b="0"/>
            <wp:wrapNone/>
            <wp:docPr id="119" name="Imagen 1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25CE00-4FA5-45A4-83D9-C3D3A3721A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n 11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25CE00-4FA5-45A4-83D9-C3D3A3721A1F}"/>
                        </a:ext>
                      </a:extLst>
                    </pic:cNvPr>
                    <pic:cNvPicPr>
                      <a:picLocks noChangeAspect="1"/>
                    </pic:cNvPicPr>
                  </pic:nvPicPr>
                  <pic:blipFill>
                    <a:blip r:embed="rId21"/>
                    <a:stretch>
                      <a:fillRect/>
                    </a:stretch>
                  </pic:blipFill>
                  <pic:spPr>
                    <a:xfrm>
                      <a:off x="0" y="0"/>
                      <a:ext cx="398471" cy="360099"/>
                    </a:xfrm>
                    <a:prstGeom prst="rect">
                      <a:avLst/>
                    </a:prstGeom>
                  </pic:spPr>
                </pic:pic>
              </a:graphicData>
            </a:graphic>
          </wp:anchor>
        </w:drawing>
      </w:r>
      <w:r w:rsidRPr="00B7408D">
        <w:rPr>
          <w:rFonts w:ascii="Book Antiqua" w:hAnsi="Book Antiqua"/>
          <w:b/>
          <w:noProof/>
          <w:lang w:val="en-US" w:bidi="ar-SA"/>
        </w:rPr>
        <w:drawing>
          <wp:anchor distT="0" distB="0" distL="114300" distR="114300" simplePos="0" relativeHeight="251699200" behindDoc="0" locked="0" layoutInCell="1" allowOverlap="1" wp14:anchorId="6FD62ACB" wp14:editId="063498BF">
            <wp:simplePos x="0" y="0"/>
            <wp:positionH relativeFrom="column">
              <wp:posOffset>378460</wp:posOffset>
            </wp:positionH>
            <wp:positionV relativeFrom="paragraph">
              <wp:posOffset>4950460</wp:posOffset>
            </wp:positionV>
            <wp:extent cx="474050" cy="385854"/>
            <wp:effectExtent l="0" t="0" r="0" b="0"/>
            <wp:wrapNone/>
            <wp:docPr id="125" name="Imagen 1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39C5D3-8818-42A9-9DC9-C3D35CB2AE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n 12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39C5D3-8818-42A9-9DC9-C3D35CB2AEFA}"/>
                        </a:ext>
                      </a:extLst>
                    </pic:cNvPr>
                    <pic:cNvPicPr>
                      <a:picLocks noChangeAspect="1"/>
                    </pic:cNvPicPr>
                  </pic:nvPicPr>
                  <pic:blipFill>
                    <a:blip r:embed="rId22"/>
                    <a:stretch>
                      <a:fillRect/>
                    </a:stretch>
                  </pic:blipFill>
                  <pic:spPr>
                    <a:xfrm>
                      <a:off x="0" y="0"/>
                      <a:ext cx="474050" cy="385854"/>
                    </a:xfrm>
                    <a:prstGeom prst="rect">
                      <a:avLst/>
                    </a:prstGeom>
                  </pic:spPr>
                </pic:pic>
              </a:graphicData>
            </a:graphic>
          </wp:anchor>
        </w:drawing>
      </w:r>
      <w:r w:rsidRPr="00B7408D">
        <w:rPr>
          <w:rFonts w:ascii="Book Antiqua" w:hAnsi="Book Antiqua"/>
          <w:b/>
          <w:noProof/>
          <w:lang w:val="en-US" w:bidi="ar-SA"/>
        </w:rPr>
        <w:drawing>
          <wp:anchor distT="0" distB="0" distL="114300" distR="114300" simplePos="0" relativeHeight="251700224" behindDoc="0" locked="0" layoutInCell="1" allowOverlap="1" wp14:anchorId="2AD4998D" wp14:editId="3913789C">
            <wp:simplePos x="0" y="0"/>
            <wp:positionH relativeFrom="column">
              <wp:posOffset>3444875</wp:posOffset>
            </wp:positionH>
            <wp:positionV relativeFrom="paragraph">
              <wp:posOffset>4972685</wp:posOffset>
            </wp:positionV>
            <wp:extent cx="423395" cy="341342"/>
            <wp:effectExtent l="0" t="0" r="0" b="1905"/>
            <wp:wrapNone/>
            <wp:docPr id="127" name="Imagen 1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B610A2-4197-4012-ACC6-4BFDD824AD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n 12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B610A2-4197-4012-ACC6-4BFDD824ADC2}"/>
                        </a:ext>
                      </a:extLst>
                    </pic:cNvPr>
                    <pic:cNvPicPr>
                      <a:picLocks noChangeAspect="1"/>
                    </pic:cNvPicPr>
                  </pic:nvPicPr>
                  <pic:blipFill>
                    <a:blip r:embed="rId23"/>
                    <a:stretch>
                      <a:fillRect/>
                    </a:stretch>
                  </pic:blipFill>
                  <pic:spPr>
                    <a:xfrm>
                      <a:off x="0" y="0"/>
                      <a:ext cx="423395" cy="341342"/>
                    </a:xfrm>
                    <a:prstGeom prst="rect">
                      <a:avLst/>
                    </a:prstGeom>
                  </pic:spPr>
                </pic:pic>
              </a:graphicData>
            </a:graphic>
          </wp:anchor>
        </w:drawing>
      </w:r>
      <w:r w:rsidRPr="00B7408D">
        <w:rPr>
          <w:rFonts w:ascii="Book Antiqua" w:hAnsi="Book Antiqua"/>
          <w:b/>
          <w:noProof/>
          <w:lang w:val="en-US" w:bidi="ar-SA"/>
        </w:rPr>
        <w:drawing>
          <wp:anchor distT="0" distB="0" distL="114300" distR="114300" simplePos="0" relativeHeight="251701248" behindDoc="0" locked="0" layoutInCell="1" allowOverlap="1" wp14:anchorId="3B06CFF7" wp14:editId="0F6501A9">
            <wp:simplePos x="0" y="0"/>
            <wp:positionH relativeFrom="column">
              <wp:posOffset>1785620</wp:posOffset>
            </wp:positionH>
            <wp:positionV relativeFrom="paragraph">
              <wp:posOffset>5015865</wp:posOffset>
            </wp:positionV>
            <wp:extent cx="808551" cy="254479"/>
            <wp:effectExtent l="0" t="0" r="4445" b="0"/>
            <wp:wrapNone/>
            <wp:docPr id="129" name="Imagen 1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09AC10-42A4-4CF8-9D26-8703DD28A0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n 12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09AC10-42A4-4CF8-9D26-8703DD28A04C}"/>
                        </a:ext>
                      </a:extLst>
                    </pic:cNvPr>
                    <pic:cNvPicPr>
                      <a:picLocks noChangeAspect="1"/>
                    </pic:cNvPicPr>
                  </pic:nvPicPr>
                  <pic:blipFill>
                    <a:blip r:embed="rId24">
                      <a:extLst>
                        <a:ext uri="{BEBA8EAE-BF5A-486C-A8C5-ECC9F3942E4B}">
                          <a14:imgProps xmlns:a14="http://schemas.microsoft.com/office/drawing/2010/main">
                            <a14:imgLayer r:embed="rId25">
                              <a14:imgEffect>
                                <a14:artisticGlass/>
                              </a14:imgEffect>
                            </a14:imgLayer>
                          </a14:imgProps>
                        </a:ext>
                      </a:extLst>
                    </a:blip>
                    <a:stretch>
                      <a:fillRect/>
                    </a:stretch>
                  </pic:blipFill>
                  <pic:spPr>
                    <a:xfrm>
                      <a:off x="0" y="0"/>
                      <a:ext cx="808551" cy="254479"/>
                    </a:xfrm>
                    <a:prstGeom prst="rect">
                      <a:avLst/>
                    </a:prstGeom>
                  </pic:spPr>
                </pic:pic>
              </a:graphicData>
            </a:graphic>
          </wp:anchor>
        </w:drawing>
      </w:r>
      <w:r w:rsidRPr="00B7408D">
        <w:rPr>
          <w:rFonts w:ascii="Book Antiqua" w:hAnsi="Book Antiqua"/>
          <w:b/>
          <w:noProof/>
          <w:lang w:val="en-US" w:bidi="ar-SA"/>
        </w:rPr>
        <mc:AlternateContent>
          <mc:Choice Requires="wps">
            <w:drawing>
              <wp:anchor distT="0" distB="0" distL="114300" distR="114300" simplePos="0" relativeHeight="251702272" behindDoc="0" locked="0" layoutInCell="1" allowOverlap="1" wp14:anchorId="30FD7C73" wp14:editId="079C0945">
                <wp:simplePos x="0" y="0"/>
                <wp:positionH relativeFrom="column">
                  <wp:posOffset>4085590</wp:posOffset>
                </wp:positionH>
                <wp:positionV relativeFrom="paragraph">
                  <wp:posOffset>5375275</wp:posOffset>
                </wp:positionV>
                <wp:extent cx="774571" cy="230832"/>
                <wp:effectExtent l="0" t="0" r="0" b="0"/>
                <wp:wrapNone/>
                <wp:docPr id="133" name="CuadroTexto 13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89A7BC-4654-4B4A-AB0D-5D3CBDAF932A}"/>
                    </a:ext>
                  </a:extLst>
                </wp:docPr>
                <wp:cNvGraphicFramePr/>
                <a:graphic xmlns:a="http://schemas.openxmlformats.org/drawingml/2006/main">
                  <a:graphicData uri="http://schemas.microsoft.com/office/word/2010/wordprocessingShape">
                    <wps:wsp>
                      <wps:cNvSpPr txBox="1"/>
                      <wps:spPr>
                        <a:xfrm>
                          <a:off x="0" y="0"/>
                          <a:ext cx="774571" cy="230832"/>
                        </a:xfrm>
                        <a:prstGeom prst="rect">
                          <a:avLst/>
                        </a:prstGeom>
                        <a:noFill/>
                      </wps:spPr>
                      <wps:txbx>
                        <w:txbxContent>
                          <w:p w14:paraId="4B927B8D" w14:textId="77777777" w:rsidR="005029D0" w:rsidRDefault="005029D0" w:rsidP="006A0C4B">
                            <w:r>
                              <w:rPr>
                                <w:rFonts w:asciiTheme="minorHAnsi" w:hAnsi="Calibri" w:cstheme="minorBidi"/>
                                <w:color w:val="000000" w:themeColor="text1"/>
                                <w:kern w:val="24"/>
                                <w:sz w:val="18"/>
                                <w:szCs w:val="18"/>
                              </w:rPr>
                              <w:t>Proliferation</w:t>
                            </w:r>
                          </w:p>
                        </w:txbxContent>
                      </wps:txbx>
                      <wps:bodyPr wrap="none" rtlCol="0">
                        <a:spAutoFit/>
                      </wps:bodyPr>
                    </wps:wsp>
                  </a:graphicData>
                </a:graphic>
              </wp:anchor>
            </w:drawing>
          </mc:Choice>
          <mc:Fallback>
            <w:pict>
              <v:shape id="CuadroTexto 132" o:spid="_x0000_s1040" type="#_x0000_t202" style="position:absolute;left:0;text-align:left;margin-left:321.7pt;margin-top:423.25pt;width:61pt;height:18.2pt;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" filled="f" stroked="f">
                <v:textbox style="mso-fit-shape-to-text:t">
                  <w:txbxContent>
                    <w:p w14:paraId="4B927B8D" w14:textId="77777777" w:rsidR="005029D0" w:rsidRDefault="005029D0" w:rsidP="006A0C4B">
                      <w:r>
                        <w:rPr>
                          <w:rFonts w:asciiTheme="minorHAnsi" w:hAnsi="Calibri" w:cstheme="minorBidi"/>
                          <w:color w:val="000000" w:themeColor="text1"/>
                          <w:kern w:val="24"/>
                          <w:sz w:val="18"/>
                          <w:szCs w:val="18"/>
                        </w:rPr>
                        <w:t>Proliferation</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03296" behindDoc="0" locked="0" layoutInCell="1" allowOverlap="1" wp14:anchorId="081C461B" wp14:editId="3FBA2977">
                <wp:simplePos x="0" y="0"/>
                <wp:positionH relativeFrom="column">
                  <wp:posOffset>4890135</wp:posOffset>
                </wp:positionH>
                <wp:positionV relativeFrom="paragraph">
                  <wp:posOffset>5375275</wp:posOffset>
                </wp:positionV>
                <wp:extent cx="647934" cy="230832"/>
                <wp:effectExtent l="0" t="0" r="0" b="0"/>
                <wp:wrapNone/>
                <wp:docPr id="137" name="CuadroTexto 1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56DD7F-1C56-457C-86A1-C0E71B5C13FD}"/>
                    </a:ext>
                  </a:extLst>
                </wp:docPr>
                <wp:cNvGraphicFramePr/>
                <a:graphic xmlns:a="http://schemas.openxmlformats.org/drawingml/2006/main">
                  <a:graphicData uri="http://schemas.microsoft.com/office/word/2010/wordprocessingShape">
                    <wps:wsp>
                      <wps:cNvSpPr txBox="1"/>
                      <wps:spPr>
                        <a:xfrm>
                          <a:off x="0" y="0"/>
                          <a:ext cx="647934" cy="230832"/>
                        </a:xfrm>
                        <a:prstGeom prst="rect">
                          <a:avLst/>
                        </a:prstGeom>
                        <a:noFill/>
                      </wps:spPr>
                      <wps:txbx>
                        <w:txbxContent>
                          <w:p w14:paraId="41B756C5" w14:textId="77777777" w:rsidR="005029D0" w:rsidRDefault="005029D0" w:rsidP="006A0C4B">
                            <w:pPr>
                              <w:jc w:val="center"/>
                            </w:pPr>
                            <w:r>
                              <w:rPr>
                                <w:rFonts w:asciiTheme="minorHAnsi" w:hAnsi="Calibri" w:cstheme="minorBidi"/>
                                <w:color w:val="000000" w:themeColor="text1"/>
                                <w:kern w:val="24"/>
                                <w:sz w:val="18"/>
                                <w:szCs w:val="18"/>
                              </w:rPr>
                              <w:t>Migration</w:t>
                            </w:r>
                          </w:p>
                        </w:txbxContent>
                      </wps:txbx>
                      <wps:bodyPr wrap="none" rtlCol="0">
                        <a:spAutoFit/>
                      </wps:bodyPr>
                    </wps:wsp>
                  </a:graphicData>
                </a:graphic>
              </wp:anchor>
            </w:drawing>
          </mc:Choice>
          <mc:Fallback>
            <w:pict>
              <v:shape id="CuadroTexto 136" o:spid="_x0000_s1041" type="#_x0000_t202" style="position:absolute;left:0;text-align:left;margin-left:385.05pt;margin-top:423.25pt;width:51pt;height:18.2pt;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" filled="f" stroked="f">
                <v:textbox style="mso-fit-shape-to-text:t">
                  <w:txbxContent>
                    <w:p w14:paraId="41B756C5" w14:textId="77777777" w:rsidR="005029D0" w:rsidRDefault="005029D0" w:rsidP="006A0C4B">
                      <w:pPr>
                        <w:jc w:val="center"/>
                      </w:pPr>
                      <w:r>
                        <w:rPr>
                          <w:rFonts w:asciiTheme="minorHAnsi" w:hAnsi="Calibri" w:cstheme="minorBidi"/>
                          <w:color w:val="000000" w:themeColor="text1"/>
                          <w:kern w:val="24"/>
                          <w:sz w:val="18"/>
                          <w:szCs w:val="18"/>
                        </w:rPr>
                        <w:t>Migration</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04320" behindDoc="0" locked="0" layoutInCell="1" allowOverlap="1" wp14:anchorId="63D581C9" wp14:editId="10E0E7C5">
                <wp:simplePos x="0" y="0"/>
                <wp:positionH relativeFrom="column">
                  <wp:posOffset>1896110</wp:posOffset>
                </wp:positionH>
                <wp:positionV relativeFrom="paragraph">
                  <wp:posOffset>5375275</wp:posOffset>
                </wp:positionV>
                <wp:extent cx="651140" cy="230832"/>
                <wp:effectExtent l="0" t="0" r="0" b="0"/>
                <wp:wrapNone/>
                <wp:docPr id="138" name="CuadroTexto 1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F6C3AC-129F-47ED-8CE7-4314ADCDCBCC}"/>
                    </a:ext>
                  </a:extLst>
                </wp:docPr>
                <wp:cNvGraphicFramePr/>
                <a:graphic xmlns:a="http://schemas.openxmlformats.org/drawingml/2006/main">
                  <a:graphicData uri="http://schemas.microsoft.com/office/word/2010/wordprocessingShape">
                    <wps:wsp>
                      <wps:cNvSpPr txBox="1"/>
                      <wps:spPr>
                        <a:xfrm>
                          <a:off x="0" y="0"/>
                          <a:ext cx="651140" cy="230832"/>
                        </a:xfrm>
                        <a:prstGeom prst="rect">
                          <a:avLst/>
                        </a:prstGeom>
                        <a:noFill/>
                      </wps:spPr>
                      <wps:txbx>
                        <w:txbxContent>
                          <w:p w14:paraId="5F81A22B" w14:textId="77777777" w:rsidR="005029D0" w:rsidRDefault="005029D0" w:rsidP="006A0C4B">
                            <w:r>
                              <w:rPr>
                                <w:rFonts w:asciiTheme="minorHAnsi" w:hAnsi="Calibri" w:cstheme="minorBidi"/>
                                <w:color w:val="000000" w:themeColor="text1"/>
                                <w:kern w:val="24"/>
                                <w:sz w:val="18"/>
                                <w:szCs w:val="18"/>
                              </w:rPr>
                              <w:t>Apoptosis</w:t>
                            </w:r>
                          </w:p>
                        </w:txbxContent>
                      </wps:txbx>
                      <wps:bodyPr wrap="none" rtlCol="0">
                        <a:spAutoFit/>
                      </wps:bodyPr>
                    </wps:wsp>
                  </a:graphicData>
                </a:graphic>
              </wp:anchor>
            </w:drawing>
          </mc:Choice>
          <mc:Fallback>
            <w:pict>
              <v:shape id="CuadroTexto 137" o:spid="_x0000_s1042" type="#_x0000_t202" style="position:absolute;left:0;text-align:left;margin-left:149.3pt;margin-top:423.25pt;width:51.25pt;height:18.2pt;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" filled="f" stroked="f">
                <v:textbox style="mso-fit-shape-to-text:t">
                  <w:txbxContent>
                    <w:p w14:paraId="5F81A22B" w14:textId="77777777" w:rsidR="005029D0" w:rsidRDefault="005029D0" w:rsidP="006A0C4B">
                      <w:r>
                        <w:rPr>
                          <w:rFonts w:asciiTheme="minorHAnsi" w:hAnsi="Calibri" w:cstheme="minorBidi"/>
                          <w:color w:val="000000" w:themeColor="text1"/>
                          <w:kern w:val="24"/>
                          <w:sz w:val="18"/>
                          <w:szCs w:val="18"/>
                        </w:rPr>
                        <w:t>Apoptosis</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05344" behindDoc="0" locked="0" layoutInCell="1" allowOverlap="1" wp14:anchorId="1F282BB0" wp14:editId="6320BE7A">
                <wp:simplePos x="0" y="0"/>
                <wp:positionH relativeFrom="column">
                  <wp:posOffset>3281680</wp:posOffset>
                </wp:positionH>
                <wp:positionV relativeFrom="paragraph">
                  <wp:posOffset>5375275</wp:posOffset>
                </wp:positionV>
                <wp:extent cx="819455" cy="230832"/>
                <wp:effectExtent l="0" t="0" r="0" b="0"/>
                <wp:wrapNone/>
                <wp:docPr id="139" name="CuadroTexto 1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F6C16A-47CE-4ADC-B72F-0787B23B023D}"/>
                    </a:ext>
                  </a:extLst>
                </wp:docPr>
                <wp:cNvGraphicFramePr/>
                <a:graphic xmlns:a="http://schemas.openxmlformats.org/drawingml/2006/main">
                  <a:graphicData uri="http://schemas.microsoft.com/office/word/2010/wordprocessingShape">
                    <wps:wsp>
                      <wps:cNvSpPr txBox="1"/>
                      <wps:spPr>
                        <a:xfrm>
                          <a:off x="0" y="0"/>
                          <a:ext cx="819455" cy="230832"/>
                        </a:xfrm>
                        <a:prstGeom prst="rect">
                          <a:avLst/>
                        </a:prstGeom>
                        <a:noFill/>
                      </wps:spPr>
                      <wps:txbx>
                        <w:txbxContent>
                          <w:p w14:paraId="61B2A2DA" w14:textId="77777777" w:rsidR="005029D0" w:rsidRDefault="005029D0" w:rsidP="006A0C4B">
                            <w:r>
                              <w:rPr>
                                <w:rFonts w:asciiTheme="minorHAnsi" w:hAnsi="Calibri" w:cstheme="minorBidi"/>
                                <w:color w:val="000000" w:themeColor="text1"/>
                                <w:kern w:val="24"/>
                                <w:sz w:val="18"/>
                                <w:szCs w:val="18"/>
                              </w:rPr>
                              <w:t>Inflammation</w:t>
                            </w:r>
                          </w:p>
                        </w:txbxContent>
                      </wps:txbx>
                      <wps:bodyPr wrap="none" rtlCol="0">
                        <a:spAutoFit/>
                      </wps:bodyPr>
                    </wps:wsp>
                  </a:graphicData>
                </a:graphic>
              </wp:anchor>
            </w:drawing>
          </mc:Choice>
          <mc:Fallback>
            <w:pict>
              <v:shape id="CuadroTexto 138" o:spid="_x0000_s1043" type="#_x0000_t202" style="position:absolute;left:0;text-align:left;margin-left:258.4pt;margin-top:423.25pt;width:64.5pt;height:18.2pt;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" filled="f" stroked="f">
                <v:textbox style="mso-fit-shape-to-text:t">
                  <w:txbxContent>
                    <w:p w14:paraId="61B2A2DA" w14:textId="77777777" w:rsidR="005029D0" w:rsidRDefault="005029D0" w:rsidP="006A0C4B">
                      <w:r>
                        <w:rPr>
                          <w:rFonts w:asciiTheme="minorHAnsi" w:hAnsi="Calibri" w:cstheme="minorBidi"/>
                          <w:color w:val="000000" w:themeColor="text1"/>
                          <w:kern w:val="24"/>
                          <w:sz w:val="18"/>
                          <w:szCs w:val="18"/>
                        </w:rPr>
                        <w:t>Inflammation</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06368" behindDoc="0" locked="0" layoutInCell="1" allowOverlap="1" wp14:anchorId="7A38295B" wp14:editId="57977C7F">
                <wp:simplePos x="0" y="0"/>
                <wp:positionH relativeFrom="column">
                  <wp:posOffset>109855</wp:posOffset>
                </wp:positionH>
                <wp:positionV relativeFrom="paragraph">
                  <wp:posOffset>5306060</wp:posOffset>
                </wp:positionV>
                <wp:extent cx="877163" cy="369332"/>
                <wp:effectExtent l="0" t="0" r="0" b="0"/>
                <wp:wrapNone/>
                <wp:docPr id="140" name="CuadroTexto 1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C8770B-4C91-4B1A-8AE5-2DB951960B87}"/>
                    </a:ext>
                  </a:extLst>
                </wp:docPr>
                <wp:cNvGraphicFramePr/>
                <a:graphic xmlns:a="http://schemas.openxmlformats.org/drawingml/2006/main">
                  <a:graphicData uri="http://schemas.microsoft.com/office/word/2010/wordprocessingShape">
                    <wps:wsp>
                      <wps:cNvSpPr txBox="1"/>
                      <wps:spPr>
                        <a:xfrm>
                          <a:off x="0" y="0"/>
                          <a:ext cx="877163" cy="369332"/>
                        </a:xfrm>
                        <a:prstGeom prst="rect">
                          <a:avLst/>
                        </a:prstGeom>
                        <a:noFill/>
                      </wps:spPr>
                      <wps:txbx>
                        <w:txbxContent>
                          <w:p w14:paraId="3264401B" w14:textId="77777777" w:rsidR="005029D0" w:rsidRDefault="005029D0" w:rsidP="006A0C4B">
                            <w:pPr>
                              <w:jc w:val="center"/>
                            </w:pPr>
                            <w:r>
                              <w:rPr>
                                <w:rFonts w:asciiTheme="minorHAnsi" w:hAnsi="Calibri" w:cstheme="minorBidi"/>
                                <w:color w:val="000000" w:themeColor="text1"/>
                                <w:kern w:val="24"/>
                                <w:sz w:val="18"/>
                                <w:szCs w:val="18"/>
                              </w:rPr>
                              <w:t>Osteoblast</w:t>
                            </w:r>
                          </w:p>
                          <w:p w14:paraId="4AFC123E" w14:textId="77777777" w:rsidR="005029D0" w:rsidRDefault="005029D0" w:rsidP="006A0C4B">
                            <w:pPr>
                              <w:jc w:val="center"/>
                            </w:pPr>
                            <w:r>
                              <w:rPr>
                                <w:rFonts w:asciiTheme="minorHAnsi" w:hAnsi="Calibri" w:cstheme="minorBidi"/>
                                <w:color w:val="000000" w:themeColor="text1"/>
                                <w:kern w:val="24"/>
                                <w:sz w:val="18"/>
                                <w:szCs w:val="18"/>
                              </w:rPr>
                              <w:t>differentiation</w:t>
                            </w:r>
                          </w:p>
                        </w:txbxContent>
                      </wps:txbx>
                      <wps:bodyPr wrap="none" rtlCol="0">
                        <a:spAutoFit/>
                      </wps:bodyPr>
                    </wps:wsp>
                  </a:graphicData>
                </a:graphic>
              </wp:anchor>
            </w:drawing>
          </mc:Choice>
          <mc:Fallback>
            <w:pict>
              <v:shape id="CuadroTexto 139" o:spid="_x0000_s1044" type="#_x0000_t202" style="position:absolute;left:0;text-align:left;margin-left:8.65pt;margin-top:417.8pt;width:69.05pt;height:29.1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" filled="f" stroked="f">
                <v:textbox style="mso-fit-shape-to-text:t">
                  <w:txbxContent>
                    <w:p w14:paraId="3264401B" w14:textId="77777777" w:rsidR="005029D0" w:rsidRDefault="005029D0" w:rsidP="006A0C4B">
                      <w:pPr>
                        <w:jc w:val="center"/>
                      </w:pPr>
                      <w:r>
                        <w:rPr>
                          <w:rFonts w:asciiTheme="minorHAnsi" w:hAnsi="Calibri" w:cstheme="minorBidi"/>
                          <w:color w:val="000000" w:themeColor="text1"/>
                          <w:kern w:val="24"/>
                          <w:sz w:val="18"/>
                          <w:szCs w:val="18"/>
                        </w:rPr>
                        <w:t>Osteoblast</w:t>
                      </w:r>
                    </w:p>
                    <w:p w14:paraId="4AFC123E" w14:textId="77777777" w:rsidR="005029D0" w:rsidRDefault="005029D0" w:rsidP="006A0C4B">
                      <w:pPr>
                        <w:jc w:val="center"/>
                      </w:pPr>
                      <w:r>
                        <w:rPr>
                          <w:rFonts w:asciiTheme="minorHAnsi" w:hAnsi="Calibri" w:cstheme="minorBidi"/>
                          <w:color w:val="000000" w:themeColor="text1"/>
                          <w:kern w:val="24"/>
                          <w:sz w:val="18"/>
                          <w:szCs w:val="18"/>
                        </w:rPr>
                        <w:t>differentiation</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07392" behindDoc="0" locked="0" layoutInCell="1" allowOverlap="1" wp14:anchorId="698FF877" wp14:editId="533BCF63">
                <wp:simplePos x="0" y="0"/>
                <wp:positionH relativeFrom="column">
                  <wp:posOffset>914400</wp:posOffset>
                </wp:positionH>
                <wp:positionV relativeFrom="paragraph">
                  <wp:posOffset>5306060</wp:posOffset>
                </wp:positionV>
                <wp:extent cx="877163" cy="369332"/>
                <wp:effectExtent l="0" t="0" r="0" b="0"/>
                <wp:wrapNone/>
                <wp:docPr id="141" name="CuadroTexto 1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66BC90-D860-48E7-B9EE-A9A7AA87895E}"/>
                    </a:ext>
                  </a:extLst>
                </wp:docPr>
                <wp:cNvGraphicFramePr/>
                <a:graphic xmlns:a="http://schemas.openxmlformats.org/drawingml/2006/main">
                  <a:graphicData uri="http://schemas.microsoft.com/office/word/2010/wordprocessingShape">
                    <wps:wsp>
                      <wps:cNvSpPr txBox="1"/>
                      <wps:spPr>
                        <a:xfrm>
                          <a:off x="0" y="0"/>
                          <a:ext cx="877163" cy="369332"/>
                        </a:xfrm>
                        <a:prstGeom prst="rect">
                          <a:avLst/>
                        </a:prstGeom>
                        <a:noFill/>
                      </wps:spPr>
                      <wps:txbx>
                        <w:txbxContent>
                          <w:p w14:paraId="21368888" w14:textId="77777777" w:rsidR="005029D0" w:rsidRDefault="005029D0" w:rsidP="006A0C4B">
                            <w:pPr>
                              <w:jc w:val="center"/>
                            </w:pPr>
                            <w:r>
                              <w:rPr>
                                <w:rFonts w:asciiTheme="minorHAnsi" w:hAnsi="Calibri" w:cstheme="minorBidi"/>
                                <w:color w:val="000000" w:themeColor="text1"/>
                                <w:kern w:val="24"/>
                                <w:sz w:val="18"/>
                                <w:szCs w:val="18"/>
                              </w:rPr>
                              <w:t>Adipocyte</w:t>
                            </w:r>
                          </w:p>
                          <w:p w14:paraId="44208353" w14:textId="77777777" w:rsidR="005029D0" w:rsidRDefault="005029D0" w:rsidP="006A0C4B">
                            <w:pPr>
                              <w:jc w:val="center"/>
                            </w:pPr>
                            <w:r>
                              <w:rPr>
                                <w:rFonts w:asciiTheme="minorHAnsi" w:hAnsi="Calibri" w:cstheme="minorBidi"/>
                                <w:color w:val="000000" w:themeColor="text1"/>
                                <w:kern w:val="24"/>
                                <w:sz w:val="18"/>
                                <w:szCs w:val="18"/>
                              </w:rPr>
                              <w:t>differentiation</w:t>
                            </w:r>
                          </w:p>
                        </w:txbxContent>
                      </wps:txbx>
                      <wps:bodyPr wrap="none" rtlCol="0">
                        <a:spAutoFit/>
                      </wps:bodyPr>
                    </wps:wsp>
                  </a:graphicData>
                </a:graphic>
              </wp:anchor>
            </w:drawing>
          </mc:Choice>
          <mc:Fallback>
            <w:pict>
              <v:shape id="CuadroTexto 140" o:spid="_x0000_s1045" type="#_x0000_t202" style="position:absolute;left:0;text-align:left;margin-left:1in;margin-top:417.8pt;width:69.05pt;height:29.1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" filled="f" stroked="f">
                <v:textbox style="mso-fit-shape-to-text:t">
                  <w:txbxContent>
                    <w:p w14:paraId="21368888" w14:textId="77777777" w:rsidR="005029D0" w:rsidRDefault="005029D0" w:rsidP="006A0C4B">
                      <w:pPr>
                        <w:jc w:val="center"/>
                      </w:pPr>
                      <w:r>
                        <w:rPr>
                          <w:rFonts w:asciiTheme="minorHAnsi" w:hAnsi="Calibri" w:cstheme="minorBidi"/>
                          <w:color w:val="000000" w:themeColor="text1"/>
                          <w:kern w:val="24"/>
                          <w:sz w:val="18"/>
                          <w:szCs w:val="18"/>
                        </w:rPr>
                        <w:t>Adipocyte</w:t>
                      </w:r>
                    </w:p>
                    <w:p w14:paraId="44208353" w14:textId="77777777" w:rsidR="005029D0" w:rsidRDefault="005029D0" w:rsidP="006A0C4B">
                      <w:pPr>
                        <w:jc w:val="center"/>
                      </w:pPr>
                      <w:r>
                        <w:rPr>
                          <w:rFonts w:asciiTheme="minorHAnsi" w:hAnsi="Calibri" w:cstheme="minorBidi"/>
                          <w:color w:val="000000" w:themeColor="text1"/>
                          <w:kern w:val="24"/>
                          <w:sz w:val="18"/>
                          <w:szCs w:val="18"/>
                        </w:rPr>
                        <w:t>differentiation</w:t>
                      </w:r>
                    </w:p>
                  </w:txbxContent>
                </v:textbox>
              </v:shape>
            </w:pict>
          </mc:Fallback>
        </mc:AlternateContent>
      </w:r>
      <w:r w:rsidRPr="00B7408D">
        <w:rPr>
          <w:rFonts w:ascii="Book Antiqua" w:hAnsi="Book Antiqua"/>
          <w:b/>
          <w:noProof/>
          <w:lang w:val="en-US" w:bidi="ar-SA"/>
        </w:rPr>
        <mc:AlternateContent>
          <mc:Choice Requires="wpg">
            <w:drawing>
              <wp:anchor distT="0" distB="0" distL="114300" distR="114300" simplePos="0" relativeHeight="251708416" behindDoc="0" locked="0" layoutInCell="1" allowOverlap="1" wp14:anchorId="388FE0DB" wp14:editId="02B20DE0">
                <wp:simplePos x="0" y="0"/>
                <wp:positionH relativeFrom="column">
                  <wp:posOffset>3150235</wp:posOffset>
                </wp:positionH>
                <wp:positionV relativeFrom="paragraph">
                  <wp:posOffset>3175000</wp:posOffset>
                </wp:positionV>
                <wp:extent cx="2052000" cy="1728930"/>
                <wp:effectExtent l="12700" t="0" r="69215" b="36830"/>
                <wp:wrapNone/>
                <wp:docPr id="161" name="Grupo 16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198101-7A31-42EB-8BCB-447656EC5CCC}"/>
                    </a:ext>
                  </a:extLst>
                </wp:docPr>
                <wp:cNvGraphicFramePr/>
                <a:graphic xmlns:a="http://schemas.openxmlformats.org/drawingml/2006/main">
                  <a:graphicData uri="http://schemas.microsoft.com/office/word/2010/wordprocessingGroup">
                    <wpg:wgp>
                      <wpg:cNvGrpSpPr/>
                      <wpg:grpSpPr>
                        <a:xfrm flipH="1">
                          <a:off x="0" y="0"/>
                          <a:ext cx="2052000" cy="1728930"/>
                          <a:chOff x="3150703" y="3175326"/>
                          <a:chExt cx="2262588" cy="1728930"/>
                        </a:xfrm>
                      </wpg:grpSpPr>
                      <wps:wsp>
                        <wps:cNvPr id="32" name="Conector: angular 16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6745CA-F315-470B-9AE4-F8FE9F2C0BBE}"/>
                            </a:ext>
                          </a:extLst>
                        </wps:cNvPr>
                        <wps:cNvCnPr>
                          <a:cxnSpLocks/>
                        </wps:cNvCnPr>
                        <wps:spPr>
                          <a:xfrm rot="5400000">
                            <a:off x="3330703" y="2995326"/>
                            <a:ext cx="1728000" cy="2088000"/>
                          </a:xfrm>
                          <a:prstGeom prst="bentConnector3">
                            <a:avLst>
                              <a:gd name="adj1" fmla="val 6812"/>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Conector: angular 16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E0AF69-E5E5-40C2-9EF1-2D676E131B96}"/>
                            </a:ext>
                          </a:extLst>
                        </wps:cNvPr>
                        <wps:cNvCnPr>
                          <a:cxnSpLocks/>
                        </wps:cNvCnPr>
                        <wps:spPr>
                          <a:xfrm rot="5400000">
                            <a:off x="3802666" y="3392256"/>
                            <a:ext cx="1692000" cy="1332000"/>
                          </a:xfrm>
                          <a:prstGeom prst="bentConnector3">
                            <a:avLst>
                              <a:gd name="adj1" fmla="val 1076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Conector: angular 16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93981F-2D05-41B3-BE41-278721751BB0}"/>
                            </a:ext>
                          </a:extLst>
                        </wps:cNvPr>
                        <wps:cNvCnPr>
                          <a:cxnSpLocks/>
                        </wps:cNvCnPr>
                        <wps:spPr>
                          <a:xfrm rot="5400000">
                            <a:off x="4315291" y="3806256"/>
                            <a:ext cx="1656000" cy="540000"/>
                          </a:xfrm>
                          <a:prstGeom prst="bentConnector3">
                            <a:avLst>
                              <a:gd name="adj1" fmla="val 14989"/>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94213B" id="Grupo 160" o:spid="_x0000_s1026" style="position:absolute;margin-left:248.05pt;margin-top:250pt;width:161.55pt;height:136.15pt;flip:x;z-index:251708416" coordorigin="31507,31753" coordsize="22625,1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">
                <v:shape id="Conector: angular 161" o:spid="_x0000_s1027" type="#_x0000_t34" style="position:absolute;left:33307;top:29953;width:17280;height:2088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" adj="1471" strokecolor="black [3213]" strokeweight="1.5pt">
                  <v:stroke endarrow="block"/>
                  <o:lock v:ext="edit" shapetype="f"/>
                </v:shape>
                <v:shape id="Conector: angular 165" o:spid="_x0000_s1028" type="#_x0000_t34" style="position:absolute;left:38026;top:33922;width:16920;height:133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" adj="2324" strokecolor="black [3213]" strokeweight="1.5pt">
                  <v:stroke endarrow="block"/>
                  <o:lock v:ext="edit" shapetype="f"/>
                </v:shape>
                <v:shape id="Conector: angular 166" o:spid="_x0000_s1029" type="#_x0000_t34" style="position:absolute;left:43152;top:38062;width:16560;height:540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" adj="3238" strokecolor="black [3213]" strokeweight="1.5pt">
                  <v:stroke endarrow="block"/>
                  <o:lock v:ext="edit" shapetype="f"/>
                </v:shape>
              </v:group>
            </w:pict>
          </mc:Fallback>
        </mc:AlternateContent>
      </w:r>
      <w:r w:rsidRPr="00B7408D">
        <w:rPr>
          <w:rFonts w:ascii="Book Antiqua" w:hAnsi="Book Antiqua"/>
          <w:b/>
          <w:noProof/>
          <w:lang w:val="en-US" w:bidi="ar-SA"/>
        </w:rPr>
        <mc:AlternateContent>
          <mc:Choice Requires="wps">
            <w:drawing>
              <wp:anchor distT="0" distB="0" distL="114300" distR="114300" simplePos="0" relativeHeight="251709440" behindDoc="0" locked="0" layoutInCell="1" allowOverlap="1" wp14:anchorId="03CAF576" wp14:editId="1C37745B">
                <wp:simplePos x="0" y="0"/>
                <wp:positionH relativeFrom="column">
                  <wp:posOffset>3735070</wp:posOffset>
                </wp:positionH>
                <wp:positionV relativeFrom="paragraph">
                  <wp:posOffset>6978650</wp:posOffset>
                </wp:positionV>
                <wp:extent cx="990977" cy="230832"/>
                <wp:effectExtent l="0" t="0" r="0" b="0"/>
                <wp:wrapNone/>
                <wp:docPr id="168" name="CuadroTexto 16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5D46CA-F4C9-4275-8662-EC8EBD5209AB}"/>
                    </a:ext>
                  </a:extLst>
                </wp:docPr>
                <wp:cNvGraphicFramePr/>
                <a:graphic xmlns:a="http://schemas.openxmlformats.org/drawingml/2006/main">
                  <a:graphicData uri="http://schemas.microsoft.com/office/word/2010/wordprocessingShape">
                    <wps:wsp>
                      <wps:cNvSpPr txBox="1"/>
                      <wps:spPr>
                        <a:xfrm>
                          <a:off x="0" y="0"/>
                          <a:ext cx="990977" cy="230832"/>
                        </a:xfrm>
                        <a:prstGeom prst="rect">
                          <a:avLst/>
                        </a:prstGeom>
                        <a:noFill/>
                      </wps:spPr>
                      <wps:txbx>
                        <w:txbxContent>
                          <w:p w14:paraId="71CF06EA" w14:textId="77777777" w:rsidR="005029D0" w:rsidRDefault="005029D0" w:rsidP="006A0C4B">
                            <w:pPr>
                              <w:jc w:val="center"/>
                            </w:pPr>
                            <w:r>
                              <w:rPr>
                                <w:rFonts w:asciiTheme="minorHAnsi" w:hAnsi="Calibri" w:cstheme="minorBidi"/>
                                <w:b/>
                                <w:bCs/>
                                <w:color w:val="000000" w:themeColor="text1"/>
                                <w:kern w:val="24"/>
                                <w:sz w:val="18"/>
                                <w:szCs w:val="18"/>
                              </w:rPr>
                              <w:t>Neuroprotection</w:t>
                            </w:r>
                          </w:p>
                        </w:txbxContent>
                      </wps:txbx>
                      <wps:bodyPr wrap="none" rtlCol="0">
                        <a:spAutoFit/>
                      </wps:bodyPr>
                    </wps:wsp>
                  </a:graphicData>
                </a:graphic>
              </wp:anchor>
            </w:drawing>
          </mc:Choice>
          <mc:Fallback>
            <w:pict>
              <v:shape id="CuadroTexto 167" o:spid="_x0000_s1046" type="#_x0000_t202" style="position:absolute;left:0;text-align:left;margin-left:294.1pt;margin-top:549.5pt;width:78.05pt;height:18.2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" filled="f" stroked="f">
                <v:textbox style="mso-fit-shape-to-text:t">
                  <w:txbxContent>
                    <w:p w14:paraId="71CF06EA" w14:textId="77777777" w:rsidR="005029D0" w:rsidRDefault="005029D0" w:rsidP="006A0C4B">
                      <w:pPr>
                        <w:jc w:val="center"/>
                      </w:pPr>
                      <w:r>
                        <w:rPr>
                          <w:rFonts w:asciiTheme="minorHAnsi" w:hAnsi="Calibri" w:cstheme="minorBidi"/>
                          <w:b/>
                          <w:bCs/>
                          <w:color w:val="000000" w:themeColor="text1"/>
                          <w:kern w:val="24"/>
                          <w:sz w:val="18"/>
                          <w:szCs w:val="18"/>
                        </w:rPr>
                        <w:t>Neuroprotection</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10464" behindDoc="0" locked="0" layoutInCell="1" allowOverlap="1" wp14:anchorId="16779248" wp14:editId="04338679">
                <wp:simplePos x="0" y="0"/>
                <wp:positionH relativeFrom="column">
                  <wp:posOffset>1109345</wp:posOffset>
                </wp:positionH>
                <wp:positionV relativeFrom="paragraph">
                  <wp:posOffset>6978650</wp:posOffset>
                </wp:positionV>
                <wp:extent cx="771365" cy="507831"/>
                <wp:effectExtent l="0" t="0" r="0" b="0"/>
                <wp:wrapNone/>
                <wp:docPr id="169" name="CuadroTexto 16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D0DCB8-E1B9-48C6-B838-209961EBBC87}"/>
                    </a:ext>
                  </a:extLst>
                </wp:docPr>
                <wp:cNvGraphicFramePr/>
                <a:graphic xmlns:a="http://schemas.openxmlformats.org/drawingml/2006/main">
                  <a:graphicData uri="http://schemas.microsoft.com/office/word/2010/wordprocessingShape">
                    <wps:wsp>
                      <wps:cNvSpPr txBox="1"/>
                      <wps:spPr>
                        <a:xfrm>
                          <a:off x="0" y="0"/>
                          <a:ext cx="771365" cy="507831"/>
                        </a:xfrm>
                        <a:prstGeom prst="rect">
                          <a:avLst/>
                        </a:prstGeom>
                        <a:noFill/>
                      </wps:spPr>
                      <wps:txbx>
                        <w:txbxContent>
                          <w:p w14:paraId="48618B17" w14:textId="77777777" w:rsidR="005029D0" w:rsidRDefault="005029D0" w:rsidP="006A0C4B">
                            <w:pPr>
                              <w:jc w:val="center"/>
                            </w:pPr>
                            <w:r>
                              <w:rPr>
                                <w:rFonts w:asciiTheme="minorHAnsi" w:hAnsi="Calibri" w:cstheme="minorBidi"/>
                                <w:b/>
                                <w:bCs/>
                                <w:color w:val="000000" w:themeColor="text1"/>
                                <w:kern w:val="24"/>
                                <w:sz w:val="18"/>
                                <w:szCs w:val="18"/>
                              </w:rPr>
                              <w:t>Diabetes</w:t>
                            </w:r>
                          </w:p>
                          <w:p w14:paraId="6121C3ED" w14:textId="77777777" w:rsidR="005029D0" w:rsidRDefault="005029D0" w:rsidP="006A0C4B">
                            <w:pPr>
                              <w:jc w:val="center"/>
                            </w:pPr>
                            <w:r>
                              <w:rPr>
                                <w:rFonts w:asciiTheme="minorHAnsi" w:hAnsi="Calibri" w:cstheme="minorBidi"/>
                                <w:b/>
                                <w:bCs/>
                                <w:color w:val="000000" w:themeColor="text1"/>
                                <w:kern w:val="24"/>
                                <w:sz w:val="18"/>
                                <w:szCs w:val="18"/>
                              </w:rPr>
                              <w:t xml:space="preserve"> and obesity</w:t>
                            </w:r>
                          </w:p>
                          <w:p w14:paraId="67663B61" w14:textId="77777777" w:rsidR="005029D0" w:rsidRDefault="005029D0" w:rsidP="006A0C4B">
                            <w:pPr>
                              <w:jc w:val="center"/>
                            </w:pPr>
                            <w:r>
                              <w:rPr>
                                <w:rFonts w:asciiTheme="minorHAnsi" w:hAnsi="Calibri" w:cstheme="minorBidi"/>
                                <w:b/>
                                <w:bCs/>
                                <w:color w:val="000000" w:themeColor="text1"/>
                                <w:kern w:val="24"/>
                                <w:sz w:val="18"/>
                                <w:szCs w:val="18"/>
                              </w:rPr>
                              <w:t>prevention</w:t>
                            </w:r>
                          </w:p>
                        </w:txbxContent>
                      </wps:txbx>
                      <wps:bodyPr wrap="none" rtlCol="0">
                        <a:spAutoFit/>
                      </wps:bodyPr>
                    </wps:wsp>
                  </a:graphicData>
                </a:graphic>
              </wp:anchor>
            </w:drawing>
          </mc:Choice>
          <mc:Fallback>
            <w:pict>
              <v:shape id="CuadroTexto 168" o:spid="_x0000_s1047" type="#_x0000_t202" style="position:absolute;left:0;text-align:left;margin-left:87.35pt;margin-top:549.5pt;width:60.75pt;height:40pt;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" filled="f" stroked="f">
                <v:textbox style="mso-fit-shape-to-text:t">
                  <w:txbxContent>
                    <w:p w14:paraId="48618B17" w14:textId="77777777" w:rsidR="005029D0" w:rsidRDefault="005029D0" w:rsidP="006A0C4B">
                      <w:pPr>
                        <w:jc w:val="center"/>
                      </w:pPr>
                      <w:r>
                        <w:rPr>
                          <w:rFonts w:asciiTheme="minorHAnsi" w:hAnsi="Calibri" w:cstheme="minorBidi"/>
                          <w:b/>
                          <w:bCs/>
                          <w:color w:val="000000" w:themeColor="text1"/>
                          <w:kern w:val="24"/>
                          <w:sz w:val="18"/>
                          <w:szCs w:val="18"/>
                        </w:rPr>
                        <w:t>Diabetes</w:t>
                      </w:r>
                    </w:p>
                    <w:p w14:paraId="6121C3ED" w14:textId="77777777" w:rsidR="005029D0" w:rsidRDefault="005029D0" w:rsidP="006A0C4B">
                      <w:pPr>
                        <w:jc w:val="center"/>
                      </w:pPr>
                      <w:r>
                        <w:rPr>
                          <w:rFonts w:asciiTheme="minorHAnsi" w:hAnsi="Calibri" w:cstheme="minorBidi"/>
                          <w:b/>
                          <w:bCs/>
                          <w:color w:val="000000" w:themeColor="text1"/>
                          <w:kern w:val="24"/>
                          <w:sz w:val="18"/>
                          <w:szCs w:val="18"/>
                        </w:rPr>
                        <w:t xml:space="preserve"> and obesity</w:t>
                      </w:r>
                    </w:p>
                    <w:p w14:paraId="67663B61" w14:textId="77777777" w:rsidR="005029D0" w:rsidRDefault="005029D0" w:rsidP="006A0C4B">
                      <w:pPr>
                        <w:jc w:val="center"/>
                      </w:pPr>
                      <w:r>
                        <w:rPr>
                          <w:rFonts w:asciiTheme="minorHAnsi" w:hAnsi="Calibri" w:cstheme="minorBidi"/>
                          <w:b/>
                          <w:bCs/>
                          <w:color w:val="000000" w:themeColor="text1"/>
                          <w:kern w:val="24"/>
                          <w:sz w:val="18"/>
                          <w:szCs w:val="18"/>
                        </w:rPr>
                        <w:t>prevention</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11488" behindDoc="0" locked="0" layoutInCell="1" allowOverlap="1" wp14:anchorId="47BA9587" wp14:editId="5C073BC3">
                <wp:simplePos x="0" y="0"/>
                <wp:positionH relativeFrom="column">
                  <wp:posOffset>1810385</wp:posOffset>
                </wp:positionH>
                <wp:positionV relativeFrom="paragraph">
                  <wp:posOffset>6978650</wp:posOffset>
                </wp:positionV>
                <wp:extent cx="1029448" cy="507831"/>
                <wp:effectExtent l="0" t="0" r="0" b="0"/>
                <wp:wrapNone/>
                <wp:docPr id="170" name="CuadroTexto 16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F74965-BA97-43B1-92DF-75B1434922BB}"/>
                    </a:ext>
                  </a:extLst>
                </wp:docPr>
                <wp:cNvGraphicFramePr/>
                <a:graphic xmlns:a="http://schemas.openxmlformats.org/drawingml/2006/main">
                  <a:graphicData uri="http://schemas.microsoft.com/office/word/2010/wordprocessingShape">
                    <wps:wsp>
                      <wps:cNvSpPr txBox="1"/>
                      <wps:spPr>
                        <a:xfrm>
                          <a:off x="0" y="0"/>
                          <a:ext cx="1029448" cy="507831"/>
                        </a:xfrm>
                        <a:prstGeom prst="rect">
                          <a:avLst/>
                        </a:prstGeom>
                        <a:noFill/>
                      </wps:spPr>
                      <wps:txbx>
                        <w:txbxContent>
                          <w:p w14:paraId="34E0DFE9" w14:textId="77777777" w:rsidR="005029D0" w:rsidRDefault="005029D0" w:rsidP="006A0C4B">
                            <w:pPr>
                              <w:jc w:val="center"/>
                            </w:pPr>
                            <w:r>
                              <w:rPr>
                                <w:rFonts w:asciiTheme="minorHAnsi" w:hAnsi="Calibri" w:cstheme="minorBidi"/>
                                <w:b/>
                                <w:bCs/>
                                <w:color w:val="000000" w:themeColor="text1"/>
                                <w:kern w:val="24"/>
                                <w:sz w:val="18"/>
                                <w:szCs w:val="18"/>
                              </w:rPr>
                              <w:t xml:space="preserve">Anti-aging </w:t>
                            </w:r>
                          </w:p>
                          <w:p w14:paraId="31FAB5BA" w14:textId="77777777" w:rsidR="005029D0" w:rsidRDefault="005029D0" w:rsidP="006A0C4B">
                            <w:pPr>
                              <w:jc w:val="center"/>
                            </w:pPr>
                            <w:r>
                              <w:rPr>
                                <w:rFonts w:asciiTheme="minorHAnsi" w:hAnsi="Calibri" w:cstheme="minorBidi"/>
                                <w:b/>
                                <w:bCs/>
                                <w:color w:val="000000" w:themeColor="text1"/>
                                <w:kern w:val="24"/>
                                <w:sz w:val="18"/>
                                <w:szCs w:val="18"/>
                              </w:rPr>
                              <w:t>and regenerative</w:t>
                            </w:r>
                          </w:p>
                          <w:p w14:paraId="7A1A705E" w14:textId="77777777" w:rsidR="005029D0" w:rsidRDefault="005029D0" w:rsidP="006A0C4B">
                            <w:pPr>
                              <w:jc w:val="center"/>
                            </w:pPr>
                            <w:r>
                              <w:rPr>
                                <w:rFonts w:asciiTheme="minorHAnsi" w:hAnsi="Calibri" w:cstheme="minorBidi"/>
                                <w:b/>
                                <w:bCs/>
                                <w:color w:val="000000" w:themeColor="text1"/>
                                <w:kern w:val="24"/>
                                <w:sz w:val="18"/>
                                <w:szCs w:val="18"/>
                              </w:rPr>
                              <w:t xml:space="preserve"> capacity</w:t>
                            </w:r>
                          </w:p>
                        </w:txbxContent>
                      </wps:txbx>
                      <wps:bodyPr wrap="none" rtlCol="0">
                        <a:spAutoFit/>
                      </wps:bodyPr>
                    </wps:wsp>
                  </a:graphicData>
                </a:graphic>
              </wp:anchor>
            </w:drawing>
          </mc:Choice>
          <mc:Fallback>
            <w:pict>
              <v:shape id="CuadroTexto 169" o:spid="_x0000_s1048" type="#_x0000_t202" style="position:absolute;left:0;text-align:left;margin-left:142.55pt;margin-top:549.5pt;width:81.05pt;height:40pt;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" filled="f" stroked="f">
                <v:textbox style="mso-fit-shape-to-text:t">
                  <w:txbxContent>
                    <w:p w14:paraId="34E0DFE9" w14:textId="77777777" w:rsidR="005029D0" w:rsidRDefault="005029D0" w:rsidP="006A0C4B">
                      <w:pPr>
                        <w:jc w:val="center"/>
                      </w:pPr>
                      <w:r>
                        <w:rPr>
                          <w:rFonts w:asciiTheme="minorHAnsi" w:hAnsi="Calibri" w:cstheme="minorBidi"/>
                          <w:b/>
                          <w:bCs/>
                          <w:color w:val="000000" w:themeColor="text1"/>
                          <w:kern w:val="24"/>
                          <w:sz w:val="18"/>
                          <w:szCs w:val="18"/>
                        </w:rPr>
                        <w:t xml:space="preserve">Anti-aging </w:t>
                      </w:r>
                    </w:p>
                    <w:p w14:paraId="31FAB5BA" w14:textId="77777777" w:rsidR="005029D0" w:rsidRDefault="005029D0" w:rsidP="006A0C4B">
                      <w:pPr>
                        <w:jc w:val="center"/>
                      </w:pPr>
                      <w:r>
                        <w:rPr>
                          <w:rFonts w:asciiTheme="minorHAnsi" w:hAnsi="Calibri" w:cstheme="minorBidi"/>
                          <w:b/>
                          <w:bCs/>
                          <w:color w:val="000000" w:themeColor="text1"/>
                          <w:kern w:val="24"/>
                          <w:sz w:val="18"/>
                          <w:szCs w:val="18"/>
                        </w:rPr>
                        <w:t>and regenerative</w:t>
                      </w:r>
                    </w:p>
                    <w:p w14:paraId="7A1A705E" w14:textId="77777777" w:rsidR="005029D0" w:rsidRDefault="005029D0" w:rsidP="006A0C4B">
                      <w:pPr>
                        <w:jc w:val="center"/>
                      </w:pPr>
                      <w:r>
                        <w:rPr>
                          <w:rFonts w:asciiTheme="minorHAnsi" w:hAnsi="Calibri" w:cstheme="minorBidi"/>
                          <w:b/>
                          <w:bCs/>
                          <w:color w:val="000000" w:themeColor="text1"/>
                          <w:kern w:val="24"/>
                          <w:sz w:val="18"/>
                          <w:szCs w:val="18"/>
                        </w:rPr>
                        <w:t xml:space="preserve"> capacity</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12512" behindDoc="0" locked="0" layoutInCell="1" allowOverlap="1" wp14:anchorId="1C8C9696" wp14:editId="5879BDCD">
                <wp:simplePos x="0" y="0"/>
                <wp:positionH relativeFrom="column">
                  <wp:posOffset>2811145</wp:posOffset>
                </wp:positionH>
                <wp:positionV relativeFrom="paragraph">
                  <wp:posOffset>6978650</wp:posOffset>
                </wp:positionV>
                <wp:extent cx="917239" cy="230832"/>
                <wp:effectExtent l="0" t="0" r="0" b="0"/>
                <wp:wrapNone/>
                <wp:docPr id="171" name="CuadroTexto 17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2C608A-4D7B-40BB-ABA0-58C59AB63B8C}"/>
                    </a:ext>
                  </a:extLst>
                </wp:docPr>
                <wp:cNvGraphicFramePr/>
                <a:graphic xmlns:a="http://schemas.openxmlformats.org/drawingml/2006/main">
                  <a:graphicData uri="http://schemas.microsoft.com/office/word/2010/wordprocessingShape">
                    <wps:wsp>
                      <wps:cNvSpPr txBox="1"/>
                      <wps:spPr>
                        <a:xfrm>
                          <a:off x="0" y="0"/>
                          <a:ext cx="917239" cy="230832"/>
                        </a:xfrm>
                        <a:prstGeom prst="rect">
                          <a:avLst/>
                        </a:prstGeom>
                        <a:noFill/>
                      </wps:spPr>
                      <wps:txbx>
                        <w:txbxContent>
                          <w:p w14:paraId="6979C0F7" w14:textId="77777777" w:rsidR="005029D0" w:rsidRDefault="005029D0" w:rsidP="006A0C4B">
                            <w:pPr>
                              <w:jc w:val="center"/>
                            </w:pPr>
                            <w:r>
                              <w:rPr>
                                <w:rFonts w:asciiTheme="minorHAnsi" w:hAnsi="Calibri" w:cstheme="minorBidi"/>
                                <w:b/>
                                <w:bCs/>
                                <w:color w:val="000000" w:themeColor="text1"/>
                                <w:kern w:val="24"/>
                                <w:sz w:val="18"/>
                                <w:szCs w:val="18"/>
                              </w:rPr>
                              <w:t>Wound healing</w:t>
                            </w:r>
                          </w:p>
                        </w:txbxContent>
                      </wps:txbx>
                      <wps:bodyPr wrap="none" rtlCol="0">
                        <a:spAutoFit/>
                      </wps:bodyPr>
                    </wps:wsp>
                  </a:graphicData>
                </a:graphic>
              </wp:anchor>
            </w:drawing>
          </mc:Choice>
          <mc:Fallback>
            <w:pict>
              <v:shape id="CuadroTexto 170" o:spid="_x0000_s1049" type="#_x0000_t202" style="position:absolute;left:0;text-align:left;margin-left:221.35pt;margin-top:549.5pt;width:72.2pt;height:18.2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" filled="f" stroked="f">
                <v:textbox style="mso-fit-shape-to-text:t">
                  <w:txbxContent>
                    <w:p w14:paraId="6979C0F7" w14:textId="77777777" w:rsidR="005029D0" w:rsidRDefault="005029D0" w:rsidP="006A0C4B">
                      <w:pPr>
                        <w:jc w:val="center"/>
                      </w:pPr>
                      <w:r>
                        <w:rPr>
                          <w:rFonts w:asciiTheme="minorHAnsi" w:hAnsi="Calibri" w:cstheme="minorBidi"/>
                          <w:b/>
                          <w:bCs/>
                          <w:color w:val="000000" w:themeColor="text1"/>
                          <w:kern w:val="24"/>
                          <w:sz w:val="18"/>
                          <w:szCs w:val="18"/>
                        </w:rPr>
                        <w:t>Wound healing</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13536" behindDoc="0" locked="0" layoutInCell="1" allowOverlap="1" wp14:anchorId="51733BFC" wp14:editId="4CD11C92">
                <wp:simplePos x="0" y="0"/>
                <wp:positionH relativeFrom="column">
                  <wp:posOffset>295275</wp:posOffset>
                </wp:positionH>
                <wp:positionV relativeFrom="paragraph">
                  <wp:posOffset>6978650</wp:posOffset>
                </wp:positionV>
                <wp:extent cx="766557" cy="230832"/>
                <wp:effectExtent l="0" t="0" r="0" b="0"/>
                <wp:wrapNone/>
                <wp:docPr id="180" name="CuadroTexto 17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2C8325-A94D-41D0-87AC-A1E6ABED874B}"/>
                    </a:ext>
                  </a:extLst>
                </wp:docPr>
                <wp:cNvGraphicFramePr/>
                <a:graphic xmlns:a="http://schemas.openxmlformats.org/drawingml/2006/main">
                  <a:graphicData uri="http://schemas.microsoft.com/office/word/2010/wordprocessingShape">
                    <wps:wsp>
                      <wps:cNvSpPr txBox="1"/>
                      <wps:spPr>
                        <a:xfrm>
                          <a:off x="0" y="0"/>
                          <a:ext cx="766557" cy="230832"/>
                        </a:xfrm>
                        <a:prstGeom prst="rect">
                          <a:avLst/>
                        </a:prstGeom>
                        <a:noFill/>
                      </wps:spPr>
                      <wps:txbx>
                        <w:txbxContent>
                          <w:p w14:paraId="58A1C1F9" w14:textId="77777777" w:rsidR="005029D0" w:rsidRDefault="005029D0" w:rsidP="006A0C4B">
                            <w:pPr>
                              <w:jc w:val="center"/>
                            </w:pPr>
                            <w:r>
                              <w:rPr>
                                <w:rFonts w:asciiTheme="minorHAnsi" w:hAnsi="Calibri" w:cstheme="minorBidi"/>
                                <w:b/>
                                <w:bCs/>
                                <w:color w:val="000000" w:themeColor="text1"/>
                                <w:kern w:val="24"/>
                                <w:sz w:val="18"/>
                                <w:szCs w:val="18"/>
                              </w:rPr>
                              <w:t>Bone health</w:t>
                            </w:r>
                          </w:p>
                        </w:txbxContent>
                      </wps:txbx>
                      <wps:bodyPr wrap="none" rtlCol="0">
                        <a:spAutoFit/>
                      </wps:bodyPr>
                    </wps:wsp>
                  </a:graphicData>
                </a:graphic>
              </wp:anchor>
            </w:drawing>
          </mc:Choice>
          <mc:Fallback>
            <w:pict>
              <v:shape id="CuadroTexto 179" o:spid="_x0000_s1050" type="#_x0000_t202" style="position:absolute;left:0;text-align:left;margin-left:23.25pt;margin-top:549.5pt;width:60.35pt;height:18.2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" filled="f" stroked="f">
                <v:textbox style="mso-fit-shape-to-text:t">
                  <w:txbxContent>
                    <w:p w14:paraId="58A1C1F9" w14:textId="77777777" w:rsidR="005029D0" w:rsidRDefault="005029D0" w:rsidP="006A0C4B">
                      <w:pPr>
                        <w:jc w:val="center"/>
                      </w:pPr>
                      <w:r>
                        <w:rPr>
                          <w:rFonts w:asciiTheme="minorHAnsi" w:hAnsi="Calibri" w:cstheme="minorBidi"/>
                          <w:b/>
                          <w:bCs/>
                          <w:color w:val="000000" w:themeColor="text1"/>
                          <w:kern w:val="24"/>
                          <w:sz w:val="18"/>
                          <w:szCs w:val="18"/>
                        </w:rPr>
                        <w:t>Bone health</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14560" behindDoc="0" locked="0" layoutInCell="1" allowOverlap="1" wp14:anchorId="0D41E7B5" wp14:editId="3462B5FD">
                <wp:simplePos x="0" y="0"/>
                <wp:positionH relativeFrom="column">
                  <wp:posOffset>4637405</wp:posOffset>
                </wp:positionH>
                <wp:positionV relativeFrom="paragraph">
                  <wp:posOffset>6978650</wp:posOffset>
                </wp:positionV>
                <wp:extent cx="1005403" cy="230832"/>
                <wp:effectExtent l="0" t="0" r="0" b="0"/>
                <wp:wrapNone/>
                <wp:docPr id="181" name="CuadroTexto 18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894315-6B8D-4758-972E-A05CF4CCF1D4}"/>
                    </a:ext>
                  </a:extLst>
                </wp:docPr>
                <wp:cNvGraphicFramePr/>
                <a:graphic xmlns:a="http://schemas.openxmlformats.org/drawingml/2006/main">
                  <a:graphicData uri="http://schemas.microsoft.com/office/word/2010/wordprocessingShape">
                    <wps:wsp>
                      <wps:cNvSpPr txBox="1"/>
                      <wps:spPr>
                        <a:xfrm>
                          <a:off x="0" y="0"/>
                          <a:ext cx="1005403" cy="230832"/>
                        </a:xfrm>
                        <a:prstGeom prst="rect">
                          <a:avLst/>
                        </a:prstGeom>
                        <a:noFill/>
                        <a:ln>
                          <a:noFill/>
                        </a:ln>
                      </wps:spPr>
                      <wps:txbx>
                        <w:txbxContent>
                          <w:p w14:paraId="739197AC" w14:textId="77777777" w:rsidR="005029D0" w:rsidRDefault="005029D0" w:rsidP="006A0C4B">
                            <w:pPr>
                              <w:jc w:val="center"/>
                            </w:pPr>
                            <w:r>
                              <w:rPr>
                                <w:rFonts w:asciiTheme="minorHAnsi" w:hAnsi="Calibri" w:cstheme="minorBidi"/>
                                <w:b/>
                                <w:bCs/>
                                <w:color w:val="000000" w:themeColor="text1"/>
                                <w:kern w:val="24"/>
                                <w:sz w:val="18"/>
                                <w:szCs w:val="18"/>
                              </w:rPr>
                              <w:t>Cardioprotection</w:t>
                            </w:r>
                          </w:p>
                        </w:txbxContent>
                      </wps:txbx>
                      <wps:bodyPr wrap="none" rtlCol="0">
                        <a:spAutoFit/>
                      </wps:bodyPr>
                    </wps:wsp>
                  </a:graphicData>
                </a:graphic>
              </wp:anchor>
            </w:drawing>
          </mc:Choice>
          <mc:Fallback>
            <w:pict>
              <v:shape id="CuadroTexto 180" o:spid="_x0000_s1051" type="#_x0000_t202" style="position:absolute;left:0;text-align:left;margin-left:365.15pt;margin-top:549.5pt;width:79.15pt;height:18.2pt;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" filled="f" stroked="f">
                <v:textbox style="mso-fit-shape-to-text:t">
                  <w:txbxContent>
                    <w:p w14:paraId="739197AC" w14:textId="77777777" w:rsidR="005029D0" w:rsidRDefault="005029D0" w:rsidP="006A0C4B">
                      <w:pPr>
                        <w:jc w:val="center"/>
                      </w:pPr>
                      <w:r>
                        <w:rPr>
                          <w:rFonts w:asciiTheme="minorHAnsi" w:hAnsi="Calibri" w:cstheme="minorBidi"/>
                          <w:b/>
                          <w:bCs/>
                          <w:color w:val="000000" w:themeColor="text1"/>
                          <w:kern w:val="24"/>
                          <w:sz w:val="18"/>
                          <w:szCs w:val="18"/>
                        </w:rPr>
                        <w:t>Cardioprotection</w:t>
                      </w:r>
                    </w:p>
                  </w:txbxContent>
                </v:textbox>
              </v:shape>
            </w:pict>
          </mc:Fallback>
        </mc:AlternateContent>
      </w:r>
      <w:r w:rsidRPr="00B7408D">
        <w:rPr>
          <w:rFonts w:ascii="Book Antiqua" w:hAnsi="Book Antiqua"/>
          <w:b/>
          <w:noProof/>
          <w:lang w:val="en-US" w:bidi="ar-SA"/>
        </w:rPr>
        <w:drawing>
          <wp:anchor distT="0" distB="0" distL="114300" distR="114300" simplePos="0" relativeHeight="251715584" behindDoc="0" locked="0" layoutInCell="1" allowOverlap="1" wp14:anchorId="49EC7D55" wp14:editId="1090F83A">
            <wp:simplePos x="0" y="0"/>
            <wp:positionH relativeFrom="column">
              <wp:posOffset>3994785</wp:posOffset>
            </wp:positionH>
            <wp:positionV relativeFrom="paragraph">
              <wp:posOffset>6575425</wp:posOffset>
            </wp:positionV>
            <wp:extent cx="485417" cy="344982"/>
            <wp:effectExtent l="0" t="0" r="0" b="0"/>
            <wp:wrapNone/>
            <wp:docPr id="182" name="Imagen 18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68130C-C612-467B-8681-C74E410A6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n 18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68130C-C612-467B-8681-C74E410A6998}"/>
                        </a:ext>
                      </a:extLst>
                    </pic:cNvPr>
                    <pic:cNvPicPr>
                      <a:picLocks noChangeAspect="1"/>
                    </pic:cNvPicPr>
                  </pic:nvPicPr>
                  <pic:blipFill>
                    <a:blip r:embed="rId26">
                      <a:duotone>
                        <a:schemeClr val="accent1">
                          <a:shade val="45000"/>
                          <a:satMod val="135000"/>
                        </a:schemeClr>
                        <a:prstClr val="white"/>
                      </a:duotone>
                    </a:blip>
                    <a:stretch>
                      <a:fillRect/>
                    </a:stretch>
                  </pic:blipFill>
                  <pic:spPr>
                    <a:xfrm>
                      <a:off x="0" y="0"/>
                      <a:ext cx="485417" cy="344982"/>
                    </a:xfrm>
                    <a:prstGeom prst="rect">
                      <a:avLst/>
                    </a:prstGeom>
                  </pic:spPr>
                </pic:pic>
              </a:graphicData>
            </a:graphic>
          </wp:anchor>
        </w:drawing>
      </w:r>
      <w:r w:rsidRPr="00B7408D">
        <w:rPr>
          <w:rFonts w:ascii="Book Antiqua" w:hAnsi="Book Antiqua"/>
          <w:b/>
          <w:noProof/>
          <w:lang w:val="en-US" w:bidi="ar-SA"/>
        </w:rPr>
        <w:drawing>
          <wp:anchor distT="0" distB="0" distL="114300" distR="114300" simplePos="0" relativeHeight="251716608" behindDoc="0" locked="0" layoutInCell="1" allowOverlap="1" wp14:anchorId="248F9473" wp14:editId="333ECF47">
            <wp:simplePos x="0" y="0"/>
            <wp:positionH relativeFrom="column">
              <wp:posOffset>4936490</wp:posOffset>
            </wp:positionH>
            <wp:positionV relativeFrom="paragraph">
              <wp:posOffset>6509385</wp:posOffset>
            </wp:positionV>
            <wp:extent cx="336405" cy="476325"/>
            <wp:effectExtent l="0" t="0" r="0" b="0"/>
            <wp:wrapNone/>
            <wp:docPr id="183" name="Imagen 18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8E98A8-98BD-40F1-A7CE-51D3868F2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n 18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8E98A8-98BD-40F1-A7CE-51D3868F2BED}"/>
                        </a:ext>
                      </a:extLst>
                    </pic:cNvPr>
                    <pic:cNvPicPr>
                      <a:picLocks noChangeAspect="1"/>
                    </pic:cNvPicPr>
                  </pic:nvPicPr>
                  <pic:blipFill>
                    <a:blip r:embed="rId27">
                      <a:duotone>
                        <a:schemeClr val="accent1">
                          <a:shade val="45000"/>
                          <a:satMod val="135000"/>
                        </a:schemeClr>
                        <a:prstClr val="white"/>
                      </a:duotone>
                    </a:blip>
                    <a:stretch>
                      <a:fillRect/>
                    </a:stretch>
                  </pic:blipFill>
                  <pic:spPr>
                    <a:xfrm>
                      <a:off x="0" y="0"/>
                      <a:ext cx="336405" cy="476325"/>
                    </a:xfrm>
                    <a:prstGeom prst="rect">
                      <a:avLst/>
                    </a:prstGeom>
                  </pic:spPr>
                </pic:pic>
              </a:graphicData>
            </a:graphic>
          </wp:anchor>
        </w:drawing>
      </w:r>
      <w:r w:rsidRPr="00B7408D">
        <w:rPr>
          <w:rFonts w:ascii="Book Antiqua" w:hAnsi="Book Antiqua"/>
          <w:b/>
          <w:noProof/>
          <w:lang w:val="en-US" w:bidi="ar-SA"/>
        </w:rPr>
        <w:drawing>
          <wp:anchor distT="0" distB="0" distL="114300" distR="114300" simplePos="0" relativeHeight="251717632" behindDoc="0" locked="0" layoutInCell="1" allowOverlap="1" wp14:anchorId="0BA2A5EC" wp14:editId="79C3FB04">
            <wp:simplePos x="0" y="0"/>
            <wp:positionH relativeFrom="column">
              <wp:posOffset>2175510</wp:posOffset>
            </wp:positionH>
            <wp:positionV relativeFrom="paragraph">
              <wp:posOffset>6570980</wp:posOffset>
            </wp:positionV>
            <wp:extent cx="353827" cy="353827"/>
            <wp:effectExtent l="0" t="0" r="0" b="1905"/>
            <wp:wrapNone/>
            <wp:docPr id="184" name="Imagen 18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CC63B8-DBA4-458C-AEE3-4EBB1CC9AE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n 18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CC63B8-DBA4-458C-AEE3-4EBB1CC9AE0C}"/>
                        </a:ext>
                      </a:extLst>
                    </pic:cNvPr>
                    <pic:cNvPicPr>
                      <a:picLocks noChangeAspect="1"/>
                    </pic:cNvPicPr>
                  </pic:nvPicPr>
                  <pic:blipFill>
                    <a:blip r:embed="rId2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3827" cy="353827"/>
                    </a:xfrm>
                    <a:prstGeom prst="rect">
                      <a:avLst/>
                    </a:prstGeom>
                  </pic:spPr>
                </pic:pic>
              </a:graphicData>
            </a:graphic>
          </wp:anchor>
        </w:drawing>
      </w:r>
      <w:r w:rsidRPr="00B7408D">
        <w:rPr>
          <w:rFonts w:ascii="Book Antiqua" w:hAnsi="Book Antiqua"/>
          <w:b/>
          <w:noProof/>
          <w:lang w:val="en-US" w:bidi="ar-SA"/>
        </w:rPr>
        <w:drawing>
          <wp:anchor distT="0" distB="0" distL="114300" distR="114300" simplePos="0" relativeHeight="251718656" behindDoc="0" locked="0" layoutInCell="1" allowOverlap="1" wp14:anchorId="6E81AFB4" wp14:editId="003E71EC">
            <wp:simplePos x="0" y="0"/>
            <wp:positionH relativeFrom="column">
              <wp:posOffset>1384300</wp:posOffset>
            </wp:positionH>
            <wp:positionV relativeFrom="paragraph">
              <wp:posOffset>6537960</wp:posOffset>
            </wp:positionV>
            <wp:extent cx="325924" cy="419660"/>
            <wp:effectExtent l="0" t="0" r="4445" b="0"/>
            <wp:wrapNone/>
            <wp:docPr id="185" name="Imagen 18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CE19E7-1414-4A60-8145-B9D532F1CE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n 18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CE19E7-1414-4A60-8145-B9D532F1CEEF}"/>
                        </a:ext>
                      </a:extLst>
                    </pic:cNvPr>
                    <pic:cNvPicPr>
                      <a:picLocks noChangeAspect="1"/>
                    </pic:cNvPicPr>
                  </pic:nvPicPr>
                  <pic:blipFill>
                    <a:blip r:embed="rId29">
                      <a:duotone>
                        <a:schemeClr val="accent5">
                          <a:shade val="45000"/>
                          <a:satMod val="135000"/>
                        </a:schemeClr>
                        <a:prstClr val="white"/>
                      </a:duotone>
                      <a:extLst>
                        <a:ext uri="{BEBA8EAE-BF5A-486C-A8C5-ECC9F3942E4B}">
                          <a14:imgProps xmlns:a14="http://schemas.microsoft.com/office/drawing/2010/main">
                            <a14:imgLayer r:embed="rId30">
                              <a14:imgEffect>
                                <a14:backgroundRemoval t="1230" b="97746" l="1583" r="95119">
                                  <a14:foregroundMark x1="51055" y1="14037" x2="51055" y2="14037"/>
                                  <a14:foregroundMark x1="47361" y1="5123" x2="47361" y2="5123"/>
                                  <a14:foregroundMark x1="53166" y1="1230" x2="53166" y2="1230"/>
                                  <a14:foregroundMark x1="95119" y1="45389" x2="95119" y2="45389"/>
                                  <a14:foregroundMark x1="8179" y1="43852" x2="8179" y2="43852"/>
                                  <a14:foregroundMark x1="4881" y1="52152" x2="4881" y2="52152"/>
                                  <a14:foregroundMark x1="37863" y1="89857" x2="37863" y2="89857"/>
                                  <a14:foregroundMark x1="42480" y1="91496" x2="42480" y2="91496"/>
                                  <a14:foregroundMark x1="33377" y1="92111" x2="33377" y2="92111"/>
                                  <a14:foregroundMark x1="38654" y1="97848" x2="38654" y2="97848"/>
                                  <a14:foregroundMark x1="1583" y1="50205" x2="1583" y2="50205"/>
                                  <a14:foregroundMark x1="61741" y1="92418" x2="61741" y2="92418"/>
                                </a14:backgroundRemoval>
                              </a14:imgEffect>
                            </a14:imgLayer>
                          </a14:imgProps>
                        </a:ext>
                      </a:extLst>
                    </a:blip>
                    <a:stretch>
                      <a:fillRect/>
                    </a:stretch>
                  </pic:blipFill>
                  <pic:spPr>
                    <a:xfrm>
                      <a:off x="0" y="0"/>
                      <a:ext cx="325924" cy="419660"/>
                    </a:xfrm>
                    <a:prstGeom prst="rect">
                      <a:avLst/>
                    </a:prstGeom>
                  </pic:spPr>
                </pic:pic>
              </a:graphicData>
            </a:graphic>
          </wp:anchor>
        </w:drawing>
      </w:r>
      <w:r w:rsidRPr="00B7408D">
        <w:rPr>
          <w:rFonts w:ascii="Book Antiqua" w:hAnsi="Book Antiqua"/>
          <w:b/>
          <w:noProof/>
          <w:lang w:val="en-US" w:bidi="ar-SA"/>
        </w:rPr>
        <w:drawing>
          <wp:anchor distT="0" distB="0" distL="114300" distR="114300" simplePos="0" relativeHeight="251719680" behindDoc="0" locked="0" layoutInCell="1" allowOverlap="1" wp14:anchorId="76A52301" wp14:editId="383CC704">
            <wp:simplePos x="0" y="0"/>
            <wp:positionH relativeFrom="column">
              <wp:posOffset>547052</wp:posOffset>
            </wp:positionH>
            <wp:positionV relativeFrom="paragraph">
              <wp:posOffset>6592253</wp:posOffset>
            </wp:positionV>
            <wp:extent cx="386885" cy="357235"/>
            <wp:effectExtent l="27623" t="23177" r="21907" b="21908"/>
            <wp:wrapNone/>
            <wp:docPr id="186" name="Imagen 18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77C4F2-EF33-4BAC-AC1D-51825641CD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n 18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77C4F2-EF33-4BAC-AC1D-51825641CDA2}"/>
                        </a:ext>
                      </a:extLst>
                    </pic:cNvPr>
                    <pic:cNvPicPr>
                      <a:picLocks noChangeAspect="1"/>
                    </pic:cNvPicPr>
                  </pic:nvPicPr>
                  <pic:blipFill>
                    <a:blip r:embed="rId31">
                      <a:duotone>
                        <a:schemeClr val="accent1">
                          <a:shade val="45000"/>
                          <a:satMod val="135000"/>
                        </a:schemeClr>
                        <a:prstClr val="white"/>
                      </a:duotone>
                    </a:blip>
                    <a:stretch>
                      <a:fillRect/>
                    </a:stretch>
                  </pic:blipFill>
                  <pic:spPr>
                    <a:xfrm rot="5810080">
                      <a:off x="0" y="0"/>
                      <a:ext cx="386885" cy="357235"/>
                    </a:xfrm>
                    <a:prstGeom prst="rect">
                      <a:avLst/>
                    </a:prstGeom>
                  </pic:spPr>
                </pic:pic>
              </a:graphicData>
            </a:graphic>
          </wp:anchor>
        </w:drawing>
      </w:r>
      <w:r w:rsidRPr="00B7408D">
        <w:rPr>
          <w:rFonts w:ascii="Book Antiqua" w:hAnsi="Book Antiqua"/>
          <w:b/>
          <w:noProof/>
          <w:lang w:val="en-US" w:bidi="ar-SA"/>
        </w:rPr>
        <w:drawing>
          <wp:anchor distT="0" distB="0" distL="114300" distR="114300" simplePos="0" relativeHeight="251720704" behindDoc="0" locked="0" layoutInCell="1" allowOverlap="1" wp14:anchorId="0EABAAAA" wp14:editId="6ABEF6CD">
            <wp:simplePos x="0" y="0"/>
            <wp:positionH relativeFrom="column">
              <wp:posOffset>2994660</wp:posOffset>
            </wp:positionH>
            <wp:positionV relativeFrom="paragraph">
              <wp:posOffset>6534150</wp:posOffset>
            </wp:positionV>
            <wp:extent cx="534750" cy="427800"/>
            <wp:effectExtent l="0" t="0" r="0" b="4445"/>
            <wp:wrapNone/>
            <wp:docPr id="187" name="Imagen 18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C258A2-00F1-4546-9BE1-70B10766C4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n 18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C258A2-00F1-4546-9BE1-70B10766C4AA}"/>
                        </a:ext>
                      </a:extLst>
                    </pic:cNvPr>
                    <pic:cNvPicPr>
                      <a:picLocks noChangeAspect="1"/>
                    </pic:cNvPicPr>
                  </pic:nvPicPr>
                  <pic:blipFill>
                    <a:blip r:embed="rId32">
                      <a:duotone>
                        <a:schemeClr val="accent1">
                          <a:shade val="45000"/>
                          <a:satMod val="135000"/>
                        </a:schemeClr>
                        <a:prstClr val="white"/>
                      </a:duotone>
                    </a:blip>
                    <a:stretch>
                      <a:fillRect/>
                    </a:stretch>
                  </pic:blipFill>
                  <pic:spPr>
                    <a:xfrm>
                      <a:off x="0" y="0"/>
                      <a:ext cx="534750" cy="427800"/>
                    </a:xfrm>
                    <a:prstGeom prst="rect">
                      <a:avLst/>
                    </a:prstGeom>
                  </pic:spPr>
                </pic:pic>
              </a:graphicData>
            </a:graphic>
          </wp:anchor>
        </w:drawing>
      </w:r>
      <w:r w:rsidRPr="00B7408D">
        <w:rPr>
          <w:rFonts w:ascii="Book Antiqua" w:hAnsi="Book Antiqua"/>
          <w:b/>
          <w:noProof/>
          <w:lang w:val="en-US" w:bidi="ar-SA"/>
        </w:rPr>
        <mc:AlternateContent>
          <mc:Choice Requires="wps">
            <w:drawing>
              <wp:anchor distT="0" distB="0" distL="114300" distR="114300" simplePos="0" relativeHeight="251721728" behindDoc="0" locked="0" layoutInCell="1" allowOverlap="1" wp14:anchorId="3B0EF568" wp14:editId="47E975F1">
                <wp:simplePos x="0" y="0"/>
                <wp:positionH relativeFrom="column">
                  <wp:posOffset>548640</wp:posOffset>
                </wp:positionH>
                <wp:positionV relativeFrom="paragraph">
                  <wp:posOffset>5675630</wp:posOffset>
                </wp:positionV>
                <wp:extent cx="137519" cy="771643"/>
                <wp:effectExtent l="0" t="0" r="53340" b="41275"/>
                <wp:wrapNone/>
                <wp:docPr id="188" name="Conector recto de flecha 18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3809C4-852F-4720-B438-6B490AA280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519" cy="771643"/>
                        </a:xfrm>
                        <a:prstGeom prst="straightConnector1">
                          <a:avLst/>
                        </a:prstGeom>
                        <a:ln>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63D1E9" id="_x0000_t32" coordsize="21600,21600" o:spt="32" o:oned="t" path="m,l21600,21600e" filled="f">
                <v:path arrowok="t" fillok="f" o:connecttype="none"/>
                <o:lock v:ext="edit" shapetype="t"/>
              </v:shapetype>
              <v:shape id="Conector recto de flecha 187" o:spid="_x0000_s1026" type="#_x0000_t32" style="position:absolute;margin-left:43.2pt;margin-top:446.9pt;width:10.85pt;height:60.7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" strokecolor="#404040 [2429]"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22752" behindDoc="0" locked="0" layoutInCell="1" allowOverlap="1" wp14:anchorId="625E6C40" wp14:editId="5B6BBAF3">
                <wp:simplePos x="0" y="0"/>
                <wp:positionH relativeFrom="column">
                  <wp:posOffset>960755</wp:posOffset>
                </wp:positionH>
                <wp:positionV relativeFrom="paragraph">
                  <wp:posOffset>5675630</wp:posOffset>
                </wp:positionV>
                <wp:extent cx="392085" cy="743594"/>
                <wp:effectExtent l="25400" t="0" r="14605" b="31115"/>
                <wp:wrapNone/>
                <wp:docPr id="189" name="Conector recto de flecha 18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FEC0AE-AFC2-46E4-85A4-28A513892B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2085" cy="743594"/>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6F4E5E" id="Conector recto de flecha 188" o:spid="_x0000_s1026" type="#_x0000_t32" style="position:absolute;margin-left:75.65pt;margin-top:446.9pt;width:30.85pt;height:58.55pt;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" strokecolor="#1f3763 [1604]"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23776" behindDoc="0" locked="0" layoutInCell="1" allowOverlap="1" wp14:anchorId="4EEFE51A" wp14:editId="6434F4B4">
                <wp:simplePos x="0" y="0"/>
                <wp:positionH relativeFrom="column">
                  <wp:posOffset>1353185</wp:posOffset>
                </wp:positionH>
                <wp:positionV relativeFrom="paragraph">
                  <wp:posOffset>5675630</wp:posOffset>
                </wp:positionV>
                <wp:extent cx="163287" cy="726764"/>
                <wp:effectExtent l="0" t="0" r="40005" b="35560"/>
                <wp:wrapNone/>
                <wp:docPr id="190" name="Conector recto de flecha 18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BE44EB-6514-42C4-BE55-ECFADCA693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287" cy="726764"/>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980197" id="Conector recto de flecha 189" o:spid="_x0000_s1026" type="#_x0000_t32" style="position:absolute;margin-left:106.55pt;margin-top:446.9pt;width:12.85pt;height:57.2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" strokecolor="#1f3763 [1604]"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24800" behindDoc="0" locked="0" layoutInCell="1" allowOverlap="1" wp14:anchorId="5E9C8A8F" wp14:editId="367C82BE">
                <wp:simplePos x="0" y="0"/>
                <wp:positionH relativeFrom="column">
                  <wp:posOffset>2221230</wp:posOffset>
                </wp:positionH>
                <wp:positionV relativeFrom="paragraph">
                  <wp:posOffset>5606415</wp:posOffset>
                </wp:positionV>
                <wp:extent cx="74516" cy="857722"/>
                <wp:effectExtent l="0" t="0" r="52705" b="31750"/>
                <wp:wrapNone/>
                <wp:docPr id="191" name="Conector recto de flecha 19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D42472-2F99-4299-BDE3-59C9F17211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516" cy="857722"/>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8E420B" id="Conector recto de flecha 190" o:spid="_x0000_s1026" type="#_x0000_t32" style="position:absolute;margin-left:174.9pt;margin-top:441.45pt;width:5.85pt;height:67.5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" strokecolor="#375623 [1609]"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25824" behindDoc="0" locked="0" layoutInCell="1" allowOverlap="1" wp14:anchorId="61B070FD" wp14:editId="48EB7C11">
                <wp:simplePos x="0" y="0"/>
                <wp:positionH relativeFrom="column">
                  <wp:posOffset>3613785</wp:posOffset>
                </wp:positionH>
                <wp:positionV relativeFrom="paragraph">
                  <wp:posOffset>5606415</wp:posOffset>
                </wp:positionV>
                <wp:extent cx="1600544" cy="900294"/>
                <wp:effectExtent l="25400" t="0" r="12700" b="40005"/>
                <wp:wrapNone/>
                <wp:docPr id="196" name="Conector recto de flecha 19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3253C4-47A2-4ED9-9D30-6241D6CF1D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0544" cy="900294"/>
                        </a:xfrm>
                        <a:prstGeom prst="straightConnector1">
                          <a:avLst/>
                        </a:prstGeom>
                        <a:ln>
                          <a:solidFill>
                            <a:srgbClr val="CC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009C96" id="Conector recto de flecha 195" o:spid="_x0000_s1026" type="#_x0000_t32" style="position:absolute;margin-left:284.55pt;margin-top:441.45pt;width:126.05pt;height:70.9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" strokecolor="#c00"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26848" behindDoc="0" locked="0" layoutInCell="1" allowOverlap="1" wp14:anchorId="0D037012" wp14:editId="57EF187C">
                <wp:simplePos x="0" y="0"/>
                <wp:positionH relativeFrom="column">
                  <wp:posOffset>1750695</wp:posOffset>
                </wp:positionH>
                <wp:positionV relativeFrom="paragraph">
                  <wp:posOffset>5624195</wp:posOffset>
                </wp:positionV>
                <wp:extent cx="1924830" cy="788315"/>
                <wp:effectExtent l="25400" t="0" r="18415" b="50165"/>
                <wp:wrapNone/>
                <wp:docPr id="197" name="Conector recto de flecha 19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261BF6-5B06-4924-BCD8-B0E82418C2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24830" cy="7883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3558F9" id="Conector recto de flecha 196" o:spid="_x0000_s1026" type="#_x0000_t32" style="position:absolute;margin-left:137.85pt;margin-top:442.85pt;width:151.55pt;height:62.05pt;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" strokecolor="#4472c4 [3204]"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27872" behindDoc="0" locked="0" layoutInCell="1" allowOverlap="1" wp14:anchorId="0A8B44DC" wp14:editId="1BDD7069">
                <wp:simplePos x="0" y="0"/>
                <wp:positionH relativeFrom="column">
                  <wp:posOffset>3126740</wp:posOffset>
                </wp:positionH>
                <wp:positionV relativeFrom="paragraph">
                  <wp:posOffset>5624195</wp:posOffset>
                </wp:positionV>
                <wp:extent cx="548956" cy="805407"/>
                <wp:effectExtent l="25400" t="0" r="22860" b="33020"/>
                <wp:wrapNone/>
                <wp:docPr id="202" name="Conector recto de flecha 20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695A2B-7E84-4F8E-867D-0F2D303D53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8956" cy="8054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6B8458" id="Conector recto de flecha 201" o:spid="_x0000_s1026" type="#_x0000_t32" style="position:absolute;margin-left:246.2pt;margin-top:442.85pt;width:43.2pt;height:63.4pt;flip:x;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" strokecolor="#4472c4 [3204]"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28896" behindDoc="0" locked="0" layoutInCell="1" allowOverlap="1" wp14:anchorId="192E205F" wp14:editId="199CA725">
                <wp:simplePos x="0" y="0"/>
                <wp:positionH relativeFrom="column">
                  <wp:posOffset>3667125</wp:posOffset>
                </wp:positionH>
                <wp:positionV relativeFrom="paragraph">
                  <wp:posOffset>5633085</wp:posOffset>
                </wp:positionV>
                <wp:extent cx="519267" cy="831045"/>
                <wp:effectExtent l="0" t="0" r="52705" b="33020"/>
                <wp:wrapNone/>
                <wp:docPr id="203" name="Conector recto de flecha 20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DC62F-B0B5-4D61-BC3B-19EBC4F6FD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9267" cy="8310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B9E530" id="Conector recto de flecha 202" o:spid="_x0000_s1026" type="#_x0000_t32" style="position:absolute;margin-left:288.75pt;margin-top:443.55pt;width:40.9pt;height:65.4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" strokecolor="#4472c4 [3204]"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29920" behindDoc="0" locked="0" layoutInCell="1" allowOverlap="1" wp14:anchorId="29C4E69F" wp14:editId="01D033BD">
                <wp:simplePos x="0" y="0"/>
                <wp:positionH relativeFrom="column">
                  <wp:posOffset>3675380</wp:posOffset>
                </wp:positionH>
                <wp:positionV relativeFrom="paragraph">
                  <wp:posOffset>5624195</wp:posOffset>
                </wp:positionV>
                <wp:extent cx="1220023" cy="805407"/>
                <wp:effectExtent l="0" t="0" r="50165" b="33020"/>
                <wp:wrapNone/>
                <wp:docPr id="210" name="Conector recto de flecha 20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6EF972-F0E6-446C-8D0B-32DF08FFED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0023" cy="8054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3802A3" id="Conector recto de flecha 209" o:spid="_x0000_s1026" type="#_x0000_t32" style="position:absolute;margin-left:289.4pt;margin-top:442.85pt;width:96.05pt;height:63.4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" strokecolor="#4472c4 [3204]"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30944" behindDoc="0" locked="0" layoutInCell="1" allowOverlap="1" wp14:anchorId="2B5D8233" wp14:editId="3D589C45">
                <wp:simplePos x="0" y="0"/>
                <wp:positionH relativeFrom="column">
                  <wp:posOffset>2588260</wp:posOffset>
                </wp:positionH>
                <wp:positionV relativeFrom="paragraph">
                  <wp:posOffset>5606415</wp:posOffset>
                </wp:positionV>
                <wp:extent cx="1884869" cy="840473"/>
                <wp:effectExtent l="25400" t="0" r="20320" b="36195"/>
                <wp:wrapNone/>
                <wp:docPr id="215" name="Conector recto de flecha 2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27CDCD-1CCE-4C41-8F29-9E4474B0D0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84869" cy="840473"/>
                        </a:xfrm>
                        <a:prstGeom prst="straightConnector1">
                          <a:avLst/>
                        </a:prstGeom>
                        <a:ln>
                          <a:solidFill>
                            <a:schemeClr val="accent4">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9070AF" id="Conector recto de flecha 214" o:spid="_x0000_s1026" type="#_x0000_t32" style="position:absolute;margin-left:203.8pt;margin-top:441.45pt;width:148.4pt;height:66.2pt;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" strokecolor="#7f5f00 [1607]"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31968" behindDoc="0" locked="0" layoutInCell="1" allowOverlap="1" wp14:anchorId="0B6FE753" wp14:editId="5F0A0FFA">
                <wp:simplePos x="0" y="0"/>
                <wp:positionH relativeFrom="column">
                  <wp:posOffset>3263265</wp:posOffset>
                </wp:positionH>
                <wp:positionV relativeFrom="paragraph">
                  <wp:posOffset>5606415</wp:posOffset>
                </wp:positionV>
                <wp:extent cx="1209752" cy="814836"/>
                <wp:effectExtent l="25400" t="0" r="22225" b="36195"/>
                <wp:wrapNone/>
                <wp:docPr id="216" name="Conector recto de flecha 2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E18836-E784-4C42-8C78-67AF9ABDE7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09752" cy="814836"/>
                        </a:xfrm>
                        <a:prstGeom prst="straightConnector1">
                          <a:avLst/>
                        </a:prstGeom>
                        <a:ln>
                          <a:solidFill>
                            <a:schemeClr val="accent4">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38D5E6" id="Conector recto de flecha 215" o:spid="_x0000_s1026" type="#_x0000_t32" style="position:absolute;margin-left:256.95pt;margin-top:441.45pt;width:95.25pt;height:64.15pt;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" strokecolor="#7f5f00 [1607]"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32992" behindDoc="0" locked="0" layoutInCell="1" allowOverlap="1" wp14:anchorId="2013C5D6" wp14:editId="31995851">
                <wp:simplePos x="0" y="0"/>
                <wp:positionH relativeFrom="column">
                  <wp:posOffset>548005</wp:posOffset>
                </wp:positionH>
                <wp:positionV relativeFrom="paragraph">
                  <wp:posOffset>3768090</wp:posOffset>
                </wp:positionV>
                <wp:extent cx="405880" cy="200055"/>
                <wp:effectExtent l="0" t="0" r="0" b="0"/>
                <wp:wrapNone/>
                <wp:docPr id="217" name="CuadroTexto 2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8D26CA-3FD2-4347-A66A-C89AE6D0D5E1}"/>
                    </a:ext>
                  </a:extLst>
                </wp:docPr>
                <wp:cNvGraphicFramePr/>
                <a:graphic xmlns:a="http://schemas.openxmlformats.org/drawingml/2006/main">
                  <a:graphicData uri="http://schemas.microsoft.com/office/word/2010/wordprocessingShape">
                    <wps:wsp>
                      <wps:cNvSpPr txBox="1"/>
                      <wps:spPr>
                        <a:xfrm>
                          <a:off x="0" y="0"/>
                          <a:ext cx="405880" cy="200055"/>
                        </a:xfrm>
                        <a:prstGeom prst="rect">
                          <a:avLst/>
                        </a:prstGeom>
                        <a:noFill/>
                      </wps:spPr>
                      <wps:txbx>
                        <w:txbxContent>
                          <w:p w14:paraId="18275FD5" w14:textId="77777777" w:rsidR="005029D0" w:rsidRDefault="005029D0" w:rsidP="006A0C4B">
                            <w:r>
                              <w:rPr>
                                <w:rFonts w:asciiTheme="minorHAnsi" w:hAnsi="Calibri" w:cstheme="minorBidi"/>
                                <w:color w:val="0070C0"/>
                                <w:kern w:val="24"/>
                                <w:sz w:val="14"/>
                                <w:szCs w:val="14"/>
                              </w:rPr>
                              <w:t>Ole</w:t>
                            </w:r>
                            <w:r>
                              <w:rPr>
                                <w:rFonts w:asciiTheme="minorHAnsi" w:hAnsi="Calibri" w:cstheme="minorBidi"/>
                                <w:color w:val="000000" w:themeColor="text1"/>
                                <w:kern w:val="24"/>
                                <w:position w:val="4"/>
                                <w:sz w:val="14"/>
                                <w:szCs w:val="14"/>
                                <w:vertAlign w:val="superscript"/>
                              </w:rPr>
                              <w:t>[42]</w:t>
                            </w:r>
                          </w:p>
                        </w:txbxContent>
                      </wps:txbx>
                      <wps:bodyPr wrap="none" rtlCol="0">
                        <a:spAutoFit/>
                      </wps:bodyPr>
                    </wps:wsp>
                  </a:graphicData>
                </a:graphic>
              </wp:anchor>
            </w:drawing>
          </mc:Choice>
          <mc:Fallback>
            <w:pict>
              <v:shape id="CuadroTexto 216" o:spid="_x0000_s1052" type="#_x0000_t202" style="position:absolute;left:0;text-align:left;margin-left:43.15pt;margin-top:296.7pt;width:31.95pt;height:15.75pt;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" filled="f" stroked="f">
                <v:textbox style="mso-fit-shape-to-text:t">
                  <w:txbxContent>
                    <w:p w14:paraId="18275FD5" w14:textId="77777777" w:rsidR="005029D0" w:rsidRDefault="005029D0" w:rsidP="006A0C4B">
                      <w:r>
                        <w:rPr>
                          <w:rFonts w:asciiTheme="minorHAnsi" w:hAnsi="Calibri" w:cstheme="minorBidi"/>
                          <w:color w:val="0070C0"/>
                          <w:kern w:val="24"/>
                          <w:sz w:val="14"/>
                          <w:szCs w:val="14"/>
                        </w:rPr>
                        <w:t>Ole</w:t>
                      </w:r>
                      <w:r>
                        <w:rPr>
                          <w:rFonts w:asciiTheme="minorHAnsi" w:hAnsi="Calibri" w:cstheme="minorBidi"/>
                          <w:color w:val="000000" w:themeColor="text1"/>
                          <w:kern w:val="24"/>
                          <w:position w:val="4"/>
                          <w:sz w:val="14"/>
                          <w:szCs w:val="14"/>
                          <w:vertAlign w:val="superscript"/>
                        </w:rPr>
                        <w:t>[42]</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34016" behindDoc="0" locked="0" layoutInCell="1" allowOverlap="1" wp14:anchorId="62DDF065" wp14:editId="775C2BC7">
                <wp:simplePos x="0" y="0"/>
                <wp:positionH relativeFrom="column">
                  <wp:posOffset>1306195</wp:posOffset>
                </wp:positionH>
                <wp:positionV relativeFrom="paragraph">
                  <wp:posOffset>3684270</wp:posOffset>
                </wp:positionV>
                <wp:extent cx="538930" cy="630942"/>
                <wp:effectExtent l="0" t="0" r="0" b="0"/>
                <wp:wrapNone/>
                <wp:docPr id="219" name="CuadroTexto 2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F1A649-495C-42DB-A0EE-877D6F29BC17}"/>
                    </a:ext>
                  </a:extLst>
                </wp:docPr>
                <wp:cNvGraphicFramePr/>
                <a:graphic xmlns:a="http://schemas.openxmlformats.org/drawingml/2006/main">
                  <a:graphicData uri="http://schemas.microsoft.com/office/word/2010/wordprocessingShape">
                    <wps:wsp>
                      <wps:cNvSpPr txBox="1"/>
                      <wps:spPr>
                        <a:xfrm>
                          <a:off x="0" y="0"/>
                          <a:ext cx="538930" cy="630942"/>
                        </a:xfrm>
                        <a:prstGeom prst="rect">
                          <a:avLst/>
                        </a:prstGeom>
                        <a:noFill/>
                      </wps:spPr>
                      <wps:txbx>
                        <w:txbxContent>
                          <w:p w14:paraId="02D540E2" w14:textId="77777777" w:rsidR="005029D0" w:rsidRDefault="005029D0" w:rsidP="006A0C4B">
                            <w:r>
                              <w:rPr>
                                <w:rFonts w:asciiTheme="minorHAnsi" w:hAnsi="Calibri" w:cstheme="minorBidi"/>
                                <w:color w:val="CC0000"/>
                                <w:kern w:val="24"/>
                                <w:sz w:val="14"/>
                                <w:szCs w:val="14"/>
                              </w:rPr>
                              <w:t>Ste</w:t>
                            </w:r>
                            <w:r>
                              <w:rPr>
                                <w:rFonts w:asciiTheme="minorHAnsi" w:hAnsi="Calibri" w:cstheme="minorBidi"/>
                                <w:color w:val="000000" w:themeColor="text1"/>
                                <w:kern w:val="24"/>
                                <w:position w:val="4"/>
                                <w:sz w:val="14"/>
                                <w:szCs w:val="14"/>
                                <w:vertAlign w:val="superscript"/>
                              </w:rPr>
                              <w:t>[56]</w:t>
                            </w:r>
                          </w:p>
                          <w:p w14:paraId="4A26BF5F" w14:textId="77777777" w:rsidR="005029D0" w:rsidRDefault="005029D0" w:rsidP="006A0C4B">
                            <w:r>
                              <w:rPr>
                                <w:rFonts w:asciiTheme="minorHAnsi" w:hAnsi="Calibri" w:cstheme="minorBidi"/>
                                <w:color w:val="CC0000"/>
                                <w:kern w:val="24"/>
                                <w:sz w:val="14"/>
                                <w:szCs w:val="14"/>
                              </w:rPr>
                              <w:t>Palm</w:t>
                            </w:r>
                            <w:r>
                              <w:rPr>
                                <w:rFonts w:asciiTheme="minorHAnsi" w:hAnsi="Calibri" w:cstheme="minorBidi"/>
                                <w:color w:val="000000" w:themeColor="text1"/>
                                <w:kern w:val="24"/>
                                <w:position w:val="4"/>
                                <w:sz w:val="14"/>
                                <w:szCs w:val="14"/>
                                <w:vertAlign w:val="superscript"/>
                              </w:rPr>
                              <w:t>[41,55]</w:t>
                            </w:r>
                          </w:p>
                          <w:p w14:paraId="4B886BDE" w14:textId="77777777" w:rsidR="005029D0" w:rsidRDefault="005029D0" w:rsidP="006A0C4B">
                            <w:r>
                              <w:rPr>
                                <w:rFonts w:asciiTheme="minorHAnsi" w:hAnsi="Calibri" w:cstheme="minorBidi"/>
                                <w:color w:val="0070C0"/>
                                <w:kern w:val="24"/>
                                <w:sz w:val="14"/>
                                <w:szCs w:val="14"/>
                              </w:rPr>
                              <w:t>Lin</w:t>
                            </w:r>
                            <w:r>
                              <w:rPr>
                                <w:rFonts w:asciiTheme="minorHAnsi" w:hAnsi="Calibri" w:cstheme="minorBidi"/>
                                <w:color w:val="000000" w:themeColor="text1"/>
                                <w:kern w:val="24"/>
                                <w:position w:val="4"/>
                                <w:sz w:val="14"/>
                                <w:szCs w:val="14"/>
                                <w:vertAlign w:val="superscript"/>
                              </w:rPr>
                              <w:t>[48,51]</w:t>
                            </w:r>
                          </w:p>
                          <w:p w14:paraId="4B9EF1A6" w14:textId="77777777" w:rsidR="005029D0" w:rsidRDefault="005029D0" w:rsidP="006A0C4B">
                            <w:r>
                              <w:rPr>
                                <w:rFonts w:asciiTheme="minorHAnsi" w:hAnsi="Calibri" w:cstheme="minorBidi"/>
                                <w:color w:val="0070C0"/>
                                <w:kern w:val="24"/>
                                <w:sz w:val="14"/>
                                <w:szCs w:val="14"/>
                              </w:rPr>
                              <w:t>Pal</w:t>
                            </w:r>
                            <w:r>
                              <w:rPr>
                                <w:rFonts w:asciiTheme="minorHAnsi" w:hAnsi="Calibri" w:cstheme="minorBidi"/>
                                <w:color w:val="000000" w:themeColor="text1"/>
                                <w:kern w:val="24"/>
                                <w:position w:val="4"/>
                                <w:sz w:val="14"/>
                                <w:szCs w:val="14"/>
                                <w:vertAlign w:val="superscript"/>
                              </w:rPr>
                              <w:t>[51]</w:t>
                            </w:r>
                          </w:p>
                        </w:txbxContent>
                      </wps:txbx>
                      <wps:bodyPr wrap="none" rtlCol="0">
                        <a:spAutoFit/>
                      </wps:bodyPr>
                    </wps:wsp>
                  </a:graphicData>
                </a:graphic>
              </wp:anchor>
            </w:drawing>
          </mc:Choice>
          <mc:Fallback>
            <w:pict>
              <v:shape id="CuadroTexto 218" o:spid="_x0000_s1053" type="#_x0000_t202" style="position:absolute;left:0;text-align:left;margin-left:102.85pt;margin-top:290.1pt;width:42.45pt;height:49.7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" filled="f" stroked="f">
                <v:textbox style="mso-fit-shape-to-text:t">
                  <w:txbxContent>
                    <w:p w14:paraId="02D540E2" w14:textId="77777777" w:rsidR="005029D0" w:rsidRDefault="005029D0" w:rsidP="006A0C4B">
                      <w:r>
                        <w:rPr>
                          <w:rFonts w:asciiTheme="minorHAnsi" w:hAnsi="Calibri" w:cstheme="minorBidi"/>
                          <w:color w:val="CC0000"/>
                          <w:kern w:val="24"/>
                          <w:sz w:val="14"/>
                          <w:szCs w:val="14"/>
                        </w:rPr>
                        <w:t>Ste</w:t>
                      </w:r>
                      <w:r>
                        <w:rPr>
                          <w:rFonts w:asciiTheme="minorHAnsi" w:hAnsi="Calibri" w:cstheme="minorBidi"/>
                          <w:color w:val="000000" w:themeColor="text1"/>
                          <w:kern w:val="24"/>
                          <w:position w:val="4"/>
                          <w:sz w:val="14"/>
                          <w:szCs w:val="14"/>
                          <w:vertAlign w:val="superscript"/>
                        </w:rPr>
                        <w:t>[56]</w:t>
                      </w:r>
                    </w:p>
                    <w:p w14:paraId="4A26BF5F" w14:textId="77777777" w:rsidR="005029D0" w:rsidRDefault="005029D0" w:rsidP="006A0C4B">
                      <w:r>
                        <w:rPr>
                          <w:rFonts w:asciiTheme="minorHAnsi" w:hAnsi="Calibri" w:cstheme="minorBidi"/>
                          <w:color w:val="CC0000"/>
                          <w:kern w:val="24"/>
                          <w:sz w:val="14"/>
                          <w:szCs w:val="14"/>
                        </w:rPr>
                        <w:t>Palm</w:t>
                      </w:r>
                      <w:r>
                        <w:rPr>
                          <w:rFonts w:asciiTheme="minorHAnsi" w:hAnsi="Calibri" w:cstheme="minorBidi"/>
                          <w:color w:val="000000" w:themeColor="text1"/>
                          <w:kern w:val="24"/>
                          <w:position w:val="4"/>
                          <w:sz w:val="14"/>
                          <w:szCs w:val="14"/>
                          <w:vertAlign w:val="superscript"/>
                        </w:rPr>
                        <w:t>[41,55]</w:t>
                      </w:r>
                    </w:p>
                    <w:p w14:paraId="4B886BDE" w14:textId="77777777" w:rsidR="005029D0" w:rsidRDefault="005029D0" w:rsidP="006A0C4B">
                      <w:r>
                        <w:rPr>
                          <w:rFonts w:asciiTheme="minorHAnsi" w:hAnsi="Calibri" w:cstheme="minorBidi"/>
                          <w:color w:val="0070C0"/>
                          <w:kern w:val="24"/>
                          <w:sz w:val="14"/>
                          <w:szCs w:val="14"/>
                        </w:rPr>
                        <w:t>Lin</w:t>
                      </w:r>
                      <w:r>
                        <w:rPr>
                          <w:rFonts w:asciiTheme="minorHAnsi" w:hAnsi="Calibri" w:cstheme="minorBidi"/>
                          <w:color w:val="000000" w:themeColor="text1"/>
                          <w:kern w:val="24"/>
                          <w:position w:val="4"/>
                          <w:sz w:val="14"/>
                          <w:szCs w:val="14"/>
                          <w:vertAlign w:val="superscript"/>
                        </w:rPr>
                        <w:t>[48,51]</w:t>
                      </w:r>
                    </w:p>
                    <w:p w14:paraId="4B9EF1A6" w14:textId="77777777" w:rsidR="005029D0" w:rsidRDefault="005029D0" w:rsidP="006A0C4B">
                      <w:r>
                        <w:rPr>
                          <w:rFonts w:asciiTheme="minorHAnsi" w:hAnsi="Calibri" w:cstheme="minorBidi"/>
                          <w:color w:val="0070C0"/>
                          <w:kern w:val="24"/>
                          <w:sz w:val="14"/>
                          <w:szCs w:val="14"/>
                        </w:rPr>
                        <w:t>Pal</w:t>
                      </w:r>
                      <w:r>
                        <w:rPr>
                          <w:rFonts w:asciiTheme="minorHAnsi" w:hAnsi="Calibri" w:cstheme="minorBidi"/>
                          <w:color w:val="000000" w:themeColor="text1"/>
                          <w:kern w:val="24"/>
                          <w:position w:val="4"/>
                          <w:sz w:val="14"/>
                          <w:szCs w:val="14"/>
                          <w:vertAlign w:val="superscript"/>
                        </w:rPr>
                        <w:t>[51]</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35040" behindDoc="0" locked="0" layoutInCell="1" allowOverlap="1" wp14:anchorId="26087060" wp14:editId="2CCBC8C0">
                <wp:simplePos x="0" y="0"/>
                <wp:positionH relativeFrom="column">
                  <wp:posOffset>4859020</wp:posOffset>
                </wp:positionH>
                <wp:positionV relativeFrom="paragraph">
                  <wp:posOffset>3939540</wp:posOffset>
                </wp:positionV>
                <wp:extent cx="0" cy="324000"/>
                <wp:effectExtent l="63500" t="0" r="38100" b="31750"/>
                <wp:wrapNone/>
                <wp:docPr id="226" name="Conector recto de flecha 2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EF7BB-9B4E-4D36-A14F-D3F5DFC420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4000"/>
                        </a:xfrm>
                        <a:prstGeom prst="straightConnector1">
                          <a:avLst/>
                        </a:prstGeom>
                        <a:ln w="19050">
                          <a:solidFill>
                            <a:srgbClr val="CC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D34286" id="Conector recto de flecha 225" o:spid="_x0000_s1026" type="#_x0000_t32" style="position:absolute;margin-left:382.6pt;margin-top:310.2pt;width:0;height:25.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" strokecolor="#c00" strokeweight="1.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36064" behindDoc="0" locked="0" layoutInCell="1" allowOverlap="1" wp14:anchorId="20E1383B" wp14:editId="7B36F809">
                <wp:simplePos x="0" y="0"/>
                <wp:positionH relativeFrom="column">
                  <wp:posOffset>544195</wp:posOffset>
                </wp:positionH>
                <wp:positionV relativeFrom="paragraph">
                  <wp:posOffset>4157345</wp:posOffset>
                </wp:positionV>
                <wp:extent cx="399468" cy="200055"/>
                <wp:effectExtent l="0" t="0" r="0" b="0"/>
                <wp:wrapNone/>
                <wp:docPr id="234" name="CuadroTexto 2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A19BDA-D196-4186-A599-6739393F8050}"/>
                    </a:ext>
                  </a:extLst>
                </wp:docPr>
                <wp:cNvGraphicFramePr/>
                <a:graphic xmlns:a="http://schemas.openxmlformats.org/drawingml/2006/main">
                  <a:graphicData uri="http://schemas.microsoft.com/office/word/2010/wordprocessingShape">
                    <wps:wsp>
                      <wps:cNvSpPr txBox="1"/>
                      <wps:spPr>
                        <a:xfrm>
                          <a:off x="0" y="0"/>
                          <a:ext cx="399468" cy="200055"/>
                        </a:xfrm>
                        <a:prstGeom prst="rect">
                          <a:avLst/>
                        </a:prstGeom>
                        <a:noFill/>
                      </wps:spPr>
                      <wps:txbx>
                        <w:txbxContent>
                          <w:p w14:paraId="189C824C" w14:textId="77777777" w:rsidR="005029D0" w:rsidRDefault="005029D0" w:rsidP="006A0C4B">
                            <w:r>
                              <w:rPr>
                                <w:rFonts w:asciiTheme="minorHAnsi" w:hAnsi="Calibri" w:cstheme="minorBidi"/>
                                <w:color w:val="0070C0"/>
                                <w:kern w:val="24"/>
                                <w:sz w:val="14"/>
                                <w:szCs w:val="14"/>
                              </w:rPr>
                              <w:t>Lin</w:t>
                            </w:r>
                            <w:r>
                              <w:rPr>
                                <w:rFonts w:asciiTheme="minorHAnsi" w:hAnsi="Calibri" w:cstheme="minorBidi"/>
                                <w:color w:val="000000" w:themeColor="text1"/>
                                <w:kern w:val="24"/>
                                <w:position w:val="4"/>
                                <w:sz w:val="14"/>
                                <w:szCs w:val="14"/>
                                <w:vertAlign w:val="superscript"/>
                              </w:rPr>
                              <w:t xml:space="preserve">[48] </w:t>
                            </w:r>
                          </w:p>
                        </w:txbxContent>
                      </wps:txbx>
                      <wps:bodyPr wrap="none" rtlCol="0">
                        <a:spAutoFit/>
                      </wps:bodyPr>
                    </wps:wsp>
                  </a:graphicData>
                </a:graphic>
              </wp:anchor>
            </w:drawing>
          </mc:Choice>
          <mc:Fallback>
            <w:pict>
              <v:shape id="CuadroTexto 233" o:spid="_x0000_s1054" type="#_x0000_t202" style="position:absolute;left:0;text-align:left;margin-left:42.85pt;margin-top:327.35pt;width:31.45pt;height:15.75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" filled="f" stroked="f">
                <v:textbox style="mso-fit-shape-to-text:t">
                  <w:txbxContent>
                    <w:p w14:paraId="189C824C" w14:textId="77777777" w:rsidR="005029D0" w:rsidRDefault="005029D0" w:rsidP="006A0C4B">
                      <w:r>
                        <w:rPr>
                          <w:rFonts w:asciiTheme="minorHAnsi" w:hAnsi="Calibri" w:cstheme="minorBidi"/>
                          <w:color w:val="0070C0"/>
                          <w:kern w:val="24"/>
                          <w:sz w:val="14"/>
                          <w:szCs w:val="14"/>
                        </w:rPr>
                        <w:t>Lin</w:t>
                      </w:r>
                      <w:r>
                        <w:rPr>
                          <w:rFonts w:asciiTheme="minorHAnsi" w:hAnsi="Calibri" w:cstheme="minorBidi"/>
                          <w:color w:val="000000" w:themeColor="text1"/>
                          <w:kern w:val="24"/>
                          <w:position w:val="4"/>
                          <w:sz w:val="14"/>
                          <w:szCs w:val="14"/>
                          <w:vertAlign w:val="superscript"/>
                        </w:rPr>
                        <w:t xml:space="preserve">[48] </w:t>
                      </w:r>
                    </w:p>
                  </w:txbxContent>
                </v:textbox>
              </v:shape>
            </w:pict>
          </mc:Fallback>
        </mc:AlternateContent>
      </w:r>
      <w:r w:rsidRPr="00B7408D">
        <w:rPr>
          <w:rFonts w:ascii="Book Antiqua" w:hAnsi="Book Antiqua"/>
          <w:b/>
          <w:noProof/>
          <w:lang w:val="en-US" w:bidi="ar-SA"/>
        </w:rPr>
        <w:drawing>
          <wp:anchor distT="0" distB="0" distL="114300" distR="114300" simplePos="0" relativeHeight="251737088" behindDoc="0" locked="0" layoutInCell="1" allowOverlap="1" wp14:anchorId="06D671DA" wp14:editId="6BDA5FFB">
            <wp:simplePos x="0" y="0"/>
            <wp:positionH relativeFrom="column">
              <wp:posOffset>5075238</wp:posOffset>
            </wp:positionH>
            <wp:positionV relativeFrom="paragraph">
              <wp:posOffset>4911407</wp:posOffset>
            </wp:positionV>
            <wp:extent cx="338216" cy="459287"/>
            <wp:effectExtent l="40957" t="9843" r="0" b="46037"/>
            <wp:wrapNone/>
            <wp:docPr id="236" name="Imagen 2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C53C28-4150-4D74-A93B-95B1ADB43A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n 23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C53C28-4150-4D74-A93B-95B1ADB43AD7}"/>
                        </a:ext>
                      </a:extLst>
                    </pic:cNvPr>
                    <pic:cNvPicPr>
                      <a:picLocks noChangeAspect="1"/>
                    </pic:cNvPicPr>
                  </pic:nvPicPr>
                  <pic:blipFill>
                    <a:blip r:embed="rId33"/>
                    <a:stretch>
                      <a:fillRect/>
                    </a:stretch>
                  </pic:blipFill>
                  <pic:spPr>
                    <a:xfrm rot="2721670">
                      <a:off x="0" y="0"/>
                      <a:ext cx="338216" cy="459287"/>
                    </a:xfrm>
                    <a:prstGeom prst="rect">
                      <a:avLst/>
                    </a:prstGeom>
                  </pic:spPr>
                </pic:pic>
              </a:graphicData>
            </a:graphic>
          </wp:anchor>
        </w:drawing>
      </w:r>
      <w:r w:rsidRPr="00B7408D">
        <w:rPr>
          <w:rFonts w:ascii="Book Antiqua" w:hAnsi="Book Antiqua"/>
          <w:b/>
          <w:noProof/>
          <w:lang w:val="en-US" w:bidi="ar-SA"/>
        </w:rPr>
        <mc:AlternateContent>
          <mc:Choice Requires="wps">
            <w:drawing>
              <wp:anchor distT="0" distB="0" distL="114300" distR="114300" simplePos="0" relativeHeight="251738112" behindDoc="0" locked="0" layoutInCell="1" allowOverlap="1" wp14:anchorId="33A10B55" wp14:editId="443C8C21">
                <wp:simplePos x="0" y="0"/>
                <wp:positionH relativeFrom="column">
                  <wp:posOffset>908050</wp:posOffset>
                </wp:positionH>
                <wp:positionV relativeFrom="paragraph">
                  <wp:posOffset>3801745</wp:posOffset>
                </wp:positionV>
                <wp:extent cx="0" cy="144000"/>
                <wp:effectExtent l="38100" t="25400" r="38100" b="8890"/>
                <wp:wrapNone/>
                <wp:docPr id="237" name="Conector recto de flecha 2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FA8E0A-599D-428F-A944-F9173710F9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400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B3B0EC" id="Conector recto de flecha 236" o:spid="_x0000_s1026" type="#_x0000_t32" style="position:absolute;margin-left:71.5pt;margin-top:299.35pt;width:0;height:11.35pt;flip:y;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" strokecolor="#0070c0" strokeweight="1.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39136" behindDoc="0" locked="0" layoutInCell="1" allowOverlap="1" wp14:anchorId="61D89611" wp14:editId="4D020056">
                <wp:simplePos x="0" y="0"/>
                <wp:positionH relativeFrom="column">
                  <wp:posOffset>1654175</wp:posOffset>
                </wp:positionH>
                <wp:positionV relativeFrom="paragraph">
                  <wp:posOffset>4382135</wp:posOffset>
                </wp:positionV>
                <wp:extent cx="179082" cy="0"/>
                <wp:effectExtent l="25400" t="63500" r="0" b="76200"/>
                <wp:wrapNone/>
                <wp:docPr id="239" name="Conector recto de flecha 2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9EBFCC-ADC4-4596-9CE7-0C4C92A73125}"/>
                    </a:ext>
                  </a:extLst>
                </wp:docPr>
                <wp:cNvGraphicFramePr/>
                <a:graphic xmlns:a="http://schemas.openxmlformats.org/drawingml/2006/main">
                  <a:graphicData uri="http://schemas.microsoft.com/office/word/2010/wordprocessingShape">
                    <wps:wsp>
                      <wps:cNvCnPr/>
                      <wps:spPr>
                        <a:xfrm>
                          <a:off x="0" y="0"/>
                          <a:ext cx="179082" cy="0"/>
                        </a:xfrm>
                        <a:prstGeom prst="straightConnector1">
                          <a:avLst/>
                        </a:prstGeom>
                        <a:ln w="12700">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094D51" id="Conector recto de flecha 238" o:spid="_x0000_s1026" type="#_x0000_t32" style="position:absolute;margin-left:130.25pt;margin-top:345.05pt;width:14.1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" strokecolor="black [3213]" strokeweight="1pt">
                <v:stroke startarrow="open" startarrowwidth="narrow" startarrowlength="short" endarrow="open" endarrowwidth="narrow" endarrowlength="short" joinstyle="miter"/>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40160" behindDoc="0" locked="0" layoutInCell="1" allowOverlap="1" wp14:anchorId="60D3CE3D" wp14:editId="389BE2B0">
                <wp:simplePos x="0" y="0"/>
                <wp:positionH relativeFrom="column">
                  <wp:posOffset>1771015</wp:posOffset>
                </wp:positionH>
                <wp:positionV relativeFrom="paragraph">
                  <wp:posOffset>3773170</wp:posOffset>
                </wp:positionV>
                <wp:extent cx="0" cy="360000"/>
                <wp:effectExtent l="38100" t="25400" r="38100" b="8890"/>
                <wp:wrapNone/>
                <wp:docPr id="240" name="Conector recto de flecha 2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6CC9C4-773A-448B-8BE9-CDE5E94745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6000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7C0370" id="Conector recto de flecha 239" o:spid="_x0000_s1026" type="#_x0000_t32" style="position:absolute;margin-left:139.45pt;margin-top:297.1pt;width:0;height:28.35pt;flip: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" strokecolor="#0070c0" strokeweight="1.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41184" behindDoc="0" locked="0" layoutInCell="1" allowOverlap="1" wp14:anchorId="4F543C53" wp14:editId="6D9B1371">
                <wp:simplePos x="0" y="0"/>
                <wp:positionH relativeFrom="column">
                  <wp:posOffset>2120900</wp:posOffset>
                </wp:positionH>
                <wp:positionV relativeFrom="paragraph">
                  <wp:posOffset>3960495</wp:posOffset>
                </wp:positionV>
                <wp:extent cx="463588" cy="200055"/>
                <wp:effectExtent l="0" t="0" r="0" b="0"/>
                <wp:wrapNone/>
                <wp:docPr id="241" name="CuadroTexto 2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50AB65-AED0-4F1F-AFF0-3ACCCA5625C6}"/>
                    </a:ext>
                  </a:extLst>
                </wp:docPr>
                <wp:cNvGraphicFramePr/>
                <a:graphic xmlns:a="http://schemas.openxmlformats.org/drawingml/2006/main">
                  <a:graphicData uri="http://schemas.microsoft.com/office/word/2010/wordprocessingShape">
                    <wps:wsp>
                      <wps:cNvSpPr txBox="1"/>
                      <wps:spPr>
                        <a:xfrm>
                          <a:off x="0" y="0"/>
                          <a:ext cx="463588" cy="200055"/>
                        </a:xfrm>
                        <a:prstGeom prst="rect">
                          <a:avLst/>
                        </a:prstGeom>
                        <a:noFill/>
                      </wps:spPr>
                      <wps:txbx>
                        <w:txbxContent>
                          <w:p w14:paraId="63F9A072" w14:textId="77777777" w:rsidR="005029D0" w:rsidRDefault="005029D0" w:rsidP="006A0C4B">
                            <w:r>
                              <w:rPr>
                                <w:rFonts w:asciiTheme="minorHAnsi" w:hAnsi="Calibri" w:cstheme="minorBidi"/>
                                <w:color w:val="CC0000"/>
                                <w:kern w:val="24"/>
                                <w:sz w:val="14"/>
                                <w:szCs w:val="14"/>
                              </w:rPr>
                              <w:t>Palm</w:t>
                            </w:r>
                            <w:r>
                              <w:rPr>
                                <w:rFonts w:asciiTheme="minorHAnsi" w:hAnsi="Calibri" w:cstheme="minorBidi"/>
                                <w:color w:val="000000" w:themeColor="text1"/>
                                <w:kern w:val="24"/>
                                <w:position w:val="4"/>
                                <w:sz w:val="14"/>
                                <w:szCs w:val="14"/>
                                <w:vertAlign w:val="superscript"/>
                              </w:rPr>
                              <w:t>[54]</w:t>
                            </w:r>
                          </w:p>
                        </w:txbxContent>
                      </wps:txbx>
                      <wps:bodyPr wrap="none" rtlCol="0">
                        <a:spAutoFit/>
                      </wps:bodyPr>
                    </wps:wsp>
                  </a:graphicData>
                </a:graphic>
              </wp:anchor>
            </w:drawing>
          </mc:Choice>
          <mc:Fallback>
            <w:pict>
              <v:shape id="CuadroTexto 240" o:spid="_x0000_s1055" type="#_x0000_t202" style="position:absolute;left:0;text-align:left;margin-left:167pt;margin-top:311.85pt;width:36.5pt;height:15.75pt;z-index:25174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" filled="f" stroked="f">
                <v:textbox style="mso-fit-shape-to-text:t">
                  <w:txbxContent>
                    <w:p w14:paraId="63F9A072" w14:textId="77777777" w:rsidR="005029D0" w:rsidRDefault="005029D0" w:rsidP="006A0C4B">
                      <w:r>
                        <w:rPr>
                          <w:rFonts w:asciiTheme="minorHAnsi" w:hAnsi="Calibri" w:cstheme="minorBidi"/>
                          <w:color w:val="CC0000"/>
                          <w:kern w:val="24"/>
                          <w:sz w:val="14"/>
                          <w:szCs w:val="14"/>
                        </w:rPr>
                        <w:t>Palm</w:t>
                      </w:r>
                      <w:r>
                        <w:rPr>
                          <w:rFonts w:asciiTheme="minorHAnsi" w:hAnsi="Calibri" w:cstheme="minorBidi"/>
                          <w:color w:val="000000" w:themeColor="text1"/>
                          <w:kern w:val="24"/>
                          <w:position w:val="4"/>
                          <w:sz w:val="14"/>
                          <w:szCs w:val="14"/>
                          <w:vertAlign w:val="superscript"/>
                        </w:rPr>
                        <w:t>[54]</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42208" behindDoc="0" locked="0" layoutInCell="1" allowOverlap="1" wp14:anchorId="7145C757" wp14:editId="1CFD4706">
                <wp:simplePos x="0" y="0"/>
                <wp:positionH relativeFrom="column">
                  <wp:posOffset>2541905</wp:posOffset>
                </wp:positionH>
                <wp:positionV relativeFrom="paragraph">
                  <wp:posOffset>3981450</wp:posOffset>
                </wp:positionV>
                <wp:extent cx="0" cy="144000"/>
                <wp:effectExtent l="38100" t="25400" r="38100" b="8890"/>
                <wp:wrapNone/>
                <wp:docPr id="242" name="Conector recto de flecha 2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8F59BC-3823-4FEB-9FB7-F61EA8CC06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400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782B34" id="Conector recto de flecha 241" o:spid="_x0000_s1026" type="#_x0000_t32" style="position:absolute;margin-left:200.15pt;margin-top:313.5pt;width:0;height:11.35pt;flip:y;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" strokecolor="#0070c0" strokeweight="1.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43232" behindDoc="0" locked="0" layoutInCell="1" allowOverlap="1" wp14:anchorId="3B9A72BE" wp14:editId="2F30BA64">
                <wp:simplePos x="0" y="0"/>
                <wp:positionH relativeFrom="column">
                  <wp:posOffset>2120900</wp:posOffset>
                </wp:positionH>
                <wp:positionV relativeFrom="paragraph">
                  <wp:posOffset>4098925</wp:posOffset>
                </wp:positionV>
                <wp:extent cx="481222" cy="200055"/>
                <wp:effectExtent l="0" t="0" r="0" b="0"/>
                <wp:wrapNone/>
                <wp:docPr id="243" name="CuadroTexto 24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29232B-68EE-4892-874D-FD52E8660F3B}"/>
                    </a:ext>
                  </a:extLst>
                </wp:docPr>
                <wp:cNvGraphicFramePr/>
                <a:graphic xmlns:a="http://schemas.openxmlformats.org/drawingml/2006/main">
                  <a:graphicData uri="http://schemas.microsoft.com/office/word/2010/wordprocessingShape">
                    <wps:wsp>
                      <wps:cNvSpPr txBox="1"/>
                      <wps:spPr>
                        <a:xfrm>
                          <a:off x="0" y="0"/>
                          <a:ext cx="481222" cy="200055"/>
                        </a:xfrm>
                        <a:prstGeom prst="rect">
                          <a:avLst/>
                        </a:prstGeom>
                        <a:noFill/>
                      </wps:spPr>
                      <wps:txbx>
                        <w:txbxContent>
                          <w:p w14:paraId="1371C10D" w14:textId="77777777" w:rsidR="005029D0" w:rsidRDefault="005029D0" w:rsidP="006A0C4B">
                            <w:r>
                              <w:rPr>
                                <w:rFonts w:asciiTheme="minorHAnsi" w:hAnsi="Calibri" w:cstheme="minorBidi"/>
                                <w:color w:val="0070C0"/>
                                <w:kern w:val="24"/>
                                <w:sz w:val="14"/>
                                <w:szCs w:val="14"/>
                              </w:rPr>
                              <w:t>Ole</w:t>
                            </w:r>
                            <w:r>
                              <w:rPr>
                                <w:rFonts w:asciiTheme="minorHAnsi" w:hAnsi="Calibri" w:cstheme="minorBidi"/>
                                <w:color w:val="000000" w:themeColor="text1"/>
                                <w:kern w:val="24"/>
                                <w:position w:val="4"/>
                                <w:sz w:val="14"/>
                                <w:szCs w:val="14"/>
                                <w:vertAlign w:val="superscript"/>
                              </w:rPr>
                              <w:t>[41,45]</w:t>
                            </w:r>
                          </w:p>
                        </w:txbxContent>
                      </wps:txbx>
                      <wps:bodyPr wrap="none" rtlCol="0">
                        <a:spAutoFit/>
                      </wps:bodyPr>
                    </wps:wsp>
                  </a:graphicData>
                </a:graphic>
              </wp:anchor>
            </w:drawing>
          </mc:Choice>
          <mc:Fallback>
            <w:pict>
              <v:shape id="CuadroTexto 242" o:spid="_x0000_s1056" type="#_x0000_t202" style="position:absolute;left:0;text-align:left;margin-left:167pt;margin-top:322.75pt;width:37.9pt;height:15.75pt;z-index:25174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" filled="f" stroked="f">
                <v:textbox style="mso-fit-shape-to-text:t">
                  <w:txbxContent>
                    <w:p w14:paraId="1371C10D" w14:textId="77777777" w:rsidR="005029D0" w:rsidRDefault="005029D0" w:rsidP="006A0C4B">
                      <w:r>
                        <w:rPr>
                          <w:rFonts w:asciiTheme="minorHAnsi" w:hAnsi="Calibri" w:cstheme="minorBidi"/>
                          <w:color w:val="0070C0"/>
                          <w:kern w:val="24"/>
                          <w:sz w:val="14"/>
                          <w:szCs w:val="14"/>
                        </w:rPr>
                        <w:t>Ole</w:t>
                      </w:r>
                      <w:r>
                        <w:rPr>
                          <w:rFonts w:asciiTheme="minorHAnsi" w:hAnsi="Calibri" w:cstheme="minorBidi"/>
                          <w:color w:val="000000" w:themeColor="text1"/>
                          <w:kern w:val="24"/>
                          <w:position w:val="4"/>
                          <w:sz w:val="14"/>
                          <w:szCs w:val="14"/>
                          <w:vertAlign w:val="superscript"/>
                        </w:rPr>
                        <w:t>[41,45]</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44256" behindDoc="0" locked="0" layoutInCell="1" allowOverlap="1" wp14:anchorId="7B6B6039" wp14:editId="61575900">
                <wp:simplePos x="0" y="0"/>
                <wp:positionH relativeFrom="column">
                  <wp:posOffset>3597275</wp:posOffset>
                </wp:positionH>
                <wp:positionV relativeFrom="paragraph">
                  <wp:posOffset>3893820</wp:posOffset>
                </wp:positionV>
                <wp:extent cx="538930" cy="307777"/>
                <wp:effectExtent l="0" t="0" r="0" b="0"/>
                <wp:wrapNone/>
                <wp:docPr id="245" name="CuadroTexto 2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51F74D-25AB-4CF9-BA8F-0E9BC1702BF3}"/>
                    </a:ext>
                  </a:extLst>
                </wp:docPr>
                <wp:cNvGraphicFramePr/>
                <a:graphic xmlns:a="http://schemas.openxmlformats.org/drawingml/2006/main">
                  <a:graphicData uri="http://schemas.microsoft.com/office/word/2010/wordprocessingShape">
                    <wps:wsp>
                      <wps:cNvSpPr txBox="1"/>
                      <wps:spPr>
                        <a:xfrm>
                          <a:off x="0" y="0"/>
                          <a:ext cx="538930" cy="307777"/>
                        </a:xfrm>
                        <a:prstGeom prst="rect">
                          <a:avLst/>
                        </a:prstGeom>
                        <a:noFill/>
                      </wps:spPr>
                      <wps:txbx>
                        <w:txbxContent>
                          <w:p w14:paraId="5D0BB3DA" w14:textId="77777777" w:rsidR="005029D0" w:rsidRDefault="005029D0" w:rsidP="006A0C4B">
                            <w:r>
                              <w:rPr>
                                <w:rFonts w:asciiTheme="minorHAnsi" w:hAnsi="Calibri" w:cstheme="minorBidi"/>
                                <w:color w:val="CC0000"/>
                                <w:kern w:val="24"/>
                                <w:sz w:val="14"/>
                                <w:szCs w:val="14"/>
                              </w:rPr>
                              <w:t>Palm</w:t>
                            </w:r>
                            <w:r>
                              <w:rPr>
                                <w:rFonts w:asciiTheme="minorHAnsi" w:hAnsi="Calibri" w:cstheme="minorBidi"/>
                                <w:color w:val="000000" w:themeColor="text1"/>
                                <w:kern w:val="24"/>
                                <w:position w:val="4"/>
                                <w:sz w:val="14"/>
                                <w:szCs w:val="14"/>
                                <w:vertAlign w:val="superscript"/>
                              </w:rPr>
                              <w:t>[41,55]</w:t>
                            </w:r>
                          </w:p>
                          <w:p w14:paraId="24FF897D" w14:textId="77777777" w:rsidR="005029D0" w:rsidRDefault="005029D0" w:rsidP="006A0C4B">
                            <w:r>
                              <w:rPr>
                                <w:rFonts w:asciiTheme="minorHAnsi" w:hAnsi="Calibri" w:cstheme="minorBidi"/>
                                <w:color w:val="0070C0"/>
                                <w:kern w:val="24"/>
                                <w:sz w:val="14"/>
                                <w:szCs w:val="14"/>
                              </w:rPr>
                              <w:t>Lin</w:t>
                            </w:r>
                            <w:r>
                              <w:rPr>
                                <w:rFonts w:asciiTheme="minorHAnsi" w:hAnsi="Calibri" w:cstheme="minorBidi"/>
                                <w:color w:val="000000" w:themeColor="text1"/>
                                <w:kern w:val="24"/>
                                <w:position w:val="4"/>
                                <w:sz w:val="14"/>
                                <w:szCs w:val="14"/>
                                <w:vertAlign w:val="superscript"/>
                              </w:rPr>
                              <w:t>[45]</w:t>
                            </w:r>
                          </w:p>
                        </w:txbxContent>
                      </wps:txbx>
                      <wps:bodyPr wrap="none" rtlCol="0">
                        <a:spAutoFit/>
                      </wps:bodyPr>
                    </wps:wsp>
                  </a:graphicData>
                </a:graphic>
              </wp:anchor>
            </w:drawing>
          </mc:Choice>
          <mc:Fallback>
            <w:pict>
              <v:shape id="CuadroTexto 244" o:spid="_x0000_s1057" type="#_x0000_t202" style="position:absolute;left:0;text-align:left;margin-left:283.25pt;margin-top:306.6pt;width:42.45pt;height:24.25pt;z-index:251744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" filled="f" stroked="f">
                <v:textbox style="mso-fit-shape-to-text:t">
                  <w:txbxContent>
                    <w:p w14:paraId="5D0BB3DA" w14:textId="77777777" w:rsidR="005029D0" w:rsidRDefault="005029D0" w:rsidP="006A0C4B">
                      <w:r>
                        <w:rPr>
                          <w:rFonts w:asciiTheme="minorHAnsi" w:hAnsi="Calibri" w:cstheme="minorBidi"/>
                          <w:color w:val="CC0000"/>
                          <w:kern w:val="24"/>
                          <w:sz w:val="14"/>
                          <w:szCs w:val="14"/>
                        </w:rPr>
                        <w:t>Palm</w:t>
                      </w:r>
                      <w:r>
                        <w:rPr>
                          <w:rFonts w:asciiTheme="minorHAnsi" w:hAnsi="Calibri" w:cstheme="minorBidi"/>
                          <w:color w:val="000000" w:themeColor="text1"/>
                          <w:kern w:val="24"/>
                          <w:position w:val="4"/>
                          <w:sz w:val="14"/>
                          <w:szCs w:val="14"/>
                          <w:vertAlign w:val="superscript"/>
                        </w:rPr>
                        <w:t>[41,55]</w:t>
                      </w:r>
                    </w:p>
                    <w:p w14:paraId="24FF897D" w14:textId="77777777" w:rsidR="005029D0" w:rsidRDefault="005029D0" w:rsidP="006A0C4B">
                      <w:r>
                        <w:rPr>
                          <w:rFonts w:asciiTheme="minorHAnsi" w:hAnsi="Calibri" w:cstheme="minorBidi"/>
                          <w:color w:val="0070C0"/>
                          <w:kern w:val="24"/>
                          <w:sz w:val="14"/>
                          <w:szCs w:val="14"/>
                        </w:rPr>
                        <w:t>Lin</w:t>
                      </w:r>
                      <w:r>
                        <w:rPr>
                          <w:rFonts w:asciiTheme="minorHAnsi" w:hAnsi="Calibri" w:cstheme="minorBidi"/>
                          <w:color w:val="000000" w:themeColor="text1"/>
                          <w:kern w:val="24"/>
                          <w:position w:val="4"/>
                          <w:sz w:val="14"/>
                          <w:szCs w:val="14"/>
                          <w:vertAlign w:val="superscript"/>
                        </w:rPr>
                        <w:t>[45]</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45280" behindDoc="0" locked="0" layoutInCell="1" allowOverlap="1" wp14:anchorId="6EFE3D39" wp14:editId="2A7FA6F3">
                <wp:simplePos x="0" y="0"/>
                <wp:positionH relativeFrom="column">
                  <wp:posOffset>4090670</wp:posOffset>
                </wp:positionH>
                <wp:positionV relativeFrom="paragraph">
                  <wp:posOffset>3937000</wp:posOffset>
                </wp:positionV>
                <wp:extent cx="0" cy="216000"/>
                <wp:effectExtent l="38100" t="25400" r="38100" b="0"/>
                <wp:wrapNone/>
                <wp:docPr id="246" name="Conector recto de flecha 24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0AFEBF-D03C-4874-8471-BEFCF864AF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600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FEE5C8" id="Conector recto de flecha 245" o:spid="_x0000_s1026" type="#_x0000_t32" style="position:absolute;margin-left:322.1pt;margin-top:310pt;width:0;height:17pt;flip: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" strokecolor="#0070c0" strokeweight="1.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46304" behindDoc="0" locked="0" layoutInCell="1" allowOverlap="1" wp14:anchorId="7E3479D6" wp14:editId="3E330479">
                <wp:simplePos x="0" y="0"/>
                <wp:positionH relativeFrom="column">
                  <wp:posOffset>3597275</wp:posOffset>
                </wp:positionH>
                <wp:positionV relativeFrom="paragraph">
                  <wp:posOffset>4208145</wp:posOffset>
                </wp:positionV>
                <wp:extent cx="481222" cy="200055"/>
                <wp:effectExtent l="0" t="0" r="0" b="0"/>
                <wp:wrapNone/>
                <wp:docPr id="247" name="CuadroTexto 24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B6B01B-3965-4BC9-9A95-D7EB2ACFA4F3}"/>
                    </a:ext>
                  </a:extLst>
                </wp:docPr>
                <wp:cNvGraphicFramePr/>
                <a:graphic xmlns:a="http://schemas.openxmlformats.org/drawingml/2006/main">
                  <a:graphicData uri="http://schemas.microsoft.com/office/word/2010/wordprocessingShape">
                    <wps:wsp>
                      <wps:cNvSpPr txBox="1"/>
                      <wps:spPr>
                        <a:xfrm>
                          <a:off x="0" y="0"/>
                          <a:ext cx="481222" cy="200055"/>
                        </a:xfrm>
                        <a:prstGeom prst="rect">
                          <a:avLst/>
                        </a:prstGeom>
                        <a:noFill/>
                      </wps:spPr>
                      <wps:txbx>
                        <w:txbxContent>
                          <w:p w14:paraId="0F3914A9" w14:textId="77777777" w:rsidR="005029D0" w:rsidRDefault="005029D0" w:rsidP="006A0C4B">
                            <w:r>
                              <w:rPr>
                                <w:rFonts w:asciiTheme="minorHAnsi" w:hAnsi="Calibri" w:cstheme="minorBidi"/>
                                <w:color w:val="0070C0"/>
                                <w:kern w:val="24"/>
                                <w:sz w:val="14"/>
                                <w:szCs w:val="14"/>
                              </w:rPr>
                              <w:t>Ole</w:t>
                            </w:r>
                            <w:r>
                              <w:rPr>
                                <w:rFonts w:asciiTheme="minorHAnsi" w:hAnsi="Calibri" w:cstheme="minorBidi"/>
                                <w:color w:val="000000" w:themeColor="text1"/>
                                <w:kern w:val="24"/>
                                <w:position w:val="4"/>
                                <w:sz w:val="14"/>
                                <w:szCs w:val="14"/>
                                <w:vertAlign w:val="superscript"/>
                              </w:rPr>
                              <w:t>[41,45]</w:t>
                            </w:r>
                          </w:p>
                        </w:txbxContent>
                      </wps:txbx>
                      <wps:bodyPr wrap="none" rtlCol="0">
                        <a:spAutoFit/>
                      </wps:bodyPr>
                    </wps:wsp>
                  </a:graphicData>
                </a:graphic>
              </wp:anchor>
            </w:drawing>
          </mc:Choice>
          <mc:Fallback>
            <w:pict>
              <v:shape id="CuadroTexto 246" o:spid="_x0000_s1058" type="#_x0000_t202" style="position:absolute;left:0;text-align:left;margin-left:283.25pt;margin-top:331.35pt;width:37.9pt;height:15.75pt;z-index:25174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" filled="f" stroked="f">
                <v:textbox style="mso-fit-shape-to-text:t">
                  <w:txbxContent>
                    <w:p w14:paraId="0F3914A9" w14:textId="77777777" w:rsidR="005029D0" w:rsidRDefault="005029D0" w:rsidP="006A0C4B">
                      <w:r>
                        <w:rPr>
                          <w:rFonts w:asciiTheme="minorHAnsi" w:hAnsi="Calibri" w:cstheme="minorBidi"/>
                          <w:color w:val="0070C0"/>
                          <w:kern w:val="24"/>
                          <w:sz w:val="14"/>
                          <w:szCs w:val="14"/>
                        </w:rPr>
                        <w:t>Ole</w:t>
                      </w:r>
                      <w:r>
                        <w:rPr>
                          <w:rFonts w:asciiTheme="minorHAnsi" w:hAnsi="Calibri" w:cstheme="minorBidi"/>
                          <w:color w:val="000000" w:themeColor="text1"/>
                          <w:kern w:val="24"/>
                          <w:position w:val="4"/>
                          <w:sz w:val="14"/>
                          <w:szCs w:val="14"/>
                          <w:vertAlign w:val="superscript"/>
                        </w:rPr>
                        <w:t>[41,45]</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47328" behindDoc="0" locked="0" layoutInCell="1" allowOverlap="1" wp14:anchorId="463F6801" wp14:editId="0985C43C">
                <wp:simplePos x="0" y="0"/>
                <wp:positionH relativeFrom="column">
                  <wp:posOffset>4389755</wp:posOffset>
                </wp:positionH>
                <wp:positionV relativeFrom="paragraph">
                  <wp:posOffset>3879215</wp:posOffset>
                </wp:positionV>
                <wp:extent cx="538930" cy="415498"/>
                <wp:effectExtent l="0" t="0" r="0" b="0"/>
                <wp:wrapNone/>
                <wp:docPr id="249" name="CuadroTexto 2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FB2A51-186F-425D-BD82-C190024E884B}"/>
                    </a:ext>
                  </a:extLst>
                </wp:docPr>
                <wp:cNvGraphicFramePr/>
                <a:graphic xmlns:a="http://schemas.openxmlformats.org/drawingml/2006/main">
                  <a:graphicData uri="http://schemas.microsoft.com/office/word/2010/wordprocessingShape">
                    <wps:wsp>
                      <wps:cNvSpPr txBox="1"/>
                      <wps:spPr>
                        <a:xfrm>
                          <a:off x="0" y="0"/>
                          <a:ext cx="538930" cy="415498"/>
                        </a:xfrm>
                        <a:prstGeom prst="rect">
                          <a:avLst/>
                        </a:prstGeom>
                        <a:noFill/>
                      </wps:spPr>
                      <wps:txbx>
                        <w:txbxContent>
                          <w:p w14:paraId="2293865F" w14:textId="77777777" w:rsidR="005029D0" w:rsidRDefault="005029D0" w:rsidP="006A0C4B">
                            <w:r>
                              <w:rPr>
                                <w:rFonts w:asciiTheme="minorHAnsi" w:hAnsi="Calibri" w:cstheme="minorBidi"/>
                                <w:color w:val="CC0000"/>
                                <w:kern w:val="24"/>
                                <w:sz w:val="14"/>
                                <w:szCs w:val="14"/>
                              </w:rPr>
                              <w:t>Palm</w:t>
                            </w:r>
                            <w:r>
                              <w:rPr>
                                <w:rFonts w:asciiTheme="minorHAnsi" w:hAnsi="Calibri" w:cstheme="minorBidi"/>
                                <w:color w:val="000000" w:themeColor="text1"/>
                                <w:kern w:val="24"/>
                                <w:position w:val="4"/>
                                <w:sz w:val="14"/>
                                <w:szCs w:val="14"/>
                                <w:vertAlign w:val="superscript"/>
                              </w:rPr>
                              <w:t>[41,55]</w:t>
                            </w:r>
                          </w:p>
                          <w:p w14:paraId="1096BC69" w14:textId="77777777" w:rsidR="005029D0" w:rsidRDefault="005029D0" w:rsidP="006A0C4B">
                            <w:r>
                              <w:rPr>
                                <w:rFonts w:asciiTheme="minorHAnsi" w:hAnsi="Calibri" w:cstheme="minorBidi"/>
                                <w:color w:val="0070C0"/>
                                <w:kern w:val="24"/>
                                <w:sz w:val="14"/>
                                <w:szCs w:val="14"/>
                              </w:rPr>
                              <w:t>Lin</w:t>
                            </w:r>
                            <w:r>
                              <w:rPr>
                                <w:rFonts w:asciiTheme="minorHAnsi" w:hAnsi="Calibri" w:cstheme="minorBidi"/>
                                <w:color w:val="000000" w:themeColor="text1"/>
                                <w:kern w:val="24"/>
                                <w:position w:val="4"/>
                                <w:sz w:val="14"/>
                                <w:szCs w:val="14"/>
                                <w:vertAlign w:val="superscript"/>
                              </w:rPr>
                              <w:t>[45]</w:t>
                            </w:r>
                          </w:p>
                          <w:p w14:paraId="01C6D014" w14:textId="77777777" w:rsidR="005029D0" w:rsidRDefault="005029D0" w:rsidP="006A0C4B">
                            <w:r>
                              <w:rPr>
                                <w:rFonts w:asciiTheme="minorHAnsi" w:hAnsi="Calibri" w:cstheme="minorBidi"/>
                                <w:color w:val="0070C0"/>
                                <w:kern w:val="24"/>
                                <w:sz w:val="14"/>
                                <w:szCs w:val="14"/>
                              </w:rPr>
                              <w:t>Ole</w:t>
                            </w:r>
                            <w:r>
                              <w:rPr>
                                <w:rFonts w:asciiTheme="minorHAnsi" w:hAnsi="Calibri" w:cstheme="minorBidi"/>
                                <w:color w:val="000000" w:themeColor="text1"/>
                                <w:kern w:val="24"/>
                                <w:position w:val="4"/>
                                <w:sz w:val="14"/>
                                <w:szCs w:val="14"/>
                                <w:vertAlign w:val="superscript"/>
                              </w:rPr>
                              <w:t>[45]</w:t>
                            </w:r>
                          </w:p>
                        </w:txbxContent>
                      </wps:txbx>
                      <wps:bodyPr wrap="none" rtlCol="0">
                        <a:spAutoFit/>
                      </wps:bodyPr>
                    </wps:wsp>
                  </a:graphicData>
                </a:graphic>
              </wp:anchor>
            </w:drawing>
          </mc:Choice>
          <mc:Fallback>
            <w:pict>
              <v:shape id="CuadroTexto 248" o:spid="_x0000_s1059" type="#_x0000_t202" style="position:absolute;left:0;text-align:left;margin-left:345.65pt;margin-top:305.45pt;width:42.45pt;height:32.7pt;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" filled="f" stroked="f">
                <v:textbox style="mso-fit-shape-to-text:t">
                  <w:txbxContent>
                    <w:p w14:paraId="2293865F" w14:textId="77777777" w:rsidR="005029D0" w:rsidRDefault="005029D0" w:rsidP="006A0C4B">
                      <w:r>
                        <w:rPr>
                          <w:rFonts w:asciiTheme="minorHAnsi" w:hAnsi="Calibri" w:cstheme="minorBidi"/>
                          <w:color w:val="CC0000"/>
                          <w:kern w:val="24"/>
                          <w:sz w:val="14"/>
                          <w:szCs w:val="14"/>
                        </w:rPr>
                        <w:t>Palm</w:t>
                      </w:r>
                      <w:r>
                        <w:rPr>
                          <w:rFonts w:asciiTheme="minorHAnsi" w:hAnsi="Calibri" w:cstheme="minorBidi"/>
                          <w:color w:val="000000" w:themeColor="text1"/>
                          <w:kern w:val="24"/>
                          <w:position w:val="4"/>
                          <w:sz w:val="14"/>
                          <w:szCs w:val="14"/>
                          <w:vertAlign w:val="superscript"/>
                        </w:rPr>
                        <w:t>[41,55]</w:t>
                      </w:r>
                    </w:p>
                    <w:p w14:paraId="1096BC69" w14:textId="77777777" w:rsidR="005029D0" w:rsidRDefault="005029D0" w:rsidP="006A0C4B">
                      <w:r>
                        <w:rPr>
                          <w:rFonts w:asciiTheme="minorHAnsi" w:hAnsi="Calibri" w:cstheme="minorBidi"/>
                          <w:color w:val="0070C0"/>
                          <w:kern w:val="24"/>
                          <w:sz w:val="14"/>
                          <w:szCs w:val="14"/>
                        </w:rPr>
                        <w:t>Lin</w:t>
                      </w:r>
                      <w:r>
                        <w:rPr>
                          <w:rFonts w:asciiTheme="minorHAnsi" w:hAnsi="Calibri" w:cstheme="minorBidi"/>
                          <w:color w:val="000000" w:themeColor="text1"/>
                          <w:kern w:val="24"/>
                          <w:position w:val="4"/>
                          <w:sz w:val="14"/>
                          <w:szCs w:val="14"/>
                          <w:vertAlign w:val="superscript"/>
                        </w:rPr>
                        <w:t>[45]</w:t>
                      </w:r>
                    </w:p>
                    <w:p w14:paraId="01C6D014" w14:textId="77777777" w:rsidR="005029D0" w:rsidRDefault="005029D0" w:rsidP="006A0C4B">
                      <w:r>
                        <w:rPr>
                          <w:rFonts w:asciiTheme="minorHAnsi" w:hAnsi="Calibri" w:cstheme="minorBidi"/>
                          <w:color w:val="0070C0"/>
                          <w:kern w:val="24"/>
                          <w:sz w:val="14"/>
                          <w:szCs w:val="14"/>
                        </w:rPr>
                        <w:t>Ole</w:t>
                      </w:r>
                      <w:r>
                        <w:rPr>
                          <w:rFonts w:asciiTheme="minorHAnsi" w:hAnsi="Calibri" w:cstheme="minorBidi"/>
                          <w:color w:val="000000" w:themeColor="text1"/>
                          <w:kern w:val="24"/>
                          <w:position w:val="4"/>
                          <w:sz w:val="14"/>
                          <w:szCs w:val="14"/>
                          <w:vertAlign w:val="superscript"/>
                        </w:rPr>
                        <w:t>[45]</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48352" behindDoc="0" locked="0" layoutInCell="1" allowOverlap="1" wp14:anchorId="6BC5EB6A" wp14:editId="22E53580">
                <wp:simplePos x="0" y="0"/>
                <wp:positionH relativeFrom="column">
                  <wp:posOffset>5148580</wp:posOffset>
                </wp:positionH>
                <wp:positionV relativeFrom="paragraph">
                  <wp:posOffset>4012565</wp:posOffset>
                </wp:positionV>
                <wp:extent cx="405880" cy="200055"/>
                <wp:effectExtent l="0" t="0" r="0" b="0"/>
                <wp:wrapNone/>
                <wp:docPr id="250" name="CuadroTexto 24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3067D4-2730-4C75-91B2-C052E0C2AD6D}"/>
                    </a:ext>
                  </a:extLst>
                </wp:docPr>
                <wp:cNvGraphicFramePr/>
                <a:graphic xmlns:a="http://schemas.openxmlformats.org/drawingml/2006/main">
                  <a:graphicData uri="http://schemas.microsoft.com/office/word/2010/wordprocessingShape">
                    <wps:wsp>
                      <wps:cNvSpPr txBox="1"/>
                      <wps:spPr>
                        <a:xfrm>
                          <a:off x="0" y="0"/>
                          <a:ext cx="405880" cy="200055"/>
                        </a:xfrm>
                        <a:prstGeom prst="rect">
                          <a:avLst/>
                        </a:prstGeom>
                        <a:noFill/>
                      </wps:spPr>
                      <wps:txbx>
                        <w:txbxContent>
                          <w:p w14:paraId="231A2BDF" w14:textId="77777777" w:rsidR="005029D0" w:rsidRDefault="005029D0" w:rsidP="006A0C4B">
                            <w:r>
                              <w:rPr>
                                <w:rFonts w:asciiTheme="minorHAnsi" w:hAnsi="Calibri" w:cstheme="minorBidi"/>
                                <w:color w:val="0070C0"/>
                                <w:kern w:val="24"/>
                                <w:sz w:val="14"/>
                                <w:szCs w:val="14"/>
                              </w:rPr>
                              <w:t>Ole</w:t>
                            </w:r>
                            <w:r>
                              <w:rPr>
                                <w:rFonts w:asciiTheme="minorHAnsi" w:hAnsi="Calibri" w:cstheme="minorBidi"/>
                                <w:color w:val="000000" w:themeColor="text1"/>
                                <w:kern w:val="24"/>
                                <w:position w:val="4"/>
                                <w:sz w:val="14"/>
                                <w:szCs w:val="14"/>
                                <w:vertAlign w:val="superscript"/>
                              </w:rPr>
                              <w:t>[44]</w:t>
                            </w:r>
                          </w:p>
                        </w:txbxContent>
                      </wps:txbx>
                      <wps:bodyPr wrap="none" rtlCol="0">
                        <a:spAutoFit/>
                      </wps:bodyPr>
                    </wps:wsp>
                  </a:graphicData>
                </a:graphic>
              </wp:anchor>
            </w:drawing>
          </mc:Choice>
          <mc:Fallback>
            <w:pict>
              <v:shape id="CuadroTexto 249" o:spid="_x0000_s1060" type="#_x0000_t202" style="position:absolute;left:0;text-align:left;margin-left:405.4pt;margin-top:315.95pt;width:31.95pt;height:15.75pt;z-index:251748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" filled="f" stroked="f">
                <v:textbox style="mso-fit-shape-to-text:t">
                  <w:txbxContent>
                    <w:p w14:paraId="231A2BDF" w14:textId="77777777" w:rsidR="005029D0" w:rsidRDefault="005029D0" w:rsidP="006A0C4B">
                      <w:r>
                        <w:rPr>
                          <w:rFonts w:asciiTheme="minorHAnsi" w:hAnsi="Calibri" w:cstheme="minorBidi"/>
                          <w:color w:val="0070C0"/>
                          <w:kern w:val="24"/>
                          <w:sz w:val="14"/>
                          <w:szCs w:val="14"/>
                        </w:rPr>
                        <w:t>Ole</w:t>
                      </w:r>
                      <w:r>
                        <w:rPr>
                          <w:rFonts w:asciiTheme="minorHAnsi" w:hAnsi="Calibri" w:cstheme="minorBidi"/>
                          <w:color w:val="000000" w:themeColor="text1"/>
                          <w:kern w:val="24"/>
                          <w:position w:val="4"/>
                          <w:sz w:val="14"/>
                          <w:szCs w:val="14"/>
                          <w:vertAlign w:val="superscript"/>
                        </w:rPr>
                        <w:t>[44]</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49376" behindDoc="0" locked="0" layoutInCell="1" allowOverlap="1" wp14:anchorId="4E4229DE" wp14:editId="5B4D1698">
                <wp:simplePos x="0" y="0"/>
                <wp:positionH relativeFrom="column">
                  <wp:posOffset>5512435</wp:posOffset>
                </wp:positionH>
                <wp:positionV relativeFrom="paragraph">
                  <wp:posOffset>4046855</wp:posOffset>
                </wp:positionV>
                <wp:extent cx="0" cy="144000"/>
                <wp:effectExtent l="38100" t="25400" r="38100" b="8890"/>
                <wp:wrapNone/>
                <wp:docPr id="251" name="Conector recto de flecha 2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671088-0723-4F2D-816A-5DC1138E70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400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990670" id="Conector recto de flecha 250" o:spid="_x0000_s1026" type="#_x0000_t32" style="position:absolute;margin-left:434.05pt;margin-top:318.65pt;width:0;height:11.35pt;flip: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" strokecolor="#0070c0" strokeweight="1.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50400" behindDoc="0" locked="0" layoutInCell="1" allowOverlap="1" wp14:anchorId="3768A31B" wp14:editId="44460D23">
                <wp:simplePos x="0" y="0"/>
                <wp:positionH relativeFrom="column">
                  <wp:posOffset>1249680</wp:posOffset>
                </wp:positionH>
                <wp:positionV relativeFrom="paragraph">
                  <wp:posOffset>7581265</wp:posOffset>
                </wp:positionV>
                <wp:extent cx="3499676" cy="246221"/>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3499676" cy="246221"/>
                        </a:xfrm>
                        <a:prstGeom prst="rect">
                          <a:avLst/>
                        </a:prstGeom>
                        <a:noFill/>
                      </wps:spPr>
                      <wps:txbx>
                        <w:txbxContent>
                          <w:p w14:paraId="4968988A" w14:textId="308D7DB0" w:rsidR="005029D0" w:rsidRPr="008B42A0" w:rsidRDefault="00FE2BE6" w:rsidP="006A0C4B">
                            <w:pPr>
                              <w:rPr>
                                <w:lang w:val="en-US"/>
                              </w:rPr>
                            </w:pPr>
                            <w:r w:rsidRPr="008B42A0">
                              <w:rPr>
                                <w:rFonts w:asciiTheme="minorHAnsi" w:hAnsi="Calibri" w:cstheme="minorBidi"/>
                                <w:b/>
                                <w:bCs/>
                                <w:color w:val="000000" w:themeColor="text1"/>
                                <w:kern w:val="24"/>
                                <w:sz w:val="20"/>
                                <w:szCs w:val="20"/>
                                <w:lang w:val="en-US"/>
                              </w:rPr>
                              <w:t>Health benefits of extra virgin olive oil consumption</w:t>
                            </w:r>
                          </w:p>
                        </w:txbxContent>
                      </wps:txbx>
                      <wps:bodyPr wrap="none" rtlCol="0">
                        <a:spAutoFit/>
                      </wps:bodyPr>
                    </wps:wsp>
                  </a:graphicData>
                </a:graphic>
              </wp:anchor>
            </w:drawing>
          </mc:Choice>
          <mc:Fallback>
            <w:pict>
              <v:shape id="CuadroTexto 1" o:spid="_x0000_s1061" type="#_x0000_t202" style="position:absolute;left:0;text-align:left;margin-left:98.4pt;margin-top:596.95pt;width:275.55pt;height:19.4pt;z-index:251750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" filled="f" stroked="f">
                <v:textbox style="mso-fit-shape-to-text:t">
                  <w:txbxContent>
                    <w:p w14:paraId="4968988A" w14:textId="308D7DB0" w:rsidR="005029D0" w:rsidRPr="008B42A0" w:rsidRDefault="00FE2BE6" w:rsidP="006A0C4B">
                      <w:pPr>
                        <w:rPr>
                          <w:lang w:val="en-US"/>
                        </w:rPr>
                      </w:pPr>
                      <w:r w:rsidRPr="008B42A0">
                        <w:rPr>
                          <w:rFonts w:asciiTheme="minorHAnsi" w:hAnsi="Calibri" w:cstheme="minorBidi"/>
                          <w:b/>
                          <w:bCs/>
                          <w:color w:val="000000" w:themeColor="text1"/>
                          <w:kern w:val="24"/>
                          <w:sz w:val="20"/>
                          <w:szCs w:val="20"/>
                          <w:lang w:val="en-US"/>
                        </w:rPr>
                        <w:t>Health benefits of extra virgin olive oil consumption</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51424" behindDoc="0" locked="0" layoutInCell="1" allowOverlap="1" wp14:anchorId="4E72D8BF" wp14:editId="26F1F9D8">
                <wp:simplePos x="0" y="0"/>
                <wp:positionH relativeFrom="column">
                  <wp:posOffset>2920365</wp:posOffset>
                </wp:positionH>
                <wp:positionV relativeFrom="paragraph">
                  <wp:posOffset>4784090</wp:posOffset>
                </wp:positionV>
                <wp:extent cx="158177" cy="5393454"/>
                <wp:effectExtent l="0" t="1270" r="18415" b="43815"/>
                <wp:wrapNone/>
                <wp:docPr id="27" name="Cerrar llave 2"/>
                <wp:cNvGraphicFramePr/>
                <a:graphic xmlns:a="http://schemas.openxmlformats.org/drawingml/2006/main">
                  <a:graphicData uri="http://schemas.microsoft.com/office/word/2010/wordprocessingShape">
                    <wps:wsp>
                      <wps:cNvSpPr/>
                      <wps:spPr>
                        <a:xfrm rot="5400000">
                          <a:off x="0" y="0"/>
                          <a:ext cx="158177" cy="5393454"/>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4A833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2" o:spid="_x0000_s1026" type="#_x0000_t88" style="position:absolute;margin-left:229.95pt;margin-top:376.7pt;width:12.45pt;height:424.7pt;rotation:90;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" adj="53" strokecolor="black [3213]" strokeweight=".5pt">
                <v:stroke joinstyle="miter"/>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52448" behindDoc="0" locked="0" layoutInCell="1" allowOverlap="1" wp14:anchorId="2C0AA0DF" wp14:editId="2ECA56D7">
                <wp:simplePos x="0" y="0"/>
                <wp:positionH relativeFrom="column">
                  <wp:posOffset>894080</wp:posOffset>
                </wp:positionH>
                <wp:positionV relativeFrom="paragraph">
                  <wp:posOffset>4212590</wp:posOffset>
                </wp:positionV>
                <wp:extent cx="0" cy="144000"/>
                <wp:effectExtent l="63500" t="0" r="38100" b="34290"/>
                <wp:wrapNone/>
                <wp:docPr id="94" name="Conector recto de flecha 9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58E418-954E-4256-9C90-F354B90871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4000"/>
                        </a:xfrm>
                        <a:prstGeom prst="straightConnector1">
                          <a:avLst/>
                        </a:prstGeom>
                        <a:ln w="19050">
                          <a:solidFill>
                            <a:srgbClr val="CC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3AD7D9" id="Conector recto de flecha 93" o:spid="_x0000_s1026" type="#_x0000_t32" style="position:absolute;margin-left:70.4pt;margin-top:331.7pt;width:0;height:11.3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" strokecolor="#c00" strokeweight="1.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53472" behindDoc="0" locked="0" layoutInCell="1" allowOverlap="1" wp14:anchorId="2372490E" wp14:editId="7269547B">
                <wp:simplePos x="0" y="0"/>
                <wp:positionH relativeFrom="column">
                  <wp:posOffset>542925</wp:posOffset>
                </wp:positionH>
                <wp:positionV relativeFrom="paragraph">
                  <wp:posOffset>3964940</wp:posOffset>
                </wp:positionV>
                <wp:extent cx="447558" cy="200055"/>
                <wp:effectExtent l="0" t="0" r="0" b="0"/>
                <wp:wrapNone/>
                <wp:docPr id="95" name="CuadroTexto 9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C639B5-EB2E-428A-B4DA-57E7BCE59989}"/>
                    </a:ext>
                  </a:extLst>
                </wp:docPr>
                <wp:cNvGraphicFramePr/>
                <a:graphic xmlns:a="http://schemas.openxmlformats.org/drawingml/2006/main">
                  <a:graphicData uri="http://schemas.microsoft.com/office/word/2010/wordprocessingShape">
                    <wps:wsp>
                      <wps:cNvSpPr txBox="1"/>
                      <wps:spPr>
                        <a:xfrm>
                          <a:off x="0" y="0"/>
                          <a:ext cx="447558" cy="200055"/>
                        </a:xfrm>
                        <a:prstGeom prst="rect">
                          <a:avLst/>
                        </a:prstGeom>
                        <a:noFill/>
                      </wps:spPr>
                      <wps:txbx>
                        <w:txbxContent>
                          <w:p w14:paraId="33ECA331" w14:textId="77777777" w:rsidR="005029D0" w:rsidRDefault="005029D0" w:rsidP="006A0C4B">
                            <w:r>
                              <w:rPr>
                                <w:rFonts w:asciiTheme="minorHAnsi" w:hAnsi="Calibri" w:cstheme="minorBidi"/>
                                <w:color w:val="0070C0"/>
                                <w:kern w:val="24"/>
                                <w:sz w:val="14"/>
                                <w:szCs w:val="14"/>
                              </w:rPr>
                              <w:t>Lino</w:t>
                            </w:r>
                            <w:r>
                              <w:rPr>
                                <w:rFonts w:asciiTheme="minorHAnsi" w:hAnsi="Calibri" w:cstheme="minorBidi"/>
                                <w:color w:val="000000" w:themeColor="text1"/>
                                <w:kern w:val="24"/>
                                <w:position w:val="4"/>
                                <w:sz w:val="14"/>
                                <w:szCs w:val="14"/>
                                <w:vertAlign w:val="superscript"/>
                              </w:rPr>
                              <w:t xml:space="preserve">[48] </w:t>
                            </w:r>
                          </w:p>
                        </w:txbxContent>
                      </wps:txbx>
                      <wps:bodyPr wrap="none" rtlCol="0">
                        <a:spAutoFit/>
                      </wps:bodyPr>
                    </wps:wsp>
                  </a:graphicData>
                </a:graphic>
              </wp:anchor>
            </w:drawing>
          </mc:Choice>
          <mc:Fallback>
            <w:pict>
              <v:shape id="CuadroTexto 94" o:spid="_x0000_s1062" type="#_x0000_t202" style="position:absolute;left:0;text-align:left;margin-left:42.75pt;margin-top:312.2pt;width:35.25pt;height:15.75pt;z-index:251753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" filled="f" stroked="f">
                <v:textbox style="mso-fit-shape-to-text:t">
                  <w:txbxContent>
                    <w:p w14:paraId="33ECA331" w14:textId="77777777" w:rsidR="005029D0" w:rsidRDefault="005029D0" w:rsidP="006A0C4B">
                      <w:r>
                        <w:rPr>
                          <w:rFonts w:asciiTheme="minorHAnsi" w:hAnsi="Calibri" w:cstheme="minorBidi"/>
                          <w:color w:val="0070C0"/>
                          <w:kern w:val="24"/>
                          <w:sz w:val="14"/>
                          <w:szCs w:val="14"/>
                        </w:rPr>
                        <w:t>Lino</w:t>
                      </w:r>
                      <w:r>
                        <w:rPr>
                          <w:rFonts w:asciiTheme="minorHAnsi" w:hAnsi="Calibri" w:cstheme="minorBidi"/>
                          <w:color w:val="000000" w:themeColor="text1"/>
                          <w:kern w:val="24"/>
                          <w:position w:val="4"/>
                          <w:sz w:val="14"/>
                          <w:szCs w:val="14"/>
                          <w:vertAlign w:val="superscript"/>
                        </w:rPr>
                        <w:t xml:space="preserve">[48] </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54496" behindDoc="0" locked="0" layoutInCell="1" allowOverlap="1" wp14:anchorId="4DDAEDF1" wp14:editId="62E708BF">
                <wp:simplePos x="0" y="0"/>
                <wp:positionH relativeFrom="column">
                  <wp:posOffset>905510</wp:posOffset>
                </wp:positionH>
                <wp:positionV relativeFrom="paragraph">
                  <wp:posOffset>4137025</wp:posOffset>
                </wp:positionV>
                <wp:extent cx="179082" cy="0"/>
                <wp:effectExtent l="25400" t="63500" r="0" b="76200"/>
                <wp:wrapNone/>
                <wp:docPr id="100" name="Conector recto de flecha 9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BCFE75-4875-4D83-83C2-FDF25A7EFCF8}"/>
                    </a:ext>
                  </a:extLst>
                </wp:docPr>
                <wp:cNvGraphicFramePr/>
                <a:graphic xmlns:a="http://schemas.openxmlformats.org/drawingml/2006/main">
                  <a:graphicData uri="http://schemas.microsoft.com/office/word/2010/wordprocessingShape">
                    <wps:wsp>
                      <wps:cNvCnPr/>
                      <wps:spPr>
                        <a:xfrm>
                          <a:off x="0" y="0"/>
                          <a:ext cx="179082" cy="0"/>
                        </a:xfrm>
                        <a:prstGeom prst="straightConnector1">
                          <a:avLst/>
                        </a:prstGeom>
                        <a:ln w="12700">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6FE3B9" id="Conector recto de flecha 99" o:spid="_x0000_s1026" type="#_x0000_t32" style="position:absolute;margin-left:71.3pt;margin-top:325.75pt;width:14.1pt;height:0;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" strokecolor="black [3213]" strokeweight="1pt">
                <v:stroke startarrow="open" startarrowwidth="narrow" startarrowlength="short" endarrow="open" endarrowwidth="narrow" endarrowlength="short" joinstyle="miter"/>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55520" behindDoc="0" locked="0" layoutInCell="1" allowOverlap="1" wp14:anchorId="54476B31" wp14:editId="52E80E8A">
                <wp:simplePos x="0" y="0"/>
                <wp:positionH relativeFrom="column">
                  <wp:posOffset>1296670</wp:posOffset>
                </wp:positionH>
                <wp:positionV relativeFrom="paragraph">
                  <wp:posOffset>4222750</wp:posOffset>
                </wp:positionV>
                <wp:extent cx="447558" cy="200055"/>
                <wp:effectExtent l="0" t="0" r="0" b="0"/>
                <wp:wrapNone/>
                <wp:docPr id="101" name="CuadroTexto 10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4513F3-D605-48E5-8184-76AA0D0EC514}"/>
                    </a:ext>
                  </a:extLst>
                </wp:docPr>
                <wp:cNvGraphicFramePr/>
                <a:graphic xmlns:a="http://schemas.openxmlformats.org/drawingml/2006/main">
                  <a:graphicData uri="http://schemas.microsoft.com/office/word/2010/wordprocessingShape">
                    <wps:wsp>
                      <wps:cNvSpPr txBox="1"/>
                      <wps:spPr>
                        <a:xfrm>
                          <a:off x="0" y="0"/>
                          <a:ext cx="447558" cy="200055"/>
                        </a:xfrm>
                        <a:prstGeom prst="rect">
                          <a:avLst/>
                        </a:prstGeom>
                        <a:noFill/>
                      </wps:spPr>
                      <wps:txbx>
                        <w:txbxContent>
                          <w:p w14:paraId="034F3682" w14:textId="77777777" w:rsidR="005029D0" w:rsidRDefault="005029D0" w:rsidP="006A0C4B">
                            <w:r>
                              <w:rPr>
                                <w:rFonts w:asciiTheme="minorHAnsi" w:hAnsi="Calibri" w:cstheme="minorBidi"/>
                                <w:color w:val="0070C0"/>
                                <w:kern w:val="24"/>
                                <w:sz w:val="14"/>
                                <w:szCs w:val="14"/>
                              </w:rPr>
                              <w:t>Lino</w:t>
                            </w:r>
                            <w:r>
                              <w:rPr>
                                <w:rFonts w:asciiTheme="minorHAnsi" w:hAnsi="Calibri" w:cstheme="minorBidi"/>
                                <w:color w:val="000000" w:themeColor="text1"/>
                                <w:kern w:val="24"/>
                                <w:position w:val="4"/>
                                <w:sz w:val="14"/>
                                <w:szCs w:val="14"/>
                                <w:vertAlign w:val="superscript"/>
                              </w:rPr>
                              <w:t xml:space="preserve">[48] </w:t>
                            </w:r>
                          </w:p>
                        </w:txbxContent>
                      </wps:txbx>
                      <wps:bodyPr wrap="none" rtlCol="0">
                        <a:spAutoFit/>
                      </wps:bodyPr>
                    </wps:wsp>
                  </a:graphicData>
                </a:graphic>
              </wp:anchor>
            </w:drawing>
          </mc:Choice>
          <mc:Fallback>
            <w:pict>
              <v:shape id="CuadroTexto 100" o:spid="_x0000_s1063" type="#_x0000_t202" style="position:absolute;left:0;text-align:left;margin-left:102.1pt;margin-top:332.5pt;width:35.25pt;height:15.75pt;z-index:251755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" filled="f" stroked="f">
                <v:textbox style="mso-fit-shape-to-text:t">
                  <w:txbxContent>
                    <w:p w14:paraId="034F3682" w14:textId="77777777" w:rsidR="005029D0" w:rsidRDefault="005029D0" w:rsidP="006A0C4B">
                      <w:r>
                        <w:rPr>
                          <w:rFonts w:asciiTheme="minorHAnsi" w:hAnsi="Calibri" w:cstheme="minorBidi"/>
                          <w:color w:val="0070C0"/>
                          <w:kern w:val="24"/>
                          <w:sz w:val="14"/>
                          <w:szCs w:val="14"/>
                        </w:rPr>
                        <w:t>Lino</w:t>
                      </w:r>
                      <w:r>
                        <w:rPr>
                          <w:rFonts w:asciiTheme="minorHAnsi" w:hAnsi="Calibri" w:cstheme="minorBidi"/>
                          <w:color w:val="000000" w:themeColor="text1"/>
                          <w:kern w:val="24"/>
                          <w:position w:val="4"/>
                          <w:sz w:val="14"/>
                          <w:szCs w:val="14"/>
                          <w:vertAlign w:val="superscript"/>
                        </w:rPr>
                        <w:t xml:space="preserve">[48] </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56544" behindDoc="0" locked="0" layoutInCell="1" allowOverlap="1" wp14:anchorId="2B82B8DF" wp14:editId="50FB1CB3">
                <wp:simplePos x="0" y="0"/>
                <wp:positionH relativeFrom="column">
                  <wp:posOffset>1296035</wp:posOffset>
                </wp:positionH>
                <wp:positionV relativeFrom="paragraph">
                  <wp:posOffset>4338320</wp:posOffset>
                </wp:positionV>
                <wp:extent cx="405880" cy="200055"/>
                <wp:effectExtent l="0" t="0" r="0" b="0"/>
                <wp:wrapNone/>
                <wp:docPr id="102" name="CuadroTexto 10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B505F5-A921-4E21-A90A-FF03BD60A840}"/>
                    </a:ext>
                  </a:extLst>
                </wp:docPr>
                <wp:cNvGraphicFramePr/>
                <a:graphic xmlns:a="http://schemas.openxmlformats.org/drawingml/2006/main">
                  <a:graphicData uri="http://schemas.microsoft.com/office/word/2010/wordprocessingShape">
                    <wps:wsp>
                      <wps:cNvSpPr txBox="1"/>
                      <wps:spPr>
                        <a:xfrm>
                          <a:off x="0" y="0"/>
                          <a:ext cx="405880" cy="200055"/>
                        </a:xfrm>
                        <a:prstGeom prst="rect">
                          <a:avLst/>
                        </a:prstGeom>
                        <a:noFill/>
                      </wps:spPr>
                      <wps:txbx>
                        <w:txbxContent>
                          <w:p w14:paraId="1C347620" w14:textId="77777777" w:rsidR="005029D0" w:rsidRDefault="005029D0" w:rsidP="006A0C4B">
                            <w:r>
                              <w:rPr>
                                <w:rFonts w:asciiTheme="minorHAnsi" w:hAnsi="Calibri" w:cstheme="minorBidi"/>
                                <w:color w:val="0070C0"/>
                                <w:kern w:val="24"/>
                                <w:sz w:val="14"/>
                                <w:szCs w:val="14"/>
                              </w:rPr>
                              <w:t>Ole</w:t>
                            </w:r>
                            <w:r>
                              <w:rPr>
                                <w:rFonts w:asciiTheme="minorHAnsi" w:hAnsi="Calibri" w:cstheme="minorBidi"/>
                                <w:color w:val="000000" w:themeColor="text1"/>
                                <w:kern w:val="24"/>
                                <w:position w:val="4"/>
                                <w:sz w:val="14"/>
                                <w:szCs w:val="14"/>
                                <w:vertAlign w:val="superscript"/>
                              </w:rPr>
                              <w:t>[41]</w:t>
                            </w:r>
                          </w:p>
                        </w:txbxContent>
                      </wps:txbx>
                      <wps:bodyPr wrap="none" rtlCol="0">
                        <a:spAutoFit/>
                      </wps:bodyPr>
                    </wps:wsp>
                  </a:graphicData>
                </a:graphic>
              </wp:anchor>
            </w:drawing>
          </mc:Choice>
          <mc:Fallback>
            <w:pict>
              <v:shape id="CuadroTexto 101" o:spid="_x0000_s1064" type="#_x0000_t202" style="position:absolute;left:0;text-align:left;margin-left:102.05pt;margin-top:341.6pt;width:31.95pt;height:15.75pt;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" filled="f" stroked="f">
                <v:textbox style="mso-fit-shape-to-text:t">
                  <w:txbxContent>
                    <w:p w14:paraId="1C347620" w14:textId="77777777" w:rsidR="005029D0" w:rsidRDefault="005029D0" w:rsidP="006A0C4B">
                      <w:r>
                        <w:rPr>
                          <w:rFonts w:asciiTheme="minorHAnsi" w:hAnsi="Calibri" w:cstheme="minorBidi"/>
                          <w:color w:val="0070C0"/>
                          <w:kern w:val="24"/>
                          <w:sz w:val="14"/>
                          <w:szCs w:val="14"/>
                        </w:rPr>
                        <w:t>Ole</w:t>
                      </w:r>
                      <w:r>
                        <w:rPr>
                          <w:rFonts w:asciiTheme="minorHAnsi" w:hAnsi="Calibri" w:cstheme="minorBidi"/>
                          <w:color w:val="000000" w:themeColor="text1"/>
                          <w:kern w:val="24"/>
                          <w:position w:val="4"/>
                          <w:sz w:val="14"/>
                          <w:szCs w:val="14"/>
                          <w:vertAlign w:val="superscript"/>
                        </w:rPr>
                        <w:t>[41]</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57568" behindDoc="0" locked="0" layoutInCell="1" allowOverlap="1" wp14:anchorId="4C88E920" wp14:editId="3B645242">
                <wp:simplePos x="0" y="0"/>
                <wp:positionH relativeFrom="column">
                  <wp:posOffset>1631315</wp:posOffset>
                </wp:positionH>
                <wp:positionV relativeFrom="paragraph">
                  <wp:posOffset>4497705</wp:posOffset>
                </wp:positionV>
                <wp:extent cx="179082" cy="0"/>
                <wp:effectExtent l="25400" t="63500" r="0" b="76200"/>
                <wp:wrapNone/>
                <wp:docPr id="103" name="Conector recto de flecha 10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621B93-A581-4631-8ED0-58A7550F1520}"/>
                    </a:ext>
                  </a:extLst>
                </wp:docPr>
                <wp:cNvGraphicFramePr/>
                <a:graphic xmlns:a="http://schemas.openxmlformats.org/drawingml/2006/main">
                  <a:graphicData uri="http://schemas.microsoft.com/office/word/2010/wordprocessingShape">
                    <wps:wsp>
                      <wps:cNvCnPr/>
                      <wps:spPr>
                        <a:xfrm>
                          <a:off x="0" y="0"/>
                          <a:ext cx="179082" cy="0"/>
                        </a:xfrm>
                        <a:prstGeom prst="straightConnector1">
                          <a:avLst/>
                        </a:prstGeom>
                        <a:ln w="12700">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2DB01" id="Conector recto de flecha 102" o:spid="_x0000_s1026" type="#_x0000_t32" style="position:absolute;margin-left:128.45pt;margin-top:354.15pt;width:14.1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" strokecolor="black [3213]" strokeweight="1pt">
                <v:stroke startarrow="open" startarrowwidth="narrow" startarrowlength="short" endarrow="open" endarrowwidth="narrow" endarrowlength="short" joinstyle="miter"/>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58592" behindDoc="0" locked="0" layoutInCell="1" allowOverlap="1" wp14:anchorId="12B47B75" wp14:editId="30F0E3F0">
                <wp:simplePos x="0" y="0"/>
                <wp:positionH relativeFrom="column">
                  <wp:posOffset>2424430</wp:posOffset>
                </wp:positionH>
                <wp:positionV relativeFrom="paragraph">
                  <wp:posOffset>4062095</wp:posOffset>
                </wp:positionV>
                <wp:extent cx="243978" cy="246221"/>
                <wp:effectExtent l="0" t="0" r="0" b="0"/>
                <wp:wrapNone/>
                <wp:docPr id="35" name="CuadroTexto 4"/>
                <wp:cNvGraphicFramePr/>
                <a:graphic xmlns:a="http://schemas.openxmlformats.org/drawingml/2006/main">
                  <a:graphicData uri="http://schemas.microsoft.com/office/word/2010/wordprocessingShape">
                    <wps:wsp>
                      <wps:cNvSpPr txBox="1"/>
                      <wps:spPr>
                        <a:xfrm>
                          <a:off x="0" y="0"/>
                          <a:ext cx="243978" cy="246221"/>
                        </a:xfrm>
                        <a:prstGeom prst="rect">
                          <a:avLst/>
                        </a:prstGeom>
                        <a:noFill/>
                      </wps:spPr>
                      <wps:txbx>
                        <w:txbxContent>
                          <w:p w14:paraId="768B5DF9" w14:textId="77777777" w:rsidR="005029D0" w:rsidRDefault="005029D0" w:rsidP="006A0C4B">
                            <w:r>
                              <w:rPr>
                                <w:rFonts w:asciiTheme="minorHAnsi" w:hAnsi="Calibri" w:cstheme="minorBidi"/>
                                <w:b/>
                                <w:bCs/>
                                <w:color w:val="000000" w:themeColor="text1"/>
                                <w:kern w:val="24"/>
                                <w:sz w:val="20"/>
                                <w:szCs w:val="20"/>
                              </w:rPr>
                              <w:t>?</w:t>
                            </w:r>
                          </w:p>
                        </w:txbxContent>
                      </wps:txbx>
                      <wps:bodyPr wrap="none" rtlCol="0">
                        <a:spAutoFit/>
                      </wps:bodyPr>
                    </wps:wsp>
                  </a:graphicData>
                </a:graphic>
              </wp:anchor>
            </w:drawing>
          </mc:Choice>
          <mc:Fallback>
            <w:pict>
              <v:shape id="CuadroTexto 4" o:spid="_x0000_s1065" type="#_x0000_t202" style="position:absolute;left:0;text-align:left;margin-left:190.9pt;margin-top:319.85pt;width:19.2pt;height:19.4pt;z-index:251758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" filled="f" stroked="f">
                <v:textbox style="mso-fit-shape-to-text:t">
                  <w:txbxContent>
                    <w:p w14:paraId="768B5DF9" w14:textId="77777777" w:rsidR="005029D0" w:rsidRDefault="005029D0" w:rsidP="006A0C4B">
                      <w:r>
                        <w:rPr>
                          <w:rFonts w:asciiTheme="minorHAnsi" w:hAnsi="Calibri" w:cstheme="minorBidi"/>
                          <w:b/>
                          <w:bCs/>
                          <w:color w:val="000000" w:themeColor="text1"/>
                          <w:kern w:val="24"/>
                          <w:sz w:val="20"/>
                          <w:szCs w:val="20"/>
                        </w:rPr>
                        <w:t>?</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59616" behindDoc="0" locked="0" layoutInCell="1" allowOverlap="1" wp14:anchorId="24653D04" wp14:editId="5AE27939">
                <wp:simplePos x="0" y="0"/>
                <wp:positionH relativeFrom="column">
                  <wp:posOffset>3910965</wp:posOffset>
                </wp:positionH>
                <wp:positionV relativeFrom="paragraph">
                  <wp:posOffset>4164965</wp:posOffset>
                </wp:positionV>
                <wp:extent cx="243978" cy="246221"/>
                <wp:effectExtent l="0" t="0" r="0" b="0"/>
                <wp:wrapNone/>
                <wp:docPr id="105" name="CuadroTexto 10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07FBA3-FBBE-4061-BE12-AC9851807695}"/>
                    </a:ext>
                  </a:extLst>
                </wp:docPr>
                <wp:cNvGraphicFramePr/>
                <a:graphic xmlns:a="http://schemas.openxmlformats.org/drawingml/2006/main">
                  <a:graphicData uri="http://schemas.microsoft.com/office/word/2010/wordprocessingShape">
                    <wps:wsp>
                      <wps:cNvSpPr txBox="1"/>
                      <wps:spPr>
                        <a:xfrm>
                          <a:off x="0" y="0"/>
                          <a:ext cx="243978" cy="246221"/>
                        </a:xfrm>
                        <a:prstGeom prst="rect">
                          <a:avLst/>
                        </a:prstGeom>
                        <a:noFill/>
                      </wps:spPr>
                      <wps:txbx>
                        <w:txbxContent>
                          <w:p w14:paraId="4C4012B6" w14:textId="77777777" w:rsidR="005029D0" w:rsidRDefault="005029D0" w:rsidP="006A0C4B">
                            <w:r>
                              <w:rPr>
                                <w:rFonts w:asciiTheme="minorHAnsi" w:hAnsi="Calibri" w:cstheme="minorBidi"/>
                                <w:b/>
                                <w:bCs/>
                                <w:color w:val="000000" w:themeColor="text1"/>
                                <w:kern w:val="24"/>
                                <w:sz w:val="20"/>
                                <w:szCs w:val="20"/>
                              </w:rPr>
                              <w:t>?</w:t>
                            </w:r>
                          </w:p>
                        </w:txbxContent>
                      </wps:txbx>
                      <wps:bodyPr wrap="none" rtlCol="0">
                        <a:spAutoFit/>
                      </wps:bodyPr>
                    </wps:wsp>
                  </a:graphicData>
                </a:graphic>
              </wp:anchor>
            </w:drawing>
          </mc:Choice>
          <mc:Fallback>
            <w:pict>
              <v:shape id="CuadroTexto 104" o:spid="_x0000_s1066" type="#_x0000_t202" style="position:absolute;left:0;text-align:left;margin-left:307.95pt;margin-top:327.95pt;width:19.2pt;height:19.4pt;z-index:251759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" filled="f" stroked="f">
                <v:textbox style="mso-fit-shape-to-text:t">
                  <w:txbxContent>
                    <w:p w14:paraId="4C4012B6" w14:textId="77777777" w:rsidR="005029D0" w:rsidRDefault="005029D0" w:rsidP="006A0C4B">
                      <w:r>
                        <w:rPr>
                          <w:rFonts w:asciiTheme="minorHAnsi" w:hAnsi="Calibri" w:cstheme="minorBidi"/>
                          <w:b/>
                          <w:bCs/>
                          <w:color w:val="000000" w:themeColor="text1"/>
                          <w:kern w:val="24"/>
                          <w:sz w:val="20"/>
                          <w:szCs w:val="20"/>
                        </w:rPr>
                        <w:t>?</w:t>
                      </w:r>
                    </w:p>
                  </w:txbxContent>
                </v:textbox>
              </v:shape>
            </w:pict>
          </mc:Fallback>
        </mc:AlternateContent>
      </w:r>
    </w:p>
    <w:p w14:paraId="27A0FA7C"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65B63E69" w14:textId="3578205A" w:rsidR="006A0C4B" w:rsidRPr="00B7408D" w:rsidRDefault="001277C4" w:rsidP="006A0C4B">
      <w:pPr>
        <w:adjustRightInd w:val="0"/>
        <w:snapToGrid w:val="0"/>
        <w:spacing w:line="360" w:lineRule="auto"/>
        <w:ind w:right="-7"/>
        <w:jc w:val="both"/>
        <w:rPr>
          <w:rFonts w:ascii="Book Antiqua" w:hAnsi="Book Antiqua"/>
          <w:b/>
          <w:lang w:val="en-US"/>
        </w:rPr>
      </w:pPr>
      <w:r w:rsidRPr="00B7408D">
        <w:rPr>
          <w:rFonts w:ascii="Book Antiqua" w:hAnsi="Book Antiqua"/>
          <w:b/>
          <w:noProof/>
          <w:lang w:val="en-US" w:bidi="ar-SA"/>
        </w:rPr>
        <mc:AlternateContent>
          <mc:Choice Requires="wps">
            <w:drawing>
              <wp:anchor distT="0" distB="0" distL="114300" distR="114300" simplePos="0" relativeHeight="251685888" behindDoc="0" locked="0" layoutInCell="1" allowOverlap="1" wp14:anchorId="02F4F892" wp14:editId="22844978">
                <wp:simplePos x="0" y="0"/>
                <wp:positionH relativeFrom="column">
                  <wp:posOffset>121285</wp:posOffset>
                </wp:positionH>
                <wp:positionV relativeFrom="paragraph">
                  <wp:posOffset>230505</wp:posOffset>
                </wp:positionV>
                <wp:extent cx="1087702" cy="246221"/>
                <wp:effectExtent l="0" t="0" r="0" b="0"/>
                <wp:wrapNone/>
                <wp:docPr id="99" name="CuadroTexto 9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ECA1DA-9B82-4BD5-B6CB-BDF224872B43}"/>
                    </a:ext>
                  </a:extLst>
                </wp:docPr>
                <wp:cNvGraphicFramePr/>
                <a:graphic xmlns:a="http://schemas.openxmlformats.org/drawingml/2006/main">
                  <a:graphicData uri="http://schemas.microsoft.com/office/word/2010/wordprocessingShape">
                    <wps:wsp>
                      <wps:cNvSpPr txBox="1"/>
                      <wps:spPr>
                        <a:xfrm>
                          <a:off x="0" y="0"/>
                          <a:ext cx="1087702" cy="246221"/>
                        </a:xfrm>
                        <a:prstGeom prst="rect">
                          <a:avLst/>
                        </a:prstGeom>
                        <a:noFill/>
                      </wps:spPr>
                      <wps:txbx>
                        <w:txbxContent>
                          <w:p w14:paraId="3574BD2D" w14:textId="77777777" w:rsidR="005029D0" w:rsidRDefault="005029D0" w:rsidP="006A0C4B">
                            <w:r>
                              <w:rPr>
                                <w:rFonts w:asciiTheme="minorHAnsi" w:hAnsi="Calibri" w:cstheme="minorBidi"/>
                                <w:color w:val="0070C0"/>
                                <w:kern w:val="24"/>
                                <w:sz w:val="20"/>
                                <w:szCs w:val="20"/>
                              </w:rPr>
                              <w:t>Oleic acid (Ole)</w:t>
                            </w:r>
                          </w:p>
                        </w:txbxContent>
                      </wps:txbx>
                      <wps:bodyPr wrap="square" rtlCol="0">
                        <a:spAutoFit/>
                      </wps:bodyPr>
                    </wps:wsp>
                  </a:graphicData>
                </a:graphic>
              </wp:anchor>
            </w:drawing>
          </mc:Choice>
          <mc:Fallback>
            <w:pict>
              <v:shape id="CuadroTexto 98" o:spid="_x0000_s1067" type="#_x0000_t202" style="position:absolute;left:0;text-align:left;margin-left:9.55pt;margin-top:18.15pt;width:85.65pt;height:19.4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" filled="f" stroked="f">
                <v:textbox style="mso-fit-shape-to-text:t">
                  <w:txbxContent>
                    <w:p w14:paraId="3574BD2D" w14:textId="77777777" w:rsidR="005029D0" w:rsidRDefault="005029D0" w:rsidP="006A0C4B">
                      <w:r>
                        <w:rPr>
                          <w:rFonts w:asciiTheme="minorHAnsi" w:hAnsi="Calibri" w:cstheme="minorBidi"/>
                          <w:color w:val="0070C0"/>
                          <w:kern w:val="24"/>
                          <w:sz w:val="20"/>
                          <w:szCs w:val="20"/>
                        </w:rPr>
                        <w:t>Oleic acid (Ole)</w:t>
                      </w:r>
                    </w:p>
                  </w:txbxContent>
                </v:textbox>
              </v:shape>
            </w:pict>
          </mc:Fallback>
        </mc:AlternateContent>
      </w:r>
    </w:p>
    <w:p w14:paraId="1B853A68"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611E6FB6"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67B08157"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795ED9D8"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46D81B3F"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6B9A0964"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0F672270"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02A0E5C1"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719AC007"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58C5BF1C"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35417B9A"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2C2F8209"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359C6ADD"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4CBC60B9"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71D77B23"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729BD710"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5F9669A3"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285F708D"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706D9EFF"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38798B4E"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29E2141E"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612A8223"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36CF5E3E"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4C5F4F15"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7F69BB4E"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1643A802"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3C911431" w14:textId="0396E044" w:rsidR="006A0C4B" w:rsidRPr="00B7408D" w:rsidRDefault="006A0C4B" w:rsidP="006A0C4B">
      <w:pPr>
        <w:adjustRightInd w:val="0"/>
        <w:snapToGrid w:val="0"/>
        <w:spacing w:line="360" w:lineRule="auto"/>
        <w:ind w:right="-7"/>
        <w:jc w:val="both"/>
        <w:rPr>
          <w:rFonts w:ascii="Book Antiqua" w:hAnsi="Book Antiqua"/>
          <w:lang w:val="en-US"/>
        </w:rPr>
      </w:pPr>
      <w:r w:rsidRPr="00B7408D">
        <w:rPr>
          <w:rFonts w:ascii="Book Antiqua" w:hAnsi="Book Antiqua"/>
          <w:b/>
          <w:lang w:val="en-US"/>
        </w:rPr>
        <w:t>Figure 2</w:t>
      </w:r>
      <w:r w:rsidRPr="00B7408D">
        <w:rPr>
          <w:rFonts w:ascii="Book Antiqua" w:hAnsi="Book Antiqua"/>
          <w:lang w:val="en-US"/>
        </w:rPr>
        <w:t xml:space="preserve"> </w:t>
      </w:r>
      <w:r w:rsidRPr="00B7408D">
        <w:rPr>
          <w:rFonts w:ascii="Book Antiqua" w:hAnsi="Book Antiqua"/>
          <w:b/>
          <w:lang w:val="en-US"/>
        </w:rPr>
        <w:t xml:space="preserve">Effects of saponifiable fraction of olive oil on </w:t>
      </w:r>
      <w:r w:rsidR="0024381E" w:rsidRPr="00B7408D">
        <w:rPr>
          <w:rFonts w:ascii="Book Antiqua" w:hAnsi="Book Antiqua"/>
          <w:b/>
          <w:lang w:val="en-US"/>
        </w:rPr>
        <w:t>mesenchymal stem cells</w:t>
      </w:r>
      <w:r w:rsidRPr="00B7408D">
        <w:rPr>
          <w:rFonts w:ascii="Book Antiqua" w:hAnsi="Book Antiqua"/>
          <w:b/>
          <w:lang w:val="en-US"/>
        </w:rPr>
        <w:t>.</w:t>
      </w:r>
      <w:r w:rsidRPr="00B7408D">
        <w:rPr>
          <w:rFonts w:ascii="Book Antiqua" w:hAnsi="Book Antiqua"/>
          <w:lang w:val="en-US"/>
        </w:rPr>
        <w:t xml:space="preserve"> Unsaturated fatty acid residues present in olive oil have effects on several biological activities of </w:t>
      </w:r>
      <w:r w:rsidR="0024381E" w:rsidRPr="00B7408D">
        <w:rPr>
          <w:rFonts w:ascii="Book Antiqua" w:hAnsi="Book Antiqua" w:cs="Arial"/>
          <w:lang w:val="en-US"/>
        </w:rPr>
        <w:t>mesenchymal stem cells</w:t>
      </w:r>
      <w:r w:rsidR="0024381E" w:rsidRPr="00B7408D">
        <w:rPr>
          <w:rFonts w:ascii="Book Antiqua" w:hAnsi="Book Antiqua"/>
          <w:lang w:val="en-US"/>
        </w:rPr>
        <w:t xml:space="preserve"> (</w:t>
      </w:r>
      <w:r w:rsidRPr="00B7408D">
        <w:rPr>
          <w:rFonts w:ascii="Book Antiqua" w:hAnsi="Book Antiqua"/>
          <w:lang w:val="en-US"/>
        </w:rPr>
        <w:t>MSCs</w:t>
      </w:r>
      <w:r w:rsidR="0024381E" w:rsidRPr="00B7408D">
        <w:rPr>
          <w:rFonts w:ascii="Book Antiqua" w:hAnsi="Book Antiqua"/>
          <w:lang w:val="en-US"/>
        </w:rPr>
        <w:t>)</w:t>
      </w:r>
      <w:r w:rsidRPr="00B7408D">
        <w:rPr>
          <w:rFonts w:ascii="Book Antiqua" w:hAnsi="Book Antiqua"/>
          <w:lang w:val="en-US"/>
        </w:rPr>
        <w:t xml:space="preserve">, including differentiation, </w:t>
      </w:r>
      <w:r w:rsidRPr="00B7408D">
        <w:rPr>
          <w:rFonts w:ascii="Book Antiqua" w:hAnsi="Book Antiqua"/>
          <w:lang w:val="en-US"/>
        </w:rPr>
        <w:lastRenderedPageBreak/>
        <w:t xml:space="preserve">proliferation, inflammation, migration, and apoptosis, among others. Such effects can be related to different aspects of human health, being modulated by olive oil consumption. They include better bone health, less incidence of diabetes and obesity, and better regenerative, neurological and cardiovascular capacities, among others. Several residues of fatty acids studied (other than oleic acid) may increase adipogenesis and inflammation, inhibiting MSC proliferation. Fortunately, oleic acid accounts for the highest percentage (55% to 83%) of total fatty acid residues of olive oil. Therefore, its positive effects prevail after olive oil intake. Among others, they include increase of </w:t>
      </w:r>
      <w:proofErr w:type="spellStart"/>
      <w:r w:rsidRPr="00B7408D">
        <w:rPr>
          <w:rFonts w:ascii="Book Antiqua" w:hAnsi="Book Antiqua"/>
          <w:lang w:val="en-US"/>
        </w:rPr>
        <w:t>osteoblastogenesis</w:t>
      </w:r>
      <w:proofErr w:type="spellEnd"/>
      <w:r w:rsidRPr="00B7408D">
        <w:rPr>
          <w:rFonts w:ascii="Book Antiqua" w:hAnsi="Book Antiqua"/>
          <w:lang w:val="en-US"/>
        </w:rPr>
        <w:t xml:space="preserve"> and MSC migration, not affecting adipogenesis, apoptosis or inflammatory status. Symbols: ↑ and ↓ represent increase or reduction of effect, respectively, due to involved fatty acid residues</w:t>
      </w:r>
      <w:r w:rsidR="00AB68E3" w:rsidRPr="00B7408D">
        <w:rPr>
          <w:rFonts w:ascii="Book Antiqua" w:hAnsi="Book Antiqua"/>
          <w:lang w:val="en-US"/>
        </w:rPr>
        <w:t>;</w:t>
      </w:r>
      <w:r w:rsidRPr="00B7408D">
        <w:rPr>
          <w:rFonts w:ascii="Book Antiqua" w:hAnsi="Book Antiqua"/>
          <w:lang w:val="en-US"/>
        </w:rPr>
        <w:t xml:space="preserve"> The ↔ indicates that the studies carried out so far have not found significant effects on the evaluated parameter</w:t>
      </w:r>
      <w:r w:rsidR="00AB68E3" w:rsidRPr="00B7408D">
        <w:rPr>
          <w:rFonts w:ascii="Book Antiqua" w:hAnsi="Book Antiqua"/>
          <w:lang w:val="en-US"/>
        </w:rPr>
        <w:t>;</w:t>
      </w:r>
      <w:r w:rsidRPr="00B7408D">
        <w:rPr>
          <w:rFonts w:ascii="Book Antiqua" w:hAnsi="Book Antiqua"/>
          <w:lang w:val="en-US"/>
        </w:rPr>
        <w:t xml:space="preserve"> The ? indicates contradictory data. The numbers in square brackets indicate the bibliographical references. MSCs: </w:t>
      </w:r>
      <w:r w:rsidRPr="00B7408D">
        <w:rPr>
          <w:rFonts w:ascii="Book Antiqua" w:hAnsi="Book Antiqua" w:cs="Arial"/>
          <w:lang w:val="en-US"/>
        </w:rPr>
        <w:t>Mesenchymal stem cells.</w:t>
      </w:r>
    </w:p>
    <w:p w14:paraId="24C06FDF" w14:textId="77777777" w:rsidR="006A0C4B" w:rsidRPr="00B7408D" w:rsidRDefault="006A0C4B" w:rsidP="006A0C4B">
      <w:pPr>
        <w:rPr>
          <w:rFonts w:ascii="Book Antiqua" w:hAnsi="Book Antiqua"/>
          <w:b/>
          <w:lang w:val="en-US"/>
        </w:rPr>
      </w:pPr>
      <w:r w:rsidRPr="00B7408D">
        <w:rPr>
          <w:rFonts w:ascii="Book Antiqua" w:hAnsi="Book Antiqua"/>
          <w:b/>
          <w:lang w:val="en-US"/>
        </w:rPr>
        <w:br w:type="page"/>
      </w:r>
    </w:p>
    <w:p w14:paraId="05909036" w14:textId="1A2EE29F" w:rsidR="006A0C4B" w:rsidRPr="00B7408D" w:rsidRDefault="006A0C4B" w:rsidP="006A0C4B">
      <w:pPr>
        <w:adjustRightInd w:val="0"/>
        <w:snapToGrid w:val="0"/>
        <w:spacing w:line="360" w:lineRule="auto"/>
        <w:ind w:right="-7"/>
        <w:jc w:val="both"/>
        <w:rPr>
          <w:rFonts w:ascii="Book Antiqua" w:hAnsi="Book Antiqua"/>
          <w:b/>
          <w:lang w:val="en-US"/>
        </w:rPr>
      </w:pPr>
      <w:r w:rsidRPr="00B7408D">
        <w:rPr>
          <w:rFonts w:ascii="Book Antiqua" w:hAnsi="Book Antiqua"/>
          <w:b/>
          <w:noProof/>
          <w:lang w:val="en-US" w:bidi="ar-SA"/>
        </w:rPr>
        <w:lastRenderedPageBreak/>
        <w:drawing>
          <wp:anchor distT="0" distB="0" distL="114300" distR="114300" simplePos="0" relativeHeight="251760640" behindDoc="0" locked="0" layoutInCell="1" allowOverlap="1" wp14:anchorId="3D517771" wp14:editId="79600DED">
            <wp:simplePos x="0" y="0"/>
            <wp:positionH relativeFrom="column">
              <wp:posOffset>2340610</wp:posOffset>
            </wp:positionH>
            <wp:positionV relativeFrom="paragraph">
              <wp:posOffset>3284855</wp:posOffset>
            </wp:positionV>
            <wp:extent cx="1601377" cy="573869"/>
            <wp:effectExtent l="0" t="0" r="0" b="0"/>
            <wp:wrapNone/>
            <wp:docPr id="135"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10927F-D9AF-4A9D-A02A-4DF167CA6D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10927F-D9AF-4A9D-A02A-4DF167CA6D13}"/>
                        </a:ext>
                      </a:extLst>
                    </pic:cNvPr>
                    <pic:cNvPicPr>
                      <a:picLocks noChangeAspect="1"/>
                    </pic:cNvPicPr>
                  </pic:nvPicPr>
                  <pic:blipFill>
                    <a:blip r:embed="rId19"/>
                    <a:stretch>
                      <a:fillRect/>
                    </a:stretch>
                  </pic:blipFill>
                  <pic:spPr>
                    <a:xfrm>
                      <a:off x="0" y="0"/>
                      <a:ext cx="1601377" cy="573869"/>
                    </a:xfrm>
                    <a:prstGeom prst="rect">
                      <a:avLst/>
                    </a:prstGeom>
                  </pic:spPr>
                </pic:pic>
              </a:graphicData>
            </a:graphic>
          </wp:anchor>
        </w:drawing>
      </w:r>
      <w:r w:rsidRPr="00B7408D">
        <w:rPr>
          <w:rFonts w:ascii="Book Antiqua" w:hAnsi="Book Antiqua"/>
          <w:b/>
          <w:noProof/>
          <w:lang w:val="en-US" w:bidi="ar-SA"/>
        </w:rPr>
        <mc:AlternateContent>
          <mc:Choice Requires="wps">
            <w:drawing>
              <wp:anchor distT="0" distB="0" distL="114300" distR="114300" simplePos="0" relativeHeight="251761664" behindDoc="0" locked="0" layoutInCell="1" allowOverlap="1" wp14:anchorId="7503422B" wp14:editId="190E5C3E">
                <wp:simplePos x="0" y="0"/>
                <wp:positionH relativeFrom="column">
                  <wp:posOffset>2913380</wp:posOffset>
                </wp:positionH>
                <wp:positionV relativeFrom="paragraph">
                  <wp:posOffset>3874770</wp:posOffset>
                </wp:positionV>
                <wp:extent cx="521297" cy="307777"/>
                <wp:effectExtent l="0" t="0" r="0" b="0"/>
                <wp:wrapNone/>
                <wp:docPr id="36" name="CuadroTexto 4"/>
                <wp:cNvGraphicFramePr/>
                <a:graphic xmlns:a="http://schemas.openxmlformats.org/drawingml/2006/main">
                  <a:graphicData uri="http://schemas.microsoft.com/office/word/2010/wordprocessingShape">
                    <wps:wsp>
                      <wps:cNvSpPr txBox="1"/>
                      <wps:spPr>
                        <a:xfrm>
                          <a:off x="0" y="0"/>
                          <a:ext cx="521297" cy="307777"/>
                        </a:xfrm>
                        <a:prstGeom prst="rect">
                          <a:avLst/>
                        </a:prstGeom>
                        <a:noFill/>
                      </wps:spPr>
                      <wps:txbx>
                        <w:txbxContent>
                          <w:p w14:paraId="0A4CA745" w14:textId="77777777" w:rsidR="005029D0" w:rsidRDefault="005029D0" w:rsidP="006A0C4B">
                            <w:r>
                              <w:rPr>
                                <w:rFonts w:asciiTheme="minorHAnsi" w:hAnsi="Calibri" w:cstheme="minorBidi"/>
                                <w:b/>
                                <w:bCs/>
                                <w:color w:val="000000" w:themeColor="text1"/>
                                <w:kern w:val="24"/>
                                <w:sz w:val="28"/>
                                <w:szCs w:val="28"/>
                              </w:rPr>
                              <w:t>MSC</w:t>
                            </w:r>
                          </w:p>
                        </w:txbxContent>
                      </wps:txbx>
                      <wps:bodyPr wrap="none" rtlCol="0">
                        <a:spAutoFit/>
                      </wps:bodyPr>
                    </wps:wsp>
                  </a:graphicData>
                </a:graphic>
              </wp:anchor>
            </w:drawing>
          </mc:Choice>
          <mc:Fallback>
            <w:pict>
              <v:shape id="_x0000_s1068" type="#_x0000_t202" style="position:absolute;left:0;text-align:left;margin-left:229.4pt;margin-top:305.1pt;width:41.05pt;height:24.25pt;z-index:251761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" filled="f" stroked="f">
                <v:textbox style="mso-fit-shape-to-text:t">
                  <w:txbxContent>
                    <w:p w14:paraId="0A4CA745" w14:textId="77777777" w:rsidR="005029D0" w:rsidRDefault="005029D0" w:rsidP="006A0C4B">
                      <w:r>
                        <w:rPr>
                          <w:rFonts w:asciiTheme="minorHAnsi" w:hAnsi="Calibri" w:cstheme="minorBidi"/>
                          <w:b/>
                          <w:bCs/>
                          <w:color w:val="000000" w:themeColor="text1"/>
                          <w:kern w:val="24"/>
                          <w:sz w:val="28"/>
                          <w:szCs w:val="28"/>
                        </w:rPr>
                        <w:t>MSC</w:t>
                      </w:r>
                    </w:p>
                  </w:txbxContent>
                </v:textbox>
              </v:shape>
            </w:pict>
          </mc:Fallback>
        </mc:AlternateContent>
      </w:r>
      <w:r w:rsidRPr="00B7408D">
        <w:rPr>
          <w:rFonts w:ascii="Book Antiqua" w:hAnsi="Book Antiqua"/>
          <w:b/>
          <w:noProof/>
          <w:lang w:val="en-US" w:bidi="ar-SA"/>
        </w:rPr>
        <mc:AlternateContent>
          <mc:Choice Requires="wpg">
            <w:drawing>
              <wp:anchor distT="0" distB="0" distL="114300" distR="114300" simplePos="0" relativeHeight="251762688" behindDoc="0" locked="0" layoutInCell="1" allowOverlap="1" wp14:anchorId="56F56A4C" wp14:editId="1FFBD328">
                <wp:simplePos x="0" y="0"/>
                <wp:positionH relativeFrom="column">
                  <wp:posOffset>873125</wp:posOffset>
                </wp:positionH>
                <wp:positionV relativeFrom="paragraph">
                  <wp:posOffset>3914775</wp:posOffset>
                </wp:positionV>
                <wp:extent cx="2052000" cy="1728930"/>
                <wp:effectExtent l="38100" t="0" r="18415" b="36830"/>
                <wp:wrapNone/>
                <wp:docPr id="37" name="Grupo 66"/>
                <wp:cNvGraphicFramePr/>
                <a:graphic xmlns:a="http://schemas.openxmlformats.org/drawingml/2006/main">
                  <a:graphicData uri="http://schemas.microsoft.com/office/word/2010/wordprocessingGroup">
                    <wpg:wgp>
                      <wpg:cNvGrpSpPr/>
                      <wpg:grpSpPr>
                        <a:xfrm>
                          <a:off x="0" y="0"/>
                          <a:ext cx="2052000" cy="1728930"/>
                          <a:chOff x="873269" y="3915267"/>
                          <a:chExt cx="2262588" cy="1728930"/>
                        </a:xfrm>
                      </wpg:grpSpPr>
                      <wps:wsp>
                        <wps:cNvPr id="40" name="Conector: angular 6"/>
                        <wps:cNvCnPr>
                          <a:cxnSpLocks/>
                        </wps:cNvCnPr>
                        <wps:spPr>
                          <a:xfrm rot="5400000">
                            <a:off x="1053269" y="3735267"/>
                            <a:ext cx="1728000" cy="2088000"/>
                          </a:xfrm>
                          <a:prstGeom prst="bentConnector3">
                            <a:avLst>
                              <a:gd name="adj1" fmla="val 6812"/>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Conector: angular 9"/>
                        <wps:cNvCnPr>
                          <a:cxnSpLocks/>
                        </wps:cNvCnPr>
                        <wps:spPr>
                          <a:xfrm rot="5400000">
                            <a:off x="1525232" y="4132197"/>
                            <a:ext cx="1692000" cy="1332000"/>
                          </a:xfrm>
                          <a:prstGeom prst="bentConnector3">
                            <a:avLst>
                              <a:gd name="adj1" fmla="val 1076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Conector: angular 18"/>
                        <wps:cNvCnPr>
                          <a:cxnSpLocks/>
                        </wps:cNvCnPr>
                        <wps:spPr>
                          <a:xfrm rot="5400000">
                            <a:off x="2037857" y="4546197"/>
                            <a:ext cx="1656000" cy="540000"/>
                          </a:xfrm>
                          <a:prstGeom prst="bentConnector3">
                            <a:avLst>
                              <a:gd name="adj1" fmla="val 14989"/>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E47C49" id="Grupo 66" o:spid="_x0000_s1026" style="position:absolute;margin-left:68.75pt;margin-top:308.25pt;width:161.55pt;height:136.15pt;z-index:251762688" coordorigin="8732,39152" coordsize="22625,1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">
                <v:shape id="Conector: angular 6" o:spid="_x0000_s1027" type="#_x0000_t34" style="position:absolute;left:10532;top:37352;width:17280;height:2088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" adj="1471" strokecolor="black [3213]" strokeweight="1.5pt">
                  <v:stroke endarrow="block"/>
                  <o:lock v:ext="edit" shapetype="f"/>
                </v:shape>
                <v:shape id="Conector: angular 9" o:spid="_x0000_s1028" type="#_x0000_t34" style="position:absolute;left:15252;top:41321;width:16920;height:133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" adj="2324" strokecolor="black [3213]" strokeweight="1.5pt">
                  <v:stroke endarrow="block"/>
                  <o:lock v:ext="edit" shapetype="f"/>
                </v:shape>
                <v:shape id="Conector: angular 18" o:spid="_x0000_s1029" type="#_x0000_t34" style="position:absolute;left:20378;top:45461;width:16560;height:540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" adj="3238" strokecolor="black [3213]" strokeweight="1.5pt">
                  <v:stroke endarrow="block"/>
                  <o:lock v:ext="edit" shapetype="f"/>
                </v:shape>
              </v:group>
            </w:pict>
          </mc:Fallback>
        </mc:AlternateContent>
      </w:r>
      <w:r w:rsidRPr="00B7408D">
        <w:rPr>
          <w:rFonts w:ascii="Book Antiqua" w:hAnsi="Book Antiqua"/>
          <w:b/>
          <w:noProof/>
          <w:lang w:val="en-US" w:bidi="ar-SA"/>
        </w:rPr>
        <mc:AlternateContent>
          <mc:Choice Requires="wpg">
            <w:drawing>
              <wp:anchor distT="0" distB="0" distL="114300" distR="114300" simplePos="0" relativeHeight="251763712" behindDoc="0" locked="0" layoutInCell="1" allowOverlap="1" wp14:anchorId="1AE06E70" wp14:editId="2EF98E6A">
                <wp:simplePos x="0" y="0"/>
                <wp:positionH relativeFrom="column">
                  <wp:posOffset>5142865</wp:posOffset>
                </wp:positionH>
                <wp:positionV relativeFrom="paragraph">
                  <wp:posOffset>5737225</wp:posOffset>
                </wp:positionV>
                <wp:extent cx="614712" cy="291484"/>
                <wp:effectExtent l="0" t="0" r="0" b="635"/>
                <wp:wrapNone/>
                <wp:docPr id="38" name="Grupo 45"/>
                <wp:cNvGraphicFramePr/>
                <a:graphic xmlns:a="http://schemas.openxmlformats.org/drawingml/2006/main">
                  <a:graphicData uri="http://schemas.microsoft.com/office/word/2010/wordprocessingGroup">
                    <wpg:wgp>
                      <wpg:cNvGrpSpPr/>
                      <wpg:grpSpPr>
                        <a:xfrm>
                          <a:off x="0" y="0"/>
                          <a:ext cx="614712" cy="291484"/>
                          <a:chOff x="5143234" y="5737851"/>
                          <a:chExt cx="614712" cy="291484"/>
                        </a:xfrm>
                      </wpg:grpSpPr>
                      <pic:pic xmlns:pic="http://schemas.openxmlformats.org/drawingml/2006/picture">
                        <pic:nvPicPr>
                          <pic:cNvPr id="39" name="Imagen 23"/>
                          <pic:cNvPicPr>
                            <a:picLocks noChangeAspect="1"/>
                          </pic:cNvPicPr>
                        </pic:nvPicPr>
                        <pic:blipFill>
                          <a:blip r:embed="rId19"/>
                          <a:stretch>
                            <a:fillRect/>
                          </a:stretch>
                        </pic:blipFill>
                        <pic:spPr>
                          <a:xfrm>
                            <a:off x="5143234" y="5737851"/>
                            <a:ext cx="319323" cy="114432"/>
                          </a:xfrm>
                          <a:prstGeom prst="rect">
                            <a:avLst/>
                          </a:prstGeom>
                        </pic:spPr>
                      </pic:pic>
                      <pic:pic xmlns:pic="http://schemas.openxmlformats.org/drawingml/2006/picture">
                        <pic:nvPicPr>
                          <pic:cNvPr id="43" name="Imagen 24"/>
                          <pic:cNvPicPr>
                            <a:picLocks noChangeAspect="1"/>
                          </pic:cNvPicPr>
                        </pic:nvPicPr>
                        <pic:blipFill>
                          <a:blip r:embed="rId19"/>
                          <a:stretch>
                            <a:fillRect/>
                          </a:stretch>
                        </pic:blipFill>
                        <pic:spPr>
                          <a:xfrm>
                            <a:off x="5194780" y="5856633"/>
                            <a:ext cx="319323" cy="114432"/>
                          </a:xfrm>
                          <a:prstGeom prst="rect">
                            <a:avLst/>
                          </a:prstGeom>
                        </pic:spPr>
                      </pic:pic>
                      <pic:pic xmlns:pic="http://schemas.openxmlformats.org/drawingml/2006/picture">
                        <pic:nvPicPr>
                          <pic:cNvPr id="44" name="Imagen 25"/>
                          <pic:cNvPicPr>
                            <a:picLocks noChangeAspect="1"/>
                          </pic:cNvPicPr>
                        </pic:nvPicPr>
                        <pic:blipFill>
                          <a:blip r:embed="rId19"/>
                          <a:stretch>
                            <a:fillRect/>
                          </a:stretch>
                        </pic:blipFill>
                        <pic:spPr>
                          <a:xfrm>
                            <a:off x="5427864" y="5914903"/>
                            <a:ext cx="319323" cy="114432"/>
                          </a:xfrm>
                          <a:prstGeom prst="rect">
                            <a:avLst/>
                          </a:prstGeom>
                        </pic:spPr>
                      </pic:pic>
                      <pic:pic xmlns:pic="http://schemas.openxmlformats.org/drawingml/2006/picture">
                        <pic:nvPicPr>
                          <pic:cNvPr id="45" name="Imagen 26"/>
                          <pic:cNvPicPr>
                            <a:picLocks noChangeAspect="1"/>
                          </pic:cNvPicPr>
                        </pic:nvPicPr>
                        <pic:blipFill>
                          <a:blip r:embed="rId19"/>
                          <a:stretch>
                            <a:fillRect/>
                          </a:stretch>
                        </pic:blipFill>
                        <pic:spPr>
                          <a:xfrm>
                            <a:off x="5438623" y="5749353"/>
                            <a:ext cx="319323" cy="114432"/>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0EA09B" id="Grupo 45" o:spid="_x0000_s1026" style="position:absolute;margin-left:404.95pt;margin-top:451.75pt;width:48.4pt;height:22.95pt;z-index:251763712" coordorigin="51432,57378" coordsize="6147,2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">
                <v:shape id="Imagen 23" o:spid="_x0000_s1027" type="#_x0000_t75" style="position:absolute;left:51432;top:57378;width:3193;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">
                  <v:imagedata r:id="rId20" o:title=""/>
                </v:shape>
                <v:shape id="Imagen 24" o:spid="_x0000_s1028" type="#_x0000_t75" style="position:absolute;left:51947;top:58566;width:3194;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">
                  <v:imagedata r:id="rId20" o:title=""/>
                </v:shape>
                <v:shape id="Imagen 25" o:spid="_x0000_s1029" type="#_x0000_t75" style="position:absolute;left:54278;top:59149;width:3193;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">
                  <v:imagedata r:id="rId20" o:title=""/>
                </v:shape>
                <v:shape id="Imagen 26" o:spid="_x0000_s1030" type="#_x0000_t75" style="position:absolute;left:54386;top:57493;width:3193;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">
                  <v:imagedata r:id="rId20" o:title=""/>
                </v:shape>
              </v:group>
            </w:pict>
          </mc:Fallback>
        </mc:AlternateContent>
      </w:r>
      <w:r w:rsidRPr="00B7408D">
        <w:rPr>
          <w:rFonts w:ascii="Book Antiqua" w:hAnsi="Book Antiqua"/>
          <w:b/>
          <w:noProof/>
          <w:lang w:val="en-US" w:bidi="ar-SA"/>
        </w:rPr>
        <w:drawing>
          <wp:anchor distT="0" distB="0" distL="114300" distR="114300" simplePos="0" relativeHeight="251764736" behindDoc="0" locked="0" layoutInCell="1" allowOverlap="1" wp14:anchorId="36D9362D" wp14:editId="460022A1">
            <wp:simplePos x="0" y="0"/>
            <wp:positionH relativeFrom="column">
              <wp:posOffset>1433195</wp:posOffset>
            </wp:positionH>
            <wp:positionV relativeFrom="paragraph">
              <wp:posOffset>5702935</wp:posOffset>
            </wp:positionV>
            <wp:extent cx="398471" cy="360099"/>
            <wp:effectExtent l="0" t="0" r="0" b="0"/>
            <wp:wrapNone/>
            <wp:docPr id="136" name="Imagen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C1A34D-5481-4A54-87AF-6704E6168B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C1A34D-5481-4A54-87AF-6704E6168BC0}"/>
                        </a:ext>
                      </a:extLst>
                    </pic:cNvPr>
                    <pic:cNvPicPr>
                      <a:picLocks noChangeAspect="1"/>
                    </pic:cNvPicPr>
                  </pic:nvPicPr>
                  <pic:blipFill>
                    <a:blip r:embed="rId21"/>
                    <a:stretch>
                      <a:fillRect/>
                    </a:stretch>
                  </pic:blipFill>
                  <pic:spPr>
                    <a:xfrm>
                      <a:off x="0" y="0"/>
                      <a:ext cx="398471" cy="360099"/>
                    </a:xfrm>
                    <a:prstGeom prst="rect">
                      <a:avLst/>
                    </a:prstGeom>
                  </pic:spPr>
                </pic:pic>
              </a:graphicData>
            </a:graphic>
          </wp:anchor>
        </w:drawing>
      </w:r>
      <w:r w:rsidRPr="00B7408D">
        <w:rPr>
          <w:rFonts w:ascii="Book Antiqua" w:hAnsi="Book Antiqua"/>
          <w:b/>
          <w:noProof/>
          <w:lang w:val="en-US" w:bidi="ar-SA"/>
        </w:rPr>
        <w:drawing>
          <wp:anchor distT="0" distB="0" distL="114300" distR="114300" simplePos="0" relativeHeight="251765760" behindDoc="0" locked="0" layoutInCell="1" allowOverlap="1" wp14:anchorId="0E3D62DE" wp14:editId="64069319">
            <wp:simplePos x="0" y="0"/>
            <wp:positionH relativeFrom="column">
              <wp:posOffset>653415</wp:posOffset>
            </wp:positionH>
            <wp:positionV relativeFrom="paragraph">
              <wp:posOffset>5690235</wp:posOffset>
            </wp:positionV>
            <wp:extent cx="474050" cy="385854"/>
            <wp:effectExtent l="0" t="0" r="0" b="0"/>
            <wp:wrapNone/>
            <wp:docPr id="142" name="Imagen 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1CA738-E3E5-4A68-9739-F39BD37B6F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1CA738-E3E5-4A68-9739-F39BD37B6F36}"/>
                        </a:ext>
                      </a:extLst>
                    </pic:cNvPr>
                    <pic:cNvPicPr>
                      <a:picLocks noChangeAspect="1"/>
                    </pic:cNvPicPr>
                  </pic:nvPicPr>
                  <pic:blipFill>
                    <a:blip r:embed="rId22"/>
                    <a:stretch>
                      <a:fillRect/>
                    </a:stretch>
                  </pic:blipFill>
                  <pic:spPr>
                    <a:xfrm>
                      <a:off x="0" y="0"/>
                      <a:ext cx="474050" cy="385854"/>
                    </a:xfrm>
                    <a:prstGeom prst="rect">
                      <a:avLst/>
                    </a:prstGeom>
                  </pic:spPr>
                </pic:pic>
              </a:graphicData>
            </a:graphic>
          </wp:anchor>
        </w:drawing>
      </w:r>
      <w:r w:rsidRPr="00B7408D">
        <w:rPr>
          <w:rFonts w:ascii="Book Antiqua" w:hAnsi="Book Antiqua"/>
          <w:b/>
          <w:noProof/>
          <w:lang w:val="en-US" w:bidi="ar-SA"/>
        </w:rPr>
        <w:drawing>
          <wp:anchor distT="0" distB="0" distL="114300" distR="114300" simplePos="0" relativeHeight="251766784" behindDoc="0" locked="0" layoutInCell="1" allowOverlap="1" wp14:anchorId="6B46059D" wp14:editId="78524893">
            <wp:simplePos x="0" y="0"/>
            <wp:positionH relativeFrom="column">
              <wp:posOffset>4437380</wp:posOffset>
            </wp:positionH>
            <wp:positionV relativeFrom="paragraph">
              <wp:posOffset>5712460</wp:posOffset>
            </wp:positionV>
            <wp:extent cx="423395" cy="341342"/>
            <wp:effectExtent l="0" t="0" r="0" b="1905"/>
            <wp:wrapNone/>
            <wp:docPr id="143" name="Imagen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EFCD89-F5B5-4252-9F72-FF3692D1E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EFCD89-F5B5-4252-9F72-FF3692D1E174}"/>
                        </a:ext>
                      </a:extLst>
                    </pic:cNvPr>
                    <pic:cNvPicPr>
                      <a:picLocks noChangeAspect="1"/>
                    </pic:cNvPicPr>
                  </pic:nvPicPr>
                  <pic:blipFill>
                    <a:blip r:embed="rId23"/>
                    <a:stretch>
                      <a:fillRect/>
                    </a:stretch>
                  </pic:blipFill>
                  <pic:spPr>
                    <a:xfrm>
                      <a:off x="0" y="0"/>
                      <a:ext cx="423395" cy="341342"/>
                    </a:xfrm>
                    <a:prstGeom prst="rect">
                      <a:avLst/>
                    </a:prstGeom>
                  </pic:spPr>
                </pic:pic>
              </a:graphicData>
            </a:graphic>
          </wp:anchor>
        </w:drawing>
      </w:r>
      <w:r w:rsidRPr="00B7408D">
        <w:rPr>
          <w:rFonts w:ascii="Book Antiqua" w:hAnsi="Book Antiqua"/>
          <w:b/>
          <w:noProof/>
          <w:lang w:val="en-US" w:bidi="ar-SA"/>
        </w:rPr>
        <w:drawing>
          <wp:anchor distT="0" distB="0" distL="114300" distR="114300" simplePos="0" relativeHeight="251767808" behindDoc="0" locked="0" layoutInCell="1" allowOverlap="1" wp14:anchorId="07B72904" wp14:editId="18AD2A70">
            <wp:simplePos x="0" y="0"/>
            <wp:positionH relativeFrom="column">
              <wp:posOffset>2060575</wp:posOffset>
            </wp:positionH>
            <wp:positionV relativeFrom="paragraph">
              <wp:posOffset>5756275</wp:posOffset>
            </wp:positionV>
            <wp:extent cx="808551" cy="254479"/>
            <wp:effectExtent l="0" t="0" r="4445" b="0"/>
            <wp:wrapNone/>
            <wp:docPr id="144" name="Imagen 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8C3DC2-E063-4681-9357-CEFEC51DA5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8C3DC2-E063-4681-9357-CEFEC51DA586}"/>
                        </a:ext>
                      </a:extLst>
                    </pic:cNvPr>
                    <pic:cNvPicPr>
                      <a:picLocks noChangeAspect="1"/>
                    </pic:cNvPicPr>
                  </pic:nvPicPr>
                  <pic:blipFill>
                    <a:blip r:embed="rId24">
                      <a:extLst>
                        <a:ext uri="{BEBA8EAE-BF5A-486C-A8C5-ECC9F3942E4B}">
                          <a14:imgProps xmlns:a14="http://schemas.microsoft.com/office/drawing/2010/main">
                            <a14:imgLayer r:embed="rId25">
                              <a14:imgEffect>
                                <a14:artisticGlass/>
                              </a14:imgEffect>
                            </a14:imgLayer>
                          </a14:imgProps>
                        </a:ext>
                      </a:extLst>
                    </a:blip>
                    <a:stretch>
                      <a:fillRect/>
                    </a:stretch>
                  </pic:blipFill>
                  <pic:spPr>
                    <a:xfrm>
                      <a:off x="0" y="0"/>
                      <a:ext cx="808551" cy="254479"/>
                    </a:xfrm>
                    <a:prstGeom prst="rect">
                      <a:avLst/>
                    </a:prstGeom>
                  </pic:spPr>
                </pic:pic>
              </a:graphicData>
            </a:graphic>
          </wp:anchor>
        </w:drawing>
      </w:r>
      <w:r w:rsidRPr="00B7408D">
        <w:rPr>
          <w:rFonts w:ascii="Book Antiqua" w:hAnsi="Book Antiqua"/>
          <w:b/>
          <w:noProof/>
          <w:lang w:val="en-US" w:bidi="ar-SA"/>
        </w:rPr>
        <mc:AlternateContent>
          <mc:Choice Requires="wps">
            <w:drawing>
              <wp:anchor distT="0" distB="0" distL="114300" distR="114300" simplePos="0" relativeHeight="251768832" behindDoc="0" locked="0" layoutInCell="1" allowOverlap="1" wp14:anchorId="4641D611" wp14:editId="66BE19AC">
                <wp:simplePos x="0" y="0"/>
                <wp:positionH relativeFrom="column">
                  <wp:posOffset>5086985</wp:posOffset>
                </wp:positionH>
                <wp:positionV relativeFrom="paragraph">
                  <wp:posOffset>6115685</wp:posOffset>
                </wp:positionV>
                <wp:extent cx="774571" cy="230832"/>
                <wp:effectExtent l="0" t="0" r="0" b="0"/>
                <wp:wrapNone/>
                <wp:docPr id="46" name="CuadroTexto 35"/>
                <wp:cNvGraphicFramePr/>
                <a:graphic xmlns:a="http://schemas.openxmlformats.org/drawingml/2006/main">
                  <a:graphicData uri="http://schemas.microsoft.com/office/word/2010/wordprocessingShape">
                    <wps:wsp>
                      <wps:cNvSpPr txBox="1"/>
                      <wps:spPr>
                        <a:xfrm>
                          <a:off x="0" y="0"/>
                          <a:ext cx="774571" cy="230832"/>
                        </a:xfrm>
                        <a:prstGeom prst="rect">
                          <a:avLst/>
                        </a:prstGeom>
                        <a:noFill/>
                      </wps:spPr>
                      <wps:txbx>
                        <w:txbxContent>
                          <w:p w14:paraId="24F2019C" w14:textId="77777777" w:rsidR="005029D0" w:rsidRDefault="005029D0" w:rsidP="006A0C4B">
                            <w:r>
                              <w:rPr>
                                <w:rFonts w:asciiTheme="minorHAnsi" w:hAnsi="Calibri" w:cstheme="minorBidi"/>
                                <w:color w:val="000000" w:themeColor="text1"/>
                                <w:kern w:val="24"/>
                                <w:sz w:val="18"/>
                                <w:szCs w:val="18"/>
                              </w:rPr>
                              <w:t>Proliferation</w:t>
                            </w:r>
                          </w:p>
                        </w:txbxContent>
                      </wps:txbx>
                      <wps:bodyPr wrap="none" rtlCol="0">
                        <a:spAutoFit/>
                      </wps:bodyPr>
                    </wps:wsp>
                  </a:graphicData>
                </a:graphic>
              </wp:anchor>
            </w:drawing>
          </mc:Choice>
          <mc:Fallback>
            <w:pict>
              <v:shape id="CuadroTexto 35" o:spid="_x0000_s1069" type="#_x0000_t202" style="position:absolute;left:0;text-align:left;margin-left:400.55pt;margin-top:481.55pt;width:61pt;height:18.2pt;z-index:25176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" filled="f" stroked="f">
                <v:textbox style="mso-fit-shape-to-text:t">
                  <w:txbxContent>
                    <w:p w14:paraId="24F2019C" w14:textId="77777777" w:rsidR="005029D0" w:rsidRDefault="005029D0" w:rsidP="006A0C4B">
                      <w:r>
                        <w:rPr>
                          <w:rFonts w:asciiTheme="minorHAnsi" w:hAnsi="Calibri" w:cstheme="minorBidi"/>
                          <w:color w:val="000000" w:themeColor="text1"/>
                          <w:kern w:val="24"/>
                          <w:sz w:val="18"/>
                          <w:szCs w:val="18"/>
                        </w:rPr>
                        <w:t>Proliferation</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69856" behindDoc="0" locked="0" layoutInCell="1" allowOverlap="1" wp14:anchorId="25EBD0F9" wp14:editId="62BCB31A">
                <wp:simplePos x="0" y="0"/>
                <wp:positionH relativeFrom="column">
                  <wp:posOffset>3558540</wp:posOffset>
                </wp:positionH>
                <wp:positionV relativeFrom="paragraph">
                  <wp:posOffset>6046470</wp:posOffset>
                </wp:positionV>
                <wp:extent cx="630301" cy="369332"/>
                <wp:effectExtent l="0" t="0" r="0" b="0"/>
                <wp:wrapNone/>
                <wp:docPr id="47" name="CuadroTexto 37"/>
                <wp:cNvGraphicFramePr/>
                <a:graphic xmlns:a="http://schemas.openxmlformats.org/drawingml/2006/main">
                  <a:graphicData uri="http://schemas.microsoft.com/office/word/2010/wordprocessingShape">
                    <wps:wsp>
                      <wps:cNvSpPr txBox="1"/>
                      <wps:spPr>
                        <a:xfrm>
                          <a:off x="0" y="0"/>
                          <a:ext cx="630301" cy="369332"/>
                        </a:xfrm>
                        <a:prstGeom prst="rect">
                          <a:avLst/>
                        </a:prstGeom>
                        <a:noFill/>
                      </wps:spPr>
                      <wps:txbx>
                        <w:txbxContent>
                          <w:p w14:paraId="4004D809" w14:textId="77777777" w:rsidR="005029D0" w:rsidRDefault="005029D0" w:rsidP="006A0C4B">
                            <w:pPr>
                              <w:jc w:val="center"/>
                            </w:pPr>
                            <w:r>
                              <w:rPr>
                                <w:rFonts w:asciiTheme="minorHAnsi" w:hAnsi="Calibri" w:cstheme="minorBidi"/>
                                <w:color w:val="000000" w:themeColor="text1"/>
                                <w:kern w:val="24"/>
                                <w:sz w:val="18"/>
                                <w:szCs w:val="18"/>
                              </w:rPr>
                              <w:t>Oxidative</w:t>
                            </w:r>
                          </w:p>
                          <w:p w14:paraId="14E09F1F" w14:textId="77777777" w:rsidR="005029D0" w:rsidRDefault="005029D0" w:rsidP="006A0C4B">
                            <w:pPr>
                              <w:jc w:val="center"/>
                            </w:pPr>
                            <w:r>
                              <w:rPr>
                                <w:rFonts w:asciiTheme="minorHAnsi" w:hAnsi="Calibri" w:cstheme="minorBidi"/>
                                <w:color w:val="000000" w:themeColor="text1"/>
                                <w:kern w:val="24"/>
                                <w:sz w:val="18"/>
                                <w:szCs w:val="18"/>
                              </w:rPr>
                              <w:t>stress</w:t>
                            </w:r>
                          </w:p>
                        </w:txbxContent>
                      </wps:txbx>
                      <wps:bodyPr wrap="none" rtlCol="0">
                        <a:spAutoFit/>
                      </wps:bodyPr>
                    </wps:wsp>
                  </a:graphicData>
                </a:graphic>
              </wp:anchor>
            </w:drawing>
          </mc:Choice>
          <mc:Fallback>
            <w:pict>
              <v:shape id="CuadroTexto 37" o:spid="_x0000_s1070" type="#_x0000_t202" style="position:absolute;left:0;text-align:left;margin-left:280.2pt;margin-top:476.1pt;width:49.65pt;height:29.1pt;z-index:251769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" filled="f" stroked="f">
                <v:textbox style="mso-fit-shape-to-text:t">
                  <w:txbxContent>
                    <w:p w14:paraId="4004D809" w14:textId="77777777" w:rsidR="005029D0" w:rsidRDefault="005029D0" w:rsidP="006A0C4B">
                      <w:pPr>
                        <w:jc w:val="center"/>
                      </w:pPr>
                      <w:r>
                        <w:rPr>
                          <w:rFonts w:asciiTheme="minorHAnsi" w:hAnsi="Calibri" w:cstheme="minorBidi"/>
                          <w:color w:val="000000" w:themeColor="text1"/>
                          <w:kern w:val="24"/>
                          <w:sz w:val="18"/>
                          <w:szCs w:val="18"/>
                        </w:rPr>
                        <w:t>Oxidative</w:t>
                      </w:r>
                    </w:p>
                    <w:p w14:paraId="14E09F1F" w14:textId="77777777" w:rsidR="005029D0" w:rsidRDefault="005029D0" w:rsidP="006A0C4B">
                      <w:pPr>
                        <w:jc w:val="center"/>
                      </w:pPr>
                      <w:r>
                        <w:rPr>
                          <w:rFonts w:asciiTheme="minorHAnsi" w:hAnsi="Calibri" w:cstheme="minorBidi"/>
                          <w:color w:val="000000" w:themeColor="text1"/>
                          <w:kern w:val="24"/>
                          <w:sz w:val="18"/>
                          <w:szCs w:val="18"/>
                        </w:rPr>
                        <w:t>stress</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70880" behindDoc="0" locked="0" layoutInCell="1" allowOverlap="1" wp14:anchorId="7C2FD3B1" wp14:editId="51D9390B">
                <wp:simplePos x="0" y="0"/>
                <wp:positionH relativeFrom="column">
                  <wp:posOffset>2170430</wp:posOffset>
                </wp:positionH>
                <wp:positionV relativeFrom="paragraph">
                  <wp:posOffset>6115685</wp:posOffset>
                </wp:positionV>
                <wp:extent cx="651140" cy="230832"/>
                <wp:effectExtent l="0" t="0" r="0" b="0"/>
                <wp:wrapNone/>
                <wp:docPr id="48" name="CuadroTexto 38"/>
                <wp:cNvGraphicFramePr/>
                <a:graphic xmlns:a="http://schemas.openxmlformats.org/drawingml/2006/main">
                  <a:graphicData uri="http://schemas.microsoft.com/office/word/2010/wordprocessingShape">
                    <wps:wsp>
                      <wps:cNvSpPr txBox="1"/>
                      <wps:spPr>
                        <a:xfrm>
                          <a:off x="0" y="0"/>
                          <a:ext cx="651140" cy="230832"/>
                        </a:xfrm>
                        <a:prstGeom prst="rect">
                          <a:avLst/>
                        </a:prstGeom>
                        <a:noFill/>
                      </wps:spPr>
                      <wps:txbx>
                        <w:txbxContent>
                          <w:p w14:paraId="6270635A" w14:textId="77777777" w:rsidR="005029D0" w:rsidRDefault="005029D0" w:rsidP="006A0C4B">
                            <w:r>
                              <w:rPr>
                                <w:rFonts w:asciiTheme="minorHAnsi" w:hAnsi="Calibri" w:cstheme="minorBidi"/>
                                <w:color w:val="000000" w:themeColor="text1"/>
                                <w:kern w:val="24"/>
                                <w:sz w:val="18"/>
                                <w:szCs w:val="18"/>
                              </w:rPr>
                              <w:t>Apoptosis</w:t>
                            </w:r>
                          </w:p>
                        </w:txbxContent>
                      </wps:txbx>
                      <wps:bodyPr wrap="none" rtlCol="0">
                        <a:spAutoFit/>
                      </wps:bodyPr>
                    </wps:wsp>
                  </a:graphicData>
                </a:graphic>
              </wp:anchor>
            </w:drawing>
          </mc:Choice>
          <mc:Fallback>
            <w:pict>
              <v:shape id="CuadroTexto 38" o:spid="_x0000_s1071" type="#_x0000_t202" style="position:absolute;left:0;text-align:left;margin-left:170.9pt;margin-top:481.55pt;width:51.25pt;height:18.2pt;z-index:251770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" filled="f" stroked="f">
                <v:textbox style="mso-fit-shape-to-text:t">
                  <w:txbxContent>
                    <w:p w14:paraId="6270635A" w14:textId="77777777" w:rsidR="005029D0" w:rsidRDefault="005029D0" w:rsidP="006A0C4B">
                      <w:r>
                        <w:rPr>
                          <w:rFonts w:asciiTheme="minorHAnsi" w:hAnsi="Calibri" w:cstheme="minorBidi"/>
                          <w:color w:val="000000" w:themeColor="text1"/>
                          <w:kern w:val="24"/>
                          <w:sz w:val="18"/>
                          <w:szCs w:val="18"/>
                        </w:rPr>
                        <w:t>Apoptosis</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71904" behindDoc="0" locked="0" layoutInCell="1" allowOverlap="1" wp14:anchorId="156E2BB2" wp14:editId="3E8F1731">
                <wp:simplePos x="0" y="0"/>
                <wp:positionH relativeFrom="column">
                  <wp:posOffset>4274185</wp:posOffset>
                </wp:positionH>
                <wp:positionV relativeFrom="paragraph">
                  <wp:posOffset>6115685</wp:posOffset>
                </wp:positionV>
                <wp:extent cx="819455" cy="230832"/>
                <wp:effectExtent l="0" t="0" r="0" b="0"/>
                <wp:wrapNone/>
                <wp:docPr id="49" name="CuadroTexto 39"/>
                <wp:cNvGraphicFramePr/>
                <a:graphic xmlns:a="http://schemas.openxmlformats.org/drawingml/2006/main">
                  <a:graphicData uri="http://schemas.microsoft.com/office/word/2010/wordprocessingShape">
                    <wps:wsp>
                      <wps:cNvSpPr txBox="1"/>
                      <wps:spPr>
                        <a:xfrm>
                          <a:off x="0" y="0"/>
                          <a:ext cx="819455" cy="230832"/>
                        </a:xfrm>
                        <a:prstGeom prst="rect">
                          <a:avLst/>
                        </a:prstGeom>
                        <a:noFill/>
                      </wps:spPr>
                      <wps:txbx>
                        <w:txbxContent>
                          <w:p w14:paraId="7D91A984" w14:textId="77777777" w:rsidR="005029D0" w:rsidRDefault="005029D0" w:rsidP="006A0C4B">
                            <w:r>
                              <w:rPr>
                                <w:rFonts w:asciiTheme="minorHAnsi" w:hAnsi="Calibri" w:cstheme="minorBidi"/>
                                <w:color w:val="000000" w:themeColor="text1"/>
                                <w:kern w:val="24"/>
                                <w:sz w:val="18"/>
                                <w:szCs w:val="18"/>
                              </w:rPr>
                              <w:t>Inflammation</w:t>
                            </w:r>
                          </w:p>
                        </w:txbxContent>
                      </wps:txbx>
                      <wps:bodyPr wrap="none" rtlCol="0">
                        <a:spAutoFit/>
                      </wps:bodyPr>
                    </wps:wsp>
                  </a:graphicData>
                </a:graphic>
              </wp:anchor>
            </w:drawing>
          </mc:Choice>
          <mc:Fallback>
            <w:pict>
              <v:shape id="CuadroTexto 39" o:spid="_x0000_s1072" type="#_x0000_t202" style="position:absolute;left:0;text-align:left;margin-left:336.55pt;margin-top:481.55pt;width:64.5pt;height:18.2pt;z-index:25177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" filled="f" stroked="f">
                <v:textbox style="mso-fit-shape-to-text:t">
                  <w:txbxContent>
                    <w:p w14:paraId="7D91A984" w14:textId="77777777" w:rsidR="005029D0" w:rsidRDefault="005029D0" w:rsidP="006A0C4B">
                      <w:r>
                        <w:rPr>
                          <w:rFonts w:asciiTheme="minorHAnsi" w:hAnsi="Calibri" w:cstheme="minorBidi"/>
                          <w:color w:val="000000" w:themeColor="text1"/>
                          <w:kern w:val="24"/>
                          <w:sz w:val="18"/>
                          <w:szCs w:val="18"/>
                        </w:rPr>
                        <w:t>Inflammation</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72928" behindDoc="0" locked="0" layoutInCell="1" allowOverlap="1" wp14:anchorId="1279903D" wp14:editId="5C9F3B0A">
                <wp:simplePos x="0" y="0"/>
                <wp:positionH relativeFrom="column">
                  <wp:posOffset>384810</wp:posOffset>
                </wp:positionH>
                <wp:positionV relativeFrom="paragraph">
                  <wp:posOffset>6046470</wp:posOffset>
                </wp:positionV>
                <wp:extent cx="877163" cy="369332"/>
                <wp:effectExtent l="0" t="0" r="0" b="0"/>
                <wp:wrapNone/>
                <wp:docPr id="50" name="CuadroTexto 40"/>
                <wp:cNvGraphicFramePr/>
                <a:graphic xmlns:a="http://schemas.openxmlformats.org/drawingml/2006/main">
                  <a:graphicData uri="http://schemas.microsoft.com/office/word/2010/wordprocessingShape">
                    <wps:wsp>
                      <wps:cNvSpPr txBox="1"/>
                      <wps:spPr>
                        <a:xfrm>
                          <a:off x="0" y="0"/>
                          <a:ext cx="877163" cy="369332"/>
                        </a:xfrm>
                        <a:prstGeom prst="rect">
                          <a:avLst/>
                        </a:prstGeom>
                        <a:noFill/>
                      </wps:spPr>
                      <wps:txbx>
                        <w:txbxContent>
                          <w:p w14:paraId="095E656C" w14:textId="77777777" w:rsidR="005029D0" w:rsidRDefault="005029D0" w:rsidP="006A0C4B">
                            <w:pPr>
                              <w:jc w:val="center"/>
                            </w:pPr>
                            <w:r>
                              <w:rPr>
                                <w:rFonts w:asciiTheme="minorHAnsi" w:hAnsi="Calibri" w:cstheme="minorBidi"/>
                                <w:color w:val="000000" w:themeColor="text1"/>
                                <w:kern w:val="24"/>
                                <w:sz w:val="18"/>
                                <w:szCs w:val="18"/>
                              </w:rPr>
                              <w:t>Osteoblast</w:t>
                            </w:r>
                          </w:p>
                          <w:p w14:paraId="056586C0" w14:textId="77777777" w:rsidR="005029D0" w:rsidRDefault="005029D0" w:rsidP="006A0C4B">
                            <w:pPr>
                              <w:jc w:val="center"/>
                            </w:pPr>
                            <w:r>
                              <w:rPr>
                                <w:rFonts w:asciiTheme="minorHAnsi" w:hAnsi="Calibri" w:cstheme="minorBidi"/>
                                <w:color w:val="000000" w:themeColor="text1"/>
                                <w:kern w:val="24"/>
                                <w:sz w:val="18"/>
                                <w:szCs w:val="18"/>
                              </w:rPr>
                              <w:t>differentiation</w:t>
                            </w:r>
                          </w:p>
                        </w:txbxContent>
                      </wps:txbx>
                      <wps:bodyPr wrap="none" rtlCol="0">
                        <a:spAutoFit/>
                      </wps:bodyPr>
                    </wps:wsp>
                  </a:graphicData>
                </a:graphic>
              </wp:anchor>
            </w:drawing>
          </mc:Choice>
          <mc:Fallback>
            <w:pict>
              <v:shape id="CuadroTexto 40" o:spid="_x0000_s1073" type="#_x0000_t202" style="position:absolute;left:0;text-align:left;margin-left:30.3pt;margin-top:476.1pt;width:69.05pt;height:29.1pt;z-index:251772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" filled="f" stroked="f">
                <v:textbox style="mso-fit-shape-to-text:t">
                  <w:txbxContent>
                    <w:p w14:paraId="095E656C" w14:textId="77777777" w:rsidR="005029D0" w:rsidRDefault="005029D0" w:rsidP="006A0C4B">
                      <w:pPr>
                        <w:jc w:val="center"/>
                      </w:pPr>
                      <w:r>
                        <w:rPr>
                          <w:rFonts w:asciiTheme="minorHAnsi" w:hAnsi="Calibri" w:cstheme="minorBidi"/>
                          <w:color w:val="000000" w:themeColor="text1"/>
                          <w:kern w:val="24"/>
                          <w:sz w:val="18"/>
                          <w:szCs w:val="18"/>
                        </w:rPr>
                        <w:t>Osteoblast</w:t>
                      </w:r>
                    </w:p>
                    <w:p w14:paraId="056586C0" w14:textId="77777777" w:rsidR="005029D0" w:rsidRDefault="005029D0" w:rsidP="006A0C4B">
                      <w:pPr>
                        <w:jc w:val="center"/>
                      </w:pPr>
                      <w:r>
                        <w:rPr>
                          <w:rFonts w:asciiTheme="minorHAnsi" w:hAnsi="Calibri" w:cstheme="minorBidi"/>
                          <w:color w:val="000000" w:themeColor="text1"/>
                          <w:kern w:val="24"/>
                          <w:sz w:val="18"/>
                          <w:szCs w:val="18"/>
                        </w:rPr>
                        <w:t>differentiation</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73952" behindDoc="0" locked="0" layoutInCell="1" allowOverlap="1" wp14:anchorId="63A8E864" wp14:editId="61E82489">
                <wp:simplePos x="0" y="0"/>
                <wp:positionH relativeFrom="column">
                  <wp:posOffset>1189355</wp:posOffset>
                </wp:positionH>
                <wp:positionV relativeFrom="paragraph">
                  <wp:posOffset>6046470</wp:posOffset>
                </wp:positionV>
                <wp:extent cx="877163" cy="369332"/>
                <wp:effectExtent l="0" t="0" r="0" b="0"/>
                <wp:wrapNone/>
                <wp:docPr id="51" name="CuadroTexto 41"/>
                <wp:cNvGraphicFramePr/>
                <a:graphic xmlns:a="http://schemas.openxmlformats.org/drawingml/2006/main">
                  <a:graphicData uri="http://schemas.microsoft.com/office/word/2010/wordprocessingShape">
                    <wps:wsp>
                      <wps:cNvSpPr txBox="1"/>
                      <wps:spPr>
                        <a:xfrm>
                          <a:off x="0" y="0"/>
                          <a:ext cx="877163" cy="369332"/>
                        </a:xfrm>
                        <a:prstGeom prst="rect">
                          <a:avLst/>
                        </a:prstGeom>
                        <a:noFill/>
                      </wps:spPr>
                      <wps:txbx>
                        <w:txbxContent>
                          <w:p w14:paraId="4DD755B0" w14:textId="77777777" w:rsidR="005029D0" w:rsidRDefault="005029D0" w:rsidP="006A0C4B">
                            <w:pPr>
                              <w:jc w:val="center"/>
                            </w:pPr>
                            <w:r>
                              <w:rPr>
                                <w:rFonts w:asciiTheme="minorHAnsi" w:hAnsi="Calibri" w:cstheme="minorBidi"/>
                                <w:color w:val="000000" w:themeColor="text1"/>
                                <w:kern w:val="24"/>
                                <w:sz w:val="18"/>
                                <w:szCs w:val="18"/>
                              </w:rPr>
                              <w:t>Adipocyte</w:t>
                            </w:r>
                          </w:p>
                          <w:p w14:paraId="58FF1B13" w14:textId="77777777" w:rsidR="005029D0" w:rsidRDefault="005029D0" w:rsidP="006A0C4B">
                            <w:pPr>
                              <w:jc w:val="center"/>
                            </w:pPr>
                            <w:r>
                              <w:rPr>
                                <w:rFonts w:asciiTheme="minorHAnsi" w:hAnsi="Calibri" w:cstheme="minorBidi"/>
                                <w:color w:val="000000" w:themeColor="text1"/>
                                <w:kern w:val="24"/>
                                <w:sz w:val="18"/>
                                <w:szCs w:val="18"/>
                              </w:rPr>
                              <w:t>differentiation</w:t>
                            </w:r>
                          </w:p>
                        </w:txbxContent>
                      </wps:txbx>
                      <wps:bodyPr wrap="none" rtlCol="0">
                        <a:spAutoFit/>
                      </wps:bodyPr>
                    </wps:wsp>
                  </a:graphicData>
                </a:graphic>
              </wp:anchor>
            </w:drawing>
          </mc:Choice>
          <mc:Fallback>
            <w:pict>
              <v:shape id="CuadroTexto 41" o:spid="_x0000_s1074" type="#_x0000_t202" style="position:absolute;left:0;text-align:left;margin-left:93.65pt;margin-top:476.1pt;width:69.05pt;height:29.1pt;z-index:25177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" filled="f" stroked="f">
                <v:textbox style="mso-fit-shape-to-text:t">
                  <w:txbxContent>
                    <w:p w14:paraId="4DD755B0" w14:textId="77777777" w:rsidR="005029D0" w:rsidRDefault="005029D0" w:rsidP="006A0C4B">
                      <w:pPr>
                        <w:jc w:val="center"/>
                      </w:pPr>
                      <w:r>
                        <w:rPr>
                          <w:rFonts w:asciiTheme="minorHAnsi" w:hAnsi="Calibri" w:cstheme="minorBidi"/>
                          <w:color w:val="000000" w:themeColor="text1"/>
                          <w:kern w:val="24"/>
                          <w:sz w:val="18"/>
                          <w:szCs w:val="18"/>
                        </w:rPr>
                        <w:t>Adipocyte</w:t>
                      </w:r>
                    </w:p>
                    <w:p w14:paraId="58FF1B13" w14:textId="77777777" w:rsidR="005029D0" w:rsidRDefault="005029D0" w:rsidP="006A0C4B">
                      <w:pPr>
                        <w:jc w:val="center"/>
                      </w:pPr>
                      <w:r>
                        <w:rPr>
                          <w:rFonts w:asciiTheme="minorHAnsi" w:hAnsi="Calibri" w:cstheme="minorBidi"/>
                          <w:color w:val="000000" w:themeColor="text1"/>
                          <w:kern w:val="24"/>
                          <w:sz w:val="18"/>
                          <w:szCs w:val="18"/>
                        </w:rPr>
                        <w:t>differentiation</w:t>
                      </w:r>
                    </w:p>
                  </w:txbxContent>
                </v:textbox>
              </v:shape>
            </w:pict>
          </mc:Fallback>
        </mc:AlternateContent>
      </w:r>
      <w:r w:rsidRPr="00B7408D">
        <w:rPr>
          <w:rFonts w:ascii="Book Antiqua" w:hAnsi="Book Antiqua"/>
          <w:b/>
          <w:noProof/>
          <w:lang w:val="en-US" w:bidi="ar-SA"/>
        </w:rPr>
        <mc:AlternateContent>
          <mc:Choice Requires="wpg">
            <w:drawing>
              <wp:anchor distT="0" distB="0" distL="114300" distR="114300" simplePos="0" relativeHeight="251774976" behindDoc="0" locked="0" layoutInCell="1" allowOverlap="1" wp14:anchorId="21CE7E4D" wp14:editId="09D02458">
                <wp:simplePos x="0" y="0"/>
                <wp:positionH relativeFrom="column">
                  <wp:posOffset>3511550</wp:posOffset>
                </wp:positionH>
                <wp:positionV relativeFrom="paragraph">
                  <wp:posOffset>5712460</wp:posOffset>
                </wp:positionV>
                <wp:extent cx="690265" cy="341490"/>
                <wp:effectExtent l="0" t="0" r="0" b="14605"/>
                <wp:wrapNone/>
                <wp:docPr id="52" name="Grupo 44"/>
                <wp:cNvGraphicFramePr/>
                <a:graphic xmlns:a="http://schemas.openxmlformats.org/drawingml/2006/main">
                  <a:graphicData uri="http://schemas.microsoft.com/office/word/2010/wordprocessingGroup">
                    <wpg:wgp>
                      <wpg:cNvGrpSpPr/>
                      <wpg:grpSpPr>
                        <a:xfrm>
                          <a:off x="0" y="0"/>
                          <a:ext cx="690265" cy="341490"/>
                          <a:chOff x="3512017" y="5712848"/>
                          <a:chExt cx="690265" cy="341490"/>
                        </a:xfrm>
                      </wpg:grpSpPr>
                      <pic:pic xmlns:pic="http://schemas.openxmlformats.org/drawingml/2006/picture">
                        <pic:nvPicPr>
                          <pic:cNvPr id="55" name="Imagen 32"/>
                          <pic:cNvPicPr>
                            <a:picLocks noChangeAspect="1"/>
                          </pic:cNvPicPr>
                        </pic:nvPicPr>
                        <pic:blipFill>
                          <a:blip r:embed="rId34"/>
                          <a:stretch>
                            <a:fillRect/>
                          </a:stretch>
                        </pic:blipFill>
                        <pic:spPr>
                          <a:xfrm>
                            <a:off x="3512017" y="5775700"/>
                            <a:ext cx="690265" cy="247363"/>
                          </a:xfrm>
                          <a:prstGeom prst="rect">
                            <a:avLst/>
                          </a:prstGeom>
                        </pic:spPr>
                      </pic:pic>
                      <wps:wsp>
                        <wps:cNvPr id="56" name="Elipse 34"/>
                        <wps:cNvSpPr/>
                        <wps:spPr>
                          <a:xfrm>
                            <a:off x="3711302" y="5712848"/>
                            <a:ext cx="182598" cy="92911"/>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37825AF" w14:textId="77777777" w:rsidR="005029D0" w:rsidRDefault="005029D0" w:rsidP="006A0C4B">
                              <w:pPr>
                                <w:jc w:val="center"/>
                              </w:pPr>
                              <w:r>
                                <w:rPr>
                                  <w:rFonts w:asciiTheme="minorHAnsi" w:hAnsi="Calibri" w:cstheme="minorBidi"/>
                                  <w:color w:val="FFFFFF" w:themeColor="light1"/>
                                  <w:kern w:val="24"/>
                                  <w:sz w:val="12"/>
                                  <w:szCs w:val="12"/>
                                </w:rPr>
                                <w:t>ROS</w:t>
                              </w:r>
                            </w:p>
                          </w:txbxContent>
                        </wps:txbx>
                        <wps:bodyPr lIns="0" tIns="0" rIns="0" bIns="0" rtlCol="0" anchor="ctr"/>
                      </wps:wsp>
                      <wps:wsp>
                        <wps:cNvPr id="57" name="Elipse 42"/>
                        <wps:cNvSpPr/>
                        <wps:spPr>
                          <a:xfrm>
                            <a:off x="3637314" y="5961427"/>
                            <a:ext cx="182598" cy="92911"/>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B4299A3" w14:textId="77777777" w:rsidR="005029D0" w:rsidRDefault="005029D0" w:rsidP="006A0C4B">
                              <w:pPr>
                                <w:jc w:val="center"/>
                              </w:pPr>
                              <w:r>
                                <w:rPr>
                                  <w:rFonts w:asciiTheme="minorHAnsi" w:hAnsi="Calibri" w:cstheme="minorBidi"/>
                                  <w:color w:val="FFFFFF" w:themeColor="light1"/>
                                  <w:kern w:val="24"/>
                                  <w:sz w:val="12"/>
                                  <w:szCs w:val="12"/>
                                </w:rPr>
                                <w:t>ROS</w:t>
                              </w:r>
                            </w:p>
                          </w:txbxContent>
                        </wps:txbx>
                        <wps:bodyPr lIns="0" tIns="0" rIns="0" bIns="0" rtlCol="0" anchor="ctr"/>
                      </wps:wsp>
                      <wps:wsp>
                        <wps:cNvPr id="58" name="Elipse 43"/>
                        <wps:cNvSpPr/>
                        <wps:spPr>
                          <a:xfrm>
                            <a:off x="3980710" y="5917251"/>
                            <a:ext cx="182598" cy="92911"/>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C345673" w14:textId="77777777" w:rsidR="005029D0" w:rsidRDefault="005029D0" w:rsidP="006A0C4B">
                              <w:pPr>
                                <w:jc w:val="center"/>
                              </w:pPr>
                              <w:r>
                                <w:rPr>
                                  <w:rFonts w:asciiTheme="minorHAnsi" w:hAnsi="Calibri" w:cstheme="minorBidi"/>
                                  <w:color w:val="FFFFFF" w:themeColor="light1"/>
                                  <w:kern w:val="24"/>
                                  <w:sz w:val="12"/>
                                  <w:szCs w:val="12"/>
                                </w:rPr>
                                <w:t>ROS</w:t>
                              </w:r>
                            </w:p>
                          </w:txbxContent>
                        </wps:txbx>
                        <wps:bodyPr lIns="0" tIns="0" rIns="0" bIns="0" rtlCol="0" anchor="ctr"/>
                      </wps:wsp>
                    </wpg:wgp>
                  </a:graphicData>
                </a:graphic>
              </wp:anchor>
            </w:drawing>
          </mc:Choice>
          <mc:Fallback>
            <w:pict>
              <v:group id="Grupo 44" o:spid="_x0000_s1075" style="position:absolute;left:0;text-align:left;margin-left:276.5pt;margin-top:449.8pt;width:54.35pt;height:26.9pt;z-index:251774976" coordorigin="35120,57128" coordsize="6902,3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2" o:spid="_x0000_s1076" type="#_x0000_t75" style="position:absolute;left:35120;top:57757;width:6902;height:2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o7PEAAAA2wAAAA8AAABkcnMvZG93bnJldi54bWxEj0GLwjAUhO8L/ofwFryt6S62aG0qoghe&#10;PFQ9eHw0z7bYvJQmq9Vfb4SFPQ4z8w2TLQfTihv1rrGs4HsSgSAurW64UnA6br9mIJxH1thaJgUP&#10;crDMRx8ZptreuaDbwVciQNilqKD2vkuldGVNBt3EdsTBu9jeoA+yr6Tu8R7gppU/UZRIgw2HhRo7&#10;WtdUXg+/RsH5HK33RbVJTDONn8U82RxP8VOp8eewWoDwNPj/8F97pxXEMby/hB8g8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ao7PEAAAA2wAAAA8AAAAAAAAAAAAAAAAA&#10;nwIAAGRycy9kb3ducmV2LnhtbFBLBQYAAAAABAAEAPcAAACQAwAAAAA=&#10;">
                  <v:imagedata r:id="rId35" o:title=""/>
                  <v:path arrowok="t"/>
                </v:shape>
                <v:oval id="Elipse 34" o:spid="_x0000_s1077" style="position:absolute;left:37113;top:57128;width:1826;height:9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hFcUA&#10;AADbAAAADwAAAGRycy9kb3ducmV2LnhtbESPT2vCQBTE7wW/w/KE3upGqbFEVxFB0YPin5Z6fGSf&#10;STD7NmY3mn77rlDocZiZ3zCTWWtKcafaFZYV9HsRCOLU6oIzBZ+n5dsHCOeRNZaWScEPOZhNOy8T&#10;TLR98IHuR5+JAGGXoILc+yqR0qU5GXQ9WxEH72Jrgz7IOpO6xkeAm1IOoiiWBgsOCzlWtMgpvR4b&#10;o6AZjt53afG9Xd2+zo3fW7u5xWulXrvtfAzCU+v/w3/ttVYwjOH5Jfw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yEVxQAAANsAAAAPAAAAAAAAAAAAAAAAAJgCAABkcnMv&#10;ZG93bnJldi54bWxQSwUGAAAAAAQABAD1AAAAigMAAAAA&#10;" fillcolor="black [3200]" strokecolor="black [1600]" strokeweight="1pt">
                  <v:stroke joinstyle="miter"/>
                  <v:textbox inset="0,0,0,0">
                    <w:txbxContent>
                      <w:p w14:paraId="237825AF" w14:textId="77777777" w:rsidR="005029D0" w:rsidRDefault="005029D0" w:rsidP="006A0C4B">
                        <w:pPr>
                          <w:jc w:val="center"/>
                        </w:pPr>
                        <w:r>
                          <w:rPr>
                            <w:rFonts w:asciiTheme="minorHAnsi" w:hAnsi="Calibri" w:cstheme="minorBidi"/>
                            <w:color w:val="FFFFFF" w:themeColor="light1"/>
                            <w:kern w:val="24"/>
                            <w:sz w:val="12"/>
                            <w:szCs w:val="12"/>
                          </w:rPr>
                          <w:t>ROS</w:t>
                        </w:r>
                      </w:p>
                    </w:txbxContent>
                  </v:textbox>
                </v:oval>
                <v:oval id="Elipse 42" o:spid="_x0000_s1078" style="position:absolute;left:36373;top:59614;width:1826;height:9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EjsYA&#10;AADbAAAADwAAAGRycy9kb3ducmV2LnhtbESPT2vCQBTE7wW/w/IEb3Wj1D9EVykFSzy0WG3R4yP7&#10;TILZt0l2o+m3d4VCj8PM/IZZrjtTiis1rrCsYDSMQBCnVhecKfg+bJ7nIJxH1lhaJgW/5GC96j0t&#10;Mdb2xl903ftMBAi7GBXk3lexlC7NyaAb2oo4eGfbGPRBNpnUDd4C3JRyHEVTabDgsJBjRW85pZd9&#10;axS0k9nLZ1ocP97rn1Prd9Zu62mi1KDfvS5AeOr8f/ivnWgFkxk8voQf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eEjsYAAADbAAAADwAAAAAAAAAAAAAAAACYAgAAZHJz&#10;L2Rvd25yZXYueG1sUEsFBgAAAAAEAAQA9QAAAIsDAAAAAA==&#10;" fillcolor="black [3200]" strokecolor="black [1600]" strokeweight="1pt">
                  <v:stroke joinstyle="miter"/>
                  <v:textbox inset="0,0,0,0">
                    <w:txbxContent>
                      <w:p w14:paraId="6B4299A3" w14:textId="77777777" w:rsidR="005029D0" w:rsidRDefault="005029D0" w:rsidP="006A0C4B">
                        <w:pPr>
                          <w:jc w:val="center"/>
                        </w:pPr>
                        <w:r>
                          <w:rPr>
                            <w:rFonts w:asciiTheme="minorHAnsi" w:hAnsi="Calibri" w:cstheme="minorBidi"/>
                            <w:color w:val="FFFFFF" w:themeColor="light1"/>
                            <w:kern w:val="24"/>
                            <w:sz w:val="12"/>
                            <w:szCs w:val="12"/>
                          </w:rPr>
                          <w:t>ROS</w:t>
                        </w:r>
                      </w:p>
                    </w:txbxContent>
                  </v:textbox>
                </v:oval>
                <v:oval id="Elipse 43" o:spid="_x0000_s1079" style="position:absolute;left:39807;top:59172;width:1826;height:9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Q/MIA&#10;AADbAAAADwAAAGRycy9kb3ducmV2LnhtbERPy4rCMBTdC/5DuII7TRUfQ8coIii6GFFHmVlemjtt&#10;sbmpTaqdvzcLweXhvGeLxhTiTpXLLSsY9CMQxInVOacKzt/r3gcI55E1FpZJwT85WMzbrRnG2j74&#10;SPeTT0UIYRejgsz7MpbSJRkZdH1bEgfuz1YGfYBVKnWFjxBuCjmMook0mHNoyLCkVUbJ9VQbBfV4&#10;Oton+c/X5nb5rf3B2t1tslWq22mWnyA8Nf4tfrm3WsE4jA1fw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WBD8wgAAANsAAAAPAAAAAAAAAAAAAAAAAJgCAABkcnMvZG93&#10;bnJldi54bWxQSwUGAAAAAAQABAD1AAAAhwMAAAAA&#10;" fillcolor="black [3200]" strokecolor="black [1600]" strokeweight="1pt">
                  <v:stroke joinstyle="miter"/>
                  <v:textbox inset="0,0,0,0">
                    <w:txbxContent>
                      <w:p w14:paraId="0C345673" w14:textId="77777777" w:rsidR="005029D0" w:rsidRDefault="005029D0" w:rsidP="006A0C4B">
                        <w:pPr>
                          <w:jc w:val="center"/>
                        </w:pPr>
                        <w:r>
                          <w:rPr>
                            <w:rFonts w:asciiTheme="minorHAnsi" w:hAnsi="Calibri" w:cstheme="minorBidi"/>
                            <w:color w:val="FFFFFF" w:themeColor="light1"/>
                            <w:kern w:val="24"/>
                            <w:sz w:val="12"/>
                            <w:szCs w:val="12"/>
                          </w:rPr>
                          <w:t>ROS</w:t>
                        </w:r>
                      </w:p>
                    </w:txbxContent>
                  </v:textbox>
                </v:oval>
              </v:group>
            </w:pict>
          </mc:Fallback>
        </mc:AlternateContent>
      </w:r>
      <w:r w:rsidRPr="00B7408D">
        <w:rPr>
          <w:rFonts w:ascii="Book Antiqua" w:hAnsi="Book Antiqua"/>
          <w:b/>
          <w:noProof/>
          <w:lang w:val="en-US" w:bidi="ar-SA"/>
        </w:rPr>
        <mc:AlternateContent>
          <mc:Choice Requires="wpg">
            <w:drawing>
              <wp:anchor distT="0" distB="0" distL="114300" distR="114300" simplePos="0" relativeHeight="251776000" behindDoc="0" locked="0" layoutInCell="1" allowOverlap="1" wp14:anchorId="110F0BAE" wp14:editId="093FBF2C">
                <wp:simplePos x="0" y="0"/>
                <wp:positionH relativeFrom="column">
                  <wp:posOffset>3425190</wp:posOffset>
                </wp:positionH>
                <wp:positionV relativeFrom="paragraph">
                  <wp:posOffset>3914775</wp:posOffset>
                </wp:positionV>
                <wp:extent cx="2052000" cy="1728930"/>
                <wp:effectExtent l="12700" t="0" r="69215" b="36830"/>
                <wp:wrapNone/>
                <wp:docPr id="53" name="Grupo 67"/>
                <wp:cNvGraphicFramePr/>
                <a:graphic xmlns:a="http://schemas.openxmlformats.org/drawingml/2006/main">
                  <a:graphicData uri="http://schemas.microsoft.com/office/word/2010/wordprocessingGroup">
                    <wpg:wgp>
                      <wpg:cNvGrpSpPr/>
                      <wpg:grpSpPr>
                        <a:xfrm flipH="1">
                          <a:off x="0" y="0"/>
                          <a:ext cx="2052000" cy="1728930"/>
                          <a:chOff x="3425386" y="3915267"/>
                          <a:chExt cx="2262588" cy="1728930"/>
                        </a:xfrm>
                      </wpg:grpSpPr>
                      <wps:wsp>
                        <wps:cNvPr id="54" name="Conector: angular 68"/>
                        <wps:cNvCnPr>
                          <a:cxnSpLocks/>
                        </wps:cNvCnPr>
                        <wps:spPr>
                          <a:xfrm rot="5400000">
                            <a:off x="3605386" y="3735267"/>
                            <a:ext cx="1728000" cy="2088000"/>
                          </a:xfrm>
                          <a:prstGeom prst="bentConnector3">
                            <a:avLst>
                              <a:gd name="adj1" fmla="val 6812"/>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Conector: angular 69"/>
                        <wps:cNvCnPr>
                          <a:cxnSpLocks/>
                        </wps:cNvCnPr>
                        <wps:spPr>
                          <a:xfrm rot="5400000">
                            <a:off x="4077349" y="4132197"/>
                            <a:ext cx="1692000" cy="1332000"/>
                          </a:xfrm>
                          <a:prstGeom prst="bentConnector3">
                            <a:avLst>
                              <a:gd name="adj1" fmla="val 1076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Conector: angular 70"/>
                        <wps:cNvCnPr>
                          <a:cxnSpLocks/>
                        </wps:cNvCnPr>
                        <wps:spPr>
                          <a:xfrm rot="5400000">
                            <a:off x="4589974" y="4546197"/>
                            <a:ext cx="1656000" cy="540000"/>
                          </a:xfrm>
                          <a:prstGeom prst="bentConnector3">
                            <a:avLst>
                              <a:gd name="adj1" fmla="val 14989"/>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F1B128" id="Grupo 67" o:spid="_x0000_s1026" style="position:absolute;margin-left:269.7pt;margin-top:308.25pt;width:161.55pt;height:136.15pt;flip:x;z-index:251776000" coordorigin="34253,39152" coordsize="22625,1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">
                <v:shape id="Conector: angular 68" o:spid="_x0000_s1027" type="#_x0000_t34" style="position:absolute;left:36053;top:37352;width:17280;height:2088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" adj="1471" strokecolor="black [3213]" strokeweight="1.5pt">
                  <v:stroke endarrow="block"/>
                  <o:lock v:ext="edit" shapetype="f"/>
                </v:shape>
                <v:shape id="Conector: angular 69" o:spid="_x0000_s1028" type="#_x0000_t34" style="position:absolute;left:40773;top:41321;width:16920;height:133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" adj="2324" strokecolor="black [3213]" strokeweight="1.5pt">
                  <v:stroke endarrow="block"/>
                  <o:lock v:ext="edit" shapetype="f"/>
                </v:shape>
                <v:shape id="Conector: angular 70" o:spid="_x0000_s1029" type="#_x0000_t34" style="position:absolute;left:45899;top:45461;width:16560;height:540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" adj="3238" strokecolor="black [3213]" strokeweight="1.5pt">
                  <v:stroke endarrow="block"/>
                  <o:lock v:ext="edit" shapetype="f"/>
                </v:shape>
              </v:group>
            </w:pict>
          </mc:Fallback>
        </mc:AlternateContent>
      </w:r>
      <w:r w:rsidRPr="00B7408D">
        <w:rPr>
          <w:rFonts w:ascii="Book Antiqua" w:hAnsi="Book Antiqua"/>
          <w:b/>
          <w:noProof/>
          <w:lang w:val="en-US" w:bidi="ar-SA"/>
        </w:rPr>
        <mc:AlternateContent>
          <mc:Choice Requires="wps">
            <w:drawing>
              <wp:anchor distT="0" distB="0" distL="114300" distR="114300" simplePos="0" relativeHeight="251777024" behindDoc="0" locked="0" layoutInCell="1" allowOverlap="1" wp14:anchorId="6D95ADDC" wp14:editId="223BB793">
                <wp:simplePos x="0" y="0"/>
                <wp:positionH relativeFrom="column">
                  <wp:posOffset>4009390</wp:posOffset>
                </wp:positionH>
                <wp:positionV relativeFrom="paragraph">
                  <wp:posOffset>7719060</wp:posOffset>
                </wp:positionV>
                <wp:extent cx="990977" cy="230832"/>
                <wp:effectExtent l="0" t="0" r="0" b="0"/>
                <wp:wrapNone/>
                <wp:docPr id="76" name="CuadroTexto 7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A1E809-73F5-44E6-8E93-82D4346F91E6}"/>
                    </a:ext>
                  </a:extLst>
                </wp:docPr>
                <wp:cNvGraphicFramePr/>
                <a:graphic xmlns:a="http://schemas.openxmlformats.org/drawingml/2006/main">
                  <a:graphicData uri="http://schemas.microsoft.com/office/word/2010/wordprocessingShape">
                    <wps:wsp>
                      <wps:cNvSpPr txBox="1"/>
                      <wps:spPr>
                        <a:xfrm>
                          <a:off x="0" y="0"/>
                          <a:ext cx="990977" cy="230832"/>
                        </a:xfrm>
                        <a:prstGeom prst="rect">
                          <a:avLst/>
                        </a:prstGeom>
                        <a:noFill/>
                      </wps:spPr>
                      <wps:txbx>
                        <w:txbxContent>
                          <w:p w14:paraId="4B44CE6B" w14:textId="77777777" w:rsidR="005029D0" w:rsidRDefault="005029D0" w:rsidP="006A0C4B">
                            <w:pPr>
                              <w:jc w:val="center"/>
                            </w:pPr>
                            <w:r>
                              <w:rPr>
                                <w:rFonts w:asciiTheme="minorHAnsi" w:hAnsi="Calibri" w:cstheme="minorBidi"/>
                                <w:b/>
                                <w:bCs/>
                                <w:color w:val="000000" w:themeColor="text1"/>
                                <w:kern w:val="24"/>
                                <w:sz w:val="18"/>
                                <w:szCs w:val="18"/>
                              </w:rPr>
                              <w:t>Neuroprotection</w:t>
                            </w:r>
                          </w:p>
                        </w:txbxContent>
                      </wps:txbx>
                      <wps:bodyPr wrap="none" rtlCol="0">
                        <a:spAutoFit/>
                      </wps:bodyPr>
                    </wps:wsp>
                  </a:graphicData>
                </a:graphic>
              </wp:anchor>
            </w:drawing>
          </mc:Choice>
          <mc:Fallback>
            <w:pict>
              <v:shape id="CuadroTexto 75" o:spid="_x0000_s1080" type="#_x0000_t202" style="position:absolute;left:0;text-align:left;margin-left:315.7pt;margin-top:607.8pt;width:78.05pt;height:18.2pt;z-index:25177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" filled="f" stroked="f">
                <v:textbox style="mso-fit-shape-to-text:t">
                  <w:txbxContent>
                    <w:p w14:paraId="4B44CE6B" w14:textId="77777777" w:rsidR="005029D0" w:rsidRDefault="005029D0" w:rsidP="006A0C4B">
                      <w:pPr>
                        <w:jc w:val="center"/>
                      </w:pPr>
                      <w:r>
                        <w:rPr>
                          <w:rFonts w:asciiTheme="minorHAnsi" w:hAnsi="Calibri" w:cstheme="minorBidi"/>
                          <w:b/>
                          <w:bCs/>
                          <w:color w:val="000000" w:themeColor="text1"/>
                          <w:kern w:val="24"/>
                          <w:sz w:val="18"/>
                          <w:szCs w:val="18"/>
                        </w:rPr>
                        <w:t>Neuroprotection</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78048" behindDoc="0" locked="0" layoutInCell="1" allowOverlap="1" wp14:anchorId="67FE568B" wp14:editId="234B1207">
                <wp:simplePos x="0" y="0"/>
                <wp:positionH relativeFrom="column">
                  <wp:posOffset>1384300</wp:posOffset>
                </wp:positionH>
                <wp:positionV relativeFrom="paragraph">
                  <wp:posOffset>7719060</wp:posOffset>
                </wp:positionV>
                <wp:extent cx="771365" cy="507831"/>
                <wp:effectExtent l="0" t="0" r="0" b="0"/>
                <wp:wrapNone/>
                <wp:docPr id="77" name="CuadroTexto 7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F0D0F0-56B3-4BC4-BE7D-982B36BC4341}"/>
                    </a:ext>
                  </a:extLst>
                </wp:docPr>
                <wp:cNvGraphicFramePr/>
                <a:graphic xmlns:a="http://schemas.openxmlformats.org/drawingml/2006/main">
                  <a:graphicData uri="http://schemas.microsoft.com/office/word/2010/wordprocessingShape">
                    <wps:wsp>
                      <wps:cNvSpPr txBox="1"/>
                      <wps:spPr>
                        <a:xfrm>
                          <a:off x="0" y="0"/>
                          <a:ext cx="771365" cy="507831"/>
                        </a:xfrm>
                        <a:prstGeom prst="rect">
                          <a:avLst/>
                        </a:prstGeom>
                        <a:noFill/>
                      </wps:spPr>
                      <wps:txbx>
                        <w:txbxContent>
                          <w:p w14:paraId="58338E6C" w14:textId="77777777" w:rsidR="005029D0" w:rsidRDefault="005029D0" w:rsidP="006A0C4B">
                            <w:pPr>
                              <w:jc w:val="center"/>
                            </w:pPr>
                            <w:r>
                              <w:rPr>
                                <w:rFonts w:asciiTheme="minorHAnsi" w:hAnsi="Calibri" w:cstheme="minorBidi"/>
                                <w:b/>
                                <w:bCs/>
                                <w:color w:val="000000" w:themeColor="text1"/>
                                <w:kern w:val="24"/>
                                <w:sz w:val="18"/>
                                <w:szCs w:val="18"/>
                              </w:rPr>
                              <w:t>Diabetes</w:t>
                            </w:r>
                          </w:p>
                          <w:p w14:paraId="4CEBA990" w14:textId="77777777" w:rsidR="005029D0" w:rsidRDefault="005029D0" w:rsidP="006A0C4B">
                            <w:pPr>
                              <w:jc w:val="center"/>
                            </w:pPr>
                            <w:r>
                              <w:rPr>
                                <w:rFonts w:asciiTheme="minorHAnsi" w:hAnsi="Calibri" w:cstheme="minorBidi"/>
                                <w:b/>
                                <w:bCs/>
                                <w:color w:val="000000" w:themeColor="text1"/>
                                <w:kern w:val="24"/>
                                <w:sz w:val="18"/>
                                <w:szCs w:val="18"/>
                              </w:rPr>
                              <w:t xml:space="preserve"> and obesity</w:t>
                            </w:r>
                          </w:p>
                          <w:p w14:paraId="07D4DB79" w14:textId="77777777" w:rsidR="005029D0" w:rsidRDefault="005029D0" w:rsidP="006A0C4B">
                            <w:pPr>
                              <w:jc w:val="center"/>
                            </w:pPr>
                            <w:r>
                              <w:rPr>
                                <w:rFonts w:asciiTheme="minorHAnsi" w:hAnsi="Calibri" w:cstheme="minorBidi"/>
                                <w:b/>
                                <w:bCs/>
                                <w:color w:val="000000" w:themeColor="text1"/>
                                <w:kern w:val="24"/>
                                <w:sz w:val="18"/>
                                <w:szCs w:val="18"/>
                              </w:rPr>
                              <w:t>prevention</w:t>
                            </w:r>
                          </w:p>
                        </w:txbxContent>
                      </wps:txbx>
                      <wps:bodyPr wrap="none" rtlCol="0">
                        <a:spAutoFit/>
                      </wps:bodyPr>
                    </wps:wsp>
                  </a:graphicData>
                </a:graphic>
              </wp:anchor>
            </w:drawing>
          </mc:Choice>
          <mc:Fallback>
            <w:pict>
              <v:shape id="CuadroTexto 76" o:spid="_x0000_s1081" type="#_x0000_t202" style="position:absolute;left:0;text-align:left;margin-left:109pt;margin-top:607.8pt;width:60.75pt;height:40pt;z-index:251778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" filled="f" stroked="f">
                <v:textbox style="mso-fit-shape-to-text:t">
                  <w:txbxContent>
                    <w:p w14:paraId="58338E6C" w14:textId="77777777" w:rsidR="005029D0" w:rsidRDefault="005029D0" w:rsidP="006A0C4B">
                      <w:pPr>
                        <w:jc w:val="center"/>
                      </w:pPr>
                      <w:r>
                        <w:rPr>
                          <w:rFonts w:asciiTheme="minorHAnsi" w:hAnsi="Calibri" w:cstheme="minorBidi"/>
                          <w:b/>
                          <w:bCs/>
                          <w:color w:val="000000" w:themeColor="text1"/>
                          <w:kern w:val="24"/>
                          <w:sz w:val="18"/>
                          <w:szCs w:val="18"/>
                        </w:rPr>
                        <w:t>Diabetes</w:t>
                      </w:r>
                    </w:p>
                    <w:p w14:paraId="4CEBA990" w14:textId="77777777" w:rsidR="005029D0" w:rsidRDefault="005029D0" w:rsidP="006A0C4B">
                      <w:pPr>
                        <w:jc w:val="center"/>
                      </w:pPr>
                      <w:r>
                        <w:rPr>
                          <w:rFonts w:asciiTheme="minorHAnsi" w:hAnsi="Calibri" w:cstheme="minorBidi"/>
                          <w:b/>
                          <w:bCs/>
                          <w:color w:val="000000" w:themeColor="text1"/>
                          <w:kern w:val="24"/>
                          <w:sz w:val="18"/>
                          <w:szCs w:val="18"/>
                        </w:rPr>
                        <w:t xml:space="preserve"> and obesity</w:t>
                      </w:r>
                    </w:p>
                    <w:p w14:paraId="07D4DB79" w14:textId="77777777" w:rsidR="005029D0" w:rsidRDefault="005029D0" w:rsidP="006A0C4B">
                      <w:pPr>
                        <w:jc w:val="center"/>
                      </w:pPr>
                      <w:r>
                        <w:rPr>
                          <w:rFonts w:asciiTheme="minorHAnsi" w:hAnsi="Calibri" w:cstheme="minorBidi"/>
                          <w:b/>
                          <w:bCs/>
                          <w:color w:val="000000" w:themeColor="text1"/>
                          <w:kern w:val="24"/>
                          <w:sz w:val="18"/>
                          <w:szCs w:val="18"/>
                        </w:rPr>
                        <w:t>prevention</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79072" behindDoc="0" locked="0" layoutInCell="1" allowOverlap="1" wp14:anchorId="11FF4FDE" wp14:editId="0AA7A968">
                <wp:simplePos x="0" y="0"/>
                <wp:positionH relativeFrom="column">
                  <wp:posOffset>2096770</wp:posOffset>
                </wp:positionH>
                <wp:positionV relativeFrom="paragraph">
                  <wp:posOffset>7719060</wp:posOffset>
                </wp:positionV>
                <wp:extent cx="1005404" cy="507831"/>
                <wp:effectExtent l="0" t="0" r="0" b="0"/>
                <wp:wrapNone/>
                <wp:docPr id="78" name="CuadroTexto 7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F9A7FA-682A-45BA-B397-87F1C76D5536}"/>
                    </a:ext>
                  </a:extLst>
                </wp:docPr>
                <wp:cNvGraphicFramePr/>
                <a:graphic xmlns:a="http://schemas.openxmlformats.org/drawingml/2006/main">
                  <a:graphicData uri="http://schemas.microsoft.com/office/word/2010/wordprocessingShape">
                    <wps:wsp>
                      <wps:cNvSpPr txBox="1"/>
                      <wps:spPr>
                        <a:xfrm>
                          <a:off x="0" y="0"/>
                          <a:ext cx="1005404" cy="507831"/>
                        </a:xfrm>
                        <a:prstGeom prst="rect">
                          <a:avLst/>
                        </a:prstGeom>
                        <a:noFill/>
                      </wps:spPr>
                      <wps:txbx>
                        <w:txbxContent>
                          <w:p w14:paraId="39730B5C" w14:textId="77777777" w:rsidR="005029D0" w:rsidRDefault="005029D0" w:rsidP="006A0C4B">
                            <w:pPr>
                              <w:jc w:val="center"/>
                            </w:pPr>
                            <w:r>
                              <w:rPr>
                                <w:rFonts w:asciiTheme="minorHAnsi" w:hAnsi="Calibri" w:cstheme="minorBidi"/>
                                <w:b/>
                                <w:bCs/>
                                <w:color w:val="000000" w:themeColor="text1"/>
                                <w:kern w:val="24"/>
                                <w:sz w:val="18"/>
                                <w:szCs w:val="18"/>
                              </w:rPr>
                              <w:t xml:space="preserve">Anti-aging </w:t>
                            </w:r>
                          </w:p>
                          <w:p w14:paraId="0D8799DF" w14:textId="77777777" w:rsidR="005029D0" w:rsidRDefault="005029D0" w:rsidP="006A0C4B">
                            <w:pPr>
                              <w:jc w:val="center"/>
                            </w:pPr>
                            <w:r>
                              <w:rPr>
                                <w:rFonts w:asciiTheme="minorHAnsi" w:hAnsi="Calibri" w:cstheme="minorBidi"/>
                                <w:b/>
                                <w:bCs/>
                                <w:color w:val="000000" w:themeColor="text1"/>
                                <w:kern w:val="24"/>
                                <w:sz w:val="18"/>
                                <w:szCs w:val="18"/>
                              </w:rPr>
                              <w:t>and regenerative</w:t>
                            </w:r>
                          </w:p>
                          <w:p w14:paraId="2626C480" w14:textId="77777777" w:rsidR="005029D0" w:rsidRDefault="005029D0" w:rsidP="006A0C4B">
                            <w:pPr>
                              <w:jc w:val="center"/>
                            </w:pPr>
                            <w:r>
                              <w:rPr>
                                <w:rFonts w:asciiTheme="minorHAnsi" w:hAnsi="Calibri" w:cstheme="minorBidi"/>
                                <w:b/>
                                <w:bCs/>
                                <w:color w:val="000000" w:themeColor="text1"/>
                                <w:kern w:val="24"/>
                                <w:sz w:val="18"/>
                                <w:szCs w:val="18"/>
                              </w:rPr>
                              <w:t xml:space="preserve"> capacity</w:t>
                            </w:r>
                          </w:p>
                        </w:txbxContent>
                      </wps:txbx>
                      <wps:bodyPr wrap="none" rtlCol="0">
                        <a:spAutoFit/>
                      </wps:bodyPr>
                    </wps:wsp>
                  </a:graphicData>
                </a:graphic>
              </wp:anchor>
            </w:drawing>
          </mc:Choice>
          <mc:Fallback>
            <w:pict>
              <v:shape id="CuadroTexto 77" o:spid="_x0000_s1082" type="#_x0000_t202" style="position:absolute;left:0;text-align:left;margin-left:165.1pt;margin-top:607.8pt;width:79.15pt;height:40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" filled="f" stroked="f">
                <v:textbox style="mso-fit-shape-to-text:t">
                  <w:txbxContent>
                    <w:p w14:paraId="39730B5C" w14:textId="77777777" w:rsidR="005029D0" w:rsidRDefault="005029D0" w:rsidP="006A0C4B">
                      <w:pPr>
                        <w:jc w:val="center"/>
                      </w:pPr>
                      <w:r>
                        <w:rPr>
                          <w:rFonts w:asciiTheme="minorHAnsi" w:hAnsi="Calibri" w:cstheme="minorBidi"/>
                          <w:b/>
                          <w:bCs/>
                          <w:color w:val="000000" w:themeColor="text1"/>
                          <w:kern w:val="24"/>
                          <w:sz w:val="18"/>
                          <w:szCs w:val="18"/>
                        </w:rPr>
                        <w:t xml:space="preserve">Anti-aging </w:t>
                      </w:r>
                    </w:p>
                    <w:p w14:paraId="0D8799DF" w14:textId="77777777" w:rsidR="005029D0" w:rsidRDefault="005029D0" w:rsidP="006A0C4B">
                      <w:pPr>
                        <w:jc w:val="center"/>
                      </w:pPr>
                      <w:r>
                        <w:rPr>
                          <w:rFonts w:asciiTheme="minorHAnsi" w:hAnsi="Calibri" w:cstheme="minorBidi"/>
                          <w:b/>
                          <w:bCs/>
                          <w:color w:val="000000" w:themeColor="text1"/>
                          <w:kern w:val="24"/>
                          <w:sz w:val="18"/>
                          <w:szCs w:val="18"/>
                        </w:rPr>
                        <w:t>and regenerative</w:t>
                      </w:r>
                    </w:p>
                    <w:p w14:paraId="2626C480" w14:textId="77777777" w:rsidR="005029D0" w:rsidRDefault="005029D0" w:rsidP="006A0C4B">
                      <w:pPr>
                        <w:jc w:val="center"/>
                      </w:pPr>
                      <w:r>
                        <w:rPr>
                          <w:rFonts w:asciiTheme="minorHAnsi" w:hAnsi="Calibri" w:cstheme="minorBidi"/>
                          <w:b/>
                          <w:bCs/>
                          <w:color w:val="000000" w:themeColor="text1"/>
                          <w:kern w:val="24"/>
                          <w:sz w:val="18"/>
                          <w:szCs w:val="18"/>
                        </w:rPr>
                        <w:t xml:space="preserve"> capacity</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80096" behindDoc="0" locked="0" layoutInCell="1" allowOverlap="1" wp14:anchorId="5D1A9F45" wp14:editId="615D0583">
                <wp:simplePos x="0" y="0"/>
                <wp:positionH relativeFrom="column">
                  <wp:posOffset>3085465</wp:posOffset>
                </wp:positionH>
                <wp:positionV relativeFrom="paragraph">
                  <wp:posOffset>7719060</wp:posOffset>
                </wp:positionV>
                <wp:extent cx="917239" cy="230832"/>
                <wp:effectExtent l="0" t="0" r="0" b="0"/>
                <wp:wrapNone/>
                <wp:docPr id="61" name="CuadroTexto 78"/>
                <wp:cNvGraphicFramePr/>
                <a:graphic xmlns:a="http://schemas.openxmlformats.org/drawingml/2006/main">
                  <a:graphicData uri="http://schemas.microsoft.com/office/word/2010/wordprocessingShape">
                    <wps:wsp>
                      <wps:cNvSpPr txBox="1"/>
                      <wps:spPr>
                        <a:xfrm>
                          <a:off x="0" y="0"/>
                          <a:ext cx="917239" cy="230832"/>
                        </a:xfrm>
                        <a:prstGeom prst="rect">
                          <a:avLst/>
                        </a:prstGeom>
                        <a:noFill/>
                      </wps:spPr>
                      <wps:txbx>
                        <w:txbxContent>
                          <w:p w14:paraId="006DA834" w14:textId="77777777" w:rsidR="005029D0" w:rsidRDefault="005029D0" w:rsidP="006A0C4B">
                            <w:pPr>
                              <w:jc w:val="center"/>
                            </w:pPr>
                            <w:r>
                              <w:rPr>
                                <w:rFonts w:asciiTheme="minorHAnsi" w:hAnsi="Calibri" w:cstheme="minorBidi"/>
                                <w:b/>
                                <w:bCs/>
                                <w:color w:val="000000" w:themeColor="text1"/>
                                <w:kern w:val="24"/>
                                <w:sz w:val="18"/>
                                <w:szCs w:val="18"/>
                              </w:rPr>
                              <w:t>Wound healing</w:t>
                            </w:r>
                          </w:p>
                        </w:txbxContent>
                      </wps:txbx>
                      <wps:bodyPr wrap="none" rtlCol="0">
                        <a:spAutoFit/>
                      </wps:bodyPr>
                    </wps:wsp>
                  </a:graphicData>
                </a:graphic>
              </wp:anchor>
            </w:drawing>
          </mc:Choice>
          <mc:Fallback>
            <w:pict>
              <v:shape id="_x0000_s1083" type="#_x0000_t202" style="position:absolute;left:0;text-align:left;margin-left:242.95pt;margin-top:607.8pt;width:72.2pt;height:18.2pt;z-index:251780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" filled="f" stroked="f">
                <v:textbox style="mso-fit-shape-to-text:t">
                  <w:txbxContent>
                    <w:p w14:paraId="006DA834" w14:textId="77777777" w:rsidR="005029D0" w:rsidRDefault="005029D0" w:rsidP="006A0C4B">
                      <w:pPr>
                        <w:jc w:val="center"/>
                      </w:pPr>
                      <w:r>
                        <w:rPr>
                          <w:rFonts w:asciiTheme="minorHAnsi" w:hAnsi="Calibri" w:cstheme="minorBidi"/>
                          <w:b/>
                          <w:bCs/>
                          <w:color w:val="000000" w:themeColor="text1"/>
                          <w:kern w:val="24"/>
                          <w:sz w:val="18"/>
                          <w:szCs w:val="18"/>
                        </w:rPr>
                        <w:t>Wound healing</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81120" behindDoc="0" locked="0" layoutInCell="1" allowOverlap="1" wp14:anchorId="48A95E90" wp14:editId="249D8A57">
                <wp:simplePos x="0" y="0"/>
                <wp:positionH relativeFrom="column">
                  <wp:posOffset>569595</wp:posOffset>
                </wp:positionH>
                <wp:positionV relativeFrom="paragraph">
                  <wp:posOffset>7719060</wp:posOffset>
                </wp:positionV>
                <wp:extent cx="766557" cy="230832"/>
                <wp:effectExtent l="0" t="0" r="0" b="0"/>
                <wp:wrapNone/>
                <wp:docPr id="80" name="CuadroTexto 7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FF492F-B09F-41D9-8C84-D3D6FCF9C7CC}"/>
                    </a:ext>
                  </a:extLst>
                </wp:docPr>
                <wp:cNvGraphicFramePr/>
                <a:graphic xmlns:a="http://schemas.openxmlformats.org/drawingml/2006/main">
                  <a:graphicData uri="http://schemas.microsoft.com/office/word/2010/wordprocessingShape">
                    <wps:wsp>
                      <wps:cNvSpPr txBox="1"/>
                      <wps:spPr>
                        <a:xfrm>
                          <a:off x="0" y="0"/>
                          <a:ext cx="766557" cy="230832"/>
                        </a:xfrm>
                        <a:prstGeom prst="rect">
                          <a:avLst/>
                        </a:prstGeom>
                        <a:noFill/>
                      </wps:spPr>
                      <wps:txbx>
                        <w:txbxContent>
                          <w:p w14:paraId="1EE31B84" w14:textId="77777777" w:rsidR="005029D0" w:rsidRDefault="005029D0" w:rsidP="006A0C4B">
                            <w:pPr>
                              <w:jc w:val="center"/>
                            </w:pPr>
                            <w:r>
                              <w:rPr>
                                <w:rFonts w:asciiTheme="minorHAnsi" w:hAnsi="Calibri" w:cstheme="minorBidi"/>
                                <w:b/>
                                <w:bCs/>
                                <w:color w:val="000000" w:themeColor="text1"/>
                                <w:kern w:val="24"/>
                                <w:sz w:val="18"/>
                                <w:szCs w:val="18"/>
                              </w:rPr>
                              <w:t>Bone health</w:t>
                            </w:r>
                          </w:p>
                        </w:txbxContent>
                      </wps:txbx>
                      <wps:bodyPr wrap="none" rtlCol="0">
                        <a:spAutoFit/>
                      </wps:bodyPr>
                    </wps:wsp>
                  </a:graphicData>
                </a:graphic>
              </wp:anchor>
            </w:drawing>
          </mc:Choice>
          <mc:Fallback>
            <w:pict>
              <v:shape id="CuadroTexto 79" o:spid="_x0000_s1084" type="#_x0000_t202" style="position:absolute;left:0;text-align:left;margin-left:44.85pt;margin-top:607.8pt;width:60.35pt;height:18.2pt;z-index:251781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" filled="f" stroked="f">
                <v:textbox style="mso-fit-shape-to-text:t">
                  <w:txbxContent>
                    <w:p w14:paraId="1EE31B84" w14:textId="77777777" w:rsidR="005029D0" w:rsidRDefault="005029D0" w:rsidP="006A0C4B">
                      <w:pPr>
                        <w:jc w:val="center"/>
                      </w:pPr>
                      <w:r>
                        <w:rPr>
                          <w:rFonts w:asciiTheme="minorHAnsi" w:hAnsi="Calibri" w:cstheme="minorBidi"/>
                          <w:b/>
                          <w:bCs/>
                          <w:color w:val="000000" w:themeColor="text1"/>
                          <w:kern w:val="24"/>
                          <w:sz w:val="18"/>
                          <w:szCs w:val="18"/>
                        </w:rPr>
                        <w:t>Bone health</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82144" behindDoc="0" locked="0" layoutInCell="1" allowOverlap="1" wp14:anchorId="4AD0DEC8" wp14:editId="49FF7AD1">
                <wp:simplePos x="0" y="0"/>
                <wp:positionH relativeFrom="column">
                  <wp:posOffset>4911725</wp:posOffset>
                </wp:positionH>
                <wp:positionV relativeFrom="paragraph">
                  <wp:posOffset>7719060</wp:posOffset>
                </wp:positionV>
                <wp:extent cx="1005403" cy="230832"/>
                <wp:effectExtent l="0" t="0" r="0" b="0"/>
                <wp:wrapNone/>
                <wp:docPr id="75" name="CuadroTexto 7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71BE4A-0140-4699-815C-4EE7384520F7}"/>
                    </a:ext>
                  </a:extLst>
                </wp:docPr>
                <wp:cNvGraphicFramePr/>
                <a:graphic xmlns:a="http://schemas.openxmlformats.org/drawingml/2006/main">
                  <a:graphicData uri="http://schemas.microsoft.com/office/word/2010/wordprocessingShape">
                    <wps:wsp>
                      <wps:cNvSpPr txBox="1"/>
                      <wps:spPr>
                        <a:xfrm>
                          <a:off x="0" y="0"/>
                          <a:ext cx="1005403" cy="230832"/>
                        </a:xfrm>
                        <a:prstGeom prst="rect">
                          <a:avLst/>
                        </a:prstGeom>
                        <a:noFill/>
                        <a:ln>
                          <a:noFill/>
                        </a:ln>
                      </wps:spPr>
                      <wps:txbx>
                        <w:txbxContent>
                          <w:p w14:paraId="5880BEA9" w14:textId="77777777" w:rsidR="005029D0" w:rsidRDefault="005029D0" w:rsidP="006A0C4B">
                            <w:pPr>
                              <w:jc w:val="center"/>
                            </w:pPr>
                            <w:r>
                              <w:rPr>
                                <w:rFonts w:asciiTheme="minorHAnsi" w:hAnsi="Calibri" w:cstheme="minorBidi"/>
                                <w:b/>
                                <w:bCs/>
                                <w:color w:val="000000" w:themeColor="text1"/>
                                <w:kern w:val="24"/>
                                <w:sz w:val="18"/>
                                <w:szCs w:val="18"/>
                              </w:rPr>
                              <w:t>Cardioprotection</w:t>
                            </w:r>
                          </w:p>
                        </w:txbxContent>
                      </wps:txbx>
                      <wps:bodyPr wrap="none" rtlCol="0">
                        <a:spAutoFit/>
                      </wps:bodyPr>
                    </wps:wsp>
                  </a:graphicData>
                </a:graphic>
              </wp:anchor>
            </w:drawing>
          </mc:Choice>
          <mc:Fallback>
            <w:pict>
              <v:shape id="CuadroTexto 74" o:spid="_x0000_s1085" type="#_x0000_t202" style="position:absolute;left:0;text-align:left;margin-left:386.75pt;margin-top:607.8pt;width:79.15pt;height:18.2pt;z-index:251782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" filled="f" stroked="f">
                <v:textbox style="mso-fit-shape-to-text:t">
                  <w:txbxContent>
                    <w:p w14:paraId="5880BEA9" w14:textId="77777777" w:rsidR="005029D0" w:rsidRDefault="005029D0" w:rsidP="006A0C4B">
                      <w:pPr>
                        <w:jc w:val="center"/>
                      </w:pPr>
                      <w:r>
                        <w:rPr>
                          <w:rFonts w:asciiTheme="minorHAnsi" w:hAnsi="Calibri" w:cstheme="minorBidi"/>
                          <w:b/>
                          <w:bCs/>
                          <w:color w:val="000000" w:themeColor="text1"/>
                          <w:kern w:val="24"/>
                          <w:sz w:val="18"/>
                          <w:szCs w:val="18"/>
                        </w:rPr>
                        <w:t>Cardioprotection</w:t>
                      </w:r>
                    </w:p>
                  </w:txbxContent>
                </v:textbox>
              </v:shape>
            </w:pict>
          </mc:Fallback>
        </mc:AlternateContent>
      </w:r>
      <w:r w:rsidRPr="00B7408D">
        <w:rPr>
          <w:rFonts w:ascii="Book Antiqua" w:hAnsi="Book Antiqua"/>
          <w:b/>
          <w:noProof/>
          <w:lang w:val="en-US" w:bidi="ar-SA"/>
        </w:rPr>
        <w:drawing>
          <wp:anchor distT="0" distB="0" distL="114300" distR="114300" simplePos="0" relativeHeight="251783168" behindDoc="0" locked="0" layoutInCell="1" allowOverlap="1" wp14:anchorId="69178DCC" wp14:editId="47A7BE33">
            <wp:simplePos x="0" y="0"/>
            <wp:positionH relativeFrom="column">
              <wp:posOffset>4269740</wp:posOffset>
            </wp:positionH>
            <wp:positionV relativeFrom="paragraph">
              <wp:posOffset>7315200</wp:posOffset>
            </wp:positionV>
            <wp:extent cx="485417" cy="344982"/>
            <wp:effectExtent l="0" t="0" r="0" b="0"/>
            <wp:wrapNone/>
            <wp:docPr id="145" name="Imagen 18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130BAA-4EE5-47DF-B6EB-60F1B84059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n 18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130BAA-4EE5-47DF-B6EB-60F1B8405909}"/>
                        </a:ext>
                      </a:extLst>
                    </pic:cNvPr>
                    <pic:cNvPicPr>
                      <a:picLocks noChangeAspect="1"/>
                    </pic:cNvPicPr>
                  </pic:nvPicPr>
                  <pic:blipFill>
                    <a:blip r:embed="rId26">
                      <a:duotone>
                        <a:schemeClr val="accent1">
                          <a:shade val="45000"/>
                          <a:satMod val="135000"/>
                        </a:schemeClr>
                        <a:prstClr val="white"/>
                      </a:duotone>
                    </a:blip>
                    <a:stretch>
                      <a:fillRect/>
                    </a:stretch>
                  </pic:blipFill>
                  <pic:spPr>
                    <a:xfrm>
                      <a:off x="0" y="0"/>
                      <a:ext cx="485417" cy="344982"/>
                    </a:xfrm>
                    <a:prstGeom prst="rect">
                      <a:avLst/>
                    </a:prstGeom>
                  </pic:spPr>
                </pic:pic>
              </a:graphicData>
            </a:graphic>
          </wp:anchor>
        </w:drawing>
      </w:r>
      <w:r w:rsidRPr="00B7408D">
        <w:rPr>
          <w:rFonts w:ascii="Book Antiqua" w:hAnsi="Book Antiqua"/>
          <w:b/>
          <w:noProof/>
          <w:lang w:val="en-US" w:bidi="ar-SA"/>
        </w:rPr>
        <w:drawing>
          <wp:anchor distT="0" distB="0" distL="114300" distR="114300" simplePos="0" relativeHeight="251784192" behindDoc="0" locked="0" layoutInCell="1" allowOverlap="1" wp14:anchorId="0938845F" wp14:editId="583ADBD2">
            <wp:simplePos x="0" y="0"/>
            <wp:positionH relativeFrom="column">
              <wp:posOffset>5210810</wp:posOffset>
            </wp:positionH>
            <wp:positionV relativeFrom="paragraph">
              <wp:posOffset>7249795</wp:posOffset>
            </wp:positionV>
            <wp:extent cx="336405" cy="476325"/>
            <wp:effectExtent l="0" t="0" r="0" b="0"/>
            <wp:wrapNone/>
            <wp:docPr id="146" name="Imagen 18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F2E08A-FE9E-47D6-BB64-3429EFA0E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n 18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F2E08A-FE9E-47D6-BB64-3429EFA0E67C}"/>
                        </a:ext>
                      </a:extLst>
                    </pic:cNvPr>
                    <pic:cNvPicPr>
                      <a:picLocks noChangeAspect="1"/>
                    </pic:cNvPicPr>
                  </pic:nvPicPr>
                  <pic:blipFill>
                    <a:blip r:embed="rId27">
                      <a:duotone>
                        <a:schemeClr val="accent1">
                          <a:shade val="45000"/>
                          <a:satMod val="135000"/>
                        </a:schemeClr>
                        <a:prstClr val="white"/>
                      </a:duotone>
                    </a:blip>
                    <a:stretch>
                      <a:fillRect/>
                    </a:stretch>
                  </pic:blipFill>
                  <pic:spPr>
                    <a:xfrm>
                      <a:off x="0" y="0"/>
                      <a:ext cx="336405" cy="476325"/>
                    </a:xfrm>
                    <a:prstGeom prst="rect">
                      <a:avLst/>
                    </a:prstGeom>
                  </pic:spPr>
                </pic:pic>
              </a:graphicData>
            </a:graphic>
          </wp:anchor>
        </w:drawing>
      </w:r>
      <w:r w:rsidRPr="00B7408D">
        <w:rPr>
          <w:rFonts w:ascii="Book Antiqua" w:hAnsi="Book Antiqua"/>
          <w:b/>
          <w:noProof/>
          <w:lang w:val="en-US" w:bidi="ar-SA"/>
        </w:rPr>
        <w:drawing>
          <wp:anchor distT="0" distB="0" distL="114300" distR="114300" simplePos="0" relativeHeight="251785216" behindDoc="0" locked="0" layoutInCell="1" allowOverlap="1" wp14:anchorId="650FE0AD" wp14:editId="2D2B4170">
            <wp:simplePos x="0" y="0"/>
            <wp:positionH relativeFrom="column">
              <wp:posOffset>2450465</wp:posOffset>
            </wp:positionH>
            <wp:positionV relativeFrom="paragraph">
              <wp:posOffset>7310755</wp:posOffset>
            </wp:positionV>
            <wp:extent cx="353827" cy="353827"/>
            <wp:effectExtent l="0" t="0" r="0" b="1905"/>
            <wp:wrapNone/>
            <wp:docPr id="147" name="Imagen 18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0FB089-CD14-45FD-B4B0-E39098BE2A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n 18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0FB089-CD14-45FD-B4B0-E39098BE2AEC}"/>
                        </a:ext>
                      </a:extLst>
                    </pic:cNvPr>
                    <pic:cNvPicPr>
                      <a:picLocks noChangeAspect="1"/>
                    </pic:cNvPicPr>
                  </pic:nvPicPr>
                  <pic:blipFill>
                    <a:blip r:embed="rId2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3827" cy="353827"/>
                    </a:xfrm>
                    <a:prstGeom prst="rect">
                      <a:avLst/>
                    </a:prstGeom>
                  </pic:spPr>
                </pic:pic>
              </a:graphicData>
            </a:graphic>
          </wp:anchor>
        </w:drawing>
      </w:r>
      <w:r w:rsidRPr="00B7408D">
        <w:rPr>
          <w:rFonts w:ascii="Book Antiqua" w:hAnsi="Book Antiqua"/>
          <w:b/>
          <w:noProof/>
          <w:lang w:val="en-US" w:bidi="ar-SA"/>
        </w:rPr>
        <w:drawing>
          <wp:anchor distT="0" distB="0" distL="114300" distR="114300" simplePos="0" relativeHeight="251786240" behindDoc="0" locked="0" layoutInCell="1" allowOverlap="1" wp14:anchorId="6F7A3170" wp14:editId="3DC78807">
            <wp:simplePos x="0" y="0"/>
            <wp:positionH relativeFrom="column">
              <wp:posOffset>1659255</wp:posOffset>
            </wp:positionH>
            <wp:positionV relativeFrom="paragraph">
              <wp:posOffset>7277735</wp:posOffset>
            </wp:positionV>
            <wp:extent cx="325924" cy="419660"/>
            <wp:effectExtent l="0" t="0" r="4445" b="0"/>
            <wp:wrapNone/>
            <wp:docPr id="148" name="Imagen 18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E5A668-96FD-4546-A59B-9B74C3B71F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n 18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E5A668-96FD-4546-A59B-9B74C3B71F53}"/>
                        </a:ext>
                      </a:extLst>
                    </pic:cNvPr>
                    <pic:cNvPicPr>
                      <a:picLocks noChangeAspect="1"/>
                    </pic:cNvPicPr>
                  </pic:nvPicPr>
                  <pic:blipFill>
                    <a:blip r:embed="rId29">
                      <a:duotone>
                        <a:schemeClr val="accent5">
                          <a:shade val="45000"/>
                          <a:satMod val="135000"/>
                        </a:schemeClr>
                        <a:prstClr val="white"/>
                      </a:duotone>
                      <a:extLst>
                        <a:ext uri="{BEBA8EAE-BF5A-486C-A8C5-ECC9F3942E4B}">
                          <a14:imgProps xmlns:a14="http://schemas.microsoft.com/office/drawing/2010/main">
                            <a14:imgLayer r:embed="rId30">
                              <a14:imgEffect>
                                <a14:backgroundRemoval t="1230" b="97746" l="1583" r="95119">
                                  <a14:foregroundMark x1="51055" y1="14037" x2="51055" y2="14037"/>
                                  <a14:foregroundMark x1="47361" y1="5123" x2="47361" y2="5123"/>
                                  <a14:foregroundMark x1="53166" y1="1230" x2="53166" y2="1230"/>
                                  <a14:foregroundMark x1="95119" y1="45389" x2="95119" y2="45389"/>
                                  <a14:foregroundMark x1="8179" y1="43852" x2="8179" y2="43852"/>
                                  <a14:foregroundMark x1="4881" y1="52152" x2="4881" y2="52152"/>
                                  <a14:foregroundMark x1="37863" y1="89857" x2="37863" y2="89857"/>
                                  <a14:foregroundMark x1="42480" y1="91496" x2="42480" y2="91496"/>
                                  <a14:foregroundMark x1="33377" y1="92111" x2="33377" y2="92111"/>
                                  <a14:foregroundMark x1="38654" y1="97848" x2="38654" y2="97848"/>
                                  <a14:foregroundMark x1="1583" y1="50205" x2="1583" y2="50205"/>
                                  <a14:foregroundMark x1="61741" y1="92418" x2="61741" y2="92418"/>
                                </a14:backgroundRemoval>
                              </a14:imgEffect>
                            </a14:imgLayer>
                          </a14:imgProps>
                        </a:ext>
                      </a:extLst>
                    </a:blip>
                    <a:stretch>
                      <a:fillRect/>
                    </a:stretch>
                  </pic:blipFill>
                  <pic:spPr>
                    <a:xfrm>
                      <a:off x="0" y="0"/>
                      <a:ext cx="325924" cy="419660"/>
                    </a:xfrm>
                    <a:prstGeom prst="rect">
                      <a:avLst/>
                    </a:prstGeom>
                  </pic:spPr>
                </pic:pic>
              </a:graphicData>
            </a:graphic>
          </wp:anchor>
        </w:drawing>
      </w:r>
      <w:r w:rsidRPr="00B7408D">
        <w:rPr>
          <w:rFonts w:ascii="Book Antiqua" w:hAnsi="Book Antiqua"/>
          <w:b/>
          <w:noProof/>
          <w:lang w:val="en-US" w:bidi="ar-SA"/>
        </w:rPr>
        <w:drawing>
          <wp:anchor distT="0" distB="0" distL="114300" distR="114300" simplePos="0" relativeHeight="251787264" behindDoc="0" locked="0" layoutInCell="1" allowOverlap="1" wp14:anchorId="2ABA5594" wp14:editId="4971CADC">
            <wp:simplePos x="0" y="0"/>
            <wp:positionH relativeFrom="column">
              <wp:posOffset>821372</wp:posOffset>
            </wp:positionH>
            <wp:positionV relativeFrom="paragraph">
              <wp:posOffset>7332028</wp:posOffset>
            </wp:positionV>
            <wp:extent cx="386885" cy="357235"/>
            <wp:effectExtent l="27623" t="23177" r="21907" b="21908"/>
            <wp:wrapNone/>
            <wp:docPr id="149" name="Imagen 18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4236D3-BE6B-4FD9-AC3F-F3974AF4F2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n 18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4236D3-BE6B-4FD9-AC3F-F3974AF4F292}"/>
                        </a:ext>
                      </a:extLst>
                    </pic:cNvPr>
                    <pic:cNvPicPr>
                      <a:picLocks noChangeAspect="1"/>
                    </pic:cNvPicPr>
                  </pic:nvPicPr>
                  <pic:blipFill>
                    <a:blip r:embed="rId31">
                      <a:duotone>
                        <a:schemeClr val="accent1">
                          <a:shade val="45000"/>
                          <a:satMod val="135000"/>
                        </a:schemeClr>
                        <a:prstClr val="white"/>
                      </a:duotone>
                    </a:blip>
                    <a:stretch>
                      <a:fillRect/>
                    </a:stretch>
                  </pic:blipFill>
                  <pic:spPr>
                    <a:xfrm rot="5810080">
                      <a:off x="0" y="0"/>
                      <a:ext cx="386885" cy="357235"/>
                    </a:xfrm>
                    <a:prstGeom prst="rect">
                      <a:avLst/>
                    </a:prstGeom>
                  </pic:spPr>
                </pic:pic>
              </a:graphicData>
            </a:graphic>
          </wp:anchor>
        </w:drawing>
      </w:r>
      <w:r w:rsidRPr="00B7408D">
        <w:rPr>
          <w:rFonts w:ascii="Book Antiqua" w:hAnsi="Book Antiqua"/>
          <w:b/>
          <w:noProof/>
          <w:lang w:val="en-US" w:bidi="ar-SA"/>
        </w:rPr>
        <w:drawing>
          <wp:anchor distT="0" distB="0" distL="114300" distR="114300" simplePos="0" relativeHeight="251788288" behindDoc="0" locked="0" layoutInCell="1" allowOverlap="1" wp14:anchorId="2D802753" wp14:editId="287166FB">
            <wp:simplePos x="0" y="0"/>
            <wp:positionH relativeFrom="column">
              <wp:posOffset>3269615</wp:posOffset>
            </wp:positionH>
            <wp:positionV relativeFrom="paragraph">
              <wp:posOffset>7273925</wp:posOffset>
            </wp:positionV>
            <wp:extent cx="534750" cy="427800"/>
            <wp:effectExtent l="0" t="0" r="0" b="4445"/>
            <wp:wrapNone/>
            <wp:docPr id="299" name="Imagen 29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25B789-3F3E-4458-9ABE-397B4CDDBA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n 29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25B789-3F3E-4458-9ABE-397B4CDDBA86}"/>
                        </a:ext>
                      </a:extLst>
                    </pic:cNvPr>
                    <pic:cNvPicPr>
                      <a:picLocks noChangeAspect="1"/>
                    </pic:cNvPicPr>
                  </pic:nvPicPr>
                  <pic:blipFill>
                    <a:blip r:embed="rId32">
                      <a:duotone>
                        <a:schemeClr val="accent1">
                          <a:shade val="45000"/>
                          <a:satMod val="135000"/>
                        </a:schemeClr>
                        <a:prstClr val="white"/>
                      </a:duotone>
                    </a:blip>
                    <a:stretch>
                      <a:fillRect/>
                    </a:stretch>
                  </pic:blipFill>
                  <pic:spPr>
                    <a:xfrm>
                      <a:off x="0" y="0"/>
                      <a:ext cx="534750" cy="427800"/>
                    </a:xfrm>
                    <a:prstGeom prst="rect">
                      <a:avLst/>
                    </a:prstGeom>
                  </pic:spPr>
                </pic:pic>
              </a:graphicData>
            </a:graphic>
          </wp:anchor>
        </w:drawing>
      </w:r>
      <w:r w:rsidRPr="00B7408D">
        <w:rPr>
          <w:rFonts w:ascii="Book Antiqua" w:hAnsi="Book Antiqua"/>
          <w:b/>
          <w:noProof/>
          <w:lang w:val="en-US" w:bidi="ar-SA"/>
        </w:rPr>
        <mc:AlternateContent>
          <mc:Choice Requires="wps">
            <w:drawing>
              <wp:anchor distT="0" distB="0" distL="114300" distR="114300" simplePos="0" relativeHeight="251789312" behindDoc="0" locked="0" layoutInCell="1" allowOverlap="1" wp14:anchorId="21887E22" wp14:editId="0C5B94C1">
                <wp:simplePos x="0" y="0"/>
                <wp:positionH relativeFrom="column">
                  <wp:posOffset>822960</wp:posOffset>
                </wp:positionH>
                <wp:positionV relativeFrom="paragraph">
                  <wp:posOffset>6415405</wp:posOffset>
                </wp:positionV>
                <wp:extent cx="137519" cy="771643"/>
                <wp:effectExtent l="0" t="0" r="53340" b="41275"/>
                <wp:wrapNone/>
                <wp:docPr id="62" name="Conector recto de flecha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519" cy="771643"/>
                        </a:xfrm>
                        <a:prstGeom prst="straightConnector1">
                          <a:avLst/>
                        </a:prstGeom>
                        <a:ln>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24A6E4" id="Conector recto de flecha 59" o:spid="_x0000_s1026" type="#_x0000_t32" style="position:absolute;margin-left:64.8pt;margin-top:505.15pt;width:10.85pt;height:60.7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" strokecolor="#404040 [2429]"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90336" behindDoc="0" locked="0" layoutInCell="1" allowOverlap="1" wp14:anchorId="30665EA5" wp14:editId="6249B210">
                <wp:simplePos x="0" y="0"/>
                <wp:positionH relativeFrom="column">
                  <wp:posOffset>1235710</wp:posOffset>
                </wp:positionH>
                <wp:positionV relativeFrom="paragraph">
                  <wp:posOffset>6415405</wp:posOffset>
                </wp:positionV>
                <wp:extent cx="392085" cy="743594"/>
                <wp:effectExtent l="25400" t="0" r="14605" b="31115"/>
                <wp:wrapNone/>
                <wp:docPr id="63" name="Conector recto de flecha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2085" cy="743594"/>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450B28" id="Conector recto de flecha 61" o:spid="_x0000_s1026" type="#_x0000_t32" style="position:absolute;margin-left:97.3pt;margin-top:505.15pt;width:30.85pt;height:58.55pt;flip:x;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" strokecolor="#1f3763 [1604]"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91360" behindDoc="0" locked="0" layoutInCell="1" allowOverlap="1" wp14:anchorId="4040ECA6" wp14:editId="15C3782B">
                <wp:simplePos x="0" y="0"/>
                <wp:positionH relativeFrom="column">
                  <wp:posOffset>1627505</wp:posOffset>
                </wp:positionH>
                <wp:positionV relativeFrom="paragraph">
                  <wp:posOffset>6415405</wp:posOffset>
                </wp:positionV>
                <wp:extent cx="163287" cy="726764"/>
                <wp:effectExtent l="0" t="0" r="40005" b="35560"/>
                <wp:wrapNone/>
                <wp:docPr id="258" name="Conector recto de flecha 25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060E7B-F110-49B5-86FC-C1F8074497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287" cy="726764"/>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818885" id="Conector recto de flecha 257" o:spid="_x0000_s1026" type="#_x0000_t32" style="position:absolute;margin-left:128.15pt;margin-top:505.15pt;width:12.85pt;height:57.2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" strokecolor="#1f3763 [1604]"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92384" behindDoc="0" locked="0" layoutInCell="1" allowOverlap="1" wp14:anchorId="06E5D7A0" wp14:editId="3A8DCBF9">
                <wp:simplePos x="0" y="0"/>
                <wp:positionH relativeFrom="column">
                  <wp:posOffset>2496185</wp:posOffset>
                </wp:positionH>
                <wp:positionV relativeFrom="paragraph">
                  <wp:posOffset>6346190</wp:posOffset>
                </wp:positionV>
                <wp:extent cx="74516" cy="857722"/>
                <wp:effectExtent l="0" t="0" r="52705" b="31750"/>
                <wp:wrapNone/>
                <wp:docPr id="260" name="Conector recto de flecha 25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73A32D-7B64-47C0-B402-556025F725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516" cy="857722"/>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F11B22" id="Conector recto de flecha 259" o:spid="_x0000_s1026" type="#_x0000_t32" style="position:absolute;margin-left:196.55pt;margin-top:499.7pt;width:5.85pt;height:67.5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" strokecolor="#375623 [1609]"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93408" behindDoc="0" locked="0" layoutInCell="1" allowOverlap="1" wp14:anchorId="6CD6E7CC" wp14:editId="0B875CDF">
                <wp:simplePos x="0" y="0"/>
                <wp:positionH relativeFrom="column">
                  <wp:posOffset>1981835</wp:posOffset>
                </wp:positionH>
                <wp:positionV relativeFrom="paragraph">
                  <wp:posOffset>6415405</wp:posOffset>
                </wp:positionV>
                <wp:extent cx="1892045" cy="754813"/>
                <wp:effectExtent l="25400" t="0" r="13335" b="45720"/>
                <wp:wrapNone/>
                <wp:docPr id="263" name="Conector recto de flecha 26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B8335D-4A72-427C-9B97-79D2B2F685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92045" cy="754813"/>
                        </a:xfrm>
                        <a:prstGeom prst="straightConnector1">
                          <a:avLst/>
                        </a:prstGeom>
                        <a:ln>
                          <a:solidFill>
                            <a:srgbClr val="CC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1C3FF4" id="Conector recto de flecha 262" o:spid="_x0000_s1026" type="#_x0000_t32" style="position:absolute;margin-left:156.05pt;margin-top:505.15pt;width:149pt;height:59.45pt;flip:x;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" strokecolor="#c00"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94432" behindDoc="0" locked="0" layoutInCell="1" allowOverlap="1" wp14:anchorId="63028FE1" wp14:editId="7456A5C5">
                <wp:simplePos x="0" y="0"/>
                <wp:positionH relativeFrom="column">
                  <wp:posOffset>3591560</wp:posOffset>
                </wp:positionH>
                <wp:positionV relativeFrom="paragraph">
                  <wp:posOffset>6415405</wp:posOffset>
                </wp:positionV>
                <wp:extent cx="282028" cy="754813"/>
                <wp:effectExtent l="38100" t="0" r="22860" b="33020"/>
                <wp:wrapNone/>
                <wp:docPr id="279" name="Conector recto de flecha 27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459883-D510-440A-8C60-9F8AAB2BD5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2028" cy="754813"/>
                        </a:xfrm>
                        <a:prstGeom prst="straightConnector1">
                          <a:avLst/>
                        </a:prstGeom>
                        <a:ln>
                          <a:solidFill>
                            <a:srgbClr val="CC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4858A1" id="Conector recto de flecha 278" o:spid="_x0000_s1026" type="#_x0000_t32" style="position:absolute;margin-left:282.8pt;margin-top:505.15pt;width:22.2pt;height:59.45pt;flip:x;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" strokecolor="#c00"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95456" behindDoc="0" locked="0" layoutInCell="1" allowOverlap="1" wp14:anchorId="3B225A26" wp14:editId="2FE926B8">
                <wp:simplePos x="0" y="0"/>
                <wp:positionH relativeFrom="column">
                  <wp:posOffset>2789555</wp:posOffset>
                </wp:positionH>
                <wp:positionV relativeFrom="paragraph">
                  <wp:posOffset>6415405</wp:posOffset>
                </wp:positionV>
                <wp:extent cx="1084231" cy="782863"/>
                <wp:effectExtent l="25400" t="0" r="20955" b="43180"/>
                <wp:wrapNone/>
                <wp:docPr id="281" name="Conector recto de flecha 28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E48CE2-2793-4170-ABCF-9824AE5248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84231" cy="782863"/>
                        </a:xfrm>
                        <a:prstGeom prst="straightConnector1">
                          <a:avLst/>
                        </a:prstGeom>
                        <a:ln>
                          <a:solidFill>
                            <a:srgbClr val="CC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70C31D" id="Conector recto de flecha 280" o:spid="_x0000_s1026" type="#_x0000_t32" style="position:absolute;margin-left:219.65pt;margin-top:505.15pt;width:85.35pt;height:61.65pt;flip:x;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" strokecolor="#c00"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96480" behindDoc="0" locked="0" layoutInCell="1" allowOverlap="1" wp14:anchorId="1E7F1C30" wp14:editId="0D6931E3">
                <wp:simplePos x="0" y="0"/>
                <wp:positionH relativeFrom="column">
                  <wp:posOffset>3873500</wp:posOffset>
                </wp:positionH>
                <wp:positionV relativeFrom="paragraph">
                  <wp:posOffset>6415405</wp:posOffset>
                </wp:positionV>
                <wp:extent cx="475297" cy="754813"/>
                <wp:effectExtent l="0" t="0" r="33020" b="33020"/>
                <wp:wrapNone/>
                <wp:docPr id="283" name="Conector recto de flecha 28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E5309D-A950-4B68-89C0-F0B6E066E6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5297" cy="754813"/>
                        </a:xfrm>
                        <a:prstGeom prst="straightConnector1">
                          <a:avLst/>
                        </a:prstGeom>
                        <a:ln>
                          <a:solidFill>
                            <a:srgbClr val="CC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5B84D9" id="Conector recto de flecha 282" o:spid="_x0000_s1026" type="#_x0000_t32" style="position:absolute;margin-left:305pt;margin-top:505.15pt;width:37.4pt;height:59.4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" strokecolor="#c00"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97504" behindDoc="0" locked="0" layoutInCell="1" allowOverlap="1" wp14:anchorId="17AB79C7" wp14:editId="286B967E">
                <wp:simplePos x="0" y="0"/>
                <wp:positionH relativeFrom="column">
                  <wp:posOffset>3879215</wp:posOffset>
                </wp:positionH>
                <wp:positionV relativeFrom="paragraph">
                  <wp:posOffset>6415405</wp:posOffset>
                </wp:positionV>
                <wp:extent cx="1255063" cy="788472"/>
                <wp:effectExtent l="0" t="0" r="53340" b="37465"/>
                <wp:wrapNone/>
                <wp:docPr id="285" name="Conector recto de flecha 28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ED81BB-D285-4038-88A6-654C64165F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5063" cy="788472"/>
                        </a:xfrm>
                        <a:prstGeom prst="straightConnector1">
                          <a:avLst/>
                        </a:prstGeom>
                        <a:ln>
                          <a:solidFill>
                            <a:srgbClr val="CC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CC3C86" id="Conector recto de flecha 284" o:spid="_x0000_s1026" type="#_x0000_t32" style="position:absolute;margin-left:305.45pt;margin-top:505.15pt;width:98.8pt;height:62.1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" strokecolor="#c00"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98528" behindDoc="0" locked="0" layoutInCell="1" allowOverlap="1" wp14:anchorId="42793963" wp14:editId="3F9B6E18">
                <wp:simplePos x="0" y="0"/>
                <wp:positionH relativeFrom="column">
                  <wp:posOffset>2155825</wp:posOffset>
                </wp:positionH>
                <wp:positionV relativeFrom="paragraph">
                  <wp:posOffset>6415405</wp:posOffset>
                </wp:positionV>
                <wp:extent cx="2580812" cy="799692"/>
                <wp:effectExtent l="25400" t="0" r="10160" b="51435"/>
                <wp:wrapNone/>
                <wp:docPr id="195" name="Conector recto de flecha 19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05E50A-297F-48D9-993D-9AB87EAD1D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80812" cy="7996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63D64E" id="Conector recto de flecha 194" o:spid="_x0000_s1026" type="#_x0000_t32" style="position:absolute;margin-left:169.75pt;margin-top:505.15pt;width:203.2pt;height:62.95pt;flip:x;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" strokecolor="#4472c4 [3204]"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799552" behindDoc="0" locked="0" layoutInCell="1" allowOverlap="1" wp14:anchorId="48DB7479" wp14:editId="2610130F">
                <wp:simplePos x="0" y="0"/>
                <wp:positionH relativeFrom="column">
                  <wp:posOffset>4584700</wp:posOffset>
                </wp:positionH>
                <wp:positionV relativeFrom="paragraph">
                  <wp:posOffset>6415405</wp:posOffset>
                </wp:positionV>
                <wp:extent cx="151760" cy="754813"/>
                <wp:effectExtent l="50800" t="0" r="13970" b="33020"/>
                <wp:wrapNone/>
                <wp:docPr id="64" name="Conector recto de flecha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1760" cy="7548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2427C2" id="Conector recto de flecha 196" o:spid="_x0000_s1026" type="#_x0000_t32" style="position:absolute;margin-left:361pt;margin-top:505.15pt;width:11.95pt;height:59.45pt;flip:x;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" strokecolor="#4472c4 [3204]"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00576" behindDoc="0" locked="0" layoutInCell="1" allowOverlap="1" wp14:anchorId="51B7FCC4" wp14:editId="1A68CEA3">
                <wp:simplePos x="0" y="0"/>
                <wp:positionH relativeFrom="column">
                  <wp:posOffset>3743325</wp:posOffset>
                </wp:positionH>
                <wp:positionV relativeFrom="paragraph">
                  <wp:posOffset>6415405</wp:posOffset>
                </wp:positionV>
                <wp:extent cx="993235" cy="732374"/>
                <wp:effectExtent l="25400" t="0" r="10160" b="42545"/>
                <wp:wrapNone/>
                <wp:docPr id="65" name="Conector recto de flecha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93235" cy="7323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B7DE8C" id="Conector recto de flecha 197" o:spid="_x0000_s1026" type="#_x0000_t32" style="position:absolute;margin-left:294.75pt;margin-top:505.15pt;width:78.2pt;height:57.65pt;flip:x;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" strokecolor="#4472c4 [3204]"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01600" behindDoc="0" locked="0" layoutInCell="1" allowOverlap="1" wp14:anchorId="41CBF81D" wp14:editId="48FA5384">
                <wp:simplePos x="0" y="0"/>
                <wp:positionH relativeFrom="column">
                  <wp:posOffset>4736465</wp:posOffset>
                </wp:positionH>
                <wp:positionV relativeFrom="paragraph">
                  <wp:posOffset>6415405</wp:posOffset>
                </wp:positionV>
                <wp:extent cx="493368" cy="737984"/>
                <wp:effectExtent l="0" t="0" r="53340" b="36830"/>
                <wp:wrapNone/>
                <wp:docPr id="66" name="Conector recto de flecha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3368" cy="7379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C3465C" id="Conector recto de flecha 198" o:spid="_x0000_s1026" type="#_x0000_t32" style="position:absolute;margin-left:372.95pt;margin-top:505.15pt;width:38.85pt;height:58.1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" strokecolor="#4472c4 [3204]"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02624" behindDoc="0" locked="0" layoutInCell="1" allowOverlap="1" wp14:anchorId="4662C6C5" wp14:editId="567048E9">
                <wp:simplePos x="0" y="0"/>
                <wp:positionH relativeFrom="column">
                  <wp:posOffset>2963545</wp:posOffset>
                </wp:positionH>
                <wp:positionV relativeFrom="paragraph">
                  <wp:posOffset>6346190</wp:posOffset>
                </wp:positionV>
                <wp:extent cx="2510703" cy="896991"/>
                <wp:effectExtent l="25400" t="0" r="17145" b="43180"/>
                <wp:wrapNone/>
                <wp:docPr id="302" name="Conector recto de flecha 30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CA82DD-8018-470F-99C2-D22C82A78A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10703" cy="896991"/>
                        </a:xfrm>
                        <a:prstGeom prst="straightConnector1">
                          <a:avLst/>
                        </a:prstGeom>
                        <a:ln>
                          <a:solidFill>
                            <a:schemeClr val="accent4">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80B8C7" id="Conector recto de flecha 301" o:spid="_x0000_s1026" type="#_x0000_t32" style="position:absolute;margin-left:233.35pt;margin-top:499.7pt;width:197.7pt;height:70.65pt;flip:x;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" strokecolor="#7f5f00 [1607]"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03648" behindDoc="0" locked="0" layoutInCell="1" allowOverlap="1" wp14:anchorId="2CA9E837" wp14:editId="0D3E4A18">
                <wp:simplePos x="0" y="0"/>
                <wp:positionH relativeFrom="column">
                  <wp:posOffset>3933825</wp:posOffset>
                </wp:positionH>
                <wp:positionV relativeFrom="paragraph">
                  <wp:posOffset>6346190</wp:posOffset>
                </wp:positionV>
                <wp:extent cx="1540205" cy="852113"/>
                <wp:effectExtent l="25400" t="0" r="9525" b="37465"/>
                <wp:wrapNone/>
                <wp:docPr id="306" name="Conector recto de flecha 30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D228E3-6866-4A74-ADCD-A94BDE13C0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40205" cy="852113"/>
                        </a:xfrm>
                        <a:prstGeom prst="straightConnector1">
                          <a:avLst/>
                        </a:prstGeom>
                        <a:ln>
                          <a:solidFill>
                            <a:schemeClr val="accent4">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F726E" id="Conector recto de flecha 305" o:spid="_x0000_s1026" type="#_x0000_t32" style="position:absolute;margin-left:309.75pt;margin-top:499.7pt;width:121.3pt;height:67.1pt;flip:x;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" strokecolor="#7f5f00 [1607]" strokeweight=".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04672" behindDoc="0" locked="0" layoutInCell="1" allowOverlap="1" wp14:anchorId="29AD3278" wp14:editId="7475DE76">
                <wp:simplePos x="0" y="0"/>
                <wp:positionH relativeFrom="column">
                  <wp:posOffset>1007745</wp:posOffset>
                </wp:positionH>
                <wp:positionV relativeFrom="paragraph">
                  <wp:posOffset>0</wp:posOffset>
                </wp:positionV>
                <wp:extent cx="4630691" cy="338554"/>
                <wp:effectExtent l="0" t="0" r="0" b="0"/>
                <wp:wrapNone/>
                <wp:docPr id="320" name="CuadroTexto 3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E8344A-D245-4305-97B6-42AFD402A109}"/>
                    </a:ext>
                  </a:extLst>
                </wp:docPr>
                <wp:cNvGraphicFramePr/>
                <a:graphic xmlns:a="http://schemas.openxmlformats.org/drawingml/2006/main">
                  <a:graphicData uri="http://schemas.microsoft.com/office/word/2010/wordprocessingShape">
                    <wps:wsp>
                      <wps:cNvSpPr txBox="1"/>
                      <wps:spPr>
                        <a:xfrm>
                          <a:off x="0" y="0"/>
                          <a:ext cx="4630691" cy="338554"/>
                        </a:xfrm>
                        <a:prstGeom prst="rect">
                          <a:avLst/>
                        </a:prstGeom>
                        <a:noFill/>
                      </wps:spPr>
                      <wps:txbx>
                        <w:txbxContent>
                          <w:p w14:paraId="71E9F94E" w14:textId="350FB4A6" w:rsidR="005029D0" w:rsidRPr="008B42A0" w:rsidRDefault="00E712B4" w:rsidP="006A0C4B">
                            <w:pPr>
                              <w:rPr>
                                <w:lang w:val="en-US"/>
                              </w:rPr>
                            </w:pPr>
                            <w:r w:rsidRPr="008B42A0">
                              <w:rPr>
                                <w:rFonts w:asciiTheme="minorHAnsi" w:hAnsi="Calibri" w:cstheme="minorBidi"/>
                                <w:b/>
                                <w:bCs/>
                                <w:color w:val="000000" w:themeColor="text1"/>
                                <w:kern w:val="24"/>
                                <w:sz w:val="32"/>
                                <w:szCs w:val="32"/>
                                <w:lang w:val="en-US"/>
                              </w:rPr>
                              <w:t>Unsaponifiable fraction of olive oil and msc</w:t>
                            </w:r>
                          </w:p>
                        </w:txbxContent>
                      </wps:txbx>
                      <wps:bodyPr wrap="none" rtlCol="0">
                        <a:spAutoFit/>
                      </wps:bodyPr>
                    </wps:wsp>
                  </a:graphicData>
                </a:graphic>
              </wp:anchor>
            </w:drawing>
          </mc:Choice>
          <mc:Fallback>
            <w:pict>
              <v:shape id="CuadroTexto 319" o:spid="_x0000_s1086" type="#_x0000_t202" style="position:absolute;left:0;text-align:left;margin-left:79.35pt;margin-top:0;width:364.6pt;height:26.65pt;z-index:251804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" filled="f" stroked="f">
                <v:textbox style="mso-fit-shape-to-text:t">
                  <w:txbxContent>
                    <w:p w14:paraId="71E9F94E" w14:textId="350FB4A6" w:rsidR="005029D0" w:rsidRPr="008B42A0" w:rsidRDefault="00E712B4" w:rsidP="006A0C4B">
                      <w:pPr>
                        <w:rPr>
                          <w:lang w:val="en-US"/>
                        </w:rPr>
                      </w:pPr>
                      <w:r w:rsidRPr="008B42A0">
                        <w:rPr>
                          <w:rFonts w:asciiTheme="minorHAnsi" w:hAnsi="Calibri" w:cstheme="minorBidi"/>
                          <w:b/>
                          <w:bCs/>
                          <w:color w:val="000000" w:themeColor="text1"/>
                          <w:kern w:val="24"/>
                          <w:sz w:val="32"/>
                          <w:szCs w:val="32"/>
                          <w:lang w:val="en-US"/>
                        </w:rPr>
                        <w:t>Unsaponifiable fraction of olive oil and msc</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06720" behindDoc="0" locked="0" layoutInCell="1" allowOverlap="1" wp14:anchorId="5D62D74A" wp14:editId="70F72C71">
                <wp:simplePos x="0" y="0"/>
                <wp:positionH relativeFrom="column">
                  <wp:posOffset>0</wp:posOffset>
                </wp:positionH>
                <wp:positionV relativeFrom="paragraph">
                  <wp:posOffset>386080</wp:posOffset>
                </wp:positionV>
                <wp:extent cx="6391072" cy="2101175"/>
                <wp:effectExtent l="0" t="0" r="10160" b="7620"/>
                <wp:wrapNone/>
                <wp:docPr id="331" name="Rectángulo: esquinas redondeadas 3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6D7BAA-27AF-4FED-88A5-CBF6CB3581C8}"/>
                    </a:ext>
                  </a:extLst>
                </wp:docPr>
                <wp:cNvGraphicFramePr/>
                <a:graphic xmlns:a="http://schemas.openxmlformats.org/drawingml/2006/main">
                  <a:graphicData uri="http://schemas.microsoft.com/office/word/2010/wordprocessingShape">
                    <wps:wsp>
                      <wps:cNvSpPr/>
                      <wps:spPr>
                        <a:xfrm>
                          <a:off x="0" y="0"/>
                          <a:ext cx="6391072" cy="2101175"/>
                        </a:xfrm>
                        <a:prstGeom prst="roundRect">
                          <a:avLst>
                            <a:gd name="adj" fmla="val 32974"/>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4A66AB5" id="Rectángulo: esquinas redondeadas 330" o:spid="_x0000_s1026" style="position:absolute;margin-left:0;margin-top:30.4pt;width:503.25pt;height:165.45pt;z-index:251806720;visibility:visible;mso-wrap-style:square;mso-wrap-distance-left:9pt;mso-wrap-distance-top:0;mso-wrap-distance-right:9pt;mso-wrap-distance-bottom:0;mso-position-horizontal:absolute;mso-position-horizontal-relative:text;mso-position-vertical:absolute;mso-position-vertical-relative:text;v-text-anchor:middle" arcsize="216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" filled="f" strokecolor="#0070c0" strokeweight="1pt">
                <v:stroke joinstyle="miter"/>
              </v:roundrect>
            </w:pict>
          </mc:Fallback>
        </mc:AlternateContent>
      </w:r>
      <w:r w:rsidRPr="00B7408D">
        <w:rPr>
          <w:rFonts w:ascii="Book Antiqua" w:hAnsi="Book Antiqua"/>
          <w:b/>
          <w:noProof/>
          <w:lang w:val="en-US" w:bidi="ar-SA"/>
        </w:rPr>
        <mc:AlternateContent>
          <mc:Choice Requires="wpg">
            <w:drawing>
              <wp:anchor distT="0" distB="0" distL="114300" distR="114300" simplePos="0" relativeHeight="251808768" behindDoc="0" locked="0" layoutInCell="1" allowOverlap="1" wp14:anchorId="5DCCB228" wp14:editId="3097EA18">
                <wp:simplePos x="0" y="0"/>
                <wp:positionH relativeFrom="column">
                  <wp:posOffset>5053330</wp:posOffset>
                </wp:positionH>
                <wp:positionV relativeFrom="paragraph">
                  <wp:posOffset>502920</wp:posOffset>
                </wp:positionV>
                <wp:extent cx="1590040" cy="711302"/>
                <wp:effectExtent l="0" t="0" r="0" b="0"/>
                <wp:wrapNone/>
                <wp:docPr id="81" name="Grupo 104"/>
                <wp:cNvGraphicFramePr/>
                <a:graphic xmlns:a="http://schemas.openxmlformats.org/drawingml/2006/main">
                  <a:graphicData uri="http://schemas.microsoft.com/office/word/2010/wordprocessingGroup">
                    <wpg:wgp>
                      <wpg:cNvGrpSpPr/>
                      <wpg:grpSpPr>
                        <a:xfrm>
                          <a:off x="0" y="0"/>
                          <a:ext cx="1590040" cy="711302"/>
                          <a:chOff x="5053358" y="503045"/>
                          <a:chExt cx="1590040" cy="711302"/>
                        </a:xfrm>
                      </wpg:grpSpPr>
                      <wps:wsp>
                        <wps:cNvPr id="85" name="CuadroTexto 343"/>
                        <wps:cNvSpPr txBox="1"/>
                        <wps:spPr>
                          <a:xfrm>
                            <a:off x="5103184" y="503045"/>
                            <a:ext cx="899160" cy="334645"/>
                          </a:xfrm>
                          <a:prstGeom prst="rect">
                            <a:avLst/>
                          </a:prstGeom>
                          <a:noFill/>
                        </wps:spPr>
                        <wps:txbx>
                          <w:txbxContent>
                            <w:p w14:paraId="76675AD1" w14:textId="77777777" w:rsidR="005029D0" w:rsidRDefault="005029D0" w:rsidP="006A0C4B">
                              <w:r>
                                <w:rPr>
                                  <w:rFonts w:asciiTheme="minorHAnsi" w:hAnsi="Calibri" w:cstheme="minorBidi"/>
                                  <w:b/>
                                  <w:bCs/>
                                  <w:color w:val="000000" w:themeColor="text1"/>
                                  <w:kern w:val="24"/>
                                  <w:sz w:val="22"/>
                                  <w:szCs w:val="22"/>
                                  <w:u w:val="single"/>
                                </w:rPr>
                                <w:t>Triterpenes</w:t>
                              </w:r>
                            </w:p>
                          </w:txbxContent>
                        </wps:txbx>
                        <wps:bodyPr wrap="square" rtlCol="0">
                          <a:spAutoFit/>
                        </wps:bodyPr>
                      </wps:wsp>
                      <wps:wsp>
                        <wps:cNvPr id="86" name="CuadroTexto 344"/>
                        <wps:cNvSpPr txBox="1"/>
                        <wps:spPr>
                          <a:xfrm>
                            <a:off x="5053358" y="901927"/>
                            <a:ext cx="1328420" cy="312420"/>
                          </a:xfrm>
                          <a:prstGeom prst="rect">
                            <a:avLst/>
                          </a:prstGeom>
                          <a:noFill/>
                        </wps:spPr>
                        <wps:txbx>
                          <w:txbxContent>
                            <w:p w14:paraId="7A39C8EF" w14:textId="77777777" w:rsidR="005029D0" w:rsidRDefault="005029D0" w:rsidP="006A0C4B">
                              <w:r>
                                <w:rPr>
                                  <w:rFonts w:asciiTheme="minorHAnsi" w:hAnsi="Calibri" w:cstheme="minorBidi"/>
                                  <w:color w:val="000000" w:themeColor="text1"/>
                                  <w:kern w:val="24"/>
                                  <w:sz w:val="20"/>
                                  <w:szCs w:val="20"/>
                                </w:rPr>
                                <w:t>Maslinic acid (MAS)</w:t>
                              </w:r>
                            </w:p>
                          </w:txbxContent>
                        </wps:txbx>
                        <wps:bodyPr wrap="square" rtlCol="0">
                          <a:spAutoFit/>
                        </wps:bodyPr>
                      </wps:wsp>
                      <wps:wsp>
                        <wps:cNvPr id="87" name="CuadroTexto 346"/>
                        <wps:cNvSpPr txBox="1"/>
                        <wps:spPr>
                          <a:xfrm>
                            <a:off x="5053358" y="747672"/>
                            <a:ext cx="1590040" cy="312420"/>
                          </a:xfrm>
                          <a:prstGeom prst="rect">
                            <a:avLst/>
                          </a:prstGeom>
                          <a:noFill/>
                        </wps:spPr>
                        <wps:txbx>
                          <w:txbxContent>
                            <w:p w14:paraId="12D5D34B" w14:textId="77777777" w:rsidR="005029D0" w:rsidRDefault="005029D0" w:rsidP="006A0C4B">
                              <w:r>
                                <w:rPr>
                                  <w:rFonts w:asciiTheme="minorHAnsi" w:hAnsi="Calibri" w:cstheme="minorBidi"/>
                                  <w:color w:val="000000" w:themeColor="text1"/>
                                  <w:kern w:val="24"/>
                                  <w:sz w:val="20"/>
                                  <w:szCs w:val="20"/>
                                </w:rPr>
                                <w:t>Oleanolic acid (OLEA)</w:t>
                              </w:r>
                            </w:p>
                          </w:txbxContent>
                        </wps:txbx>
                        <wps:bodyPr wrap="square" rtlCol="0">
                          <a:spAutoFit/>
                        </wps:bodyPr>
                      </wps:wsp>
                    </wpg:wgp>
                  </a:graphicData>
                </a:graphic>
              </wp:anchor>
            </w:drawing>
          </mc:Choice>
          <mc:Fallback>
            <w:pict>
              <v:group id="Grupo 104" o:spid="_x0000_s1087" style="position:absolute;left:0;text-align:left;margin-left:397.9pt;margin-top:39.6pt;width:125.2pt;height:52.15pt;z-index:251808768" coordorigin="50533,5030" coordsize="15900,6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">
                <v:shape id="CuadroTexto 343" o:spid="_x0000_s1088" type="#_x0000_t202" style="position:absolute;left:51031;top:5030;width:8992;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RJ8EA&#10;AADbAAAADwAAAGRycy9kb3ducmV2LnhtbESPQWvCQBSE74X+h+UVvNWNBUWiq0it4MGLGu+P7DMb&#10;mn0bsk8T/71bKHgcZuYbZrkefKPu1MU6sIHJOANFXAZbc2WgOO8+56CiIFtsApOBB0VYr97flpjb&#10;0POR7iepVIJwzNGAE2lzrWPpyGMch5Y4edfQeZQku0rbDvsE943+yrKZ9lhzWnDY0rej8vd08wZE&#10;7GbyKH583F+Gw7Z3WTnFwpjRx7BZgBIa5BX+b++tgfkU/r6kH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SfBAAAA2wAAAA8AAAAAAAAAAAAAAAAAmAIAAGRycy9kb3du&#10;cmV2LnhtbFBLBQYAAAAABAAEAPUAAACGAwAAAAA=&#10;" filled="f" stroked="f">
                  <v:textbox style="mso-fit-shape-to-text:t">
                    <w:txbxContent>
                      <w:p w14:paraId="76675AD1" w14:textId="77777777" w:rsidR="005029D0" w:rsidRDefault="005029D0" w:rsidP="006A0C4B">
                        <w:r>
                          <w:rPr>
                            <w:rFonts w:asciiTheme="minorHAnsi" w:hAnsi="Calibri" w:cstheme="minorBidi"/>
                            <w:b/>
                            <w:bCs/>
                            <w:color w:val="000000" w:themeColor="text1"/>
                            <w:kern w:val="24"/>
                            <w:sz w:val="22"/>
                            <w:szCs w:val="22"/>
                            <w:u w:val="single"/>
                          </w:rPr>
                          <w:t>Triterpenes</w:t>
                        </w:r>
                      </w:p>
                    </w:txbxContent>
                  </v:textbox>
                </v:shape>
                <v:shape id="CuadroTexto 344" o:spid="_x0000_s1089" type="#_x0000_t202" style="position:absolute;left:50533;top:9020;width:13284;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UMEA&#10;AADbAAAADwAAAGRycy9kb3ducmV2LnhtbESPQWvCQBSE74L/YXlCb7pRUCS6ilQFD73Uxvsj+8yG&#10;Zt+G7NPEf98tFHocZuYbZrsffKOe1MU6sIH5LANFXAZbc2Wg+DpP16CiIFtsApOBF0XY78ajLeY2&#10;9PxJz6tUKkE45mjAibS51rF05DHOQkucvHvoPEqSXaVth32C+0YvsmylPdacFhy29O6o/L4+vAER&#10;e5i/ipOPl9vwcexdVi6xMOZtMhw2oIQG+Q//tS/WwHoFv1/SD9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z1DBAAAA2wAAAA8AAAAAAAAAAAAAAAAAmAIAAGRycy9kb3du&#10;cmV2LnhtbFBLBQYAAAAABAAEAPUAAACGAwAAAAA=&#10;" filled="f" stroked="f">
                  <v:textbox style="mso-fit-shape-to-text:t">
                    <w:txbxContent>
                      <w:p w14:paraId="7A39C8EF" w14:textId="77777777" w:rsidR="005029D0" w:rsidRDefault="005029D0" w:rsidP="006A0C4B">
                        <w:r>
                          <w:rPr>
                            <w:rFonts w:asciiTheme="minorHAnsi" w:hAnsi="Calibri" w:cstheme="minorBidi"/>
                            <w:color w:val="000000" w:themeColor="text1"/>
                            <w:kern w:val="24"/>
                            <w:sz w:val="20"/>
                            <w:szCs w:val="20"/>
                          </w:rPr>
                          <w:t>Maslinic acid (MAS)</w:t>
                        </w:r>
                      </w:p>
                    </w:txbxContent>
                  </v:textbox>
                </v:shape>
                <v:shape id="CuadroTexto 346" o:spid="_x0000_s1090" type="#_x0000_t202" style="position:absolute;left:50533;top:7477;width:15900;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qy8IA&#10;AADbAAAADwAAAGRycy9kb3ducmV2LnhtbESPT2vCQBTE74V+h+UVeqsbhVaJriL+AQ+9qPH+yL5m&#10;Q7NvQ/Zp4rd3hUKPw8z8hlmsBt+oG3WxDmxgPMpAEZfB1lwZKM77jxmoKMgWm8Bk4E4RVsvXlwXm&#10;NvR8pNtJKpUgHHM04ETaXOtYOvIYR6ElTt5P6DxKkl2lbYd9gvtGT7LsS3usOS04bGnjqPw9Xb0B&#10;Ebse34udj4fL8L3tXVZ+YmHM+9uwnoM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GrLwgAAANsAAAAPAAAAAAAAAAAAAAAAAJgCAABkcnMvZG93&#10;bnJldi54bWxQSwUGAAAAAAQABAD1AAAAhwMAAAAA&#10;" filled="f" stroked="f">
                  <v:textbox style="mso-fit-shape-to-text:t">
                    <w:txbxContent>
                      <w:p w14:paraId="12D5D34B" w14:textId="77777777" w:rsidR="005029D0" w:rsidRDefault="005029D0" w:rsidP="006A0C4B">
                        <w:r>
                          <w:rPr>
                            <w:rFonts w:asciiTheme="minorHAnsi" w:hAnsi="Calibri" w:cstheme="minorBidi"/>
                            <w:color w:val="000000" w:themeColor="text1"/>
                            <w:kern w:val="24"/>
                            <w:sz w:val="20"/>
                            <w:szCs w:val="20"/>
                          </w:rPr>
                          <w:t>Oleanolic acid (OLEA)</w:t>
                        </w:r>
                      </w:p>
                    </w:txbxContent>
                  </v:textbox>
                </v:shape>
              </v:group>
            </w:pict>
          </mc:Fallback>
        </mc:AlternateContent>
      </w:r>
      <w:r w:rsidRPr="00B7408D">
        <w:rPr>
          <w:rFonts w:ascii="Book Antiqua" w:hAnsi="Book Antiqua"/>
          <w:b/>
          <w:noProof/>
          <w:lang w:val="en-US" w:bidi="ar-SA"/>
        </w:rPr>
        <mc:AlternateContent>
          <mc:Choice Requires="wpg">
            <w:drawing>
              <wp:anchor distT="0" distB="0" distL="114300" distR="114300" simplePos="0" relativeHeight="251809792" behindDoc="0" locked="0" layoutInCell="1" allowOverlap="1" wp14:anchorId="53C2DE8A" wp14:editId="75E03D41">
                <wp:simplePos x="0" y="0"/>
                <wp:positionH relativeFrom="column">
                  <wp:posOffset>3872230</wp:posOffset>
                </wp:positionH>
                <wp:positionV relativeFrom="paragraph">
                  <wp:posOffset>502920</wp:posOffset>
                </wp:positionV>
                <wp:extent cx="1602873" cy="711302"/>
                <wp:effectExtent l="0" t="0" r="0" b="0"/>
                <wp:wrapNone/>
                <wp:docPr id="91" name="Grupo 103"/>
                <wp:cNvGraphicFramePr/>
                <a:graphic xmlns:a="http://schemas.openxmlformats.org/drawingml/2006/main">
                  <a:graphicData uri="http://schemas.microsoft.com/office/word/2010/wordprocessingGroup">
                    <wpg:wgp>
                      <wpg:cNvGrpSpPr/>
                      <wpg:grpSpPr>
                        <a:xfrm>
                          <a:off x="0" y="0"/>
                          <a:ext cx="1602873" cy="711302"/>
                          <a:chOff x="3872795" y="503045"/>
                          <a:chExt cx="1602873" cy="711302"/>
                        </a:xfrm>
                      </wpg:grpSpPr>
                      <wps:wsp>
                        <wps:cNvPr id="92" name="CuadroTexto 348"/>
                        <wps:cNvSpPr txBox="1"/>
                        <wps:spPr>
                          <a:xfrm>
                            <a:off x="3895927" y="503045"/>
                            <a:ext cx="899795" cy="334645"/>
                          </a:xfrm>
                          <a:prstGeom prst="rect">
                            <a:avLst/>
                          </a:prstGeom>
                          <a:noFill/>
                        </wps:spPr>
                        <wps:txbx>
                          <w:txbxContent>
                            <w:p w14:paraId="151E7AA1" w14:textId="77777777" w:rsidR="005029D0" w:rsidRDefault="005029D0" w:rsidP="006A0C4B">
                              <w:r>
                                <w:rPr>
                                  <w:rFonts w:asciiTheme="minorHAnsi" w:hAnsi="Calibri" w:cstheme="minorBidi"/>
                                  <w:b/>
                                  <w:bCs/>
                                  <w:color w:val="000000" w:themeColor="text1"/>
                                  <w:kern w:val="24"/>
                                  <w:sz w:val="22"/>
                                  <w:szCs w:val="22"/>
                                  <w:u w:val="single"/>
                                </w:rPr>
                                <w:t>Pigments</w:t>
                              </w:r>
                            </w:p>
                          </w:txbxContent>
                        </wps:txbx>
                        <wps:bodyPr wrap="square" rtlCol="0">
                          <a:spAutoFit/>
                        </wps:bodyPr>
                      </wps:wsp>
                      <wps:wsp>
                        <wps:cNvPr id="93" name="CuadroTexto 349"/>
                        <wps:cNvSpPr txBox="1"/>
                        <wps:spPr>
                          <a:xfrm>
                            <a:off x="3872795" y="901927"/>
                            <a:ext cx="1329055" cy="312420"/>
                          </a:xfrm>
                          <a:prstGeom prst="rect">
                            <a:avLst/>
                          </a:prstGeom>
                          <a:noFill/>
                        </wps:spPr>
                        <wps:txbx>
                          <w:txbxContent>
                            <w:p w14:paraId="0D95FBDC" w14:textId="77777777" w:rsidR="005029D0" w:rsidRDefault="005029D0" w:rsidP="006A0C4B">
                              <w:r>
                                <w:rPr>
                                  <w:rFonts w:asciiTheme="minorHAnsi" w:hAnsi="Calibri" w:cstheme="minorBidi"/>
                                  <w:color w:val="000000" w:themeColor="text1"/>
                                  <w:kern w:val="24"/>
                                  <w:sz w:val="20"/>
                                  <w:szCs w:val="20"/>
                                </w:rPr>
                                <w:t>Pheophytins (PHE)</w:t>
                              </w:r>
                            </w:p>
                          </w:txbxContent>
                        </wps:txbx>
                        <wps:bodyPr wrap="square" rtlCol="0">
                          <a:spAutoFit/>
                        </wps:bodyPr>
                      </wps:wsp>
                      <wps:wsp>
                        <wps:cNvPr id="98" name="CuadroTexto 350"/>
                        <wps:cNvSpPr txBox="1"/>
                        <wps:spPr>
                          <a:xfrm>
                            <a:off x="3884993" y="722903"/>
                            <a:ext cx="1590675" cy="312420"/>
                          </a:xfrm>
                          <a:prstGeom prst="rect">
                            <a:avLst/>
                          </a:prstGeom>
                          <a:noFill/>
                        </wps:spPr>
                        <wps:txbx>
                          <w:txbxContent>
                            <w:p w14:paraId="6A1E0422" w14:textId="77777777" w:rsidR="005029D0" w:rsidRDefault="005029D0" w:rsidP="006A0C4B">
                              <w:r>
                                <w:rPr>
                                  <w:rFonts w:asciiTheme="minorHAnsi" w:hAnsi="Calibri" w:cstheme="minorBidi"/>
                                  <w:color w:val="000000" w:themeColor="text1"/>
                                  <w:kern w:val="24"/>
                                  <w:sz w:val="20"/>
                                  <w:szCs w:val="20"/>
                                </w:rPr>
                                <w:t>Lutein (LUTE)</w:t>
                              </w:r>
                            </w:p>
                          </w:txbxContent>
                        </wps:txbx>
                        <wps:bodyPr wrap="square" rtlCol="0">
                          <a:spAutoFit/>
                        </wps:bodyPr>
                      </wps:wsp>
                    </wpg:wgp>
                  </a:graphicData>
                </a:graphic>
              </wp:anchor>
            </w:drawing>
          </mc:Choice>
          <mc:Fallback>
            <w:pict>
              <v:group id="Grupo 103" o:spid="_x0000_s1091" style="position:absolute;left:0;text-align:left;margin-left:304.9pt;margin-top:39.6pt;width:126.2pt;height:52.15pt;z-index:251809792" coordorigin="38727,5030" coordsize="16028,6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">
                <v:shape id="CuadroTexto 348" o:spid="_x0000_s1092" type="#_x0000_t202" style="position:absolute;left:38959;top:5030;width:8998;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fjsIA&#10;AADbAAAADwAAAGRycy9kb3ducmV2LnhtbESPT2vCQBTE7wW/w/IKvdWNQoumriL+AQ+9qPH+yL5m&#10;Q7NvQ/Zp4rd3hUKPw8z8hlmsBt+oG3WxDmxgMs5AEZfB1lwZKM779xmoKMgWm8Bk4E4RVsvRywJz&#10;G3o+0u0klUoQjjkacCJtrnUsHXmM49ASJ+8ndB4lya7StsM+wX2jp1n2qT3WnBYctrRxVP6ert6A&#10;iF1P7sXOx8Nl+N72Lis/sDDm7XVYf4ESGuQ//Nc+WAP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l+OwgAAANsAAAAPAAAAAAAAAAAAAAAAAJgCAABkcnMvZG93&#10;bnJldi54bWxQSwUGAAAAAAQABAD1AAAAhwMAAAAA&#10;" filled="f" stroked="f">
                  <v:textbox style="mso-fit-shape-to-text:t">
                    <w:txbxContent>
                      <w:p w14:paraId="151E7AA1" w14:textId="77777777" w:rsidR="005029D0" w:rsidRDefault="005029D0" w:rsidP="006A0C4B">
                        <w:r>
                          <w:rPr>
                            <w:rFonts w:asciiTheme="minorHAnsi" w:hAnsi="Calibri" w:cstheme="minorBidi"/>
                            <w:b/>
                            <w:bCs/>
                            <w:color w:val="000000" w:themeColor="text1"/>
                            <w:kern w:val="24"/>
                            <w:sz w:val="22"/>
                            <w:szCs w:val="22"/>
                            <w:u w:val="single"/>
                          </w:rPr>
                          <w:t>Pigments</w:t>
                        </w:r>
                      </w:p>
                    </w:txbxContent>
                  </v:textbox>
                </v:shape>
                <v:shape id="CuadroTexto 349" o:spid="_x0000_s1093" type="#_x0000_t202" style="position:absolute;left:38727;top:9020;width:13291;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6FcIA&#10;AADbAAAADwAAAGRycy9kb3ducmV2LnhtbESPQWvCQBSE7wX/w/KE3upGp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voVwgAAANsAAAAPAAAAAAAAAAAAAAAAAJgCAABkcnMvZG93&#10;bnJldi54bWxQSwUGAAAAAAQABAD1AAAAhwMAAAAA&#10;" filled="f" stroked="f">
                  <v:textbox style="mso-fit-shape-to-text:t">
                    <w:txbxContent>
                      <w:p w14:paraId="0D95FBDC" w14:textId="77777777" w:rsidR="005029D0" w:rsidRDefault="005029D0" w:rsidP="006A0C4B">
                        <w:r>
                          <w:rPr>
                            <w:rFonts w:asciiTheme="minorHAnsi" w:hAnsi="Calibri" w:cstheme="minorBidi"/>
                            <w:color w:val="000000" w:themeColor="text1"/>
                            <w:kern w:val="24"/>
                            <w:sz w:val="20"/>
                            <w:szCs w:val="20"/>
                          </w:rPr>
                          <w:t>Pheophytins (PHE)</w:t>
                        </w:r>
                      </w:p>
                    </w:txbxContent>
                  </v:textbox>
                </v:shape>
                <v:shape id="CuadroTexto 350" o:spid="_x0000_s1094" type="#_x0000_t202" style="position:absolute;left:38849;top:7229;width:15907;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oZL4A&#10;AADbAAAADwAAAGRycy9kb3ducmV2LnhtbERPTWvCQBC9F/wPywi91Y0FS42uIlbBQy9qvA/ZMRvM&#10;zobsaOK/7x4KHh/ve7kefKMe1MU6sIHpJANFXAZbc2WgOO8/vkFFQbbYBCYDT4qwXo3elpjb0POR&#10;HiepVArhmKMBJ9LmWsfSkcc4CS1x4q6h8ygJdpW2HfYp3Df6M8u+tMeaU4PDlraOytvp7g2I2M30&#10;Wex8PFyG35/eZeUMC2Pex8NmAUpokJf4332wBu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maGS+AAAA2wAAAA8AAAAAAAAAAAAAAAAAmAIAAGRycy9kb3ducmV2&#10;LnhtbFBLBQYAAAAABAAEAPUAAACDAwAAAAA=&#10;" filled="f" stroked="f">
                  <v:textbox style="mso-fit-shape-to-text:t">
                    <w:txbxContent>
                      <w:p w14:paraId="6A1E0422" w14:textId="77777777" w:rsidR="005029D0" w:rsidRDefault="005029D0" w:rsidP="006A0C4B">
                        <w:r>
                          <w:rPr>
                            <w:rFonts w:asciiTheme="minorHAnsi" w:hAnsi="Calibri" w:cstheme="minorBidi"/>
                            <w:color w:val="000000" w:themeColor="text1"/>
                            <w:kern w:val="24"/>
                            <w:sz w:val="20"/>
                            <w:szCs w:val="20"/>
                          </w:rPr>
                          <w:t>Lutein (LUTE)</w:t>
                        </w:r>
                      </w:p>
                    </w:txbxContent>
                  </v:textbox>
                </v:shape>
              </v:group>
            </w:pict>
          </mc:Fallback>
        </mc:AlternateContent>
      </w:r>
      <w:r w:rsidRPr="00B7408D">
        <w:rPr>
          <w:rFonts w:ascii="Book Antiqua" w:hAnsi="Book Antiqua"/>
          <w:b/>
          <w:noProof/>
          <w:lang w:val="en-US" w:bidi="ar-SA"/>
        </w:rPr>
        <mc:AlternateContent>
          <mc:Choice Requires="wpg">
            <w:drawing>
              <wp:anchor distT="0" distB="0" distL="114300" distR="114300" simplePos="0" relativeHeight="251810816" behindDoc="0" locked="0" layoutInCell="1" allowOverlap="1" wp14:anchorId="369AE0BF" wp14:editId="6EACDC38">
                <wp:simplePos x="0" y="0"/>
                <wp:positionH relativeFrom="column">
                  <wp:posOffset>2479040</wp:posOffset>
                </wp:positionH>
                <wp:positionV relativeFrom="paragraph">
                  <wp:posOffset>502920</wp:posOffset>
                </wp:positionV>
                <wp:extent cx="1815465" cy="1965982"/>
                <wp:effectExtent l="0" t="0" r="0" b="0"/>
                <wp:wrapNone/>
                <wp:docPr id="104" name="Grupo 102"/>
                <wp:cNvGraphicFramePr/>
                <a:graphic xmlns:a="http://schemas.openxmlformats.org/drawingml/2006/main">
                  <a:graphicData uri="http://schemas.microsoft.com/office/word/2010/wordprocessingGroup">
                    <wpg:wgp>
                      <wpg:cNvGrpSpPr/>
                      <wpg:grpSpPr>
                        <a:xfrm>
                          <a:off x="0" y="0"/>
                          <a:ext cx="1815465" cy="1965982"/>
                          <a:chOff x="2479080" y="503045"/>
                          <a:chExt cx="1815465" cy="1965982"/>
                        </a:xfrm>
                      </wpg:grpSpPr>
                      <wps:wsp>
                        <wps:cNvPr id="106" name="CuadroTexto 352"/>
                        <wps:cNvSpPr txBox="1"/>
                        <wps:spPr>
                          <a:xfrm>
                            <a:off x="2586891" y="503045"/>
                            <a:ext cx="899160" cy="334645"/>
                          </a:xfrm>
                          <a:prstGeom prst="rect">
                            <a:avLst/>
                          </a:prstGeom>
                          <a:noFill/>
                        </wps:spPr>
                        <wps:txbx>
                          <w:txbxContent>
                            <w:p w14:paraId="13857AE5" w14:textId="77777777" w:rsidR="005029D0" w:rsidRDefault="005029D0" w:rsidP="006A0C4B">
                              <w:r>
                                <w:rPr>
                                  <w:rFonts w:asciiTheme="minorHAnsi" w:hAnsi="Calibri" w:cstheme="minorBidi"/>
                                  <w:b/>
                                  <w:bCs/>
                                  <w:color w:val="000000" w:themeColor="text1"/>
                                  <w:kern w:val="24"/>
                                  <w:sz w:val="22"/>
                                  <w:szCs w:val="22"/>
                                  <w:u w:val="single"/>
                                </w:rPr>
                                <w:t>Phenols</w:t>
                              </w:r>
                            </w:p>
                          </w:txbxContent>
                        </wps:txbx>
                        <wps:bodyPr wrap="square" rtlCol="0">
                          <a:spAutoFit/>
                        </wps:bodyPr>
                      </wps:wsp>
                      <wps:wsp>
                        <wps:cNvPr id="107" name="CuadroTexto 353"/>
                        <wps:cNvSpPr txBox="1"/>
                        <wps:spPr>
                          <a:xfrm>
                            <a:off x="2479080" y="902200"/>
                            <a:ext cx="1438910" cy="312420"/>
                          </a:xfrm>
                          <a:prstGeom prst="rect">
                            <a:avLst/>
                          </a:prstGeom>
                          <a:noFill/>
                        </wps:spPr>
                        <wps:txbx>
                          <w:txbxContent>
                            <w:p w14:paraId="5C1EBF5E" w14:textId="77777777" w:rsidR="005029D0" w:rsidRDefault="005029D0" w:rsidP="006A0C4B">
                              <w:r>
                                <w:rPr>
                                  <w:rFonts w:asciiTheme="minorHAnsi" w:hAnsi="Calibri" w:cstheme="minorBidi"/>
                                  <w:color w:val="000000" w:themeColor="text1"/>
                                  <w:kern w:val="24"/>
                                  <w:sz w:val="20"/>
                                  <w:szCs w:val="20"/>
                                </w:rPr>
                                <w:t>Hydroxytyrosol (HYD)</w:t>
                              </w:r>
                            </w:p>
                          </w:txbxContent>
                        </wps:txbx>
                        <wps:bodyPr wrap="square" rtlCol="0">
                          <a:spAutoFit/>
                        </wps:bodyPr>
                      </wps:wsp>
                      <wps:wsp>
                        <wps:cNvPr id="108" name="CuadroTexto 354"/>
                        <wps:cNvSpPr txBox="1"/>
                        <wps:spPr>
                          <a:xfrm>
                            <a:off x="2479080" y="723001"/>
                            <a:ext cx="1590040" cy="312420"/>
                          </a:xfrm>
                          <a:prstGeom prst="rect">
                            <a:avLst/>
                          </a:prstGeom>
                          <a:noFill/>
                        </wps:spPr>
                        <wps:txbx>
                          <w:txbxContent>
                            <w:p w14:paraId="7D9965B1" w14:textId="77777777" w:rsidR="005029D0" w:rsidRDefault="005029D0" w:rsidP="006A0C4B">
                              <w:r>
                                <w:rPr>
                                  <w:rFonts w:asciiTheme="minorHAnsi" w:hAnsi="Calibri" w:cstheme="minorBidi"/>
                                  <w:color w:val="000000" w:themeColor="text1"/>
                                  <w:kern w:val="24"/>
                                  <w:sz w:val="20"/>
                                  <w:szCs w:val="20"/>
                                </w:rPr>
                                <w:t>Oleuropein (OLEU)</w:t>
                              </w:r>
                            </w:p>
                          </w:txbxContent>
                        </wps:txbx>
                        <wps:bodyPr wrap="square" rtlCol="0">
                          <a:spAutoFit/>
                        </wps:bodyPr>
                      </wps:wsp>
                      <wps:wsp>
                        <wps:cNvPr id="109" name="CuadroTexto 356"/>
                        <wps:cNvSpPr txBox="1"/>
                        <wps:spPr>
                          <a:xfrm>
                            <a:off x="2479080" y="1081401"/>
                            <a:ext cx="1438910" cy="312420"/>
                          </a:xfrm>
                          <a:prstGeom prst="rect">
                            <a:avLst/>
                          </a:prstGeom>
                          <a:noFill/>
                        </wps:spPr>
                        <wps:txbx>
                          <w:txbxContent>
                            <w:p w14:paraId="0CDFF2F1" w14:textId="77777777" w:rsidR="005029D0" w:rsidRDefault="005029D0" w:rsidP="006A0C4B">
                              <w:r>
                                <w:rPr>
                                  <w:rFonts w:asciiTheme="minorHAnsi" w:hAnsi="Calibri" w:cstheme="minorBidi"/>
                                  <w:color w:val="000000" w:themeColor="text1"/>
                                  <w:kern w:val="24"/>
                                  <w:sz w:val="20"/>
                                  <w:szCs w:val="20"/>
                                </w:rPr>
                                <w:t>Luteolin (LUT)</w:t>
                              </w:r>
                            </w:p>
                          </w:txbxContent>
                        </wps:txbx>
                        <wps:bodyPr wrap="square" rtlCol="0">
                          <a:spAutoFit/>
                        </wps:bodyPr>
                      </wps:wsp>
                      <wps:wsp>
                        <wps:cNvPr id="110" name="CuadroTexto 357"/>
                        <wps:cNvSpPr txBox="1"/>
                        <wps:spPr>
                          <a:xfrm>
                            <a:off x="2479080" y="1260602"/>
                            <a:ext cx="1438910" cy="312420"/>
                          </a:xfrm>
                          <a:prstGeom prst="rect">
                            <a:avLst/>
                          </a:prstGeom>
                          <a:noFill/>
                        </wps:spPr>
                        <wps:txbx>
                          <w:txbxContent>
                            <w:p w14:paraId="3D8D9357" w14:textId="77777777" w:rsidR="005029D0" w:rsidRDefault="005029D0" w:rsidP="006A0C4B">
                              <w:r>
                                <w:rPr>
                                  <w:rFonts w:asciiTheme="minorHAnsi" w:hAnsi="Calibri" w:cstheme="minorBidi"/>
                                  <w:color w:val="000000" w:themeColor="text1"/>
                                  <w:kern w:val="24"/>
                                  <w:sz w:val="20"/>
                                  <w:szCs w:val="20"/>
                                </w:rPr>
                                <w:t>Apigenin (APG)</w:t>
                              </w:r>
                            </w:p>
                          </w:txbxContent>
                        </wps:txbx>
                        <wps:bodyPr wrap="square" rtlCol="0">
                          <a:spAutoFit/>
                        </wps:bodyPr>
                      </wps:wsp>
                      <wps:wsp>
                        <wps:cNvPr id="111" name="CuadroTexto 358"/>
                        <wps:cNvSpPr txBox="1"/>
                        <wps:spPr>
                          <a:xfrm>
                            <a:off x="2479080" y="1439803"/>
                            <a:ext cx="1438910" cy="312420"/>
                          </a:xfrm>
                          <a:prstGeom prst="rect">
                            <a:avLst/>
                          </a:prstGeom>
                          <a:noFill/>
                        </wps:spPr>
                        <wps:txbx>
                          <w:txbxContent>
                            <w:p w14:paraId="53C56384" w14:textId="77777777" w:rsidR="005029D0" w:rsidRDefault="005029D0" w:rsidP="006A0C4B">
                              <w:r>
                                <w:rPr>
                                  <w:rFonts w:asciiTheme="minorHAnsi" w:hAnsi="Calibri" w:cstheme="minorBidi"/>
                                  <w:color w:val="000000" w:themeColor="text1"/>
                                  <w:kern w:val="24"/>
                                  <w:sz w:val="20"/>
                                  <w:szCs w:val="20"/>
                                </w:rPr>
                                <w:t>Vanillic acid (VAN)</w:t>
                              </w:r>
                            </w:p>
                          </w:txbxContent>
                        </wps:txbx>
                        <wps:bodyPr wrap="square" rtlCol="0">
                          <a:spAutoFit/>
                        </wps:bodyPr>
                      </wps:wsp>
                      <wps:wsp>
                        <wps:cNvPr id="112" name="CuadroTexto 359"/>
                        <wps:cNvSpPr txBox="1"/>
                        <wps:spPr>
                          <a:xfrm>
                            <a:off x="2479080" y="1619004"/>
                            <a:ext cx="1438910" cy="312420"/>
                          </a:xfrm>
                          <a:prstGeom prst="rect">
                            <a:avLst/>
                          </a:prstGeom>
                          <a:noFill/>
                        </wps:spPr>
                        <wps:txbx>
                          <w:txbxContent>
                            <w:p w14:paraId="2B147463" w14:textId="77777777" w:rsidR="005029D0" w:rsidRDefault="005029D0" w:rsidP="006A0C4B">
                              <w:bookmarkStart w:id="16" w:name="OLE_LINK2"/>
                              <w:bookmarkStart w:id="17" w:name="OLE_LINK3"/>
                              <w:r>
                                <w:rPr>
                                  <w:rFonts w:asciiTheme="minorHAnsi" w:hAnsi="Calibri" w:cstheme="minorBidi"/>
                                  <w:color w:val="000000" w:themeColor="text1"/>
                                  <w:kern w:val="24"/>
                                  <w:sz w:val="20"/>
                                  <w:szCs w:val="20"/>
                                </w:rPr>
                                <w:t>Syringic acid (SYR)</w:t>
                              </w:r>
                              <w:bookmarkEnd w:id="16"/>
                              <w:bookmarkEnd w:id="17"/>
                            </w:p>
                          </w:txbxContent>
                        </wps:txbx>
                        <wps:bodyPr wrap="square" rtlCol="0">
                          <a:spAutoFit/>
                        </wps:bodyPr>
                      </wps:wsp>
                      <wps:wsp>
                        <wps:cNvPr id="113" name="CuadroTexto 360"/>
                        <wps:cNvSpPr txBox="1"/>
                        <wps:spPr>
                          <a:xfrm>
                            <a:off x="2479080" y="1798205"/>
                            <a:ext cx="1815465" cy="534035"/>
                          </a:xfrm>
                          <a:prstGeom prst="rect">
                            <a:avLst/>
                          </a:prstGeom>
                          <a:noFill/>
                        </wps:spPr>
                        <wps:txbx>
                          <w:txbxContent>
                            <w:p w14:paraId="03E55131" w14:textId="77777777" w:rsidR="005029D0" w:rsidRDefault="005029D0" w:rsidP="006A0C4B">
                              <w:r>
                                <w:rPr>
                                  <w:rFonts w:asciiTheme="minorHAnsi" w:hAnsi="Calibri" w:cstheme="minorBidi"/>
                                  <w:color w:val="000000" w:themeColor="text1"/>
                                  <w:kern w:val="24"/>
                                  <w:sz w:val="20"/>
                                  <w:szCs w:val="20"/>
                                </w:rPr>
                                <w:t>4-Hydroxybenzoic acid (4HY)</w:t>
                              </w:r>
                            </w:p>
                          </w:txbxContent>
                        </wps:txbx>
                        <wps:bodyPr wrap="square" rtlCol="0">
                          <a:spAutoFit/>
                        </wps:bodyPr>
                      </wps:wsp>
                      <wps:wsp>
                        <wps:cNvPr id="114" name="CuadroTexto 361"/>
                        <wps:cNvSpPr txBox="1"/>
                        <wps:spPr>
                          <a:xfrm>
                            <a:off x="2479080" y="1977406"/>
                            <a:ext cx="1511935" cy="312420"/>
                          </a:xfrm>
                          <a:prstGeom prst="rect">
                            <a:avLst/>
                          </a:prstGeom>
                          <a:noFill/>
                        </wps:spPr>
                        <wps:txbx>
                          <w:txbxContent>
                            <w:p w14:paraId="35459431" w14:textId="77777777" w:rsidR="005029D0" w:rsidRDefault="005029D0" w:rsidP="006A0C4B">
                              <w:r>
                                <w:rPr>
                                  <w:rFonts w:asciiTheme="minorHAnsi" w:hAnsi="Calibri" w:cstheme="minorBidi"/>
                                  <w:i/>
                                  <w:iCs/>
                                  <w:color w:val="000000" w:themeColor="text1"/>
                                  <w:kern w:val="24"/>
                                  <w:sz w:val="20"/>
                                  <w:szCs w:val="20"/>
                                </w:rPr>
                                <w:t>p</w:t>
                              </w:r>
                              <w:r>
                                <w:rPr>
                                  <w:rFonts w:asciiTheme="minorHAnsi" w:hAnsi="Calibri" w:cstheme="minorBidi"/>
                                  <w:color w:val="000000" w:themeColor="text1"/>
                                  <w:kern w:val="24"/>
                                  <w:sz w:val="20"/>
                                  <w:szCs w:val="20"/>
                                </w:rPr>
                                <w:t>-Coumaric acid (pCO)</w:t>
                              </w:r>
                            </w:p>
                          </w:txbxContent>
                        </wps:txbx>
                        <wps:bodyPr wrap="square" rtlCol="0">
                          <a:spAutoFit/>
                        </wps:bodyPr>
                      </wps:wsp>
                      <wps:wsp>
                        <wps:cNvPr id="115" name="CuadroTexto 362"/>
                        <wps:cNvSpPr txBox="1"/>
                        <wps:spPr>
                          <a:xfrm>
                            <a:off x="2479080" y="2156607"/>
                            <a:ext cx="1511935" cy="312420"/>
                          </a:xfrm>
                          <a:prstGeom prst="rect">
                            <a:avLst/>
                          </a:prstGeom>
                          <a:noFill/>
                        </wps:spPr>
                        <wps:txbx>
                          <w:txbxContent>
                            <w:p w14:paraId="0C33C272" w14:textId="77777777" w:rsidR="005029D0" w:rsidRDefault="005029D0" w:rsidP="006A0C4B">
                              <w:r>
                                <w:rPr>
                                  <w:rFonts w:asciiTheme="minorHAnsi" w:hAnsi="Calibri" w:cstheme="minorBidi"/>
                                  <w:color w:val="000000" w:themeColor="text1"/>
                                  <w:kern w:val="24"/>
                                  <w:sz w:val="20"/>
                                  <w:szCs w:val="20"/>
                                </w:rPr>
                                <w:t>Caffeic acid (CAF)</w:t>
                              </w:r>
                            </w:p>
                          </w:txbxContent>
                        </wps:txbx>
                        <wps:bodyPr wrap="square" rtlCol="0">
                          <a:spAutoFit/>
                        </wps:bodyPr>
                      </wps:wsp>
                    </wpg:wgp>
                  </a:graphicData>
                </a:graphic>
              </wp:anchor>
            </w:drawing>
          </mc:Choice>
          <mc:Fallback>
            <w:pict>
              <v:group id="Grupo 102" o:spid="_x0000_s1095" style="position:absolute;left:0;text-align:left;margin-left:195.2pt;margin-top:39.6pt;width:142.95pt;height:150.95pt;z-index:251810816" coordorigin="24790,5030" coordsize="18154,19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">
                <v:shape id="CuadroTexto 352" o:spid="_x0000_s1096" type="#_x0000_t202" style="position:absolute;left:25868;top:5030;width:8992;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14:paraId="13857AE5" w14:textId="77777777" w:rsidR="005029D0" w:rsidRDefault="005029D0" w:rsidP="006A0C4B">
                        <w:r>
                          <w:rPr>
                            <w:rFonts w:asciiTheme="minorHAnsi" w:hAnsi="Calibri" w:cstheme="minorBidi"/>
                            <w:b/>
                            <w:bCs/>
                            <w:color w:val="000000" w:themeColor="text1"/>
                            <w:kern w:val="24"/>
                            <w:sz w:val="22"/>
                            <w:szCs w:val="22"/>
                            <w:u w:val="single"/>
                          </w:rPr>
                          <w:t>Phenols</w:t>
                        </w:r>
                      </w:p>
                    </w:txbxContent>
                  </v:textbox>
                </v:shape>
                <v:shape id="CuadroTexto 353" o:spid="_x0000_s1097" type="#_x0000_t202" style="position:absolute;left:24790;top:9022;width:14389;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qjcAA&#10;AADcAAAADwAAAGRycy9kb3ducmV2LnhtbERPTWsCMRC9F/ofwhS81UTBtmyNIq2Ch15qt/dhM24W&#10;N5NlM7rrv28Kgrd5vM9ZrsfQqgv1qYlsYTY1oIir6BquLZQ/u+c3UEmQHbaRycKVEqxXjw9LLFwc&#10;+JsuB6lVDuFUoAUv0hVap8pTwDSNHXHmjrEPKBn2tXY9Djk8tHpuzIsO2HBu8NjRh6fqdDgHCyJu&#10;M7uW25D2v+PX5+BNtcDS2snTuHkHJTTKXXxz712eb17h/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0qjcAAAADcAAAADwAAAAAAAAAAAAAAAACYAgAAZHJzL2Rvd25y&#10;ZXYueG1sUEsFBgAAAAAEAAQA9QAAAIUDAAAAAA==&#10;" filled="f" stroked="f">
                  <v:textbox style="mso-fit-shape-to-text:t">
                    <w:txbxContent>
                      <w:p w14:paraId="5C1EBF5E" w14:textId="77777777" w:rsidR="005029D0" w:rsidRDefault="005029D0" w:rsidP="006A0C4B">
                        <w:r>
                          <w:rPr>
                            <w:rFonts w:asciiTheme="minorHAnsi" w:hAnsi="Calibri" w:cstheme="minorBidi"/>
                            <w:color w:val="000000" w:themeColor="text1"/>
                            <w:kern w:val="24"/>
                            <w:sz w:val="20"/>
                            <w:szCs w:val="20"/>
                          </w:rPr>
                          <w:t>Hydroxytyrosol (HYD)</w:t>
                        </w:r>
                      </w:p>
                    </w:txbxContent>
                  </v:textbox>
                </v:shape>
                <v:shape id="CuadroTexto 354" o:spid="_x0000_s1098" type="#_x0000_t202" style="position:absolute;left:24790;top:7230;width:15901;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8IA&#10;AADcAAAADwAAAGRycy9kb3ducmV2LnhtbESPQU/DMAyF70j7D5GRdmPJkIZQWTZNDKQduDDK3WpM&#10;U9E4VWPW7t/jAxI3W+/5vc/b/Zx6c6GxdJk9rFcODHGTQ8eth/rj9e4RTBHkgH1m8nClAvvd4maL&#10;VcgTv9PlLK3REC4VeogiQ2VtaSIlLKs8EKv2lceEouvY2jDipOGpt/fOPdiEHWtDxIGeIzXf55/k&#10;QSQc1tf6JZXT5/x2nKJrNlh7v7ydD09ghGb5N/9dn4LiO6XV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r7/wgAAANwAAAAPAAAAAAAAAAAAAAAAAJgCAABkcnMvZG93&#10;bnJldi54bWxQSwUGAAAAAAQABAD1AAAAhwMAAAAA&#10;" filled="f" stroked="f">
                  <v:textbox style="mso-fit-shape-to-text:t">
                    <w:txbxContent>
                      <w:p w14:paraId="7D9965B1" w14:textId="77777777" w:rsidR="005029D0" w:rsidRDefault="005029D0" w:rsidP="006A0C4B">
                        <w:r>
                          <w:rPr>
                            <w:rFonts w:asciiTheme="minorHAnsi" w:hAnsi="Calibri" w:cstheme="minorBidi"/>
                            <w:color w:val="000000" w:themeColor="text1"/>
                            <w:kern w:val="24"/>
                            <w:sz w:val="20"/>
                            <w:szCs w:val="20"/>
                          </w:rPr>
                          <w:t>Oleuropein (OLEU)</w:t>
                        </w:r>
                      </w:p>
                    </w:txbxContent>
                  </v:textbox>
                </v:shape>
                <v:shape id="CuadroTexto 356" o:spid="_x0000_s1099" type="#_x0000_t202" style="position:absolute;left:24790;top:10814;width:14389;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ZMAA&#10;AADcAAAADwAAAGRycy9kb3ducmV2LnhtbERPTWsCMRC9F/ofwhS81UTB0m6NIq2Ch15qt/dhM24W&#10;N5NlM7rrv28Kgrd5vM9ZrsfQqgv1qYlsYTY1oIir6BquLZQ/u+dXUEmQHbaRycKVEqxXjw9LLFwc&#10;+JsuB6lVDuFUoAUv0hVap8pTwDSNHXHmjrEPKBn2tXY9Djk8tHpuzIsO2HBu8NjRh6fqdDgHCyJu&#10;M7uW25D2v+PX5+BNtcDS2snTuHkHJTTKXXxz712eb97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bZMAAAADcAAAADwAAAAAAAAAAAAAAAACYAgAAZHJzL2Rvd25y&#10;ZXYueG1sUEsFBgAAAAAEAAQA9QAAAIUDAAAAAA==&#10;" filled="f" stroked="f">
                  <v:textbox style="mso-fit-shape-to-text:t">
                    <w:txbxContent>
                      <w:p w14:paraId="0CDFF2F1" w14:textId="77777777" w:rsidR="005029D0" w:rsidRDefault="005029D0" w:rsidP="006A0C4B">
                        <w:r>
                          <w:rPr>
                            <w:rFonts w:asciiTheme="minorHAnsi" w:hAnsi="Calibri" w:cstheme="minorBidi"/>
                            <w:color w:val="000000" w:themeColor="text1"/>
                            <w:kern w:val="24"/>
                            <w:sz w:val="20"/>
                            <w:szCs w:val="20"/>
                          </w:rPr>
                          <w:t>Luteolin (LUT)</w:t>
                        </w:r>
                      </w:p>
                    </w:txbxContent>
                  </v:textbox>
                </v:shape>
                <v:shape id="CuadroTexto 357" o:spid="_x0000_s1100" type="#_x0000_t202" style="position:absolute;left:24790;top:12606;width:14389;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kJMIA&#10;AADcAAAADwAAAGRycy9kb3ducmV2LnhtbESPQWvDMAyF74P9B6NCb6uTQsfI6pbSrdDDLuuyu4i1&#10;OCyWQ6w16b+fDoPdJN7Te5+2+zn25kpj7hI7KFcFGOIm+Y5bB/XH6eEJTBZkj31icnCjDPvd/d0W&#10;K58mfqfrRVqjIZwrdBBEhsra3ASKmFdpIFbtK40RRdextX7EScNjb9dF8WgjdqwNAQc6Bmq+Lz/R&#10;gYg/lLf6Nebz5/z2MoWi2WDt3HIxH57BCM3yb/67PnvFLxVf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SQkwgAAANwAAAAPAAAAAAAAAAAAAAAAAJgCAABkcnMvZG93&#10;bnJldi54bWxQSwUGAAAAAAQABAD1AAAAhwMAAAAA&#10;" filled="f" stroked="f">
                  <v:textbox style="mso-fit-shape-to-text:t">
                    <w:txbxContent>
                      <w:p w14:paraId="3D8D9357" w14:textId="77777777" w:rsidR="005029D0" w:rsidRDefault="005029D0" w:rsidP="006A0C4B">
                        <w:r>
                          <w:rPr>
                            <w:rFonts w:asciiTheme="minorHAnsi" w:hAnsi="Calibri" w:cstheme="minorBidi"/>
                            <w:color w:val="000000" w:themeColor="text1"/>
                            <w:kern w:val="24"/>
                            <w:sz w:val="20"/>
                            <w:szCs w:val="20"/>
                          </w:rPr>
                          <w:t>Apigenin (APG)</w:t>
                        </w:r>
                      </w:p>
                    </w:txbxContent>
                  </v:textbox>
                </v:shape>
                <v:shape id="CuadroTexto 358" o:spid="_x0000_s1101" type="#_x0000_t202" style="position:absolute;left:24790;top:14398;width:14389;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Bv78A&#10;AADcAAAADwAAAGRycy9kb3ducmV2LnhtbERPTWvCQBC9F/wPywje6iYFRVJXkVrBQy/aeB+y02xo&#10;djZkRxP/vVsQepvH+5z1dvStulEfm8AG8nkGirgKtuHaQPl9eF2BioJssQ1MBu4UYbuZvKyxsGHg&#10;E93OUqsUwrFAA06kK7SOlSOPcR464sT9hN6jJNjX2vY4pHDf6rcsW2qPDacGhx19OKp+z1dvQMTu&#10;8nv56ePxMn7tB5dVCyyNmU3H3TsooVH+xU/30ab5eQ5/z6QL9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QYG/vwAAANwAAAAPAAAAAAAAAAAAAAAAAJgCAABkcnMvZG93bnJl&#10;di54bWxQSwUGAAAAAAQABAD1AAAAhAMAAAAA&#10;" filled="f" stroked="f">
                  <v:textbox style="mso-fit-shape-to-text:t">
                    <w:txbxContent>
                      <w:p w14:paraId="53C56384" w14:textId="77777777" w:rsidR="005029D0" w:rsidRDefault="005029D0" w:rsidP="006A0C4B">
                        <w:r>
                          <w:rPr>
                            <w:rFonts w:asciiTheme="minorHAnsi" w:hAnsi="Calibri" w:cstheme="minorBidi"/>
                            <w:color w:val="000000" w:themeColor="text1"/>
                            <w:kern w:val="24"/>
                            <w:sz w:val="20"/>
                            <w:szCs w:val="20"/>
                          </w:rPr>
                          <w:t>Vanillic acid (VAN)</w:t>
                        </w:r>
                      </w:p>
                    </w:txbxContent>
                  </v:textbox>
                </v:shape>
                <v:shape id="CuadroTexto 359" o:spid="_x0000_s1102" type="#_x0000_t202" style="position:absolute;left:24790;top:16190;width:14389;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14:paraId="2B147463" w14:textId="77777777" w:rsidR="005029D0" w:rsidRDefault="005029D0" w:rsidP="006A0C4B">
                        <w:bookmarkStart w:id="18" w:name="OLE_LINK2"/>
                        <w:bookmarkStart w:id="19" w:name="OLE_LINK3"/>
                        <w:r>
                          <w:rPr>
                            <w:rFonts w:asciiTheme="minorHAnsi" w:hAnsi="Calibri" w:cstheme="minorBidi"/>
                            <w:color w:val="000000" w:themeColor="text1"/>
                            <w:kern w:val="24"/>
                            <w:sz w:val="20"/>
                            <w:szCs w:val="20"/>
                          </w:rPr>
                          <w:t>Syringic acid (SYR)</w:t>
                        </w:r>
                        <w:bookmarkEnd w:id="18"/>
                        <w:bookmarkEnd w:id="19"/>
                      </w:p>
                    </w:txbxContent>
                  </v:textbox>
                </v:shape>
                <v:shape id="CuadroTexto 360" o:spid="_x0000_s1103" type="#_x0000_t202" style="position:absolute;left:24790;top:17983;width:18155;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14:paraId="03E55131" w14:textId="77777777" w:rsidR="005029D0" w:rsidRDefault="005029D0" w:rsidP="006A0C4B">
                        <w:r>
                          <w:rPr>
                            <w:rFonts w:asciiTheme="minorHAnsi" w:hAnsi="Calibri" w:cstheme="minorBidi"/>
                            <w:color w:val="000000" w:themeColor="text1"/>
                            <w:kern w:val="24"/>
                            <w:sz w:val="20"/>
                            <w:szCs w:val="20"/>
                          </w:rPr>
                          <w:t>4-Hydroxybenzoic acid (4HY)</w:t>
                        </w:r>
                      </w:p>
                    </w:txbxContent>
                  </v:textbox>
                </v:shape>
                <v:shape id="CuadroTexto 361" o:spid="_x0000_s1104" type="#_x0000_t202" style="position:absolute;left:24790;top:19775;width:15120;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iJ8AA&#10;AADcAAAADwAAAGRycy9kb3ducmV2LnhtbERPS2vCQBC+F/oflin0VjeRVk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iJ8AAAADcAAAADwAAAAAAAAAAAAAAAACYAgAAZHJzL2Rvd25y&#10;ZXYueG1sUEsFBgAAAAAEAAQA9QAAAIUDAAAAAA==&#10;" filled="f" stroked="f">
                  <v:textbox style="mso-fit-shape-to-text:t">
                    <w:txbxContent>
                      <w:p w14:paraId="35459431" w14:textId="77777777" w:rsidR="005029D0" w:rsidRDefault="005029D0" w:rsidP="006A0C4B">
                        <w:r>
                          <w:rPr>
                            <w:rFonts w:asciiTheme="minorHAnsi" w:hAnsi="Calibri" w:cstheme="minorBidi"/>
                            <w:i/>
                            <w:iCs/>
                            <w:color w:val="000000" w:themeColor="text1"/>
                            <w:kern w:val="24"/>
                            <w:sz w:val="20"/>
                            <w:szCs w:val="20"/>
                          </w:rPr>
                          <w:t>p</w:t>
                        </w:r>
                        <w:r>
                          <w:rPr>
                            <w:rFonts w:asciiTheme="minorHAnsi" w:hAnsi="Calibri" w:cstheme="minorBidi"/>
                            <w:color w:val="000000" w:themeColor="text1"/>
                            <w:kern w:val="24"/>
                            <w:sz w:val="20"/>
                            <w:szCs w:val="20"/>
                          </w:rPr>
                          <w:t>-Coumaric acid (pCO)</w:t>
                        </w:r>
                      </w:p>
                    </w:txbxContent>
                  </v:textbox>
                </v:shape>
                <v:shape id="CuadroTexto 362" o:spid="_x0000_s1105" type="#_x0000_t202" style="position:absolute;left:24790;top:21567;width:15120;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HvL8A&#10;AADcAAAADwAAAGRycy9kb3ducmV2LnhtbERPTWvCQBC9F/wPyxS81U0ERVJXkVrBgxdteh+y02xo&#10;djZkpyb+e1cQepvH+5z1dvStulIfm8AG8lkGirgKtuHaQPl1eFuBioJssQ1MBm4UYbuZvKyxsGHg&#10;M10vUqsUwrFAA06kK7SOlSOPcRY64sT9hN6jJNjX2vY4pHDf6nmWLbXHhlODw44+HFW/lz9vQMTu&#10;8lv56ePxezztB5dVCyyNmb6Ou3dQQqP8i5/uo03z8wU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oe8vwAAANwAAAAPAAAAAAAAAAAAAAAAAJgCAABkcnMvZG93bnJl&#10;di54bWxQSwUGAAAAAAQABAD1AAAAhAMAAAAA&#10;" filled="f" stroked="f">
                  <v:textbox style="mso-fit-shape-to-text:t">
                    <w:txbxContent>
                      <w:p w14:paraId="0C33C272" w14:textId="77777777" w:rsidR="005029D0" w:rsidRDefault="005029D0" w:rsidP="006A0C4B">
                        <w:r>
                          <w:rPr>
                            <w:rFonts w:asciiTheme="minorHAnsi" w:hAnsi="Calibri" w:cstheme="minorBidi"/>
                            <w:color w:val="000000" w:themeColor="text1"/>
                            <w:kern w:val="24"/>
                            <w:sz w:val="20"/>
                            <w:szCs w:val="20"/>
                          </w:rPr>
                          <w:t>Caffeic acid (CAF)</w:t>
                        </w:r>
                      </w:p>
                    </w:txbxContent>
                  </v:textbox>
                </v:shape>
              </v:group>
            </w:pict>
          </mc:Fallback>
        </mc:AlternateContent>
      </w:r>
      <w:r w:rsidRPr="00B7408D">
        <w:rPr>
          <w:rFonts w:ascii="Book Antiqua" w:hAnsi="Book Antiqua"/>
          <w:b/>
          <w:noProof/>
          <w:lang w:val="en-US" w:bidi="ar-SA"/>
        </w:rPr>
        <mc:AlternateContent>
          <mc:Choice Requires="wpg">
            <w:drawing>
              <wp:anchor distT="0" distB="0" distL="114300" distR="114300" simplePos="0" relativeHeight="251811840" behindDoc="0" locked="0" layoutInCell="1" allowOverlap="1" wp14:anchorId="78895291" wp14:editId="47317930">
                <wp:simplePos x="0" y="0"/>
                <wp:positionH relativeFrom="column">
                  <wp:posOffset>3073400</wp:posOffset>
                </wp:positionH>
                <wp:positionV relativeFrom="paragraph">
                  <wp:posOffset>2405380</wp:posOffset>
                </wp:positionV>
                <wp:extent cx="243192" cy="792000"/>
                <wp:effectExtent l="38100" t="0" r="11430" b="20955"/>
                <wp:wrapNone/>
                <wp:docPr id="116" name="Grupo 106"/>
                <wp:cNvGraphicFramePr/>
                <a:graphic xmlns:a="http://schemas.openxmlformats.org/drawingml/2006/main">
                  <a:graphicData uri="http://schemas.microsoft.com/office/word/2010/wordprocessingGroup">
                    <wpg:wgp>
                      <wpg:cNvGrpSpPr/>
                      <wpg:grpSpPr>
                        <a:xfrm>
                          <a:off x="0" y="0"/>
                          <a:ext cx="243192" cy="792000"/>
                          <a:chOff x="3073940" y="2405964"/>
                          <a:chExt cx="243192" cy="792000"/>
                        </a:xfrm>
                      </wpg:grpSpPr>
                      <wps:wsp>
                        <wps:cNvPr id="117" name="Flecha: hacia abajo 105"/>
                        <wps:cNvSpPr/>
                        <wps:spPr>
                          <a:xfrm>
                            <a:off x="3073940" y="2487844"/>
                            <a:ext cx="243192" cy="710120"/>
                          </a:xfrm>
                          <a:prstGeom prst="downArrow">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Flecha: hacia abajo 363"/>
                        <wps:cNvSpPr/>
                        <wps:spPr>
                          <a:xfrm>
                            <a:off x="3073940" y="2405964"/>
                            <a:ext cx="243192" cy="792000"/>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F5A21D" id="Grupo 106" o:spid="_x0000_s1026" style="position:absolute;margin-left:242pt;margin-top:189.4pt;width:19.15pt;height:62.35pt;z-index:251811840" coordorigin="30739,24059" coordsize="2431,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">
                <v:shape id="Flecha: hacia abajo 105" o:spid="_x0000_s1027" type="#_x0000_t67" style="position:absolute;left:30739;top:24878;width:2432;height:7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" adj="17901" filled="f" strokecolor="#0070c0" strokeweight="1.5pt"/>
                <v:shape id="Flecha: hacia abajo 363" o:spid="_x0000_s1028" type="#_x0000_t67" style="position:absolute;left:30739;top:24059;width:2432;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" adj="18284" fillcolor="white [3212]" stroked="f" strokeweight="1pt"/>
              </v:group>
            </w:pict>
          </mc:Fallback>
        </mc:AlternateContent>
      </w:r>
      <w:r w:rsidRPr="00B7408D">
        <w:rPr>
          <w:rFonts w:ascii="Book Antiqua" w:hAnsi="Book Antiqua"/>
          <w:b/>
          <w:noProof/>
          <w:lang w:val="en-US" w:bidi="ar-SA"/>
        </w:rPr>
        <mc:AlternateContent>
          <mc:Choice Requires="wps">
            <w:drawing>
              <wp:anchor distT="0" distB="0" distL="114300" distR="114300" simplePos="0" relativeHeight="251812864" behindDoc="0" locked="0" layoutInCell="1" allowOverlap="1" wp14:anchorId="500311A9" wp14:editId="20C95777">
                <wp:simplePos x="0" y="0"/>
                <wp:positionH relativeFrom="column">
                  <wp:posOffset>819785</wp:posOffset>
                </wp:positionH>
                <wp:positionV relativeFrom="paragraph">
                  <wp:posOffset>4066540</wp:posOffset>
                </wp:positionV>
                <wp:extent cx="579005" cy="1564531"/>
                <wp:effectExtent l="0" t="0" r="0" b="0"/>
                <wp:wrapNone/>
                <wp:docPr id="120" name="CuadroTexto 107"/>
                <wp:cNvGraphicFramePr/>
                <a:graphic xmlns:a="http://schemas.openxmlformats.org/drawingml/2006/main">
                  <a:graphicData uri="http://schemas.microsoft.com/office/word/2010/wordprocessingShape">
                    <wps:wsp>
                      <wps:cNvSpPr txBox="1"/>
                      <wps:spPr>
                        <a:xfrm>
                          <a:off x="0" y="0"/>
                          <a:ext cx="579005" cy="1564531"/>
                        </a:xfrm>
                        <a:prstGeom prst="rect">
                          <a:avLst/>
                        </a:prstGeom>
                        <a:noFill/>
                      </wps:spPr>
                      <wps:txbx>
                        <w:txbxContent>
                          <w:p w14:paraId="6BE3DB99" w14:textId="77777777" w:rsidR="005029D0" w:rsidRDefault="005029D0" w:rsidP="006A0C4B">
                            <w:r>
                              <w:rPr>
                                <w:rFonts w:asciiTheme="minorHAnsi" w:hAnsi="Calibri" w:cstheme="minorBidi"/>
                                <w:color w:val="000000" w:themeColor="text1"/>
                                <w:kern w:val="24"/>
                                <w:sz w:val="14"/>
                                <w:szCs w:val="14"/>
                              </w:rPr>
                              <w:t>ATO</w:t>
                            </w:r>
                            <w:r>
                              <w:rPr>
                                <w:rFonts w:asciiTheme="minorHAnsi" w:hAnsi="Calibri" w:cstheme="minorBidi"/>
                                <w:color w:val="000000" w:themeColor="text1"/>
                                <w:kern w:val="24"/>
                                <w:position w:val="4"/>
                                <w:sz w:val="14"/>
                                <w:szCs w:val="14"/>
                                <w:vertAlign w:val="superscript"/>
                              </w:rPr>
                              <w:t>[58]</w:t>
                            </w:r>
                          </w:p>
                          <w:p w14:paraId="1F6C6F26" w14:textId="77777777" w:rsidR="005029D0" w:rsidRDefault="005029D0" w:rsidP="006A0C4B">
                            <w:r>
                              <w:rPr>
                                <w:rFonts w:asciiTheme="minorHAnsi" w:hAnsi="Calibri" w:cstheme="minorBidi"/>
                                <w:color w:val="000000" w:themeColor="text1"/>
                                <w:kern w:val="24"/>
                                <w:sz w:val="14"/>
                                <w:szCs w:val="14"/>
                              </w:rPr>
                              <w:t>VitK</w:t>
                            </w:r>
                            <w:r>
                              <w:rPr>
                                <w:rFonts w:asciiTheme="minorHAnsi" w:hAnsi="Calibri" w:cstheme="minorBidi"/>
                                <w:color w:val="000000" w:themeColor="text1"/>
                                <w:kern w:val="24"/>
                                <w:position w:val="4"/>
                                <w:sz w:val="14"/>
                                <w:szCs w:val="14"/>
                                <w:vertAlign w:val="superscript"/>
                              </w:rPr>
                              <w:t>[63]</w:t>
                            </w:r>
                          </w:p>
                          <w:p w14:paraId="1DF0D44E" w14:textId="77777777" w:rsidR="005029D0" w:rsidRDefault="005029D0" w:rsidP="006A0C4B">
                            <w:r>
                              <w:rPr>
                                <w:rFonts w:asciiTheme="minorHAnsi" w:hAnsi="Calibri" w:cstheme="minorBidi"/>
                                <w:color w:val="000000" w:themeColor="text1"/>
                                <w:kern w:val="24"/>
                                <w:sz w:val="14"/>
                                <w:szCs w:val="14"/>
                              </w:rPr>
                              <w:t>BCA</w:t>
                            </w:r>
                            <w:r>
                              <w:rPr>
                                <w:rFonts w:asciiTheme="minorHAnsi" w:hAnsi="Calibri" w:cstheme="minorBidi"/>
                                <w:color w:val="000000" w:themeColor="text1"/>
                                <w:kern w:val="24"/>
                                <w:position w:val="4"/>
                                <w:sz w:val="14"/>
                                <w:szCs w:val="14"/>
                                <w:vertAlign w:val="superscript"/>
                              </w:rPr>
                              <w:t>[65,66,68]</w:t>
                            </w:r>
                          </w:p>
                          <w:p w14:paraId="3B0D8376" w14:textId="77777777" w:rsidR="005029D0" w:rsidRDefault="005029D0" w:rsidP="006A0C4B">
                            <w:r>
                              <w:rPr>
                                <w:rFonts w:asciiTheme="minorHAnsi" w:hAnsi="Calibri" w:cstheme="minorBidi"/>
                                <w:color w:val="000000" w:themeColor="text1"/>
                                <w:kern w:val="24"/>
                                <w:sz w:val="14"/>
                                <w:szCs w:val="14"/>
                              </w:rPr>
                              <w:t>SQU</w:t>
                            </w:r>
                            <w:r>
                              <w:rPr>
                                <w:rFonts w:asciiTheme="minorHAnsi" w:hAnsi="Calibri" w:cstheme="minorBidi"/>
                                <w:color w:val="000000" w:themeColor="text1"/>
                                <w:kern w:val="24"/>
                                <w:position w:val="4"/>
                                <w:sz w:val="14"/>
                                <w:szCs w:val="14"/>
                                <w:vertAlign w:val="superscript"/>
                              </w:rPr>
                              <w:t>[58]</w:t>
                            </w:r>
                          </w:p>
                          <w:p w14:paraId="10791884" w14:textId="77777777" w:rsidR="005029D0" w:rsidRDefault="005029D0" w:rsidP="006A0C4B">
                            <w:r>
                              <w:rPr>
                                <w:rFonts w:asciiTheme="minorHAnsi" w:hAnsi="Calibri" w:cstheme="minorBidi"/>
                                <w:color w:val="000000" w:themeColor="text1"/>
                                <w:kern w:val="24"/>
                                <w:sz w:val="14"/>
                                <w:szCs w:val="14"/>
                              </w:rPr>
                              <w:t>OLEA</w:t>
                            </w:r>
                            <w:r>
                              <w:rPr>
                                <w:rFonts w:asciiTheme="minorHAnsi" w:hAnsi="Calibri" w:cstheme="minorBidi"/>
                                <w:color w:val="000000" w:themeColor="text1"/>
                                <w:kern w:val="24"/>
                                <w:position w:val="4"/>
                                <w:sz w:val="14"/>
                                <w:szCs w:val="14"/>
                                <w:vertAlign w:val="superscript"/>
                              </w:rPr>
                              <w:t>[77,79]</w:t>
                            </w:r>
                          </w:p>
                          <w:p w14:paraId="10AE40D8" w14:textId="77777777" w:rsidR="005029D0" w:rsidRDefault="005029D0" w:rsidP="006A0C4B">
                            <w:r>
                              <w:rPr>
                                <w:rFonts w:asciiTheme="minorHAnsi" w:hAnsi="Calibri" w:cstheme="minorBidi"/>
                                <w:color w:val="000000" w:themeColor="text1"/>
                                <w:kern w:val="24"/>
                                <w:sz w:val="14"/>
                                <w:szCs w:val="14"/>
                              </w:rPr>
                              <w:t>OLEU</w:t>
                            </w:r>
                            <w:r>
                              <w:rPr>
                                <w:rFonts w:asciiTheme="minorHAnsi" w:hAnsi="Calibri" w:cstheme="minorBidi"/>
                                <w:color w:val="000000" w:themeColor="text1"/>
                                <w:kern w:val="24"/>
                                <w:position w:val="4"/>
                                <w:sz w:val="14"/>
                                <w:szCs w:val="14"/>
                                <w:vertAlign w:val="superscript"/>
                              </w:rPr>
                              <w:t>[96,98]</w:t>
                            </w:r>
                          </w:p>
                          <w:p w14:paraId="07FA5D7D" w14:textId="77777777" w:rsidR="005029D0" w:rsidRDefault="005029D0" w:rsidP="006A0C4B">
                            <w:r>
                              <w:rPr>
                                <w:rFonts w:asciiTheme="minorHAnsi" w:hAnsi="Calibri" w:cstheme="minorBidi"/>
                                <w:color w:val="000000" w:themeColor="text1"/>
                                <w:kern w:val="24"/>
                                <w:sz w:val="14"/>
                                <w:szCs w:val="14"/>
                              </w:rPr>
                              <w:t>APG</w:t>
                            </w:r>
                            <w:r>
                              <w:rPr>
                                <w:rFonts w:asciiTheme="minorHAnsi" w:hAnsi="Calibri" w:cstheme="minorBidi"/>
                                <w:color w:val="000000" w:themeColor="text1"/>
                                <w:kern w:val="24"/>
                                <w:position w:val="4"/>
                                <w:sz w:val="14"/>
                                <w:szCs w:val="14"/>
                                <w:vertAlign w:val="superscript"/>
                              </w:rPr>
                              <w:t>[120,122]</w:t>
                            </w:r>
                          </w:p>
                          <w:p w14:paraId="2AE12EAC" w14:textId="77777777" w:rsidR="005029D0" w:rsidRDefault="005029D0" w:rsidP="006A0C4B">
                            <w:r>
                              <w:rPr>
                                <w:rFonts w:asciiTheme="minorHAnsi" w:hAnsi="Calibri" w:cstheme="minorBidi"/>
                                <w:color w:val="000000" w:themeColor="text1"/>
                                <w:kern w:val="24"/>
                                <w:sz w:val="14"/>
                                <w:szCs w:val="14"/>
                              </w:rPr>
                              <w:t>VAN</w:t>
                            </w:r>
                            <w:r>
                              <w:rPr>
                                <w:rFonts w:asciiTheme="minorHAnsi" w:hAnsi="Calibri" w:cstheme="minorBidi"/>
                                <w:color w:val="000000" w:themeColor="text1"/>
                                <w:kern w:val="24"/>
                                <w:position w:val="4"/>
                                <w:sz w:val="14"/>
                                <w:szCs w:val="14"/>
                                <w:vertAlign w:val="superscript"/>
                              </w:rPr>
                              <w:t>[128]</w:t>
                            </w:r>
                          </w:p>
                          <w:p w14:paraId="1BC8410C" w14:textId="77777777" w:rsidR="005029D0" w:rsidRDefault="005029D0" w:rsidP="006A0C4B">
                            <w:r>
                              <w:rPr>
                                <w:rFonts w:asciiTheme="minorHAnsi" w:hAnsi="Calibri" w:cstheme="minorBidi"/>
                                <w:color w:val="000000" w:themeColor="text1"/>
                                <w:kern w:val="24"/>
                                <w:sz w:val="14"/>
                                <w:szCs w:val="14"/>
                              </w:rPr>
                              <w:t>SYR</w:t>
                            </w:r>
                            <w:r>
                              <w:rPr>
                                <w:rFonts w:asciiTheme="minorHAnsi" w:hAnsi="Calibri" w:cstheme="minorBidi"/>
                                <w:color w:val="000000" w:themeColor="text1"/>
                                <w:kern w:val="24"/>
                                <w:position w:val="4"/>
                                <w:sz w:val="14"/>
                                <w:szCs w:val="14"/>
                                <w:vertAlign w:val="superscript"/>
                              </w:rPr>
                              <w:t>[131]</w:t>
                            </w:r>
                          </w:p>
                          <w:p w14:paraId="6C74248D" w14:textId="77777777" w:rsidR="005029D0" w:rsidRDefault="005029D0" w:rsidP="006A0C4B">
                            <w:r>
                              <w:rPr>
                                <w:rFonts w:asciiTheme="minorHAnsi" w:hAnsi="Calibri" w:cstheme="minorBidi"/>
                                <w:color w:val="000000" w:themeColor="text1"/>
                                <w:kern w:val="24"/>
                                <w:sz w:val="14"/>
                                <w:szCs w:val="14"/>
                              </w:rPr>
                              <w:t>pCO</w:t>
                            </w:r>
                            <w:r>
                              <w:rPr>
                                <w:rFonts w:asciiTheme="minorHAnsi" w:hAnsi="Calibri" w:cstheme="minorBidi"/>
                                <w:color w:val="000000" w:themeColor="text1"/>
                                <w:kern w:val="24"/>
                                <w:position w:val="4"/>
                                <w:sz w:val="14"/>
                                <w:szCs w:val="14"/>
                                <w:vertAlign w:val="superscript"/>
                              </w:rPr>
                              <w:t>[136]</w:t>
                            </w:r>
                          </w:p>
                          <w:p w14:paraId="3EAB2218" w14:textId="77777777" w:rsidR="005029D0" w:rsidRDefault="005029D0" w:rsidP="006A0C4B">
                            <w:r>
                              <w:rPr>
                                <w:rFonts w:asciiTheme="minorHAnsi" w:hAnsi="Calibri" w:cstheme="minorBidi"/>
                                <w:color w:val="000000" w:themeColor="text1"/>
                                <w:kern w:val="24"/>
                                <w:sz w:val="14"/>
                                <w:szCs w:val="14"/>
                              </w:rPr>
                              <w:t>CAF</w:t>
                            </w:r>
                            <w:r>
                              <w:rPr>
                                <w:rFonts w:asciiTheme="minorHAnsi" w:hAnsi="Calibri" w:cstheme="minorBidi"/>
                                <w:color w:val="000000" w:themeColor="text1"/>
                                <w:kern w:val="24"/>
                                <w:position w:val="4"/>
                                <w:sz w:val="14"/>
                                <w:szCs w:val="14"/>
                                <w:vertAlign w:val="superscript"/>
                              </w:rPr>
                              <w:t>[140]</w:t>
                            </w:r>
                          </w:p>
                          <w:p w14:paraId="4647C9B6" w14:textId="77777777" w:rsidR="005029D0" w:rsidRDefault="005029D0" w:rsidP="006A0C4B">
                            <w:r>
                              <w:rPr>
                                <w:rFonts w:asciiTheme="minorHAnsi" w:hAnsi="Calibri" w:cstheme="minorBidi"/>
                                <w:color w:val="000000" w:themeColor="text1"/>
                                <w:kern w:val="24"/>
                                <w:sz w:val="14"/>
                                <w:szCs w:val="14"/>
                              </w:rPr>
                              <w:t>LUT</w:t>
                            </w:r>
                            <w:r>
                              <w:rPr>
                                <w:rFonts w:asciiTheme="minorHAnsi" w:hAnsi="Calibri" w:cstheme="minorBidi"/>
                                <w:color w:val="000000" w:themeColor="text1"/>
                                <w:kern w:val="24"/>
                                <w:position w:val="4"/>
                                <w:sz w:val="14"/>
                                <w:szCs w:val="14"/>
                                <w:vertAlign w:val="superscript"/>
                              </w:rPr>
                              <w:t>[114,115]</w:t>
                            </w:r>
                          </w:p>
                          <w:p w14:paraId="4B122089" w14:textId="77777777" w:rsidR="005029D0" w:rsidRDefault="005029D0" w:rsidP="006A0C4B">
                            <w:r>
                              <w:rPr>
                                <w:rFonts w:asciiTheme="minorHAnsi" w:hAnsi="Calibri" w:cstheme="minorBidi"/>
                                <w:color w:val="000000" w:themeColor="text1"/>
                                <w:kern w:val="24"/>
                                <w:sz w:val="14"/>
                                <w:szCs w:val="14"/>
                              </w:rPr>
                              <w:t>HYD</w:t>
                            </w:r>
                            <w:r>
                              <w:rPr>
                                <w:rFonts w:asciiTheme="minorHAnsi" w:hAnsi="Calibri" w:cstheme="minorBidi"/>
                                <w:color w:val="000000" w:themeColor="text1"/>
                                <w:kern w:val="24"/>
                                <w:position w:val="4"/>
                                <w:sz w:val="14"/>
                                <w:szCs w:val="14"/>
                                <w:vertAlign w:val="superscript"/>
                              </w:rPr>
                              <w:t>[98,103]</w:t>
                            </w:r>
                          </w:p>
                        </w:txbxContent>
                      </wps:txbx>
                      <wps:bodyPr wrap="none" rtlCol="0">
                        <a:spAutoFit/>
                      </wps:bodyPr>
                    </wps:wsp>
                  </a:graphicData>
                </a:graphic>
              </wp:anchor>
            </w:drawing>
          </mc:Choice>
          <mc:Fallback>
            <w:pict>
              <v:shape id="CuadroTexto 107" o:spid="_x0000_s1106" type="#_x0000_t202" style="position:absolute;left:0;text-align:left;margin-left:64.55pt;margin-top:320.2pt;width:45.6pt;height:123.2pt;z-index:251812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" filled="f" stroked="f">
                <v:textbox style="mso-fit-shape-to-text:t">
                  <w:txbxContent>
                    <w:p w14:paraId="6BE3DB99" w14:textId="77777777" w:rsidR="005029D0" w:rsidRDefault="005029D0" w:rsidP="006A0C4B">
                      <w:r>
                        <w:rPr>
                          <w:rFonts w:asciiTheme="minorHAnsi" w:hAnsi="Calibri" w:cstheme="minorBidi"/>
                          <w:color w:val="000000" w:themeColor="text1"/>
                          <w:kern w:val="24"/>
                          <w:sz w:val="14"/>
                          <w:szCs w:val="14"/>
                        </w:rPr>
                        <w:t>ATO</w:t>
                      </w:r>
                      <w:r>
                        <w:rPr>
                          <w:rFonts w:asciiTheme="minorHAnsi" w:hAnsi="Calibri" w:cstheme="minorBidi"/>
                          <w:color w:val="000000" w:themeColor="text1"/>
                          <w:kern w:val="24"/>
                          <w:position w:val="4"/>
                          <w:sz w:val="14"/>
                          <w:szCs w:val="14"/>
                          <w:vertAlign w:val="superscript"/>
                        </w:rPr>
                        <w:t>[58]</w:t>
                      </w:r>
                    </w:p>
                    <w:p w14:paraId="1F6C6F26" w14:textId="77777777" w:rsidR="005029D0" w:rsidRDefault="005029D0" w:rsidP="006A0C4B">
                      <w:r>
                        <w:rPr>
                          <w:rFonts w:asciiTheme="minorHAnsi" w:hAnsi="Calibri" w:cstheme="minorBidi"/>
                          <w:color w:val="000000" w:themeColor="text1"/>
                          <w:kern w:val="24"/>
                          <w:sz w:val="14"/>
                          <w:szCs w:val="14"/>
                        </w:rPr>
                        <w:t>VitK</w:t>
                      </w:r>
                      <w:r>
                        <w:rPr>
                          <w:rFonts w:asciiTheme="minorHAnsi" w:hAnsi="Calibri" w:cstheme="minorBidi"/>
                          <w:color w:val="000000" w:themeColor="text1"/>
                          <w:kern w:val="24"/>
                          <w:position w:val="4"/>
                          <w:sz w:val="14"/>
                          <w:szCs w:val="14"/>
                          <w:vertAlign w:val="superscript"/>
                        </w:rPr>
                        <w:t>[63]</w:t>
                      </w:r>
                    </w:p>
                    <w:p w14:paraId="1DF0D44E" w14:textId="77777777" w:rsidR="005029D0" w:rsidRDefault="005029D0" w:rsidP="006A0C4B">
                      <w:r>
                        <w:rPr>
                          <w:rFonts w:asciiTheme="minorHAnsi" w:hAnsi="Calibri" w:cstheme="minorBidi"/>
                          <w:color w:val="000000" w:themeColor="text1"/>
                          <w:kern w:val="24"/>
                          <w:sz w:val="14"/>
                          <w:szCs w:val="14"/>
                        </w:rPr>
                        <w:t>BCA</w:t>
                      </w:r>
                      <w:r>
                        <w:rPr>
                          <w:rFonts w:asciiTheme="minorHAnsi" w:hAnsi="Calibri" w:cstheme="minorBidi"/>
                          <w:color w:val="000000" w:themeColor="text1"/>
                          <w:kern w:val="24"/>
                          <w:position w:val="4"/>
                          <w:sz w:val="14"/>
                          <w:szCs w:val="14"/>
                          <w:vertAlign w:val="superscript"/>
                        </w:rPr>
                        <w:t>[65,66,68]</w:t>
                      </w:r>
                    </w:p>
                    <w:p w14:paraId="3B0D8376" w14:textId="77777777" w:rsidR="005029D0" w:rsidRDefault="005029D0" w:rsidP="006A0C4B">
                      <w:r>
                        <w:rPr>
                          <w:rFonts w:asciiTheme="minorHAnsi" w:hAnsi="Calibri" w:cstheme="minorBidi"/>
                          <w:color w:val="000000" w:themeColor="text1"/>
                          <w:kern w:val="24"/>
                          <w:sz w:val="14"/>
                          <w:szCs w:val="14"/>
                        </w:rPr>
                        <w:t>SQU</w:t>
                      </w:r>
                      <w:r>
                        <w:rPr>
                          <w:rFonts w:asciiTheme="minorHAnsi" w:hAnsi="Calibri" w:cstheme="minorBidi"/>
                          <w:color w:val="000000" w:themeColor="text1"/>
                          <w:kern w:val="24"/>
                          <w:position w:val="4"/>
                          <w:sz w:val="14"/>
                          <w:szCs w:val="14"/>
                          <w:vertAlign w:val="superscript"/>
                        </w:rPr>
                        <w:t>[58]</w:t>
                      </w:r>
                    </w:p>
                    <w:p w14:paraId="10791884" w14:textId="77777777" w:rsidR="005029D0" w:rsidRDefault="005029D0" w:rsidP="006A0C4B">
                      <w:r>
                        <w:rPr>
                          <w:rFonts w:asciiTheme="minorHAnsi" w:hAnsi="Calibri" w:cstheme="minorBidi"/>
                          <w:color w:val="000000" w:themeColor="text1"/>
                          <w:kern w:val="24"/>
                          <w:sz w:val="14"/>
                          <w:szCs w:val="14"/>
                        </w:rPr>
                        <w:t>OLEA</w:t>
                      </w:r>
                      <w:r>
                        <w:rPr>
                          <w:rFonts w:asciiTheme="minorHAnsi" w:hAnsi="Calibri" w:cstheme="minorBidi"/>
                          <w:color w:val="000000" w:themeColor="text1"/>
                          <w:kern w:val="24"/>
                          <w:position w:val="4"/>
                          <w:sz w:val="14"/>
                          <w:szCs w:val="14"/>
                          <w:vertAlign w:val="superscript"/>
                        </w:rPr>
                        <w:t>[77,79]</w:t>
                      </w:r>
                    </w:p>
                    <w:p w14:paraId="10AE40D8" w14:textId="77777777" w:rsidR="005029D0" w:rsidRDefault="005029D0" w:rsidP="006A0C4B">
                      <w:r>
                        <w:rPr>
                          <w:rFonts w:asciiTheme="minorHAnsi" w:hAnsi="Calibri" w:cstheme="minorBidi"/>
                          <w:color w:val="000000" w:themeColor="text1"/>
                          <w:kern w:val="24"/>
                          <w:sz w:val="14"/>
                          <w:szCs w:val="14"/>
                        </w:rPr>
                        <w:t>OLEU</w:t>
                      </w:r>
                      <w:r>
                        <w:rPr>
                          <w:rFonts w:asciiTheme="minorHAnsi" w:hAnsi="Calibri" w:cstheme="minorBidi"/>
                          <w:color w:val="000000" w:themeColor="text1"/>
                          <w:kern w:val="24"/>
                          <w:position w:val="4"/>
                          <w:sz w:val="14"/>
                          <w:szCs w:val="14"/>
                          <w:vertAlign w:val="superscript"/>
                        </w:rPr>
                        <w:t>[96,98]</w:t>
                      </w:r>
                    </w:p>
                    <w:p w14:paraId="07FA5D7D" w14:textId="77777777" w:rsidR="005029D0" w:rsidRDefault="005029D0" w:rsidP="006A0C4B">
                      <w:r>
                        <w:rPr>
                          <w:rFonts w:asciiTheme="minorHAnsi" w:hAnsi="Calibri" w:cstheme="minorBidi"/>
                          <w:color w:val="000000" w:themeColor="text1"/>
                          <w:kern w:val="24"/>
                          <w:sz w:val="14"/>
                          <w:szCs w:val="14"/>
                        </w:rPr>
                        <w:t>APG</w:t>
                      </w:r>
                      <w:r>
                        <w:rPr>
                          <w:rFonts w:asciiTheme="minorHAnsi" w:hAnsi="Calibri" w:cstheme="minorBidi"/>
                          <w:color w:val="000000" w:themeColor="text1"/>
                          <w:kern w:val="24"/>
                          <w:position w:val="4"/>
                          <w:sz w:val="14"/>
                          <w:szCs w:val="14"/>
                          <w:vertAlign w:val="superscript"/>
                        </w:rPr>
                        <w:t>[120,122]</w:t>
                      </w:r>
                    </w:p>
                    <w:p w14:paraId="2AE12EAC" w14:textId="77777777" w:rsidR="005029D0" w:rsidRDefault="005029D0" w:rsidP="006A0C4B">
                      <w:r>
                        <w:rPr>
                          <w:rFonts w:asciiTheme="minorHAnsi" w:hAnsi="Calibri" w:cstheme="minorBidi"/>
                          <w:color w:val="000000" w:themeColor="text1"/>
                          <w:kern w:val="24"/>
                          <w:sz w:val="14"/>
                          <w:szCs w:val="14"/>
                        </w:rPr>
                        <w:t>VAN</w:t>
                      </w:r>
                      <w:r>
                        <w:rPr>
                          <w:rFonts w:asciiTheme="minorHAnsi" w:hAnsi="Calibri" w:cstheme="minorBidi"/>
                          <w:color w:val="000000" w:themeColor="text1"/>
                          <w:kern w:val="24"/>
                          <w:position w:val="4"/>
                          <w:sz w:val="14"/>
                          <w:szCs w:val="14"/>
                          <w:vertAlign w:val="superscript"/>
                        </w:rPr>
                        <w:t>[128]</w:t>
                      </w:r>
                    </w:p>
                    <w:p w14:paraId="1BC8410C" w14:textId="77777777" w:rsidR="005029D0" w:rsidRDefault="005029D0" w:rsidP="006A0C4B">
                      <w:r>
                        <w:rPr>
                          <w:rFonts w:asciiTheme="minorHAnsi" w:hAnsi="Calibri" w:cstheme="minorBidi"/>
                          <w:color w:val="000000" w:themeColor="text1"/>
                          <w:kern w:val="24"/>
                          <w:sz w:val="14"/>
                          <w:szCs w:val="14"/>
                        </w:rPr>
                        <w:t>SYR</w:t>
                      </w:r>
                      <w:r>
                        <w:rPr>
                          <w:rFonts w:asciiTheme="minorHAnsi" w:hAnsi="Calibri" w:cstheme="minorBidi"/>
                          <w:color w:val="000000" w:themeColor="text1"/>
                          <w:kern w:val="24"/>
                          <w:position w:val="4"/>
                          <w:sz w:val="14"/>
                          <w:szCs w:val="14"/>
                          <w:vertAlign w:val="superscript"/>
                        </w:rPr>
                        <w:t>[131]</w:t>
                      </w:r>
                    </w:p>
                    <w:p w14:paraId="6C74248D" w14:textId="77777777" w:rsidR="005029D0" w:rsidRDefault="005029D0" w:rsidP="006A0C4B">
                      <w:r>
                        <w:rPr>
                          <w:rFonts w:asciiTheme="minorHAnsi" w:hAnsi="Calibri" w:cstheme="minorBidi"/>
                          <w:color w:val="000000" w:themeColor="text1"/>
                          <w:kern w:val="24"/>
                          <w:sz w:val="14"/>
                          <w:szCs w:val="14"/>
                        </w:rPr>
                        <w:t>pCO</w:t>
                      </w:r>
                      <w:r>
                        <w:rPr>
                          <w:rFonts w:asciiTheme="minorHAnsi" w:hAnsi="Calibri" w:cstheme="minorBidi"/>
                          <w:color w:val="000000" w:themeColor="text1"/>
                          <w:kern w:val="24"/>
                          <w:position w:val="4"/>
                          <w:sz w:val="14"/>
                          <w:szCs w:val="14"/>
                          <w:vertAlign w:val="superscript"/>
                        </w:rPr>
                        <w:t>[136]</w:t>
                      </w:r>
                    </w:p>
                    <w:p w14:paraId="3EAB2218" w14:textId="77777777" w:rsidR="005029D0" w:rsidRDefault="005029D0" w:rsidP="006A0C4B">
                      <w:r>
                        <w:rPr>
                          <w:rFonts w:asciiTheme="minorHAnsi" w:hAnsi="Calibri" w:cstheme="minorBidi"/>
                          <w:color w:val="000000" w:themeColor="text1"/>
                          <w:kern w:val="24"/>
                          <w:sz w:val="14"/>
                          <w:szCs w:val="14"/>
                        </w:rPr>
                        <w:t>CAF</w:t>
                      </w:r>
                      <w:r>
                        <w:rPr>
                          <w:rFonts w:asciiTheme="minorHAnsi" w:hAnsi="Calibri" w:cstheme="minorBidi"/>
                          <w:color w:val="000000" w:themeColor="text1"/>
                          <w:kern w:val="24"/>
                          <w:position w:val="4"/>
                          <w:sz w:val="14"/>
                          <w:szCs w:val="14"/>
                          <w:vertAlign w:val="superscript"/>
                        </w:rPr>
                        <w:t>[140]</w:t>
                      </w:r>
                    </w:p>
                    <w:p w14:paraId="4647C9B6" w14:textId="77777777" w:rsidR="005029D0" w:rsidRDefault="005029D0" w:rsidP="006A0C4B">
                      <w:r>
                        <w:rPr>
                          <w:rFonts w:asciiTheme="minorHAnsi" w:hAnsi="Calibri" w:cstheme="minorBidi"/>
                          <w:color w:val="000000" w:themeColor="text1"/>
                          <w:kern w:val="24"/>
                          <w:sz w:val="14"/>
                          <w:szCs w:val="14"/>
                        </w:rPr>
                        <w:t>LUT</w:t>
                      </w:r>
                      <w:r>
                        <w:rPr>
                          <w:rFonts w:asciiTheme="minorHAnsi" w:hAnsi="Calibri" w:cstheme="minorBidi"/>
                          <w:color w:val="000000" w:themeColor="text1"/>
                          <w:kern w:val="24"/>
                          <w:position w:val="4"/>
                          <w:sz w:val="14"/>
                          <w:szCs w:val="14"/>
                          <w:vertAlign w:val="superscript"/>
                        </w:rPr>
                        <w:t>[114,115]</w:t>
                      </w:r>
                    </w:p>
                    <w:p w14:paraId="4B122089" w14:textId="77777777" w:rsidR="005029D0" w:rsidRDefault="005029D0" w:rsidP="006A0C4B">
                      <w:r>
                        <w:rPr>
                          <w:rFonts w:asciiTheme="minorHAnsi" w:hAnsi="Calibri" w:cstheme="minorBidi"/>
                          <w:color w:val="000000" w:themeColor="text1"/>
                          <w:kern w:val="24"/>
                          <w:sz w:val="14"/>
                          <w:szCs w:val="14"/>
                        </w:rPr>
                        <w:t>HYD</w:t>
                      </w:r>
                      <w:r>
                        <w:rPr>
                          <w:rFonts w:asciiTheme="minorHAnsi" w:hAnsi="Calibri" w:cstheme="minorBidi"/>
                          <w:color w:val="000000" w:themeColor="text1"/>
                          <w:kern w:val="24"/>
                          <w:position w:val="4"/>
                          <w:sz w:val="14"/>
                          <w:szCs w:val="14"/>
                          <w:vertAlign w:val="superscript"/>
                        </w:rPr>
                        <w:t>[98,103]</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13888" behindDoc="0" locked="0" layoutInCell="1" allowOverlap="1" wp14:anchorId="672D2640" wp14:editId="4A216407">
                <wp:simplePos x="0" y="0"/>
                <wp:positionH relativeFrom="column">
                  <wp:posOffset>1330325</wp:posOffset>
                </wp:positionH>
                <wp:positionV relativeFrom="paragraph">
                  <wp:posOffset>4162425</wp:posOffset>
                </wp:positionV>
                <wp:extent cx="0" cy="1116000"/>
                <wp:effectExtent l="38100" t="25400" r="38100" b="1905"/>
                <wp:wrapNone/>
                <wp:docPr id="121" name="Conector recto de flecha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1600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A0F237" id="Conector recto de flecha 109" o:spid="_x0000_s1026" type="#_x0000_t32" style="position:absolute;margin-left:104.75pt;margin-top:327.75pt;width:0;height:87.85pt;flip:y;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" strokecolor="#0070c0" strokeweight="1.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14912" behindDoc="0" locked="0" layoutInCell="1" allowOverlap="1" wp14:anchorId="7E074744" wp14:editId="7845FD07">
                <wp:simplePos x="0" y="0"/>
                <wp:positionH relativeFrom="column">
                  <wp:posOffset>1570990</wp:posOffset>
                </wp:positionH>
                <wp:positionV relativeFrom="paragraph">
                  <wp:posOffset>4114165</wp:posOffset>
                </wp:positionV>
                <wp:extent cx="847820" cy="1277273"/>
                <wp:effectExtent l="0" t="0" r="0" b="0"/>
                <wp:wrapNone/>
                <wp:docPr id="365" name="CuadroTexto 36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356C48-F1A1-43E2-8B9A-DA3073828A12}"/>
                    </a:ext>
                  </a:extLst>
                </wp:docPr>
                <wp:cNvGraphicFramePr/>
                <a:graphic xmlns:a="http://schemas.openxmlformats.org/drawingml/2006/main">
                  <a:graphicData uri="http://schemas.microsoft.com/office/word/2010/wordprocessingShape">
                    <wps:wsp>
                      <wps:cNvSpPr txBox="1"/>
                      <wps:spPr>
                        <a:xfrm>
                          <a:off x="0" y="0"/>
                          <a:ext cx="847820" cy="1277273"/>
                        </a:xfrm>
                        <a:prstGeom prst="rect">
                          <a:avLst/>
                        </a:prstGeom>
                        <a:noFill/>
                      </wps:spPr>
                      <wps:txbx>
                        <w:txbxContent>
                          <w:p w14:paraId="1DED0AB1" w14:textId="77777777" w:rsidR="005029D0" w:rsidRDefault="005029D0" w:rsidP="006A0C4B">
                            <w:r>
                              <w:rPr>
                                <w:rFonts w:asciiTheme="minorHAnsi" w:hAnsi="Calibri" w:cstheme="minorBidi"/>
                                <w:color w:val="000000" w:themeColor="text1"/>
                                <w:kern w:val="24"/>
                                <w:sz w:val="14"/>
                                <w:szCs w:val="14"/>
                              </w:rPr>
                              <w:t>ATO</w:t>
                            </w:r>
                            <w:r>
                              <w:rPr>
                                <w:rFonts w:asciiTheme="minorHAnsi" w:hAnsi="Calibri" w:cstheme="minorBidi"/>
                                <w:color w:val="000000" w:themeColor="text1"/>
                                <w:kern w:val="24"/>
                                <w:position w:val="4"/>
                                <w:sz w:val="14"/>
                                <w:szCs w:val="14"/>
                                <w:vertAlign w:val="superscript"/>
                              </w:rPr>
                              <w:t>[58]</w:t>
                            </w:r>
                          </w:p>
                          <w:p w14:paraId="29BFE06C" w14:textId="77777777" w:rsidR="005029D0" w:rsidRDefault="005029D0" w:rsidP="006A0C4B">
                            <w:r>
                              <w:rPr>
                                <w:rFonts w:asciiTheme="minorHAnsi" w:hAnsi="Calibri" w:cstheme="minorBidi"/>
                                <w:color w:val="000000" w:themeColor="text1"/>
                                <w:kern w:val="24"/>
                                <w:sz w:val="14"/>
                                <w:szCs w:val="14"/>
                              </w:rPr>
                              <w:t>BCA</w:t>
                            </w:r>
                            <w:r>
                              <w:rPr>
                                <w:rFonts w:asciiTheme="minorHAnsi" w:hAnsi="Calibri" w:cstheme="minorBidi"/>
                                <w:color w:val="000000" w:themeColor="text1"/>
                                <w:kern w:val="24"/>
                                <w:position w:val="4"/>
                                <w:sz w:val="14"/>
                                <w:szCs w:val="14"/>
                                <w:vertAlign w:val="superscript"/>
                              </w:rPr>
                              <w:t>[66,67]</w:t>
                            </w:r>
                          </w:p>
                          <w:p w14:paraId="41116AF2" w14:textId="77777777" w:rsidR="005029D0" w:rsidRDefault="005029D0" w:rsidP="006A0C4B">
                            <w:r>
                              <w:rPr>
                                <w:rFonts w:asciiTheme="minorHAnsi" w:hAnsi="Calibri" w:cstheme="minorBidi"/>
                                <w:color w:val="000000" w:themeColor="text1"/>
                                <w:kern w:val="24"/>
                                <w:sz w:val="14"/>
                                <w:szCs w:val="14"/>
                              </w:rPr>
                              <w:t>SQU</w:t>
                            </w:r>
                            <w:r>
                              <w:rPr>
                                <w:rFonts w:asciiTheme="minorHAnsi" w:hAnsi="Calibri" w:cstheme="minorBidi"/>
                                <w:color w:val="000000" w:themeColor="text1"/>
                                <w:kern w:val="24"/>
                                <w:position w:val="4"/>
                                <w:sz w:val="14"/>
                                <w:szCs w:val="14"/>
                                <w:vertAlign w:val="superscript"/>
                              </w:rPr>
                              <w:t>[58]</w:t>
                            </w:r>
                          </w:p>
                          <w:p w14:paraId="5440AC57" w14:textId="77777777" w:rsidR="005029D0" w:rsidRDefault="005029D0" w:rsidP="006A0C4B">
                            <w:r>
                              <w:rPr>
                                <w:rFonts w:asciiTheme="minorHAnsi" w:hAnsi="Calibri" w:cstheme="minorBidi"/>
                                <w:color w:val="000000" w:themeColor="text1"/>
                                <w:kern w:val="24"/>
                                <w:sz w:val="14"/>
                                <w:szCs w:val="14"/>
                              </w:rPr>
                              <w:t>OLEA</w:t>
                            </w:r>
                            <w:r>
                              <w:rPr>
                                <w:rFonts w:asciiTheme="minorHAnsi" w:hAnsi="Calibri" w:cstheme="minorBidi"/>
                                <w:color w:val="000000" w:themeColor="text1"/>
                                <w:kern w:val="24"/>
                                <w:position w:val="4"/>
                                <w:sz w:val="14"/>
                                <w:szCs w:val="14"/>
                                <w:vertAlign w:val="superscript"/>
                              </w:rPr>
                              <w:t>[81]</w:t>
                            </w:r>
                          </w:p>
                          <w:p w14:paraId="50206B0F" w14:textId="77777777" w:rsidR="005029D0" w:rsidRDefault="005029D0" w:rsidP="006A0C4B">
                            <w:r>
                              <w:rPr>
                                <w:rFonts w:asciiTheme="minorHAnsi" w:hAnsi="Calibri" w:cstheme="minorBidi"/>
                                <w:color w:val="000000" w:themeColor="text1"/>
                                <w:kern w:val="24"/>
                                <w:sz w:val="14"/>
                                <w:szCs w:val="14"/>
                              </w:rPr>
                              <w:t>MAS</w:t>
                            </w:r>
                            <w:r>
                              <w:rPr>
                                <w:rFonts w:asciiTheme="minorHAnsi" w:hAnsi="Calibri" w:cstheme="minorBidi"/>
                                <w:color w:val="000000" w:themeColor="text1"/>
                                <w:kern w:val="24"/>
                                <w:position w:val="4"/>
                                <w:sz w:val="14"/>
                                <w:szCs w:val="14"/>
                                <w:vertAlign w:val="superscript"/>
                              </w:rPr>
                              <w:t>[84]</w:t>
                            </w:r>
                          </w:p>
                          <w:p w14:paraId="06B7F60B" w14:textId="77777777" w:rsidR="005029D0" w:rsidRDefault="005029D0" w:rsidP="006A0C4B">
                            <w:r>
                              <w:rPr>
                                <w:rFonts w:asciiTheme="minorHAnsi" w:hAnsi="Calibri" w:cstheme="minorBidi"/>
                                <w:color w:val="000000" w:themeColor="text1"/>
                                <w:kern w:val="24"/>
                                <w:sz w:val="14"/>
                                <w:szCs w:val="14"/>
                              </w:rPr>
                              <w:t>PHE</w:t>
                            </w:r>
                            <w:r>
                              <w:rPr>
                                <w:rFonts w:asciiTheme="minorHAnsi" w:hAnsi="Calibri" w:cstheme="minorBidi"/>
                                <w:color w:val="000000" w:themeColor="text1"/>
                                <w:kern w:val="24"/>
                                <w:position w:val="4"/>
                                <w:sz w:val="14"/>
                                <w:szCs w:val="14"/>
                                <w:vertAlign w:val="superscript"/>
                              </w:rPr>
                              <w:t>[90]</w:t>
                            </w:r>
                          </w:p>
                          <w:p w14:paraId="5A66C46F" w14:textId="77777777" w:rsidR="005029D0" w:rsidRDefault="005029D0" w:rsidP="006A0C4B">
                            <w:r>
                              <w:rPr>
                                <w:rFonts w:asciiTheme="minorHAnsi" w:hAnsi="Calibri" w:cstheme="minorBidi"/>
                                <w:color w:val="000000" w:themeColor="text1"/>
                                <w:kern w:val="24"/>
                                <w:sz w:val="14"/>
                                <w:szCs w:val="14"/>
                              </w:rPr>
                              <w:t>OLEU</w:t>
                            </w:r>
                            <w:r>
                              <w:rPr>
                                <w:rFonts w:asciiTheme="minorHAnsi" w:hAnsi="Calibri" w:cstheme="minorBidi"/>
                                <w:color w:val="000000" w:themeColor="text1"/>
                                <w:kern w:val="24"/>
                                <w:position w:val="4"/>
                                <w:sz w:val="14"/>
                                <w:szCs w:val="14"/>
                                <w:vertAlign w:val="superscript"/>
                              </w:rPr>
                              <w:t>[96,97,99]</w:t>
                            </w:r>
                          </w:p>
                          <w:p w14:paraId="338AB842" w14:textId="77777777" w:rsidR="005029D0" w:rsidRDefault="005029D0" w:rsidP="006A0C4B">
                            <w:r>
                              <w:rPr>
                                <w:rFonts w:asciiTheme="minorHAnsi" w:hAnsi="Calibri" w:cstheme="minorBidi"/>
                                <w:color w:val="000000" w:themeColor="text1"/>
                                <w:kern w:val="24"/>
                                <w:sz w:val="14"/>
                                <w:szCs w:val="14"/>
                              </w:rPr>
                              <w:t>LUT</w:t>
                            </w:r>
                            <w:r>
                              <w:rPr>
                                <w:rFonts w:asciiTheme="minorHAnsi" w:hAnsi="Calibri" w:cstheme="minorBidi"/>
                                <w:color w:val="000000" w:themeColor="text1"/>
                                <w:kern w:val="24"/>
                                <w:position w:val="4"/>
                                <w:sz w:val="14"/>
                                <w:szCs w:val="14"/>
                                <w:vertAlign w:val="superscript"/>
                              </w:rPr>
                              <w:t>[113]</w:t>
                            </w:r>
                          </w:p>
                          <w:p w14:paraId="6BCB7EF6" w14:textId="77777777" w:rsidR="005029D0" w:rsidRDefault="005029D0" w:rsidP="006A0C4B">
                            <w:r>
                              <w:rPr>
                                <w:rFonts w:asciiTheme="minorHAnsi" w:hAnsi="Calibri" w:cstheme="minorBidi"/>
                                <w:color w:val="000000" w:themeColor="text1"/>
                                <w:kern w:val="24"/>
                                <w:sz w:val="14"/>
                                <w:szCs w:val="14"/>
                              </w:rPr>
                              <w:t>VAN</w:t>
                            </w:r>
                            <w:r>
                              <w:rPr>
                                <w:rFonts w:asciiTheme="minorHAnsi" w:hAnsi="Calibri" w:cstheme="minorBidi"/>
                                <w:color w:val="000000" w:themeColor="text1"/>
                                <w:kern w:val="24"/>
                                <w:position w:val="4"/>
                                <w:sz w:val="14"/>
                                <w:szCs w:val="14"/>
                                <w:vertAlign w:val="superscript"/>
                              </w:rPr>
                              <w:t>[129]</w:t>
                            </w:r>
                          </w:p>
                          <w:p w14:paraId="78D28C0A" w14:textId="77777777" w:rsidR="005029D0" w:rsidRDefault="005029D0" w:rsidP="006A0C4B">
                            <w:r>
                              <w:rPr>
                                <w:rFonts w:asciiTheme="minorHAnsi" w:hAnsi="Calibri" w:cstheme="minorBidi"/>
                                <w:color w:val="000000" w:themeColor="text1"/>
                                <w:kern w:val="24"/>
                                <w:sz w:val="14"/>
                                <w:szCs w:val="14"/>
                              </w:rPr>
                              <w:t>pCO</w:t>
                            </w:r>
                            <w:r>
                              <w:rPr>
                                <w:rFonts w:asciiTheme="minorHAnsi" w:hAnsi="Calibri" w:cstheme="minorBidi"/>
                                <w:color w:val="000000" w:themeColor="text1"/>
                                <w:kern w:val="24"/>
                                <w:position w:val="4"/>
                                <w:sz w:val="14"/>
                                <w:szCs w:val="14"/>
                                <w:vertAlign w:val="superscript"/>
                              </w:rPr>
                              <w:t>[136,137,138]</w:t>
                            </w:r>
                          </w:p>
                          <w:p w14:paraId="40535265" w14:textId="77777777" w:rsidR="005029D0" w:rsidRDefault="005029D0" w:rsidP="006A0C4B">
                            <w:r>
                              <w:rPr>
                                <w:rFonts w:asciiTheme="minorHAnsi" w:hAnsi="Calibri" w:cstheme="minorBidi"/>
                                <w:color w:val="000000" w:themeColor="text1"/>
                                <w:kern w:val="24"/>
                                <w:sz w:val="14"/>
                                <w:szCs w:val="14"/>
                              </w:rPr>
                              <w:t>APG</w:t>
                            </w:r>
                            <w:r>
                              <w:rPr>
                                <w:rFonts w:asciiTheme="minorHAnsi" w:hAnsi="Calibri" w:cstheme="minorBidi"/>
                                <w:color w:val="000000" w:themeColor="text1"/>
                                <w:kern w:val="24"/>
                                <w:position w:val="4"/>
                                <w:sz w:val="14"/>
                                <w:szCs w:val="14"/>
                                <w:vertAlign w:val="superscript"/>
                              </w:rPr>
                              <w:t>[119]</w:t>
                            </w:r>
                          </w:p>
                        </w:txbxContent>
                      </wps:txbx>
                      <wps:bodyPr wrap="square" rtlCol="0">
                        <a:spAutoFit/>
                      </wps:bodyPr>
                    </wps:wsp>
                  </a:graphicData>
                </a:graphic>
              </wp:anchor>
            </w:drawing>
          </mc:Choice>
          <mc:Fallback>
            <w:pict>
              <v:shape id="CuadroTexto 364" o:spid="_x0000_s1107" type="#_x0000_t202" style="position:absolute;left:0;text-align:left;margin-left:123.7pt;margin-top:323.95pt;width:66.75pt;height:100.5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" filled="f" stroked="f">
                <v:textbox style="mso-fit-shape-to-text:t">
                  <w:txbxContent>
                    <w:p w14:paraId="1DED0AB1" w14:textId="77777777" w:rsidR="005029D0" w:rsidRDefault="005029D0" w:rsidP="006A0C4B">
                      <w:r>
                        <w:rPr>
                          <w:rFonts w:asciiTheme="minorHAnsi" w:hAnsi="Calibri" w:cstheme="minorBidi"/>
                          <w:color w:val="000000" w:themeColor="text1"/>
                          <w:kern w:val="24"/>
                          <w:sz w:val="14"/>
                          <w:szCs w:val="14"/>
                        </w:rPr>
                        <w:t>ATO</w:t>
                      </w:r>
                      <w:r>
                        <w:rPr>
                          <w:rFonts w:asciiTheme="minorHAnsi" w:hAnsi="Calibri" w:cstheme="minorBidi"/>
                          <w:color w:val="000000" w:themeColor="text1"/>
                          <w:kern w:val="24"/>
                          <w:position w:val="4"/>
                          <w:sz w:val="14"/>
                          <w:szCs w:val="14"/>
                          <w:vertAlign w:val="superscript"/>
                        </w:rPr>
                        <w:t>[58]</w:t>
                      </w:r>
                    </w:p>
                    <w:p w14:paraId="29BFE06C" w14:textId="77777777" w:rsidR="005029D0" w:rsidRDefault="005029D0" w:rsidP="006A0C4B">
                      <w:r>
                        <w:rPr>
                          <w:rFonts w:asciiTheme="minorHAnsi" w:hAnsi="Calibri" w:cstheme="minorBidi"/>
                          <w:color w:val="000000" w:themeColor="text1"/>
                          <w:kern w:val="24"/>
                          <w:sz w:val="14"/>
                          <w:szCs w:val="14"/>
                        </w:rPr>
                        <w:t>BCA</w:t>
                      </w:r>
                      <w:r>
                        <w:rPr>
                          <w:rFonts w:asciiTheme="minorHAnsi" w:hAnsi="Calibri" w:cstheme="minorBidi"/>
                          <w:color w:val="000000" w:themeColor="text1"/>
                          <w:kern w:val="24"/>
                          <w:position w:val="4"/>
                          <w:sz w:val="14"/>
                          <w:szCs w:val="14"/>
                          <w:vertAlign w:val="superscript"/>
                        </w:rPr>
                        <w:t>[66,67]</w:t>
                      </w:r>
                    </w:p>
                    <w:p w14:paraId="41116AF2" w14:textId="77777777" w:rsidR="005029D0" w:rsidRDefault="005029D0" w:rsidP="006A0C4B">
                      <w:r>
                        <w:rPr>
                          <w:rFonts w:asciiTheme="minorHAnsi" w:hAnsi="Calibri" w:cstheme="minorBidi"/>
                          <w:color w:val="000000" w:themeColor="text1"/>
                          <w:kern w:val="24"/>
                          <w:sz w:val="14"/>
                          <w:szCs w:val="14"/>
                        </w:rPr>
                        <w:t>SQU</w:t>
                      </w:r>
                      <w:r>
                        <w:rPr>
                          <w:rFonts w:asciiTheme="minorHAnsi" w:hAnsi="Calibri" w:cstheme="minorBidi"/>
                          <w:color w:val="000000" w:themeColor="text1"/>
                          <w:kern w:val="24"/>
                          <w:position w:val="4"/>
                          <w:sz w:val="14"/>
                          <w:szCs w:val="14"/>
                          <w:vertAlign w:val="superscript"/>
                        </w:rPr>
                        <w:t>[58]</w:t>
                      </w:r>
                    </w:p>
                    <w:p w14:paraId="5440AC57" w14:textId="77777777" w:rsidR="005029D0" w:rsidRDefault="005029D0" w:rsidP="006A0C4B">
                      <w:r>
                        <w:rPr>
                          <w:rFonts w:asciiTheme="minorHAnsi" w:hAnsi="Calibri" w:cstheme="minorBidi"/>
                          <w:color w:val="000000" w:themeColor="text1"/>
                          <w:kern w:val="24"/>
                          <w:sz w:val="14"/>
                          <w:szCs w:val="14"/>
                        </w:rPr>
                        <w:t>OLEA</w:t>
                      </w:r>
                      <w:r>
                        <w:rPr>
                          <w:rFonts w:asciiTheme="minorHAnsi" w:hAnsi="Calibri" w:cstheme="minorBidi"/>
                          <w:color w:val="000000" w:themeColor="text1"/>
                          <w:kern w:val="24"/>
                          <w:position w:val="4"/>
                          <w:sz w:val="14"/>
                          <w:szCs w:val="14"/>
                          <w:vertAlign w:val="superscript"/>
                        </w:rPr>
                        <w:t>[81]</w:t>
                      </w:r>
                    </w:p>
                    <w:p w14:paraId="50206B0F" w14:textId="77777777" w:rsidR="005029D0" w:rsidRDefault="005029D0" w:rsidP="006A0C4B">
                      <w:r>
                        <w:rPr>
                          <w:rFonts w:asciiTheme="minorHAnsi" w:hAnsi="Calibri" w:cstheme="minorBidi"/>
                          <w:color w:val="000000" w:themeColor="text1"/>
                          <w:kern w:val="24"/>
                          <w:sz w:val="14"/>
                          <w:szCs w:val="14"/>
                        </w:rPr>
                        <w:t>MAS</w:t>
                      </w:r>
                      <w:r>
                        <w:rPr>
                          <w:rFonts w:asciiTheme="minorHAnsi" w:hAnsi="Calibri" w:cstheme="minorBidi"/>
                          <w:color w:val="000000" w:themeColor="text1"/>
                          <w:kern w:val="24"/>
                          <w:position w:val="4"/>
                          <w:sz w:val="14"/>
                          <w:szCs w:val="14"/>
                          <w:vertAlign w:val="superscript"/>
                        </w:rPr>
                        <w:t>[84]</w:t>
                      </w:r>
                    </w:p>
                    <w:p w14:paraId="06B7F60B" w14:textId="77777777" w:rsidR="005029D0" w:rsidRDefault="005029D0" w:rsidP="006A0C4B">
                      <w:r>
                        <w:rPr>
                          <w:rFonts w:asciiTheme="minorHAnsi" w:hAnsi="Calibri" w:cstheme="minorBidi"/>
                          <w:color w:val="000000" w:themeColor="text1"/>
                          <w:kern w:val="24"/>
                          <w:sz w:val="14"/>
                          <w:szCs w:val="14"/>
                        </w:rPr>
                        <w:t>PHE</w:t>
                      </w:r>
                      <w:r>
                        <w:rPr>
                          <w:rFonts w:asciiTheme="minorHAnsi" w:hAnsi="Calibri" w:cstheme="minorBidi"/>
                          <w:color w:val="000000" w:themeColor="text1"/>
                          <w:kern w:val="24"/>
                          <w:position w:val="4"/>
                          <w:sz w:val="14"/>
                          <w:szCs w:val="14"/>
                          <w:vertAlign w:val="superscript"/>
                        </w:rPr>
                        <w:t>[90]</w:t>
                      </w:r>
                    </w:p>
                    <w:p w14:paraId="5A66C46F" w14:textId="77777777" w:rsidR="005029D0" w:rsidRDefault="005029D0" w:rsidP="006A0C4B">
                      <w:r>
                        <w:rPr>
                          <w:rFonts w:asciiTheme="minorHAnsi" w:hAnsi="Calibri" w:cstheme="minorBidi"/>
                          <w:color w:val="000000" w:themeColor="text1"/>
                          <w:kern w:val="24"/>
                          <w:sz w:val="14"/>
                          <w:szCs w:val="14"/>
                        </w:rPr>
                        <w:t>OLEU</w:t>
                      </w:r>
                      <w:r>
                        <w:rPr>
                          <w:rFonts w:asciiTheme="minorHAnsi" w:hAnsi="Calibri" w:cstheme="minorBidi"/>
                          <w:color w:val="000000" w:themeColor="text1"/>
                          <w:kern w:val="24"/>
                          <w:position w:val="4"/>
                          <w:sz w:val="14"/>
                          <w:szCs w:val="14"/>
                          <w:vertAlign w:val="superscript"/>
                        </w:rPr>
                        <w:t>[96,97,99]</w:t>
                      </w:r>
                    </w:p>
                    <w:p w14:paraId="338AB842" w14:textId="77777777" w:rsidR="005029D0" w:rsidRDefault="005029D0" w:rsidP="006A0C4B">
                      <w:r>
                        <w:rPr>
                          <w:rFonts w:asciiTheme="minorHAnsi" w:hAnsi="Calibri" w:cstheme="minorBidi"/>
                          <w:color w:val="000000" w:themeColor="text1"/>
                          <w:kern w:val="24"/>
                          <w:sz w:val="14"/>
                          <w:szCs w:val="14"/>
                        </w:rPr>
                        <w:t>LUT</w:t>
                      </w:r>
                      <w:r>
                        <w:rPr>
                          <w:rFonts w:asciiTheme="minorHAnsi" w:hAnsi="Calibri" w:cstheme="minorBidi"/>
                          <w:color w:val="000000" w:themeColor="text1"/>
                          <w:kern w:val="24"/>
                          <w:position w:val="4"/>
                          <w:sz w:val="14"/>
                          <w:szCs w:val="14"/>
                          <w:vertAlign w:val="superscript"/>
                        </w:rPr>
                        <w:t>[113]</w:t>
                      </w:r>
                    </w:p>
                    <w:p w14:paraId="6BCB7EF6" w14:textId="77777777" w:rsidR="005029D0" w:rsidRDefault="005029D0" w:rsidP="006A0C4B">
                      <w:r>
                        <w:rPr>
                          <w:rFonts w:asciiTheme="minorHAnsi" w:hAnsi="Calibri" w:cstheme="minorBidi"/>
                          <w:color w:val="000000" w:themeColor="text1"/>
                          <w:kern w:val="24"/>
                          <w:sz w:val="14"/>
                          <w:szCs w:val="14"/>
                        </w:rPr>
                        <w:t>VAN</w:t>
                      </w:r>
                      <w:r>
                        <w:rPr>
                          <w:rFonts w:asciiTheme="minorHAnsi" w:hAnsi="Calibri" w:cstheme="minorBidi"/>
                          <w:color w:val="000000" w:themeColor="text1"/>
                          <w:kern w:val="24"/>
                          <w:position w:val="4"/>
                          <w:sz w:val="14"/>
                          <w:szCs w:val="14"/>
                          <w:vertAlign w:val="superscript"/>
                        </w:rPr>
                        <w:t>[129]</w:t>
                      </w:r>
                    </w:p>
                    <w:p w14:paraId="78D28C0A" w14:textId="77777777" w:rsidR="005029D0" w:rsidRDefault="005029D0" w:rsidP="006A0C4B">
                      <w:r>
                        <w:rPr>
                          <w:rFonts w:asciiTheme="minorHAnsi" w:hAnsi="Calibri" w:cstheme="minorBidi"/>
                          <w:color w:val="000000" w:themeColor="text1"/>
                          <w:kern w:val="24"/>
                          <w:sz w:val="14"/>
                          <w:szCs w:val="14"/>
                        </w:rPr>
                        <w:t>pCO</w:t>
                      </w:r>
                      <w:r>
                        <w:rPr>
                          <w:rFonts w:asciiTheme="minorHAnsi" w:hAnsi="Calibri" w:cstheme="minorBidi"/>
                          <w:color w:val="000000" w:themeColor="text1"/>
                          <w:kern w:val="24"/>
                          <w:position w:val="4"/>
                          <w:sz w:val="14"/>
                          <w:szCs w:val="14"/>
                          <w:vertAlign w:val="superscript"/>
                        </w:rPr>
                        <w:t>[136,137,138]</w:t>
                      </w:r>
                    </w:p>
                    <w:p w14:paraId="40535265" w14:textId="77777777" w:rsidR="005029D0" w:rsidRDefault="005029D0" w:rsidP="006A0C4B">
                      <w:r>
                        <w:rPr>
                          <w:rFonts w:asciiTheme="minorHAnsi" w:hAnsi="Calibri" w:cstheme="minorBidi"/>
                          <w:color w:val="000000" w:themeColor="text1"/>
                          <w:kern w:val="24"/>
                          <w:sz w:val="14"/>
                          <w:szCs w:val="14"/>
                        </w:rPr>
                        <w:t>APG</w:t>
                      </w:r>
                      <w:r>
                        <w:rPr>
                          <w:rFonts w:asciiTheme="minorHAnsi" w:hAnsi="Calibri" w:cstheme="minorBidi"/>
                          <w:color w:val="000000" w:themeColor="text1"/>
                          <w:kern w:val="24"/>
                          <w:position w:val="4"/>
                          <w:sz w:val="14"/>
                          <w:szCs w:val="14"/>
                          <w:vertAlign w:val="superscript"/>
                        </w:rPr>
                        <w:t>[119]</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15936" behindDoc="0" locked="0" layoutInCell="1" allowOverlap="1" wp14:anchorId="3008E32A" wp14:editId="5FFF9234">
                <wp:simplePos x="0" y="0"/>
                <wp:positionH relativeFrom="column">
                  <wp:posOffset>2198370</wp:posOffset>
                </wp:positionH>
                <wp:positionV relativeFrom="paragraph">
                  <wp:posOffset>4208145</wp:posOffset>
                </wp:positionV>
                <wp:extent cx="0" cy="972000"/>
                <wp:effectExtent l="63500" t="0" r="38100" b="31750"/>
                <wp:wrapNone/>
                <wp:docPr id="366" name="Conector recto de flecha 36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C8F521-2882-4BDC-8F15-C3FA6BAA2D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72000"/>
                        </a:xfrm>
                        <a:prstGeom prst="straightConnector1">
                          <a:avLst/>
                        </a:prstGeom>
                        <a:ln w="19050">
                          <a:solidFill>
                            <a:srgbClr val="CC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705E39" id="Conector recto de flecha 365" o:spid="_x0000_s1026" type="#_x0000_t32" style="position:absolute;margin-left:173.1pt;margin-top:331.35pt;width:0;height:76.5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" strokecolor="#c00" strokeweight="1.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16960" behindDoc="0" locked="0" layoutInCell="1" allowOverlap="1" wp14:anchorId="6A98CDD3" wp14:editId="031CF7F0">
                <wp:simplePos x="0" y="0"/>
                <wp:positionH relativeFrom="column">
                  <wp:posOffset>2386965</wp:posOffset>
                </wp:positionH>
                <wp:positionV relativeFrom="paragraph">
                  <wp:posOffset>4411980</wp:posOffset>
                </wp:positionV>
                <wp:extent cx="527709" cy="954107"/>
                <wp:effectExtent l="0" t="0" r="0" b="0"/>
                <wp:wrapNone/>
                <wp:docPr id="367" name="CuadroTexto 36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0523D6-902F-41F9-A84E-8CEE2D20EB47}"/>
                    </a:ext>
                  </a:extLst>
                </wp:docPr>
                <wp:cNvGraphicFramePr/>
                <a:graphic xmlns:a="http://schemas.openxmlformats.org/drawingml/2006/main">
                  <a:graphicData uri="http://schemas.microsoft.com/office/word/2010/wordprocessingShape">
                    <wps:wsp>
                      <wps:cNvSpPr txBox="1"/>
                      <wps:spPr>
                        <a:xfrm>
                          <a:off x="0" y="0"/>
                          <a:ext cx="527709" cy="954107"/>
                        </a:xfrm>
                        <a:prstGeom prst="rect">
                          <a:avLst/>
                        </a:prstGeom>
                        <a:noFill/>
                      </wps:spPr>
                      <wps:txbx>
                        <w:txbxContent>
                          <w:p w14:paraId="4E19678B" w14:textId="77777777" w:rsidR="005029D0" w:rsidRPr="008B42A0" w:rsidRDefault="005029D0" w:rsidP="006A0C4B">
                            <w:pPr>
                              <w:rPr>
                                <w:lang w:val="en-US"/>
                              </w:rPr>
                            </w:pPr>
                            <w:r w:rsidRPr="008B42A0">
                              <w:rPr>
                                <w:rFonts w:asciiTheme="minorHAnsi" w:hAnsi="Calibri" w:cstheme="minorBidi"/>
                                <w:color w:val="000000" w:themeColor="text1"/>
                                <w:kern w:val="24"/>
                                <w:sz w:val="14"/>
                                <w:szCs w:val="14"/>
                                <w:lang w:val="en-US"/>
                              </w:rPr>
                              <w:t>ATO</w:t>
                            </w:r>
                            <w:r w:rsidRPr="008B42A0">
                              <w:rPr>
                                <w:rFonts w:asciiTheme="minorHAnsi" w:hAnsi="Calibri" w:cstheme="minorBidi"/>
                                <w:color w:val="000000" w:themeColor="text1"/>
                                <w:kern w:val="24"/>
                                <w:position w:val="4"/>
                                <w:sz w:val="14"/>
                                <w:szCs w:val="14"/>
                                <w:vertAlign w:val="superscript"/>
                                <w:lang w:val="en-US"/>
                              </w:rPr>
                              <w:t>[59,60]</w:t>
                            </w:r>
                          </w:p>
                          <w:p w14:paraId="3FA6271F" w14:textId="77777777" w:rsidR="005029D0" w:rsidRPr="008B42A0" w:rsidRDefault="005029D0" w:rsidP="006A0C4B">
                            <w:pPr>
                              <w:rPr>
                                <w:lang w:val="en-US"/>
                              </w:rPr>
                            </w:pPr>
                            <w:r w:rsidRPr="008B42A0">
                              <w:rPr>
                                <w:rFonts w:asciiTheme="minorHAnsi" w:hAnsi="Calibri" w:cstheme="minorBidi"/>
                                <w:color w:val="000000" w:themeColor="text1"/>
                                <w:kern w:val="24"/>
                                <w:sz w:val="14"/>
                                <w:szCs w:val="14"/>
                                <w:lang w:val="en-US"/>
                              </w:rPr>
                              <w:t>OLEU</w:t>
                            </w:r>
                            <w:r w:rsidRPr="008B42A0">
                              <w:rPr>
                                <w:rFonts w:asciiTheme="minorHAnsi" w:hAnsi="Calibri" w:cstheme="minorBidi"/>
                                <w:color w:val="000000" w:themeColor="text1"/>
                                <w:kern w:val="24"/>
                                <w:position w:val="4"/>
                                <w:sz w:val="14"/>
                                <w:szCs w:val="14"/>
                                <w:vertAlign w:val="superscript"/>
                                <w:lang w:val="en-US"/>
                              </w:rPr>
                              <w:t>[95]</w:t>
                            </w:r>
                          </w:p>
                          <w:p w14:paraId="6437B21E" w14:textId="77777777" w:rsidR="005029D0" w:rsidRPr="008B42A0" w:rsidRDefault="005029D0" w:rsidP="006A0C4B">
                            <w:pPr>
                              <w:rPr>
                                <w:lang w:val="en-US"/>
                              </w:rPr>
                            </w:pPr>
                            <w:r w:rsidRPr="008B42A0">
                              <w:rPr>
                                <w:rFonts w:asciiTheme="minorHAnsi" w:hAnsi="Calibri" w:cstheme="minorBidi"/>
                                <w:color w:val="000000" w:themeColor="text1"/>
                                <w:kern w:val="24"/>
                                <w:sz w:val="14"/>
                                <w:szCs w:val="14"/>
                                <w:lang w:val="en-US"/>
                              </w:rPr>
                              <w:t>HYD</w:t>
                            </w:r>
                            <w:r w:rsidRPr="008B42A0">
                              <w:rPr>
                                <w:rFonts w:asciiTheme="minorHAnsi" w:hAnsi="Calibri" w:cstheme="minorBidi"/>
                                <w:color w:val="000000" w:themeColor="text1"/>
                                <w:kern w:val="24"/>
                                <w:position w:val="4"/>
                                <w:sz w:val="14"/>
                                <w:szCs w:val="14"/>
                                <w:vertAlign w:val="superscript"/>
                                <w:lang w:val="en-US"/>
                              </w:rPr>
                              <w:t>[108]</w:t>
                            </w:r>
                          </w:p>
                          <w:p w14:paraId="47B90B47" w14:textId="77777777" w:rsidR="005029D0" w:rsidRPr="008B42A0" w:rsidRDefault="005029D0" w:rsidP="006A0C4B">
                            <w:pPr>
                              <w:rPr>
                                <w:lang w:val="en-US"/>
                              </w:rPr>
                            </w:pPr>
                            <w:r w:rsidRPr="008B42A0">
                              <w:rPr>
                                <w:rFonts w:asciiTheme="minorHAnsi" w:hAnsi="Calibri" w:cstheme="minorBidi"/>
                                <w:color w:val="000000" w:themeColor="text1"/>
                                <w:kern w:val="24"/>
                                <w:sz w:val="14"/>
                                <w:szCs w:val="14"/>
                                <w:lang w:val="en-US"/>
                              </w:rPr>
                              <w:t>APG</w:t>
                            </w:r>
                            <w:r w:rsidRPr="008B42A0">
                              <w:rPr>
                                <w:rFonts w:asciiTheme="minorHAnsi" w:hAnsi="Calibri" w:cstheme="minorBidi"/>
                                <w:color w:val="000000" w:themeColor="text1"/>
                                <w:kern w:val="24"/>
                                <w:position w:val="4"/>
                                <w:sz w:val="14"/>
                                <w:szCs w:val="14"/>
                                <w:vertAlign w:val="superscript"/>
                                <w:lang w:val="en-US"/>
                              </w:rPr>
                              <w:t>[120]</w:t>
                            </w:r>
                          </w:p>
                          <w:p w14:paraId="20F28F97" w14:textId="77777777" w:rsidR="005029D0" w:rsidRPr="008B42A0" w:rsidRDefault="005029D0" w:rsidP="006A0C4B">
                            <w:pPr>
                              <w:rPr>
                                <w:lang w:val="en-US"/>
                              </w:rPr>
                            </w:pPr>
                            <w:r w:rsidRPr="008B42A0">
                              <w:rPr>
                                <w:rFonts w:asciiTheme="minorHAnsi" w:hAnsi="Calibri" w:cstheme="minorBidi"/>
                                <w:color w:val="000000" w:themeColor="text1"/>
                                <w:kern w:val="24"/>
                                <w:sz w:val="14"/>
                                <w:szCs w:val="14"/>
                                <w:lang w:val="en-US"/>
                              </w:rPr>
                              <w:t>LUT</w:t>
                            </w:r>
                            <w:r w:rsidRPr="008B42A0">
                              <w:rPr>
                                <w:rFonts w:asciiTheme="minorHAnsi" w:hAnsi="Calibri" w:cstheme="minorBidi"/>
                                <w:color w:val="000000" w:themeColor="text1"/>
                                <w:kern w:val="24"/>
                                <w:position w:val="4"/>
                                <w:sz w:val="14"/>
                                <w:szCs w:val="14"/>
                                <w:vertAlign w:val="superscript"/>
                                <w:lang w:val="en-US"/>
                              </w:rPr>
                              <w:t>[110]</w:t>
                            </w:r>
                          </w:p>
                        </w:txbxContent>
                      </wps:txbx>
                      <wps:bodyPr wrap="none" rtlCol="0">
                        <a:spAutoFit/>
                      </wps:bodyPr>
                    </wps:wsp>
                  </a:graphicData>
                </a:graphic>
              </wp:anchor>
            </w:drawing>
          </mc:Choice>
          <mc:Fallback>
            <w:pict>
              <v:shape id="CuadroTexto 366" o:spid="_x0000_s1108" type="#_x0000_t202" style="position:absolute;left:0;text-align:left;margin-left:187.95pt;margin-top:347.4pt;width:41.55pt;height:75.15pt;z-index:251816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" filled="f" stroked="f">
                <v:textbox style="mso-fit-shape-to-text:t">
                  <w:txbxContent>
                    <w:p w14:paraId="4E19678B" w14:textId="77777777" w:rsidR="005029D0" w:rsidRPr="008B42A0" w:rsidRDefault="005029D0" w:rsidP="006A0C4B">
                      <w:pPr>
                        <w:rPr>
                          <w:lang w:val="en-US"/>
                        </w:rPr>
                      </w:pPr>
                      <w:r w:rsidRPr="008B42A0">
                        <w:rPr>
                          <w:rFonts w:asciiTheme="minorHAnsi" w:hAnsi="Calibri" w:cstheme="minorBidi"/>
                          <w:color w:val="000000" w:themeColor="text1"/>
                          <w:kern w:val="24"/>
                          <w:sz w:val="14"/>
                          <w:szCs w:val="14"/>
                          <w:lang w:val="en-US"/>
                        </w:rPr>
                        <w:t>ATO</w:t>
                      </w:r>
                      <w:r w:rsidRPr="008B42A0">
                        <w:rPr>
                          <w:rFonts w:asciiTheme="minorHAnsi" w:hAnsi="Calibri" w:cstheme="minorBidi"/>
                          <w:color w:val="000000" w:themeColor="text1"/>
                          <w:kern w:val="24"/>
                          <w:position w:val="4"/>
                          <w:sz w:val="14"/>
                          <w:szCs w:val="14"/>
                          <w:vertAlign w:val="superscript"/>
                          <w:lang w:val="en-US"/>
                        </w:rPr>
                        <w:t>[59,60]</w:t>
                      </w:r>
                    </w:p>
                    <w:p w14:paraId="3FA6271F" w14:textId="77777777" w:rsidR="005029D0" w:rsidRPr="008B42A0" w:rsidRDefault="005029D0" w:rsidP="006A0C4B">
                      <w:pPr>
                        <w:rPr>
                          <w:lang w:val="en-US"/>
                        </w:rPr>
                      </w:pPr>
                      <w:r w:rsidRPr="008B42A0">
                        <w:rPr>
                          <w:rFonts w:asciiTheme="minorHAnsi" w:hAnsi="Calibri" w:cstheme="minorBidi"/>
                          <w:color w:val="000000" w:themeColor="text1"/>
                          <w:kern w:val="24"/>
                          <w:sz w:val="14"/>
                          <w:szCs w:val="14"/>
                          <w:lang w:val="en-US"/>
                        </w:rPr>
                        <w:t>OLEU</w:t>
                      </w:r>
                      <w:r w:rsidRPr="008B42A0">
                        <w:rPr>
                          <w:rFonts w:asciiTheme="minorHAnsi" w:hAnsi="Calibri" w:cstheme="minorBidi"/>
                          <w:color w:val="000000" w:themeColor="text1"/>
                          <w:kern w:val="24"/>
                          <w:position w:val="4"/>
                          <w:sz w:val="14"/>
                          <w:szCs w:val="14"/>
                          <w:vertAlign w:val="superscript"/>
                          <w:lang w:val="en-US"/>
                        </w:rPr>
                        <w:t>[95]</w:t>
                      </w:r>
                    </w:p>
                    <w:p w14:paraId="6437B21E" w14:textId="77777777" w:rsidR="005029D0" w:rsidRPr="008B42A0" w:rsidRDefault="005029D0" w:rsidP="006A0C4B">
                      <w:pPr>
                        <w:rPr>
                          <w:lang w:val="en-US"/>
                        </w:rPr>
                      </w:pPr>
                      <w:r w:rsidRPr="008B42A0">
                        <w:rPr>
                          <w:rFonts w:asciiTheme="minorHAnsi" w:hAnsi="Calibri" w:cstheme="minorBidi"/>
                          <w:color w:val="000000" w:themeColor="text1"/>
                          <w:kern w:val="24"/>
                          <w:sz w:val="14"/>
                          <w:szCs w:val="14"/>
                          <w:lang w:val="en-US"/>
                        </w:rPr>
                        <w:t>HYD</w:t>
                      </w:r>
                      <w:r w:rsidRPr="008B42A0">
                        <w:rPr>
                          <w:rFonts w:asciiTheme="minorHAnsi" w:hAnsi="Calibri" w:cstheme="minorBidi"/>
                          <w:color w:val="000000" w:themeColor="text1"/>
                          <w:kern w:val="24"/>
                          <w:position w:val="4"/>
                          <w:sz w:val="14"/>
                          <w:szCs w:val="14"/>
                          <w:vertAlign w:val="superscript"/>
                          <w:lang w:val="en-US"/>
                        </w:rPr>
                        <w:t>[108]</w:t>
                      </w:r>
                    </w:p>
                    <w:p w14:paraId="47B90B47" w14:textId="77777777" w:rsidR="005029D0" w:rsidRPr="008B42A0" w:rsidRDefault="005029D0" w:rsidP="006A0C4B">
                      <w:pPr>
                        <w:rPr>
                          <w:lang w:val="en-US"/>
                        </w:rPr>
                      </w:pPr>
                      <w:r w:rsidRPr="008B42A0">
                        <w:rPr>
                          <w:rFonts w:asciiTheme="minorHAnsi" w:hAnsi="Calibri" w:cstheme="minorBidi"/>
                          <w:color w:val="000000" w:themeColor="text1"/>
                          <w:kern w:val="24"/>
                          <w:sz w:val="14"/>
                          <w:szCs w:val="14"/>
                          <w:lang w:val="en-US"/>
                        </w:rPr>
                        <w:t>APG</w:t>
                      </w:r>
                      <w:r w:rsidRPr="008B42A0">
                        <w:rPr>
                          <w:rFonts w:asciiTheme="minorHAnsi" w:hAnsi="Calibri" w:cstheme="minorBidi"/>
                          <w:color w:val="000000" w:themeColor="text1"/>
                          <w:kern w:val="24"/>
                          <w:position w:val="4"/>
                          <w:sz w:val="14"/>
                          <w:szCs w:val="14"/>
                          <w:vertAlign w:val="superscript"/>
                          <w:lang w:val="en-US"/>
                        </w:rPr>
                        <w:t>[120]</w:t>
                      </w:r>
                    </w:p>
                    <w:p w14:paraId="20F28F97" w14:textId="77777777" w:rsidR="005029D0" w:rsidRPr="008B42A0" w:rsidRDefault="005029D0" w:rsidP="006A0C4B">
                      <w:pPr>
                        <w:rPr>
                          <w:lang w:val="en-US"/>
                        </w:rPr>
                      </w:pPr>
                      <w:r w:rsidRPr="008B42A0">
                        <w:rPr>
                          <w:rFonts w:asciiTheme="minorHAnsi" w:hAnsi="Calibri" w:cstheme="minorBidi"/>
                          <w:color w:val="000000" w:themeColor="text1"/>
                          <w:kern w:val="24"/>
                          <w:sz w:val="14"/>
                          <w:szCs w:val="14"/>
                          <w:lang w:val="en-US"/>
                        </w:rPr>
                        <w:t>LUT</w:t>
                      </w:r>
                      <w:r w:rsidRPr="008B42A0">
                        <w:rPr>
                          <w:rFonts w:asciiTheme="minorHAnsi" w:hAnsi="Calibri" w:cstheme="minorBidi"/>
                          <w:color w:val="000000" w:themeColor="text1"/>
                          <w:kern w:val="24"/>
                          <w:position w:val="4"/>
                          <w:sz w:val="14"/>
                          <w:szCs w:val="14"/>
                          <w:vertAlign w:val="superscript"/>
                          <w:lang w:val="en-US"/>
                        </w:rPr>
                        <w:t>[110]</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17984" behindDoc="0" locked="0" layoutInCell="1" allowOverlap="1" wp14:anchorId="09607554" wp14:editId="5481C167">
                <wp:simplePos x="0" y="0"/>
                <wp:positionH relativeFrom="column">
                  <wp:posOffset>2835910</wp:posOffset>
                </wp:positionH>
                <wp:positionV relativeFrom="paragraph">
                  <wp:posOffset>4478020</wp:posOffset>
                </wp:positionV>
                <wp:extent cx="0" cy="396000"/>
                <wp:effectExtent l="63500" t="0" r="38100" b="23495"/>
                <wp:wrapNone/>
                <wp:docPr id="369" name="Conector recto de flecha 36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A71F14-AE86-42C1-9453-6B0873CA5A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000"/>
                        </a:xfrm>
                        <a:prstGeom prst="straightConnector1">
                          <a:avLst/>
                        </a:prstGeom>
                        <a:ln w="19050">
                          <a:solidFill>
                            <a:srgbClr val="CC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E82886" id="Conector recto de flecha 368" o:spid="_x0000_s1026" type="#_x0000_t32" style="position:absolute;margin-left:223.3pt;margin-top:352.6pt;width:0;height:31.2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" strokecolor="#c00" strokeweight="1.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19008" behindDoc="0" locked="0" layoutInCell="1" allowOverlap="1" wp14:anchorId="10E56B7F" wp14:editId="4C599E95">
                <wp:simplePos x="0" y="0"/>
                <wp:positionH relativeFrom="column">
                  <wp:posOffset>3857625</wp:posOffset>
                </wp:positionH>
                <wp:positionV relativeFrom="paragraph">
                  <wp:posOffset>4575810</wp:posOffset>
                </wp:positionV>
                <wp:extent cx="527709" cy="738664"/>
                <wp:effectExtent l="0" t="0" r="0" b="0"/>
                <wp:wrapNone/>
                <wp:docPr id="370" name="CuadroTexto 36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97D24B-054F-4A5D-B236-1B201D4766F9}"/>
                    </a:ext>
                  </a:extLst>
                </wp:docPr>
                <wp:cNvGraphicFramePr/>
                <a:graphic xmlns:a="http://schemas.openxmlformats.org/drawingml/2006/main">
                  <a:graphicData uri="http://schemas.microsoft.com/office/word/2010/wordprocessingShape">
                    <wps:wsp>
                      <wps:cNvSpPr txBox="1"/>
                      <wps:spPr>
                        <a:xfrm>
                          <a:off x="0" y="0"/>
                          <a:ext cx="527709" cy="738664"/>
                        </a:xfrm>
                        <a:prstGeom prst="rect">
                          <a:avLst/>
                        </a:prstGeom>
                        <a:noFill/>
                      </wps:spPr>
                      <wps:txbx>
                        <w:txbxContent>
                          <w:p w14:paraId="5CB0A868" w14:textId="77777777" w:rsidR="005029D0" w:rsidRPr="008B42A0" w:rsidRDefault="005029D0" w:rsidP="006A0C4B">
                            <w:pPr>
                              <w:rPr>
                                <w:lang w:val="en-US"/>
                              </w:rPr>
                            </w:pPr>
                            <w:r w:rsidRPr="008B42A0">
                              <w:rPr>
                                <w:rFonts w:asciiTheme="minorHAnsi" w:hAnsi="Calibri" w:cstheme="minorBidi"/>
                                <w:color w:val="000000" w:themeColor="text1"/>
                                <w:kern w:val="24"/>
                                <w:sz w:val="14"/>
                                <w:szCs w:val="14"/>
                                <w:lang w:val="en-US"/>
                              </w:rPr>
                              <w:t>ATO</w:t>
                            </w:r>
                            <w:r w:rsidRPr="008B42A0">
                              <w:rPr>
                                <w:rFonts w:asciiTheme="minorHAnsi" w:hAnsi="Calibri" w:cstheme="minorBidi"/>
                                <w:color w:val="000000" w:themeColor="text1"/>
                                <w:kern w:val="24"/>
                                <w:position w:val="4"/>
                                <w:sz w:val="14"/>
                                <w:szCs w:val="14"/>
                                <w:vertAlign w:val="superscript"/>
                                <w:lang w:val="en-US"/>
                              </w:rPr>
                              <w:t>[59,60]</w:t>
                            </w:r>
                          </w:p>
                          <w:p w14:paraId="00397E11" w14:textId="77777777" w:rsidR="005029D0" w:rsidRPr="008B42A0" w:rsidRDefault="005029D0" w:rsidP="006A0C4B">
                            <w:pPr>
                              <w:rPr>
                                <w:lang w:val="en-US"/>
                              </w:rPr>
                            </w:pPr>
                            <w:r w:rsidRPr="008B42A0">
                              <w:rPr>
                                <w:rFonts w:asciiTheme="minorHAnsi" w:hAnsi="Calibri" w:cstheme="minorBidi"/>
                                <w:color w:val="000000" w:themeColor="text1"/>
                                <w:kern w:val="24"/>
                                <w:sz w:val="14"/>
                                <w:szCs w:val="14"/>
                                <w:lang w:val="en-US"/>
                              </w:rPr>
                              <w:t>SQU</w:t>
                            </w:r>
                            <w:r w:rsidRPr="008B42A0">
                              <w:rPr>
                                <w:rFonts w:asciiTheme="minorHAnsi" w:hAnsi="Calibri" w:cstheme="minorBidi"/>
                                <w:color w:val="000000" w:themeColor="text1"/>
                                <w:kern w:val="24"/>
                                <w:position w:val="4"/>
                                <w:sz w:val="14"/>
                                <w:szCs w:val="14"/>
                                <w:vertAlign w:val="superscript"/>
                                <w:lang w:val="en-US"/>
                              </w:rPr>
                              <w:t>[75]</w:t>
                            </w:r>
                          </w:p>
                          <w:p w14:paraId="38A61550" w14:textId="77777777" w:rsidR="005029D0" w:rsidRPr="008B42A0" w:rsidRDefault="005029D0" w:rsidP="006A0C4B">
                            <w:pPr>
                              <w:rPr>
                                <w:lang w:val="en-US"/>
                              </w:rPr>
                            </w:pPr>
                            <w:r w:rsidRPr="008B42A0">
                              <w:rPr>
                                <w:rFonts w:asciiTheme="minorHAnsi" w:hAnsi="Calibri" w:cstheme="minorBidi"/>
                                <w:color w:val="000000" w:themeColor="text1"/>
                                <w:kern w:val="24"/>
                                <w:sz w:val="14"/>
                                <w:szCs w:val="14"/>
                                <w:lang w:val="en-US"/>
                              </w:rPr>
                              <w:t>OLEU</w:t>
                            </w:r>
                            <w:r w:rsidRPr="008B42A0">
                              <w:rPr>
                                <w:rFonts w:asciiTheme="minorHAnsi" w:hAnsi="Calibri" w:cstheme="minorBidi"/>
                                <w:color w:val="000000" w:themeColor="text1"/>
                                <w:kern w:val="24"/>
                                <w:position w:val="4"/>
                                <w:sz w:val="14"/>
                                <w:szCs w:val="14"/>
                                <w:vertAlign w:val="superscript"/>
                                <w:lang w:val="en-US"/>
                              </w:rPr>
                              <w:t>[95]</w:t>
                            </w:r>
                          </w:p>
                          <w:p w14:paraId="568C6E50" w14:textId="77777777" w:rsidR="005029D0" w:rsidRPr="008B42A0" w:rsidRDefault="005029D0" w:rsidP="006A0C4B">
                            <w:pPr>
                              <w:rPr>
                                <w:lang w:val="en-US"/>
                              </w:rPr>
                            </w:pPr>
                            <w:r w:rsidRPr="008B42A0">
                              <w:rPr>
                                <w:rFonts w:asciiTheme="minorHAnsi" w:hAnsi="Calibri" w:cstheme="minorBidi"/>
                                <w:color w:val="000000" w:themeColor="text1"/>
                                <w:kern w:val="24"/>
                                <w:sz w:val="14"/>
                                <w:szCs w:val="14"/>
                                <w:lang w:val="en-US"/>
                              </w:rPr>
                              <w:t>HYD</w:t>
                            </w:r>
                            <w:r w:rsidRPr="008B42A0">
                              <w:rPr>
                                <w:rFonts w:asciiTheme="minorHAnsi" w:hAnsi="Calibri" w:cstheme="minorBidi"/>
                                <w:color w:val="000000" w:themeColor="text1"/>
                                <w:kern w:val="24"/>
                                <w:position w:val="4"/>
                                <w:sz w:val="14"/>
                                <w:szCs w:val="14"/>
                                <w:vertAlign w:val="superscript"/>
                                <w:lang w:val="en-US"/>
                              </w:rPr>
                              <w:t>[108]</w:t>
                            </w:r>
                          </w:p>
                          <w:p w14:paraId="6470C987" w14:textId="77777777" w:rsidR="005029D0" w:rsidRPr="008B42A0" w:rsidRDefault="005029D0" w:rsidP="006A0C4B">
                            <w:pPr>
                              <w:rPr>
                                <w:lang w:val="en-US"/>
                              </w:rPr>
                            </w:pPr>
                            <w:r w:rsidRPr="008B42A0">
                              <w:rPr>
                                <w:rFonts w:asciiTheme="minorHAnsi" w:hAnsi="Calibri" w:cstheme="minorBidi"/>
                                <w:color w:val="000000" w:themeColor="text1"/>
                                <w:kern w:val="24"/>
                                <w:sz w:val="14"/>
                                <w:szCs w:val="14"/>
                                <w:lang w:val="en-US"/>
                              </w:rPr>
                              <w:t>LUT</w:t>
                            </w:r>
                            <w:r w:rsidRPr="008B42A0">
                              <w:rPr>
                                <w:rFonts w:asciiTheme="minorHAnsi" w:hAnsi="Calibri" w:cstheme="minorBidi"/>
                                <w:color w:val="000000" w:themeColor="text1"/>
                                <w:kern w:val="24"/>
                                <w:position w:val="4"/>
                                <w:sz w:val="14"/>
                                <w:szCs w:val="14"/>
                                <w:vertAlign w:val="superscript"/>
                                <w:lang w:val="en-US"/>
                              </w:rPr>
                              <w:t>[112]</w:t>
                            </w:r>
                          </w:p>
                          <w:p w14:paraId="55F03169" w14:textId="77777777" w:rsidR="005029D0" w:rsidRDefault="005029D0" w:rsidP="006A0C4B">
                            <w:r>
                              <w:rPr>
                                <w:rFonts w:asciiTheme="minorHAnsi" w:hAnsi="Calibri" w:cstheme="minorBidi"/>
                                <w:color w:val="000000" w:themeColor="text1"/>
                                <w:kern w:val="24"/>
                                <w:sz w:val="14"/>
                                <w:szCs w:val="14"/>
                              </w:rPr>
                              <w:t>APG</w:t>
                            </w:r>
                            <w:r>
                              <w:rPr>
                                <w:rFonts w:asciiTheme="minorHAnsi" w:hAnsi="Calibri" w:cstheme="minorBidi"/>
                                <w:color w:val="000000" w:themeColor="text1"/>
                                <w:kern w:val="24"/>
                                <w:position w:val="4"/>
                                <w:sz w:val="14"/>
                                <w:szCs w:val="14"/>
                                <w:vertAlign w:val="superscript"/>
                              </w:rPr>
                              <w:t>[120]</w:t>
                            </w:r>
                          </w:p>
                        </w:txbxContent>
                      </wps:txbx>
                      <wps:bodyPr wrap="none" rtlCol="0">
                        <a:spAutoFit/>
                      </wps:bodyPr>
                    </wps:wsp>
                  </a:graphicData>
                </a:graphic>
              </wp:anchor>
            </w:drawing>
          </mc:Choice>
          <mc:Fallback>
            <w:pict>
              <v:shape id="CuadroTexto 369" o:spid="_x0000_s1109" type="#_x0000_t202" style="position:absolute;left:0;text-align:left;margin-left:303.75pt;margin-top:360.3pt;width:41.55pt;height:58.15pt;z-index:251819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" filled="f" stroked="f">
                <v:textbox style="mso-fit-shape-to-text:t">
                  <w:txbxContent>
                    <w:p w14:paraId="5CB0A868" w14:textId="77777777" w:rsidR="005029D0" w:rsidRPr="008B42A0" w:rsidRDefault="005029D0" w:rsidP="006A0C4B">
                      <w:pPr>
                        <w:rPr>
                          <w:lang w:val="en-US"/>
                        </w:rPr>
                      </w:pPr>
                      <w:r w:rsidRPr="008B42A0">
                        <w:rPr>
                          <w:rFonts w:asciiTheme="minorHAnsi" w:hAnsi="Calibri" w:cstheme="minorBidi"/>
                          <w:color w:val="000000" w:themeColor="text1"/>
                          <w:kern w:val="24"/>
                          <w:sz w:val="14"/>
                          <w:szCs w:val="14"/>
                          <w:lang w:val="en-US"/>
                        </w:rPr>
                        <w:t>ATO</w:t>
                      </w:r>
                      <w:r w:rsidRPr="008B42A0">
                        <w:rPr>
                          <w:rFonts w:asciiTheme="minorHAnsi" w:hAnsi="Calibri" w:cstheme="minorBidi"/>
                          <w:color w:val="000000" w:themeColor="text1"/>
                          <w:kern w:val="24"/>
                          <w:position w:val="4"/>
                          <w:sz w:val="14"/>
                          <w:szCs w:val="14"/>
                          <w:vertAlign w:val="superscript"/>
                          <w:lang w:val="en-US"/>
                        </w:rPr>
                        <w:t>[59,60]</w:t>
                      </w:r>
                    </w:p>
                    <w:p w14:paraId="00397E11" w14:textId="77777777" w:rsidR="005029D0" w:rsidRPr="008B42A0" w:rsidRDefault="005029D0" w:rsidP="006A0C4B">
                      <w:pPr>
                        <w:rPr>
                          <w:lang w:val="en-US"/>
                        </w:rPr>
                      </w:pPr>
                      <w:r w:rsidRPr="008B42A0">
                        <w:rPr>
                          <w:rFonts w:asciiTheme="minorHAnsi" w:hAnsi="Calibri" w:cstheme="minorBidi"/>
                          <w:color w:val="000000" w:themeColor="text1"/>
                          <w:kern w:val="24"/>
                          <w:sz w:val="14"/>
                          <w:szCs w:val="14"/>
                          <w:lang w:val="en-US"/>
                        </w:rPr>
                        <w:t>SQU</w:t>
                      </w:r>
                      <w:r w:rsidRPr="008B42A0">
                        <w:rPr>
                          <w:rFonts w:asciiTheme="minorHAnsi" w:hAnsi="Calibri" w:cstheme="minorBidi"/>
                          <w:color w:val="000000" w:themeColor="text1"/>
                          <w:kern w:val="24"/>
                          <w:position w:val="4"/>
                          <w:sz w:val="14"/>
                          <w:szCs w:val="14"/>
                          <w:vertAlign w:val="superscript"/>
                          <w:lang w:val="en-US"/>
                        </w:rPr>
                        <w:t>[75]</w:t>
                      </w:r>
                    </w:p>
                    <w:p w14:paraId="38A61550" w14:textId="77777777" w:rsidR="005029D0" w:rsidRPr="008B42A0" w:rsidRDefault="005029D0" w:rsidP="006A0C4B">
                      <w:pPr>
                        <w:rPr>
                          <w:lang w:val="en-US"/>
                        </w:rPr>
                      </w:pPr>
                      <w:r w:rsidRPr="008B42A0">
                        <w:rPr>
                          <w:rFonts w:asciiTheme="minorHAnsi" w:hAnsi="Calibri" w:cstheme="minorBidi"/>
                          <w:color w:val="000000" w:themeColor="text1"/>
                          <w:kern w:val="24"/>
                          <w:sz w:val="14"/>
                          <w:szCs w:val="14"/>
                          <w:lang w:val="en-US"/>
                        </w:rPr>
                        <w:t>OLEU</w:t>
                      </w:r>
                      <w:r w:rsidRPr="008B42A0">
                        <w:rPr>
                          <w:rFonts w:asciiTheme="minorHAnsi" w:hAnsi="Calibri" w:cstheme="minorBidi"/>
                          <w:color w:val="000000" w:themeColor="text1"/>
                          <w:kern w:val="24"/>
                          <w:position w:val="4"/>
                          <w:sz w:val="14"/>
                          <w:szCs w:val="14"/>
                          <w:vertAlign w:val="superscript"/>
                          <w:lang w:val="en-US"/>
                        </w:rPr>
                        <w:t>[95]</w:t>
                      </w:r>
                    </w:p>
                    <w:p w14:paraId="568C6E50" w14:textId="77777777" w:rsidR="005029D0" w:rsidRPr="008B42A0" w:rsidRDefault="005029D0" w:rsidP="006A0C4B">
                      <w:pPr>
                        <w:rPr>
                          <w:lang w:val="en-US"/>
                        </w:rPr>
                      </w:pPr>
                      <w:r w:rsidRPr="008B42A0">
                        <w:rPr>
                          <w:rFonts w:asciiTheme="minorHAnsi" w:hAnsi="Calibri" w:cstheme="minorBidi"/>
                          <w:color w:val="000000" w:themeColor="text1"/>
                          <w:kern w:val="24"/>
                          <w:sz w:val="14"/>
                          <w:szCs w:val="14"/>
                          <w:lang w:val="en-US"/>
                        </w:rPr>
                        <w:t>HYD</w:t>
                      </w:r>
                      <w:r w:rsidRPr="008B42A0">
                        <w:rPr>
                          <w:rFonts w:asciiTheme="minorHAnsi" w:hAnsi="Calibri" w:cstheme="minorBidi"/>
                          <w:color w:val="000000" w:themeColor="text1"/>
                          <w:kern w:val="24"/>
                          <w:position w:val="4"/>
                          <w:sz w:val="14"/>
                          <w:szCs w:val="14"/>
                          <w:vertAlign w:val="superscript"/>
                          <w:lang w:val="en-US"/>
                        </w:rPr>
                        <w:t>[108]</w:t>
                      </w:r>
                    </w:p>
                    <w:p w14:paraId="6470C987" w14:textId="77777777" w:rsidR="005029D0" w:rsidRPr="008B42A0" w:rsidRDefault="005029D0" w:rsidP="006A0C4B">
                      <w:pPr>
                        <w:rPr>
                          <w:lang w:val="en-US"/>
                        </w:rPr>
                      </w:pPr>
                      <w:r w:rsidRPr="008B42A0">
                        <w:rPr>
                          <w:rFonts w:asciiTheme="minorHAnsi" w:hAnsi="Calibri" w:cstheme="minorBidi"/>
                          <w:color w:val="000000" w:themeColor="text1"/>
                          <w:kern w:val="24"/>
                          <w:sz w:val="14"/>
                          <w:szCs w:val="14"/>
                          <w:lang w:val="en-US"/>
                        </w:rPr>
                        <w:t>LUT</w:t>
                      </w:r>
                      <w:r w:rsidRPr="008B42A0">
                        <w:rPr>
                          <w:rFonts w:asciiTheme="minorHAnsi" w:hAnsi="Calibri" w:cstheme="minorBidi"/>
                          <w:color w:val="000000" w:themeColor="text1"/>
                          <w:kern w:val="24"/>
                          <w:position w:val="4"/>
                          <w:sz w:val="14"/>
                          <w:szCs w:val="14"/>
                          <w:vertAlign w:val="superscript"/>
                          <w:lang w:val="en-US"/>
                        </w:rPr>
                        <w:t>[112]</w:t>
                      </w:r>
                    </w:p>
                    <w:p w14:paraId="55F03169" w14:textId="77777777" w:rsidR="005029D0" w:rsidRDefault="005029D0" w:rsidP="006A0C4B">
                      <w:r>
                        <w:rPr>
                          <w:rFonts w:asciiTheme="minorHAnsi" w:hAnsi="Calibri" w:cstheme="minorBidi"/>
                          <w:color w:val="000000" w:themeColor="text1"/>
                          <w:kern w:val="24"/>
                          <w:sz w:val="14"/>
                          <w:szCs w:val="14"/>
                        </w:rPr>
                        <w:t>APG</w:t>
                      </w:r>
                      <w:r>
                        <w:rPr>
                          <w:rFonts w:asciiTheme="minorHAnsi" w:hAnsi="Calibri" w:cstheme="minorBidi"/>
                          <w:color w:val="000000" w:themeColor="text1"/>
                          <w:kern w:val="24"/>
                          <w:position w:val="4"/>
                          <w:sz w:val="14"/>
                          <w:szCs w:val="14"/>
                          <w:vertAlign w:val="superscript"/>
                        </w:rPr>
                        <w:t>[120]</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20032" behindDoc="0" locked="0" layoutInCell="1" allowOverlap="1" wp14:anchorId="2525A3DB" wp14:editId="300BC75A">
                <wp:simplePos x="0" y="0"/>
                <wp:positionH relativeFrom="column">
                  <wp:posOffset>4310380</wp:posOffset>
                </wp:positionH>
                <wp:positionV relativeFrom="paragraph">
                  <wp:posOffset>4664075</wp:posOffset>
                </wp:positionV>
                <wp:extent cx="0" cy="576000"/>
                <wp:effectExtent l="63500" t="0" r="38100" b="33655"/>
                <wp:wrapNone/>
                <wp:docPr id="371" name="Conector recto de flecha 37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C81E8C-520B-476D-8FC9-26BCE0FA97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6000"/>
                        </a:xfrm>
                        <a:prstGeom prst="straightConnector1">
                          <a:avLst/>
                        </a:prstGeom>
                        <a:ln w="19050">
                          <a:solidFill>
                            <a:srgbClr val="CC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673299" id="Conector recto de flecha 370" o:spid="_x0000_s1026" type="#_x0000_t32" style="position:absolute;margin-left:339.4pt;margin-top:367.25pt;width:0;height:45.3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" strokecolor="#c00" strokeweight="1.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21056" behindDoc="0" locked="0" layoutInCell="1" allowOverlap="1" wp14:anchorId="4EEB836A" wp14:editId="3C1D4A6E">
                <wp:simplePos x="0" y="0"/>
                <wp:positionH relativeFrom="column">
                  <wp:posOffset>4664710</wp:posOffset>
                </wp:positionH>
                <wp:positionV relativeFrom="paragraph">
                  <wp:posOffset>4584700</wp:posOffset>
                </wp:positionV>
                <wp:extent cx="548548" cy="523220"/>
                <wp:effectExtent l="0" t="0" r="0" b="0"/>
                <wp:wrapNone/>
                <wp:docPr id="372" name="CuadroTexto 37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B4B849-7181-4364-8D10-FDD86FCF8335}"/>
                    </a:ext>
                  </a:extLst>
                </wp:docPr>
                <wp:cNvGraphicFramePr/>
                <a:graphic xmlns:a="http://schemas.openxmlformats.org/drawingml/2006/main">
                  <a:graphicData uri="http://schemas.microsoft.com/office/word/2010/wordprocessingShape">
                    <wps:wsp>
                      <wps:cNvSpPr txBox="1"/>
                      <wps:spPr>
                        <a:xfrm>
                          <a:off x="0" y="0"/>
                          <a:ext cx="548548" cy="523220"/>
                        </a:xfrm>
                        <a:prstGeom prst="rect">
                          <a:avLst/>
                        </a:prstGeom>
                        <a:noFill/>
                      </wps:spPr>
                      <wps:txbx>
                        <w:txbxContent>
                          <w:p w14:paraId="0E709AFE" w14:textId="77777777" w:rsidR="005029D0" w:rsidRDefault="005029D0" w:rsidP="006A0C4B">
                            <w:r>
                              <w:rPr>
                                <w:rFonts w:asciiTheme="minorHAnsi" w:hAnsi="Calibri" w:cstheme="minorBidi"/>
                                <w:color w:val="000000" w:themeColor="text1"/>
                                <w:kern w:val="24"/>
                                <w:sz w:val="14"/>
                                <w:szCs w:val="14"/>
                              </w:rPr>
                              <w:t>BCA</w:t>
                            </w:r>
                            <w:r>
                              <w:rPr>
                                <w:rFonts w:asciiTheme="minorHAnsi" w:hAnsi="Calibri" w:cstheme="minorBidi"/>
                                <w:color w:val="000000" w:themeColor="text1"/>
                                <w:kern w:val="24"/>
                                <w:position w:val="4"/>
                                <w:sz w:val="14"/>
                                <w:szCs w:val="14"/>
                                <w:vertAlign w:val="superscript"/>
                              </w:rPr>
                              <w:t>[71]</w:t>
                            </w:r>
                          </w:p>
                          <w:p w14:paraId="10F6ACC3" w14:textId="77777777" w:rsidR="005029D0" w:rsidRDefault="005029D0" w:rsidP="006A0C4B">
                            <w:r>
                              <w:rPr>
                                <w:rFonts w:asciiTheme="minorHAnsi" w:hAnsi="Calibri" w:cstheme="minorBidi"/>
                                <w:color w:val="000000" w:themeColor="text1"/>
                                <w:kern w:val="24"/>
                                <w:sz w:val="14"/>
                                <w:szCs w:val="14"/>
                              </w:rPr>
                              <w:t>OLEA</w:t>
                            </w:r>
                            <w:r>
                              <w:rPr>
                                <w:rFonts w:asciiTheme="minorHAnsi" w:hAnsi="Calibri" w:cstheme="minorBidi"/>
                                <w:color w:val="000000" w:themeColor="text1"/>
                                <w:kern w:val="24"/>
                                <w:position w:val="4"/>
                                <w:sz w:val="14"/>
                                <w:szCs w:val="14"/>
                                <w:vertAlign w:val="superscript"/>
                              </w:rPr>
                              <w:t>[81,82]</w:t>
                            </w:r>
                          </w:p>
                          <w:p w14:paraId="624E67F0" w14:textId="77777777" w:rsidR="005029D0" w:rsidRDefault="005029D0" w:rsidP="006A0C4B">
                            <w:r>
                              <w:rPr>
                                <w:rFonts w:asciiTheme="minorHAnsi" w:hAnsi="Calibri" w:cstheme="minorBidi"/>
                                <w:color w:val="000000" w:themeColor="text1"/>
                                <w:kern w:val="24"/>
                                <w:sz w:val="14"/>
                                <w:szCs w:val="14"/>
                              </w:rPr>
                              <w:t>MAS</w:t>
                            </w:r>
                            <w:r>
                              <w:rPr>
                                <w:rFonts w:asciiTheme="minorHAnsi" w:hAnsi="Calibri" w:cstheme="minorBidi"/>
                                <w:color w:val="000000" w:themeColor="text1"/>
                                <w:kern w:val="24"/>
                                <w:position w:val="4"/>
                                <w:sz w:val="14"/>
                                <w:szCs w:val="14"/>
                                <w:vertAlign w:val="superscript"/>
                              </w:rPr>
                              <w:t>[85]</w:t>
                            </w:r>
                          </w:p>
                          <w:p w14:paraId="74F65DBE" w14:textId="77777777" w:rsidR="005029D0" w:rsidRDefault="005029D0" w:rsidP="006A0C4B">
                            <w:r>
                              <w:rPr>
                                <w:rFonts w:asciiTheme="minorHAnsi" w:hAnsi="Calibri" w:cstheme="minorBidi"/>
                                <w:color w:val="000000" w:themeColor="text1"/>
                                <w:kern w:val="24"/>
                                <w:sz w:val="14"/>
                                <w:szCs w:val="14"/>
                              </w:rPr>
                              <w:t>APG</w:t>
                            </w:r>
                            <w:r>
                              <w:rPr>
                                <w:rFonts w:asciiTheme="minorHAnsi" w:hAnsi="Calibri" w:cstheme="minorBidi"/>
                                <w:color w:val="000000" w:themeColor="text1"/>
                                <w:kern w:val="24"/>
                                <w:position w:val="4"/>
                                <w:sz w:val="14"/>
                                <w:szCs w:val="14"/>
                                <w:vertAlign w:val="superscript"/>
                              </w:rPr>
                              <w:t>[116]</w:t>
                            </w:r>
                          </w:p>
                        </w:txbxContent>
                      </wps:txbx>
                      <wps:bodyPr wrap="none" rtlCol="0">
                        <a:spAutoFit/>
                      </wps:bodyPr>
                    </wps:wsp>
                  </a:graphicData>
                </a:graphic>
              </wp:anchor>
            </w:drawing>
          </mc:Choice>
          <mc:Fallback>
            <w:pict>
              <v:shape id="CuadroTexto 371" o:spid="_x0000_s1110" type="#_x0000_t202" style="position:absolute;left:0;text-align:left;margin-left:367.3pt;margin-top:361pt;width:43.2pt;height:41.2pt;z-index:251821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" filled="f" stroked="f">
                <v:textbox style="mso-fit-shape-to-text:t">
                  <w:txbxContent>
                    <w:p w14:paraId="0E709AFE" w14:textId="77777777" w:rsidR="005029D0" w:rsidRDefault="005029D0" w:rsidP="006A0C4B">
                      <w:r>
                        <w:rPr>
                          <w:rFonts w:asciiTheme="minorHAnsi" w:hAnsi="Calibri" w:cstheme="minorBidi"/>
                          <w:color w:val="000000" w:themeColor="text1"/>
                          <w:kern w:val="24"/>
                          <w:sz w:val="14"/>
                          <w:szCs w:val="14"/>
                        </w:rPr>
                        <w:t>BCA</w:t>
                      </w:r>
                      <w:r>
                        <w:rPr>
                          <w:rFonts w:asciiTheme="minorHAnsi" w:hAnsi="Calibri" w:cstheme="minorBidi"/>
                          <w:color w:val="000000" w:themeColor="text1"/>
                          <w:kern w:val="24"/>
                          <w:position w:val="4"/>
                          <w:sz w:val="14"/>
                          <w:szCs w:val="14"/>
                          <w:vertAlign w:val="superscript"/>
                        </w:rPr>
                        <w:t>[71]</w:t>
                      </w:r>
                    </w:p>
                    <w:p w14:paraId="10F6ACC3" w14:textId="77777777" w:rsidR="005029D0" w:rsidRDefault="005029D0" w:rsidP="006A0C4B">
                      <w:r>
                        <w:rPr>
                          <w:rFonts w:asciiTheme="minorHAnsi" w:hAnsi="Calibri" w:cstheme="minorBidi"/>
                          <w:color w:val="000000" w:themeColor="text1"/>
                          <w:kern w:val="24"/>
                          <w:sz w:val="14"/>
                          <w:szCs w:val="14"/>
                        </w:rPr>
                        <w:t>OLEA</w:t>
                      </w:r>
                      <w:r>
                        <w:rPr>
                          <w:rFonts w:asciiTheme="minorHAnsi" w:hAnsi="Calibri" w:cstheme="minorBidi"/>
                          <w:color w:val="000000" w:themeColor="text1"/>
                          <w:kern w:val="24"/>
                          <w:position w:val="4"/>
                          <w:sz w:val="14"/>
                          <w:szCs w:val="14"/>
                          <w:vertAlign w:val="superscript"/>
                        </w:rPr>
                        <w:t>[81,82]</w:t>
                      </w:r>
                    </w:p>
                    <w:p w14:paraId="624E67F0" w14:textId="77777777" w:rsidR="005029D0" w:rsidRDefault="005029D0" w:rsidP="006A0C4B">
                      <w:r>
                        <w:rPr>
                          <w:rFonts w:asciiTheme="minorHAnsi" w:hAnsi="Calibri" w:cstheme="minorBidi"/>
                          <w:color w:val="000000" w:themeColor="text1"/>
                          <w:kern w:val="24"/>
                          <w:sz w:val="14"/>
                          <w:szCs w:val="14"/>
                        </w:rPr>
                        <w:t>MAS</w:t>
                      </w:r>
                      <w:r>
                        <w:rPr>
                          <w:rFonts w:asciiTheme="minorHAnsi" w:hAnsi="Calibri" w:cstheme="minorBidi"/>
                          <w:color w:val="000000" w:themeColor="text1"/>
                          <w:kern w:val="24"/>
                          <w:position w:val="4"/>
                          <w:sz w:val="14"/>
                          <w:szCs w:val="14"/>
                          <w:vertAlign w:val="superscript"/>
                        </w:rPr>
                        <w:t>[85]</w:t>
                      </w:r>
                    </w:p>
                    <w:p w14:paraId="74F65DBE" w14:textId="77777777" w:rsidR="005029D0" w:rsidRDefault="005029D0" w:rsidP="006A0C4B">
                      <w:r>
                        <w:rPr>
                          <w:rFonts w:asciiTheme="minorHAnsi" w:hAnsi="Calibri" w:cstheme="minorBidi"/>
                          <w:color w:val="000000" w:themeColor="text1"/>
                          <w:kern w:val="24"/>
                          <w:sz w:val="14"/>
                          <w:szCs w:val="14"/>
                        </w:rPr>
                        <w:t>APG</w:t>
                      </w:r>
                      <w:r>
                        <w:rPr>
                          <w:rFonts w:asciiTheme="minorHAnsi" w:hAnsi="Calibri" w:cstheme="minorBidi"/>
                          <w:color w:val="000000" w:themeColor="text1"/>
                          <w:kern w:val="24"/>
                          <w:position w:val="4"/>
                          <w:sz w:val="14"/>
                          <w:szCs w:val="14"/>
                          <w:vertAlign w:val="superscript"/>
                        </w:rPr>
                        <w:t>[116]</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22080" behindDoc="0" locked="0" layoutInCell="1" allowOverlap="1" wp14:anchorId="4ABD3E65" wp14:editId="590F79C3">
                <wp:simplePos x="0" y="0"/>
                <wp:positionH relativeFrom="column">
                  <wp:posOffset>5148580</wp:posOffset>
                </wp:positionH>
                <wp:positionV relativeFrom="paragraph">
                  <wp:posOffset>4648835</wp:posOffset>
                </wp:positionV>
                <wp:extent cx="0" cy="396000"/>
                <wp:effectExtent l="63500" t="0" r="38100" b="23495"/>
                <wp:wrapNone/>
                <wp:docPr id="373" name="Conector recto de flecha 37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49BEC3-F8DE-4068-8664-5045371F82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000"/>
                        </a:xfrm>
                        <a:prstGeom prst="straightConnector1">
                          <a:avLst/>
                        </a:prstGeom>
                        <a:ln w="19050">
                          <a:solidFill>
                            <a:srgbClr val="CC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2DD8E" id="Conector recto de flecha 372" o:spid="_x0000_s1026" type="#_x0000_t32" style="position:absolute;margin-left:405.4pt;margin-top:366.05pt;width:0;height:31.2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" strokecolor="#c00" strokeweight="1.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23104" behindDoc="0" locked="0" layoutInCell="1" allowOverlap="1" wp14:anchorId="41BF1C36" wp14:editId="5BAA0C72">
                <wp:simplePos x="0" y="0"/>
                <wp:positionH relativeFrom="column">
                  <wp:posOffset>5434330</wp:posOffset>
                </wp:positionH>
                <wp:positionV relativeFrom="paragraph">
                  <wp:posOffset>4477385</wp:posOffset>
                </wp:positionV>
                <wp:extent cx="479618" cy="523220"/>
                <wp:effectExtent l="0" t="0" r="0" b="0"/>
                <wp:wrapNone/>
                <wp:docPr id="374" name="CuadroTexto 37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16AE13-C385-45A8-BBE8-24D4AB01AF44}"/>
                    </a:ext>
                  </a:extLst>
                </wp:docPr>
                <wp:cNvGraphicFramePr/>
                <a:graphic xmlns:a="http://schemas.openxmlformats.org/drawingml/2006/main">
                  <a:graphicData uri="http://schemas.microsoft.com/office/word/2010/wordprocessingShape">
                    <wps:wsp>
                      <wps:cNvSpPr txBox="1"/>
                      <wps:spPr>
                        <a:xfrm>
                          <a:off x="0" y="0"/>
                          <a:ext cx="479618" cy="523220"/>
                        </a:xfrm>
                        <a:prstGeom prst="rect">
                          <a:avLst/>
                        </a:prstGeom>
                        <a:noFill/>
                      </wps:spPr>
                      <wps:txbx>
                        <w:txbxContent>
                          <w:p w14:paraId="3979FC2B" w14:textId="77777777" w:rsidR="005029D0" w:rsidRDefault="005029D0" w:rsidP="006A0C4B">
                            <w:r>
                              <w:rPr>
                                <w:rFonts w:asciiTheme="minorHAnsi" w:hAnsi="Calibri" w:cstheme="minorBidi"/>
                                <w:color w:val="000000" w:themeColor="text1"/>
                                <w:kern w:val="24"/>
                                <w:sz w:val="14"/>
                                <w:szCs w:val="14"/>
                              </w:rPr>
                              <w:t>ATO</w:t>
                            </w:r>
                            <w:r>
                              <w:rPr>
                                <w:rFonts w:asciiTheme="minorHAnsi" w:hAnsi="Calibri" w:cstheme="minorBidi"/>
                                <w:color w:val="000000" w:themeColor="text1"/>
                                <w:kern w:val="24"/>
                                <w:position w:val="4"/>
                                <w:sz w:val="14"/>
                                <w:szCs w:val="14"/>
                                <w:vertAlign w:val="superscript"/>
                              </w:rPr>
                              <w:t>[61]</w:t>
                            </w:r>
                          </w:p>
                          <w:p w14:paraId="17CBDAFC" w14:textId="77777777" w:rsidR="005029D0" w:rsidRDefault="005029D0" w:rsidP="006A0C4B">
                            <w:r>
                              <w:rPr>
                                <w:rFonts w:asciiTheme="minorHAnsi" w:hAnsi="Calibri" w:cstheme="minorBidi"/>
                                <w:color w:val="000000" w:themeColor="text1"/>
                                <w:kern w:val="24"/>
                                <w:sz w:val="14"/>
                                <w:szCs w:val="14"/>
                              </w:rPr>
                              <w:t xml:space="preserve">VitK </w:t>
                            </w:r>
                            <w:r>
                              <w:rPr>
                                <w:rFonts w:asciiTheme="minorHAnsi" w:hAnsi="Calibri" w:cstheme="minorBidi"/>
                                <w:color w:val="000000" w:themeColor="text1"/>
                                <w:kern w:val="24"/>
                                <w:position w:val="4"/>
                                <w:sz w:val="14"/>
                                <w:szCs w:val="14"/>
                                <w:vertAlign w:val="superscript"/>
                              </w:rPr>
                              <w:t>[63]</w:t>
                            </w:r>
                          </w:p>
                          <w:p w14:paraId="029CB577" w14:textId="77777777" w:rsidR="005029D0" w:rsidRDefault="005029D0" w:rsidP="006A0C4B">
                            <w:r>
                              <w:rPr>
                                <w:rFonts w:asciiTheme="minorHAnsi" w:hAnsi="Calibri" w:cstheme="minorBidi"/>
                                <w:color w:val="000000" w:themeColor="text1"/>
                                <w:kern w:val="24"/>
                                <w:sz w:val="14"/>
                                <w:szCs w:val="14"/>
                              </w:rPr>
                              <w:t>OLEU</w:t>
                            </w:r>
                            <w:r>
                              <w:rPr>
                                <w:rFonts w:asciiTheme="minorHAnsi" w:hAnsi="Calibri" w:cstheme="minorBidi"/>
                                <w:color w:val="000000" w:themeColor="text1"/>
                                <w:kern w:val="24"/>
                                <w:position w:val="4"/>
                                <w:sz w:val="14"/>
                                <w:szCs w:val="14"/>
                                <w:vertAlign w:val="superscript"/>
                              </w:rPr>
                              <w:t>[99]</w:t>
                            </w:r>
                          </w:p>
                        </w:txbxContent>
                      </wps:txbx>
                      <wps:bodyPr wrap="none" rtlCol="0">
                        <a:spAutoFit/>
                      </wps:bodyPr>
                    </wps:wsp>
                  </a:graphicData>
                </a:graphic>
              </wp:anchor>
            </w:drawing>
          </mc:Choice>
          <mc:Fallback>
            <w:pict>
              <v:shape id="CuadroTexto 373" o:spid="_x0000_s1111" type="#_x0000_t202" style="position:absolute;left:0;text-align:left;margin-left:427.9pt;margin-top:352.55pt;width:37.75pt;height:41.2pt;z-index:251823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" filled="f" stroked="f">
                <v:textbox style="mso-fit-shape-to-text:t">
                  <w:txbxContent>
                    <w:p w14:paraId="3979FC2B" w14:textId="77777777" w:rsidR="005029D0" w:rsidRDefault="005029D0" w:rsidP="006A0C4B">
                      <w:r>
                        <w:rPr>
                          <w:rFonts w:asciiTheme="minorHAnsi" w:hAnsi="Calibri" w:cstheme="minorBidi"/>
                          <w:color w:val="000000" w:themeColor="text1"/>
                          <w:kern w:val="24"/>
                          <w:sz w:val="14"/>
                          <w:szCs w:val="14"/>
                        </w:rPr>
                        <w:t>ATO</w:t>
                      </w:r>
                      <w:r>
                        <w:rPr>
                          <w:rFonts w:asciiTheme="minorHAnsi" w:hAnsi="Calibri" w:cstheme="minorBidi"/>
                          <w:color w:val="000000" w:themeColor="text1"/>
                          <w:kern w:val="24"/>
                          <w:position w:val="4"/>
                          <w:sz w:val="14"/>
                          <w:szCs w:val="14"/>
                          <w:vertAlign w:val="superscript"/>
                        </w:rPr>
                        <w:t>[61]</w:t>
                      </w:r>
                    </w:p>
                    <w:p w14:paraId="17CBDAFC" w14:textId="77777777" w:rsidR="005029D0" w:rsidRDefault="005029D0" w:rsidP="006A0C4B">
                      <w:r>
                        <w:rPr>
                          <w:rFonts w:asciiTheme="minorHAnsi" w:hAnsi="Calibri" w:cstheme="minorBidi"/>
                          <w:color w:val="000000" w:themeColor="text1"/>
                          <w:kern w:val="24"/>
                          <w:sz w:val="14"/>
                          <w:szCs w:val="14"/>
                        </w:rPr>
                        <w:t xml:space="preserve">VitK </w:t>
                      </w:r>
                      <w:r>
                        <w:rPr>
                          <w:rFonts w:asciiTheme="minorHAnsi" w:hAnsi="Calibri" w:cstheme="minorBidi"/>
                          <w:color w:val="000000" w:themeColor="text1"/>
                          <w:kern w:val="24"/>
                          <w:position w:val="4"/>
                          <w:sz w:val="14"/>
                          <w:szCs w:val="14"/>
                          <w:vertAlign w:val="superscript"/>
                        </w:rPr>
                        <w:t>[63]</w:t>
                      </w:r>
                    </w:p>
                    <w:p w14:paraId="029CB577" w14:textId="77777777" w:rsidR="005029D0" w:rsidRDefault="005029D0" w:rsidP="006A0C4B">
                      <w:r>
                        <w:rPr>
                          <w:rFonts w:asciiTheme="minorHAnsi" w:hAnsi="Calibri" w:cstheme="minorBidi"/>
                          <w:color w:val="000000" w:themeColor="text1"/>
                          <w:kern w:val="24"/>
                          <w:sz w:val="14"/>
                          <w:szCs w:val="14"/>
                        </w:rPr>
                        <w:t>OLEU</w:t>
                      </w:r>
                      <w:r>
                        <w:rPr>
                          <w:rFonts w:asciiTheme="minorHAnsi" w:hAnsi="Calibri" w:cstheme="minorBidi"/>
                          <w:color w:val="000000" w:themeColor="text1"/>
                          <w:kern w:val="24"/>
                          <w:position w:val="4"/>
                          <w:sz w:val="14"/>
                          <w:szCs w:val="14"/>
                          <w:vertAlign w:val="superscript"/>
                        </w:rPr>
                        <w:t>[99]</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24128" behindDoc="0" locked="0" layoutInCell="1" allowOverlap="1" wp14:anchorId="25AC6089" wp14:editId="6100298E">
                <wp:simplePos x="0" y="0"/>
                <wp:positionH relativeFrom="column">
                  <wp:posOffset>5818505</wp:posOffset>
                </wp:positionH>
                <wp:positionV relativeFrom="paragraph">
                  <wp:posOffset>4523740</wp:posOffset>
                </wp:positionV>
                <wp:extent cx="45719" cy="319497"/>
                <wp:effectExtent l="0" t="0" r="31115" b="10795"/>
                <wp:wrapNone/>
                <wp:docPr id="122" name="Cerrar llave 112"/>
                <wp:cNvGraphicFramePr/>
                <a:graphic xmlns:a="http://schemas.openxmlformats.org/drawingml/2006/main">
                  <a:graphicData uri="http://schemas.microsoft.com/office/word/2010/wordprocessingShape">
                    <wps:wsp>
                      <wps:cNvSpPr/>
                      <wps:spPr>
                        <a:xfrm>
                          <a:off x="0" y="0"/>
                          <a:ext cx="45719" cy="319497"/>
                        </a:xfrm>
                        <a:prstGeom prst="rightBrace">
                          <a:avLst>
                            <a:gd name="adj1" fmla="val 38106"/>
                            <a:gd name="adj2" fmla="val 4808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AA774D" id="Cerrar llave 112" o:spid="_x0000_s1026" type="#_x0000_t88" style="position:absolute;margin-left:458.15pt;margin-top:356.2pt;width:3.6pt;height:25.1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" adj="1178,10387" strokecolor="black [3213]" strokeweight=".5pt">
                <v:stroke joinstyle="miter"/>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25152" behindDoc="0" locked="0" layoutInCell="1" allowOverlap="1" wp14:anchorId="5E4718DB" wp14:editId="68917574">
                <wp:simplePos x="0" y="0"/>
                <wp:positionH relativeFrom="column">
                  <wp:posOffset>5914390</wp:posOffset>
                </wp:positionH>
                <wp:positionV relativeFrom="paragraph">
                  <wp:posOffset>4739005</wp:posOffset>
                </wp:positionV>
                <wp:extent cx="179082" cy="0"/>
                <wp:effectExtent l="25400" t="63500" r="0" b="76200"/>
                <wp:wrapNone/>
                <wp:docPr id="123" name="Conector recto de flecha 114"/>
                <wp:cNvGraphicFramePr/>
                <a:graphic xmlns:a="http://schemas.openxmlformats.org/drawingml/2006/main">
                  <a:graphicData uri="http://schemas.microsoft.com/office/word/2010/wordprocessingShape">
                    <wps:wsp>
                      <wps:cNvCnPr/>
                      <wps:spPr>
                        <a:xfrm>
                          <a:off x="0" y="0"/>
                          <a:ext cx="179082" cy="0"/>
                        </a:xfrm>
                        <a:prstGeom prst="straightConnector1">
                          <a:avLst/>
                        </a:prstGeom>
                        <a:ln w="12700">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B03DF4" id="Conector recto de flecha 114" o:spid="_x0000_s1026" type="#_x0000_t32" style="position:absolute;margin-left:465.7pt;margin-top:373.15pt;width:14.1pt;height:0;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" strokecolor="black [3213]" strokeweight="1pt">
                <v:stroke startarrow="open" startarrowwidth="narrow" startarrowlength="short" endarrow="open" endarrowwidth="narrow" endarrowlength="short" joinstyle="miter"/>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26176" behindDoc="0" locked="0" layoutInCell="1" allowOverlap="1" wp14:anchorId="2F53D28F" wp14:editId="3DC1959C">
                <wp:simplePos x="0" y="0"/>
                <wp:positionH relativeFrom="column">
                  <wp:posOffset>5437505</wp:posOffset>
                </wp:positionH>
                <wp:positionV relativeFrom="paragraph">
                  <wp:posOffset>4977130</wp:posOffset>
                </wp:positionV>
                <wp:extent cx="450764" cy="307777"/>
                <wp:effectExtent l="0" t="0" r="0" b="0"/>
                <wp:wrapNone/>
                <wp:docPr id="375" name="CuadroTexto 37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7C311D-E8E0-4470-9777-2EFA2AD80FCB}"/>
                    </a:ext>
                  </a:extLst>
                </wp:docPr>
                <wp:cNvGraphicFramePr/>
                <a:graphic xmlns:a="http://schemas.openxmlformats.org/drawingml/2006/main">
                  <a:graphicData uri="http://schemas.microsoft.com/office/word/2010/wordprocessingShape">
                    <wps:wsp>
                      <wps:cNvSpPr txBox="1"/>
                      <wps:spPr>
                        <a:xfrm>
                          <a:off x="0" y="0"/>
                          <a:ext cx="450764" cy="307777"/>
                        </a:xfrm>
                        <a:prstGeom prst="rect">
                          <a:avLst/>
                        </a:prstGeom>
                        <a:noFill/>
                      </wps:spPr>
                      <wps:txbx>
                        <w:txbxContent>
                          <w:p w14:paraId="46C15A70" w14:textId="77777777" w:rsidR="005029D0" w:rsidRDefault="005029D0" w:rsidP="006A0C4B">
                            <w:r>
                              <w:rPr>
                                <w:rFonts w:asciiTheme="minorHAnsi" w:hAnsi="Calibri" w:cstheme="minorBidi"/>
                                <w:color w:val="000000" w:themeColor="text1"/>
                                <w:kern w:val="24"/>
                                <w:sz w:val="14"/>
                                <w:szCs w:val="14"/>
                              </w:rPr>
                              <w:t>LUT</w:t>
                            </w:r>
                            <w:r>
                              <w:rPr>
                                <w:rFonts w:asciiTheme="minorHAnsi" w:hAnsi="Calibri" w:cstheme="minorBidi"/>
                                <w:color w:val="000000" w:themeColor="text1"/>
                                <w:kern w:val="24"/>
                                <w:position w:val="4"/>
                                <w:sz w:val="14"/>
                                <w:szCs w:val="14"/>
                                <w:vertAlign w:val="superscript"/>
                              </w:rPr>
                              <w:t>[110]</w:t>
                            </w:r>
                          </w:p>
                        </w:txbxContent>
                      </wps:txbx>
                      <wps:bodyPr wrap="none" rtlCol="0">
                        <a:spAutoFit/>
                      </wps:bodyPr>
                    </wps:wsp>
                  </a:graphicData>
                </a:graphic>
              </wp:anchor>
            </w:drawing>
          </mc:Choice>
          <mc:Fallback>
            <w:pict>
              <v:shape id="CuadroTexto 374" o:spid="_x0000_s1112" type="#_x0000_t202" style="position:absolute;left:0;text-align:left;margin-left:428.15pt;margin-top:391.9pt;width:35.5pt;height:24.25pt;z-index:251826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" filled="f" stroked="f">
                <v:textbox style="mso-fit-shape-to-text:t">
                  <w:txbxContent>
                    <w:p w14:paraId="46C15A70" w14:textId="77777777" w:rsidR="005029D0" w:rsidRDefault="005029D0" w:rsidP="006A0C4B">
                      <w:r>
                        <w:rPr>
                          <w:rFonts w:asciiTheme="minorHAnsi" w:hAnsi="Calibri" w:cstheme="minorBidi"/>
                          <w:color w:val="000000" w:themeColor="text1"/>
                          <w:kern w:val="24"/>
                          <w:sz w:val="14"/>
                          <w:szCs w:val="14"/>
                        </w:rPr>
                        <w:t>LUT</w:t>
                      </w:r>
                      <w:r>
                        <w:rPr>
                          <w:rFonts w:asciiTheme="minorHAnsi" w:hAnsi="Calibri" w:cstheme="minorBidi"/>
                          <w:color w:val="000000" w:themeColor="text1"/>
                          <w:kern w:val="24"/>
                          <w:position w:val="4"/>
                          <w:sz w:val="14"/>
                          <w:szCs w:val="14"/>
                          <w:vertAlign w:val="superscript"/>
                        </w:rPr>
                        <w:t>[110]</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27200" behindDoc="0" locked="0" layoutInCell="1" allowOverlap="1" wp14:anchorId="46955D75" wp14:editId="6B2F3EE6">
                <wp:simplePos x="0" y="0"/>
                <wp:positionH relativeFrom="column">
                  <wp:posOffset>5438140</wp:posOffset>
                </wp:positionH>
                <wp:positionV relativeFrom="paragraph">
                  <wp:posOffset>5202555</wp:posOffset>
                </wp:positionV>
                <wp:extent cx="471604" cy="200055"/>
                <wp:effectExtent l="0" t="0" r="0" b="0"/>
                <wp:wrapNone/>
                <wp:docPr id="376" name="CuadroTexto 37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F0FCEA-21B5-4E98-BB33-8CE9C9D1C3C1}"/>
                    </a:ext>
                  </a:extLst>
                </wp:docPr>
                <wp:cNvGraphicFramePr/>
                <a:graphic xmlns:a="http://schemas.openxmlformats.org/drawingml/2006/main">
                  <a:graphicData uri="http://schemas.microsoft.com/office/word/2010/wordprocessingShape">
                    <wps:wsp>
                      <wps:cNvSpPr txBox="1"/>
                      <wps:spPr>
                        <a:xfrm>
                          <a:off x="0" y="0"/>
                          <a:ext cx="471604" cy="200055"/>
                        </a:xfrm>
                        <a:prstGeom prst="rect">
                          <a:avLst/>
                        </a:prstGeom>
                        <a:noFill/>
                      </wps:spPr>
                      <wps:txbx>
                        <w:txbxContent>
                          <w:p w14:paraId="4DB9D625" w14:textId="77777777" w:rsidR="005029D0" w:rsidRDefault="005029D0" w:rsidP="006A0C4B">
                            <w:r>
                              <w:rPr>
                                <w:rFonts w:asciiTheme="minorHAnsi" w:hAnsi="Calibri" w:cstheme="minorBidi"/>
                                <w:color w:val="000000" w:themeColor="text1"/>
                                <w:kern w:val="24"/>
                                <w:sz w:val="14"/>
                                <w:szCs w:val="14"/>
                              </w:rPr>
                              <w:t>VAN</w:t>
                            </w:r>
                            <w:r>
                              <w:rPr>
                                <w:rFonts w:asciiTheme="minorHAnsi" w:hAnsi="Calibri" w:cstheme="minorBidi"/>
                                <w:color w:val="000000" w:themeColor="text1"/>
                                <w:kern w:val="24"/>
                                <w:position w:val="4"/>
                                <w:sz w:val="14"/>
                                <w:szCs w:val="14"/>
                                <w:vertAlign w:val="superscript"/>
                              </w:rPr>
                              <w:t>[128]</w:t>
                            </w:r>
                          </w:p>
                        </w:txbxContent>
                      </wps:txbx>
                      <wps:bodyPr wrap="none" rtlCol="0">
                        <a:spAutoFit/>
                      </wps:bodyPr>
                    </wps:wsp>
                  </a:graphicData>
                </a:graphic>
              </wp:anchor>
            </w:drawing>
          </mc:Choice>
          <mc:Fallback>
            <w:pict>
              <v:shape id="CuadroTexto 375" o:spid="_x0000_s1113" type="#_x0000_t202" style="position:absolute;left:0;text-align:left;margin-left:428.2pt;margin-top:409.65pt;width:37.15pt;height:15.75pt;z-index:251827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" filled="f" stroked="f">
                <v:textbox style="mso-fit-shape-to-text:t">
                  <w:txbxContent>
                    <w:p w14:paraId="4DB9D625" w14:textId="77777777" w:rsidR="005029D0" w:rsidRDefault="005029D0" w:rsidP="006A0C4B">
                      <w:r>
                        <w:rPr>
                          <w:rFonts w:asciiTheme="minorHAnsi" w:hAnsi="Calibri" w:cstheme="minorBidi"/>
                          <w:color w:val="000000" w:themeColor="text1"/>
                          <w:kern w:val="24"/>
                          <w:sz w:val="14"/>
                          <w:szCs w:val="14"/>
                        </w:rPr>
                        <w:t>VAN</w:t>
                      </w:r>
                      <w:r>
                        <w:rPr>
                          <w:rFonts w:asciiTheme="minorHAnsi" w:hAnsi="Calibri" w:cstheme="minorBidi"/>
                          <w:color w:val="000000" w:themeColor="text1"/>
                          <w:kern w:val="24"/>
                          <w:position w:val="4"/>
                          <w:sz w:val="14"/>
                          <w:szCs w:val="14"/>
                          <w:vertAlign w:val="superscript"/>
                        </w:rPr>
                        <w:t>[128]</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28224" behindDoc="0" locked="0" layoutInCell="1" allowOverlap="1" wp14:anchorId="0E8CDEE4" wp14:editId="4D4F8281">
                <wp:simplePos x="0" y="0"/>
                <wp:positionH relativeFrom="column">
                  <wp:posOffset>5858510</wp:posOffset>
                </wp:positionH>
                <wp:positionV relativeFrom="paragraph">
                  <wp:posOffset>5022215</wp:posOffset>
                </wp:positionV>
                <wp:extent cx="0" cy="144000"/>
                <wp:effectExtent l="63500" t="0" r="38100" b="34290"/>
                <wp:wrapNone/>
                <wp:docPr id="377" name="Conector recto de flecha 37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A7F1A4-57D1-4F02-9F09-D0689ED150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4000"/>
                        </a:xfrm>
                        <a:prstGeom prst="straightConnector1">
                          <a:avLst/>
                        </a:prstGeom>
                        <a:ln w="19050">
                          <a:solidFill>
                            <a:srgbClr val="CC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2177DD" id="Conector recto de flecha 376" o:spid="_x0000_s1026" type="#_x0000_t32" style="position:absolute;margin-left:461.3pt;margin-top:395.45pt;width:0;height:11.3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" strokecolor="#c00" strokeweight="1.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29248" behindDoc="0" locked="0" layoutInCell="1" allowOverlap="1" wp14:anchorId="7E4E791C" wp14:editId="238916BE">
                <wp:simplePos x="0" y="0"/>
                <wp:positionH relativeFrom="column">
                  <wp:posOffset>5861685</wp:posOffset>
                </wp:positionH>
                <wp:positionV relativeFrom="paragraph">
                  <wp:posOffset>5230495</wp:posOffset>
                </wp:positionV>
                <wp:extent cx="0" cy="144000"/>
                <wp:effectExtent l="38100" t="25400" r="38100" b="8890"/>
                <wp:wrapNone/>
                <wp:docPr id="378" name="Conector recto de flecha 37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7ED9F5-04E6-41A0-8D5C-1F8378F390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400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B90DFE" id="Conector recto de flecha 377" o:spid="_x0000_s1026" type="#_x0000_t32" style="position:absolute;margin-left:461.55pt;margin-top:411.85pt;width:0;height:11.35pt;flip:y;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" strokecolor="#0070c0" strokeweight="1.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30272" behindDoc="0" locked="0" layoutInCell="1" allowOverlap="1" wp14:anchorId="5D3A3C55" wp14:editId="1E296365">
                <wp:simplePos x="0" y="0"/>
                <wp:positionH relativeFrom="column">
                  <wp:posOffset>1571625</wp:posOffset>
                </wp:positionH>
                <wp:positionV relativeFrom="paragraph">
                  <wp:posOffset>5286375</wp:posOffset>
                </wp:positionV>
                <wp:extent cx="591829" cy="307777"/>
                <wp:effectExtent l="0" t="0" r="0" b="0"/>
                <wp:wrapNone/>
                <wp:docPr id="379" name="CuadroTexto 37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68226E-54A9-42CF-9DF9-104719B1D75E}"/>
                    </a:ext>
                  </a:extLst>
                </wp:docPr>
                <wp:cNvGraphicFramePr/>
                <a:graphic xmlns:a="http://schemas.openxmlformats.org/drawingml/2006/main">
                  <a:graphicData uri="http://schemas.microsoft.com/office/word/2010/wordprocessingShape">
                    <wps:wsp>
                      <wps:cNvSpPr txBox="1"/>
                      <wps:spPr>
                        <a:xfrm>
                          <a:off x="0" y="0"/>
                          <a:ext cx="591829" cy="307777"/>
                        </a:xfrm>
                        <a:prstGeom prst="rect">
                          <a:avLst/>
                        </a:prstGeom>
                        <a:noFill/>
                      </wps:spPr>
                      <wps:txbx>
                        <w:txbxContent>
                          <w:p w14:paraId="128B48BA" w14:textId="77777777" w:rsidR="005029D0" w:rsidRDefault="005029D0" w:rsidP="006A0C4B">
                            <w:r>
                              <w:rPr>
                                <w:rFonts w:asciiTheme="minorHAnsi" w:hAnsi="Calibri" w:cstheme="minorBidi"/>
                                <w:color w:val="000000" w:themeColor="text1"/>
                                <w:kern w:val="24"/>
                                <w:sz w:val="14"/>
                                <w:szCs w:val="14"/>
                              </w:rPr>
                              <w:t>4HY</w:t>
                            </w:r>
                            <w:r>
                              <w:rPr>
                                <w:rFonts w:asciiTheme="minorHAnsi" w:hAnsi="Calibri" w:cstheme="minorBidi"/>
                                <w:color w:val="000000" w:themeColor="text1"/>
                                <w:kern w:val="24"/>
                                <w:position w:val="4"/>
                                <w:sz w:val="14"/>
                                <w:szCs w:val="14"/>
                                <w:vertAlign w:val="superscript"/>
                              </w:rPr>
                              <w:t>[133]</w:t>
                            </w:r>
                          </w:p>
                          <w:p w14:paraId="0471C4CA" w14:textId="77777777" w:rsidR="005029D0" w:rsidRDefault="005029D0" w:rsidP="006A0C4B">
                            <w:r>
                              <w:rPr>
                                <w:rFonts w:asciiTheme="minorHAnsi" w:hAnsi="Calibri" w:cstheme="minorBidi"/>
                                <w:color w:val="000000" w:themeColor="text1"/>
                                <w:kern w:val="24"/>
                                <w:sz w:val="14"/>
                                <w:szCs w:val="14"/>
                              </w:rPr>
                              <w:t>HYD</w:t>
                            </w:r>
                            <w:r>
                              <w:rPr>
                                <w:rFonts w:asciiTheme="minorHAnsi" w:hAnsi="Calibri" w:cstheme="minorBidi"/>
                                <w:color w:val="000000" w:themeColor="text1"/>
                                <w:kern w:val="24"/>
                                <w:position w:val="4"/>
                                <w:sz w:val="14"/>
                                <w:szCs w:val="14"/>
                                <w:vertAlign w:val="superscript"/>
                              </w:rPr>
                              <w:t>[103,106]</w:t>
                            </w:r>
                          </w:p>
                        </w:txbxContent>
                      </wps:txbx>
                      <wps:bodyPr wrap="none" rtlCol="0">
                        <a:spAutoFit/>
                      </wps:bodyPr>
                    </wps:wsp>
                  </a:graphicData>
                </a:graphic>
              </wp:anchor>
            </w:drawing>
          </mc:Choice>
          <mc:Fallback>
            <w:pict>
              <v:shape id="CuadroTexto 378" o:spid="_x0000_s1114" type="#_x0000_t202" style="position:absolute;left:0;text-align:left;margin-left:123.75pt;margin-top:416.25pt;width:46.6pt;height:24.25pt;z-index:251830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" filled="f" stroked="f">
                <v:textbox style="mso-fit-shape-to-text:t">
                  <w:txbxContent>
                    <w:p w14:paraId="128B48BA" w14:textId="77777777" w:rsidR="005029D0" w:rsidRDefault="005029D0" w:rsidP="006A0C4B">
                      <w:r>
                        <w:rPr>
                          <w:rFonts w:asciiTheme="minorHAnsi" w:hAnsi="Calibri" w:cstheme="minorBidi"/>
                          <w:color w:val="000000" w:themeColor="text1"/>
                          <w:kern w:val="24"/>
                          <w:sz w:val="14"/>
                          <w:szCs w:val="14"/>
                        </w:rPr>
                        <w:t>4HY</w:t>
                      </w:r>
                      <w:r>
                        <w:rPr>
                          <w:rFonts w:asciiTheme="minorHAnsi" w:hAnsi="Calibri" w:cstheme="minorBidi"/>
                          <w:color w:val="000000" w:themeColor="text1"/>
                          <w:kern w:val="24"/>
                          <w:position w:val="4"/>
                          <w:sz w:val="14"/>
                          <w:szCs w:val="14"/>
                          <w:vertAlign w:val="superscript"/>
                        </w:rPr>
                        <w:t>[133]</w:t>
                      </w:r>
                    </w:p>
                    <w:p w14:paraId="0471C4CA" w14:textId="77777777" w:rsidR="005029D0" w:rsidRDefault="005029D0" w:rsidP="006A0C4B">
                      <w:r>
                        <w:rPr>
                          <w:rFonts w:asciiTheme="minorHAnsi" w:hAnsi="Calibri" w:cstheme="minorBidi"/>
                          <w:color w:val="000000" w:themeColor="text1"/>
                          <w:kern w:val="24"/>
                          <w:sz w:val="14"/>
                          <w:szCs w:val="14"/>
                        </w:rPr>
                        <w:t>HYD</w:t>
                      </w:r>
                      <w:r>
                        <w:rPr>
                          <w:rFonts w:asciiTheme="minorHAnsi" w:hAnsi="Calibri" w:cstheme="minorBidi"/>
                          <w:color w:val="000000" w:themeColor="text1"/>
                          <w:kern w:val="24"/>
                          <w:position w:val="4"/>
                          <w:sz w:val="14"/>
                          <w:szCs w:val="14"/>
                          <w:vertAlign w:val="superscript"/>
                        </w:rPr>
                        <w:t>[103,106]</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31296" behindDoc="0" locked="0" layoutInCell="1" allowOverlap="1" wp14:anchorId="34D6DD5A" wp14:editId="31F6A05C">
                <wp:simplePos x="0" y="0"/>
                <wp:positionH relativeFrom="column">
                  <wp:posOffset>1969135</wp:posOffset>
                </wp:positionH>
                <wp:positionV relativeFrom="paragraph">
                  <wp:posOffset>5443220</wp:posOffset>
                </wp:positionV>
                <wp:extent cx="179082" cy="0"/>
                <wp:effectExtent l="25400" t="63500" r="0" b="76200"/>
                <wp:wrapNone/>
                <wp:docPr id="380" name="Conector recto de flecha 37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E3B61C-C017-4184-B568-EBCEF3C791E5}"/>
                    </a:ext>
                  </a:extLst>
                </wp:docPr>
                <wp:cNvGraphicFramePr/>
                <a:graphic xmlns:a="http://schemas.openxmlformats.org/drawingml/2006/main">
                  <a:graphicData uri="http://schemas.microsoft.com/office/word/2010/wordprocessingShape">
                    <wps:wsp>
                      <wps:cNvCnPr/>
                      <wps:spPr>
                        <a:xfrm>
                          <a:off x="0" y="0"/>
                          <a:ext cx="179082" cy="0"/>
                        </a:xfrm>
                        <a:prstGeom prst="straightConnector1">
                          <a:avLst/>
                        </a:prstGeom>
                        <a:ln w="12700">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405F7F" id="Conector recto de flecha 379" o:spid="_x0000_s1026" type="#_x0000_t32" style="position:absolute;margin-left:155.05pt;margin-top:428.6pt;width:14.1pt;height:0;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" strokecolor="black [3213]" strokeweight="1pt">
                <v:stroke startarrow="open" startarrowwidth="narrow" startarrowlength="short" endarrow="open" endarrowwidth="narrow" endarrowlength="short" joinstyle="miter"/>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32320" behindDoc="0" locked="0" layoutInCell="1" allowOverlap="1" wp14:anchorId="5D72BB04" wp14:editId="157D813E">
                <wp:simplePos x="0" y="0"/>
                <wp:positionH relativeFrom="column">
                  <wp:posOffset>1524635</wp:posOffset>
                </wp:positionH>
                <wp:positionV relativeFrom="paragraph">
                  <wp:posOffset>8325485</wp:posOffset>
                </wp:positionV>
                <wp:extent cx="3499676" cy="246221"/>
                <wp:effectExtent l="0" t="0" r="0" b="0"/>
                <wp:wrapNone/>
                <wp:docPr id="124" name="CuadroTexto 110"/>
                <wp:cNvGraphicFramePr/>
                <a:graphic xmlns:a="http://schemas.openxmlformats.org/drawingml/2006/main">
                  <a:graphicData uri="http://schemas.microsoft.com/office/word/2010/wordprocessingShape">
                    <wps:wsp>
                      <wps:cNvSpPr txBox="1"/>
                      <wps:spPr>
                        <a:xfrm>
                          <a:off x="0" y="0"/>
                          <a:ext cx="3499676" cy="246221"/>
                        </a:xfrm>
                        <a:prstGeom prst="rect">
                          <a:avLst/>
                        </a:prstGeom>
                        <a:noFill/>
                      </wps:spPr>
                      <wps:txbx>
                        <w:txbxContent>
                          <w:p w14:paraId="13EE0B16" w14:textId="6F15C7DB" w:rsidR="005029D0" w:rsidRPr="008B42A0" w:rsidRDefault="00E712B4" w:rsidP="006A0C4B">
                            <w:pPr>
                              <w:rPr>
                                <w:lang w:val="en-US"/>
                              </w:rPr>
                            </w:pPr>
                            <w:r w:rsidRPr="008B42A0">
                              <w:rPr>
                                <w:rFonts w:asciiTheme="minorHAnsi" w:hAnsi="Calibri" w:cstheme="minorBidi"/>
                                <w:b/>
                                <w:bCs/>
                                <w:color w:val="000000" w:themeColor="text1"/>
                                <w:kern w:val="24"/>
                                <w:sz w:val="20"/>
                                <w:szCs w:val="20"/>
                                <w:lang w:val="en-US"/>
                              </w:rPr>
                              <w:t>Health benefits of extra virgin olive oil consumption</w:t>
                            </w:r>
                          </w:p>
                        </w:txbxContent>
                      </wps:txbx>
                      <wps:bodyPr wrap="none" rtlCol="0">
                        <a:spAutoFit/>
                      </wps:bodyPr>
                    </wps:wsp>
                  </a:graphicData>
                </a:graphic>
              </wp:anchor>
            </w:drawing>
          </mc:Choice>
          <mc:Fallback>
            <w:pict>
              <v:shape id="CuadroTexto 110" o:spid="_x0000_s1115" type="#_x0000_t202" style="position:absolute;left:0;text-align:left;margin-left:120.05pt;margin-top:655.55pt;width:275.55pt;height:19.4pt;z-index:251832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" filled="f" stroked="f">
                <v:textbox style="mso-fit-shape-to-text:t">
                  <w:txbxContent>
                    <w:p w14:paraId="13EE0B16" w14:textId="6F15C7DB" w:rsidR="005029D0" w:rsidRPr="008B42A0" w:rsidRDefault="00E712B4" w:rsidP="006A0C4B">
                      <w:pPr>
                        <w:rPr>
                          <w:lang w:val="en-US"/>
                        </w:rPr>
                      </w:pPr>
                      <w:r w:rsidRPr="008B42A0">
                        <w:rPr>
                          <w:rFonts w:asciiTheme="minorHAnsi" w:hAnsi="Calibri" w:cstheme="minorBidi"/>
                          <w:b/>
                          <w:bCs/>
                          <w:color w:val="000000" w:themeColor="text1"/>
                          <w:kern w:val="24"/>
                          <w:sz w:val="20"/>
                          <w:szCs w:val="20"/>
                          <w:lang w:val="en-US"/>
                        </w:rPr>
                        <w:t>Health benefits of extra virgin olive oil consumption</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33344" behindDoc="0" locked="0" layoutInCell="1" allowOverlap="1" wp14:anchorId="0AD3D383" wp14:editId="7B65ED9A">
                <wp:simplePos x="0" y="0"/>
                <wp:positionH relativeFrom="column">
                  <wp:posOffset>3195320</wp:posOffset>
                </wp:positionH>
                <wp:positionV relativeFrom="paragraph">
                  <wp:posOffset>5527675</wp:posOffset>
                </wp:positionV>
                <wp:extent cx="158177" cy="5393454"/>
                <wp:effectExtent l="0" t="1270" r="18415" b="43815"/>
                <wp:wrapNone/>
                <wp:docPr id="126" name="Cerrar llave 111"/>
                <wp:cNvGraphicFramePr/>
                <a:graphic xmlns:a="http://schemas.openxmlformats.org/drawingml/2006/main">
                  <a:graphicData uri="http://schemas.microsoft.com/office/word/2010/wordprocessingShape">
                    <wps:wsp>
                      <wps:cNvSpPr/>
                      <wps:spPr>
                        <a:xfrm rot="5400000">
                          <a:off x="0" y="0"/>
                          <a:ext cx="158177" cy="5393454"/>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B26353" id="Cerrar llave 111" o:spid="_x0000_s1026" type="#_x0000_t88" style="position:absolute;margin-left:251.6pt;margin-top:435.25pt;width:12.45pt;height:424.7pt;rotation:90;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" adj="53" strokecolor="black [3213]" strokeweight=".5pt">
                <v:stroke joinstyle="miter"/>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34368" behindDoc="0" locked="0" layoutInCell="1" allowOverlap="1" wp14:anchorId="105922D0" wp14:editId="46992E66">
                <wp:simplePos x="0" y="0"/>
                <wp:positionH relativeFrom="column">
                  <wp:posOffset>1201420</wp:posOffset>
                </wp:positionH>
                <wp:positionV relativeFrom="paragraph">
                  <wp:posOffset>5395595</wp:posOffset>
                </wp:positionV>
                <wp:extent cx="243978" cy="246221"/>
                <wp:effectExtent l="0" t="0" r="0" b="0"/>
                <wp:wrapNone/>
                <wp:docPr id="128" name="CuadroTexto 113"/>
                <wp:cNvGraphicFramePr/>
                <a:graphic xmlns:a="http://schemas.openxmlformats.org/drawingml/2006/main">
                  <a:graphicData uri="http://schemas.microsoft.com/office/word/2010/wordprocessingShape">
                    <wps:wsp>
                      <wps:cNvSpPr txBox="1"/>
                      <wps:spPr>
                        <a:xfrm>
                          <a:off x="0" y="0"/>
                          <a:ext cx="243978" cy="246221"/>
                        </a:xfrm>
                        <a:prstGeom prst="rect">
                          <a:avLst/>
                        </a:prstGeom>
                        <a:noFill/>
                      </wps:spPr>
                      <wps:txbx>
                        <w:txbxContent>
                          <w:p w14:paraId="689D3576" w14:textId="77777777" w:rsidR="005029D0" w:rsidRDefault="005029D0" w:rsidP="006A0C4B">
                            <w:r>
                              <w:rPr>
                                <w:rFonts w:asciiTheme="minorHAnsi" w:hAnsi="Calibri" w:cstheme="minorBidi"/>
                                <w:b/>
                                <w:bCs/>
                                <w:color w:val="000000" w:themeColor="text1"/>
                                <w:kern w:val="24"/>
                                <w:sz w:val="20"/>
                                <w:szCs w:val="20"/>
                              </w:rPr>
                              <w:t>?</w:t>
                            </w:r>
                          </w:p>
                        </w:txbxContent>
                      </wps:txbx>
                      <wps:bodyPr wrap="none" rtlCol="0">
                        <a:spAutoFit/>
                      </wps:bodyPr>
                    </wps:wsp>
                  </a:graphicData>
                </a:graphic>
              </wp:anchor>
            </w:drawing>
          </mc:Choice>
          <mc:Fallback>
            <w:pict>
              <v:shape id="CuadroTexto 113" o:spid="_x0000_s1116" type="#_x0000_t202" style="position:absolute;left:0;text-align:left;margin-left:94.6pt;margin-top:424.85pt;width:19.2pt;height:19.4pt;z-index:251834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" filled="f" stroked="f">
                <v:textbox style="mso-fit-shape-to-text:t">
                  <w:txbxContent>
                    <w:p w14:paraId="689D3576" w14:textId="77777777" w:rsidR="005029D0" w:rsidRDefault="005029D0" w:rsidP="006A0C4B">
                      <w:r>
                        <w:rPr>
                          <w:rFonts w:asciiTheme="minorHAnsi" w:hAnsi="Calibri" w:cstheme="minorBidi"/>
                          <w:b/>
                          <w:bCs/>
                          <w:color w:val="000000" w:themeColor="text1"/>
                          <w:kern w:val="24"/>
                          <w:sz w:val="20"/>
                          <w:szCs w:val="20"/>
                        </w:rPr>
                        <w:t>?</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35392" behindDoc="0" locked="0" layoutInCell="1" allowOverlap="1" wp14:anchorId="7D95D8AA" wp14:editId="78A5FB40">
                <wp:simplePos x="0" y="0"/>
                <wp:positionH relativeFrom="column">
                  <wp:posOffset>1960880</wp:posOffset>
                </wp:positionH>
                <wp:positionV relativeFrom="paragraph">
                  <wp:posOffset>5370830</wp:posOffset>
                </wp:positionV>
                <wp:extent cx="243978" cy="246221"/>
                <wp:effectExtent l="0" t="0" r="0" b="0"/>
                <wp:wrapNone/>
                <wp:docPr id="130" name="CuadroTexto 115"/>
                <wp:cNvGraphicFramePr/>
                <a:graphic xmlns:a="http://schemas.openxmlformats.org/drawingml/2006/main">
                  <a:graphicData uri="http://schemas.microsoft.com/office/word/2010/wordprocessingShape">
                    <wps:wsp>
                      <wps:cNvSpPr txBox="1"/>
                      <wps:spPr>
                        <a:xfrm>
                          <a:off x="0" y="0"/>
                          <a:ext cx="243978" cy="246221"/>
                        </a:xfrm>
                        <a:prstGeom prst="rect">
                          <a:avLst/>
                        </a:prstGeom>
                        <a:noFill/>
                      </wps:spPr>
                      <wps:txbx>
                        <w:txbxContent>
                          <w:p w14:paraId="40ADA07F" w14:textId="77777777" w:rsidR="005029D0" w:rsidRDefault="005029D0" w:rsidP="006A0C4B">
                            <w:r>
                              <w:rPr>
                                <w:rFonts w:asciiTheme="minorHAnsi" w:hAnsi="Calibri" w:cstheme="minorBidi"/>
                                <w:b/>
                                <w:bCs/>
                                <w:color w:val="000000" w:themeColor="text1"/>
                                <w:kern w:val="24"/>
                                <w:sz w:val="20"/>
                                <w:szCs w:val="20"/>
                              </w:rPr>
                              <w:t>?</w:t>
                            </w:r>
                          </w:p>
                        </w:txbxContent>
                      </wps:txbx>
                      <wps:bodyPr wrap="none" rtlCol="0">
                        <a:spAutoFit/>
                      </wps:bodyPr>
                    </wps:wsp>
                  </a:graphicData>
                </a:graphic>
              </wp:anchor>
            </w:drawing>
          </mc:Choice>
          <mc:Fallback>
            <w:pict>
              <v:shape id="CuadroTexto 115" o:spid="_x0000_s1117" type="#_x0000_t202" style="position:absolute;left:0;text-align:left;margin-left:154.4pt;margin-top:422.9pt;width:19.2pt;height:19.4pt;z-index:251835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" filled="f" stroked="f">
                <v:textbox style="mso-fit-shape-to-text:t">
                  <w:txbxContent>
                    <w:p w14:paraId="40ADA07F" w14:textId="77777777" w:rsidR="005029D0" w:rsidRDefault="005029D0" w:rsidP="006A0C4B">
                      <w:r>
                        <w:rPr>
                          <w:rFonts w:asciiTheme="minorHAnsi" w:hAnsi="Calibri" w:cstheme="minorBidi"/>
                          <w:b/>
                          <w:bCs/>
                          <w:color w:val="000000" w:themeColor="text1"/>
                          <w:kern w:val="24"/>
                          <w:sz w:val="20"/>
                          <w:szCs w:val="20"/>
                        </w:rPr>
                        <w:t>?</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36416" behindDoc="0" locked="0" layoutInCell="1" allowOverlap="1" wp14:anchorId="12A4AC15" wp14:editId="526A4F69">
                <wp:simplePos x="0" y="0"/>
                <wp:positionH relativeFrom="column">
                  <wp:posOffset>1201420</wp:posOffset>
                </wp:positionH>
                <wp:positionV relativeFrom="paragraph">
                  <wp:posOffset>5285105</wp:posOffset>
                </wp:positionV>
                <wp:extent cx="243978" cy="246221"/>
                <wp:effectExtent l="0" t="0" r="0" b="0"/>
                <wp:wrapNone/>
                <wp:docPr id="131" name="CuadroTexto 117"/>
                <wp:cNvGraphicFramePr/>
                <a:graphic xmlns:a="http://schemas.openxmlformats.org/drawingml/2006/main">
                  <a:graphicData uri="http://schemas.microsoft.com/office/word/2010/wordprocessingShape">
                    <wps:wsp>
                      <wps:cNvSpPr txBox="1"/>
                      <wps:spPr>
                        <a:xfrm>
                          <a:off x="0" y="0"/>
                          <a:ext cx="243978" cy="246221"/>
                        </a:xfrm>
                        <a:prstGeom prst="rect">
                          <a:avLst/>
                        </a:prstGeom>
                        <a:noFill/>
                      </wps:spPr>
                      <wps:txbx>
                        <w:txbxContent>
                          <w:p w14:paraId="09BF1890" w14:textId="77777777" w:rsidR="005029D0" w:rsidRDefault="005029D0" w:rsidP="006A0C4B">
                            <w:r>
                              <w:rPr>
                                <w:rFonts w:asciiTheme="minorHAnsi" w:hAnsi="Calibri" w:cstheme="minorBidi"/>
                                <w:b/>
                                <w:bCs/>
                                <w:color w:val="000000" w:themeColor="text1"/>
                                <w:kern w:val="24"/>
                                <w:sz w:val="20"/>
                                <w:szCs w:val="20"/>
                              </w:rPr>
                              <w:t>?</w:t>
                            </w:r>
                          </w:p>
                        </w:txbxContent>
                      </wps:txbx>
                      <wps:bodyPr wrap="none" rtlCol="0">
                        <a:spAutoFit/>
                      </wps:bodyPr>
                    </wps:wsp>
                  </a:graphicData>
                </a:graphic>
              </wp:anchor>
            </w:drawing>
          </mc:Choice>
          <mc:Fallback>
            <w:pict>
              <v:shape id="CuadroTexto 117" o:spid="_x0000_s1118" type="#_x0000_t202" style="position:absolute;left:0;text-align:left;margin-left:94.6pt;margin-top:416.15pt;width:19.2pt;height:19.4pt;z-index:251836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" filled="f" stroked="f">
                <v:textbox style="mso-fit-shape-to-text:t">
                  <w:txbxContent>
                    <w:p w14:paraId="09BF1890" w14:textId="77777777" w:rsidR="005029D0" w:rsidRDefault="005029D0" w:rsidP="006A0C4B">
                      <w:r>
                        <w:rPr>
                          <w:rFonts w:asciiTheme="minorHAnsi" w:hAnsi="Calibri" w:cstheme="minorBidi"/>
                          <w:b/>
                          <w:bCs/>
                          <w:color w:val="000000" w:themeColor="text1"/>
                          <w:kern w:val="24"/>
                          <w:sz w:val="20"/>
                          <w:szCs w:val="20"/>
                        </w:rPr>
                        <w:t>?</w:t>
                      </w:r>
                    </w:p>
                  </w:txbxContent>
                </v:textbox>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37440" behindDoc="0" locked="0" layoutInCell="1" allowOverlap="1" wp14:anchorId="5375484F" wp14:editId="5563DE62">
                <wp:simplePos x="0" y="0"/>
                <wp:positionH relativeFrom="column">
                  <wp:posOffset>2820035</wp:posOffset>
                </wp:positionH>
                <wp:positionV relativeFrom="paragraph">
                  <wp:posOffset>5095875</wp:posOffset>
                </wp:positionV>
                <wp:extent cx="0" cy="144000"/>
                <wp:effectExtent l="38100" t="25400" r="38100" b="8890"/>
                <wp:wrapNone/>
                <wp:docPr id="132" name="Conector recto de flecha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400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481C3E" id="Conector recto de flecha 119" o:spid="_x0000_s1026" type="#_x0000_t32" style="position:absolute;margin-left:222.05pt;margin-top:401.25pt;width:0;height:11.35pt;flip:y;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" strokecolor="#0070c0" strokeweight="1.5pt">
                <v:stroke endarrow="block" joinstyle="miter"/>
                <o:lock v:ext="edit" shapetype="f"/>
              </v:shape>
            </w:pict>
          </mc:Fallback>
        </mc:AlternateContent>
      </w:r>
      <w:r w:rsidRPr="00B7408D">
        <w:rPr>
          <w:rFonts w:ascii="Book Antiqua" w:hAnsi="Book Antiqua"/>
          <w:b/>
          <w:noProof/>
          <w:lang w:val="en-US" w:bidi="ar-SA"/>
        </w:rPr>
        <mc:AlternateContent>
          <mc:Choice Requires="wps">
            <w:drawing>
              <wp:anchor distT="0" distB="0" distL="114300" distR="114300" simplePos="0" relativeHeight="251838464" behindDoc="0" locked="0" layoutInCell="1" allowOverlap="1" wp14:anchorId="73572DB7" wp14:editId="7281B6B2">
                <wp:simplePos x="0" y="0"/>
                <wp:positionH relativeFrom="column">
                  <wp:posOffset>1968500</wp:posOffset>
                </wp:positionH>
                <wp:positionV relativeFrom="paragraph">
                  <wp:posOffset>5339715</wp:posOffset>
                </wp:positionV>
                <wp:extent cx="179082" cy="0"/>
                <wp:effectExtent l="25400" t="63500" r="0" b="76200"/>
                <wp:wrapNone/>
                <wp:docPr id="134" name="Conector recto de flecha 120"/>
                <wp:cNvGraphicFramePr/>
                <a:graphic xmlns:a="http://schemas.openxmlformats.org/drawingml/2006/main">
                  <a:graphicData uri="http://schemas.microsoft.com/office/word/2010/wordprocessingShape">
                    <wps:wsp>
                      <wps:cNvCnPr/>
                      <wps:spPr>
                        <a:xfrm>
                          <a:off x="0" y="0"/>
                          <a:ext cx="179082" cy="0"/>
                        </a:xfrm>
                        <a:prstGeom prst="straightConnector1">
                          <a:avLst/>
                        </a:prstGeom>
                        <a:ln w="12700">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62583" id="Conector recto de flecha 120" o:spid="_x0000_s1026" type="#_x0000_t32" style="position:absolute;margin-left:155pt;margin-top:420.45pt;width:14.1pt;height:0;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" strokecolor="black [3213]" strokeweight="1pt">
                <v:stroke startarrow="open" startarrowwidth="narrow" startarrowlength="short" endarrow="open" endarrowwidth="narrow" endarrowlength="short" joinstyle="miter"/>
              </v:shape>
            </w:pict>
          </mc:Fallback>
        </mc:AlternateContent>
      </w:r>
    </w:p>
    <w:p w14:paraId="15F92510" w14:textId="13B8B8D8" w:rsidR="006A0C4B" w:rsidRPr="00B7408D" w:rsidRDefault="00E712B4" w:rsidP="006A0C4B">
      <w:pPr>
        <w:adjustRightInd w:val="0"/>
        <w:snapToGrid w:val="0"/>
        <w:spacing w:line="360" w:lineRule="auto"/>
        <w:ind w:right="-7"/>
        <w:jc w:val="both"/>
        <w:rPr>
          <w:rFonts w:ascii="Book Antiqua" w:hAnsi="Book Antiqua"/>
          <w:b/>
          <w:lang w:val="en-US"/>
        </w:rPr>
      </w:pPr>
      <w:r w:rsidRPr="00B7408D">
        <w:rPr>
          <w:rFonts w:ascii="Book Antiqua" w:hAnsi="Book Antiqua"/>
          <w:b/>
          <w:noProof/>
          <w:lang w:val="en-US" w:bidi="ar-SA"/>
        </w:rPr>
        <mc:AlternateContent>
          <mc:Choice Requires="wpg">
            <w:drawing>
              <wp:anchor distT="0" distB="0" distL="114300" distR="114300" simplePos="0" relativeHeight="251807744" behindDoc="0" locked="0" layoutInCell="1" allowOverlap="1" wp14:anchorId="39769457" wp14:editId="4EFC7A54">
                <wp:simplePos x="0" y="0"/>
                <wp:positionH relativeFrom="column">
                  <wp:posOffset>1495425</wp:posOffset>
                </wp:positionH>
                <wp:positionV relativeFrom="paragraph">
                  <wp:posOffset>230505</wp:posOffset>
                </wp:positionV>
                <wp:extent cx="1590040" cy="532274"/>
                <wp:effectExtent l="0" t="0" r="0" b="0"/>
                <wp:wrapNone/>
                <wp:docPr id="72" name="Grupo 101"/>
                <wp:cNvGraphicFramePr/>
                <a:graphic xmlns:a="http://schemas.openxmlformats.org/drawingml/2006/main">
                  <a:graphicData uri="http://schemas.microsoft.com/office/word/2010/wordprocessingGroup">
                    <wpg:wgp>
                      <wpg:cNvGrpSpPr/>
                      <wpg:grpSpPr>
                        <a:xfrm>
                          <a:off x="0" y="0"/>
                          <a:ext cx="1590040" cy="532274"/>
                          <a:chOff x="1495550" y="503045"/>
                          <a:chExt cx="1590040" cy="532566"/>
                        </a:xfrm>
                      </wpg:grpSpPr>
                      <wps:wsp>
                        <wps:cNvPr id="73" name="CuadroTexto 338"/>
                        <wps:cNvSpPr txBox="1"/>
                        <wps:spPr>
                          <a:xfrm>
                            <a:off x="1526031" y="503045"/>
                            <a:ext cx="835025" cy="334829"/>
                          </a:xfrm>
                          <a:prstGeom prst="rect">
                            <a:avLst/>
                          </a:prstGeom>
                          <a:noFill/>
                        </wps:spPr>
                        <wps:txbx>
                          <w:txbxContent>
                            <w:p w14:paraId="6A701281" w14:textId="77777777" w:rsidR="005029D0" w:rsidRDefault="005029D0" w:rsidP="006A0C4B">
                              <w:r>
                                <w:rPr>
                                  <w:rFonts w:asciiTheme="minorHAnsi" w:hAnsi="Calibri" w:cstheme="minorBidi"/>
                                  <w:b/>
                                  <w:bCs/>
                                  <w:color w:val="000000" w:themeColor="text1"/>
                                  <w:kern w:val="24"/>
                                  <w:sz w:val="22"/>
                                  <w:szCs w:val="22"/>
                                  <w:u w:val="single"/>
                                </w:rPr>
                                <w:t>Squalene</w:t>
                              </w:r>
                            </w:p>
                          </w:txbxContent>
                        </wps:txbx>
                        <wps:bodyPr wrap="square" rtlCol="0">
                          <a:spAutoFit/>
                        </wps:bodyPr>
                      </wps:wsp>
                      <wps:wsp>
                        <wps:cNvPr id="74" name="CuadroTexto 341"/>
                        <wps:cNvSpPr txBox="1"/>
                        <wps:spPr>
                          <a:xfrm>
                            <a:off x="1495550" y="723020"/>
                            <a:ext cx="1590040" cy="312591"/>
                          </a:xfrm>
                          <a:prstGeom prst="rect">
                            <a:avLst/>
                          </a:prstGeom>
                          <a:noFill/>
                        </wps:spPr>
                        <wps:txbx>
                          <w:txbxContent>
                            <w:p w14:paraId="7CD1A215" w14:textId="77777777" w:rsidR="005029D0" w:rsidRDefault="005029D0" w:rsidP="006A0C4B">
                              <w:r>
                                <w:rPr>
                                  <w:rFonts w:asciiTheme="minorHAnsi" w:hAnsi="Calibri" w:cstheme="minorBidi"/>
                                  <w:color w:val="000000" w:themeColor="text1"/>
                                  <w:kern w:val="24"/>
                                  <w:sz w:val="20"/>
                                  <w:szCs w:val="20"/>
                                </w:rPr>
                                <w:t>Squalene (SQU)</w:t>
                              </w:r>
                            </w:p>
                          </w:txbxContent>
                        </wps:txbx>
                        <wps:bodyPr wrap="square" rtlCol="0">
                          <a:spAutoFit/>
                        </wps:bodyPr>
                      </wps:wsp>
                    </wpg:wgp>
                  </a:graphicData>
                </a:graphic>
              </wp:anchor>
            </w:drawing>
          </mc:Choice>
          <mc:Fallback>
            <w:pict>
              <v:group id="Grupo 101" o:spid="_x0000_s1119" style="position:absolute;left:0;text-align:left;margin-left:117.75pt;margin-top:18.15pt;width:125.2pt;height:38.05pt;z-index:251807744" coordorigin="14955,5030" coordsize="15900,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">
                <v:shape id="CuadroTexto 338" o:spid="_x0000_s1120" type="#_x0000_t202" style="position:absolute;left:15260;top:5030;width:8350;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c78IA&#10;AADbAAAADwAAAGRycy9kb3ducmV2LnhtbESPQWvCQBSE7wX/w/KE3upGp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zvwgAAANsAAAAPAAAAAAAAAAAAAAAAAJgCAABkcnMvZG93&#10;bnJldi54bWxQSwUGAAAAAAQABAD1AAAAhwMAAAAA&#10;" filled="f" stroked="f">
                  <v:textbox style="mso-fit-shape-to-text:t">
                    <w:txbxContent>
                      <w:p w14:paraId="6A701281" w14:textId="77777777" w:rsidR="005029D0" w:rsidRDefault="005029D0" w:rsidP="006A0C4B">
                        <w:r>
                          <w:rPr>
                            <w:rFonts w:asciiTheme="minorHAnsi" w:hAnsi="Calibri" w:cstheme="minorBidi"/>
                            <w:b/>
                            <w:bCs/>
                            <w:color w:val="000000" w:themeColor="text1"/>
                            <w:kern w:val="24"/>
                            <w:sz w:val="22"/>
                            <w:szCs w:val="22"/>
                            <w:u w:val="single"/>
                          </w:rPr>
                          <w:t>Squalene</w:t>
                        </w:r>
                      </w:p>
                    </w:txbxContent>
                  </v:textbox>
                </v:shape>
                <v:shape id="CuadroTexto 341" o:spid="_x0000_s1121" type="#_x0000_t202" style="position:absolute;left:14955;top:7230;width:15900;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Em8IA&#10;AADbAAAADwAAAGRycy9kb3ducmV2LnhtbESPQWvCQBSE7wX/w/KE3upGs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4SbwgAAANsAAAAPAAAAAAAAAAAAAAAAAJgCAABkcnMvZG93&#10;bnJldi54bWxQSwUGAAAAAAQABAD1AAAAhwMAAAAA&#10;" filled="f" stroked="f">
                  <v:textbox style="mso-fit-shape-to-text:t">
                    <w:txbxContent>
                      <w:p w14:paraId="7CD1A215" w14:textId="77777777" w:rsidR="005029D0" w:rsidRDefault="005029D0" w:rsidP="006A0C4B">
                        <w:r>
                          <w:rPr>
                            <w:rFonts w:asciiTheme="minorHAnsi" w:hAnsi="Calibri" w:cstheme="minorBidi"/>
                            <w:color w:val="000000" w:themeColor="text1"/>
                            <w:kern w:val="24"/>
                            <w:sz w:val="20"/>
                            <w:szCs w:val="20"/>
                          </w:rPr>
                          <w:t>Squalene (SQU)</w:t>
                        </w:r>
                      </w:p>
                    </w:txbxContent>
                  </v:textbox>
                </v:shape>
              </v:group>
            </w:pict>
          </mc:Fallback>
        </mc:AlternateContent>
      </w:r>
    </w:p>
    <w:p w14:paraId="120F8832" w14:textId="72F69C32" w:rsidR="006A0C4B" w:rsidRPr="00B7408D" w:rsidRDefault="00E712B4" w:rsidP="006A0C4B">
      <w:pPr>
        <w:adjustRightInd w:val="0"/>
        <w:snapToGrid w:val="0"/>
        <w:spacing w:line="360" w:lineRule="auto"/>
        <w:ind w:right="-7"/>
        <w:jc w:val="both"/>
        <w:rPr>
          <w:rFonts w:ascii="Book Antiqua" w:hAnsi="Book Antiqua"/>
          <w:b/>
          <w:lang w:val="en-US"/>
        </w:rPr>
      </w:pPr>
      <w:r w:rsidRPr="00B7408D">
        <w:rPr>
          <w:rFonts w:ascii="Book Antiqua" w:hAnsi="Book Antiqua"/>
          <w:b/>
          <w:noProof/>
          <w:lang w:val="en-US" w:bidi="ar-SA"/>
        </w:rPr>
        <mc:AlternateContent>
          <mc:Choice Requires="wpg">
            <w:drawing>
              <wp:anchor distT="0" distB="0" distL="114300" distR="114300" simplePos="0" relativeHeight="251805696" behindDoc="0" locked="0" layoutInCell="1" allowOverlap="1" wp14:anchorId="68E44FE6" wp14:editId="56D45469">
                <wp:simplePos x="0" y="0"/>
                <wp:positionH relativeFrom="column">
                  <wp:posOffset>131445</wp:posOffset>
                </wp:positionH>
                <wp:positionV relativeFrom="paragraph">
                  <wp:posOffset>12065</wp:posOffset>
                </wp:positionV>
                <wp:extent cx="1590040" cy="1111972"/>
                <wp:effectExtent l="0" t="0" r="0" b="0"/>
                <wp:wrapNone/>
                <wp:docPr id="67" name="Grupo 100"/>
                <wp:cNvGraphicFramePr/>
                <a:graphic xmlns:a="http://schemas.openxmlformats.org/drawingml/2006/main">
                  <a:graphicData uri="http://schemas.microsoft.com/office/word/2010/wordprocessingGroup">
                    <wpg:wgp>
                      <wpg:cNvGrpSpPr/>
                      <wpg:grpSpPr>
                        <a:xfrm>
                          <a:off x="0" y="0"/>
                          <a:ext cx="1590040" cy="1111972"/>
                          <a:chOff x="134736" y="503045"/>
                          <a:chExt cx="1590040" cy="1111972"/>
                        </a:xfrm>
                      </wpg:grpSpPr>
                      <wps:wsp>
                        <wps:cNvPr id="70" name="CuadroTexto 321"/>
                        <wps:cNvSpPr txBox="1"/>
                        <wps:spPr>
                          <a:xfrm>
                            <a:off x="233796" y="503045"/>
                            <a:ext cx="811530" cy="334645"/>
                          </a:xfrm>
                          <a:prstGeom prst="rect">
                            <a:avLst/>
                          </a:prstGeom>
                          <a:noFill/>
                        </wps:spPr>
                        <wps:txbx>
                          <w:txbxContent>
                            <w:p w14:paraId="0F16CFAA" w14:textId="77777777" w:rsidR="005029D0" w:rsidRDefault="005029D0" w:rsidP="006A0C4B">
                              <w:r>
                                <w:rPr>
                                  <w:rFonts w:asciiTheme="minorHAnsi" w:hAnsi="Calibri" w:cstheme="minorBidi"/>
                                  <w:b/>
                                  <w:bCs/>
                                  <w:color w:val="000000" w:themeColor="text1"/>
                                  <w:kern w:val="24"/>
                                  <w:sz w:val="22"/>
                                  <w:szCs w:val="22"/>
                                  <w:u w:val="single"/>
                                </w:rPr>
                                <w:t>Vitamins</w:t>
                              </w:r>
                            </w:p>
                          </w:txbxContent>
                        </wps:txbx>
                        <wps:bodyPr wrap="square" rtlCol="0">
                          <a:spAutoFit/>
                        </wps:bodyPr>
                      </wps:wsp>
                      <wps:wsp>
                        <wps:cNvPr id="71" name="CuadroTexto 322"/>
                        <wps:cNvSpPr txBox="1"/>
                        <wps:spPr>
                          <a:xfrm>
                            <a:off x="142356" y="901911"/>
                            <a:ext cx="1088390" cy="312420"/>
                          </a:xfrm>
                          <a:prstGeom prst="rect">
                            <a:avLst/>
                          </a:prstGeom>
                          <a:noFill/>
                        </wps:spPr>
                        <wps:txbx>
                          <w:txbxContent>
                            <w:p w14:paraId="41D9A0EE" w14:textId="77777777" w:rsidR="005029D0" w:rsidRDefault="005029D0" w:rsidP="006A0C4B">
                              <w:r>
                                <w:rPr>
                                  <w:rFonts w:asciiTheme="minorHAnsi" w:hAnsi="Calibri" w:cstheme="minorBidi"/>
                                  <w:color w:val="000000" w:themeColor="text1"/>
                                  <w:kern w:val="24"/>
                                  <w:sz w:val="20"/>
                                  <w:szCs w:val="20"/>
                                </w:rPr>
                                <w:t>Vitamin K (VitK)</w:t>
                              </w:r>
                            </w:p>
                          </w:txbxContent>
                        </wps:txbx>
                        <wps:bodyPr wrap="square" rtlCol="0">
                          <a:spAutoFit/>
                        </wps:bodyPr>
                      </wps:wsp>
                      <wps:wsp>
                        <wps:cNvPr id="150" name="CuadroTexto 323"/>
                        <wps:cNvSpPr txBox="1"/>
                        <wps:spPr>
                          <a:xfrm>
                            <a:off x="142356" y="1080982"/>
                            <a:ext cx="1334135" cy="534035"/>
                          </a:xfrm>
                          <a:prstGeom prst="rect">
                            <a:avLst/>
                          </a:prstGeom>
                          <a:noFill/>
                        </wps:spPr>
                        <wps:txbx>
                          <w:txbxContent>
                            <w:p w14:paraId="6B639144" w14:textId="77777777" w:rsidR="005029D0" w:rsidRDefault="005029D0" w:rsidP="006A0C4B">
                              <w:r>
                                <w:rPr>
                                  <w:rFonts w:asciiTheme="minorHAnsi" w:hAnsi="Calibri" w:cstheme="minorBidi"/>
                                  <w:color w:val="000000" w:themeColor="text1"/>
                                  <w:kern w:val="24"/>
                                  <w:sz w:val="20"/>
                                  <w:szCs w:val="20"/>
                                </w:rPr>
                                <w:t>Beta carotene (BCA)</w:t>
                              </w:r>
                            </w:p>
                          </w:txbxContent>
                        </wps:txbx>
                        <wps:bodyPr wrap="square" rtlCol="0">
                          <a:spAutoFit/>
                        </wps:bodyPr>
                      </wps:wsp>
                      <wps:wsp>
                        <wps:cNvPr id="151" name="CuadroTexto 325"/>
                        <wps:cNvSpPr txBox="1"/>
                        <wps:spPr>
                          <a:xfrm>
                            <a:off x="134736" y="715310"/>
                            <a:ext cx="1590040" cy="312420"/>
                          </a:xfrm>
                          <a:prstGeom prst="rect">
                            <a:avLst/>
                          </a:prstGeom>
                          <a:noFill/>
                        </wps:spPr>
                        <wps:txbx>
                          <w:txbxContent>
                            <w:p w14:paraId="657D2475" w14:textId="77777777" w:rsidR="005029D0" w:rsidRDefault="005029D0" w:rsidP="006A0C4B">
                              <w:r>
                                <w:rPr>
                                  <w:rFonts w:asciiTheme="minorHAnsi" w:hAnsi="Calibri" w:cstheme="minorBidi"/>
                                  <w:color w:val="000000" w:themeColor="text1"/>
                                  <w:kern w:val="24"/>
                                  <w:sz w:val="20"/>
                                  <w:szCs w:val="20"/>
                                </w:rPr>
                                <w:t>Alpha tocopherol (ATO)</w:t>
                              </w:r>
                            </w:p>
                          </w:txbxContent>
                        </wps:txbx>
                        <wps:bodyPr wrap="square" rtlCol="0">
                          <a:spAutoFit/>
                        </wps:bodyPr>
                      </wps:wsp>
                    </wpg:wgp>
                  </a:graphicData>
                </a:graphic>
              </wp:anchor>
            </w:drawing>
          </mc:Choice>
          <mc:Fallback>
            <w:pict>
              <v:group id="Grupo 100" o:spid="_x0000_s1122" style="position:absolute;left:0;text-align:left;margin-left:10.35pt;margin-top:.95pt;width:125.2pt;height:66.25pt;z-index:251805696" coordorigin="1347,5030" coordsize="15900,8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">
                <v:shape id="CuadroTexto 321" o:spid="_x0000_s1123" type="#_x0000_t202" style="position:absolute;left:2337;top:5030;width:8116;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mL4A&#10;AADbAAAADwAAAGRycy9kb3ducmV2LnhtbERPTWvCQBC9F/wPywi91Y0FW4muIlbBQy9qvA/ZMRvM&#10;zobsaOK/7x4KHh/ve7kefKMe1MU6sIHpJANFXAZbc2WgOO8/5qCiIFtsApOBJ0VYr0ZvS8xt6PlI&#10;j5NUKoVwzNGAE2lzrWPpyGOchJY4cdfQeZQEu0rbDvsU7hv9mWVf2mPNqcFhS1tH5e109wZE7Gb6&#10;LHY+Hi7D70/vsnKGhTHv42GzACU0yEv87z5YA99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cgpi+AAAA2wAAAA8AAAAAAAAAAAAAAAAAmAIAAGRycy9kb3ducmV2&#10;LnhtbFBLBQYAAAAABAAEAPUAAACDAwAAAAA=&#10;" filled="f" stroked="f">
                  <v:textbox style="mso-fit-shape-to-text:t">
                    <w:txbxContent>
                      <w:p w14:paraId="0F16CFAA" w14:textId="77777777" w:rsidR="005029D0" w:rsidRDefault="005029D0" w:rsidP="006A0C4B">
                        <w:r>
                          <w:rPr>
                            <w:rFonts w:asciiTheme="minorHAnsi" w:hAnsi="Calibri" w:cstheme="minorBidi"/>
                            <w:b/>
                            <w:bCs/>
                            <w:color w:val="000000" w:themeColor="text1"/>
                            <w:kern w:val="24"/>
                            <w:sz w:val="22"/>
                            <w:szCs w:val="22"/>
                            <w:u w:val="single"/>
                          </w:rPr>
                          <w:t>Vitamins</w:t>
                        </w:r>
                      </w:p>
                    </w:txbxContent>
                  </v:textbox>
                </v:shape>
                <v:shape id="CuadroTexto 322" o:spid="_x0000_s1124" type="#_x0000_t202" style="position:absolute;left:1423;top:9020;width:10884;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nA8IA&#10;AADbAAAADwAAAGRycy9kb3ducmV2LnhtbESPzWrDMBCE74W+g9hCb43sQJviRAkhP5BDL0md+2Jt&#10;LVNrZaxN7Lx9FCj0OMzMN8xiNfpWXamPTWAD+SQDRVwF23BtoPzev32CioJssQ1MBm4UYbV8flpg&#10;YcPAR7qepFYJwrFAA06kK7SOlSOPcRI64uT9hN6jJNnX2vY4JLhv9TTLPrTHhtOCw442jqrf08Ub&#10;ELHr/FbufDycx6/t4LLqHUtjXl/G9RyU0Cj/4b/2wRqY5f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CcDwgAAANsAAAAPAAAAAAAAAAAAAAAAAJgCAABkcnMvZG93&#10;bnJldi54bWxQSwUGAAAAAAQABAD1AAAAhwMAAAAA&#10;" filled="f" stroked="f">
                  <v:textbox style="mso-fit-shape-to-text:t">
                    <w:txbxContent>
                      <w:p w14:paraId="41D9A0EE" w14:textId="77777777" w:rsidR="005029D0" w:rsidRDefault="005029D0" w:rsidP="006A0C4B">
                        <w:r>
                          <w:rPr>
                            <w:rFonts w:asciiTheme="minorHAnsi" w:hAnsi="Calibri" w:cstheme="minorBidi"/>
                            <w:color w:val="000000" w:themeColor="text1"/>
                            <w:kern w:val="24"/>
                            <w:sz w:val="20"/>
                            <w:szCs w:val="20"/>
                          </w:rPr>
                          <w:t>Vitamin K (VitK)</w:t>
                        </w:r>
                      </w:p>
                    </w:txbxContent>
                  </v:textbox>
                </v:shape>
                <v:shape id="CuadroTexto 323" o:spid="_x0000_s1125" type="#_x0000_t202" style="position:absolute;left:1423;top:10811;width:13341;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d5MMA&#10;AADcAAAADwAAAGRycy9kb3ducmV2LnhtbESPQWvDMAyF74P9B6NBb6vTQcdI65bSrdDDLuvSu4jV&#10;ODSWQ6w16b+fDoPdJN7Te5/W2yl25kZDbhM7WMwLMMR18i03Dqrvw/MbmCzIHrvE5OBOGbabx4c1&#10;lj6N/EW3kzRGQziX6CCI9KW1uQ4UMc9TT6zaJQ0RRdehsX7AUcNjZ1+K4tVGbFkbAva0D1RfTz/R&#10;gYjfLe7VR8zH8/T5PoaiXmLl3Oxp2q3ACE3yb/67PnrFXyq+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ed5MMAAADcAAAADwAAAAAAAAAAAAAAAACYAgAAZHJzL2Rv&#10;d25yZXYueG1sUEsFBgAAAAAEAAQA9QAAAIgDAAAAAA==&#10;" filled="f" stroked="f">
                  <v:textbox style="mso-fit-shape-to-text:t">
                    <w:txbxContent>
                      <w:p w14:paraId="6B639144" w14:textId="77777777" w:rsidR="005029D0" w:rsidRDefault="005029D0" w:rsidP="006A0C4B">
                        <w:r>
                          <w:rPr>
                            <w:rFonts w:asciiTheme="minorHAnsi" w:hAnsi="Calibri" w:cstheme="minorBidi"/>
                            <w:color w:val="000000" w:themeColor="text1"/>
                            <w:kern w:val="24"/>
                            <w:sz w:val="20"/>
                            <w:szCs w:val="20"/>
                          </w:rPr>
                          <w:t>Beta carotene (BCA)</w:t>
                        </w:r>
                      </w:p>
                    </w:txbxContent>
                  </v:textbox>
                </v:shape>
                <v:shape id="CuadroTexto 325" o:spid="_x0000_s1126" type="#_x0000_t202" style="position:absolute;left:1347;top:7153;width:15900;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4f78A&#10;AADcAAAADwAAAGRycy9kb3ducmV2LnhtbERPTWvCQBC9F/wPyxS81U0ERVJXkVrBgxdteh+y02xo&#10;djZkpyb+e1cQepvH+5z1dvStulIfm8AG8lkGirgKtuHaQPl1eFuBioJssQ1MBm4UYbuZvKyxsGHg&#10;M10vUqsUwrFAA06kK7SOlSOPcRY64sT9hN6jJNjX2vY4pHDf6nmWLbXHhlODw44+HFW/lz9vQMTu&#10;8lv56ePxezztB5dVCyyNmb6Ou3dQQqP8i5/uo03zF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zh/vwAAANwAAAAPAAAAAAAAAAAAAAAAAJgCAABkcnMvZG93bnJl&#10;di54bWxQSwUGAAAAAAQABAD1AAAAhAMAAAAA&#10;" filled="f" stroked="f">
                  <v:textbox style="mso-fit-shape-to-text:t">
                    <w:txbxContent>
                      <w:p w14:paraId="657D2475" w14:textId="77777777" w:rsidR="005029D0" w:rsidRDefault="005029D0" w:rsidP="006A0C4B">
                        <w:r>
                          <w:rPr>
                            <w:rFonts w:asciiTheme="minorHAnsi" w:hAnsi="Calibri" w:cstheme="minorBidi"/>
                            <w:color w:val="000000" w:themeColor="text1"/>
                            <w:kern w:val="24"/>
                            <w:sz w:val="20"/>
                            <w:szCs w:val="20"/>
                          </w:rPr>
                          <w:t>Alpha tocopherol (ATO)</w:t>
                        </w:r>
                      </w:p>
                    </w:txbxContent>
                  </v:textbox>
                </v:shape>
              </v:group>
            </w:pict>
          </mc:Fallback>
        </mc:AlternateContent>
      </w:r>
    </w:p>
    <w:p w14:paraId="78E88E2C"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0CA32E0A"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6B29F971"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44534CA7"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4AB06C06"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6D2CF559"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70CD48FF"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0E764D9C"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6B8C0D98"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76F27BB3"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4F80690E"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0C4B0EA3"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367D40CF"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7E2C0483"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79B60215"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567AE06E"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4300BF17"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0EAFBB1D"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06A9EE47"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4026C9BF"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2B1687D1"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1A653831"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38296C6B"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28311CB0"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7F266147"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7E6EDCB9"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7E168FD4"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4298A423" w14:textId="77777777" w:rsidR="006A0C4B" w:rsidRPr="00B7408D" w:rsidRDefault="006A0C4B" w:rsidP="006A0C4B">
      <w:pPr>
        <w:adjustRightInd w:val="0"/>
        <w:snapToGrid w:val="0"/>
        <w:spacing w:line="360" w:lineRule="auto"/>
        <w:ind w:right="-7"/>
        <w:jc w:val="both"/>
        <w:rPr>
          <w:rFonts w:ascii="Book Antiqua" w:hAnsi="Book Antiqua"/>
          <w:b/>
          <w:lang w:val="en-US"/>
        </w:rPr>
      </w:pPr>
    </w:p>
    <w:p w14:paraId="40139FD3" w14:textId="77777777" w:rsidR="00A13074" w:rsidRPr="00B7408D" w:rsidRDefault="00A13074" w:rsidP="006A0C4B">
      <w:pPr>
        <w:adjustRightInd w:val="0"/>
        <w:snapToGrid w:val="0"/>
        <w:spacing w:line="360" w:lineRule="auto"/>
        <w:ind w:right="-7"/>
        <w:jc w:val="both"/>
        <w:rPr>
          <w:rFonts w:ascii="Book Antiqua" w:hAnsi="Book Antiqua"/>
          <w:b/>
          <w:lang w:val="en-US"/>
        </w:rPr>
      </w:pPr>
    </w:p>
    <w:p w14:paraId="74DDB0BF" w14:textId="4EA708E3" w:rsidR="006A0C4B" w:rsidRPr="00BF1532" w:rsidRDefault="006A0C4B" w:rsidP="006A0C4B">
      <w:pPr>
        <w:adjustRightInd w:val="0"/>
        <w:snapToGrid w:val="0"/>
        <w:spacing w:line="360" w:lineRule="auto"/>
        <w:ind w:right="-7"/>
        <w:jc w:val="both"/>
        <w:rPr>
          <w:rFonts w:ascii="Book Antiqua" w:hAnsi="Book Antiqua"/>
        </w:rPr>
      </w:pPr>
      <w:r w:rsidRPr="00B7408D">
        <w:rPr>
          <w:rFonts w:ascii="Book Antiqua" w:hAnsi="Book Antiqua"/>
          <w:b/>
          <w:lang w:val="en-US"/>
        </w:rPr>
        <w:lastRenderedPageBreak/>
        <w:t xml:space="preserve">Figure 3 Effects of unsaponifiable fraction of olive oil on </w:t>
      </w:r>
      <w:r w:rsidR="00A13074" w:rsidRPr="00B7408D">
        <w:rPr>
          <w:rFonts w:ascii="Book Antiqua" w:hAnsi="Book Antiqua"/>
          <w:b/>
          <w:lang w:val="en-US"/>
        </w:rPr>
        <w:t>mesenchymal stem cells</w:t>
      </w:r>
      <w:r w:rsidRPr="00B7408D">
        <w:rPr>
          <w:rFonts w:ascii="Book Antiqua" w:hAnsi="Book Antiqua"/>
          <w:b/>
          <w:lang w:val="en-US"/>
        </w:rPr>
        <w:t>.</w:t>
      </w:r>
      <w:r w:rsidRPr="00B7408D">
        <w:rPr>
          <w:rFonts w:ascii="Book Antiqua" w:hAnsi="Book Antiqua"/>
          <w:lang w:val="en-US"/>
        </w:rPr>
        <w:t xml:space="preserve"> The different groups of compounds included in the unsaponifiable fraction of olive oil have positive effects on </w:t>
      </w:r>
      <w:r w:rsidR="00A13074" w:rsidRPr="00B7408D">
        <w:rPr>
          <w:rFonts w:ascii="Book Antiqua" w:hAnsi="Book Antiqua" w:cs="Arial"/>
          <w:lang w:val="en-US"/>
        </w:rPr>
        <w:t>mesenchymal stem cells</w:t>
      </w:r>
      <w:r w:rsidR="00A13074" w:rsidRPr="00B7408D">
        <w:rPr>
          <w:rFonts w:ascii="Book Antiqua" w:hAnsi="Book Antiqua"/>
          <w:lang w:val="en-US"/>
        </w:rPr>
        <w:t xml:space="preserve"> (</w:t>
      </w:r>
      <w:r w:rsidRPr="00B7408D">
        <w:rPr>
          <w:rFonts w:ascii="Book Antiqua" w:hAnsi="Book Antiqua"/>
          <w:lang w:val="en-US"/>
        </w:rPr>
        <w:t>MSCs</w:t>
      </w:r>
      <w:r w:rsidR="00A13074" w:rsidRPr="00B7408D">
        <w:rPr>
          <w:rFonts w:ascii="Book Antiqua" w:hAnsi="Book Antiqua"/>
          <w:lang w:val="en-US"/>
        </w:rPr>
        <w:t>)</w:t>
      </w:r>
      <w:r w:rsidRPr="00B7408D">
        <w:rPr>
          <w:rFonts w:ascii="Book Antiqua" w:hAnsi="Book Antiqua"/>
          <w:lang w:val="en-US"/>
        </w:rPr>
        <w:t xml:space="preserve">. Among others, they include differentiation, proliferation and inflammation capacities, reducing oxidative stress and apoptosis. These effects may be related to different aspects of human health, which are positively influenced by consumption of this food. Among others, they involve better bone health, lower incidence of diabetes and obesity, and better regenerative, neurological and cardiovascular capacities. In general, available data show that the studied compounds present in olive oil enhance bone </w:t>
      </w:r>
      <w:r w:rsidRPr="00B7408D">
        <w:rPr>
          <w:rFonts w:ascii="Book Antiqua" w:hAnsi="Book Antiqua"/>
          <w:i/>
          <w:lang w:val="en-US"/>
        </w:rPr>
        <w:t>vs</w:t>
      </w:r>
      <w:r w:rsidR="007D674B" w:rsidRPr="00B7408D">
        <w:rPr>
          <w:rFonts w:ascii="Book Antiqua" w:hAnsi="Book Antiqua"/>
          <w:i/>
          <w:lang w:val="en-US"/>
        </w:rPr>
        <w:t xml:space="preserve"> </w:t>
      </w:r>
      <w:r w:rsidRPr="00B7408D">
        <w:rPr>
          <w:rFonts w:ascii="Book Antiqua" w:hAnsi="Book Antiqua"/>
          <w:lang w:val="en-US"/>
        </w:rPr>
        <w:t>fat formation. They also reduce apoptosis, oxidative stress, and inflammatory status of MSCs. All that may have a positive impact on health, explaining at least partially the beneficial effects of olive oil consumption. Symbols: ↑ and ↓ represent increase or reduction of effect, respectively, due to involved fatty acid residues</w:t>
      </w:r>
      <w:r w:rsidR="00A30959" w:rsidRPr="00B7408D">
        <w:rPr>
          <w:rFonts w:ascii="Book Antiqua" w:hAnsi="Book Antiqua"/>
          <w:lang w:val="en-US"/>
        </w:rPr>
        <w:t>;</w:t>
      </w:r>
      <w:r w:rsidRPr="00B7408D">
        <w:rPr>
          <w:rFonts w:ascii="Book Antiqua" w:hAnsi="Book Antiqua"/>
          <w:lang w:val="en-US"/>
        </w:rPr>
        <w:t xml:space="preserve"> The ↔ indicates that the studies carried out so far have not found significant effects on the evaluated parameter</w:t>
      </w:r>
      <w:r w:rsidR="00A30959" w:rsidRPr="00B7408D">
        <w:rPr>
          <w:rFonts w:ascii="Book Antiqua" w:hAnsi="Book Antiqua"/>
          <w:lang w:val="en-US"/>
        </w:rPr>
        <w:t>;</w:t>
      </w:r>
      <w:r w:rsidRPr="00B7408D">
        <w:rPr>
          <w:rFonts w:ascii="Book Antiqua" w:hAnsi="Book Antiqua"/>
          <w:lang w:val="en-US"/>
        </w:rPr>
        <w:t xml:space="preserve"> The ? indicates contradictory data. The numbers in square brackets indicate the bibliographical references. MSCs: </w:t>
      </w:r>
      <w:r w:rsidRPr="00B7408D">
        <w:rPr>
          <w:rFonts w:ascii="Book Antiqua" w:hAnsi="Book Antiqua" w:cs="Arial"/>
          <w:lang w:val="en-US"/>
        </w:rPr>
        <w:t>Mesenchymal stem cells</w:t>
      </w:r>
      <w:r w:rsidR="00F705AE" w:rsidRPr="00B7408D">
        <w:rPr>
          <w:rFonts w:ascii="Book Antiqua" w:hAnsi="Book Antiqua" w:cs="Arial"/>
          <w:lang w:val="en-US"/>
        </w:rPr>
        <w:t>;</w:t>
      </w:r>
      <w:r w:rsidR="00F705AE" w:rsidRPr="00B7408D">
        <w:t xml:space="preserve"> </w:t>
      </w:r>
      <w:r w:rsidR="00F705AE" w:rsidRPr="00B7408D">
        <w:rPr>
          <w:rFonts w:ascii="Book Antiqua" w:hAnsi="Book Antiqua" w:cs="Arial"/>
          <w:lang w:val="en-US"/>
        </w:rPr>
        <w:t xml:space="preserve">ATO: Alpha tocopherol; </w:t>
      </w:r>
      <w:proofErr w:type="spellStart"/>
      <w:r w:rsidR="00BF1532" w:rsidRPr="00B7408D">
        <w:rPr>
          <w:rFonts w:ascii="Book Antiqua" w:hAnsi="Book Antiqua" w:cs="Arial"/>
          <w:lang w:val="en-US"/>
        </w:rPr>
        <w:t>VitK</w:t>
      </w:r>
      <w:proofErr w:type="spellEnd"/>
      <w:r w:rsidR="00BF1532" w:rsidRPr="00B7408D">
        <w:rPr>
          <w:rFonts w:ascii="Book Antiqua" w:hAnsi="Book Antiqua" w:cs="Arial"/>
          <w:lang w:val="en-US"/>
        </w:rPr>
        <w:t xml:space="preserve">: </w:t>
      </w:r>
      <w:r w:rsidR="00F705AE" w:rsidRPr="00B7408D">
        <w:rPr>
          <w:rFonts w:ascii="Book Antiqua" w:hAnsi="Book Antiqua" w:cs="Arial"/>
          <w:lang w:val="en-US"/>
        </w:rPr>
        <w:t xml:space="preserve">Vitamin K; </w:t>
      </w:r>
      <w:r w:rsidR="00BF1532" w:rsidRPr="00B7408D">
        <w:rPr>
          <w:rFonts w:ascii="Book Antiqua" w:hAnsi="Book Antiqua" w:cs="Arial"/>
          <w:lang w:val="en-US"/>
        </w:rPr>
        <w:t xml:space="preserve">BCA: </w:t>
      </w:r>
      <w:r w:rsidR="00F705AE" w:rsidRPr="00B7408D">
        <w:rPr>
          <w:rFonts w:ascii="Book Antiqua" w:hAnsi="Book Antiqua" w:cs="Arial"/>
          <w:lang w:val="en-US"/>
        </w:rPr>
        <w:t xml:space="preserve">Beta carotene; </w:t>
      </w:r>
      <w:r w:rsidR="00BF1532" w:rsidRPr="00B7408D">
        <w:rPr>
          <w:rFonts w:ascii="Book Antiqua" w:hAnsi="Book Antiqua" w:cs="Arial"/>
          <w:lang w:val="en-US"/>
        </w:rPr>
        <w:t xml:space="preserve">SQU: </w:t>
      </w:r>
      <w:r w:rsidR="00F705AE" w:rsidRPr="00B7408D">
        <w:rPr>
          <w:rFonts w:ascii="Book Antiqua" w:hAnsi="Book Antiqua" w:cs="Arial"/>
          <w:lang w:val="en-US"/>
        </w:rPr>
        <w:t>Squalene;</w:t>
      </w:r>
      <w:r w:rsidR="00F705AE" w:rsidRPr="00B7408D">
        <w:t xml:space="preserve"> </w:t>
      </w:r>
      <w:r w:rsidR="00BF1532" w:rsidRPr="00B7408D">
        <w:rPr>
          <w:rFonts w:ascii="Book Antiqua" w:hAnsi="Book Antiqua" w:cs="Arial"/>
          <w:lang w:val="en-US"/>
        </w:rPr>
        <w:t xml:space="preserve">OLEU: </w:t>
      </w:r>
      <w:proofErr w:type="spellStart"/>
      <w:r w:rsidR="00F705AE" w:rsidRPr="00B7408D">
        <w:rPr>
          <w:rFonts w:ascii="Book Antiqua" w:hAnsi="Book Antiqua" w:cs="Arial"/>
          <w:lang w:val="en-US"/>
        </w:rPr>
        <w:t>Oleuropein</w:t>
      </w:r>
      <w:proofErr w:type="spellEnd"/>
      <w:r w:rsidR="00F705AE" w:rsidRPr="00B7408D">
        <w:rPr>
          <w:rFonts w:ascii="Book Antiqua" w:hAnsi="Book Antiqua" w:cs="Arial"/>
          <w:lang w:val="en-US"/>
        </w:rPr>
        <w:t xml:space="preserve">; </w:t>
      </w:r>
      <w:r w:rsidR="00BF1532" w:rsidRPr="00B7408D">
        <w:rPr>
          <w:rFonts w:ascii="Book Antiqua" w:hAnsi="Book Antiqua" w:cs="Arial"/>
          <w:lang w:val="en-US"/>
        </w:rPr>
        <w:t xml:space="preserve">HYD: </w:t>
      </w:r>
      <w:proofErr w:type="spellStart"/>
      <w:r w:rsidR="00F705AE" w:rsidRPr="00B7408D">
        <w:rPr>
          <w:rFonts w:ascii="Book Antiqua" w:hAnsi="Book Antiqua" w:cs="Arial"/>
          <w:lang w:val="en-US"/>
        </w:rPr>
        <w:t>Hydroxytyrosol</w:t>
      </w:r>
      <w:proofErr w:type="spellEnd"/>
      <w:r w:rsidR="00F705AE" w:rsidRPr="00B7408D">
        <w:rPr>
          <w:rFonts w:ascii="Book Antiqua" w:hAnsi="Book Antiqua" w:cs="Arial"/>
          <w:lang w:val="en-US"/>
        </w:rPr>
        <w:t xml:space="preserve">; </w:t>
      </w:r>
      <w:r w:rsidR="00BF1532" w:rsidRPr="00B7408D">
        <w:rPr>
          <w:rFonts w:ascii="Book Antiqua" w:hAnsi="Book Antiqua" w:cs="Arial"/>
          <w:lang w:val="en-US"/>
        </w:rPr>
        <w:t xml:space="preserve">LUT: </w:t>
      </w:r>
      <w:proofErr w:type="spellStart"/>
      <w:r w:rsidR="00F705AE" w:rsidRPr="00B7408D">
        <w:rPr>
          <w:rFonts w:ascii="Book Antiqua" w:hAnsi="Book Antiqua" w:cs="Arial"/>
          <w:lang w:val="en-US"/>
        </w:rPr>
        <w:t>Luteolin</w:t>
      </w:r>
      <w:proofErr w:type="spellEnd"/>
      <w:r w:rsidR="00F705AE" w:rsidRPr="00B7408D">
        <w:rPr>
          <w:rFonts w:ascii="Book Antiqua" w:hAnsi="Book Antiqua" w:cs="Arial"/>
          <w:lang w:val="en-US"/>
        </w:rPr>
        <w:t xml:space="preserve">; </w:t>
      </w:r>
      <w:r w:rsidR="00BF1532" w:rsidRPr="00B7408D">
        <w:rPr>
          <w:rFonts w:ascii="Book Antiqua" w:hAnsi="Book Antiqua" w:cs="Arial"/>
          <w:lang w:val="en-US"/>
        </w:rPr>
        <w:t xml:space="preserve">APG: </w:t>
      </w:r>
      <w:proofErr w:type="spellStart"/>
      <w:r w:rsidR="00F705AE" w:rsidRPr="00B7408D">
        <w:rPr>
          <w:rFonts w:ascii="Book Antiqua" w:hAnsi="Book Antiqua" w:cs="Arial"/>
          <w:lang w:val="en-US"/>
        </w:rPr>
        <w:t>Apigenin</w:t>
      </w:r>
      <w:proofErr w:type="spellEnd"/>
      <w:r w:rsidR="00F705AE" w:rsidRPr="00B7408D">
        <w:rPr>
          <w:rFonts w:ascii="Book Antiqua" w:hAnsi="Book Antiqua" w:cs="Arial"/>
          <w:lang w:val="en-US"/>
        </w:rPr>
        <w:t xml:space="preserve">; </w:t>
      </w:r>
      <w:r w:rsidR="00BF1532" w:rsidRPr="00B7408D">
        <w:rPr>
          <w:rFonts w:ascii="Book Antiqua" w:hAnsi="Book Antiqua" w:cs="Arial"/>
          <w:lang w:val="en-US"/>
        </w:rPr>
        <w:t xml:space="preserve">VAN: </w:t>
      </w:r>
      <w:proofErr w:type="spellStart"/>
      <w:r w:rsidR="00F705AE" w:rsidRPr="00B7408D">
        <w:rPr>
          <w:rFonts w:ascii="Book Antiqua" w:hAnsi="Book Antiqua" w:cs="Arial"/>
          <w:lang w:val="en-US"/>
        </w:rPr>
        <w:t>Vanillic</w:t>
      </w:r>
      <w:proofErr w:type="spellEnd"/>
      <w:r w:rsidR="00F705AE" w:rsidRPr="00B7408D">
        <w:rPr>
          <w:rFonts w:ascii="Book Antiqua" w:hAnsi="Book Antiqua" w:cs="Arial"/>
          <w:lang w:val="en-US"/>
        </w:rPr>
        <w:t xml:space="preserve"> acid; </w:t>
      </w:r>
      <w:r w:rsidR="00BF1532" w:rsidRPr="00B7408D">
        <w:rPr>
          <w:rFonts w:ascii="Book Antiqua" w:hAnsi="Book Antiqua" w:cs="Arial"/>
          <w:lang w:val="en-US"/>
        </w:rPr>
        <w:t xml:space="preserve">SYR: </w:t>
      </w:r>
      <w:proofErr w:type="spellStart"/>
      <w:r w:rsidR="00F705AE" w:rsidRPr="00B7408D">
        <w:rPr>
          <w:rFonts w:ascii="Book Antiqua" w:hAnsi="Book Antiqua" w:cs="Arial"/>
          <w:lang w:val="en-US"/>
        </w:rPr>
        <w:t>Syringic</w:t>
      </w:r>
      <w:proofErr w:type="spellEnd"/>
      <w:r w:rsidR="00F705AE" w:rsidRPr="00B7408D">
        <w:rPr>
          <w:rFonts w:ascii="Book Antiqua" w:hAnsi="Book Antiqua" w:cs="Arial"/>
          <w:lang w:val="en-US"/>
        </w:rPr>
        <w:t xml:space="preserve"> acid</w:t>
      </w:r>
      <w:r w:rsidR="00DC7FA6" w:rsidRPr="00B7408D">
        <w:rPr>
          <w:rFonts w:ascii="Book Antiqua" w:hAnsi="Book Antiqua" w:cs="Arial"/>
          <w:lang w:val="en-US"/>
        </w:rPr>
        <w:t xml:space="preserve">; </w:t>
      </w:r>
      <w:r w:rsidR="00BF1532" w:rsidRPr="00B7408D">
        <w:rPr>
          <w:rFonts w:ascii="Book Antiqua" w:hAnsi="Book Antiqua" w:cs="Arial"/>
          <w:lang w:val="en-US"/>
        </w:rPr>
        <w:t xml:space="preserve">4HY: </w:t>
      </w:r>
      <w:r w:rsidR="00DC7FA6" w:rsidRPr="00B7408D">
        <w:rPr>
          <w:rFonts w:ascii="Book Antiqua" w:hAnsi="Book Antiqua" w:cs="Arial"/>
          <w:lang w:val="en-US"/>
        </w:rPr>
        <w:t xml:space="preserve">4-Hydroxybenzoic acid; </w:t>
      </w:r>
      <w:proofErr w:type="spellStart"/>
      <w:r w:rsidR="00BF1532" w:rsidRPr="00B7408D">
        <w:rPr>
          <w:rFonts w:ascii="Book Antiqua" w:hAnsi="Book Antiqua" w:cs="Arial"/>
          <w:lang w:val="en-US"/>
        </w:rPr>
        <w:t>pCO</w:t>
      </w:r>
      <w:proofErr w:type="spellEnd"/>
      <w:r w:rsidR="00BF1532" w:rsidRPr="00B7408D">
        <w:rPr>
          <w:rFonts w:ascii="Book Antiqua" w:hAnsi="Book Antiqua" w:cs="Arial"/>
          <w:lang w:val="en-US"/>
        </w:rPr>
        <w:t xml:space="preserve">: </w:t>
      </w:r>
      <w:r w:rsidR="00DC7FA6" w:rsidRPr="00B7408D">
        <w:rPr>
          <w:rFonts w:ascii="Book Antiqua" w:hAnsi="Book Antiqua" w:cs="Arial"/>
          <w:lang w:val="en-US"/>
        </w:rPr>
        <w:t>p-</w:t>
      </w:r>
      <w:proofErr w:type="spellStart"/>
      <w:r w:rsidR="00DC7FA6" w:rsidRPr="00B7408D">
        <w:rPr>
          <w:rFonts w:ascii="Book Antiqua" w:hAnsi="Book Antiqua" w:cs="Arial"/>
          <w:lang w:val="en-US"/>
        </w:rPr>
        <w:t>Coumaric</w:t>
      </w:r>
      <w:proofErr w:type="spellEnd"/>
      <w:r w:rsidR="00DC7FA6" w:rsidRPr="00B7408D">
        <w:rPr>
          <w:rFonts w:ascii="Book Antiqua" w:hAnsi="Book Antiqua" w:cs="Arial"/>
          <w:lang w:val="en-US"/>
        </w:rPr>
        <w:t xml:space="preserve"> acid; </w:t>
      </w:r>
      <w:r w:rsidR="00BF1532" w:rsidRPr="00B7408D">
        <w:rPr>
          <w:rFonts w:ascii="Book Antiqua" w:hAnsi="Book Antiqua" w:cs="Arial"/>
          <w:lang w:val="en-US"/>
        </w:rPr>
        <w:t xml:space="preserve">CAF: </w:t>
      </w:r>
      <w:r w:rsidR="00DC7FA6" w:rsidRPr="00B7408D">
        <w:rPr>
          <w:rFonts w:ascii="Book Antiqua" w:hAnsi="Book Antiqua" w:cs="Arial"/>
          <w:lang w:val="en-US"/>
        </w:rPr>
        <w:t xml:space="preserve">Caffeic acid; </w:t>
      </w:r>
      <w:r w:rsidR="00BF1532" w:rsidRPr="00B7408D">
        <w:rPr>
          <w:rFonts w:ascii="Book Antiqua" w:hAnsi="Book Antiqua" w:cs="Arial"/>
          <w:lang w:val="en-US"/>
        </w:rPr>
        <w:t xml:space="preserve">LUTE: </w:t>
      </w:r>
      <w:r w:rsidR="00DC7FA6" w:rsidRPr="00B7408D">
        <w:rPr>
          <w:rFonts w:ascii="Book Antiqua" w:hAnsi="Book Antiqua" w:cs="Arial"/>
          <w:lang w:val="en-US"/>
        </w:rPr>
        <w:t xml:space="preserve">Lutein; </w:t>
      </w:r>
      <w:r w:rsidR="00BF1532" w:rsidRPr="00B7408D">
        <w:rPr>
          <w:rFonts w:ascii="Book Antiqua" w:hAnsi="Book Antiqua" w:cs="Arial"/>
          <w:lang w:val="en-US"/>
        </w:rPr>
        <w:t xml:space="preserve">PHE: </w:t>
      </w:r>
      <w:proofErr w:type="spellStart"/>
      <w:r w:rsidR="00BF1532" w:rsidRPr="00B7408D">
        <w:rPr>
          <w:rFonts w:ascii="Book Antiqua" w:hAnsi="Book Antiqua" w:cs="Arial"/>
          <w:lang w:val="en-US"/>
        </w:rPr>
        <w:t>Pheophytins</w:t>
      </w:r>
      <w:proofErr w:type="spellEnd"/>
      <w:r w:rsidR="00BF1532" w:rsidRPr="00B7408D">
        <w:rPr>
          <w:rFonts w:ascii="Book Antiqua" w:hAnsi="Book Antiqua" w:cs="Arial"/>
          <w:lang w:val="en-US"/>
        </w:rPr>
        <w:t xml:space="preserve">; OLEA: </w:t>
      </w:r>
      <w:proofErr w:type="spellStart"/>
      <w:r w:rsidR="00BF1532" w:rsidRPr="00B7408D">
        <w:rPr>
          <w:rFonts w:ascii="Book Antiqua" w:hAnsi="Book Antiqua" w:cs="Arial"/>
          <w:lang w:val="en-US"/>
        </w:rPr>
        <w:t>Oleanolic</w:t>
      </w:r>
      <w:proofErr w:type="spellEnd"/>
      <w:r w:rsidR="00BF1532" w:rsidRPr="00B7408D">
        <w:rPr>
          <w:rFonts w:ascii="Book Antiqua" w:hAnsi="Book Antiqua" w:cs="Arial"/>
          <w:lang w:val="en-US"/>
        </w:rPr>
        <w:t xml:space="preserve"> acid; MAS: </w:t>
      </w:r>
      <w:proofErr w:type="spellStart"/>
      <w:r w:rsidR="00BF1532" w:rsidRPr="00B7408D">
        <w:rPr>
          <w:rFonts w:ascii="Book Antiqua" w:hAnsi="Book Antiqua" w:cs="Arial"/>
          <w:lang w:val="en-US"/>
        </w:rPr>
        <w:t>Maslinic</w:t>
      </w:r>
      <w:proofErr w:type="spellEnd"/>
      <w:r w:rsidR="00BF1532" w:rsidRPr="00B7408D">
        <w:rPr>
          <w:rFonts w:ascii="Book Antiqua" w:hAnsi="Book Antiqua" w:cs="Arial"/>
          <w:lang w:val="en-US"/>
        </w:rPr>
        <w:t xml:space="preserve"> acid.</w:t>
      </w:r>
    </w:p>
    <w:p w14:paraId="77D28E03" w14:textId="77777777" w:rsidR="00411285" w:rsidRPr="007E2849" w:rsidRDefault="00411285">
      <w:pPr>
        <w:rPr>
          <w:rFonts w:ascii="Book Antiqua" w:hAnsi="Book Antiqua"/>
        </w:rPr>
      </w:pPr>
    </w:p>
    <w:sectPr w:rsidR="00411285" w:rsidRPr="007E2849" w:rsidSect="008B42A0">
      <w:footerReference w:type="even" r:id="rId36"/>
      <w:footerReference w:type="default" r:id="rId37"/>
      <w:pgSz w:w="11900" w:h="16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F243E3" w14:textId="77777777" w:rsidR="00745105" w:rsidRDefault="00745105">
      <w:r>
        <w:separator/>
      </w:r>
    </w:p>
  </w:endnote>
  <w:endnote w:type="continuationSeparator" w:id="0">
    <w:p w14:paraId="46C787CF" w14:textId="77777777" w:rsidR="00745105" w:rsidRDefault="00745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Liberation Serif">
    <w:altName w:val="Times New Roman"/>
    <w:charset w:val="00"/>
    <w:family w:val="roman"/>
    <w:pitch w:val="variable"/>
    <w:sig w:usb0="E0000AFF" w:usb1="500078FF" w:usb2="00000021" w:usb3="00000000" w:csb0="000001BF" w:csb1="00000000"/>
  </w:font>
  <w:font w:name="新宋体">
    <w:altName w:val="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dvTimes">
    <w:altName w:val="Microsoft JhengHei"/>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b"/>
      </w:rPr>
      <w:id w:val="517660016"/>
      <w:docPartObj>
        <w:docPartGallery w:val="Page Numbers (Bottom of Page)"/>
        <w:docPartUnique/>
      </w:docPartObj>
    </w:sdtPr>
    <w:sdtEndPr>
      <w:rPr>
        <w:rStyle w:val="ab"/>
      </w:rPr>
    </w:sdtEndPr>
    <w:sdtContent>
      <w:p w14:paraId="18549347" w14:textId="77777777" w:rsidR="005029D0" w:rsidRDefault="005029D0" w:rsidP="008B42A0">
        <w:pPr>
          <w:pStyle w:val="a4"/>
          <w:framePr w:wrap="none" w:vAnchor="text" w:hAnchor="margin" w:xAlign="center" w:y="1"/>
          <w:rPr>
            <w:rStyle w:val="ab"/>
          </w:rPr>
        </w:pPr>
        <w:r>
          <w:rPr>
            <w:rStyle w:val="ab"/>
          </w:rPr>
          <w:fldChar w:fldCharType="begin"/>
        </w:r>
        <w:r>
          <w:rPr>
            <w:rStyle w:val="ab"/>
          </w:rPr>
          <w:instrText xml:space="preserve"> PAGE </w:instrText>
        </w:r>
        <w:r>
          <w:rPr>
            <w:rStyle w:val="ab"/>
          </w:rPr>
          <w:fldChar w:fldCharType="end"/>
        </w:r>
      </w:p>
    </w:sdtContent>
  </w:sdt>
  <w:p w14:paraId="7FA2BC3E" w14:textId="77777777" w:rsidR="005029D0" w:rsidRDefault="005029D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b"/>
      </w:rPr>
      <w:id w:val="939034068"/>
      <w:docPartObj>
        <w:docPartGallery w:val="Page Numbers (Bottom of Page)"/>
        <w:docPartUnique/>
      </w:docPartObj>
    </w:sdtPr>
    <w:sdtEndPr>
      <w:rPr>
        <w:rStyle w:val="ab"/>
        <w:rFonts w:ascii="Book Antiqua" w:hAnsi="Book Antiqua"/>
      </w:rPr>
    </w:sdtEndPr>
    <w:sdtContent>
      <w:p w14:paraId="6022B713" w14:textId="77777777" w:rsidR="005029D0" w:rsidRPr="00944DFC" w:rsidRDefault="005029D0" w:rsidP="008B42A0">
        <w:pPr>
          <w:pStyle w:val="a4"/>
          <w:framePr w:wrap="none" w:vAnchor="text" w:hAnchor="margin" w:xAlign="center" w:y="1"/>
          <w:rPr>
            <w:rStyle w:val="ab"/>
            <w:rFonts w:ascii="Book Antiqua" w:hAnsi="Book Antiqua"/>
          </w:rPr>
        </w:pPr>
        <w:r w:rsidRPr="00944DFC">
          <w:rPr>
            <w:rStyle w:val="ab"/>
            <w:rFonts w:ascii="Book Antiqua" w:hAnsi="Book Antiqua"/>
          </w:rPr>
          <w:fldChar w:fldCharType="begin"/>
        </w:r>
        <w:r w:rsidRPr="00944DFC">
          <w:rPr>
            <w:rStyle w:val="ab"/>
            <w:rFonts w:ascii="Book Antiqua" w:hAnsi="Book Antiqua"/>
          </w:rPr>
          <w:instrText xml:space="preserve"> PAGE </w:instrText>
        </w:r>
        <w:r w:rsidRPr="00944DFC">
          <w:rPr>
            <w:rStyle w:val="ab"/>
            <w:rFonts w:ascii="Book Antiqua" w:hAnsi="Book Antiqua"/>
          </w:rPr>
          <w:fldChar w:fldCharType="separate"/>
        </w:r>
        <w:r w:rsidR="00F10F2F">
          <w:rPr>
            <w:rStyle w:val="ab"/>
            <w:rFonts w:ascii="Book Antiqua" w:hAnsi="Book Antiqua"/>
            <w:noProof/>
          </w:rPr>
          <w:t>4</w:t>
        </w:r>
        <w:r w:rsidRPr="00944DFC">
          <w:rPr>
            <w:rStyle w:val="ab"/>
            <w:rFonts w:ascii="Book Antiqua" w:hAnsi="Book Antiqua"/>
          </w:rPr>
          <w:fldChar w:fldCharType="end"/>
        </w:r>
      </w:p>
    </w:sdtContent>
  </w:sdt>
  <w:p w14:paraId="2ED64558" w14:textId="77777777" w:rsidR="005029D0" w:rsidRDefault="005029D0" w:rsidP="008B42A0">
    <w:pPr>
      <w:pStyle w:val="a4"/>
      <w:jc w:val="right"/>
      <w:rPr>
        <w:rFonts w:ascii="Arial" w:hAnsi="Arial" w:cs="Arial"/>
        <w:b/>
        <w:color w:val="4472C4" w:themeColor="accent1"/>
        <w:sz w:val="16"/>
        <w:szCs w:val="16"/>
      </w:rPr>
    </w:pPr>
    <w:r>
      <w:rPr>
        <w:rFonts w:ascii="Arial" w:hAnsi="Arial" w:cs="Arial"/>
        <w:b/>
        <w:color w:val="4472C4" w:themeColor="accent1"/>
        <w:sz w:val="16"/>
        <w:szCs w:val="16"/>
      </w:rPr>
      <w:t xml:space="preserve"> </w:t>
    </w:r>
  </w:p>
  <w:p w14:paraId="6D2F1AF5" w14:textId="77777777" w:rsidR="005029D0" w:rsidRPr="00C7245F" w:rsidRDefault="005029D0" w:rsidP="008B42A0">
    <w:pPr>
      <w:pStyle w:val="a4"/>
      <w:jc w:val="right"/>
      <w:rPr>
        <w:rFonts w:ascii="Arial" w:hAnsi="Arial" w:cs="Arial"/>
        <w:b/>
        <w:color w:val="4472C4" w:themeColor="accent1"/>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5F1755" w14:textId="77777777" w:rsidR="00745105" w:rsidRDefault="00745105">
      <w:r>
        <w:separator/>
      </w:r>
    </w:p>
  </w:footnote>
  <w:footnote w:type="continuationSeparator" w:id="0">
    <w:p w14:paraId="70E772E6" w14:textId="77777777" w:rsidR="00745105" w:rsidRDefault="007451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C4B"/>
    <w:rsid w:val="000079E4"/>
    <w:rsid w:val="00064EE0"/>
    <w:rsid w:val="000775F9"/>
    <w:rsid w:val="000B149D"/>
    <w:rsid w:val="000C70A9"/>
    <w:rsid w:val="001277C4"/>
    <w:rsid w:val="00191BFC"/>
    <w:rsid w:val="001F2900"/>
    <w:rsid w:val="00212D95"/>
    <w:rsid w:val="0024381E"/>
    <w:rsid w:val="003714DD"/>
    <w:rsid w:val="0039080D"/>
    <w:rsid w:val="003F4E36"/>
    <w:rsid w:val="00411285"/>
    <w:rsid w:val="00466A97"/>
    <w:rsid w:val="004C0061"/>
    <w:rsid w:val="004D452C"/>
    <w:rsid w:val="005029D0"/>
    <w:rsid w:val="00507902"/>
    <w:rsid w:val="005D5FDB"/>
    <w:rsid w:val="00662523"/>
    <w:rsid w:val="006A0C4B"/>
    <w:rsid w:val="006C17DA"/>
    <w:rsid w:val="00732AA9"/>
    <w:rsid w:val="00745105"/>
    <w:rsid w:val="00760471"/>
    <w:rsid w:val="007966C9"/>
    <w:rsid w:val="00796BCB"/>
    <w:rsid w:val="007D674B"/>
    <w:rsid w:val="007E2849"/>
    <w:rsid w:val="00857A59"/>
    <w:rsid w:val="00891FED"/>
    <w:rsid w:val="008B42A0"/>
    <w:rsid w:val="00950640"/>
    <w:rsid w:val="009A0167"/>
    <w:rsid w:val="009D164D"/>
    <w:rsid w:val="00A07220"/>
    <w:rsid w:val="00A13074"/>
    <w:rsid w:val="00A218EC"/>
    <w:rsid w:val="00A30959"/>
    <w:rsid w:val="00A77934"/>
    <w:rsid w:val="00AB68E3"/>
    <w:rsid w:val="00AF1B37"/>
    <w:rsid w:val="00B7408D"/>
    <w:rsid w:val="00B955EF"/>
    <w:rsid w:val="00BF1532"/>
    <w:rsid w:val="00BF3A2F"/>
    <w:rsid w:val="00C42A55"/>
    <w:rsid w:val="00C86A22"/>
    <w:rsid w:val="00CF4CD7"/>
    <w:rsid w:val="00D02960"/>
    <w:rsid w:val="00DB519A"/>
    <w:rsid w:val="00DC7FA6"/>
    <w:rsid w:val="00DE4A7A"/>
    <w:rsid w:val="00E049DB"/>
    <w:rsid w:val="00E712B4"/>
    <w:rsid w:val="00EB2D2C"/>
    <w:rsid w:val="00EC5288"/>
    <w:rsid w:val="00EF115B"/>
    <w:rsid w:val="00F10F2F"/>
    <w:rsid w:val="00F705AE"/>
    <w:rsid w:val="00F807A6"/>
    <w:rsid w:val="00FC2344"/>
    <w:rsid w:val="00FE2B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698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C4B"/>
    <w:rPr>
      <w:rFonts w:ascii="Liberation Serif" w:eastAsia="新宋体" w:hAnsi="Liberation Serif" w:cs="Lucida Sans"/>
      <w:sz w:val="24"/>
      <w:szCs w:val="24"/>
      <w:lang w:val="es-ES"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A0C4B"/>
    <w:pPr>
      <w:tabs>
        <w:tab w:val="center" w:pos="4252"/>
        <w:tab w:val="right" w:pos="8504"/>
      </w:tabs>
    </w:pPr>
    <w:rPr>
      <w:rFonts w:cs="Mangal"/>
      <w:szCs w:val="21"/>
    </w:rPr>
  </w:style>
  <w:style w:type="character" w:customStyle="1" w:styleId="Char">
    <w:name w:val="页眉 Char"/>
    <w:basedOn w:val="a0"/>
    <w:link w:val="a3"/>
    <w:uiPriority w:val="99"/>
    <w:rsid w:val="006A0C4B"/>
    <w:rPr>
      <w:rFonts w:ascii="Liberation Serif" w:eastAsia="新宋体" w:hAnsi="Liberation Serif" w:cs="Mangal"/>
      <w:sz w:val="24"/>
      <w:szCs w:val="21"/>
      <w:lang w:val="es-ES" w:bidi="hi-IN"/>
    </w:rPr>
  </w:style>
  <w:style w:type="paragraph" w:styleId="a4">
    <w:name w:val="footer"/>
    <w:basedOn w:val="a"/>
    <w:link w:val="Char0"/>
    <w:uiPriority w:val="99"/>
    <w:unhideWhenUsed/>
    <w:rsid w:val="006A0C4B"/>
    <w:pPr>
      <w:tabs>
        <w:tab w:val="center" w:pos="4252"/>
        <w:tab w:val="right" w:pos="8504"/>
      </w:tabs>
    </w:pPr>
    <w:rPr>
      <w:rFonts w:cs="Mangal"/>
      <w:szCs w:val="21"/>
    </w:rPr>
  </w:style>
  <w:style w:type="character" w:customStyle="1" w:styleId="Char0">
    <w:name w:val="页脚 Char"/>
    <w:basedOn w:val="a0"/>
    <w:link w:val="a4"/>
    <w:uiPriority w:val="99"/>
    <w:rsid w:val="006A0C4B"/>
    <w:rPr>
      <w:rFonts w:ascii="Liberation Serif" w:eastAsia="新宋体" w:hAnsi="Liberation Serif" w:cs="Mangal"/>
      <w:sz w:val="24"/>
      <w:szCs w:val="21"/>
      <w:lang w:val="es-ES" w:bidi="hi-IN"/>
    </w:rPr>
  </w:style>
  <w:style w:type="paragraph" w:styleId="a5">
    <w:name w:val="Balloon Text"/>
    <w:basedOn w:val="a"/>
    <w:link w:val="Char1"/>
    <w:uiPriority w:val="99"/>
    <w:semiHidden/>
    <w:unhideWhenUsed/>
    <w:rsid w:val="006A0C4B"/>
    <w:rPr>
      <w:rFonts w:ascii="Times New Roman" w:hAnsi="Times New Roman" w:cs="Mangal"/>
      <w:sz w:val="18"/>
      <w:szCs w:val="16"/>
    </w:rPr>
  </w:style>
  <w:style w:type="character" w:customStyle="1" w:styleId="Char1">
    <w:name w:val="批注框文本 Char"/>
    <w:basedOn w:val="a0"/>
    <w:link w:val="a5"/>
    <w:uiPriority w:val="99"/>
    <w:semiHidden/>
    <w:rsid w:val="006A0C4B"/>
    <w:rPr>
      <w:rFonts w:ascii="Times New Roman" w:eastAsia="新宋体" w:hAnsi="Times New Roman" w:cs="Mangal"/>
      <w:sz w:val="18"/>
      <w:szCs w:val="16"/>
      <w:lang w:val="es-ES" w:bidi="hi-IN"/>
    </w:rPr>
  </w:style>
  <w:style w:type="paragraph" w:customStyle="1" w:styleId="western">
    <w:name w:val="western"/>
    <w:basedOn w:val="a"/>
    <w:rsid w:val="006A0C4B"/>
    <w:pPr>
      <w:spacing w:before="100" w:beforeAutospacing="1" w:after="142" w:line="276" w:lineRule="auto"/>
    </w:pPr>
    <w:rPr>
      <w:rFonts w:eastAsia="Times New Roman" w:cs="Liberation Serif"/>
      <w:kern w:val="0"/>
      <w:lang w:eastAsia="es-ES" w:bidi="ar-SA"/>
    </w:rPr>
  </w:style>
  <w:style w:type="character" w:customStyle="1" w:styleId="tlid-translation">
    <w:name w:val="tlid-translation"/>
    <w:basedOn w:val="a0"/>
    <w:rsid w:val="006A0C4B"/>
  </w:style>
  <w:style w:type="table" w:styleId="a6">
    <w:name w:val="Table Grid"/>
    <w:basedOn w:val="a1"/>
    <w:uiPriority w:val="39"/>
    <w:rsid w:val="006A0C4B"/>
    <w:rPr>
      <w:kern w:val="0"/>
      <w:sz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unhideWhenUsed/>
    <w:qFormat/>
    <w:rsid w:val="006A0C4B"/>
    <w:rPr>
      <w:sz w:val="16"/>
      <w:szCs w:val="16"/>
    </w:rPr>
  </w:style>
  <w:style w:type="paragraph" w:styleId="a8">
    <w:name w:val="annotation text"/>
    <w:basedOn w:val="a"/>
    <w:link w:val="Char2"/>
    <w:uiPriority w:val="99"/>
    <w:unhideWhenUsed/>
    <w:qFormat/>
    <w:rsid w:val="006A0C4B"/>
    <w:rPr>
      <w:rFonts w:cs="Mangal"/>
      <w:sz w:val="20"/>
      <w:szCs w:val="18"/>
    </w:rPr>
  </w:style>
  <w:style w:type="character" w:customStyle="1" w:styleId="Char2">
    <w:name w:val="批注文字 Char"/>
    <w:basedOn w:val="a0"/>
    <w:link w:val="a8"/>
    <w:qFormat/>
    <w:rsid w:val="006A0C4B"/>
    <w:rPr>
      <w:rFonts w:ascii="Liberation Serif" w:eastAsia="新宋体" w:hAnsi="Liberation Serif" w:cs="Mangal"/>
      <w:sz w:val="20"/>
      <w:szCs w:val="18"/>
      <w:lang w:val="es-ES" w:bidi="hi-IN"/>
    </w:rPr>
  </w:style>
  <w:style w:type="paragraph" w:styleId="a9">
    <w:name w:val="annotation subject"/>
    <w:basedOn w:val="a8"/>
    <w:next w:val="a8"/>
    <w:link w:val="Char3"/>
    <w:uiPriority w:val="99"/>
    <w:semiHidden/>
    <w:unhideWhenUsed/>
    <w:rsid w:val="006A0C4B"/>
    <w:rPr>
      <w:b/>
      <w:bCs/>
    </w:rPr>
  </w:style>
  <w:style w:type="character" w:customStyle="1" w:styleId="Char3">
    <w:name w:val="批注主题 Char"/>
    <w:basedOn w:val="Char2"/>
    <w:link w:val="a9"/>
    <w:uiPriority w:val="99"/>
    <w:semiHidden/>
    <w:rsid w:val="006A0C4B"/>
    <w:rPr>
      <w:rFonts w:ascii="Liberation Serif" w:eastAsia="新宋体" w:hAnsi="Liberation Serif" w:cs="Mangal"/>
      <w:b/>
      <w:bCs/>
      <w:sz w:val="20"/>
      <w:szCs w:val="18"/>
      <w:lang w:val="es-ES" w:bidi="hi-IN"/>
    </w:rPr>
  </w:style>
  <w:style w:type="paragraph" w:styleId="aa">
    <w:name w:val="Revision"/>
    <w:hidden/>
    <w:uiPriority w:val="99"/>
    <w:semiHidden/>
    <w:rsid w:val="006A0C4B"/>
    <w:rPr>
      <w:rFonts w:ascii="Liberation Serif" w:eastAsia="新宋体" w:hAnsi="Liberation Serif" w:cs="Mangal"/>
      <w:sz w:val="24"/>
      <w:szCs w:val="21"/>
      <w:lang w:val="es-ES" w:bidi="hi-IN"/>
    </w:rPr>
  </w:style>
  <w:style w:type="paragraph" w:customStyle="1" w:styleId="CorpoA">
    <w:name w:val="Corpo A"/>
    <w:rsid w:val="006A0C4B"/>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kern w:val="0"/>
      <w:sz w:val="22"/>
      <w:u w:color="000000"/>
      <w:bdr w:val="nil"/>
      <w:lang w:val="de-DE" w:eastAsia="pt-BR"/>
    </w:rPr>
  </w:style>
  <w:style w:type="character" w:styleId="ab">
    <w:name w:val="page number"/>
    <w:basedOn w:val="a0"/>
    <w:uiPriority w:val="99"/>
    <w:semiHidden/>
    <w:unhideWhenUsed/>
    <w:rsid w:val="006A0C4B"/>
  </w:style>
  <w:style w:type="paragraph" w:styleId="ac">
    <w:name w:val="List Paragraph"/>
    <w:basedOn w:val="a"/>
    <w:uiPriority w:val="34"/>
    <w:qFormat/>
    <w:rsid w:val="006A0C4B"/>
    <w:pPr>
      <w:ind w:left="720"/>
      <w:contextualSpacing/>
    </w:pPr>
    <w:rPr>
      <w:rFonts w:cs="Mangal"/>
      <w:szCs w:val="21"/>
    </w:rPr>
  </w:style>
  <w:style w:type="character" w:customStyle="1" w:styleId="1">
    <w:name w:val="批注文字 字符1"/>
    <w:basedOn w:val="a0"/>
    <w:uiPriority w:val="99"/>
    <w:qFormat/>
    <w:rsid w:val="006A0C4B"/>
    <w:rPr>
      <w:rFonts w:eastAsiaTheme="minorEastAsia"/>
      <w:kern w:val="2"/>
      <w:sz w:val="21"/>
    </w:rPr>
  </w:style>
  <w:style w:type="paragraph" w:customStyle="1" w:styleId="10">
    <w:name w:val="正文1"/>
    <w:uiPriority w:val="99"/>
    <w:rsid w:val="006A0C4B"/>
    <w:pPr>
      <w:spacing w:line="276" w:lineRule="auto"/>
    </w:pPr>
    <w:rPr>
      <w:rFonts w:ascii="Arial" w:eastAsia="宋体" w:hAnsi="Arial" w:cs="Arial"/>
      <w:color w:val="000000"/>
      <w:kern w:val="0"/>
      <w:sz w:val="22"/>
      <w:szCs w:val="20"/>
      <w:lang w:val="pl-PL" w:eastAsia="pl-PL"/>
    </w:rPr>
  </w:style>
  <w:style w:type="character" w:styleId="ad">
    <w:name w:val="Hyperlink"/>
    <w:basedOn w:val="a0"/>
    <w:uiPriority w:val="99"/>
    <w:unhideWhenUsed/>
    <w:rsid w:val="00D0296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C4B"/>
    <w:rPr>
      <w:rFonts w:ascii="Liberation Serif" w:eastAsia="新宋体" w:hAnsi="Liberation Serif" w:cs="Lucida Sans"/>
      <w:sz w:val="24"/>
      <w:szCs w:val="24"/>
      <w:lang w:val="es-ES"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A0C4B"/>
    <w:pPr>
      <w:tabs>
        <w:tab w:val="center" w:pos="4252"/>
        <w:tab w:val="right" w:pos="8504"/>
      </w:tabs>
    </w:pPr>
    <w:rPr>
      <w:rFonts w:cs="Mangal"/>
      <w:szCs w:val="21"/>
    </w:rPr>
  </w:style>
  <w:style w:type="character" w:customStyle="1" w:styleId="Char">
    <w:name w:val="页眉 Char"/>
    <w:basedOn w:val="a0"/>
    <w:link w:val="a3"/>
    <w:uiPriority w:val="99"/>
    <w:rsid w:val="006A0C4B"/>
    <w:rPr>
      <w:rFonts w:ascii="Liberation Serif" w:eastAsia="新宋体" w:hAnsi="Liberation Serif" w:cs="Mangal"/>
      <w:sz w:val="24"/>
      <w:szCs w:val="21"/>
      <w:lang w:val="es-ES" w:bidi="hi-IN"/>
    </w:rPr>
  </w:style>
  <w:style w:type="paragraph" w:styleId="a4">
    <w:name w:val="footer"/>
    <w:basedOn w:val="a"/>
    <w:link w:val="Char0"/>
    <w:uiPriority w:val="99"/>
    <w:unhideWhenUsed/>
    <w:rsid w:val="006A0C4B"/>
    <w:pPr>
      <w:tabs>
        <w:tab w:val="center" w:pos="4252"/>
        <w:tab w:val="right" w:pos="8504"/>
      </w:tabs>
    </w:pPr>
    <w:rPr>
      <w:rFonts w:cs="Mangal"/>
      <w:szCs w:val="21"/>
    </w:rPr>
  </w:style>
  <w:style w:type="character" w:customStyle="1" w:styleId="Char0">
    <w:name w:val="页脚 Char"/>
    <w:basedOn w:val="a0"/>
    <w:link w:val="a4"/>
    <w:uiPriority w:val="99"/>
    <w:rsid w:val="006A0C4B"/>
    <w:rPr>
      <w:rFonts w:ascii="Liberation Serif" w:eastAsia="新宋体" w:hAnsi="Liberation Serif" w:cs="Mangal"/>
      <w:sz w:val="24"/>
      <w:szCs w:val="21"/>
      <w:lang w:val="es-ES" w:bidi="hi-IN"/>
    </w:rPr>
  </w:style>
  <w:style w:type="paragraph" w:styleId="a5">
    <w:name w:val="Balloon Text"/>
    <w:basedOn w:val="a"/>
    <w:link w:val="Char1"/>
    <w:uiPriority w:val="99"/>
    <w:semiHidden/>
    <w:unhideWhenUsed/>
    <w:rsid w:val="006A0C4B"/>
    <w:rPr>
      <w:rFonts w:ascii="Times New Roman" w:hAnsi="Times New Roman" w:cs="Mangal"/>
      <w:sz w:val="18"/>
      <w:szCs w:val="16"/>
    </w:rPr>
  </w:style>
  <w:style w:type="character" w:customStyle="1" w:styleId="Char1">
    <w:name w:val="批注框文本 Char"/>
    <w:basedOn w:val="a0"/>
    <w:link w:val="a5"/>
    <w:uiPriority w:val="99"/>
    <w:semiHidden/>
    <w:rsid w:val="006A0C4B"/>
    <w:rPr>
      <w:rFonts w:ascii="Times New Roman" w:eastAsia="新宋体" w:hAnsi="Times New Roman" w:cs="Mangal"/>
      <w:sz w:val="18"/>
      <w:szCs w:val="16"/>
      <w:lang w:val="es-ES" w:bidi="hi-IN"/>
    </w:rPr>
  </w:style>
  <w:style w:type="paragraph" w:customStyle="1" w:styleId="western">
    <w:name w:val="western"/>
    <w:basedOn w:val="a"/>
    <w:rsid w:val="006A0C4B"/>
    <w:pPr>
      <w:spacing w:before="100" w:beforeAutospacing="1" w:after="142" w:line="276" w:lineRule="auto"/>
    </w:pPr>
    <w:rPr>
      <w:rFonts w:eastAsia="Times New Roman" w:cs="Liberation Serif"/>
      <w:kern w:val="0"/>
      <w:lang w:eastAsia="es-ES" w:bidi="ar-SA"/>
    </w:rPr>
  </w:style>
  <w:style w:type="character" w:customStyle="1" w:styleId="tlid-translation">
    <w:name w:val="tlid-translation"/>
    <w:basedOn w:val="a0"/>
    <w:rsid w:val="006A0C4B"/>
  </w:style>
  <w:style w:type="table" w:styleId="a6">
    <w:name w:val="Table Grid"/>
    <w:basedOn w:val="a1"/>
    <w:uiPriority w:val="39"/>
    <w:rsid w:val="006A0C4B"/>
    <w:rPr>
      <w:kern w:val="0"/>
      <w:sz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unhideWhenUsed/>
    <w:qFormat/>
    <w:rsid w:val="006A0C4B"/>
    <w:rPr>
      <w:sz w:val="16"/>
      <w:szCs w:val="16"/>
    </w:rPr>
  </w:style>
  <w:style w:type="paragraph" w:styleId="a8">
    <w:name w:val="annotation text"/>
    <w:basedOn w:val="a"/>
    <w:link w:val="Char2"/>
    <w:uiPriority w:val="99"/>
    <w:unhideWhenUsed/>
    <w:qFormat/>
    <w:rsid w:val="006A0C4B"/>
    <w:rPr>
      <w:rFonts w:cs="Mangal"/>
      <w:sz w:val="20"/>
      <w:szCs w:val="18"/>
    </w:rPr>
  </w:style>
  <w:style w:type="character" w:customStyle="1" w:styleId="Char2">
    <w:name w:val="批注文字 Char"/>
    <w:basedOn w:val="a0"/>
    <w:link w:val="a8"/>
    <w:qFormat/>
    <w:rsid w:val="006A0C4B"/>
    <w:rPr>
      <w:rFonts w:ascii="Liberation Serif" w:eastAsia="新宋体" w:hAnsi="Liberation Serif" w:cs="Mangal"/>
      <w:sz w:val="20"/>
      <w:szCs w:val="18"/>
      <w:lang w:val="es-ES" w:bidi="hi-IN"/>
    </w:rPr>
  </w:style>
  <w:style w:type="paragraph" w:styleId="a9">
    <w:name w:val="annotation subject"/>
    <w:basedOn w:val="a8"/>
    <w:next w:val="a8"/>
    <w:link w:val="Char3"/>
    <w:uiPriority w:val="99"/>
    <w:semiHidden/>
    <w:unhideWhenUsed/>
    <w:rsid w:val="006A0C4B"/>
    <w:rPr>
      <w:b/>
      <w:bCs/>
    </w:rPr>
  </w:style>
  <w:style w:type="character" w:customStyle="1" w:styleId="Char3">
    <w:name w:val="批注主题 Char"/>
    <w:basedOn w:val="Char2"/>
    <w:link w:val="a9"/>
    <w:uiPriority w:val="99"/>
    <w:semiHidden/>
    <w:rsid w:val="006A0C4B"/>
    <w:rPr>
      <w:rFonts w:ascii="Liberation Serif" w:eastAsia="新宋体" w:hAnsi="Liberation Serif" w:cs="Mangal"/>
      <w:b/>
      <w:bCs/>
      <w:sz w:val="20"/>
      <w:szCs w:val="18"/>
      <w:lang w:val="es-ES" w:bidi="hi-IN"/>
    </w:rPr>
  </w:style>
  <w:style w:type="paragraph" w:styleId="aa">
    <w:name w:val="Revision"/>
    <w:hidden/>
    <w:uiPriority w:val="99"/>
    <w:semiHidden/>
    <w:rsid w:val="006A0C4B"/>
    <w:rPr>
      <w:rFonts w:ascii="Liberation Serif" w:eastAsia="新宋体" w:hAnsi="Liberation Serif" w:cs="Mangal"/>
      <w:sz w:val="24"/>
      <w:szCs w:val="21"/>
      <w:lang w:val="es-ES" w:bidi="hi-IN"/>
    </w:rPr>
  </w:style>
  <w:style w:type="paragraph" w:customStyle="1" w:styleId="CorpoA">
    <w:name w:val="Corpo A"/>
    <w:rsid w:val="006A0C4B"/>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kern w:val="0"/>
      <w:sz w:val="22"/>
      <w:u w:color="000000"/>
      <w:bdr w:val="nil"/>
      <w:lang w:val="de-DE" w:eastAsia="pt-BR"/>
    </w:rPr>
  </w:style>
  <w:style w:type="character" w:styleId="ab">
    <w:name w:val="page number"/>
    <w:basedOn w:val="a0"/>
    <w:uiPriority w:val="99"/>
    <w:semiHidden/>
    <w:unhideWhenUsed/>
    <w:rsid w:val="006A0C4B"/>
  </w:style>
  <w:style w:type="paragraph" w:styleId="ac">
    <w:name w:val="List Paragraph"/>
    <w:basedOn w:val="a"/>
    <w:uiPriority w:val="34"/>
    <w:qFormat/>
    <w:rsid w:val="006A0C4B"/>
    <w:pPr>
      <w:ind w:left="720"/>
      <w:contextualSpacing/>
    </w:pPr>
    <w:rPr>
      <w:rFonts w:cs="Mangal"/>
      <w:szCs w:val="21"/>
    </w:rPr>
  </w:style>
  <w:style w:type="character" w:customStyle="1" w:styleId="1">
    <w:name w:val="批注文字 字符1"/>
    <w:basedOn w:val="a0"/>
    <w:uiPriority w:val="99"/>
    <w:qFormat/>
    <w:rsid w:val="006A0C4B"/>
    <w:rPr>
      <w:rFonts w:eastAsiaTheme="minorEastAsia"/>
      <w:kern w:val="2"/>
      <w:sz w:val="21"/>
    </w:rPr>
  </w:style>
  <w:style w:type="paragraph" w:customStyle="1" w:styleId="10">
    <w:name w:val="正文1"/>
    <w:uiPriority w:val="99"/>
    <w:rsid w:val="006A0C4B"/>
    <w:pPr>
      <w:spacing w:line="276" w:lineRule="auto"/>
    </w:pPr>
    <w:rPr>
      <w:rFonts w:ascii="Arial" w:eastAsia="宋体" w:hAnsi="Arial" w:cs="Arial"/>
      <w:color w:val="000000"/>
      <w:kern w:val="0"/>
      <w:sz w:val="22"/>
      <w:szCs w:val="20"/>
      <w:lang w:val="pl-PL" w:eastAsia="pl-PL"/>
    </w:rPr>
  </w:style>
  <w:style w:type="character" w:styleId="ad">
    <w:name w:val="Hyperlink"/>
    <w:basedOn w:val="a0"/>
    <w:uiPriority w:val="99"/>
    <w:unhideWhenUsed/>
    <w:rsid w:val="00D029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278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hyperlink" Target="mailto:md1qugoj@uco.es" TargetMode="External"/><Relationship Id="rId12" Type="http://schemas.openxmlformats.org/officeDocument/2006/relationships/image" Target="file:////var/folders/yt/klczzk348xj3wn00r6_lw7ch0000gq/T/com.microsoft.Powerpoint/converted_emf.emf" TargetMode="External"/><Relationship Id="rId17" Type="http://schemas.openxmlformats.org/officeDocument/2006/relationships/image" Target="media/image9.png"/><Relationship Id="rId25" Type="http://schemas.microsoft.com/office/2007/relationships/hdphoto" Target="media/hdphoto1.wdp"/><Relationship Id="rId33" Type="http://schemas.openxmlformats.org/officeDocument/2006/relationships/image" Target="media/image23.pn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microsoft.com/office/2007/relationships/hdphoto" Target="media/hdphoto2.wdp"/><Relationship Id="rId35"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95183</Words>
  <Characters>542545</Characters>
  <Application>Microsoft Office Word</Application>
  <DocSecurity>0</DocSecurity>
  <Lines>4521</Lines>
  <Paragraphs>1272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636456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窦 颖</dc:creator>
  <cp:keywords/>
  <dc:description/>
  <cp:lastModifiedBy>user</cp:lastModifiedBy>
  <cp:revision>12</cp:revision>
  <dcterms:created xsi:type="dcterms:W3CDTF">2019-11-05T03:25:00Z</dcterms:created>
  <dcterms:modified xsi:type="dcterms:W3CDTF">2019-11-27T06:46:00Z</dcterms:modified>
</cp:coreProperties>
</file>