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 xml:space="preserve">Name of Journal: </w:t>
      </w:r>
      <w:r w:rsidRPr="00084277">
        <w:rPr>
          <w:rFonts w:ascii="Book Antiqua" w:hAnsi="Book Antiqua"/>
          <w:i/>
          <w:sz w:val="24"/>
          <w:szCs w:val="24"/>
        </w:rPr>
        <w:t>World Journal of Stem Cells</w:t>
      </w: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t xml:space="preserve">Manuscript NO: </w:t>
      </w:r>
      <w:r w:rsidRPr="00084277">
        <w:rPr>
          <w:rFonts w:ascii="Book Antiqua" w:hAnsi="Book Antiqua"/>
          <w:sz w:val="24"/>
          <w:szCs w:val="24"/>
        </w:rPr>
        <w:t>42776</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 xml:space="preserve">Manuscript Type: </w:t>
      </w:r>
      <w:r w:rsidRPr="00084277">
        <w:rPr>
          <w:rFonts w:ascii="Book Antiqua" w:hAnsi="Book Antiqua"/>
          <w:sz w:val="24"/>
          <w:szCs w:val="24"/>
        </w:rPr>
        <w:t>CASE REPORT</w:t>
      </w:r>
    </w:p>
    <w:p w:rsidR="003065D2" w:rsidRPr="00084277" w:rsidRDefault="003065D2" w:rsidP="003065D2">
      <w:pPr>
        <w:pStyle w:val="Default"/>
        <w:widowControl w:val="0"/>
        <w:adjustRightInd w:val="0"/>
        <w:snapToGrid w:val="0"/>
        <w:spacing w:line="360" w:lineRule="auto"/>
        <w:jc w:val="both"/>
        <w:rPr>
          <w:rFonts w:ascii="Book Antiqua" w:hAnsi="Book Antiqua" w:cs="Times New Roman"/>
          <w:b/>
          <w:color w:val="000000" w:themeColor="text1"/>
        </w:rPr>
      </w:pPr>
    </w:p>
    <w:p w:rsidR="003065D2" w:rsidRPr="00084277" w:rsidRDefault="003065D2" w:rsidP="003065D2">
      <w:pPr>
        <w:pStyle w:val="Default"/>
        <w:widowControl w:val="0"/>
        <w:adjustRightInd w:val="0"/>
        <w:snapToGrid w:val="0"/>
        <w:spacing w:line="360" w:lineRule="auto"/>
        <w:jc w:val="both"/>
        <w:rPr>
          <w:rFonts w:ascii="Book Antiqua" w:hAnsi="Book Antiqua" w:cs="Times New Roman"/>
          <w:b/>
          <w:color w:val="000000" w:themeColor="text1"/>
        </w:rPr>
      </w:pPr>
      <w:r w:rsidRPr="00084277">
        <w:rPr>
          <w:rFonts w:ascii="Book Antiqua" w:hAnsi="Book Antiqua" w:cs="Times New Roman"/>
          <w:b/>
          <w:color w:val="000000" w:themeColor="text1"/>
        </w:rPr>
        <w:t>Improved guided bone regeneration by combined application of unmodified, fresh autologous adipose derived regenerative cells and plasma rich in growth factors:</w:t>
      </w:r>
      <w:bookmarkStart w:id="0" w:name="_Hlk516802855"/>
      <w:r w:rsidRPr="00084277">
        <w:rPr>
          <w:rFonts w:ascii="Book Antiqua" w:hAnsi="Book Antiqua" w:cs="Times New Roman"/>
          <w:b/>
          <w:color w:val="000000" w:themeColor="text1"/>
        </w:rPr>
        <w:t xml:space="preserve"> A </w:t>
      </w:r>
      <w:bookmarkStart w:id="1" w:name="_Hlk513804189"/>
      <w:r w:rsidRPr="00084277">
        <w:rPr>
          <w:rFonts w:ascii="Book Antiqua" w:hAnsi="Book Antiqua" w:cs="Times New Roman"/>
          <w:b/>
          <w:color w:val="000000" w:themeColor="text1"/>
        </w:rPr>
        <w:t xml:space="preserve">first-in-human </w:t>
      </w:r>
      <w:bookmarkEnd w:id="0"/>
      <w:r w:rsidRPr="00084277">
        <w:rPr>
          <w:rFonts w:ascii="Book Antiqua" w:hAnsi="Book Antiqua" w:cs="Times New Roman"/>
          <w:b/>
          <w:color w:val="000000" w:themeColor="text1"/>
        </w:rPr>
        <w:t xml:space="preserve">case report and literature review </w:t>
      </w:r>
      <w:bookmarkEnd w:id="1"/>
    </w:p>
    <w:p w:rsidR="003065D2" w:rsidRPr="00084277" w:rsidRDefault="003065D2" w:rsidP="003065D2">
      <w:pPr>
        <w:pStyle w:val="Default"/>
        <w:widowControl w:val="0"/>
        <w:adjustRightInd w:val="0"/>
        <w:snapToGrid w:val="0"/>
        <w:spacing w:line="360" w:lineRule="auto"/>
        <w:jc w:val="both"/>
        <w:rPr>
          <w:rFonts w:ascii="Book Antiqua" w:hAnsi="Book Antiqua" w:cs="Times New Roman"/>
          <w:b/>
          <w:color w:val="000000" w:themeColor="text1"/>
        </w:rPr>
      </w:pPr>
    </w:p>
    <w:p w:rsidR="003065D2" w:rsidRPr="00084277" w:rsidRDefault="003065D2" w:rsidP="003065D2">
      <w:pPr>
        <w:pStyle w:val="Default"/>
        <w:widowControl w:val="0"/>
        <w:adjustRightInd w:val="0"/>
        <w:snapToGrid w:val="0"/>
        <w:spacing w:line="360" w:lineRule="auto"/>
        <w:jc w:val="both"/>
        <w:rPr>
          <w:rFonts w:ascii="Book Antiqua" w:hAnsi="Book Antiqua"/>
          <w:color w:val="000000" w:themeColor="text1"/>
        </w:rPr>
      </w:pPr>
      <w:r w:rsidRPr="00084277">
        <w:rPr>
          <w:rFonts w:ascii="Book Antiqua" w:hAnsi="Book Antiqua"/>
          <w:color w:val="000000" w:themeColor="text1"/>
        </w:rPr>
        <w:t>Solakoglu Ö</w:t>
      </w:r>
      <w:r w:rsidRPr="00084277">
        <w:rPr>
          <w:rFonts w:ascii="Book Antiqua" w:hAnsi="Book Antiqua"/>
          <w:i/>
          <w:color w:val="000000" w:themeColor="text1"/>
        </w:rPr>
        <w:t xml:space="preserve"> et al</w:t>
      </w:r>
      <w:r w:rsidRPr="00084277">
        <w:rPr>
          <w:rFonts w:ascii="Book Antiqua" w:hAnsi="Book Antiqua"/>
          <w:color w:val="000000" w:themeColor="text1"/>
        </w:rPr>
        <w:t xml:space="preserve">. </w:t>
      </w:r>
      <w:bookmarkStart w:id="2" w:name="OLE_LINK184"/>
      <w:bookmarkStart w:id="3" w:name="OLE_LINK185"/>
      <w:r w:rsidRPr="00084277">
        <w:rPr>
          <w:rFonts w:ascii="Book Antiqua" w:hAnsi="Book Antiqua"/>
          <w:color w:val="000000" w:themeColor="text1"/>
        </w:rPr>
        <w:t>UA-ADRCs for sinus augmentation</w:t>
      </w:r>
      <w:bookmarkEnd w:id="2"/>
      <w:bookmarkEnd w:id="3"/>
    </w:p>
    <w:p w:rsidR="003065D2" w:rsidRPr="00084277" w:rsidRDefault="003065D2" w:rsidP="003065D2">
      <w:pPr>
        <w:pStyle w:val="Default"/>
        <w:widowControl w:val="0"/>
        <w:adjustRightInd w:val="0"/>
        <w:snapToGrid w:val="0"/>
        <w:spacing w:line="360" w:lineRule="auto"/>
        <w:jc w:val="both"/>
        <w:rPr>
          <w:rFonts w:ascii="Book Antiqua" w:hAnsi="Book Antiqua"/>
          <w:color w:val="000000" w:themeColor="text1"/>
        </w:rPr>
      </w:pPr>
    </w:p>
    <w:p w:rsidR="003065D2" w:rsidRPr="00084277" w:rsidRDefault="003065D2" w:rsidP="003065D2">
      <w:pPr>
        <w:tabs>
          <w:tab w:val="left" w:pos="144"/>
        </w:tabs>
        <w:adjustRightInd w:val="0"/>
        <w:snapToGrid w:val="0"/>
        <w:spacing w:line="360" w:lineRule="auto"/>
        <w:rPr>
          <w:rFonts w:ascii="Book Antiqua" w:hAnsi="Book Antiqua"/>
          <w:b/>
          <w:sz w:val="24"/>
          <w:szCs w:val="24"/>
        </w:rPr>
      </w:pPr>
      <w:r w:rsidRPr="00084277">
        <w:rPr>
          <w:rFonts w:ascii="Book Antiqua" w:hAnsi="Book Antiqua"/>
          <w:b/>
          <w:sz w:val="24"/>
          <w:szCs w:val="24"/>
        </w:rPr>
        <w:t>Önder Solakoglu, Werner Götz, Maren C Kiessling, Christopher Alt, Christoph Schmitz, Eckhard U Alt</w:t>
      </w:r>
    </w:p>
    <w:p w:rsidR="003065D2" w:rsidRPr="00084277" w:rsidRDefault="003065D2" w:rsidP="003065D2">
      <w:pPr>
        <w:tabs>
          <w:tab w:val="left" w:pos="144"/>
        </w:tabs>
        <w:adjustRightInd w:val="0"/>
        <w:snapToGrid w:val="0"/>
        <w:spacing w:line="360" w:lineRule="auto"/>
        <w:rPr>
          <w:rFonts w:ascii="Book Antiqua" w:hAnsi="Book Antiqua"/>
          <w:sz w:val="24"/>
          <w:szCs w:val="24"/>
        </w:rPr>
      </w:pPr>
    </w:p>
    <w:p w:rsidR="003065D2" w:rsidRPr="00084277" w:rsidRDefault="003065D2" w:rsidP="003065D2">
      <w:pPr>
        <w:tabs>
          <w:tab w:val="left" w:pos="144"/>
        </w:tabs>
        <w:adjustRightInd w:val="0"/>
        <w:snapToGrid w:val="0"/>
        <w:spacing w:line="360" w:lineRule="auto"/>
        <w:rPr>
          <w:rFonts w:ascii="Book Antiqua" w:hAnsi="Book Antiqua"/>
          <w:bCs/>
          <w:sz w:val="24"/>
          <w:szCs w:val="24"/>
        </w:rPr>
      </w:pPr>
      <w:r w:rsidRPr="00084277">
        <w:rPr>
          <w:rFonts w:ascii="Book Antiqua" w:hAnsi="Book Antiqua"/>
          <w:b/>
          <w:sz w:val="24"/>
          <w:szCs w:val="24"/>
        </w:rPr>
        <w:t>Önder Solakoglu,</w:t>
      </w:r>
      <w:r w:rsidRPr="00084277">
        <w:rPr>
          <w:rFonts w:ascii="Book Antiqua" w:hAnsi="Book Antiqua"/>
          <w:sz w:val="24"/>
          <w:szCs w:val="24"/>
        </w:rPr>
        <w:t xml:space="preserve"> </w:t>
      </w:r>
      <w:r w:rsidRPr="00084277">
        <w:rPr>
          <w:rFonts w:ascii="Book Antiqua" w:hAnsi="Book Antiqua"/>
          <w:bCs/>
          <w:sz w:val="24"/>
          <w:szCs w:val="24"/>
        </w:rPr>
        <w:t>External Visiting Lecturer, Dental Department of the University Medical Center Hamburg-Eppendorf, Hamburg 20246, Germany</w:t>
      </w:r>
    </w:p>
    <w:p w:rsidR="003065D2" w:rsidRPr="00084277" w:rsidRDefault="003065D2" w:rsidP="003065D2">
      <w:pPr>
        <w:tabs>
          <w:tab w:val="left" w:pos="144"/>
        </w:tabs>
        <w:adjustRightInd w:val="0"/>
        <w:snapToGrid w:val="0"/>
        <w:spacing w:line="360" w:lineRule="auto"/>
        <w:rPr>
          <w:rFonts w:ascii="Book Antiqua" w:hAnsi="Book Antiqua"/>
          <w:bCs/>
          <w:sz w:val="24"/>
          <w:szCs w:val="24"/>
        </w:rPr>
      </w:pPr>
    </w:p>
    <w:p w:rsidR="003065D2" w:rsidRPr="00084277" w:rsidRDefault="003065D2" w:rsidP="003065D2">
      <w:pPr>
        <w:tabs>
          <w:tab w:val="left" w:pos="144"/>
        </w:tabs>
        <w:adjustRightInd w:val="0"/>
        <w:snapToGrid w:val="0"/>
        <w:spacing w:line="360" w:lineRule="auto"/>
        <w:rPr>
          <w:rFonts w:ascii="Book Antiqua" w:hAnsi="Book Antiqua"/>
          <w:bCs/>
          <w:sz w:val="24"/>
          <w:szCs w:val="24"/>
        </w:rPr>
      </w:pPr>
      <w:r w:rsidRPr="00084277">
        <w:rPr>
          <w:rFonts w:ascii="Book Antiqua" w:hAnsi="Book Antiqua"/>
          <w:b/>
          <w:sz w:val="24"/>
          <w:szCs w:val="24"/>
        </w:rPr>
        <w:t>Önder Solakoglu,</w:t>
      </w:r>
      <w:r w:rsidRPr="00084277">
        <w:rPr>
          <w:rFonts w:ascii="Book Antiqua" w:hAnsi="Book Antiqua"/>
          <w:sz w:val="24"/>
          <w:szCs w:val="24"/>
        </w:rPr>
        <w:t xml:space="preserve"> </w:t>
      </w:r>
      <w:r w:rsidRPr="00084277">
        <w:rPr>
          <w:rFonts w:ascii="Book Antiqua" w:hAnsi="Book Antiqua"/>
          <w:bCs/>
          <w:sz w:val="24"/>
          <w:szCs w:val="24"/>
        </w:rPr>
        <w:t>Clinic for Periodontology and Implantology, Hamburg 22453, Germany</w:t>
      </w:r>
    </w:p>
    <w:p w:rsidR="003065D2" w:rsidRPr="00084277" w:rsidRDefault="003065D2" w:rsidP="003065D2">
      <w:pPr>
        <w:tabs>
          <w:tab w:val="left" w:pos="144"/>
        </w:tabs>
        <w:adjustRightInd w:val="0"/>
        <w:snapToGrid w:val="0"/>
        <w:spacing w:line="360" w:lineRule="auto"/>
        <w:rPr>
          <w:rFonts w:ascii="Book Antiqua" w:hAnsi="Book Antiqua"/>
          <w:bCs/>
          <w:sz w:val="24"/>
          <w:szCs w:val="24"/>
        </w:rPr>
      </w:pPr>
    </w:p>
    <w:p w:rsidR="003065D2" w:rsidRPr="00084277" w:rsidRDefault="003065D2" w:rsidP="003065D2">
      <w:pPr>
        <w:tabs>
          <w:tab w:val="left" w:pos="144"/>
        </w:tabs>
        <w:adjustRightInd w:val="0"/>
        <w:snapToGrid w:val="0"/>
        <w:spacing w:line="360" w:lineRule="auto"/>
        <w:rPr>
          <w:rFonts w:ascii="Book Antiqua" w:hAnsi="Book Antiqua"/>
          <w:bCs/>
          <w:sz w:val="24"/>
          <w:szCs w:val="24"/>
        </w:rPr>
      </w:pPr>
      <w:r w:rsidRPr="00084277">
        <w:rPr>
          <w:rFonts w:ascii="Book Antiqua" w:hAnsi="Book Antiqua"/>
          <w:b/>
          <w:bCs/>
          <w:sz w:val="24"/>
          <w:szCs w:val="24"/>
        </w:rPr>
        <w:t>Werner Götz,</w:t>
      </w:r>
      <w:r w:rsidRPr="00084277">
        <w:rPr>
          <w:rFonts w:ascii="Book Antiqua" w:hAnsi="Book Antiqua"/>
          <w:bCs/>
          <w:sz w:val="24"/>
          <w:szCs w:val="24"/>
        </w:rPr>
        <w:t xml:space="preserve"> Department of Orthodontics, Center of Dento-Maxillo-Facial Medicine, University of Bonn, Bonn 53111, Germany</w:t>
      </w:r>
    </w:p>
    <w:p w:rsidR="003065D2" w:rsidRPr="00084277" w:rsidRDefault="003065D2" w:rsidP="003065D2">
      <w:pPr>
        <w:tabs>
          <w:tab w:val="left" w:pos="144"/>
        </w:tabs>
        <w:adjustRightInd w:val="0"/>
        <w:snapToGrid w:val="0"/>
        <w:spacing w:line="360" w:lineRule="auto"/>
        <w:rPr>
          <w:rFonts w:ascii="Book Antiqua" w:hAnsi="Book Antiqua"/>
          <w:bCs/>
          <w:sz w:val="24"/>
          <w:szCs w:val="24"/>
        </w:rPr>
      </w:pPr>
    </w:p>
    <w:p w:rsidR="003065D2" w:rsidRPr="00084277" w:rsidRDefault="003065D2" w:rsidP="003065D2">
      <w:pPr>
        <w:tabs>
          <w:tab w:val="left" w:pos="144"/>
        </w:tabs>
        <w:adjustRightInd w:val="0"/>
        <w:snapToGrid w:val="0"/>
        <w:spacing w:line="360" w:lineRule="auto"/>
        <w:rPr>
          <w:rFonts w:ascii="Book Antiqua" w:hAnsi="Book Antiqua"/>
          <w:bCs/>
          <w:sz w:val="24"/>
          <w:szCs w:val="24"/>
        </w:rPr>
      </w:pPr>
      <w:r w:rsidRPr="00084277">
        <w:rPr>
          <w:rFonts w:ascii="Book Antiqua" w:hAnsi="Book Antiqua"/>
          <w:b/>
          <w:sz w:val="24"/>
          <w:szCs w:val="24"/>
        </w:rPr>
        <w:t>Maren C Kiessling, Christoph Schmitz,</w:t>
      </w:r>
      <w:r w:rsidRPr="00084277">
        <w:rPr>
          <w:rFonts w:ascii="Book Antiqua" w:hAnsi="Book Antiqua"/>
          <w:sz w:val="24"/>
          <w:szCs w:val="24"/>
        </w:rPr>
        <w:t xml:space="preserve"> </w:t>
      </w:r>
      <w:r w:rsidRPr="00084277">
        <w:rPr>
          <w:rFonts w:ascii="Book Antiqua" w:hAnsi="Book Antiqua"/>
          <w:bCs/>
          <w:sz w:val="24"/>
          <w:szCs w:val="24"/>
        </w:rPr>
        <w:t>Institute of Anatomy, Faculty of Medicine, LMU Munich, Munich 80336, Germany</w:t>
      </w:r>
    </w:p>
    <w:p w:rsidR="003065D2" w:rsidRPr="00084277" w:rsidRDefault="003065D2" w:rsidP="003065D2">
      <w:pPr>
        <w:tabs>
          <w:tab w:val="left" w:pos="144"/>
        </w:tabs>
        <w:adjustRightInd w:val="0"/>
        <w:snapToGrid w:val="0"/>
        <w:spacing w:line="360" w:lineRule="auto"/>
        <w:rPr>
          <w:rFonts w:ascii="Book Antiqua" w:hAnsi="Book Antiqua"/>
          <w:bCs/>
          <w:sz w:val="24"/>
          <w:szCs w:val="24"/>
        </w:rPr>
      </w:pPr>
    </w:p>
    <w:p w:rsidR="003065D2" w:rsidRPr="00084277" w:rsidRDefault="003065D2" w:rsidP="003065D2">
      <w:pPr>
        <w:tabs>
          <w:tab w:val="left" w:pos="144"/>
        </w:tabs>
        <w:adjustRightInd w:val="0"/>
        <w:snapToGrid w:val="0"/>
        <w:spacing w:line="360" w:lineRule="auto"/>
        <w:rPr>
          <w:rFonts w:ascii="Book Antiqua" w:hAnsi="Book Antiqua"/>
          <w:sz w:val="24"/>
          <w:szCs w:val="24"/>
        </w:rPr>
      </w:pPr>
      <w:r w:rsidRPr="00084277">
        <w:rPr>
          <w:rFonts w:ascii="Book Antiqua" w:hAnsi="Book Antiqua"/>
          <w:b/>
          <w:sz w:val="24"/>
          <w:szCs w:val="24"/>
        </w:rPr>
        <w:t xml:space="preserve">Christopher Alt, Eckhard U Alt, </w:t>
      </w:r>
      <w:r w:rsidRPr="00084277">
        <w:rPr>
          <w:rFonts w:ascii="Book Antiqua" w:hAnsi="Book Antiqua"/>
          <w:sz w:val="24"/>
          <w:szCs w:val="24"/>
        </w:rPr>
        <w:t>InGeneron GmbH, Munich 80331, Germany</w:t>
      </w:r>
    </w:p>
    <w:p w:rsidR="003065D2" w:rsidRPr="00084277" w:rsidRDefault="003065D2" w:rsidP="003065D2">
      <w:pPr>
        <w:tabs>
          <w:tab w:val="left" w:pos="144"/>
        </w:tabs>
        <w:adjustRightInd w:val="0"/>
        <w:snapToGrid w:val="0"/>
        <w:spacing w:line="360" w:lineRule="auto"/>
        <w:rPr>
          <w:rFonts w:ascii="Book Antiqua" w:hAnsi="Book Antiqua"/>
          <w:sz w:val="24"/>
          <w:szCs w:val="24"/>
        </w:rPr>
      </w:pPr>
    </w:p>
    <w:p w:rsidR="003065D2" w:rsidRPr="00084277" w:rsidRDefault="003065D2" w:rsidP="003065D2">
      <w:pPr>
        <w:tabs>
          <w:tab w:val="left" w:pos="144"/>
        </w:tabs>
        <w:adjustRightInd w:val="0"/>
        <w:snapToGrid w:val="0"/>
        <w:spacing w:line="360" w:lineRule="auto"/>
        <w:rPr>
          <w:rFonts w:ascii="Book Antiqua" w:hAnsi="Book Antiqua"/>
          <w:sz w:val="24"/>
          <w:szCs w:val="24"/>
        </w:rPr>
      </w:pPr>
      <w:r w:rsidRPr="00084277">
        <w:rPr>
          <w:rFonts w:ascii="Book Antiqua" w:hAnsi="Book Antiqua"/>
          <w:b/>
          <w:sz w:val="24"/>
          <w:szCs w:val="24"/>
        </w:rPr>
        <w:t xml:space="preserve">Eckhard U Alt, </w:t>
      </w:r>
      <w:r w:rsidRPr="00084277">
        <w:rPr>
          <w:rFonts w:ascii="Book Antiqua" w:hAnsi="Book Antiqua"/>
          <w:sz w:val="24"/>
          <w:szCs w:val="24"/>
        </w:rPr>
        <w:t>InGeneron, Inc., Houston, TX 77054, United States</w:t>
      </w:r>
    </w:p>
    <w:p w:rsidR="003065D2" w:rsidRPr="00084277" w:rsidRDefault="003065D2" w:rsidP="003065D2">
      <w:pPr>
        <w:tabs>
          <w:tab w:val="left" w:pos="144"/>
        </w:tabs>
        <w:adjustRightInd w:val="0"/>
        <w:snapToGrid w:val="0"/>
        <w:spacing w:line="360" w:lineRule="auto"/>
        <w:rPr>
          <w:rFonts w:ascii="Book Antiqua" w:hAnsi="Book Antiqua"/>
          <w:sz w:val="24"/>
          <w:szCs w:val="24"/>
        </w:rPr>
      </w:pPr>
    </w:p>
    <w:p w:rsidR="003065D2" w:rsidRPr="00084277" w:rsidRDefault="003065D2" w:rsidP="003065D2">
      <w:pPr>
        <w:tabs>
          <w:tab w:val="left" w:pos="144"/>
        </w:tabs>
        <w:adjustRightInd w:val="0"/>
        <w:snapToGrid w:val="0"/>
        <w:spacing w:line="360" w:lineRule="auto"/>
        <w:rPr>
          <w:rFonts w:ascii="Book Antiqua" w:hAnsi="Book Antiqua"/>
          <w:sz w:val="24"/>
          <w:szCs w:val="24"/>
        </w:rPr>
      </w:pPr>
      <w:r w:rsidRPr="00084277">
        <w:rPr>
          <w:rFonts w:ascii="Book Antiqua" w:hAnsi="Book Antiqua"/>
          <w:b/>
          <w:sz w:val="24"/>
          <w:szCs w:val="24"/>
        </w:rPr>
        <w:lastRenderedPageBreak/>
        <w:t xml:space="preserve">Eckhard U Alt, </w:t>
      </w:r>
      <w:r w:rsidRPr="00084277">
        <w:rPr>
          <w:rFonts w:ascii="Book Antiqua" w:hAnsi="Book Antiqua"/>
          <w:sz w:val="24"/>
          <w:szCs w:val="24"/>
        </w:rPr>
        <w:t>Isar Klinikum Munich, 80331 Munich, Germany</w:t>
      </w:r>
    </w:p>
    <w:p w:rsidR="003065D2" w:rsidRPr="00084277" w:rsidRDefault="003065D2" w:rsidP="003065D2">
      <w:pPr>
        <w:tabs>
          <w:tab w:val="left" w:pos="144"/>
        </w:tabs>
        <w:adjustRightInd w:val="0"/>
        <w:snapToGrid w:val="0"/>
        <w:spacing w:line="360" w:lineRule="auto"/>
        <w:rPr>
          <w:rFonts w:ascii="Book Antiqua" w:hAnsi="Book Antiqua"/>
          <w:b/>
          <w:bCs/>
          <w:sz w:val="24"/>
          <w:szCs w:val="24"/>
        </w:rPr>
      </w:pPr>
    </w:p>
    <w:p w:rsidR="003065D2" w:rsidRPr="00084277" w:rsidRDefault="003065D2" w:rsidP="003065D2">
      <w:pPr>
        <w:tabs>
          <w:tab w:val="left" w:pos="144"/>
        </w:tabs>
        <w:adjustRightInd w:val="0"/>
        <w:snapToGrid w:val="0"/>
        <w:spacing w:line="360" w:lineRule="auto"/>
        <w:rPr>
          <w:rFonts w:ascii="Book Antiqua" w:hAnsi="Book Antiqua"/>
          <w:bCs/>
          <w:sz w:val="24"/>
          <w:szCs w:val="24"/>
        </w:rPr>
      </w:pPr>
      <w:r w:rsidRPr="00084277">
        <w:rPr>
          <w:rFonts w:ascii="Book Antiqua" w:hAnsi="Book Antiqua"/>
          <w:b/>
          <w:bCs/>
          <w:sz w:val="24"/>
          <w:szCs w:val="24"/>
        </w:rPr>
        <w:t>ORCID number:</w:t>
      </w:r>
      <w:r w:rsidRPr="00084277">
        <w:rPr>
          <w:rFonts w:ascii="Book Antiqua" w:hAnsi="Book Antiqua"/>
          <w:bCs/>
          <w:sz w:val="24"/>
          <w:szCs w:val="24"/>
        </w:rPr>
        <w:t xml:space="preserve"> Önder Solakoglu (0000-0002-0046-3457); Werner Götz (0000-0001-9975-5793); Maren C Kiessling (0000-0001-9261-6993); Christopher Alt (0000-0003-1487-4502); Christoph Schmitz (0000-0002-4065-1241); Eckhard U Alt (0000-0002-6687-139X).</w:t>
      </w:r>
    </w:p>
    <w:p w:rsidR="003065D2" w:rsidRPr="00084277" w:rsidRDefault="003065D2" w:rsidP="003065D2">
      <w:pPr>
        <w:tabs>
          <w:tab w:val="left" w:pos="144"/>
        </w:tabs>
        <w:adjustRightInd w:val="0"/>
        <w:snapToGrid w:val="0"/>
        <w:spacing w:line="360" w:lineRule="auto"/>
        <w:rPr>
          <w:rFonts w:ascii="Book Antiqua" w:hAnsi="Book Antiqua"/>
          <w:bCs/>
          <w:sz w:val="24"/>
          <w:szCs w:val="24"/>
        </w:rPr>
      </w:pPr>
    </w:p>
    <w:p w:rsidR="003065D2" w:rsidRPr="00084277" w:rsidRDefault="003065D2" w:rsidP="003065D2">
      <w:pPr>
        <w:tabs>
          <w:tab w:val="left" w:pos="144"/>
        </w:tabs>
        <w:adjustRightInd w:val="0"/>
        <w:snapToGrid w:val="0"/>
        <w:spacing w:line="360" w:lineRule="auto"/>
        <w:rPr>
          <w:rFonts w:ascii="Book Antiqua" w:hAnsi="Book Antiqua"/>
          <w:sz w:val="24"/>
          <w:szCs w:val="24"/>
        </w:rPr>
      </w:pPr>
      <w:r w:rsidRPr="00084277">
        <w:rPr>
          <w:rFonts w:ascii="Book Antiqua" w:hAnsi="Book Antiqua"/>
          <w:b/>
          <w:sz w:val="24"/>
          <w:szCs w:val="24"/>
        </w:rPr>
        <w:t>Author contributions:</w:t>
      </w:r>
      <w:r w:rsidRPr="00084277">
        <w:rPr>
          <w:rFonts w:ascii="Book Antiqua" w:hAnsi="Book Antiqua"/>
          <w:sz w:val="24"/>
          <w:szCs w:val="24"/>
        </w:rPr>
        <w:t xml:space="preserve"> Solakoglu </w:t>
      </w:r>
      <w:bookmarkStart w:id="4" w:name="OLE_LINK152"/>
      <w:bookmarkStart w:id="5" w:name="OLE_LINK153"/>
      <w:r w:rsidRPr="00084277">
        <w:rPr>
          <w:rFonts w:ascii="Book Antiqua" w:hAnsi="Book Antiqua"/>
          <w:sz w:val="24"/>
          <w:szCs w:val="24"/>
        </w:rPr>
        <w:t>Ö</w:t>
      </w:r>
      <w:bookmarkEnd w:id="4"/>
      <w:bookmarkEnd w:id="5"/>
      <w:r w:rsidRPr="00084277">
        <w:rPr>
          <w:rFonts w:ascii="Book Antiqua" w:hAnsi="Book Antiqua"/>
          <w:sz w:val="24"/>
          <w:szCs w:val="24"/>
        </w:rPr>
        <w:t>, Götz W, Alt C, and Alt EU designed the report; Solakoglu Ö and Götz W collected the patient’s clinical data; Solakoglu Ö, Götz W, Kiessling MC, Alt C, Schmitz C, and Alt EU analyzed the data and wrote the paper.</w:t>
      </w:r>
    </w:p>
    <w:p w:rsidR="003065D2" w:rsidRPr="00084277" w:rsidRDefault="003065D2" w:rsidP="003065D2">
      <w:pPr>
        <w:tabs>
          <w:tab w:val="left" w:pos="144"/>
        </w:tabs>
        <w:autoSpaceDE w:val="0"/>
        <w:autoSpaceDN w:val="0"/>
        <w:adjustRightInd w:val="0"/>
        <w:snapToGrid w:val="0"/>
        <w:spacing w:line="360" w:lineRule="auto"/>
        <w:rPr>
          <w:rFonts w:ascii="Book Antiqua" w:hAnsi="Book Antiqua"/>
          <w:b/>
          <w:bCs/>
          <w:sz w:val="24"/>
          <w:szCs w:val="24"/>
        </w:rPr>
      </w:pPr>
    </w:p>
    <w:p w:rsidR="003065D2" w:rsidRPr="00084277" w:rsidRDefault="003065D2" w:rsidP="003065D2">
      <w:pPr>
        <w:tabs>
          <w:tab w:val="left" w:pos="144"/>
        </w:tabs>
        <w:autoSpaceDE w:val="0"/>
        <w:autoSpaceDN w:val="0"/>
        <w:adjustRightInd w:val="0"/>
        <w:snapToGrid w:val="0"/>
        <w:spacing w:line="360" w:lineRule="auto"/>
        <w:rPr>
          <w:rFonts w:ascii="Book Antiqua" w:hAnsi="Book Antiqua"/>
          <w:bCs/>
          <w:sz w:val="24"/>
          <w:szCs w:val="24"/>
        </w:rPr>
      </w:pPr>
      <w:r w:rsidRPr="00084277">
        <w:rPr>
          <w:rFonts w:ascii="Book Antiqua" w:hAnsi="Book Antiqua"/>
          <w:b/>
          <w:bCs/>
          <w:sz w:val="24"/>
          <w:szCs w:val="24"/>
        </w:rPr>
        <w:t>Informed consent statement:</w:t>
      </w:r>
      <w:r w:rsidRPr="00084277">
        <w:rPr>
          <w:rFonts w:ascii="Book Antiqua" w:hAnsi="Book Antiqua"/>
          <w:bCs/>
          <w:sz w:val="24"/>
          <w:szCs w:val="24"/>
        </w:rPr>
        <w:t xml:space="preserve"> Consent was obtained from the patient for publication of this report and any accompanying images.</w:t>
      </w:r>
    </w:p>
    <w:p w:rsidR="003065D2" w:rsidRPr="00084277" w:rsidRDefault="003065D2" w:rsidP="003065D2">
      <w:pPr>
        <w:tabs>
          <w:tab w:val="left" w:pos="144"/>
        </w:tabs>
        <w:autoSpaceDE w:val="0"/>
        <w:autoSpaceDN w:val="0"/>
        <w:adjustRightInd w:val="0"/>
        <w:snapToGrid w:val="0"/>
        <w:spacing w:line="360" w:lineRule="auto"/>
        <w:rPr>
          <w:rFonts w:ascii="Book Antiqua" w:hAnsi="Book Antiqua"/>
          <w:bCs/>
          <w:sz w:val="24"/>
          <w:szCs w:val="24"/>
        </w:rPr>
      </w:pPr>
    </w:p>
    <w:p w:rsidR="003065D2" w:rsidRPr="00084277" w:rsidRDefault="003065D2" w:rsidP="003065D2">
      <w:pPr>
        <w:tabs>
          <w:tab w:val="left" w:pos="144"/>
        </w:tabs>
        <w:autoSpaceDE w:val="0"/>
        <w:autoSpaceDN w:val="0"/>
        <w:adjustRightInd w:val="0"/>
        <w:snapToGrid w:val="0"/>
        <w:spacing w:line="360" w:lineRule="auto"/>
        <w:rPr>
          <w:rFonts w:ascii="Book Antiqua" w:hAnsi="Book Antiqua"/>
          <w:bCs/>
          <w:sz w:val="24"/>
          <w:szCs w:val="24"/>
        </w:rPr>
      </w:pPr>
      <w:bookmarkStart w:id="6" w:name="OLE_LINK442"/>
      <w:bookmarkStart w:id="7" w:name="OLE_LINK443"/>
      <w:r w:rsidRPr="00084277">
        <w:rPr>
          <w:rFonts w:ascii="Book Antiqua" w:hAnsi="Book Antiqua"/>
          <w:b/>
          <w:sz w:val="24"/>
          <w:szCs w:val="24"/>
        </w:rPr>
        <w:t>Conflict-of-interest statement</w:t>
      </w:r>
      <w:r w:rsidRPr="00084277">
        <w:rPr>
          <w:rFonts w:ascii="Book Antiqua" w:hAnsi="Book Antiqua" w:cs="TimesNewRomanPS-BoldItalicMT"/>
          <w:b/>
          <w:iCs/>
          <w:sz w:val="24"/>
          <w:szCs w:val="24"/>
        </w:rPr>
        <w:t xml:space="preserve">: </w:t>
      </w:r>
      <w:r w:rsidRPr="00084277">
        <w:rPr>
          <w:rFonts w:ascii="Book Antiqua" w:hAnsi="Book Antiqua"/>
          <w:sz w:val="24"/>
          <w:szCs w:val="24"/>
        </w:rPr>
        <w:t>All authors have no conflicts of interest to report.</w:t>
      </w:r>
      <w:bookmarkEnd w:id="6"/>
      <w:bookmarkEnd w:id="7"/>
    </w:p>
    <w:p w:rsidR="003065D2" w:rsidRPr="00084277" w:rsidRDefault="003065D2" w:rsidP="003065D2">
      <w:pPr>
        <w:tabs>
          <w:tab w:val="left" w:pos="144"/>
        </w:tabs>
        <w:autoSpaceDE w:val="0"/>
        <w:autoSpaceDN w:val="0"/>
        <w:adjustRightInd w:val="0"/>
        <w:snapToGrid w:val="0"/>
        <w:spacing w:line="360" w:lineRule="auto"/>
        <w:rPr>
          <w:rFonts w:ascii="Book Antiqua" w:hAnsi="Book Antiqua"/>
          <w:bCs/>
          <w:sz w:val="24"/>
          <w:szCs w:val="24"/>
        </w:rPr>
      </w:pPr>
    </w:p>
    <w:p w:rsidR="003065D2" w:rsidRPr="00084277" w:rsidRDefault="003065D2" w:rsidP="003065D2">
      <w:pPr>
        <w:adjustRightInd w:val="0"/>
        <w:snapToGrid w:val="0"/>
        <w:spacing w:line="360" w:lineRule="auto"/>
        <w:rPr>
          <w:rFonts w:ascii="Book Antiqua" w:hAnsi="Book Antiqua"/>
          <w:color w:val="000000"/>
          <w:sz w:val="24"/>
          <w:szCs w:val="24"/>
        </w:rPr>
      </w:pPr>
      <w:bookmarkStart w:id="8" w:name="OLE_LINK507"/>
      <w:bookmarkStart w:id="9" w:name="OLE_LINK506"/>
      <w:bookmarkStart w:id="10" w:name="OLE_LINK496"/>
      <w:bookmarkStart w:id="11" w:name="OLE_LINK479"/>
      <w:bookmarkStart w:id="12" w:name="OLE_LINK171"/>
      <w:bookmarkStart w:id="13" w:name="OLE_LINK172"/>
      <w:bookmarkStart w:id="14" w:name="OLE_LINK323"/>
      <w:r w:rsidRPr="00084277">
        <w:rPr>
          <w:rFonts w:ascii="Book Antiqua" w:hAnsi="Book Antiqua"/>
          <w:b/>
          <w:color w:val="000000"/>
          <w:sz w:val="24"/>
          <w:szCs w:val="24"/>
        </w:rPr>
        <w:t xml:space="preserve">Open-Access: </w:t>
      </w:r>
      <w:bookmarkStart w:id="15" w:name="OLE_LINK144"/>
      <w:bookmarkStart w:id="16" w:name="OLE_LINK146"/>
      <w:bookmarkStart w:id="17" w:name="OLE_LINK191"/>
      <w:r w:rsidRPr="00084277">
        <w:rPr>
          <w:rFonts w:ascii="Book Antiqua" w:hAnsi="Book Antiqua"/>
          <w:color w:val="000000"/>
          <w:sz w:val="24"/>
          <w:szCs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bookmarkEnd w:id="12"/>
    <w:bookmarkEnd w:id="13"/>
    <w:bookmarkEnd w:id="14"/>
    <w:bookmarkEnd w:id="15"/>
    <w:bookmarkEnd w:id="16"/>
    <w:bookmarkEnd w:id="17"/>
    <w:p w:rsidR="003065D2" w:rsidRPr="00084277" w:rsidRDefault="003065D2" w:rsidP="003065D2">
      <w:pPr>
        <w:adjustRightInd w:val="0"/>
        <w:snapToGrid w:val="0"/>
        <w:spacing w:line="360" w:lineRule="auto"/>
        <w:rPr>
          <w:rFonts w:ascii="Book Antiqua" w:hAnsi="Book Antiqua"/>
          <w:b/>
          <w:sz w:val="24"/>
          <w:szCs w:val="24"/>
        </w:rPr>
      </w:pP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 xml:space="preserve">Manuscript source: </w:t>
      </w:r>
      <w:r w:rsidRPr="00084277">
        <w:rPr>
          <w:rFonts w:ascii="Book Antiqua" w:hAnsi="Book Antiqua"/>
          <w:sz w:val="24"/>
          <w:szCs w:val="24"/>
        </w:rPr>
        <w:t>Unsolicited manuscript</w:t>
      </w:r>
    </w:p>
    <w:p w:rsidR="003065D2" w:rsidRPr="00084277" w:rsidRDefault="003065D2" w:rsidP="003065D2">
      <w:pPr>
        <w:tabs>
          <w:tab w:val="left" w:pos="144"/>
        </w:tabs>
        <w:autoSpaceDE w:val="0"/>
        <w:autoSpaceDN w:val="0"/>
        <w:adjustRightInd w:val="0"/>
        <w:snapToGrid w:val="0"/>
        <w:spacing w:line="360" w:lineRule="auto"/>
        <w:rPr>
          <w:rFonts w:ascii="Book Antiqua" w:hAnsi="Book Antiqua"/>
          <w:bCs/>
          <w:sz w:val="24"/>
          <w:szCs w:val="24"/>
        </w:rPr>
      </w:pPr>
    </w:p>
    <w:p w:rsidR="003065D2" w:rsidRPr="00084277" w:rsidRDefault="003065D2" w:rsidP="003065D2">
      <w:pPr>
        <w:adjustRightInd w:val="0"/>
        <w:snapToGrid w:val="0"/>
        <w:spacing w:line="360" w:lineRule="auto"/>
        <w:rPr>
          <w:rFonts w:ascii="Book Antiqua" w:hAnsi="Book Antiqua"/>
          <w:b/>
          <w:bCs/>
          <w:sz w:val="24"/>
          <w:szCs w:val="24"/>
        </w:rPr>
      </w:pPr>
      <w:r w:rsidRPr="00084277">
        <w:rPr>
          <w:rFonts w:ascii="Book Antiqua" w:hAnsi="Book Antiqua"/>
          <w:b/>
          <w:bCs/>
          <w:sz w:val="24"/>
          <w:szCs w:val="24"/>
        </w:rPr>
        <w:t>Corresponding author: Önder Solakoglu, DDS, MSc, PhD,</w:t>
      </w:r>
      <w:r w:rsidRPr="00084277">
        <w:rPr>
          <w:rFonts w:ascii="Book Antiqua" w:hAnsi="Book Antiqua"/>
          <w:bCs/>
          <w:sz w:val="24"/>
          <w:szCs w:val="24"/>
        </w:rPr>
        <w:t xml:space="preserve"> </w:t>
      </w:r>
      <w:r w:rsidRPr="00084277">
        <w:rPr>
          <w:rFonts w:ascii="Book Antiqua" w:hAnsi="Book Antiqua"/>
          <w:b/>
          <w:bCs/>
          <w:sz w:val="24"/>
          <w:szCs w:val="24"/>
        </w:rPr>
        <w:t xml:space="preserve">Adjunct Professor, </w:t>
      </w:r>
      <w:bookmarkStart w:id="18" w:name="OLE_LINK186"/>
      <w:bookmarkStart w:id="19" w:name="OLE_LINK187"/>
      <w:r w:rsidRPr="00084277">
        <w:rPr>
          <w:rFonts w:ascii="Book Antiqua" w:hAnsi="Book Antiqua"/>
          <w:bCs/>
          <w:sz w:val="24"/>
          <w:szCs w:val="24"/>
        </w:rPr>
        <w:t>Clinic for Periodontology and Implantology</w:t>
      </w:r>
      <w:bookmarkEnd w:id="18"/>
      <w:bookmarkEnd w:id="19"/>
      <w:r w:rsidRPr="00084277">
        <w:rPr>
          <w:rFonts w:ascii="Book Antiqua" w:hAnsi="Book Antiqua"/>
          <w:bCs/>
          <w:sz w:val="24"/>
          <w:szCs w:val="24"/>
        </w:rPr>
        <w:t xml:space="preserve">, </w:t>
      </w:r>
      <w:bookmarkStart w:id="20" w:name="OLE_LINK188"/>
      <w:bookmarkStart w:id="21" w:name="OLE_LINK189"/>
      <w:r w:rsidRPr="00084277">
        <w:rPr>
          <w:rFonts w:ascii="Book Antiqua" w:hAnsi="Book Antiqua"/>
          <w:bCs/>
          <w:sz w:val="24"/>
          <w:szCs w:val="24"/>
        </w:rPr>
        <w:t>Groß Borsteler Str. 9</w:t>
      </w:r>
      <w:bookmarkEnd w:id="20"/>
      <w:bookmarkEnd w:id="21"/>
      <w:r w:rsidRPr="00084277">
        <w:rPr>
          <w:rFonts w:ascii="Book Antiqua" w:hAnsi="Book Antiqua"/>
          <w:bCs/>
          <w:sz w:val="24"/>
          <w:szCs w:val="24"/>
        </w:rPr>
        <w:t xml:space="preserve">, </w:t>
      </w:r>
      <w:bookmarkStart w:id="22" w:name="OLE_LINK195"/>
      <w:bookmarkStart w:id="23" w:name="OLE_LINK198"/>
      <w:r w:rsidRPr="00084277">
        <w:rPr>
          <w:rFonts w:ascii="Book Antiqua" w:hAnsi="Book Antiqua"/>
          <w:bCs/>
          <w:sz w:val="24"/>
          <w:szCs w:val="24"/>
        </w:rPr>
        <w:t xml:space="preserve">Hamburg </w:t>
      </w:r>
      <w:bookmarkStart w:id="24" w:name="OLE_LINK190"/>
      <w:bookmarkStart w:id="25" w:name="OLE_LINK193"/>
      <w:bookmarkEnd w:id="22"/>
      <w:bookmarkEnd w:id="23"/>
      <w:r w:rsidRPr="00084277">
        <w:rPr>
          <w:rFonts w:ascii="Book Antiqua" w:hAnsi="Book Antiqua"/>
          <w:bCs/>
          <w:sz w:val="24"/>
          <w:szCs w:val="24"/>
        </w:rPr>
        <w:t>22453</w:t>
      </w:r>
      <w:bookmarkEnd w:id="24"/>
      <w:bookmarkEnd w:id="25"/>
      <w:r w:rsidRPr="00084277">
        <w:rPr>
          <w:rFonts w:ascii="Book Antiqua" w:hAnsi="Book Antiqua"/>
          <w:bCs/>
          <w:sz w:val="24"/>
          <w:szCs w:val="24"/>
        </w:rPr>
        <w:t>, Germany.</w:t>
      </w:r>
      <w:r w:rsidRPr="00084277">
        <w:rPr>
          <w:rFonts w:ascii="Book Antiqua" w:hAnsi="Book Antiqua"/>
          <w:sz w:val="24"/>
          <w:szCs w:val="24"/>
        </w:rPr>
        <w:t xml:space="preserve"> </w:t>
      </w:r>
      <w:r w:rsidRPr="00084277">
        <w:rPr>
          <w:rFonts w:ascii="Book Antiqua" w:hAnsi="Book Antiqua"/>
          <w:bCs/>
          <w:sz w:val="24"/>
          <w:szCs w:val="24"/>
        </w:rPr>
        <w:t>solakoglu@fpi-hamburg.de</w:t>
      </w:r>
    </w:p>
    <w:p w:rsidR="003065D2" w:rsidRPr="00084277" w:rsidRDefault="003065D2" w:rsidP="003065D2">
      <w:pPr>
        <w:tabs>
          <w:tab w:val="left" w:pos="144"/>
        </w:tabs>
        <w:autoSpaceDE w:val="0"/>
        <w:autoSpaceDN w:val="0"/>
        <w:adjustRightInd w:val="0"/>
        <w:snapToGrid w:val="0"/>
        <w:spacing w:line="360" w:lineRule="auto"/>
        <w:rPr>
          <w:rFonts w:ascii="Book Antiqua" w:hAnsi="Book Antiqua"/>
          <w:bCs/>
          <w:sz w:val="24"/>
          <w:szCs w:val="24"/>
        </w:rPr>
      </w:pPr>
      <w:r w:rsidRPr="00084277">
        <w:rPr>
          <w:rFonts w:ascii="Book Antiqua" w:hAnsi="Book Antiqua"/>
          <w:b/>
          <w:bCs/>
          <w:sz w:val="24"/>
          <w:szCs w:val="24"/>
        </w:rPr>
        <w:lastRenderedPageBreak/>
        <w:t>Telephone:</w:t>
      </w:r>
      <w:r w:rsidRPr="00084277">
        <w:rPr>
          <w:rFonts w:ascii="Book Antiqua" w:hAnsi="Book Antiqua"/>
          <w:bCs/>
          <w:sz w:val="24"/>
          <w:szCs w:val="24"/>
        </w:rPr>
        <w:t xml:space="preserve"> +49-40-515050</w:t>
      </w:r>
    </w:p>
    <w:p w:rsidR="003065D2" w:rsidRPr="00084277" w:rsidRDefault="003065D2" w:rsidP="003065D2">
      <w:pPr>
        <w:tabs>
          <w:tab w:val="left" w:pos="144"/>
        </w:tabs>
        <w:autoSpaceDE w:val="0"/>
        <w:autoSpaceDN w:val="0"/>
        <w:adjustRightInd w:val="0"/>
        <w:snapToGrid w:val="0"/>
        <w:spacing w:line="360" w:lineRule="auto"/>
        <w:rPr>
          <w:rFonts w:ascii="Book Antiqua" w:hAnsi="Book Antiqua"/>
          <w:bCs/>
          <w:sz w:val="24"/>
          <w:szCs w:val="24"/>
        </w:rPr>
      </w:pPr>
      <w:r w:rsidRPr="00084277">
        <w:rPr>
          <w:rFonts w:ascii="Book Antiqua" w:hAnsi="Book Antiqua"/>
          <w:b/>
          <w:bCs/>
          <w:sz w:val="24"/>
          <w:szCs w:val="24"/>
        </w:rPr>
        <w:t>Fax:</w:t>
      </w:r>
      <w:r w:rsidRPr="00084277">
        <w:rPr>
          <w:rFonts w:ascii="Book Antiqua" w:hAnsi="Book Antiqua"/>
          <w:bCs/>
          <w:sz w:val="24"/>
          <w:szCs w:val="24"/>
        </w:rPr>
        <w:t xml:space="preserve"> +49-40-53997289</w:t>
      </w:r>
    </w:p>
    <w:p w:rsidR="003065D2" w:rsidRPr="00084277" w:rsidRDefault="003065D2" w:rsidP="003065D2">
      <w:pPr>
        <w:adjustRightInd w:val="0"/>
        <w:snapToGrid w:val="0"/>
        <w:spacing w:line="360" w:lineRule="auto"/>
        <w:rPr>
          <w:rFonts w:ascii="Book Antiqua" w:hAnsi="Book Antiqua"/>
          <w:b/>
          <w:sz w:val="24"/>
          <w:szCs w:val="24"/>
        </w:rPr>
      </w:pP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t xml:space="preserve">Received: </w:t>
      </w:r>
      <w:r w:rsidRPr="00084277">
        <w:rPr>
          <w:rFonts w:ascii="Book Antiqua" w:hAnsi="Book Antiqua"/>
          <w:sz w:val="24"/>
          <w:szCs w:val="24"/>
        </w:rPr>
        <w:t>October 9, 2018</w:t>
      </w:r>
      <w:r w:rsidRPr="00084277">
        <w:rPr>
          <w:rFonts w:ascii="Book Antiqua" w:hAnsi="Book Antiqua"/>
          <w:b/>
          <w:sz w:val="24"/>
          <w:szCs w:val="24"/>
        </w:rPr>
        <w:t xml:space="preserve">  </w:t>
      </w: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t xml:space="preserve">Peer-review started: </w:t>
      </w:r>
      <w:r w:rsidRPr="00084277">
        <w:rPr>
          <w:rFonts w:ascii="Book Antiqua" w:hAnsi="Book Antiqua"/>
          <w:sz w:val="24"/>
          <w:szCs w:val="24"/>
        </w:rPr>
        <w:t>October 9, 2018</w:t>
      </w: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t xml:space="preserve">First decision: </w:t>
      </w:r>
      <w:r w:rsidRPr="00084277">
        <w:rPr>
          <w:rFonts w:ascii="Book Antiqua" w:hAnsi="Book Antiqua"/>
          <w:sz w:val="24"/>
          <w:szCs w:val="24"/>
        </w:rPr>
        <w:t>November 14, 2018</w:t>
      </w: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t xml:space="preserve">Revised: </w:t>
      </w:r>
      <w:r w:rsidRPr="00084277">
        <w:rPr>
          <w:rFonts w:ascii="Book Antiqua" w:hAnsi="Book Antiqua"/>
          <w:sz w:val="24"/>
          <w:szCs w:val="24"/>
        </w:rPr>
        <w:t>December 7, 2018</w:t>
      </w:r>
      <w:r w:rsidRPr="00084277">
        <w:rPr>
          <w:rFonts w:ascii="Book Antiqua" w:hAnsi="Book Antiqua"/>
          <w:b/>
          <w:sz w:val="24"/>
          <w:szCs w:val="24"/>
        </w:rPr>
        <w:t xml:space="preserve"> </w:t>
      </w: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t xml:space="preserve">Accepted:  </w:t>
      </w:r>
      <w:r w:rsidRPr="00084277">
        <w:rPr>
          <w:rFonts w:ascii="Book Antiqua" w:hAnsi="Book Antiqua"/>
          <w:sz w:val="24"/>
          <w:szCs w:val="24"/>
        </w:rPr>
        <w:t>January 10, 2019</w:t>
      </w: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t xml:space="preserve">Article in press: </w:t>
      </w:r>
      <w:r w:rsidRPr="00084277">
        <w:rPr>
          <w:rFonts w:ascii="Book Antiqua" w:hAnsi="Book Antiqua"/>
          <w:sz w:val="24"/>
          <w:szCs w:val="24"/>
        </w:rPr>
        <w:t>January 11, 2019</w:t>
      </w: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t xml:space="preserve">Published online: </w:t>
      </w:r>
      <w:r w:rsidRPr="00084277">
        <w:rPr>
          <w:rFonts w:ascii="Book Antiqua" w:hAnsi="Book Antiqua"/>
          <w:sz w:val="24"/>
          <w:szCs w:val="24"/>
        </w:rPr>
        <w:t>February 26, 2019</w:t>
      </w:r>
    </w:p>
    <w:p w:rsidR="003065D2" w:rsidRPr="00084277" w:rsidRDefault="003065D2" w:rsidP="003065D2">
      <w:pPr>
        <w:tabs>
          <w:tab w:val="left" w:pos="144"/>
        </w:tabs>
        <w:autoSpaceDE w:val="0"/>
        <w:autoSpaceDN w:val="0"/>
        <w:adjustRightInd w:val="0"/>
        <w:snapToGrid w:val="0"/>
        <w:spacing w:line="360" w:lineRule="auto"/>
        <w:rPr>
          <w:rFonts w:ascii="Book Antiqua" w:hAnsi="Book Antiqua"/>
          <w:bCs/>
          <w:sz w:val="24"/>
          <w:szCs w:val="24"/>
        </w:rPr>
      </w:pPr>
    </w:p>
    <w:p w:rsidR="003065D2" w:rsidRPr="00084277" w:rsidRDefault="003065D2" w:rsidP="003065D2">
      <w:pPr>
        <w:tabs>
          <w:tab w:val="left" w:pos="144"/>
        </w:tabs>
        <w:autoSpaceDE w:val="0"/>
        <w:autoSpaceDN w:val="0"/>
        <w:adjustRightInd w:val="0"/>
        <w:snapToGrid w:val="0"/>
        <w:spacing w:line="360" w:lineRule="auto"/>
        <w:rPr>
          <w:rFonts w:ascii="Book Antiqua" w:hAnsi="Book Antiqua"/>
          <w:bCs/>
          <w:sz w:val="24"/>
          <w:szCs w:val="24"/>
        </w:rPr>
      </w:pPr>
    </w:p>
    <w:p w:rsidR="003065D2" w:rsidRPr="00084277" w:rsidRDefault="003065D2" w:rsidP="003065D2">
      <w:pPr>
        <w:tabs>
          <w:tab w:val="left" w:pos="144"/>
        </w:tabs>
        <w:autoSpaceDE w:val="0"/>
        <w:autoSpaceDN w:val="0"/>
        <w:adjustRightInd w:val="0"/>
        <w:snapToGrid w:val="0"/>
        <w:spacing w:line="360" w:lineRule="auto"/>
        <w:rPr>
          <w:rFonts w:ascii="Book Antiqua" w:hAnsi="Book Antiqua"/>
          <w:bCs/>
          <w:sz w:val="24"/>
          <w:szCs w:val="24"/>
        </w:rPr>
        <w:sectPr w:rsidR="003065D2" w:rsidRPr="00084277" w:rsidSect="00A346FC">
          <w:footerReference w:type="even" r:id="rId8"/>
          <w:footerReference w:type="default" r:id="rId9"/>
          <w:pgSz w:w="12240" w:h="15840" w:code="1"/>
          <w:pgMar w:top="1440" w:right="1440" w:bottom="1440" w:left="1440" w:header="708" w:footer="708" w:gutter="0"/>
          <w:cols w:space="708"/>
          <w:docGrid w:linePitch="360"/>
        </w:sectPr>
      </w:pPr>
    </w:p>
    <w:p w:rsidR="003065D2" w:rsidRPr="00084277" w:rsidRDefault="003065D2" w:rsidP="003065D2">
      <w:pPr>
        <w:tabs>
          <w:tab w:val="left" w:pos="144"/>
        </w:tabs>
        <w:autoSpaceDE w:val="0"/>
        <w:autoSpaceDN w:val="0"/>
        <w:adjustRightInd w:val="0"/>
        <w:snapToGrid w:val="0"/>
        <w:spacing w:line="360" w:lineRule="auto"/>
        <w:rPr>
          <w:rFonts w:ascii="Book Antiqua" w:hAnsi="Book Antiqua"/>
          <w:bCs/>
          <w:sz w:val="24"/>
          <w:szCs w:val="24"/>
        </w:rPr>
      </w:pPr>
      <w:r w:rsidRPr="00084277">
        <w:rPr>
          <w:rFonts w:ascii="Book Antiqua" w:hAnsi="Book Antiqua"/>
          <w:b/>
          <w:sz w:val="24"/>
          <w:szCs w:val="24"/>
        </w:rPr>
        <w:lastRenderedPageBreak/>
        <w:t>Abstract</w:t>
      </w:r>
    </w:p>
    <w:p w:rsidR="003065D2" w:rsidRPr="00084277" w:rsidRDefault="003065D2" w:rsidP="003065D2">
      <w:pPr>
        <w:adjustRightInd w:val="0"/>
        <w:snapToGrid w:val="0"/>
        <w:spacing w:line="360" w:lineRule="auto"/>
        <w:rPr>
          <w:rFonts w:ascii="Book Antiqua" w:hAnsi="Book Antiqua"/>
          <w:i/>
          <w:sz w:val="24"/>
          <w:szCs w:val="24"/>
        </w:rPr>
      </w:pPr>
      <w:r w:rsidRPr="00084277">
        <w:rPr>
          <w:rFonts w:ascii="Book Antiqua" w:hAnsi="Book Antiqua"/>
          <w:b/>
          <w:i/>
          <w:sz w:val="24"/>
          <w:szCs w:val="24"/>
        </w:rPr>
        <w:t>BACKGROUND</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Novel strategies are needed for improving guided bone regeneration (GBR) in oral surgery prior to implant placement, particularly in maxillary sinus augmentation (GBR-MSA) and in lateral alveolar ridge augmentation (LRA). This study tested the hypothesis that the combination of freshly isolated, unmodified autologous adipose-derived regenerative cells (UA-ADRCs), fraction 2 of plasma rich in growth factors, (PRGF-2) and an osteoinductive scaffold (OIS) (UA-ADRC/PRGF-2/OIS) is superior to the combination of PRGF-2 and the same OIS alone (PRGF-2/OIS) in GBR-MSA/LRA. </w:t>
      </w:r>
    </w:p>
    <w:p w:rsidR="003065D2" w:rsidRPr="00084277" w:rsidRDefault="003065D2" w:rsidP="003065D2">
      <w:pPr>
        <w:adjustRightInd w:val="0"/>
        <w:snapToGrid w:val="0"/>
        <w:spacing w:line="360" w:lineRule="auto"/>
        <w:rPr>
          <w:rFonts w:ascii="Book Antiqua" w:hAnsi="Book Antiqua"/>
          <w:sz w:val="24"/>
          <w:szCs w:val="24"/>
        </w:rPr>
      </w:pPr>
    </w:p>
    <w:p w:rsidR="003065D2" w:rsidRPr="00084277" w:rsidRDefault="003065D2" w:rsidP="003065D2">
      <w:pPr>
        <w:adjustRightInd w:val="0"/>
        <w:snapToGrid w:val="0"/>
        <w:spacing w:line="360" w:lineRule="auto"/>
        <w:rPr>
          <w:rFonts w:ascii="Book Antiqua" w:hAnsi="Book Antiqua"/>
          <w:i/>
          <w:sz w:val="24"/>
          <w:szCs w:val="24"/>
        </w:rPr>
      </w:pPr>
      <w:r w:rsidRPr="00084277">
        <w:rPr>
          <w:rFonts w:ascii="Book Antiqua" w:hAnsi="Book Antiqua"/>
          <w:b/>
          <w:i/>
          <w:sz w:val="24"/>
          <w:szCs w:val="24"/>
        </w:rPr>
        <w:t>CASE SUMMARY</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A 79-year-old patient was treated with a bilateral external sinus lift procedure as well as a bilateral lateral alveolar ridge augmentation. GBR-MSA/LRA was performed with UA-ADRC/PRGF-2/OIS on the right side, and with PRGF-2/OIS on the left side. Biopsies were collected at 6 wk and 34 wk after GBR-MSA/LRA. At the latter time point implants were placed. Radiographs (32 mo follow-up time) demonstrated excellent bone healing. No radiological or histological signs of inflammation were observed. Detailed histologic, histomorphometric, and immunohistochemical analysis of the biopsies evidenced that UA-ADRC/PRGF-2/OIS resulted in better and faster bone regeneration than PRGF-2/OIS. </w:t>
      </w:r>
    </w:p>
    <w:p w:rsidR="003065D2" w:rsidRPr="00084277" w:rsidRDefault="003065D2" w:rsidP="003065D2">
      <w:pPr>
        <w:adjustRightInd w:val="0"/>
        <w:snapToGrid w:val="0"/>
        <w:spacing w:line="360" w:lineRule="auto"/>
        <w:rPr>
          <w:rFonts w:ascii="Book Antiqua" w:hAnsi="Book Antiqua"/>
          <w:i/>
          <w:sz w:val="24"/>
          <w:szCs w:val="24"/>
        </w:rPr>
      </w:pP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i/>
          <w:sz w:val="24"/>
          <w:szCs w:val="24"/>
        </w:rPr>
        <w:t>CONCLUSION</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GBR-MSA with UA-ADRCs, PRGF-2, and an OIS shows effectiveness without adverse effects.</w:t>
      </w:r>
    </w:p>
    <w:p w:rsidR="003065D2" w:rsidRPr="00084277" w:rsidRDefault="003065D2" w:rsidP="003065D2">
      <w:pPr>
        <w:adjustRightInd w:val="0"/>
        <w:snapToGrid w:val="0"/>
        <w:spacing w:line="360" w:lineRule="auto"/>
        <w:rPr>
          <w:rFonts w:ascii="Book Antiqua" w:hAnsi="Book Antiqua"/>
          <w:sz w:val="24"/>
          <w:szCs w:val="24"/>
        </w:rPr>
      </w:pP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Key words:</w:t>
      </w:r>
      <w:r w:rsidRPr="00084277">
        <w:rPr>
          <w:rFonts w:ascii="Book Antiqua" w:hAnsi="Book Antiqua"/>
          <w:sz w:val="24"/>
          <w:szCs w:val="24"/>
        </w:rPr>
        <w:t xml:space="preserve"> Case report; Cell-based therapy; Guided bone regeneration; Maxillary sinus augmentation; Lateral alveolar ridge augmentation; Unmodified autologous adipose-derived regenerative cells; Stem cells</w:t>
      </w:r>
    </w:p>
    <w:p w:rsidR="003065D2" w:rsidRPr="00084277" w:rsidRDefault="003065D2" w:rsidP="003065D2">
      <w:pPr>
        <w:adjustRightInd w:val="0"/>
        <w:snapToGrid w:val="0"/>
        <w:spacing w:line="360" w:lineRule="auto"/>
        <w:rPr>
          <w:rFonts w:ascii="Book Antiqua" w:hAnsi="Book Antiqua"/>
          <w:sz w:val="24"/>
          <w:szCs w:val="24"/>
        </w:rPr>
      </w:pPr>
    </w:p>
    <w:p w:rsidR="003065D2" w:rsidRPr="00084277" w:rsidRDefault="003065D2" w:rsidP="003065D2">
      <w:pPr>
        <w:adjustRightInd w:val="0"/>
        <w:snapToGrid w:val="0"/>
        <w:spacing w:line="360" w:lineRule="auto"/>
        <w:rPr>
          <w:rFonts w:ascii="Book Antiqua" w:hAnsi="Book Antiqua" w:cs="Arial Unicode MS"/>
          <w:sz w:val="24"/>
          <w:szCs w:val="24"/>
        </w:rPr>
      </w:pPr>
      <w:bookmarkStart w:id="26" w:name="OLE_LINK98"/>
      <w:bookmarkStart w:id="27" w:name="OLE_LINK156"/>
      <w:bookmarkStart w:id="28" w:name="OLE_LINK196"/>
      <w:bookmarkStart w:id="29" w:name="OLE_LINK217"/>
      <w:bookmarkStart w:id="30" w:name="OLE_LINK242"/>
      <w:bookmarkStart w:id="31" w:name="OLE_LINK247"/>
      <w:bookmarkStart w:id="32" w:name="OLE_LINK311"/>
      <w:bookmarkStart w:id="33" w:name="OLE_LINK312"/>
      <w:bookmarkStart w:id="34" w:name="OLE_LINK325"/>
      <w:bookmarkStart w:id="35" w:name="OLE_LINK330"/>
      <w:bookmarkStart w:id="36" w:name="OLE_LINK513"/>
      <w:bookmarkStart w:id="37" w:name="OLE_LINK514"/>
      <w:bookmarkStart w:id="38" w:name="OLE_LINK464"/>
      <w:bookmarkStart w:id="39" w:name="OLE_LINK465"/>
      <w:bookmarkStart w:id="40" w:name="OLE_LINK466"/>
      <w:bookmarkStart w:id="41" w:name="OLE_LINK470"/>
      <w:bookmarkStart w:id="42" w:name="OLE_LINK471"/>
      <w:bookmarkStart w:id="43" w:name="OLE_LINK472"/>
      <w:bookmarkStart w:id="44" w:name="OLE_LINK474"/>
      <w:bookmarkStart w:id="45" w:name="OLE_LINK512"/>
      <w:bookmarkStart w:id="46" w:name="OLE_LINK800"/>
      <w:bookmarkStart w:id="47" w:name="OLE_LINK982"/>
      <w:bookmarkStart w:id="48" w:name="OLE_LINK1027"/>
      <w:bookmarkStart w:id="49" w:name="OLE_LINK504"/>
      <w:bookmarkStart w:id="50" w:name="OLE_LINK546"/>
      <w:bookmarkStart w:id="51" w:name="OLE_LINK547"/>
      <w:bookmarkStart w:id="52" w:name="OLE_LINK575"/>
      <w:bookmarkStart w:id="53" w:name="OLE_LINK640"/>
      <w:bookmarkStart w:id="54" w:name="OLE_LINK672"/>
      <w:bookmarkStart w:id="55" w:name="OLE_LINK714"/>
      <w:bookmarkStart w:id="56" w:name="OLE_LINK651"/>
      <w:bookmarkStart w:id="57" w:name="OLE_LINK652"/>
      <w:bookmarkStart w:id="58" w:name="OLE_LINK744"/>
      <w:bookmarkStart w:id="59" w:name="OLE_LINK758"/>
      <w:bookmarkStart w:id="60" w:name="OLE_LINK787"/>
      <w:bookmarkStart w:id="61" w:name="OLE_LINK807"/>
      <w:bookmarkStart w:id="62" w:name="OLE_LINK820"/>
      <w:bookmarkStart w:id="63" w:name="OLE_LINK862"/>
      <w:bookmarkStart w:id="64" w:name="OLE_LINK879"/>
      <w:bookmarkStart w:id="65" w:name="OLE_LINK906"/>
      <w:bookmarkStart w:id="66" w:name="OLE_LINK928"/>
      <w:bookmarkStart w:id="67" w:name="OLE_LINK960"/>
      <w:bookmarkStart w:id="68" w:name="OLE_LINK861"/>
      <w:bookmarkStart w:id="69" w:name="OLE_LINK983"/>
      <w:bookmarkStart w:id="70" w:name="OLE_LINK1334"/>
      <w:bookmarkStart w:id="71" w:name="OLE_LINK1029"/>
      <w:bookmarkStart w:id="72" w:name="OLE_LINK1060"/>
      <w:bookmarkStart w:id="73" w:name="OLE_LINK1061"/>
      <w:bookmarkStart w:id="74" w:name="OLE_LINK1348"/>
      <w:bookmarkStart w:id="75" w:name="OLE_LINK1086"/>
      <w:bookmarkStart w:id="76" w:name="OLE_LINK1100"/>
      <w:bookmarkStart w:id="77" w:name="OLE_LINK1125"/>
      <w:bookmarkStart w:id="78" w:name="OLE_LINK1163"/>
      <w:bookmarkStart w:id="79" w:name="OLE_LINK1193"/>
      <w:bookmarkStart w:id="80" w:name="OLE_LINK1219"/>
      <w:bookmarkStart w:id="81" w:name="OLE_LINK1247"/>
      <w:bookmarkStart w:id="82" w:name="OLE_LINK1284"/>
      <w:bookmarkStart w:id="83" w:name="OLE_LINK1313"/>
      <w:bookmarkStart w:id="84" w:name="OLE_LINK1361"/>
      <w:bookmarkStart w:id="85" w:name="OLE_LINK1384"/>
      <w:bookmarkStart w:id="86" w:name="OLE_LINK1403"/>
      <w:bookmarkStart w:id="87" w:name="OLE_LINK1437"/>
      <w:bookmarkStart w:id="88" w:name="OLE_LINK1454"/>
      <w:bookmarkStart w:id="89" w:name="OLE_LINK1480"/>
      <w:bookmarkStart w:id="90" w:name="OLE_LINK1504"/>
      <w:bookmarkStart w:id="91" w:name="OLE_LINK1516"/>
      <w:bookmarkStart w:id="92" w:name="OLE_LINK135"/>
      <w:bookmarkStart w:id="93" w:name="OLE_LINK216"/>
      <w:bookmarkStart w:id="94" w:name="OLE_LINK259"/>
      <w:bookmarkStart w:id="95" w:name="OLE_LINK1186"/>
      <w:bookmarkStart w:id="96" w:name="OLE_LINK1265"/>
      <w:bookmarkStart w:id="97" w:name="OLE_LINK1373"/>
      <w:bookmarkStart w:id="98" w:name="OLE_LINK1478"/>
      <w:bookmarkStart w:id="99" w:name="OLE_LINK1644"/>
      <w:bookmarkStart w:id="100" w:name="OLE_LINK1884"/>
      <w:bookmarkStart w:id="101" w:name="OLE_LINK1885"/>
      <w:bookmarkStart w:id="102" w:name="OLE_LINK1538"/>
      <w:bookmarkStart w:id="103" w:name="OLE_LINK1539"/>
      <w:bookmarkStart w:id="104" w:name="OLE_LINK1543"/>
      <w:bookmarkStart w:id="105" w:name="OLE_LINK1549"/>
      <w:bookmarkStart w:id="106" w:name="OLE_LINK1778"/>
      <w:bookmarkStart w:id="107" w:name="OLE_LINK1756"/>
      <w:bookmarkStart w:id="108" w:name="OLE_LINK1776"/>
      <w:bookmarkStart w:id="109" w:name="OLE_LINK1777"/>
      <w:bookmarkStart w:id="110" w:name="OLE_LINK1868"/>
      <w:bookmarkStart w:id="111" w:name="OLE_LINK1744"/>
      <w:bookmarkStart w:id="112" w:name="OLE_LINK1817"/>
      <w:bookmarkStart w:id="113" w:name="OLE_LINK1835"/>
      <w:bookmarkStart w:id="114" w:name="OLE_LINK1866"/>
      <w:bookmarkStart w:id="115" w:name="OLE_LINK1882"/>
      <w:bookmarkStart w:id="116" w:name="OLE_LINK1901"/>
      <w:bookmarkStart w:id="117" w:name="OLE_LINK1902"/>
      <w:bookmarkStart w:id="118" w:name="OLE_LINK2013"/>
      <w:bookmarkStart w:id="119" w:name="OLE_LINK1894"/>
      <w:bookmarkStart w:id="120" w:name="OLE_LINK1929"/>
      <w:bookmarkStart w:id="121" w:name="OLE_LINK1941"/>
      <w:bookmarkStart w:id="122" w:name="OLE_LINK1995"/>
      <w:bookmarkStart w:id="123" w:name="OLE_LINK1938"/>
      <w:bookmarkStart w:id="124" w:name="OLE_LINK2081"/>
      <w:bookmarkStart w:id="125" w:name="OLE_LINK2082"/>
      <w:bookmarkStart w:id="126" w:name="OLE_LINK2292"/>
      <w:bookmarkStart w:id="127" w:name="OLE_LINK1931"/>
      <w:bookmarkStart w:id="128" w:name="OLE_LINK1964"/>
      <w:bookmarkStart w:id="129" w:name="OLE_LINK2020"/>
      <w:bookmarkStart w:id="130" w:name="OLE_LINK2071"/>
      <w:bookmarkStart w:id="131" w:name="OLE_LINK2134"/>
      <w:bookmarkStart w:id="132" w:name="OLE_LINK2265"/>
      <w:bookmarkStart w:id="133" w:name="OLE_LINK2562"/>
      <w:bookmarkStart w:id="134" w:name="OLE_LINK1923"/>
      <w:bookmarkStart w:id="135" w:name="OLE_LINK2192"/>
      <w:bookmarkStart w:id="136" w:name="OLE_LINK2110"/>
      <w:bookmarkStart w:id="137" w:name="OLE_LINK2445"/>
      <w:bookmarkStart w:id="138" w:name="OLE_LINK2446"/>
      <w:bookmarkStart w:id="139" w:name="OLE_LINK2169"/>
      <w:bookmarkStart w:id="140" w:name="OLE_LINK2190"/>
      <w:bookmarkStart w:id="141" w:name="OLE_LINK2331"/>
      <w:bookmarkStart w:id="142" w:name="OLE_LINK2345"/>
      <w:bookmarkStart w:id="143" w:name="OLE_LINK2467"/>
      <w:bookmarkStart w:id="144" w:name="OLE_LINK2484"/>
      <w:bookmarkStart w:id="145" w:name="OLE_LINK2157"/>
      <w:bookmarkStart w:id="146" w:name="OLE_LINK2221"/>
      <w:bookmarkStart w:id="147" w:name="OLE_LINK2252"/>
      <w:bookmarkStart w:id="148" w:name="OLE_LINK2348"/>
      <w:bookmarkStart w:id="149" w:name="OLE_LINK2451"/>
      <w:bookmarkStart w:id="150" w:name="OLE_LINK2627"/>
      <w:bookmarkStart w:id="151" w:name="OLE_LINK2482"/>
      <w:bookmarkStart w:id="152" w:name="OLE_LINK2663"/>
      <w:bookmarkStart w:id="153" w:name="OLE_LINK2761"/>
      <w:bookmarkStart w:id="154" w:name="OLE_LINK2856"/>
      <w:bookmarkStart w:id="155" w:name="OLE_LINK2993"/>
      <w:bookmarkStart w:id="156" w:name="OLE_LINK2643"/>
      <w:bookmarkStart w:id="157" w:name="OLE_LINK2583"/>
      <w:bookmarkStart w:id="158" w:name="OLE_LINK2762"/>
      <w:bookmarkStart w:id="159" w:name="OLE_LINK2962"/>
      <w:bookmarkStart w:id="160" w:name="OLE_LINK2582"/>
      <w:bookmarkStart w:id="161" w:name="OLE_LINK197"/>
      <w:r w:rsidRPr="00084277">
        <w:rPr>
          <w:rFonts w:ascii="Book Antiqua" w:hAnsi="Book Antiqua"/>
          <w:b/>
          <w:color w:val="000000"/>
          <w:sz w:val="24"/>
          <w:szCs w:val="24"/>
        </w:rPr>
        <w:lastRenderedPageBreak/>
        <w:t xml:space="preserve">© </w:t>
      </w:r>
      <w:r w:rsidRPr="00084277">
        <w:rPr>
          <w:rFonts w:ascii="Book Antiqua" w:eastAsia="AdvTimes" w:hAnsi="Book Antiqua" w:cs="AdvTimes"/>
          <w:b/>
          <w:color w:val="000000"/>
          <w:sz w:val="24"/>
          <w:szCs w:val="24"/>
        </w:rPr>
        <w:t>The Author(s) 201</w:t>
      </w:r>
      <w:r w:rsidRPr="00084277">
        <w:rPr>
          <w:rFonts w:ascii="Book Antiqua" w:hAnsi="Book Antiqua" w:cs="AdvTimes"/>
          <w:b/>
          <w:color w:val="000000"/>
          <w:sz w:val="24"/>
          <w:szCs w:val="24"/>
        </w:rPr>
        <w:t>9</w:t>
      </w:r>
      <w:r w:rsidRPr="00084277">
        <w:rPr>
          <w:rFonts w:ascii="Book Antiqua" w:eastAsia="AdvTimes" w:hAnsi="Book Antiqua" w:cs="AdvTimes"/>
          <w:b/>
          <w:color w:val="000000"/>
          <w:sz w:val="24"/>
          <w:szCs w:val="24"/>
        </w:rPr>
        <w:t>.</w:t>
      </w:r>
      <w:r w:rsidRPr="00084277">
        <w:rPr>
          <w:rFonts w:ascii="Book Antiqua" w:eastAsia="AdvTimes" w:hAnsi="Book Antiqua" w:cs="AdvTimes"/>
          <w:color w:val="000000"/>
          <w:sz w:val="24"/>
          <w:szCs w:val="24"/>
        </w:rPr>
        <w:t xml:space="preserve"> Published by </w:t>
      </w:r>
      <w:r w:rsidRPr="00084277">
        <w:rPr>
          <w:rFonts w:ascii="Book Antiqua" w:hAnsi="Book Antiqua" w:cs="Arial Unicode MS"/>
          <w:color w:val="000000"/>
          <w:sz w:val="24"/>
          <w:szCs w:val="24"/>
        </w:rPr>
        <w:t>Baishideng Publishing Group Inc.</w:t>
      </w:r>
      <w:r w:rsidRPr="00084277">
        <w:rPr>
          <w:rFonts w:ascii="Book Antiqua" w:hAnsi="Book Antiqua" w:cs="Arial Unicode MS"/>
          <w:sz w:val="24"/>
          <w:szCs w:val="24"/>
        </w:rPr>
        <w:t xml:space="preserve"> All rights reserved.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3065D2" w:rsidRPr="00084277" w:rsidRDefault="003065D2" w:rsidP="003065D2">
      <w:pPr>
        <w:adjustRightInd w:val="0"/>
        <w:snapToGrid w:val="0"/>
        <w:spacing w:line="360" w:lineRule="auto"/>
        <w:rPr>
          <w:rFonts w:ascii="Book Antiqua" w:hAnsi="Book Antiqua"/>
          <w:sz w:val="24"/>
          <w:szCs w:val="24"/>
        </w:rPr>
      </w:pP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Core tip:</w:t>
      </w:r>
      <w:r w:rsidRPr="00084277">
        <w:rPr>
          <w:rFonts w:ascii="Book Antiqua" w:hAnsi="Book Antiqua"/>
          <w:sz w:val="24"/>
          <w:szCs w:val="24"/>
        </w:rPr>
        <w:t xml:space="preserve"> Novel strategies are needed in oral surgery for improving guided bone regeneration in maxillary sinus augmentation prior to implant placement. We demonstrate that the combination of freshly isolated, unmodified autologous adipose-derived regenerative cells, fraction 2 of plasma rich in growth factors and an osteoinductive scaffold is superior to the combination of fraction 2 of plasma rich in growth factors and the same osteoinductive scaffold alone. This novel procedure may contribute to a decreased healing period and increased bone quality in rehabilitation of the edentulous posterior maxilla as well as in other regenerative techniques in pre-implant bone augmentation procedures.</w:t>
      </w:r>
    </w:p>
    <w:p w:rsidR="003065D2" w:rsidRPr="00084277" w:rsidRDefault="003065D2" w:rsidP="003065D2">
      <w:pPr>
        <w:adjustRightInd w:val="0"/>
        <w:snapToGrid w:val="0"/>
        <w:spacing w:line="360" w:lineRule="auto"/>
        <w:rPr>
          <w:rFonts w:ascii="Book Antiqua" w:hAnsi="Book Antiqua"/>
          <w:sz w:val="24"/>
          <w:szCs w:val="24"/>
        </w:rPr>
      </w:pPr>
    </w:p>
    <w:p w:rsidR="00B92121" w:rsidRDefault="00B92121" w:rsidP="003065D2">
      <w:pPr>
        <w:adjustRightInd w:val="0"/>
        <w:snapToGrid w:val="0"/>
        <w:spacing w:line="360" w:lineRule="auto"/>
        <w:rPr>
          <w:rFonts w:ascii="Book Antiqua" w:hAnsi="Book Antiqua" w:hint="eastAsia"/>
          <w:sz w:val="24"/>
          <w:szCs w:val="24"/>
        </w:rPr>
      </w:pPr>
      <w:r w:rsidRPr="00B92121">
        <w:rPr>
          <w:rFonts w:ascii="Book Antiqua" w:hAnsi="Book Antiqua" w:hint="eastAsia"/>
          <w:b/>
          <w:sz w:val="24"/>
          <w:szCs w:val="24"/>
        </w:rPr>
        <w:t xml:space="preserve">Citation: </w:t>
      </w:r>
      <w:r w:rsidR="003065D2" w:rsidRPr="00084277">
        <w:rPr>
          <w:rFonts w:ascii="Book Antiqua" w:hAnsi="Book Antiqua"/>
          <w:sz w:val="24"/>
          <w:szCs w:val="24"/>
        </w:rPr>
        <w:t xml:space="preserve">Solakoglu Ö, Götz W, Kiessling MC, Alt C, Schmitz C, Alt EU. Improved guided bone regeneration by combined application of unmodified, fresh autologous adipose derived regenerative cells and plasma rich in growth factors: A first-in-human case report and literature review. </w:t>
      </w:r>
      <w:r w:rsidR="003065D2" w:rsidRPr="00084277">
        <w:rPr>
          <w:rFonts w:ascii="Book Antiqua" w:hAnsi="Book Antiqua"/>
          <w:i/>
          <w:sz w:val="24"/>
          <w:szCs w:val="24"/>
        </w:rPr>
        <w:t>World J Stem Cells</w:t>
      </w:r>
      <w:r w:rsidR="003065D2" w:rsidRPr="00084277">
        <w:rPr>
          <w:rFonts w:ascii="Book Antiqua" w:hAnsi="Book Antiqua"/>
          <w:sz w:val="24"/>
          <w:szCs w:val="24"/>
        </w:rPr>
        <w:t xml:space="preserve"> 2019; </w:t>
      </w:r>
      <w:r w:rsidRPr="00B92121">
        <w:rPr>
          <w:rFonts w:ascii="Book Antiqua" w:hAnsi="Book Antiqua"/>
          <w:sz w:val="24"/>
          <w:szCs w:val="24"/>
        </w:rPr>
        <w:t xml:space="preserve">11(2): 124-146  </w:t>
      </w:r>
    </w:p>
    <w:p w:rsidR="00B92121" w:rsidRDefault="00B92121" w:rsidP="003065D2">
      <w:pPr>
        <w:adjustRightInd w:val="0"/>
        <w:snapToGrid w:val="0"/>
        <w:spacing w:line="360" w:lineRule="auto"/>
        <w:rPr>
          <w:rFonts w:ascii="Book Antiqua" w:hAnsi="Book Antiqua" w:hint="eastAsia"/>
          <w:sz w:val="24"/>
          <w:szCs w:val="24"/>
        </w:rPr>
      </w:pPr>
      <w:r w:rsidRPr="00B92121">
        <w:rPr>
          <w:rFonts w:ascii="Book Antiqua" w:hAnsi="Book Antiqua"/>
          <w:b/>
          <w:sz w:val="24"/>
          <w:szCs w:val="24"/>
        </w:rPr>
        <w:t>URL:</w:t>
      </w:r>
      <w:r w:rsidRPr="00B92121">
        <w:rPr>
          <w:rFonts w:ascii="Book Antiqua" w:hAnsi="Book Antiqua"/>
          <w:sz w:val="24"/>
          <w:szCs w:val="24"/>
        </w:rPr>
        <w:t xml:space="preserve"> https://www.wjgnet.com/1948-0210/full/v11/i2/124.htm  </w:t>
      </w:r>
    </w:p>
    <w:p w:rsidR="003065D2" w:rsidRPr="00084277" w:rsidRDefault="00B92121" w:rsidP="003065D2">
      <w:pPr>
        <w:adjustRightInd w:val="0"/>
        <w:snapToGrid w:val="0"/>
        <w:spacing w:line="360" w:lineRule="auto"/>
        <w:rPr>
          <w:rFonts w:ascii="Book Antiqua" w:hAnsi="Book Antiqua"/>
          <w:sz w:val="24"/>
          <w:szCs w:val="24"/>
        </w:rPr>
      </w:pPr>
      <w:r w:rsidRPr="00B92121">
        <w:rPr>
          <w:rFonts w:ascii="Book Antiqua" w:hAnsi="Book Antiqua"/>
          <w:b/>
          <w:sz w:val="24"/>
          <w:szCs w:val="24"/>
        </w:rPr>
        <w:t>DOI:</w:t>
      </w:r>
      <w:r w:rsidRPr="00B92121">
        <w:rPr>
          <w:rFonts w:ascii="Book Antiqua" w:hAnsi="Book Antiqua"/>
          <w:sz w:val="24"/>
          <w:szCs w:val="24"/>
        </w:rPr>
        <w:t xml:space="preserve"> https://dx.doi.org/10.4252/wjsc.v11.i2.124</w:t>
      </w:r>
    </w:p>
    <w:p w:rsidR="003065D2" w:rsidRPr="00084277" w:rsidRDefault="003065D2" w:rsidP="003065D2">
      <w:pPr>
        <w:adjustRightInd w:val="0"/>
        <w:snapToGrid w:val="0"/>
        <w:spacing w:line="360" w:lineRule="auto"/>
        <w:rPr>
          <w:rFonts w:ascii="Book Antiqua" w:hAnsi="Book Antiqua"/>
          <w:sz w:val="24"/>
          <w:szCs w:val="24"/>
        </w:rPr>
      </w:pP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br w:type="page"/>
      </w: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lastRenderedPageBreak/>
        <w:t>INTRODUCTION</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The main causes of tooth loss are periodontal disease and dental caries</w:t>
      </w:r>
      <w:r w:rsidRPr="00084277">
        <w:rPr>
          <w:rFonts w:ascii="Book Antiqua" w:hAnsi="Book Antiqua"/>
          <w:sz w:val="24"/>
          <w:szCs w:val="24"/>
          <w:vertAlign w:val="superscript"/>
        </w:rPr>
        <w:t>[1]</w:t>
      </w:r>
      <w:r w:rsidRPr="00084277">
        <w:rPr>
          <w:rFonts w:ascii="Book Antiqua" w:hAnsi="Book Antiqua"/>
          <w:sz w:val="24"/>
          <w:szCs w:val="24"/>
        </w:rPr>
        <w:t>. Replacing missing or lost teeth with osseointegrated dental implants has been highly successful in the treatment of single, partial, or complete edentulism</w:t>
      </w:r>
      <w:r w:rsidRPr="00084277">
        <w:rPr>
          <w:rFonts w:ascii="Book Antiqua" w:hAnsi="Book Antiqua"/>
          <w:sz w:val="24"/>
          <w:szCs w:val="24"/>
          <w:vertAlign w:val="superscript"/>
        </w:rPr>
        <w:t>[2]</w:t>
      </w:r>
      <w:r w:rsidRPr="00084277">
        <w:rPr>
          <w:rFonts w:ascii="Book Antiqua" w:hAnsi="Book Antiqua"/>
          <w:sz w:val="24"/>
          <w:szCs w:val="24"/>
        </w:rPr>
        <w:t xml:space="preserve">. However, insufficient bone volume is a common problem </w:t>
      </w:r>
      <w:bookmarkStart w:id="162" w:name="_Hlk513812542"/>
      <w:r w:rsidRPr="00084277">
        <w:rPr>
          <w:rFonts w:ascii="Book Antiqua" w:hAnsi="Book Antiqua"/>
          <w:sz w:val="24"/>
          <w:szCs w:val="24"/>
        </w:rPr>
        <w:t>occurring in the rehabilitation of the edentulous posterior maxilla with implant-supported prostheses</w:t>
      </w:r>
      <w:bookmarkEnd w:id="162"/>
      <w:r w:rsidRPr="00084277">
        <w:rPr>
          <w:rFonts w:ascii="Book Antiqua" w:hAnsi="Book Antiqua"/>
          <w:sz w:val="24"/>
          <w:szCs w:val="24"/>
          <w:vertAlign w:val="superscript"/>
        </w:rPr>
        <w:t>[3-5]</w:t>
      </w:r>
      <w:r w:rsidRPr="00084277">
        <w:rPr>
          <w:rFonts w:ascii="Book Antiqua" w:hAnsi="Book Antiqua"/>
          <w:sz w:val="24"/>
          <w:szCs w:val="24"/>
        </w:rPr>
        <w:t>. Both the presence of the maxillary sinus and atrophy of the alveolar process after tooth extraction or loss contribute to this problem. Therefore, it is often necessary to perform vertical alveolar ridge augmentation to enable implant placement and integration. A well-studied technique in this context is maxillary sinus membrane elevation with autologous bone or a variety of biomaterials (</w:t>
      </w:r>
      <w:r w:rsidRPr="00084277">
        <w:rPr>
          <w:rFonts w:ascii="Book Antiqua" w:hAnsi="Book Antiqua"/>
          <w:i/>
          <w:sz w:val="24"/>
          <w:szCs w:val="24"/>
        </w:rPr>
        <w:t>i.e.</w:t>
      </w:r>
      <w:r w:rsidRPr="00084277">
        <w:rPr>
          <w:rFonts w:ascii="Book Antiqua" w:hAnsi="Book Antiqua"/>
          <w:sz w:val="24"/>
          <w:szCs w:val="24"/>
        </w:rPr>
        <w:t>, a form of guided bone regeneration in maxillary sinus augmentation; thereafter, “GBR-MSA”)</w:t>
      </w:r>
      <w:r w:rsidRPr="00084277">
        <w:rPr>
          <w:rFonts w:ascii="Book Antiqua" w:hAnsi="Book Antiqua"/>
          <w:sz w:val="24"/>
          <w:szCs w:val="24"/>
          <w:vertAlign w:val="superscript"/>
        </w:rPr>
        <w:t>[3-6]</w:t>
      </w:r>
      <w:r w:rsidRPr="00084277">
        <w:rPr>
          <w:rFonts w:ascii="Book Antiqua" w:hAnsi="Book Antiqua"/>
          <w:sz w:val="24"/>
          <w:szCs w:val="24"/>
        </w:rPr>
        <w:t>. However, for the following reasons there is a need for developing novel strategies for improving GBR-MSA.</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First, autologous bone is considered to be the gold standard in GBR-MSA due to its osteogenic, osteoinductive, and osteoconductive properties including lack of immunogenicity</w:t>
      </w:r>
      <w:r w:rsidRPr="00084277">
        <w:rPr>
          <w:rFonts w:ascii="Book Antiqua" w:hAnsi="Book Antiqua"/>
          <w:sz w:val="24"/>
          <w:szCs w:val="24"/>
          <w:vertAlign w:val="superscript"/>
        </w:rPr>
        <w:t>[7,8]</w:t>
      </w:r>
      <w:r w:rsidRPr="00084277">
        <w:rPr>
          <w:rFonts w:ascii="Book Antiqua" w:hAnsi="Book Antiqua"/>
          <w:sz w:val="24"/>
          <w:szCs w:val="24"/>
        </w:rPr>
        <w:t>. However, autologous bone grafts may show a number of disadvantages, such as increased operation time, donor site morbidity, post-operative discomfort, limitations in bone quantity and volume, unpredictable bone quality, reduced volume stability, and fast resorption rate</w:t>
      </w:r>
      <w:r w:rsidRPr="00084277">
        <w:rPr>
          <w:rFonts w:ascii="Book Antiqua" w:hAnsi="Book Antiqua"/>
          <w:sz w:val="24"/>
          <w:szCs w:val="24"/>
          <w:vertAlign w:val="superscript"/>
        </w:rPr>
        <w:t>[9-13]</w:t>
      </w:r>
      <w:r w:rsidRPr="00084277">
        <w:rPr>
          <w:rFonts w:ascii="Book Antiqua" w:hAnsi="Book Antiqua"/>
          <w:sz w:val="24"/>
          <w:szCs w:val="24"/>
        </w:rPr>
        <w:t>. It may also be only effective under good recipient conditions. Furthermore, the intraoral amount of autologous bone is limited, and therefore extraoral donor sites are needed for larger defects. Extraoral donor sites like the iliac crest may lead to further discomfort for the patient and an even higher morbidity rate compared to intraoral donor sites.</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Second, while allografts have osteogenic properties, their probable osteoinductive and osteoconductive functions are still discussed contradictorily</w:t>
      </w:r>
      <w:r w:rsidRPr="00084277">
        <w:rPr>
          <w:rFonts w:ascii="Book Antiqua" w:hAnsi="Book Antiqua"/>
          <w:sz w:val="24"/>
          <w:szCs w:val="24"/>
          <w:vertAlign w:val="superscript"/>
        </w:rPr>
        <w:t>[7,11,14-16]</w:t>
      </w:r>
      <w:r w:rsidRPr="00084277">
        <w:rPr>
          <w:rFonts w:ascii="Book Antiqua" w:hAnsi="Book Antiqua"/>
          <w:sz w:val="24"/>
          <w:szCs w:val="24"/>
        </w:rPr>
        <w:t xml:space="preserve">. Especially the osteoconductive property of bone allografts leads to a significant higher volume stability compared to autologous bone, although it is still resorbable and will be degraded into </w:t>
      </w:r>
      <w:r w:rsidRPr="00084277">
        <w:rPr>
          <w:rFonts w:ascii="Book Antiqua" w:hAnsi="Book Antiqua"/>
          <w:sz w:val="24"/>
          <w:szCs w:val="24"/>
        </w:rPr>
        <w:lastRenderedPageBreak/>
        <w:t>autologous bone. Demineralized freeze-dried bone allografts were shown to be osteoinductive and osteoconductive due to the release of bone morphogenetic proteins</w:t>
      </w:r>
      <w:r w:rsidRPr="00084277">
        <w:rPr>
          <w:rFonts w:ascii="Book Antiqua" w:hAnsi="Book Antiqua"/>
          <w:sz w:val="24"/>
          <w:szCs w:val="24"/>
          <w:vertAlign w:val="superscript"/>
        </w:rPr>
        <w:t>[17]</w:t>
      </w:r>
      <w:r w:rsidRPr="00084277">
        <w:rPr>
          <w:rFonts w:ascii="Book Antiqua" w:hAnsi="Book Antiqua"/>
          <w:sz w:val="24"/>
          <w:szCs w:val="24"/>
        </w:rPr>
        <w:t>, although clinical outcomes comparing mineralized and demineralized freeze-dried bone allografts were reported to be similar</w:t>
      </w:r>
      <w:r w:rsidRPr="00084277">
        <w:rPr>
          <w:rFonts w:ascii="Book Antiqua" w:hAnsi="Book Antiqua"/>
          <w:sz w:val="24"/>
          <w:szCs w:val="24"/>
          <w:vertAlign w:val="superscript"/>
        </w:rPr>
        <w:t>[18]</w:t>
      </w:r>
      <w:r w:rsidRPr="00084277">
        <w:rPr>
          <w:rFonts w:ascii="Book Antiqua" w:hAnsi="Book Antiqua"/>
          <w:sz w:val="24"/>
          <w:szCs w:val="24"/>
        </w:rPr>
        <w:t xml:space="preserve">. Studies </w:t>
      </w:r>
      <w:r w:rsidRPr="00084277">
        <w:rPr>
          <w:rFonts w:ascii="Book Antiqua" w:hAnsi="Book Antiqua"/>
          <w:i/>
          <w:sz w:val="24"/>
          <w:szCs w:val="24"/>
        </w:rPr>
        <w:t>in vitro</w:t>
      </w:r>
      <w:r w:rsidRPr="00084277">
        <w:rPr>
          <w:rFonts w:ascii="Book Antiqua" w:hAnsi="Book Antiqua"/>
          <w:sz w:val="24"/>
          <w:szCs w:val="24"/>
        </w:rPr>
        <w:t xml:space="preserve"> and animal investigations revealed osteoinductive functions of demineralized freeze-dried bone allografts by recruiting cells and ectopic bone formation</w:t>
      </w:r>
      <w:r w:rsidRPr="00084277">
        <w:rPr>
          <w:rFonts w:ascii="Book Antiqua" w:hAnsi="Book Antiqua"/>
          <w:sz w:val="24"/>
          <w:szCs w:val="24"/>
          <w:vertAlign w:val="superscript"/>
        </w:rPr>
        <w:t>[19]</w:t>
      </w:r>
      <w:r w:rsidRPr="00084277">
        <w:rPr>
          <w:rFonts w:ascii="Book Antiqua" w:hAnsi="Book Antiqua"/>
          <w:sz w:val="24"/>
          <w:szCs w:val="24"/>
        </w:rPr>
        <w:t>. Disadvantages of allogeneic materials may be a protracted vascularization, slow remodeling and resorption or longer time for osseointegration, and the risk of immunogenic reactions</w:t>
      </w:r>
      <w:r w:rsidRPr="00084277">
        <w:rPr>
          <w:rFonts w:ascii="Book Antiqua" w:hAnsi="Book Antiqua"/>
          <w:sz w:val="24"/>
          <w:szCs w:val="24"/>
          <w:vertAlign w:val="superscript"/>
        </w:rPr>
        <w:t>[15-18]</w:t>
      </w:r>
      <w:r w:rsidRPr="00084277">
        <w:rPr>
          <w:rFonts w:ascii="Book Antiqua" w:hAnsi="Book Antiqua"/>
          <w:sz w:val="24"/>
          <w:szCs w:val="24"/>
        </w:rPr>
        <w:t xml:space="preserve">.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Third, several experimental studies on animal models</w:t>
      </w:r>
      <w:r w:rsidRPr="00084277">
        <w:rPr>
          <w:rFonts w:ascii="Book Antiqua" w:hAnsi="Book Antiqua"/>
          <w:sz w:val="24"/>
          <w:szCs w:val="24"/>
          <w:vertAlign w:val="superscript"/>
        </w:rPr>
        <w:t>[20,21]</w:t>
      </w:r>
      <w:r w:rsidRPr="00084277">
        <w:rPr>
          <w:rFonts w:ascii="Book Antiqua" w:hAnsi="Book Antiqua"/>
          <w:sz w:val="24"/>
          <w:szCs w:val="24"/>
        </w:rPr>
        <w:t>, clinical studies</w:t>
      </w:r>
      <w:r w:rsidRPr="00084277">
        <w:rPr>
          <w:rFonts w:ascii="Book Antiqua" w:hAnsi="Book Antiqua"/>
          <w:sz w:val="24"/>
          <w:szCs w:val="24"/>
          <w:vertAlign w:val="superscript"/>
        </w:rPr>
        <w:t>[22-24]</w:t>
      </w:r>
      <w:r w:rsidRPr="00084277">
        <w:rPr>
          <w:rFonts w:ascii="Book Antiqua" w:hAnsi="Book Antiqua"/>
          <w:sz w:val="24"/>
          <w:szCs w:val="24"/>
        </w:rPr>
        <w:t>, and an earlier meta-analysis</w:t>
      </w:r>
      <w:r w:rsidRPr="00084277">
        <w:rPr>
          <w:rFonts w:ascii="Book Antiqua" w:hAnsi="Book Antiqua"/>
          <w:sz w:val="24"/>
          <w:szCs w:val="24"/>
          <w:vertAlign w:val="superscript"/>
        </w:rPr>
        <w:t>[25]</w:t>
      </w:r>
      <w:r w:rsidRPr="00084277">
        <w:rPr>
          <w:rFonts w:ascii="Book Antiqua" w:hAnsi="Book Antiqua"/>
          <w:sz w:val="24"/>
          <w:szCs w:val="24"/>
        </w:rPr>
        <w:t xml:space="preserve"> indicated that platelet-rich plasma (PRP) can increase new bone formation in maxillary sinus augmentation when used in combination with autologous or allogeneic graft material. The use of PRP is based on the premise that it contains large quantities of growth factors, including platelet derived growth factor, insulin-like growth factor-1, and transforming growth factor-β that may enhance osteogenesis</w:t>
      </w:r>
      <w:r w:rsidRPr="00084277">
        <w:rPr>
          <w:rFonts w:ascii="Book Antiqua" w:hAnsi="Book Antiqua"/>
          <w:sz w:val="24"/>
          <w:szCs w:val="24"/>
          <w:vertAlign w:val="superscript"/>
        </w:rPr>
        <w:t>[26-28]</w:t>
      </w:r>
      <w:r w:rsidRPr="00084277">
        <w:rPr>
          <w:rFonts w:ascii="Book Antiqua" w:hAnsi="Book Antiqua"/>
          <w:sz w:val="24"/>
          <w:szCs w:val="24"/>
        </w:rPr>
        <w:t>. However, a number of recent systematic reviews and meta-analyses came to the conclusion that PRP has no significant impact on bone formation as well as on implant survival in maxillary sinus augmentation</w:t>
      </w:r>
      <w:r w:rsidRPr="00084277">
        <w:rPr>
          <w:rFonts w:ascii="Book Antiqua" w:hAnsi="Book Antiqua"/>
          <w:sz w:val="24"/>
          <w:szCs w:val="24"/>
          <w:vertAlign w:val="superscript"/>
        </w:rPr>
        <w:t>[29-31]</w:t>
      </w:r>
      <w:r w:rsidRPr="00084277">
        <w:rPr>
          <w:rFonts w:ascii="Book Antiqua" w:hAnsi="Book Antiqua"/>
          <w:sz w:val="24"/>
          <w:szCs w:val="24"/>
        </w:rPr>
        <w:t xml:space="preserve">.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Based on multidisciplinary expert consultation the aim of the present study was to test (using a first-in-human, split-mouth single case study design) the hypothesis that in GBR-MSA the combination of freshly isolated, unmodified autologous adipose derived regenerative cells (UA-ADRCs), fraction 2 of plasma rich in growth factors (PRGF-2), and an osteoinductive scaffold (OIS) is superior to the combination of PRGF-2 and the same OIS alone. Due to the fact that preliminary data were not available, the present study tested the null hypothesis that the combination of UA-ADRCs, PRGF-2, and an OIS in GBR-MSA is not more effective than the combination of PRGF-2 and the same OIS alone.</w:t>
      </w:r>
    </w:p>
    <w:p w:rsidR="003065D2" w:rsidRPr="00084277" w:rsidRDefault="003065D2" w:rsidP="003065D2">
      <w:pPr>
        <w:adjustRightInd w:val="0"/>
        <w:snapToGrid w:val="0"/>
        <w:spacing w:line="360" w:lineRule="auto"/>
        <w:rPr>
          <w:rFonts w:ascii="Book Antiqua" w:hAnsi="Book Antiqua"/>
          <w:b/>
          <w:sz w:val="24"/>
          <w:szCs w:val="24"/>
        </w:rPr>
      </w:pPr>
    </w:p>
    <w:p w:rsidR="003065D2" w:rsidRPr="00084277" w:rsidRDefault="003065D2" w:rsidP="003065D2">
      <w:pPr>
        <w:shd w:val="clear" w:color="auto" w:fill="FFFFFF"/>
        <w:adjustRightInd w:val="0"/>
        <w:snapToGrid w:val="0"/>
        <w:spacing w:line="360" w:lineRule="auto"/>
        <w:textAlignment w:val="baseline"/>
        <w:rPr>
          <w:rFonts w:ascii="Book Antiqua" w:hAnsi="Book Antiqua"/>
          <w:b/>
          <w:sz w:val="24"/>
          <w:szCs w:val="24"/>
        </w:rPr>
      </w:pPr>
      <w:r w:rsidRPr="00084277">
        <w:rPr>
          <w:rFonts w:ascii="Book Antiqua" w:hAnsi="Book Antiqua"/>
          <w:b/>
          <w:sz w:val="24"/>
          <w:szCs w:val="24"/>
        </w:rPr>
        <w:t>CASE PRESENTATION</w:t>
      </w:r>
    </w:p>
    <w:p w:rsidR="003065D2" w:rsidRPr="00084277" w:rsidRDefault="003065D2" w:rsidP="003065D2">
      <w:pPr>
        <w:adjustRightInd w:val="0"/>
        <w:snapToGrid w:val="0"/>
        <w:spacing w:line="360" w:lineRule="auto"/>
        <w:rPr>
          <w:rFonts w:ascii="Book Antiqua" w:hAnsi="Book Antiqua"/>
          <w:b/>
          <w:i/>
          <w:sz w:val="24"/>
          <w:szCs w:val="24"/>
        </w:rPr>
      </w:pPr>
      <w:r w:rsidRPr="00084277">
        <w:rPr>
          <w:rFonts w:ascii="Book Antiqua" w:hAnsi="Book Antiqua"/>
          <w:b/>
          <w:i/>
          <w:sz w:val="24"/>
          <w:szCs w:val="24"/>
        </w:rPr>
        <w:t>Chief complaints</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A 79-year-old male patient presented with a partly failing maxillary dentition to the clinic of the principal investigator who specialized in periodontology and implant dentistry. The patient reported that his major concern was a functional occlusion resulting in restoration of an aesthetic smile.</w:t>
      </w:r>
    </w:p>
    <w:p w:rsidR="003065D2" w:rsidRPr="00084277" w:rsidRDefault="003065D2" w:rsidP="003065D2">
      <w:pPr>
        <w:adjustRightInd w:val="0"/>
        <w:snapToGrid w:val="0"/>
        <w:spacing w:line="360" w:lineRule="auto"/>
        <w:rPr>
          <w:rFonts w:ascii="Book Antiqua" w:hAnsi="Book Antiqua"/>
          <w:i/>
          <w:sz w:val="24"/>
          <w:szCs w:val="24"/>
        </w:rPr>
      </w:pPr>
    </w:p>
    <w:p w:rsidR="003065D2" w:rsidRPr="00084277" w:rsidRDefault="003065D2" w:rsidP="003065D2">
      <w:pPr>
        <w:adjustRightInd w:val="0"/>
        <w:snapToGrid w:val="0"/>
        <w:spacing w:line="360" w:lineRule="auto"/>
        <w:rPr>
          <w:rFonts w:ascii="Book Antiqua" w:hAnsi="Book Antiqua"/>
          <w:b/>
          <w:i/>
          <w:sz w:val="24"/>
          <w:szCs w:val="24"/>
        </w:rPr>
      </w:pPr>
      <w:r w:rsidRPr="00084277">
        <w:rPr>
          <w:rFonts w:ascii="Book Antiqua" w:hAnsi="Book Antiqua"/>
          <w:b/>
          <w:i/>
          <w:sz w:val="24"/>
          <w:szCs w:val="24"/>
        </w:rPr>
        <w:t>History of present illness</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The patient reported extensive restorative treatment in the past as well as </w:t>
      </w:r>
      <w:bookmarkStart w:id="163" w:name="_Hlk530961734"/>
      <w:r w:rsidRPr="00084277">
        <w:rPr>
          <w:rFonts w:ascii="Book Antiqua" w:hAnsi="Book Antiqua"/>
          <w:sz w:val="24"/>
          <w:szCs w:val="24"/>
        </w:rPr>
        <w:t>the loss of several premolar and molar teeth</w:t>
      </w:r>
      <w:bookmarkEnd w:id="163"/>
      <w:r w:rsidRPr="00084277">
        <w:rPr>
          <w:rFonts w:ascii="Book Antiqua" w:hAnsi="Book Antiqua"/>
          <w:sz w:val="24"/>
          <w:szCs w:val="24"/>
        </w:rPr>
        <w:t>.</w:t>
      </w:r>
    </w:p>
    <w:p w:rsidR="003065D2" w:rsidRPr="00084277" w:rsidRDefault="003065D2" w:rsidP="003065D2">
      <w:pPr>
        <w:adjustRightInd w:val="0"/>
        <w:snapToGrid w:val="0"/>
        <w:spacing w:line="360" w:lineRule="auto"/>
        <w:rPr>
          <w:rFonts w:ascii="Book Antiqua" w:hAnsi="Book Antiqua"/>
          <w:i/>
          <w:sz w:val="24"/>
          <w:szCs w:val="24"/>
        </w:rPr>
      </w:pPr>
    </w:p>
    <w:p w:rsidR="003065D2" w:rsidRPr="00084277" w:rsidRDefault="003065D2" w:rsidP="003065D2">
      <w:pPr>
        <w:adjustRightInd w:val="0"/>
        <w:snapToGrid w:val="0"/>
        <w:spacing w:line="360" w:lineRule="auto"/>
        <w:rPr>
          <w:rFonts w:ascii="Book Antiqua" w:hAnsi="Book Antiqua"/>
          <w:b/>
          <w:i/>
          <w:sz w:val="24"/>
          <w:szCs w:val="24"/>
        </w:rPr>
      </w:pPr>
      <w:r w:rsidRPr="00084277">
        <w:rPr>
          <w:rFonts w:ascii="Book Antiqua" w:hAnsi="Book Antiqua"/>
          <w:b/>
          <w:i/>
          <w:sz w:val="24"/>
          <w:szCs w:val="24"/>
        </w:rPr>
        <w:t>History of past illness</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No specific past illness was reported that was directly related to the present illness. However, the patient reported reduced oral hygiene in the past, including lack of supragingival plaque control and limited motivation for oral hygiene.</w:t>
      </w:r>
    </w:p>
    <w:p w:rsidR="003065D2" w:rsidRPr="00084277" w:rsidRDefault="003065D2" w:rsidP="003065D2">
      <w:pPr>
        <w:adjustRightInd w:val="0"/>
        <w:snapToGrid w:val="0"/>
        <w:spacing w:line="360" w:lineRule="auto"/>
        <w:rPr>
          <w:rFonts w:ascii="Book Antiqua" w:hAnsi="Book Antiqua"/>
          <w:sz w:val="24"/>
          <w:szCs w:val="24"/>
        </w:rPr>
      </w:pPr>
    </w:p>
    <w:p w:rsidR="003065D2" w:rsidRPr="00084277" w:rsidRDefault="003065D2" w:rsidP="003065D2">
      <w:pPr>
        <w:adjustRightInd w:val="0"/>
        <w:snapToGrid w:val="0"/>
        <w:spacing w:line="360" w:lineRule="auto"/>
        <w:rPr>
          <w:rFonts w:ascii="Book Antiqua" w:hAnsi="Book Antiqua"/>
          <w:b/>
          <w:i/>
          <w:sz w:val="24"/>
          <w:szCs w:val="24"/>
        </w:rPr>
      </w:pPr>
      <w:r w:rsidRPr="00084277">
        <w:rPr>
          <w:rFonts w:ascii="Book Antiqua" w:hAnsi="Book Antiqua"/>
          <w:b/>
          <w:i/>
          <w:sz w:val="24"/>
          <w:szCs w:val="24"/>
        </w:rPr>
        <w:t>Personal and family history</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No specific personal and family history was reported that was directly related to the present illness.</w:t>
      </w:r>
    </w:p>
    <w:p w:rsidR="003065D2" w:rsidRPr="00084277" w:rsidRDefault="003065D2" w:rsidP="003065D2">
      <w:pPr>
        <w:adjustRightInd w:val="0"/>
        <w:snapToGrid w:val="0"/>
        <w:spacing w:line="360" w:lineRule="auto"/>
        <w:rPr>
          <w:rFonts w:ascii="Book Antiqua" w:hAnsi="Book Antiqua"/>
          <w:i/>
          <w:sz w:val="24"/>
          <w:szCs w:val="24"/>
        </w:rPr>
      </w:pPr>
    </w:p>
    <w:p w:rsidR="003065D2" w:rsidRPr="00084277" w:rsidRDefault="003065D2" w:rsidP="003065D2">
      <w:pPr>
        <w:adjustRightInd w:val="0"/>
        <w:snapToGrid w:val="0"/>
        <w:spacing w:line="360" w:lineRule="auto"/>
        <w:rPr>
          <w:rFonts w:ascii="Book Antiqua" w:hAnsi="Book Antiqua"/>
          <w:b/>
          <w:i/>
          <w:sz w:val="24"/>
          <w:szCs w:val="24"/>
        </w:rPr>
      </w:pPr>
      <w:r w:rsidRPr="00084277">
        <w:rPr>
          <w:rFonts w:ascii="Book Antiqua" w:hAnsi="Book Antiqua"/>
          <w:b/>
          <w:i/>
          <w:sz w:val="24"/>
          <w:szCs w:val="24"/>
        </w:rPr>
        <w:t>Physical examination upon admission</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The clinical examination upon admission revealed a reduced vertical dimension of occlusion and loss of several premolar and molar teeth. Furthermore, advanced periodontal defects were present around several teeth in the anterior maxilla as well as around maxillary and mandibular molar teeth. Most of the remaining maxillary teeth had a guarded to hopeless prognosis.</w:t>
      </w:r>
    </w:p>
    <w:p w:rsidR="003065D2" w:rsidRPr="00084277" w:rsidRDefault="003065D2" w:rsidP="003065D2">
      <w:pPr>
        <w:adjustRightInd w:val="0"/>
        <w:snapToGrid w:val="0"/>
        <w:spacing w:line="360" w:lineRule="auto"/>
        <w:rPr>
          <w:rFonts w:ascii="Book Antiqua" w:hAnsi="Book Antiqua"/>
          <w:i/>
          <w:sz w:val="24"/>
          <w:szCs w:val="24"/>
        </w:rPr>
      </w:pPr>
    </w:p>
    <w:p w:rsidR="003065D2" w:rsidRPr="00084277" w:rsidRDefault="003065D2" w:rsidP="003065D2">
      <w:pPr>
        <w:adjustRightInd w:val="0"/>
        <w:snapToGrid w:val="0"/>
        <w:spacing w:line="360" w:lineRule="auto"/>
        <w:rPr>
          <w:rFonts w:ascii="Book Antiqua" w:hAnsi="Book Antiqua"/>
          <w:b/>
          <w:i/>
          <w:sz w:val="24"/>
          <w:szCs w:val="24"/>
        </w:rPr>
      </w:pPr>
      <w:r w:rsidRPr="00084277">
        <w:rPr>
          <w:rFonts w:ascii="Book Antiqua" w:hAnsi="Book Antiqua"/>
          <w:b/>
          <w:i/>
          <w:sz w:val="24"/>
          <w:szCs w:val="24"/>
        </w:rPr>
        <w:t>Laboratory examinations</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lastRenderedPageBreak/>
        <w:t>No laboratory examinations were performed upon admission.</w:t>
      </w:r>
    </w:p>
    <w:p w:rsidR="003065D2" w:rsidRPr="00084277" w:rsidRDefault="003065D2" w:rsidP="003065D2">
      <w:pPr>
        <w:adjustRightInd w:val="0"/>
        <w:snapToGrid w:val="0"/>
        <w:spacing w:line="360" w:lineRule="auto"/>
        <w:rPr>
          <w:rFonts w:ascii="Book Antiqua" w:hAnsi="Book Antiqua"/>
          <w:i/>
          <w:sz w:val="24"/>
          <w:szCs w:val="24"/>
        </w:rPr>
      </w:pPr>
    </w:p>
    <w:p w:rsidR="003065D2" w:rsidRPr="00084277" w:rsidRDefault="003065D2" w:rsidP="003065D2">
      <w:pPr>
        <w:adjustRightInd w:val="0"/>
        <w:snapToGrid w:val="0"/>
        <w:spacing w:line="360" w:lineRule="auto"/>
        <w:rPr>
          <w:rFonts w:ascii="Book Antiqua" w:hAnsi="Book Antiqua"/>
          <w:b/>
          <w:i/>
          <w:sz w:val="24"/>
          <w:szCs w:val="24"/>
        </w:rPr>
      </w:pPr>
      <w:r w:rsidRPr="00084277">
        <w:rPr>
          <w:rFonts w:ascii="Book Antiqua" w:hAnsi="Book Antiqua"/>
          <w:b/>
          <w:i/>
          <w:sz w:val="24"/>
          <w:szCs w:val="24"/>
        </w:rPr>
        <w:t>Imaging examinations</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A panoramic radiograph was performed upon admission (</w:t>
      </w:r>
      <w:r w:rsidRPr="00084277">
        <w:rPr>
          <w:rFonts w:ascii="Book Antiqua" w:hAnsi="Book Antiqua"/>
          <w:i/>
          <w:sz w:val="24"/>
          <w:szCs w:val="24"/>
        </w:rPr>
        <w:t>i.e.</w:t>
      </w:r>
      <w:r w:rsidRPr="00084277">
        <w:rPr>
          <w:rFonts w:ascii="Book Antiqua" w:hAnsi="Book Antiqua"/>
          <w:sz w:val="24"/>
          <w:szCs w:val="24"/>
        </w:rPr>
        <w:t>, at time point T0; the time course of the present study is summarized in Table 1) showed the loss of several premolar and molar teeth and revealed that</w:t>
      </w:r>
      <w:bookmarkStart w:id="164" w:name="_Hlk530962272"/>
      <w:r w:rsidRPr="00084277">
        <w:rPr>
          <w:rFonts w:ascii="Book Antiqua" w:hAnsi="Book Antiqua"/>
          <w:sz w:val="24"/>
          <w:szCs w:val="24"/>
        </w:rPr>
        <w:t xml:space="preserve"> the residual bone height of the edentulous posterior maxilla below the antrum and the ridge crest was less than 3 mm on both sides (Class D according to</w:t>
      </w:r>
      <w:r w:rsidRPr="00084277">
        <w:rPr>
          <w:rFonts w:ascii="Book Antiqua" w:hAnsi="Book Antiqua"/>
          <w:sz w:val="24"/>
          <w:szCs w:val="24"/>
          <w:vertAlign w:val="superscript"/>
        </w:rPr>
        <w:t>[32]</w:t>
      </w:r>
      <w:r w:rsidRPr="00084277">
        <w:rPr>
          <w:rFonts w:ascii="Book Antiqua" w:hAnsi="Book Antiqua"/>
          <w:sz w:val="24"/>
          <w:szCs w:val="24"/>
        </w:rPr>
        <w:t xml:space="preserve">) (Figure 1). </w:t>
      </w:r>
    </w:p>
    <w:bookmarkEnd w:id="164"/>
    <w:p w:rsidR="003065D2" w:rsidRPr="00084277" w:rsidRDefault="003065D2" w:rsidP="003065D2">
      <w:pPr>
        <w:adjustRightInd w:val="0"/>
        <w:snapToGrid w:val="0"/>
        <w:spacing w:line="360" w:lineRule="auto"/>
        <w:rPr>
          <w:rFonts w:ascii="Book Antiqua" w:hAnsi="Book Antiqua"/>
          <w:i/>
          <w:sz w:val="24"/>
          <w:szCs w:val="24"/>
        </w:rPr>
      </w:pPr>
    </w:p>
    <w:p w:rsidR="003065D2" w:rsidRPr="00084277" w:rsidRDefault="003065D2" w:rsidP="003065D2">
      <w:pPr>
        <w:adjustRightInd w:val="0"/>
        <w:snapToGrid w:val="0"/>
        <w:spacing w:line="360" w:lineRule="auto"/>
        <w:rPr>
          <w:rFonts w:ascii="Book Antiqua" w:hAnsi="Book Antiqua"/>
          <w:b/>
          <w:sz w:val="24"/>
          <w:szCs w:val="24"/>
          <w:shd w:val="clear" w:color="auto" w:fill="FFFFFF"/>
        </w:rPr>
      </w:pPr>
      <w:r w:rsidRPr="00084277">
        <w:rPr>
          <w:rFonts w:ascii="Book Antiqua" w:hAnsi="Book Antiqua"/>
          <w:b/>
          <w:sz w:val="24"/>
          <w:szCs w:val="24"/>
          <w:shd w:val="clear" w:color="auto" w:fill="FFFFFF"/>
        </w:rPr>
        <w:t>MULTIDISCIPLINARY EXPERT CONSULTATION</w:t>
      </w:r>
    </w:p>
    <w:p w:rsidR="003065D2" w:rsidRPr="00084277" w:rsidRDefault="003065D2" w:rsidP="003065D2">
      <w:pPr>
        <w:adjustRightInd w:val="0"/>
        <w:snapToGrid w:val="0"/>
        <w:spacing w:line="360" w:lineRule="auto"/>
        <w:rPr>
          <w:rFonts w:ascii="Book Antiqua" w:hAnsi="Book Antiqua"/>
          <w:b/>
          <w:i/>
          <w:sz w:val="24"/>
          <w:szCs w:val="24"/>
        </w:rPr>
      </w:pPr>
      <w:r w:rsidRPr="00084277">
        <w:rPr>
          <w:rFonts w:ascii="Book Antiqua" w:hAnsi="Book Antiqua"/>
          <w:b/>
          <w:i/>
          <w:sz w:val="24"/>
          <w:szCs w:val="24"/>
        </w:rPr>
        <w:t>Önder Solakoglu, DDS, Head of the Clinic for Periodontology and Implantology (Hamburg, Germany)</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The residual bone height of the edentulous posterior maxilla as well as of the alveolar bone crest height around the remaining maxillary teeth did not justify immediate implant placement. Therefore, extensive bone augmentation procedures (GBR-MSA) were necessary prior to implant placement. According to the literature, residual bone height of the edentulous posterior maxilla below the antrum and the ridge crest of less than 3 mm shall be treated with a lateral approach involving a bone grafting material and delayed implant placement</w:t>
      </w:r>
      <w:r w:rsidRPr="00084277">
        <w:rPr>
          <w:rFonts w:ascii="Book Antiqua" w:hAnsi="Book Antiqua"/>
          <w:sz w:val="24"/>
          <w:szCs w:val="24"/>
          <w:vertAlign w:val="superscript"/>
        </w:rPr>
        <w:t>[33]</w:t>
      </w:r>
      <w:r w:rsidRPr="00084277">
        <w:rPr>
          <w:rFonts w:ascii="Book Antiqua" w:hAnsi="Book Antiqua"/>
          <w:sz w:val="24"/>
          <w:szCs w:val="24"/>
        </w:rPr>
        <w:t xml:space="preserve">.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To date, the combination of PRGF-2 instead of PRP and an OIS appears to be the most advanced procedure for GBR-MSA. This is due to the fact that a recent experimental study on rats showed that PRGF-2 has more availability for bone regeneration than PRP</w:t>
      </w:r>
      <w:r w:rsidRPr="00084277">
        <w:rPr>
          <w:rFonts w:ascii="Book Antiqua" w:hAnsi="Book Antiqua"/>
          <w:sz w:val="24"/>
          <w:szCs w:val="24"/>
          <w:vertAlign w:val="superscript"/>
        </w:rPr>
        <w:t>[34]</w:t>
      </w:r>
      <w:r w:rsidRPr="00084277">
        <w:rPr>
          <w:rFonts w:ascii="Book Antiqua" w:hAnsi="Book Antiqua"/>
          <w:sz w:val="24"/>
          <w:szCs w:val="24"/>
        </w:rPr>
        <w:t>. The use of a combination of PRGF-2 (prepared using the PRGF-Endoret technology; BTI, Miñano, Spain) and a mineralized cancellous bone particulate allograft (MCBPA) (Puros Cancellous Particulate Allograft; Zimmer Biomet Dental, Palm Beach Gardens, FL, United States) is the current standard procedure for GBR-MSA at the Clinic for Periodontology and Implantology (Hamburg, Germany).</w:t>
      </w:r>
    </w:p>
    <w:p w:rsidR="003065D2" w:rsidRPr="00084277" w:rsidRDefault="003065D2" w:rsidP="003065D2">
      <w:pPr>
        <w:adjustRightInd w:val="0"/>
        <w:snapToGrid w:val="0"/>
        <w:spacing w:line="360" w:lineRule="auto"/>
        <w:rPr>
          <w:rFonts w:ascii="Book Antiqua" w:hAnsi="Book Antiqua"/>
          <w:b/>
          <w:i/>
          <w:sz w:val="24"/>
          <w:szCs w:val="24"/>
        </w:rPr>
      </w:pP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i/>
          <w:sz w:val="24"/>
          <w:szCs w:val="24"/>
        </w:rPr>
        <w:t xml:space="preserve">Eckhard U. Alt, MD, PhD, Professor, Chairman of the Board of InGeneron </w:t>
      </w:r>
      <w:r w:rsidRPr="00084277">
        <w:rPr>
          <w:rFonts w:ascii="Book Antiqua" w:hAnsi="Book Antiqua"/>
          <w:b/>
          <w:i/>
          <w:sz w:val="24"/>
          <w:szCs w:val="24"/>
        </w:rPr>
        <w:lastRenderedPageBreak/>
        <w:t>(Houston, TX, United States) and of Isar Klinikum (Munich, Germany)</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It appears feasible to further improve GBR-MSA by the application of stem cells (for recent reviews on the use of stem cells in regenerative dentistry</w:t>
      </w:r>
      <w:r w:rsidRPr="00084277">
        <w:rPr>
          <w:rFonts w:ascii="Book Antiqua" w:hAnsi="Book Antiqua"/>
          <w:sz w:val="24"/>
          <w:szCs w:val="24"/>
          <w:vertAlign w:val="superscript"/>
        </w:rPr>
        <w:t>[35-37]</w:t>
      </w:r>
      <w:r w:rsidRPr="00084277">
        <w:rPr>
          <w:rFonts w:ascii="Book Antiqua" w:hAnsi="Book Antiqua"/>
          <w:sz w:val="24"/>
          <w:szCs w:val="24"/>
        </w:rPr>
        <w:t>). Among the different types of mesenchymal stem cells, cells derived from adipose tissue (either freshly isolated or culture-expanded) have emerged as a promising tool for GBR</w:t>
      </w:r>
      <w:r w:rsidRPr="00084277">
        <w:rPr>
          <w:rFonts w:ascii="Book Antiqua" w:hAnsi="Book Antiqua"/>
          <w:sz w:val="24"/>
          <w:szCs w:val="24"/>
          <w:vertAlign w:val="superscript"/>
        </w:rPr>
        <w:t>[4,38,39]</w:t>
      </w:r>
      <w:r w:rsidRPr="00084277">
        <w:rPr>
          <w:rFonts w:ascii="Book Antiqua" w:hAnsi="Book Antiqua"/>
          <w:sz w:val="24"/>
          <w:szCs w:val="24"/>
        </w:rPr>
        <w:t>. The freshly isolated cells are named stromal vascular fraction or ADRCs, and the cultured cells are named adipose-derived stem cells (ASCs). It should be mentioned that some studies on animal models suggested that bone marrow stem cells (BMSCs) may demonstrate greater differentiation into osteoblasts than ADRCs and ASCs</w:t>
      </w:r>
      <w:r w:rsidRPr="00084277">
        <w:rPr>
          <w:rFonts w:ascii="Book Antiqua" w:hAnsi="Book Antiqua"/>
          <w:sz w:val="24"/>
          <w:szCs w:val="24"/>
          <w:vertAlign w:val="superscript"/>
        </w:rPr>
        <w:t xml:space="preserve">[40,41] </w:t>
      </w:r>
      <w:r w:rsidRPr="00084277">
        <w:rPr>
          <w:rFonts w:ascii="Book Antiqua" w:hAnsi="Book Antiqua"/>
          <w:sz w:val="24"/>
          <w:szCs w:val="24"/>
        </w:rPr>
        <w:t>and might be more useful than ADRCs or ASCs in GBR-MSA</w:t>
      </w:r>
      <w:r w:rsidRPr="00084277">
        <w:rPr>
          <w:rFonts w:ascii="Book Antiqua" w:hAnsi="Book Antiqua"/>
          <w:sz w:val="24"/>
          <w:szCs w:val="24"/>
          <w:vertAlign w:val="superscript"/>
        </w:rPr>
        <w:t>[42]</w:t>
      </w:r>
      <w:r w:rsidRPr="00084277">
        <w:rPr>
          <w:rFonts w:ascii="Book Antiqua" w:hAnsi="Book Antiqua"/>
          <w:sz w:val="24"/>
          <w:szCs w:val="24"/>
        </w:rPr>
        <w:t xml:space="preserve">. However, bone marrow has a significantly lower stem cell density than adipose tissue (0.01% </w:t>
      </w:r>
      <w:r w:rsidRPr="00084277">
        <w:rPr>
          <w:rFonts w:ascii="Book Antiqua" w:hAnsi="Book Antiqua"/>
          <w:i/>
          <w:sz w:val="24"/>
          <w:szCs w:val="24"/>
        </w:rPr>
        <w:t>vs</w:t>
      </w:r>
      <w:r w:rsidRPr="00084277">
        <w:rPr>
          <w:rFonts w:ascii="Book Antiqua" w:hAnsi="Book Antiqua"/>
          <w:sz w:val="24"/>
          <w:szCs w:val="24"/>
        </w:rPr>
        <w:t xml:space="preserve"> 5%), and harvesting adipose tissue is much less painful than harvesting bone marrow because the former is less invasive than the latter</w:t>
      </w:r>
      <w:r w:rsidRPr="00084277">
        <w:rPr>
          <w:rFonts w:ascii="Book Antiqua" w:hAnsi="Book Antiqua"/>
          <w:sz w:val="24"/>
          <w:szCs w:val="24"/>
          <w:vertAlign w:val="superscript"/>
        </w:rPr>
        <w:t>[43-45]</w:t>
      </w:r>
      <w:r w:rsidRPr="00084277">
        <w:rPr>
          <w:rFonts w:ascii="Book Antiqua" w:hAnsi="Book Antiqua"/>
          <w:sz w:val="24"/>
          <w:szCs w:val="24"/>
        </w:rPr>
        <w:t>. Furthermore, focusing exclusively on the potential to differentiate into osteoblasts would fail to take into account the known effect of indirect stimulation of bone regeneration by ADRCs and ASCs, which led to the same amount of measured regenerated bone volume after 6 wk in a study that compared the bone regeneration effect of BMSCs and ASCs in a rabbit craniectomy model</w:t>
      </w:r>
      <w:r w:rsidRPr="00084277">
        <w:rPr>
          <w:rFonts w:ascii="Book Antiqua" w:hAnsi="Book Antiqua"/>
          <w:sz w:val="24"/>
          <w:szCs w:val="24"/>
          <w:vertAlign w:val="superscript"/>
        </w:rPr>
        <w:t>[40]</w:t>
      </w:r>
      <w:r w:rsidRPr="00084277">
        <w:rPr>
          <w:rFonts w:ascii="Book Antiqua" w:hAnsi="Book Antiqua"/>
          <w:sz w:val="24"/>
          <w:szCs w:val="24"/>
        </w:rPr>
        <w:t>.</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Furthermore, several studies demonstrated that the combination of ADRCs or ASCs with an OIS is a more effective strategy for GBR than the use of an OIS alone (reviewed in</w:t>
      </w:r>
      <w:r w:rsidRPr="00084277">
        <w:rPr>
          <w:rFonts w:ascii="Book Antiqua" w:hAnsi="Book Antiqua"/>
          <w:sz w:val="24"/>
          <w:szCs w:val="24"/>
          <w:vertAlign w:val="superscript"/>
        </w:rPr>
        <w:t>[46-48]</w:t>
      </w:r>
      <w:r w:rsidRPr="00084277">
        <w:rPr>
          <w:rFonts w:ascii="Book Antiqua" w:hAnsi="Book Antiqua"/>
          <w:sz w:val="24"/>
          <w:szCs w:val="24"/>
        </w:rPr>
        <w:t>). Moreover, it was hypothesized that the application of ADRCs or ASCs in combination with an OIS and osteogenic/angiogenic growth factors may help to optimize clinical procedures</w:t>
      </w:r>
      <w:r w:rsidRPr="00084277">
        <w:rPr>
          <w:rFonts w:ascii="Book Antiqua" w:hAnsi="Book Antiqua"/>
          <w:sz w:val="24"/>
          <w:szCs w:val="24"/>
          <w:vertAlign w:val="superscript"/>
        </w:rPr>
        <w:t>[46]</w:t>
      </w:r>
      <w:r w:rsidRPr="00084277">
        <w:rPr>
          <w:rFonts w:ascii="Book Antiqua" w:hAnsi="Book Antiqua"/>
          <w:sz w:val="24"/>
          <w:szCs w:val="24"/>
        </w:rPr>
        <w:t>. In this regard the following must be kept in mind: (1) Compared to cultured and potentially modified ASCs, freshly isolated, unmodified ADRCs have the advantage of lower safety requirements because it is not necessary to culture and/or modify the cells; (2) Several non-enzymatic and enzymatic systems for isolating ADRCs were developed (reviewed in</w:t>
      </w:r>
      <w:r w:rsidRPr="00084277">
        <w:rPr>
          <w:rFonts w:ascii="Book Antiqua" w:hAnsi="Book Antiqua"/>
          <w:sz w:val="24"/>
          <w:szCs w:val="24"/>
          <w:vertAlign w:val="superscript"/>
        </w:rPr>
        <w:t>[49]</w:t>
      </w:r>
      <w:r w:rsidRPr="00084277">
        <w:rPr>
          <w:rFonts w:ascii="Book Antiqua" w:hAnsi="Book Antiqua"/>
          <w:sz w:val="24"/>
          <w:szCs w:val="24"/>
        </w:rPr>
        <w:t>) and reported that cell yield may vary considerably</w:t>
      </w:r>
      <w:r w:rsidRPr="00084277">
        <w:rPr>
          <w:rFonts w:ascii="Book Antiqua" w:hAnsi="Book Antiqua"/>
          <w:sz w:val="24"/>
          <w:szCs w:val="24"/>
          <w:vertAlign w:val="superscript"/>
        </w:rPr>
        <w:t>[50]</w:t>
      </w:r>
      <w:r w:rsidRPr="00084277">
        <w:rPr>
          <w:rFonts w:ascii="Book Antiqua" w:hAnsi="Book Antiqua"/>
          <w:sz w:val="24"/>
          <w:szCs w:val="24"/>
        </w:rPr>
        <w:t xml:space="preserve">. Moreover, it was shown that in general, non-enzymatic isolation of ADRCs </w:t>
      </w:r>
      <w:r w:rsidRPr="00084277">
        <w:rPr>
          <w:rFonts w:ascii="Book Antiqua" w:hAnsi="Book Antiqua"/>
          <w:sz w:val="24"/>
          <w:szCs w:val="24"/>
        </w:rPr>
        <w:lastRenderedPageBreak/>
        <w:t>yielded fewer cells than enzymatic (mechanical) isolation</w:t>
      </w:r>
      <w:r w:rsidRPr="00084277">
        <w:rPr>
          <w:rFonts w:ascii="Book Antiqua" w:hAnsi="Book Antiqua"/>
          <w:sz w:val="24"/>
          <w:szCs w:val="24"/>
          <w:vertAlign w:val="superscript"/>
        </w:rPr>
        <w:t>[51,52]</w:t>
      </w:r>
      <w:r w:rsidRPr="00084277">
        <w:rPr>
          <w:rFonts w:ascii="Book Antiqua" w:hAnsi="Book Antiqua"/>
          <w:sz w:val="24"/>
          <w:szCs w:val="24"/>
        </w:rPr>
        <w:t>. To our knowledge, the greatest difference in cell yield between enzymatic and non-enzymatic isolation of ADRCs was reported for the Transpose RT system and the proprietary Matrase Reagent (both from InGeneron, Inc., Houston, TX, United States)</w:t>
      </w:r>
      <w:r w:rsidRPr="00084277">
        <w:rPr>
          <w:rFonts w:ascii="Book Antiqua" w:hAnsi="Book Antiqua"/>
          <w:sz w:val="24"/>
          <w:szCs w:val="24"/>
          <w:vertAlign w:val="superscript"/>
        </w:rPr>
        <w:t>[53]</w:t>
      </w:r>
      <w:r w:rsidRPr="00084277">
        <w:rPr>
          <w:rFonts w:ascii="Book Antiqua" w:hAnsi="Book Antiqua"/>
          <w:sz w:val="24"/>
          <w:szCs w:val="24"/>
        </w:rPr>
        <w:t xml:space="preserve"> (this study is discussed in detail below); and (3) Some clinical studies on cell-based therapies reported the production of donor-specific antibodies after application of allogeneic cells</w:t>
      </w:r>
      <w:r w:rsidRPr="00084277">
        <w:rPr>
          <w:rFonts w:ascii="Book Antiqua" w:hAnsi="Book Antiqua"/>
          <w:sz w:val="24"/>
          <w:szCs w:val="24"/>
          <w:vertAlign w:val="superscript"/>
        </w:rPr>
        <w:t>[54,55]</w:t>
      </w:r>
      <w:r w:rsidRPr="00084277">
        <w:rPr>
          <w:rFonts w:ascii="Book Antiqua" w:hAnsi="Book Antiqua"/>
          <w:sz w:val="24"/>
          <w:szCs w:val="24"/>
        </w:rPr>
        <w:t xml:space="preserve">. This is not the case when using autologous cells.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In summary, the combination of enzymatically isolated, UA-ADRCs with PRGF-2 and an OIS may be optimal for GBR-MSA. </w:t>
      </w:r>
    </w:p>
    <w:p w:rsidR="003065D2" w:rsidRPr="00084277" w:rsidRDefault="003065D2" w:rsidP="003065D2">
      <w:pPr>
        <w:adjustRightInd w:val="0"/>
        <w:snapToGrid w:val="0"/>
        <w:spacing w:line="360" w:lineRule="auto"/>
        <w:rPr>
          <w:rFonts w:ascii="Book Antiqua" w:hAnsi="Book Antiqua"/>
          <w:sz w:val="24"/>
          <w:szCs w:val="24"/>
        </w:rPr>
      </w:pPr>
    </w:p>
    <w:p w:rsidR="003065D2" w:rsidRPr="00084277" w:rsidRDefault="003065D2" w:rsidP="003065D2">
      <w:pPr>
        <w:adjustRightInd w:val="0"/>
        <w:snapToGrid w:val="0"/>
        <w:spacing w:line="360" w:lineRule="auto"/>
        <w:rPr>
          <w:rFonts w:ascii="Book Antiqua" w:hAnsi="Book Antiqua"/>
          <w:b/>
          <w:i/>
          <w:sz w:val="24"/>
          <w:szCs w:val="24"/>
        </w:rPr>
      </w:pPr>
      <w:r w:rsidRPr="00084277">
        <w:rPr>
          <w:rFonts w:ascii="Book Antiqua" w:hAnsi="Book Antiqua"/>
          <w:b/>
          <w:i/>
          <w:sz w:val="24"/>
          <w:szCs w:val="24"/>
        </w:rPr>
        <w:t>Werner Götz, MD, PhD, Director of the Laboratory for Orthodontic Basic Research, University of Bonn (Bonn, Germany)</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The use of a combination of UA-ADRCs, PRGF-2, and an OIS appears promising but has not yet been reported in GBR-MSA or in guided bone regeneration in general. Thus, it is justified to test this combination in a first-in-human, split-mouth single case study. Furthermore, it is recommended to perform comprehensive histologic, histomorphometric, and immunohistochemical analysis of biopsies of the newly formed bone collected at different time points after GBR-MSA.</w:t>
      </w:r>
    </w:p>
    <w:p w:rsidR="003065D2" w:rsidRPr="00084277" w:rsidRDefault="003065D2" w:rsidP="003065D2">
      <w:pPr>
        <w:adjustRightInd w:val="0"/>
        <w:snapToGrid w:val="0"/>
        <w:spacing w:line="360" w:lineRule="auto"/>
        <w:rPr>
          <w:rFonts w:ascii="Book Antiqua" w:hAnsi="Book Antiqua"/>
          <w:sz w:val="24"/>
          <w:szCs w:val="24"/>
        </w:rPr>
      </w:pPr>
    </w:p>
    <w:p w:rsidR="003065D2" w:rsidRPr="00084277" w:rsidRDefault="003065D2" w:rsidP="003065D2">
      <w:pPr>
        <w:adjustRightInd w:val="0"/>
        <w:snapToGrid w:val="0"/>
        <w:spacing w:line="360" w:lineRule="auto"/>
        <w:rPr>
          <w:rFonts w:ascii="Book Antiqua" w:hAnsi="Book Antiqua"/>
          <w:b/>
          <w:i/>
          <w:sz w:val="24"/>
          <w:szCs w:val="24"/>
        </w:rPr>
      </w:pPr>
      <w:r w:rsidRPr="00084277">
        <w:rPr>
          <w:rFonts w:ascii="Book Antiqua" w:hAnsi="Book Antiqua"/>
          <w:b/>
          <w:i/>
          <w:sz w:val="24"/>
          <w:szCs w:val="24"/>
        </w:rPr>
        <w:t>Christoph Schmitz, MD, PhD, Head of the Department of Neuroanatomy at LMU Munich (Munich, Germany)</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Contemporary histomorphometric analysis of bone biopsies may be insufficient to assess the significance of a combination of UA-ADRCs, PRGF-2, and an OIS in GBR-MSA because it does not provide a detailed analysis of the relative amount (area/area) of bone, allograft, fibrin and connective tissue, adipocytes, arteries, and veins in biopsies of the newly formed bone. However, the latter can be achieved with design-based stereology</w:t>
      </w:r>
      <w:r w:rsidRPr="00084277">
        <w:rPr>
          <w:rFonts w:ascii="Book Antiqua" w:hAnsi="Book Antiqua"/>
          <w:sz w:val="24"/>
          <w:szCs w:val="24"/>
          <w:vertAlign w:val="superscript"/>
        </w:rPr>
        <w:t>[56]</w:t>
      </w:r>
      <w:r w:rsidRPr="00084277">
        <w:rPr>
          <w:rFonts w:ascii="Book Antiqua" w:hAnsi="Book Antiqua"/>
          <w:sz w:val="24"/>
          <w:szCs w:val="24"/>
        </w:rPr>
        <w:t xml:space="preserve">. </w:t>
      </w:r>
    </w:p>
    <w:p w:rsidR="003065D2" w:rsidRPr="00084277" w:rsidRDefault="003065D2" w:rsidP="003065D2">
      <w:pPr>
        <w:adjustRightInd w:val="0"/>
        <w:snapToGrid w:val="0"/>
        <w:spacing w:line="360" w:lineRule="auto"/>
        <w:rPr>
          <w:rFonts w:ascii="Book Antiqua" w:hAnsi="Book Antiqua"/>
          <w:b/>
          <w:sz w:val="24"/>
          <w:szCs w:val="24"/>
        </w:rPr>
      </w:pPr>
    </w:p>
    <w:p w:rsidR="003065D2" w:rsidRPr="00084277" w:rsidRDefault="003065D2" w:rsidP="003065D2">
      <w:pPr>
        <w:adjustRightInd w:val="0"/>
        <w:snapToGrid w:val="0"/>
        <w:spacing w:line="360" w:lineRule="auto"/>
        <w:rPr>
          <w:rFonts w:ascii="Book Antiqua" w:eastAsia="DengXian" w:hAnsi="Book Antiqua"/>
          <w:b/>
          <w:sz w:val="24"/>
          <w:szCs w:val="24"/>
        </w:rPr>
      </w:pPr>
      <w:r w:rsidRPr="00084277">
        <w:rPr>
          <w:rFonts w:ascii="Book Antiqua" w:hAnsi="Book Antiqua"/>
          <w:b/>
          <w:sz w:val="24"/>
          <w:szCs w:val="24"/>
        </w:rPr>
        <w:t>FINAL DIAGNOSIS</w:t>
      </w:r>
    </w:p>
    <w:p w:rsidR="003065D2" w:rsidRPr="00084277" w:rsidRDefault="003065D2" w:rsidP="003065D2">
      <w:pPr>
        <w:adjustRightInd w:val="0"/>
        <w:snapToGrid w:val="0"/>
        <w:spacing w:line="360" w:lineRule="auto"/>
        <w:rPr>
          <w:rFonts w:ascii="Book Antiqua" w:eastAsia="DengXian" w:hAnsi="Book Antiqua"/>
          <w:sz w:val="24"/>
          <w:szCs w:val="24"/>
        </w:rPr>
      </w:pPr>
      <w:r w:rsidRPr="00084277">
        <w:rPr>
          <w:rFonts w:ascii="Book Antiqua" w:eastAsia="DengXian" w:hAnsi="Book Antiqua"/>
          <w:sz w:val="24"/>
          <w:szCs w:val="24"/>
        </w:rPr>
        <w:lastRenderedPageBreak/>
        <w:t>Loss of several premolar and molar teeth, with residual bone height of the edentulous posterior maxilla as well as of the alveolar bone crest height around the remaining maxillary teeth considered insufficient for implant placement. Justification for treatment with a novel combination of UA-ADRCs, PRGF-2, and an OIS in a first-in-human, split-mouth single case study, carefully controlled by comprehensive histologic, design-based stereologic, and immunohistochemical analysis of biopsies of the newly formed bone collected at different time points after GBR-MSA.</w:t>
      </w:r>
    </w:p>
    <w:p w:rsidR="003065D2" w:rsidRPr="00084277" w:rsidRDefault="003065D2" w:rsidP="003065D2">
      <w:pPr>
        <w:adjustRightInd w:val="0"/>
        <w:snapToGrid w:val="0"/>
        <w:spacing w:line="360" w:lineRule="auto"/>
        <w:rPr>
          <w:rFonts w:ascii="Book Antiqua" w:hAnsi="Book Antiqua"/>
          <w:b/>
          <w:sz w:val="24"/>
          <w:szCs w:val="24"/>
        </w:rPr>
      </w:pP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t>TREATMENT</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The present single-case study was approved by the ethics committee of the Federal Dental Association Hamburg (Hamburg, Germany) (no. PV5211). Written informed consent was obtained from the patient to participate in this study after verbal and written information provided by the principal investigator.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During a 4 mo pre-phase the patient’s reduced oral hygiene was significantly improved by oral hygiene advice and supragingival plaque control.</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During the first treatment, venous blood (8 </w:t>
      </w:r>
      <w:r w:rsidRPr="00084277">
        <w:rPr>
          <w:rFonts w:ascii="Book Antiqua" w:hAnsi="Book Antiqua"/>
          <w:sz w:val="24"/>
          <w:szCs w:val="24"/>
        </w:rPr>
        <w:sym w:font="Symbol" w:char="F0B4"/>
      </w:r>
      <w:r w:rsidRPr="00084277">
        <w:rPr>
          <w:rFonts w:ascii="Book Antiqua" w:hAnsi="Book Antiqua"/>
          <w:sz w:val="24"/>
          <w:szCs w:val="24"/>
        </w:rPr>
        <w:t xml:space="preserve"> 9 m</w:t>
      </w:r>
      <w:r w:rsidRPr="00084277">
        <w:rPr>
          <w:rFonts w:ascii="Book Antiqua" w:hAnsi="Book Antiqua"/>
          <w:caps/>
          <w:sz w:val="24"/>
          <w:szCs w:val="24"/>
        </w:rPr>
        <w:t>l</w:t>
      </w:r>
      <w:r w:rsidRPr="00084277">
        <w:rPr>
          <w:rFonts w:ascii="Book Antiqua" w:hAnsi="Book Antiqua"/>
          <w:sz w:val="24"/>
          <w:szCs w:val="24"/>
        </w:rPr>
        <w:t xml:space="preserve"> = 72 m</w:t>
      </w:r>
      <w:r w:rsidRPr="00084277">
        <w:rPr>
          <w:rFonts w:ascii="Book Antiqua" w:hAnsi="Book Antiqua"/>
          <w:caps/>
          <w:sz w:val="24"/>
          <w:szCs w:val="24"/>
        </w:rPr>
        <w:t>l</w:t>
      </w:r>
      <w:r w:rsidRPr="00084277">
        <w:rPr>
          <w:rFonts w:ascii="Book Antiqua" w:hAnsi="Book Antiqua"/>
          <w:sz w:val="24"/>
          <w:szCs w:val="24"/>
        </w:rPr>
        <w:t>) was withdrawn from the patient’s arm and was processed into PRGF using the PRGF-Endoret technology (BTI, Miñano, Spain) according to the manufacturer’s instructions for use. After centrifugation, PRGF-2 was collected and activated with PRGF Activator (BTI).</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Furthermore, human subcutaneous adipose tissue was obtained using liposuction. To this end, the periumbilical abdominal area was surgically disinfected. Then, local anesthesia was achieved by infiltrating the periumbilical subcutaneous adipose tissue with 150 m</w:t>
      </w:r>
      <w:r w:rsidRPr="00084277">
        <w:rPr>
          <w:rFonts w:ascii="Book Antiqua" w:hAnsi="Book Antiqua"/>
          <w:caps/>
          <w:sz w:val="24"/>
          <w:szCs w:val="24"/>
        </w:rPr>
        <w:t>l</w:t>
      </w:r>
      <w:r w:rsidRPr="00084277">
        <w:rPr>
          <w:rFonts w:ascii="Book Antiqua" w:hAnsi="Book Antiqua"/>
          <w:sz w:val="24"/>
          <w:szCs w:val="24"/>
        </w:rPr>
        <w:t xml:space="preserve"> of modified Klein tumescent solution</w:t>
      </w:r>
      <w:r w:rsidRPr="00084277">
        <w:rPr>
          <w:rFonts w:ascii="Book Antiqua" w:hAnsi="Book Antiqua"/>
          <w:sz w:val="24"/>
          <w:szCs w:val="24"/>
          <w:vertAlign w:val="superscript"/>
        </w:rPr>
        <w:t>[57]</w:t>
      </w:r>
      <w:r w:rsidRPr="00084277">
        <w:rPr>
          <w:rFonts w:ascii="Book Antiqua" w:hAnsi="Book Antiqua"/>
          <w:sz w:val="24"/>
          <w:szCs w:val="24"/>
        </w:rPr>
        <w:t>, comprising lactated Ringer solution, adrenaline (1:1000; 1 mg/m</w:t>
      </w:r>
      <w:r w:rsidRPr="00084277">
        <w:rPr>
          <w:rFonts w:ascii="Book Antiqua" w:hAnsi="Book Antiqua"/>
          <w:caps/>
          <w:sz w:val="24"/>
          <w:szCs w:val="24"/>
        </w:rPr>
        <w:t>l</w:t>
      </w:r>
      <w:r w:rsidRPr="00084277">
        <w:rPr>
          <w:rFonts w:ascii="Book Antiqua" w:hAnsi="Book Antiqua"/>
          <w:sz w:val="24"/>
          <w:szCs w:val="24"/>
        </w:rPr>
        <w:t>) and 2% lidocaine (20 mg/m</w:t>
      </w:r>
      <w:r w:rsidRPr="00084277">
        <w:rPr>
          <w:rFonts w:ascii="Book Antiqua" w:hAnsi="Book Antiqua"/>
          <w:caps/>
          <w:sz w:val="24"/>
          <w:szCs w:val="24"/>
        </w:rPr>
        <w:t>l</w:t>
      </w:r>
      <w:r w:rsidRPr="00084277">
        <w:rPr>
          <w:rFonts w:ascii="Book Antiqua" w:hAnsi="Book Antiqua"/>
          <w:sz w:val="24"/>
          <w:szCs w:val="24"/>
        </w:rPr>
        <w:t>). Fifteen minutes later a stab incision was made 15 cm lateral of the umbilicus, bilaterally. Lipoaspiration was performed using the Coleman method</w:t>
      </w:r>
      <w:r w:rsidRPr="00084277">
        <w:rPr>
          <w:rFonts w:ascii="Book Antiqua" w:hAnsi="Book Antiqua"/>
          <w:sz w:val="24"/>
          <w:szCs w:val="24"/>
          <w:vertAlign w:val="superscript"/>
        </w:rPr>
        <w:t>[58]</w:t>
      </w:r>
      <w:r w:rsidRPr="00084277">
        <w:rPr>
          <w:rFonts w:ascii="Book Antiqua" w:hAnsi="Book Antiqua"/>
          <w:sz w:val="24"/>
          <w:szCs w:val="24"/>
        </w:rPr>
        <w:t xml:space="preserve"> using a 4-hole blunt tipped cannula </w:t>
      </w:r>
      <w:r w:rsidRPr="00084277">
        <w:rPr>
          <w:rFonts w:ascii="Book Antiqua" w:hAnsi="Book Antiqua"/>
          <w:sz w:val="24"/>
          <w:szCs w:val="24"/>
        </w:rPr>
        <w:lastRenderedPageBreak/>
        <w:t xml:space="preserve">(3 mm </w:t>
      </w:r>
      <w:r w:rsidRPr="00084277">
        <w:rPr>
          <w:rFonts w:ascii="Book Antiqua" w:hAnsi="Book Antiqua"/>
          <w:sz w:val="24"/>
          <w:szCs w:val="24"/>
        </w:rPr>
        <w:sym w:font="Symbol" w:char="F0B4"/>
      </w:r>
      <w:r w:rsidRPr="00084277">
        <w:rPr>
          <w:rFonts w:ascii="Book Antiqua" w:hAnsi="Book Antiqua"/>
          <w:sz w:val="24"/>
          <w:szCs w:val="24"/>
        </w:rPr>
        <w:t xml:space="preserve"> 150 mm) (part of the LCK-15 Lipoaspiration Collection Kit; InGeneron) and a 60 cm</w:t>
      </w:r>
      <w:r w:rsidRPr="00084277">
        <w:rPr>
          <w:rFonts w:ascii="Book Antiqua" w:hAnsi="Book Antiqua"/>
          <w:sz w:val="24"/>
          <w:szCs w:val="24"/>
          <w:vertAlign w:val="superscript"/>
        </w:rPr>
        <w:t>3</w:t>
      </w:r>
      <w:r w:rsidRPr="00084277">
        <w:rPr>
          <w:rFonts w:ascii="Book Antiqua" w:hAnsi="Book Antiqua"/>
          <w:sz w:val="24"/>
          <w:szCs w:val="24"/>
        </w:rPr>
        <w:t xml:space="preserve"> Luer-Lock Toomey-Syringe (also part of the LCK-15 Kit; InGeneron). After liposuction, pressure was applied to the wounds. Then the wounds were closed using adhesive bandage strips (Leukosilk; BSN Medical GmbH, Hamburg, Germany). The lipoaspirate (100 m</w:t>
      </w:r>
      <w:r w:rsidRPr="00084277">
        <w:rPr>
          <w:rFonts w:ascii="Book Antiqua" w:hAnsi="Book Antiqua"/>
          <w:caps/>
          <w:sz w:val="24"/>
          <w:szCs w:val="24"/>
        </w:rPr>
        <w:t>l</w:t>
      </w:r>
      <w:r w:rsidRPr="00084277">
        <w:rPr>
          <w:rFonts w:ascii="Book Antiqua" w:hAnsi="Book Antiqua"/>
          <w:sz w:val="24"/>
          <w:szCs w:val="24"/>
        </w:rPr>
        <w:t>) was divided into four aliquots of 25 m</w:t>
      </w:r>
      <w:r w:rsidRPr="00084277">
        <w:rPr>
          <w:rFonts w:ascii="Book Antiqua" w:hAnsi="Book Antiqua"/>
          <w:caps/>
          <w:sz w:val="24"/>
          <w:szCs w:val="24"/>
        </w:rPr>
        <w:t>l</w:t>
      </w:r>
      <w:r w:rsidRPr="00084277">
        <w:rPr>
          <w:rFonts w:ascii="Book Antiqua" w:hAnsi="Book Antiqua"/>
          <w:sz w:val="24"/>
          <w:szCs w:val="24"/>
        </w:rPr>
        <w:t xml:space="preserve"> each. Then, all aliquots were processed using the Transpose RT system (InGeneron) for isolating UA-ADRCs from the adipose tissue. Specifically, each aliquot was incubated together with </w:t>
      </w:r>
      <w:bookmarkStart w:id="165" w:name="_Hlk513804992"/>
      <w:r w:rsidRPr="00084277">
        <w:rPr>
          <w:rFonts w:ascii="Book Antiqua" w:hAnsi="Book Antiqua"/>
          <w:sz w:val="24"/>
          <w:szCs w:val="24"/>
        </w:rPr>
        <w:t xml:space="preserve">Matrase Reagent (InGeneron) </w:t>
      </w:r>
      <w:bookmarkEnd w:id="165"/>
      <w:r w:rsidRPr="00084277">
        <w:rPr>
          <w:rFonts w:ascii="Book Antiqua" w:hAnsi="Book Antiqua"/>
          <w:sz w:val="24"/>
          <w:szCs w:val="24"/>
        </w:rPr>
        <w:t>for 1 h. The latter was performed in the processing unit under agitation at 39 °C according to the manufacturer’s instructions for use. The total procedure time was 70 min.</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Approximately 7 g (2 </w:t>
      </w:r>
      <w:r w:rsidRPr="00084277">
        <w:rPr>
          <w:rFonts w:ascii="Book Antiqua" w:hAnsi="Book Antiqua"/>
          <w:sz w:val="24"/>
          <w:szCs w:val="24"/>
        </w:rPr>
        <w:sym w:font="Symbol" w:char="F0B4"/>
      </w:r>
      <w:r w:rsidRPr="00084277">
        <w:rPr>
          <w:rFonts w:ascii="Book Antiqua" w:hAnsi="Book Antiqua"/>
          <w:sz w:val="24"/>
          <w:szCs w:val="24"/>
        </w:rPr>
        <w:t xml:space="preserve"> 2 cubic centimeters of 0.25-1.0 mm particle size and 1 x 3 cubic centimeters of 1-2 mm particle size) of Puros Cancellous Particulate Allograft (Zimmer Biomet Dental, Palm Beach Gardens, FL, United States) were rehydrated with 1.5 m</w:t>
      </w:r>
      <w:r w:rsidRPr="00084277">
        <w:rPr>
          <w:rFonts w:ascii="Book Antiqua" w:hAnsi="Book Antiqua"/>
          <w:caps/>
          <w:sz w:val="24"/>
          <w:szCs w:val="24"/>
        </w:rPr>
        <w:t>l</w:t>
      </w:r>
      <w:r w:rsidRPr="00084277">
        <w:rPr>
          <w:rFonts w:ascii="Book Antiqua" w:hAnsi="Book Antiqua"/>
          <w:sz w:val="24"/>
          <w:szCs w:val="24"/>
        </w:rPr>
        <w:t xml:space="preserve"> of PRGF-2 and a suspension of UA-ADRCs (approximately 50 × 10</w:t>
      </w:r>
      <w:r w:rsidRPr="00084277">
        <w:rPr>
          <w:rFonts w:ascii="Book Antiqua" w:hAnsi="Book Antiqua"/>
          <w:sz w:val="24"/>
          <w:szCs w:val="24"/>
          <w:vertAlign w:val="superscript"/>
        </w:rPr>
        <w:t>6</w:t>
      </w:r>
      <w:r w:rsidRPr="00084277">
        <w:rPr>
          <w:rFonts w:ascii="Book Antiqua" w:hAnsi="Book Antiqua"/>
          <w:sz w:val="24"/>
          <w:szCs w:val="24"/>
        </w:rPr>
        <w:t xml:space="preserve"> cells in 3 m</w:t>
      </w:r>
      <w:r w:rsidRPr="00084277">
        <w:rPr>
          <w:rFonts w:ascii="Book Antiqua" w:hAnsi="Book Antiqua"/>
          <w:caps/>
          <w:sz w:val="24"/>
          <w:szCs w:val="24"/>
        </w:rPr>
        <w:t>l</w:t>
      </w:r>
      <w:r w:rsidRPr="00084277">
        <w:rPr>
          <w:rFonts w:ascii="Book Antiqua" w:hAnsi="Book Antiqua"/>
          <w:sz w:val="24"/>
          <w:szCs w:val="24"/>
        </w:rPr>
        <w:t xml:space="preserve"> saline) (hereafter referred to as MCBPA/PRGF-2/UA-ADRCs). This was done within 30 min after completion of the PRGF processing and immediately after completion of isolating the UA-ADRCs (Figure 2</w:t>
      </w:r>
      <w:r w:rsidRPr="00084277">
        <w:rPr>
          <w:rFonts w:ascii="Book Antiqua" w:hAnsi="Book Antiqua"/>
          <w:caps/>
          <w:sz w:val="24"/>
          <w:szCs w:val="24"/>
        </w:rPr>
        <w:t>a</w:t>
      </w:r>
      <w:r w:rsidRPr="00084277">
        <w:rPr>
          <w:rFonts w:ascii="Book Antiqua" w:hAnsi="Book Antiqua"/>
          <w:sz w:val="24"/>
          <w:szCs w:val="24"/>
        </w:rPr>
        <w:t>). Another 7 g of the same MCBPA were rehydrated with 1.5 ml of PRGF-2 and 3 m</w:t>
      </w:r>
      <w:r w:rsidRPr="00084277">
        <w:rPr>
          <w:rFonts w:ascii="Book Antiqua" w:hAnsi="Book Antiqua"/>
          <w:caps/>
          <w:sz w:val="24"/>
          <w:szCs w:val="24"/>
        </w:rPr>
        <w:t xml:space="preserve">l </w:t>
      </w:r>
      <w:r w:rsidRPr="00084277">
        <w:rPr>
          <w:rFonts w:ascii="Book Antiqua" w:hAnsi="Book Antiqua"/>
          <w:sz w:val="24"/>
          <w:szCs w:val="24"/>
        </w:rPr>
        <w:t>of saline (hereafter referred to as MCBPA/PRGF-2/saline).</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After the patient was prepared for surgery and anesthetized </w:t>
      </w:r>
      <w:r w:rsidRPr="00084277">
        <w:rPr>
          <w:rFonts w:ascii="Book Antiqua" w:hAnsi="Book Antiqua"/>
          <w:i/>
          <w:sz w:val="24"/>
          <w:szCs w:val="24"/>
        </w:rPr>
        <w:t xml:space="preserve">via </w:t>
      </w:r>
      <w:r w:rsidRPr="00084277">
        <w:rPr>
          <w:rFonts w:ascii="Book Antiqua" w:hAnsi="Book Antiqua"/>
          <w:sz w:val="24"/>
          <w:szCs w:val="24"/>
        </w:rPr>
        <w:t>local infiltration with Ultracain-DS Forte (Sanofi-Aventis, Frankfurt/Main, Germany), the maxillary tooth 14 was extracted using a minimal traumatic approach with periotomes. Following careful extraction with special emphasis on preservation of the buccal plate of bone, the extraction sockets were examined for potential perforation and fenestration. Curettage of the extraction site was performed to remove all soft tissue debris as well as granulation tissue and to promote healing by stimulating bleeding from the osseous base. Additionally, a bilateral external sinus lift procedure using the Tatum technique</w:t>
      </w:r>
      <w:r w:rsidRPr="00084277">
        <w:rPr>
          <w:rFonts w:ascii="Book Antiqua" w:hAnsi="Book Antiqua"/>
          <w:sz w:val="24"/>
          <w:szCs w:val="24"/>
          <w:vertAlign w:val="superscript"/>
        </w:rPr>
        <w:t>[59]</w:t>
      </w:r>
      <w:r w:rsidRPr="00084277">
        <w:rPr>
          <w:rFonts w:ascii="Book Antiqua" w:hAnsi="Book Antiqua"/>
          <w:sz w:val="24"/>
          <w:szCs w:val="24"/>
        </w:rPr>
        <w:t xml:space="preserve"> was performed. The lateral window access was prepared </w:t>
      </w:r>
      <w:r w:rsidRPr="00084277">
        <w:rPr>
          <w:rFonts w:ascii="Book Antiqua" w:hAnsi="Book Antiqua"/>
          <w:sz w:val="24"/>
          <w:szCs w:val="24"/>
        </w:rPr>
        <w:lastRenderedPageBreak/>
        <w:t xml:space="preserve">in the areas of the first molars on both sides using a very atraumatic piezosurgery approach (Mectron, Cologne, Germany) to a size of approximately 10 mm </w:t>
      </w:r>
      <w:r w:rsidRPr="00084277">
        <w:rPr>
          <w:rFonts w:ascii="Book Antiqua" w:hAnsi="Book Antiqua"/>
          <w:sz w:val="24"/>
          <w:szCs w:val="24"/>
        </w:rPr>
        <w:sym w:font="Symbol" w:char="F0B4"/>
      </w:r>
      <w:r w:rsidRPr="00084277">
        <w:rPr>
          <w:rFonts w:ascii="Book Antiqua" w:hAnsi="Book Antiqua"/>
          <w:sz w:val="24"/>
          <w:szCs w:val="24"/>
        </w:rPr>
        <w:t xml:space="preserve"> 7 mm (length </w:t>
      </w:r>
      <w:r w:rsidRPr="00084277">
        <w:rPr>
          <w:rFonts w:ascii="Book Antiqua" w:hAnsi="Book Antiqua"/>
          <w:sz w:val="24"/>
          <w:szCs w:val="24"/>
        </w:rPr>
        <w:sym w:font="Symbol" w:char="F0B4"/>
      </w:r>
      <w:r w:rsidRPr="00084277">
        <w:rPr>
          <w:rFonts w:ascii="Book Antiqua" w:hAnsi="Book Antiqua"/>
          <w:sz w:val="24"/>
          <w:szCs w:val="24"/>
        </w:rPr>
        <w:t xml:space="preserve"> height) in order to allow for sufficient overview into the sinus cavity and to minimize the reduction of cortical bone for overall stability (Figure 2</w:t>
      </w:r>
      <w:r w:rsidRPr="00084277">
        <w:rPr>
          <w:rFonts w:ascii="Book Antiqua" w:hAnsi="Book Antiqua"/>
          <w:caps/>
          <w:sz w:val="24"/>
          <w:szCs w:val="24"/>
        </w:rPr>
        <w:t>b</w:t>
      </w:r>
      <w:r w:rsidRPr="00084277">
        <w:rPr>
          <w:rFonts w:ascii="Book Antiqua" w:hAnsi="Book Antiqua"/>
          <w:sz w:val="24"/>
          <w:szCs w:val="24"/>
        </w:rPr>
        <w:t>). Then, the MCBPA/PRGF-2/UA-ADRCs was loosely packed into the prepared right maxillary sinus (Figure 2</w:t>
      </w:r>
      <w:r w:rsidRPr="00084277">
        <w:rPr>
          <w:rFonts w:ascii="Book Antiqua" w:hAnsi="Book Antiqua"/>
          <w:caps/>
          <w:sz w:val="24"/>
          <w:szCs w:val="24"/>
        </w:rPr>
        <w:t>c</w:t>
      </w:r>
      <w:r w:rsidRPr="00084277">
        <w:rPr>
          <w:rFonts w:ascii="Book Antiqua" w:hAnsi="Book Antiqua"/>
          <w:sz w:val="24"/>
          <w:szCs w:val="24"/>
        </w:rPr>
        <w:t>), and the MCBPA/PRGF-2/saline into the prepared left maxillary sinus. Afterwards, all sites were covered with a resorbable native pericardium membrane (CopiOs Extend Membrane; Zimmer Biomet Dental) in order to promote the ingrowth of new bone by excluding epithelial migration into the grafted sites. Finally, a soft tissue flap extension</w:t>
      </w:r>
      <w:r w:rsidRPr="00084277">
        <w:rPr>
          <w:rFonts w:ascii="Book Antiqua" w:hAnsi="Book Antiqua"/>
          <w:sz w:val="24"/>
          <w:szCs w:val="24"/>
          <w:vertAlign w:val="superscript"/>
        </w:rPr>
        <w:t>[60,61]</w:t>
      </w:r>
      <w:r w:rsidRPr="00084277">
        <w:rPr>
          <w:rFonts w:ascii="Book Antiqua" w:hAnsi="Book Antiqua"/>
          <w:sz w:val="24"/>
          <w:szCs w:val="24"/>
        </w:rPr>
        <w:t xml:space="preserve"> was surgically performed and primary closure without tension was achieved using vertical and horizontal cross mattress sutures using Gore-Tex Suture (W.L. Gore and Associates, Inc., Flagstaff, AZ, United States) (Figure 2</w:t>
      </w:r>
      <w:r w:rsidRPr="00084277">
        <w:rPr>
          <w:rFonts w:ascii="Book Antiqua" w:hAnsi="Book Antiqua"/>
          <w:caps/>
          <w:sz w:val="24"/>
          <w:szCs w:val="24"/>
        </w:rPr>
        <w:t>d</w:t>
      </w:r>
      <w:r w:rsidRPr="00084277">
        <w:rPr>
          <w:rFonts w:ascii="Book Antiqua" w:hAnsi="Book Antiqua"/>
          <w:sz w:val="24"/>
          <w:szCs w:val="24"/>
        </w:rPr>
        <w:t>). The anterior maxillary teeth 11, 12 and 22 were initially preserved for aesthetic reasons and scheduled for extraction 6.5 wk later (Figure 3</w:t>
      </w:r>
      <w:r w:rsidRPr="00084277">
        <w:rPr>
          <w:rFonts w:ascii="Book Antiqua" w:hAnsi="Book Antiqua"/>
          <w:caps/>
          <w:sz w:val="24"/>
          <w:szCs w:val="24"/>
        </w:rPr>
        <w:t>a</w:t>
      </w:r>
      <w:r w:rsidRPr="00084277">
        <w:rPr>
          <w:rFonts w:ascii="Book Antiqua" w:hAnsi="Book Antiqua"/>
          <w:sz w:val="24"/>
          <w:szCs w:val="24"/>
        </w:rPr>
        <w:t>).</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Analgesics (Paracetamol 500 mg, t.i.d.) and prophylactic antibiotics (Amoxicillin 500 mg, t.i.d.) were prescribed for 7 d postoperatively. Tooth brushing in the surgical area was restricted for the first 2 wk. In addition, chlorhexidine mouthwash was prescribed to maintain the oral flora and prevent infection. Sutures were removed on the 10</w:t>
      </w:r>
      <w:r w:rsidRPr="00084277">
        <w:rPr>
          <w:rFonts w:ascii="Book Antiqua" w:hAnsi="Book Antiqua"/>
          <w:sz w:val="24"/>
          <w:szCs w:val="24"/>
          <w:vertAlign w:val="superscript"/>
        </w:rPr>
        <w:t>th</w:t>
      </w:r>
      <w:r w:rsidRPr="00084277">
        <w:rPr>
          <w:rFonts w:ascii="Book Antiqua" w:hAnsi="Book Antiqua"/>
          <w:sz w:val="24"/>
          <w:szCs w:val="24"/>
        </w:rPr>
        <w:t xml:space="preserve"> postoperative day, and routine monitoring appointments were held at monthly intervals to evaluate healing.</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Six weeks after the first treatment, the patient was reappointed and the maxillary anterior teeth # 11, 12, and 22 were extracted (second treatment) using the same approach as applied to the maxillary posterior tooth # 14 during the first treatment. During this procedure, biopsies of the areas grafted during the first treatment with the MCBPA/PRGF-2/UA-ADRCs (right) and the MCBPA/PRGF-2/saline (left) were collected using a trephine bur (length: 18 mm; inner diameter: 2.6 mm; outer diameter: 3.2 mm; Trepan Bur 227A.204.032; Komet Dental, Lemgo, Germany). Biopsies were fixed by </w:t>
      </w:r>
      <w:r w:rsidRPr="00084277">
        <w:rPr>
          <w:rFonts w:ascii="Book Antiqua" w:hAnsi="Book Antiqua"/>
          <w:sz w:val="24"/>
          <w:szCs w:val="24"/>
        </w:rPr>
        <w:lastRenderedPageBreak/>
        <w:t xml:space="preserve">immersion in 4% buffered formaldehyde at room temperature. After at least 1 d of fixation they were prepared for histologic and immunohistological analysis (described in detail below).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The postoperative management (prescription of analgesics, antibiotics, and chlorhexidine mouthwash, restriction of tooth brushing in the surgical area, removal of sutures, and routine monitoring) was the same as performed after the first treatment.</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The patient was reappointed again at 34 wk after the second treatment and prepared for dental implant placement surgery (third treatment). Anesthesia was induced </w:t>
      </w:r>
      <w:r w:rsidRPr="00084277">
        <w:rPr>
          <w:rFonts w:ascii="Book Antiqua" w:hAnsi="Book Antiqua"/>
          <w:i/>
          <w:sz w:val="24"/>
          <w:szCs w:val="24"/>
        </w:rPr>
        <w:t>via</w:t>
      </w:r>
      <w:r w:rsidRPr="00084277">
        <w:rPr>
          <w:rFonts w:ascii="Book Antiqua" w:hAnsi="Book Antiqua"/>
          <w:sz w:val="24"/>
          <w:szCs w:val="24"/>
        </w:rPr>
        <w:t xml:space="preserve"> local infiltration of Ultracain-DS Forte (Sanofi-Aventis). Then, an osteotomy for implant placement was initially prepared in the alveolar bone using a trephine bur that was identical to the one used during the second treatment (Trepan Bur 227A.204.032; Komet Dental), and biopsies of the areas grafted during the first treatment with the MCBPA/PRGF-2/UA-ADRCs (right side) and the MCBPA/PRGF-2/saline (left side) were collected (these biopsies were handled and processed in the same way as the biopsies that were collected during the second treatment). The osteotomies for implant placement were prepared by sequential cutting to the radiographically determined length with surgical drills in graduated diameters according to the dental implant manufacturer’s instructions of use. Implants were then placed according to the manufacturer’s recommendations (ASTRA TECH implants with cover screw, Dentsply, Mannheim, Germany). Implants of the following dimensions were inserted into the finally prepared osteotomies: regions 16 and 26: 5.0 S </w:t>
      </w:r>
      <w:r w:rsidRPr="00084277">
        <w:rPr>
          <w:rFonts w:ascii="Book Antiqua" w:hAnsi="Book Antiqua"/>
          <w:sz w:val="24"/>
          <w:szCs w:val="24"/>
        </w:rPr>
        <w:sym w:font="Symbol" w:char="F0B4"/>
      </w:r>
      <w:r w:rsidRPr="00084277">
        <w:rPr>
          <w:rFonts w:ascii="Book Antiqua" w:hAnsi="Book Antiqua"/>
          <w:sz w:val="24"/>
          <w:szCs w:val="24"/>
        </w:rPr>
        <w:t xml:space="preserve"> 11 mm; region 14: 4.0 S </w:t>
      </w:r>
      <w:r w:rsidRPr="00084277">
        <w:rPr>
          <w:rFonts w:ascii="Book Antiqua" w:hAnsi="Book Antiqua"/>
          <w:sz w:val="24"/>
          <w:szCs w:val="24"/>
        </w:rPr>
        <w:sym w:font="Symbol" w:char="F0B4"/>
      </w:r>
      <w:r w:rsidRPr="00084277">
        <w:rPr>
          <w:rFonts w:ascii="Book Antiqua" w:hAnsi="Book Antiqua"/>
          <w:sz w:val="24"/>
          <w:szCs w:val="24"/>
        </w:rPr>
        <w:t xml:space="preserve"> 13 mm; regions 12, 15, and 25: 4.0 S </w:t>
      </w:r>
      <w:r w:rsidRPr="00084277">
        <w:rPr>
          <w:rFonts w:ascii="Book Antiqua" w:hAnsi="Book Antiqua"/>
          <w:sz w:val="24"/>
          <w:szCs w:val="24"/>
        </w:rPr>
        <w:sym w:font="Symbol" w:char="F0B4"/>
      </w:r>
      <w:r w:rsidRPr="00084277">
        <w:rPr>
          <w:rFonts w:ascii="Book Antiqua" w:hAnsi="Book Antiqua"/>
          <w:sz w:val="24"/>
          <w:szCs w:val="24"/>
        </w:rPr>
        <w:t xml:space="preserve"> 11 mm; and region 22: 3.5 S </w:t>
      </w:r>
      <w:r w:rsidRPr="00084277">
        <w:rPr>
          <w:rFonts w:ascii="Book Antiqua" w:hAnsi="Book Antiqua"/>
          <w:sz w:val="24"/>
          <w:szCs w:val="24"/>
        </w:rPr>
        <w:sym w:font="Symbol" w:char="F0B4"/>
      </w:r>
      <w:r w:rsidRPr="00084277">
        <w:rPr>
          <w:rFonts w:ascii="Book Antiqua" w:hAnsi="Book Antiqua"/>
          <w:sz w:val="24"/>
          <w:szCs w:val="24"/>
        </w:rPr>
        <w:t xml:space="preserve"> 11 mm. All implants achieved a high primary stability of 25-30 Ncm insertion torque. The implant access holes were closed with cover screws prior to primary soft tissue closure as performed during the first treatment (Figure 3</w:t>
      </w:r>
      <w:r w:rsidRPr="00084277">
        <w:rPr>
          <w:rFonts w:ascii="Book Antiqua" w:hAnsi="Book Antiqua"/>
          <w:caps/>
          <w:sz w:val="24"/>
          <w:szCs w:val="24"/>
        </w:rPr>
        <w:t>b</w:t>
      </w:r>
      <w:r w:rsidRPr="00084277">
        <w:rPr>
          <w:rFonts w:ascii="Book Antiqua" w:hAnsi="Book Antiqua"/>
          <w:sz w:val="24"/>
          <w:szCs w:val="24"/>
        </w:rPr>
        <w:t>). The postoperative management was the same as performed after the first and second treatments.</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Twelve months after the third treatment, radiographs were taken and </w:t>
      </w:r>
      <w:r w:rsidRPr="00084277">
        <w:rPr>
          <w:rFonts w:ascii="Book Antiqua" w:hAnsi="Book Antiqua"/>
          <w:sz w:val="24"/>
          <w:szCs w:val="24"/>
        </w:rPr>
        <w:lastRenderedPageBreak/>
        <w:t xml:space="preserve">demonstrated excellent bone healing around the dental implants, within the augmented sinus, and the extraction sockets (Figure 4) (fourth treatment) (note that the long time between the third and the fourth treatment was due to constraints of time on the side of the patient; from a medical point of view the fourth treatment could have been performed already at 4 mo after the third treatment). No radiological signs of inflammation were observed. The patient was reappointed again and prepared for uncovering of the implants and implant abutment placement surgery as well as extraction of tooth #18. Anesthesia was induced </w:t>
      </w:r>
      <w:r w:rsidRPr="00084277">
        <w:rPr>
          <w:rFonts w:ascii="Book Antiqua" w:hAnsi="Book Antiqua"/>
          <w:i/>
          <w:sz w:val="24"/>
          <w:szCs w:val="24"/>
        </w:rPr>
        <w:t>via</w:t>
      </w:r>
      <w:r w:rsidRPr="00084277">
        <w:rPr>
          <w:rFonts w:ascii="Book Antiqua" w:hAnsi="Book Antiqua"/>
          <w:sz w:val="24"/>
          <w:szCs w:val="24"/>
        </w:rPr>
        <w:t xml:space="preserve"> local infiltration of Ultracain-DS Forte (Sanofi-Aventis). Localized mucoperiosteal flaps were raised and the cover screws were removed from the implant access holes. The implant access holes were rinsed using 2% chlorhexidine solution and were then covered with ASTRA Tech Implant healing abutments (‘Gingivaformer’) of the following dimensions: regions 16 and 26: 5.5 mm </w:t>
      </w:r>
      <w:r w:rsidRPr="00084277">
        <w:rPr>
          <w:rFonts w:ascii="Book Antiqua" w:hAnsi="Book Antiqua"/>
          <w:sz w:val="24"/>
          <w:szCs w:val="24"/>
        </w:rPr>
        <w:sym w:font="Symbol" w:char="F0B4"/>
      </w:r>
      <w:r w:rsidRPr="00084277">
        <w:rPr>
          <w:rFonts w:ascii="Book Antiqua" w:hAnsi="Book Antiqua"/>
          <w:sz w:val="24"/>
          <w:szCs w:val="24"/>
        </w:rPr>
        <w:t xml:space="preserve"> 4.0 mm; regions 12, 14, 15, and 25: 4.5 mm </w:t>
      </w:r>
      <w:r w:rsidRPr="00084277">
        <w:rPr>
          <w:rFonts w:ascii="Book Antiqua" w:hAnsi="Book Antiqua"/>
          <w:sz w:val="24"/>
          <w:szCs w:val="24"/>
        </w:rPr>
        <w:sym w:font="Symbol" w:char="F0B4"/>
      </w:r>
      <w:r w:rsidRPr="00084277">
        <w:rPr>
          <w:rFonts w:ascii="Book Antiqua" w:hAnsi="Book Antiqua"/>
          <w:sz w:val="24"/>
          <w:szCs w:val="24"/>
        </w:rPr>
        <w:t xml:space="preserve"> 4.0 mm; and region 22: 3.5 mm </w:t>
      </w:r>
      <w:r w:rsidRPr="00084277">
        <w:rPr>
          <w:rFonts w:ascii="Book Antiqua" w:hAnsi="Book Antiqua"/>
          <w:sz w:val="24"/>
          <w:szCs w:val="24"/>
        </w:rPr>
        <w:sym w:font="Symbol" w:char="F0B4"/>
      </w:r>
      <w:r w:rsidRPr="00084277">
        <w:rPr>
          <w:rFonts w:ascii="Book Antiqua" w:hAnsi="Book Antiqua"/>
          <w:sz w:val="24"/>
          <w:szCs w:val="24"/>
        </w:rPr>
        <w:t xml:space="preserve"> 4.0 mm.</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Prior to closure of the implant access hole, the healing abutment screws were covered with 2% chlorhexidine gel in order to minimize bacterial contamination. The healing abutments were placed using a torque of 20 Ncm according to the manufacturer’s recommendations. All implants were surrounded with very sufficient three-dimensional bone volume and demonstrated excellent stability (Figure 4). No clinical signs of inflammation were observed. Tooth # 18 was carefully extracted using a piezosurgery device as described above. Following achievement of primary closure around the healing abutments as described for the other treatments, the same postoperative care regimen was administered as described above and the sutures were removed approximately 10 d postoperatively.</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Six weeks after placement of the healing abutments, the definitive prosthetic telescopic bridge (prepared by Dr. Johanna Hevelke, Winsen/Luhe, Germany) was placed.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Histologic processing of the biopsies was performed at the </w:t>
      </w:r>
      <w:r w:rsidRPr="00084277">
        <w:rPr>
          <w:rFonts w:ascii="Book Antiqua" w:hAnsi="Book Antiqua"/>
          <w:bCs/>
          <w:sz w:val="24"/>
          <w:szCs w:val="24"/>
        </w:rPr>
        <w:t xml:space="preserve">Department of Orthodontics, Center of Dento-Maxillo-Facial Medicine, University of Bonn, </w:t>
      </w:r>
      <w:r w:rsidRPr="00084277">
        <w:rPr>
          <w:rFonts w:ascii="Book Antiqua" w:hAnsi="Book Antiqua"/>
          <w:bCs/>
          <w:sz w:val="24"/>
          <w:szCs w:val="24"/>
        </w:rPr>
        <w:lastRenderedPageBreak/>
        <w:t>Bonn, Germany. To this end,</w:t>
      </w:r>
      <w:r w:rsidRPr="00084277">
        <w:rPr>
          <w:rFonts w:ascii="Book Antiqua" w:hAnsi="Book Antiqua"/>
          <w:sz w:val="24"/>
          <w:szCs w:val="24"/>
        </w:rPr>
        <w:t xml:space="preserve"> the fixed biopsies were decalcified in 4.1% EDTA solution at room temperature for about 7 d, changing the EDTA solution every 24 h. Then, the biopsies were hydrated, followed by rehydration in an ascending series of ethanol. Afterwards they were embedded in paraffin and cut into 3 µm thick serial longitudinal sections. The sections were mounted on Superfrost Plus slides (Gerhard Menzel, Braunschweig, Germany). Sections representing positions within the biopsies near the longitudinal axis were stained with hematoxylin and eosin stain, or were processed by immunohistochemistry. Finally, all sections were coverslipped with DePeX (Serva, Heidelberg, Germany).</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Relative amounts (area/area) of bone, allograft, connective tissue and fibrin, adipocytes, arteries, and veins were determined on the sections that were stained with hematoxylin and eosin stain using point counting as described in detail in</w:t>
      </w:r>
      <w:r w:rsidRPr="00084277">
        <w:rPr>
          <w:rFonts w:ascii="Book Antiqua" w:hAnsi="Book Antiqua"/>
          <w:sz w:val="24"/>
          <w:szCs w:val="24"/>
          <w:vertAlign w:val="superscript"/>
        </w:rPr>
        <w:t>[56]</w:t>
      </w:r>
      <w:r w:rsidRPr="00084277">
        <w:rPr>
          <w:rFonts w:ascii="Book Antiqua" w:hAnsi="Book Antiqua"/>
          <w:sz w:val="24"/>
          <w:szCs w:val="24"/>
        </w:rPr>
        <w:t xml:space="preserve"> (Figure 1B). The distance between the points was 110 µm in XY directions, resulting in a mean total number of 943 (range, 662-1172) points per section. Analyses were performed with a computerized stereology workstation consisting of a modified light microscope (Axioskop; Carl Zeiss Microscopy, Jena, Germany) with Plan-Neofluar objectives 2.5 × (numerical aperture [NA] = 0.075) and 10 × (NA = 0.3) (Carl Zeiss Microscopy), motorized specimen stage (BioPrecision2; Ludl Electronics, Hawthorne, NY, United States), stage controller (MAC 6000 XY; Ludl Electronics), focus encoder (MT 1271; Heidenhain, Traunreut, Germany), CCD color video camera (1,600 x 1,200 pixels; MBF Bioscience, Williston, VT, United States), and stereology software (Stereo Investigator version 10; MBF Bioscience).</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After deparaffinizing and rehydrating, sections were rinsed for 10 min in TBS. Histochemical detection of tartrate-resistant acid phosphatase was performed with a specific Acid Phosphatase staining kit (Sigma-Aldrich, Steinheim, Germany) according to the staining protocol of the manufacturer. For immunohistochemistry, endogenous peroxidase was blocked in a methanol/H</w:t>
      </w:r>
      <w:r w:rsidRPr="00084277">
        <w:rPr>
          <w:rFonts w:ascii="Book Antiqua" w:hAnsi="Book Antiqua"/>
          <w:sz w:val="24"/>
          <w:szCs w:val="24"/>
          <w:vertAlign w:val="subscript"/>
        </w:rPr>
        <w:t>2</w:t>
      </w:r>
      <w:r w:rsidRPr="00084277">
        <w:rPr>
          <w:rFonts w:ascii="Book Antiqua" w:hAnsi="Book Antiqua"/>
          <w:sz w:val="24"/>
          <w:szCs w:val="24"/>
        </w:rPr>
        <w:t>O</w:t>
      </w:r>
      <w:r w:rsidRPr="00084277">
        <w:rPr>
          <w:rFonts w:ascii="Book Antiqua" w:hAnsi="Book Antiqua"/>
          <w:sz w:val="24"/>
          <w:szCs w:val="24"/>
          <w:vertAlign w:val="subscript"/>
        </w:rPr>
        <w:t>2</w:t>
      </w:r>
      <w:r w:rsidRPr="00084277">
        <w:rPr>
          <w:rFonts w:ascii="Book Antiqua" w:hAnsi="Book Antiqua"/>
          <w:sz w:val="24"/>
          <w:szCs w:val="24"/>
        </w:rPr>
        <w:t xml:space="preserve"> (Merck, Darmstadt, Germany) solution for 45 min in the dark. Then, sections were pretreated with TBS containing 1% bovine serum </w:t>
      </w:r>
      <w:r w:rsidRPr="00084277">
        <w:rPr>
          <w:rFonts w:ascii="Book Antiqua" w:hAnsi="Book Antiqua"/>
          <w:sz w:val="24"/>
          <w:szCs w:val="24"/>
        </w:rPr>
        <w:lastRenderedPageBreak/>
        <w:t>albumin at room temperature for 20 min. Afterwards, sections were digested with 0.4% pepsin at 37 °C for 10 min, followed by incubation with the primary antibodies in a humid chamber. Table 2 summarizes details of the antibodies and the incubation protocols.</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Antibody binding was detected with the peroxidase-conjugated EnVision anti-mouse system (Dako, Glostrup, Denmark) or the horseradish peroxidase-conjugated EnVision anti-rabbit/anti-goat secondary antibodies (Dako) that were diluted 1:50 and incubated at room temperature for 30 min. Visualization of peroxidase activity was performed using diaminobenzidine resulting in a brown staining product. Mayer’s hematoxylin was used for counterstaining the sections. In order to perform specificity controls, primary antibodies were omitted and TBS or normal horse serum was applied. In other control experiments, both primary and secondary antibodies were omitted. Fetal human bone or mandibular bone (</w:t>
      </w:r>
      <w:r w:rsidRPr="00084277">
        <w:rPr>
          <w:rFonts w:ascii="Book Antiqua" w:hAnsi="Book Antiqua"/>
          <w:i/>
          <w:sz w:val="24"/>
          <w:szCs w:val="24"/>
        </w:rPr>
        <w:t>i.e.</w:t>
      </w:r>
      <w:r w:rsidRPr="00084277">
        <w:rPr>
          <w:rFonts w:ascii="Book Antiqua" w:hAnsi="Book Antiqua"/>
          <w:sz w:val="24"/>
          <w:szCs w:val="24"/>
        </w:rPr>
        <w:t>, tissues carrying known antigens) were used as positive controls. Qualitative histological evaluations were performed blinded by one of the authors.</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Digital photography was used to produce the photomicrographs shown in Figure </w:t>
      </w:r>
      <w:r w:rsidR="000E6F0D" w:rsidRPr="000E6F0D">
        <w:rPr>
          <w:rFonts w:ascii="Book Antiqua" w:hAnsi="Book Antiqua"/>
          <w:sz w:val="24"/>
          <w:szCs w:val="24"/>
        </w:rPr>
        <w:t>5A and 5B</w:t>
      </w:r>
      <w:r w:rsidRPr="00084277">
        <w:rPr>
          <w:rFonts w:ascii="Book Antiqua" w:hAnsi="Book Antiqua"/>
          <w:sz w:val="24"/>
          <w:szCs w:val="24"/>
        </w:rPr>
        <w:t xml:space="preserve">. To this end, on average 41 (range, 30-45) images were captured for each composite using a computerized stereology workstation. The latter consisted of a modified light microscope (Axio Imager 2; Carl Zeiss Microscopy) with an EC Plan Neofluar 10 </w:t>
      </w:r>
      <w:r w:rsidRPr="00084277">
        <w:rPr>
          <w:rFonts w:ascii="Book Antiqua" w:hAnsi="Book Antiqua"/>
          <w:sz w:val="24"/>
          <w:szCs w:val="24"/>
        </w:rPr>
        <w:sym w:font="Symbol" w:char="F0B4"/>
      </w:r>
      <w:r w:rsidRPr="00084277">
        <w:rPr>
          <w:rFonts w:ascii="Book Antiqua" w:hAnsi="Book Antiqua"/>
          <w:sz w:val="24"/>
          <w:szCs w:val="24"/>
        </w:rPr>
        <w:t xml:space="preserve"> objective (NA = 0.3) (Carl Zeiss Microscopy), motorized specimen stage for automatic sampling (H101A; Prior Scientific Instruments, Cambridge, United Kingdom), focus encoder (MT 1271; Heidenhain), CCD color video camera (1388 x 1040 pixels; AxioCam MRc; Carl Zeiss Microscopy), and stereology software (Stereo Investigator version 10; MBF Bioscience). The Virtual Slice module of the Stereo Investigator software (MBF Bioscience) was used to create the montages. The photomicrographs shown in </w:t>
      </w:r>
      <w:r w:rsidR="000E6F0D" w:rsidRPr="000E6F0D">
        <w:rPr>
          <w:rFonts w:ascii="Book Antiqua" w:hAnsi="Book Antiqua"/>
          <w:sz w:val="24"/>
          <w:szCs w:val="24"/>
        </w:rPr>
        <w:t>Figure 5C and 5D, Figure 6 and Figure 7</w:t>
      </w:r>
      <w:r w:rsidRPr="00084277">
        <w:rPr>
          <w:rFonts w:ascii="Book Antiqua" w:hAnsi="Book Antiqua"/>
          <w:sz w:val="24"/>
          <w:szCs w:val="24"/>
        </w:rPr>
        <w:t xml:space="preserve"> were produced by digital photography (all components from Carl Zeiss Microscopy) using an AxioCam MRc camera attached to an AxioScope 2 microscope and AxioVision 4.7 software using the following objectives: </w:t>
      </w:r>
      <w:r w:rsidRPr="00084277">
        <w:rPr>
          <w:rFonts w:ascii="Book Antiqua" w:hAnsi="Book Antiqua"/>
          <w:sz w:val="24"/>
          <w:szCs w:val="24"/>
        </w:rPr>
        <w:lastRenderedPageBreak/>
        <w:t xml:space="preserve">Epiplan 20 </w:t>
      </w:r>
      <w:r w:rsidRPr="00084277">
        <w:rPr>
          <w:rFonts w:ascii="Book Antiqua" w:hAnsi="Book Antiqua"/>
          <w:sz w:val="24"/>
          <w:szCs w:val="24"/>
        </w:rPr>
        <w:sym w:font="Symbol" w:char="F0B4"/>
      </w:r>
      <w:r w:rsidRPr="00084277">
        <w:rPr>
          <w:rFonts w:ascii="Book Antiqua" w:hAnsi="Book Antiqua"/>
          <w:sz w:val="24"/>
          <w:szCs w:val="24"/>
        </w:rPr>
        <w:t xml:space="preserve"> (NA = 0.40) and Plan-Neofluar 40 </w:t>
      </w:r>
      <w:r w:rsidRPr="00084277">
        <w:rPr>
          <w:rFonts w:ascii="Book Antiqua" w:hAnsi="Book Antiqua"/>
          <w:sz w:val="24"/>
          <w:szCs w:val="24"/>
        </w:rPr>
        <w:sym w:font="Symbol" w:char="F0B4"/>
      </w:r>
      <w:r w:rsidRPr="00084277">
        <w:rPr>
          <w:rFonts w:ascii="Book Antiqua" w:hAnsi="Book Antiqua"/>
          <w:sz w:val="24"/>
          <w:szCs w:val="24"/>
        </w:rPr>
        <w:t xml:space="preserve"> (NA = 0.75). Corel Photo-Paint X7 and Corel Draw X7 (both versions 17.5.0.907; Corel, Ottawa, Canada) were used to construct the final figures. Contrast and brightness were only marginally adjusted, which did not alter the appearance of the original materials.</w:t>
      </w:r>
    </w:p>
    <w:p w:rsidR="003065D2" w:rsidRPr="00084277" w:rsidRDefault="003065D2" w:rsidP="003065D2">
      <w:pPr>
        <w:adjustRightInd w:val="0"/>
        <w:snapToGrid w:val="0"/>
        <w:spacing w:line="360" w:lineRule="auto"/>
        <w:rPr>
          <w:rFonts w:ascii="Book Antiqua" w:hAnsi="Book Antiqua"/>
          <w:sz w:val="24"/>
          <w:szCs w:val="24"/>
        </w:rPr>
      </w:pPr>
    </w:p>
    <w:p w:rsidR="003065D2" w:rsidRPr="00084277" w:rsidRDefault="003065D2" w:rsidP="003065D2">
      <w:pPr>
        <w:adjustRightInd w:val="0"/>
        <w:snapToGrid w:val="0"/>
        <w:spacing w:line="360" w:lineRule="auto"/>
        <w:rPr>
          <w:rFonts w:ascii="Book Antiqua" w:eastAsia="DengXian" w:hAnsi="Book Antiqua"/>
          <w:b/>
          <w:sz w:val="24"/>
          <w:szCs w:val="24"/>
        </w:rPr>
      </w:pPr>
      <w:r w:rsidRPr="00084277">
        <w:rPr>
          <w:rFonts w:ascii="Book Antiqua" w:hAnsi="Book Antiqua"/>
          <w:b/>
          <w:sz w:val="24"/>
          <w:szCs w:val="24"/>
        </w:rPr>
        <w:t xml:space="preserve">OUTCOME AND FOLLOW-UP  </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The patient was very satisfied with the maxillary restoration regarding aesthetics, function, phonetics, and cleansibility (Figure 8). The last radiologic follow-up examination took place at 32 mo after the GBR-MSA surgery (Figure 3C).</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The biopsies that were collected at 6 wk after GBR-MSA showed the formation of a network of cancellous bony trabeculae by appositional membranaceous osteogenesis in different developmental stages around allogeneic fragments. The newly formed bone (asterisks in Figure 5A and 5B) consisted of fibrous bone. Typically, newly formed bone spicules contained nuclei of allogeneic remnants that showed basophilic staining and contained empty osteocyte lacunae (arrows in Figure 5A and 5B). Most surfaces of the newly formed trabeculae were covered by osteoblasts with underlying osteoid (arrowheads in Figure 5A and 5B). </w:t>
      </w:r>
      <w:bookmarkStart w:id="166" w:name="OLE_LINK2"/>
      <w:r w:rsidRPr="00084277">
        <w:rPr>
          <w:rFonts w:ascii="Book Antiqua" w:hAnsi="Book Antiqua"/>
          <w:sz w:val="24"/>
          <w:szCs w:val="24"/>
        </w:rPr>
        <w:t xml:space="preserve">With the application of UA-ADRCs a higher bone lining cell density was achieved than without UA-ADRCs. </w:t>
      </w:r>
      <w:bookmarkEnd w:id="166"/>
      <w:r w:rsidRPr="00084277">
        <w:rPr>
          <w:rFonts w:ascii="Book Antiqua" w:hAnsi="Book Antiqua"/>
          <w:sz w:val="24"/>
          <w:szCs w:val="24"/>
        </w:rPr>
        <w:t>No signs of active inflammation or necrosis could be recognized in either biopsy.</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The biopsies that were collected at 34 wk after GBR-MSA showed a similar morphology as the biopsies that were collected at 6 wk after GBR-MSA. However, bone formation seemed to be increased with a decreased percentage of allogeneic remnants (arrows in Figure 5C and 5D) and fibrous bone. Newly formed cancellous bone was in an advanced stage of remodeling, appearing as lamellar bone (asterisks in Figure 5C and 5D) with fibrous bone remnants incorporated. Fewer adipocytes developed after the application of UA-ADRCs than without UA-ADRCs (arrowheads in Figure </w:t>
      </w:r>
      <w:r w:rsidRPr="00084277">
        <w:rPr>
          <w:rFonts w:ascii="Book Antiqua" w:hAnsi="Book Antiqua"/>
          <w:sz w:val="24"/>
          <w:szCs w:val="24"/>
        </w:rPr>
        <w:lastRenderedPageBreak/>
        <w:t xml:space="preserve">5C and 5D).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At higher magnification, </w:t>
      </w:r>
      <w:bookmarkStart w:id="167" w:name="_Hlk514323027"/>
      <w:r w:rsidRPr="00084277">
        <w:rPr>
          <w:rFonts w:ascii="Book Antiqua" w:hAnsi="Book Antiqua"/>
          <w:sz w:val="24"/>
          <w:szCs w:val="24"/>
        </w:rPr>
        <w:t>the biopsy that was collected at 6 wk after GBR-MSA with the application of UA-ADRCs</w:t>
      </w:r>
      <w:bookmarkEnd w:id="167"/>
      <w:r w:rsidRPr="00084277">
        <w:rPr>
          <w:rFonts w:ascii="Book Antiqua" w:hAnsi="Book Antiqua"/>
          <w:sz w:val="24"/>
          <w:szCs w:val="24"/>
        </w:rPr>
        <w:t xml:space="preserve"> showed regions with early osteogenic condensations within a highly cellular surrounding. Specifically, osteoclasts appeared on the surface of natural and allogeneic bone (arrowheads in Figure 5E). Such regions with early osteogenic condensations were not observed at 6 wk after GBR-MSA without application of UA-ADRCs. Rather, osteogenesis appeared more discrete in this case (Figure 5F). Likewise, at 34 wk after GBR-MSA a higher cell density around newly formed cancellous bone was found after the application of UA-ADRCs (arrowheads in Figure 5G) than without UA-ADRCs (arrowheads in Figure 5H).</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The results of the histomorphometric analysis are summarized in Figure 9. The application of UA-ADRCs resulted in a higher relative amount (area/area) of newly formed bone (+ 63% at 6 wk; + 44% at 34 wk), a higher relative amount of fibrin and collagen (+ 144% at 6 wk; + 78% at 34 wk) and a lower relative amount of adipocytes (- 83% at 34 wk) compared to the situation without application of UA-ADRCs. Besides this, the ratio of the relative amounts (area/area) of veins to arteries was 3.5 after the application of ADRCs and 4.7 without ADRCs at 34 wk after GBR-MSA.</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Tartrate-resistant acid phosphatase immunostaining revealed </w:t>
      </w:r>
      <w:bookmarkStart w:id="168" w:name="_Hlk531001588"/>
      <w:r w:rsidRPr="00084277">
        <w:rPr>
          <w:rFonts w:ascii="Book Antiqua" w:hAnsi="Book Antiqua"/>
          <w:sz w:val="24"/>
          <w:szCs w:val="24"/>
        </w:rPr>
        <w:t xml:space="preserve">middle-sized osteoclasts on the surface of newly formed and allogeneic bone and on debris accumulations at 6 wk after GBR-MSA, with a higher osteoclast density after the application of UA-ADRCs than without UA-ADRCs </w:t>
      </w:r>
      <w:bookmarkEnd w:id="168"/>
      <w:r w:rsidRPr="00084277">
        <w:rPr>
          <w:rFonts w:ascii="Book Antiqua" w:hAnsi="Book Antiqua"/>
          <w:sz w:val="24"/>
          <w:szCs w:val="24"/>
        </w:rPr>
        <w:t>(arrows in Figure 6A and 6B). Only a few osteoclasts were found at 34 wk after GBR-MSA (arrows in Figure 6C and 6D).</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Anti-runt-related transcription factor 2 immunoreactivity was found at 6 wk after GBR-MSA with the application of UA-ADRCs, but not in GBR-MSA without UA-ADRCs, in most osteoblasts and osteoblast-like cells (arrows in Figure 6E). Only very weak anti-runt-related transcription factor 2 immunoreactivity was found at 34 wk after GBR-MSA (Figure 6G and 6H).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Type I collagen appeared in osteoid seams (arrows in Figure 6I and 6J) </w:t>
      </w:r>
      <w:r w:rsidRPr="00084277">
        <w:rPr>
          <w:rFonts w:ascii="Book Antiqua" w:hAnsi="Book Antiqua"/>
          <w:sz w:val="24"/>
          <w:szCs w:val="24"/>
        </w:rPr>
        <w:lastRenderedPageBreak/>
        <w:t>and in a weak manner in the matrix of newly formed bone trabeculae (asterisks in Figure 6I and 6J) at 6 wk after GBR-MSA. At 34 wk after GBR-MSA the pattern of immunoreactivity for type I collagen was similar to the pattern observed at 6 wk after GBR-MSA but weaker (arrows and asterisks in Figure 6K and 6L).</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The application of UA-ADRCs resulted in strong alkaline phosphatase (AP) immunoreactivity in osteoblasts, osteoblast-like cells, and fibroblasts in the intertrabecular connective tissue at 6 wk after GBR-MSA, while in GBR-MSA without UA-ADRCs only a few osteoblasts were immunoreactive for AP (arrows in Figure 6M and 6N). At 34 wk after GBR-MSA AP immunoreactivity appeared in some osteoblasts and osteoblast-like cells in a weak to moderate manner (arrows in Figure 6O and 6P).</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Immunohistochemical detection of factor VIII/von Willebrand factor showed dense vascularization in all biopsies (arrows in Figure 7A-D), with the highest density at 6 wk after GBR-MSA with the application of UA-ADRCs. In GBR-MSA without UA-ADRCs, larger sinusoidal vessels were found at 34 wk after GBR-MSA and were located within the intertrabecular connective tissue (arrowheads in Figure 7D).</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Vessel walls were strongly immunoreactive for CD146 in all biopsies (arrows in Figure 7E-H).</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A strong intracellular, granular anti-CD 73 immunoreactivity was seen in all biopsies in subsets of fibroblasts and osteoblasts (arrows in Figure 7I-L), as well as in vessel walls (arrowheads in Figure 7I-L).</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Nearly all osteoblasts and fibroblasts as well as a subset of osteocytes showed immunoreactivity for PPARγ at 6 wk after GBR-MSA (arrows in Figure 7M and 7N). Furthermore, PPARγ immunoreactivity was also found in vessel walls in areas with osteogenesis (arrowheads in Figure 7M and 7N). In general, a very similar pattern was found at 34 wk after the application of UA-ADRCs, whereas without UA-ADRCs immunoreactivity for PPARγ was restricted to vessel walls (arrows and arrowheads in Figure 7O and 7P).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 xml:space="preserve">The immunohistochemically negative control specimens displayed no </w:t>
      </w:r>
      <w:r w:rsidRPr="00084277">
        <w:rPr>
          <w:rFonts w:ascii="Book Antiqua" w:hAnsi="Book Antiqua"/>
          <w:sz w:val="24"/>
          <w:szCs w:val="24"/>
        </w:rPr>
        <w:lastRenderedPageBreak/>
        <w:t>immunoreactivity.</w:t>
      </w:r>
    </w:p>
    <w:p w:rsidR="003065D2" w:rsidRPr="00084277" w:rsidRDefault="003065D2" w:rsidP="003065D2">
      <w:pPr>
        <w:adjustRightInd w:val="0"/>
        <w:snapToGrid w:val="0"/>
        <w:spacing w:line="360" w:lineRule="auto"/>
        <w:ind w:firstLine="432"/>
        <w:rPr>
          <w:rFonts w:ascii="Book Antiqua" w:hAnsi="Book Antiqua"/>
          <w:sz w:val="24"/>
          <w:szCs w:val="24"/>
        </w:rPr>
      </w:pP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t>DISCUSSION</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The present study is the first one in which a combination of freshly isolated UA-ADRCs, PRGF-2, and an OIS was used for GBR-MSA. Furthermore, our study is the first one in which cellular and histological effects of mesenchymal stem cells in human GBR-MSA were investigated with design-based stereology, histochemistry, and immunohistochemistry. The analysis of the biopsies that were collected at 6 wk and again at 34 wk after GBR-MSA showed that the combination of UA-ADRCs, PRGF-2, and the OIS resulted in better and faster bone regeneration than the combination of PRGF-2 and the same OIS alone. It is of note that our design-based stereologic finding of a higher relative amount of newly formed bone after GBR-MSA with the application of UA-ADRCs than without UA-ADRCs (+ 63% at 6 wk; + 44% at 34 wk) (Figure 9) was in line with our radiologic finding of more dense bone after the application of UA-ADRCs in regions 15 and 16 than without UA-ADRCs in regions 25 and 26 at 20 mo after GBR-MSA (Figure 4).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The results of the present study may open new horizons for the rehabilitation of the edentulous posterior maxilla and potentially for other regenerative techniques in pre-implant bone augmentation procedures like lateral and horizontal alveolar ridge augmentation, socket preservation, and bone grafting following large cystectomies. Specifically, the novel GBR-MSA approach presented here could result in a superior bone-implant-contact due to advanced new bone formation (Figure 9) and could also serve as the basis for reducing the time between GBR-MSA and the placement of implants in patients with residual bone height below the antrum and the ridge crest of less than 3 mm (Class D</w:t>
      </w:r>
      <w:r w:rsidRPr="00084277">
        <w:rPr>
          <w:rFonts w:ascii="Book Antiqua" w:hAnsi="Book Antiqua"/>
          <w:sz w:val="24"/>
          <w:szCs w:val="24"/>
          <w:vertAlign w:val="superscript"/>
        </w:rPr>
        <w:t>[32]</w:t>
      </w:r>
      <w:r w:rsidRPr="00084277">
        <w:rPr>
          <w:rFonts w:ascii="Book Antiqua" w:hAnsi="Book Antiqua"/>
          <w:sz w:val="24"/>
          <w:szCs w:val="24"/>
        </w:rPr>
        <w:t xml:space="preserve">). Besides this, our novel approach may allow for immediate implant placement in combination with bone augmentation procedures when the primary stability of the implant is provided. Moreover, the harvesting of ADRCs may result in less morbidity of the patient compared to bone marrow aspiration from the iliac crest area (addressed in the next </w:t>
      </w:r>
      <w:r w:rsidRPr="00084277">
        <w:rPr>
          <w:rFonts w:ascii="Book Antiqua" w:hAnsi="Book Antiqua"/>
          <w:sz w:val="24"/>
          <w:szCs w:val="24"/>
        </w:rPr>
        <w:lastRenderedPageBreak/>
        <w:t>paragraph). However, it will be the task of future studies to test these hypotheses.</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GBR-MSA using mesenchymal stem cells (except of the use of UA-ADRCs) has been investigated in many preclinical and clinical studies, with and without OIS, and with and without use of PRP (reviewed in</w:t>
      </w:r>
      <w:r w:rsidRPr="00084277">
        <w:rPr>
          <w:rFonts w:ascii="Book Antiqua" w:hAnsi="Book Antiqua"/>
          <w:sz w:val="24"/>
          <w:szCs w:val="24"/>
          <w:vertAlign w:val="superscript"/>
        </w:rPr>
        <w:t>[62-64]</w:t>
      </w:r>
      <w:r w:rsidRPr="00084277">
        <w:rPr>
          <w:rFonts w:ascii="Book Antiqua" w:hAnsi="Book Antiqua"/>
          <w:sz w:val="24"/>
          <w:szCs w:val="24"/>
        </w:rPr>
        <w:t>). In most of these studies BMSCs, autologous bone marrow aspirate concentrate (BMAC), or periosteal derived stem cells were used. Histomorphometric analysis showed considerable differences in the relative amount (area/area) of newly formed bone at 24 wk after surgery, ranging between 13.5% using BMSCs and bovine bone material (BBM)</w:t>
      </w:r>
      <w:r w:rsidRPr="00084277">
        <w:rPr>
          <w:rFonts w:ascii="Book Antiqua" w:hAnsi="Book Antiqua"/>
          <w:sz w:val="24"/>
          <w:szCs w:val="24"/>
          <w:vertAlign w:val="superscript"/>
        </w:rPr>
        <w:t>[65]</w:t>
      </w:r>
      <w:r w:rsidRPr="00084277">
        <w:rPr>
          <w:rFonts w:ascii="Book Antiqua" w:hAnsi="Book Antiqua"/>
          <w:sz w:val="24"/>
          <w:szCs w:val="24"/>
        </w:rPr>
        <w:t xml:space="preserve"> and 55.2% using BMAC and BBM</w:t>
      </w:r>
      <w:r w:rsidRPr="00084277">
        <w:rPr>
          <w:rFonts w:ascii="Book Antiqua" w:hAnsi="Book Antiqua"/>
          <w:sz w:val="24"/>
          <w:szCs w:val="24"/>
          <w:vertAlign w:val="superscript"/>
        </w:rPr>
        <w:t>[66]</w:t>
      </w:r>
      <w:r w:rsidRPr="00084277">
        <w:rPr>
          <w:rFonts w:ascii="Book Antiqua" w:hAnsi="Book Antiqua"/>
          <w:sz w:val="24"/>
          <w:szCs w:val="24"/>
        </w:rPr>
        <w:t>. This considerable difference and the fact that the relative amount (area/area) of cancellous bone in normal human bone is only approximately 25%</w:t>
      </w:r>
      <w:r w:rsidRPr="00084277">
        <w:rPr>
          <w:rFonts w:ascii="Book Antiqua" w:hAnsi="Book Antiqua"/>
          <w:sz w:val="24"/>
          <w:szCs w:val="24"/>
          <w:vertAlign w:val="superscript"/>
        </w:rPr>
        <w:t>[67]</w:t>
      </w:r>
      <w:r w:rsidRPr="00084277">
        <w:rPr>
          <w:rFonts w:ascii="Book Antiqua" w:hAnsi="Book Antiqua"/>
          <w:sz w:val="24"/>
          <w:szCs w:val="24"/>
        </w:rPr>
        <w:t xml:space="preserve"> should give reason to accept the results of related studies only after having critically scrutinized the corresponding methodological details. For example, in a study that reported a relative amount of newly bone of 55.2% using BMAC and BBM</w:t>
      </w:r>
      <w:r w:rsidRPr="00084277">
        <w:rPr>
          <w:rFonts w:ascii="Book Antiqua" w:hAnsi="Book Antiqua"/>
          <w:sz w:val="24"/>
          <w:szCs w:val="24"/>
          <w:vertAlign w:val="superscript"/>
        </w:rPr>
        <w:t>[67]</w:t>
      </w:r>
      <w:r w:rsidRPr="00084277">
        <w:rPr>
          <w:rFonts w:ascii="Book Antiqua" w:hAnsi="Book Antiqua"/>
          <w:sz w:val="24"/>
          <w:szCs w:val="24"/>
        </w:rPr>
        <w:t xml:space="preserve"> only small portions of the investigated specimens were shown, and histomorphometry was performed by inspecting the specimens with a 1.25</w:t>
      </w:r>
      <w:r w:rsidRPr="00084277">
        <w:rPr>
          <w:rFonts w:ascii="Book Antiqua" w:hAnsi="Book Antiqua"/>
          <w:sz w:val="24"/>
          <w:szCs w:val="24"/>
        </w:rPr>
        <w:sym w:font="Symbol" w:char="F0B4"/>
      </w:r>
      <w:r w:rsidRPr="00084277">
        <w:rPr>
          <w:rFonts w:ascii="Book Antiqua" w:hAnsi="Book Antiqua"/>
          <w:sz w:val="24"/>
          <w:szCs w:val="24"/>
        </w:rPr>
        <w:t xml:space="preserve"> objective, which precludes to distinguish between empty osteocyte lacunae (representing scaffold) and cell bodies within osteocyte lacunae (representing newly formed bone). In any case, a meta-analysis of nine studies (seven animal and two human studies) in which the combination of mesenchymal stem cells and OIS </w:t>
      </w:r>
      <w:r w:rsidRPr="00084277">
        <w:rPr>
          <w:rFonts w:ascii="Book Antiqua" w:hAnsi="Book Antiqua"/>
          <w:i/>
          <w:sz w:val="24"/>
          <w:szCs w:val="24"/>
        </w:rPr>
        <w:t>versus</w:t>
      </w:r>
      <w:r w:rsidRPr="00084277">
        <w:rPr>
          <w:rFonts w:ascii="Book Antiqua" w:hAnsi="Book Antiqua"/>
          <w:sz w:val="24"/>
          <w:szCs w:val="24"/>
        </w:rPr>
        <w:t xml:space="preserve"> OIS alone were compared, found a statistically significant positive effect of stem cells on the bone re-growth in GBR-MSA</w:t>
      </w:r>
      <w:r w:rsidRPr="00084277">
        <w:rPr>
          <w:rFonts w:ascii="Book Antiqua" w:hAnsi="Book Antiqua"/>
          <w:sz w:val="24"/>
          <w:szCs w:val="24"/>
          <w:vertAlign w:val="superscript"/>
        </w:rPr>
        <w:t>[63]</w:t>
      </w:r>
      <w:r w:rsidRPr="00084277">
        <w:rPr>
          <w:rFonts w:ascii="Book Antiqua" w:hAnsi="Book Antiqua"/>
          <w:sz w:val="24"/>
          <w:szCs w:val="24"/>
        </w:rPr>
        <w:t>.</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At first glance our design-based results (relative amount of newly formed bone of 24.2% at 34 wk after GBR-MSA) do not speak in favor of our approach compared to the use of BMSCs (among the six studies reviewed in</w:t>
      </w:r>
      <w:r w:rsidRPr="00084277">
        <w:rPr>
          <w:rFonts w:ascii="Book Antiqua" w:hAnsi="Book Antiqua"/>
          <w:sz w:val="24"/>
          <w:szCs w:val="24"/>
          <w:vertAlign w:val="superscript"/>
        </w:rPr>
        <w:t>[63]</w:t>
      </w:r>
      <w:r w:rsidRPr="00084277">
        <w:rPr>
          <w:rFonts w:ascii="Book Antiqua" w:hAnsi="Book Antiqua"/>
          <w:sz w:val="24"/>
          <w:szCs w:val="24"/>
        </w:rPr>
        <w:t xml:space="preserve"> in which BMSCs were applied and histomorphometric analysis was performed at 24 wk after surgery, three studies reported a relative amount of newly formed bone of more than 24%). However, our decision to use UA-ADRCs rather than other types of cells (including ASCs, BMSCs, periosteal derived stem cells, allogeneic and/or modified ASCs/BMSCs, dental-derived mesenchymal </w:t>
      </w:r>
      <w:r w:rsidRPr="00084277">
        <w:rPr>
          <w:rFonts w:ascii="Book Antiqua" w:hAnsi="Book Antiqua"/>
          <w:sz w:val="24"/>
          <w:szCs w:val="24"/>
        </w:rPr>
        <w:lastRenderedPageBreak/>
        <w:t>stem cell-like cells (reviewed in</w:t>
      </w:r>
      <w:r w:rsidRPr="00084277">
        <w:rPr>
          <w:rFonts w:ascii="Book Antiqua" w:hAnsi="Book Antiqua"/>
          <w:sz w:val="24"/>
          <w:szCs w:val="24"/>
          <w:vertAlign w:val="superscript"/>
        </w:rPr>
        <w:t>[68]</w:t>
      </w:r>
      <w:r w:rsidRPr="00084277">
        <w:rPr>
          <w:rFonts w:ascii="Book Antiqua" w:hAnsi="Book Antiqua"/>
          <w:sz w:val="24"/>
          <w:szCs w:val="24"/>
        </w:rPr>
        <w:t>) or induced pluripotent stem cells) was based on the fact that UA-ADRCs are the only type of cell that allows immediate usage at point of care, with the lowest safety concerns in cell-based therapy as no culturing or modification is required. This is fundamentally different from all other types of cells that have been considered for cell-based therapies in dentistry (reviewed in</w:t>
      </w:r>
      <w:r w:rsidRPr="00084277">
        <w:rPr>
          <w:rFonts w:ascii="Book Antiqua" w:hAnsi="Book Antiqua"/>
          <w:sz w:val="24"/>
          <w:szCs w:val="24"/>
          <w:vertAlign w:val="superscript"/>
        </w:rPr>
        <w:t>[69]</w:t>
      </w:r>
      <w:r w:rsidRPr="00084277">
        <w:rPr>
          <w:rFonts w:ascii="Book Antiqua" w:hAnsi="Book Antiqua"/>
          <w:sz w:val="24"/>
          <w:szCs w:val="24"/>
        </w:rPr>
        <w:t xml:space="preserve">). Regarding safety concerns one must keep in mind that, </w:t>
      </w:r>
      <w:r w:rsidRPr="00084277">
        <w:rPr>
          <w:rFonts w:ascii="Book Antiqua" w:hAnsi="Book Antiqua"/>
          <w:i/>
          <w:sz w:val="24"/>
          <w:szCs w:val="24"/>
        </w:rPr>
        <w:t>e.g.</w:t>
      </w:r>
      <w:r w:rsidRPr="00084277">
        <w:rPr>
          <w:rFonts w:ascii="Book Antiqua" w:hAnsi="Book Antiqua"/>
          <w:sz w:val="24"/>
          <w:szCs w:val="24"/>
        </w:rPr>
        <w:t>, potential oncogenesis currently limits the clinical translation of induced pluripotent stem cells</w:t>
      </w:r>
      <w:r w:rsidRPr="00084277">
        <w:rPr>
          <w:rFonts w:ascii="Book Antiqua" w:hAnsi="Book Antiqua"/>
          <w:sz w:val="24"/>
          <w:szCs w:val="24"/>
          <w:vertAlign w:val="superscript"/>
        </w:rPr>
        <w:t>[70,71]</w:t>
      </w:r>
      <w:r w:rsidRPr="00084277">
        <w:rPr>
          <w:rFonts w:ascii="Book Antiqua" w:hAnsi="Book Antiqua"/>
          <w:sz w:val="24"/>
          <w:szCs w:val="24"/>
        </w:rPr>
        <w:t>, and applying allogeneic cells may cause the production of donor-specific antibodies and cell induced immune response</w:t>
      </w:r>
      <w:r w:rsidRPr="00084277">
        <w:rPr>
          <w:rFonts w:ascii="Book Antiqua" w:hAnsi="Book Antiqua"/>
          <w:sz w:val="24"/>
          <w:szCs w:val="24"/>
          <w:vertAlign w:val="superscript"/>
        </w:rPr>
        <w:t>[54,55]</w:t>
      </w:r>
      <w:r w:rsidRPr="00084277">
        <w:rPr>
          <w:rFonts w:ascii="Book Antiqua" w:hAnsi="Book Antiqua"/>
          <w:sz w:val="24"/>
          <w:szCs w:val="24"/>
        </w:rPr>
        <w:t>. The only other cell-based therapy that allows immediate usage at point of care is autologous BMAC, which was investigated in two studies on GBR-MSA (BBM as OIS). One of these studies was a case report on a 46-year-old partially edentulous man, showing a relative amount of newly formed bone of 27% at 12 wk after surgery without control treatment</w:t>
      </w:r>
      <w:r w:rsidRPr="00084277">
        <w:rPr>
          <w:rFonts w:ascii="Book Antiqua" w:hAnsi="Book Antiqua"/>
          <w:sz w:val="24"/>
          <w:szCs w:val="24"/>
          <w:vertAlign w:val="superscript"/>
        </w:rPr>
        <w:t>[72]</w:t>
      </w:r>
      <w:r w:rsidRPr="00084277">
        <w:rPr>
          <w:rFonts w:ascii="Book Antiqua" w:hAnsi="Book Antiqua"/>
          <w:sz w:val="24"/>
          <w:szCs w:val="24"/>
        </w:rPr>
        <w:t>. The other study</w:t>
      </w:r>
      <w:r w:rsidRPr="00084277">
        <w:rPr>
          <w:rFonts w:ascii="Book Antiqua" w:hAnsi="Book Antiqua"/>
          <w:sz w:val="24"/>
          <w:szCs w:val="24"/>
          <w:vertAlign w:val="superscript"/>
        </w:rPr>
        <w:t>[73]</w:t>
      </w:r>
      <w:r w:rsidRPr="00084277">
        <w:rPr>
          <w:rFonts w:ascii="Book Antiqua" w:hAnsi="Book Antiqua"/>
          <w:sz w:val="24"/>
          <w:szCs w:val="24"/>
        </w:rPr>
        <w:t xml:space="preserve"> was a randomized controlled trial (from the same lab as</w:t>
      </w:r>
      <w:r w:rsidRPr="00084277">
        <w:rPr>
          <w:rFonts w:ascii="Book Antiqua" w:hAnsi="Book Antiqua"/>
          <w:sz w:val="24"/>
          <w:szCs w:val="24"/>
          <w:vertAlign w:val="superscript"/>
        </w:rPr>
        <w:t>[72]</w:t>
      </w:r>
      <w:r w:rsidRPr="00084277">
        <w:rPr>
          <w:rFonts w:ascii="Book Antiqua" w:hAnsi="Book Antiqua"/>
          <w:sz w:val="24"/>
          <w:szCs w:val="24"/>
        </w:rPr>
        <w:t>, published in the same year, and using exactly the same procedure for harvesting bone marrow aspirate as used in</w:t>
      </w:r>
      <w:r w:rsidRPr="00084277">
        <w:rPr>
          <w:rFonts w:ascii="Book Antiqua" w:hAnsi="Book Antiqua"/>
          <w:sz w:val="24"/>
          <w:szCs w:val="24"/>
          <w:vertAlign w:val="superscript"/>
        </w:rPr>
        <w:t>[72]</w:t>
      </w:r>
      <w:r w:rsidRPr="00084277">
        <w:rPr>
          <w:rFonts w:ascii="Book Antiqua" w:hAnsi="Book Antiqua"/>
          <w:sz w:val="24"/>
          <w:szCs w:val="24"/>
        </w:rPr>
        <w:t>), reporting a mean relative amount of newly formed bone of only 12.6% at 12 wk after surgery (</w:t>
      </w:r>
      <w:r w:rsidRPr="00084277">
        <w:rPr>
          <w:rFonts w:ascii="Book Antiqua" w:hAnsi="Book Antiqua"/>
          <w:i/>
          <w:sz w:val="24"/>
          <w:szCs w:val="24"/>
        </w:rPr>
        <w:t xml:space="preserve">n = </w:t>
      </w:r>
      <w:r w:rsidRPr="00084277">
        <w:rPr>
          <w:rFonts w:ascii="Book Antiqua" w:hAnsi="Book Antiqua"/>
          <w:sz w:val="24"/>
          <w:szCs w:val="24"/>
        </w:rPr>
        <w:t>34 patients), with a mean relative amount of newly formed bone of only 14.3% at 12 wk after grafting BBM and autologous bone (</w:t>
      </w:r>
      <w:r w:rsidRPr="00084277">
        <w:rPr>
          <w:rFonts w:ascii="Book Antiqua" w:hAnsi="Book Antiqua"/>
          <w:i/>
          <w:sz w:val="24"/>
          <w:szCs w:val="24"/>
        </w:rPr>
        <w:t xml:space="preserve">n = </w:t>
      </w:r>
      <w:r w:rsidRPr="00084277">
        <w:rPr>
          <w:rFonts w:ascii="Book Antiqua" w:hAnsi="Book Antiqua"/>
          <w:sz w:val="24"/>
          <w:szCs w:val="24"/>
        </w:rPr>
        <w:t>11 patients)</w:t>
      </w:r>
      <w:r w:rsidRPr="00084277">
        <w:rPr>
          <w:rFonts w:ascii="Book Antiqua" w:hAnsi="Book Antiqua"/>
          <w:sz w:val="24"/>
          <w:szCs w:val="24"/>
          <w:vertAlign w:val="superscript"/>
        </w:rPr>
        <w:t>[73]</w:t>
      </w:r>
      <w:r w:rsidRPr="00084277">
        <w:rPr>
          <w:rFonts w:ascii="Book Antiqua" w:hAnsi="Book Antiqua"/>
          <w:sz w:val="24"/>
          <w:szCs w:val="24"/>
        </w:rPr>
        <w:t>. It is of note that only in the latter study</w:t>
      </w:r>
      <w:r w:rsidRPr="00084277">
        <w:rPr>
          <w:rFonts w:ascii="Book Antiqua" w:hAnsi="Book Antiqua"/>
          <w:sz w:val="24"/>
          <w:szCs w:val="24"/>
          <w:vertAlign w:val="superscript"/>
        </w:rPr>
        <w:t>[73]</w:t>
      </w:r>
      <w:r w:rsidRPr="00084277">
        <w:rPr>
          <w:rFonts w:ascii="Book Antiqua" w:hAnsi="Book Antiqua"/>
          <w:sz w:val="24"/>
          <w:szCs w:val="24"/>
        </w:rPr>
        <w:t xml:space="preserve"> whole specimens were shown and methodological details of the histomorphometric analysis were provided. The data of the latter study</w:t>
      </w:r>
      <w:r w:rsidRPr="00084277">
        <w:rPr>
          <w:rFonts w:ascii="Book Antiqua" w:hAnsi="Book Antiqua"/>
          <w:sz w:val="24"/>
          <w:szCs w:val="24"/>
          <w:vertAlign w:val="superscript"/>
        </w:rPr>
        <w:t>[73]</w:t>
      </w:r>
      <w:r w:rsidRPr="00084277">
        <w:rPr>
          <w:rFonts w:ascii="Book Antiqua" w:hAnsi="Book Antiqua"/>
          <w:sz w:val="24"/>
          <w:szCs w:val="24"/>
        </w:rPr>
        <w:t xml:space="preserve"> are in line with the data obtained with our control treatment (Figure 7) and indicates that the use of UA-ADRCs may be more effective than the use of BMAC in GBR-MSA.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Detection of factors involved in osteogenesis and bone remodeling using histochemistry and immunohistochemistry is not frequently applied in studies on GBR-MSA in dentistry. Mostly, only selected factors were investigated. In line with former studies</w:t>
      </w:r>
      <w:r w:rsidRPr="00084277">
        <w:rPr>
          <w:rFonts w:ascii="Book Antiqua" w:hAnsi="Book Antiqua"/>
          <w:sz w:val="24"/>
          <w:szCs w:val="24"/>
          <w:vertAlign w:val="superscript"/>
        </w:rPr>
        <w:t>[74,75]</w:t>
      </w:r>
      <w:r w:rsidRPr="00084277">
        <w:rPr>
          <w:rFonts w:ascii="Book Antiqua" w:hAnsi="Book Antiqua"/>
          <w:sz w:val="24"/>
          <w:szCs w:val="24"/>
        </w:rPr>
        <w:t xml:space="preserve"> we applied a broader panel of antibodies including vessel markers like factor VIII/von Willebrand factor. The immunostaining pattern obtained revealed similar findings as for </w:t>
      </w:r>
      <w:r w:rsidRPr="00084277">
        <w:rPr>
          <w:rFonts w:ascii="Book Antiqua" w:hAnsi="Book Antiqua"/>
          <w:sz w:val="24"/>
          <w:szCs w:val="24"/>
        </w:rPr>
        <w:lastRenderedPageBreak/>
        <w:t>remodeling of allografts</w:t>
      </w:r>
      <w:r w:rsidRPr="00084277">
        <w:rPr>
          <w:rFonts w:ascii="Book Antiqua" w:hAnsi="Book Antiqua"/>
          <w:sz w:val="24"/>
          <w:szCs w:val="24"/>
          <w:vertAlign w:val="superscript"/>
        </w:rPr>
        <w:t>[76]</w:t>
      </w:r>
      <w:r w:rsidRPr="00084277">
        <w:rPr>
          <w:rFonts w:ascii="Book Antiqua" w:hAnsi="Book Antiqua"/>
          <w:sz w:val="24"/>
          <w:szCs w:val="24"/>
        </w:rPr>
        <w:t xml:space="preserve">. However, the direct comparison of the immunolabeling of osteogenic factors like runt-related transcription factor 2 and AP between both sides showed stronger immunopositivity after the application of UA-ADRCs, which underlines better and faster bone regeneration. </w:t>
      </w:r>
      <w:bookmarkStart w:id="169" w:name="_Hlk531002124"/>
      <w:r w:rsidRPr="00084277">
        <w:rPr>
          <w:rFonts w:ascii="Book Antiqua" w:hAnsi="Book Antiqua"/>
          <w:sz w:val="24"/>
          <w:szCs w:val="24"/>
        </w:rPr>
        <w:t>The finding of middle-sized osteoclasts on the surface of newly formed and allogeneic bone and on debris accumulations at 6 wk after GBR-MSA, with a higher osteoclast density after the application of UA-ADRCs than without UA-ADRCs (Figure 5E, 5F, and Figure 6A-D), was in line with earlier reports in the literature</w:t>
      </w:r>
      <w:r w:rsidRPr="00084277">
        <w:rPr>
          <w:rFonts w:ascii="Book Antiqua" w:hAnsi="Book Antiqua"/>
          <w:sz w:val="24"/>
          <w:szCs w:val="24"/>
          <w:vertAlign w:val="superscript"/>
        </w:rPr>
        <w:t>[77,78]</w:t>
      </w:r>
      <w:r w:rsidRPr="00084277">
        <w:rPr>
          <w:rFonts w:ascii="Book Antiqua" w:hAnsi="Book Antiqua"/>
          <w:sz w:val="24"/>
          <w:szCs w:val="24"/>
        </w:rPr>
        <w:t xml:space="preserve"> about osteoclasts involved in bone remodeling (which was increased after application of UA-ADRCs compared to the situation without UA-ADRCs). This phenomenon must not be confused with foreign material resorption by multinucleated giant cells</w:t>
      </w:r>
      <w:r w:rsidRPr="00084277">
        <w:rPr>
          <w:rFonts w:ascii="Book Antiqua" w:hAnsi="Book Antiqua"/>
          <w:sz w:val="24"/>
          <w:szCs w:val="24"/>
          <w:vertAlign w:val="superscript"/>
        </w:rPr>
        <w:t>[77]</w:t>
      </w:r>
      <w:r w:rsidRPr="00084277">
        <w:rPr>
          <w:rFonts w:ascii="Book Antiqua" w:hAnsi="Book Antiqua"/>
          <w:sz w:val="24"/>
          <w:szCs w:val="24"/>
        </w:rPr>
        <w:t xml:space="preserve">. That was not observed in the present study. </w:t>
      </w:r>
      <w:bookmarkEnd w:id="169"/>
      <w:r w:rsidRPr="00084277">
        <w:rPr>
          <w:rFonts w:ascii="Book Antiqua" w:hAnsi="Book Antiqua"/>
          <w:sz w:val="24"/>
          <w:szCs w:val="24"/>
        </w:rPr>
        <w:t>The denser vascularization on the cell treated side (detected with both histomorphometry and anti-factor VIII/von Willebrand factor immunohistochemistry) that was treated with UA-ARDCs underlines the importance of the coupling of angiogenesis and osteogenesis in bone regeneration</w:t>
      </w:r>
      <w:r w:rsidRPr="00084277">
        <w:rPr>
          <w:rFonts w:ascii="Book Antiqua" w:hAnsi="Book Antiqua"/>
          <w:sz w:val="24"/>
          <w:szCs w:val="24"/>
          <w:vertAlign w:val="superscript"/>
        </w:rPr>
        <w:t>[79]</w:t>
      </w:r>
      <w:r w:rsidRPr="00084277">
        <w:rPr>
          <w:rFonts w:ascii="Book Antiqua" w:hAnsi="Book Antiqua"/>
          <w:sz w:val="24"/>
          <w:szCs w:val="24"/>
        </w:rPr>
        <w:t>.</w:t>
      </w:r>
    </w:p>
    <w:p w:rsidR="003065D2" w:rsidRPr="00084277" w:rsidRDefault="003065D2" w:rsidP="003065D2">
      <w:pPr>
        <w:adjustRightInd w:val="0"/>
        <w:snapToGrid w:val="0"/>
        <w:spacing w:line="360" w:lineRule="auto"/>
        <w:ind w:firstLine="432"/>
        <w:rPr>
          <w:rFonts w:ascii="Book Antiqua" w:hAnsi="Book Antiqua"/>
          <w:sz w:val="24"/>
          <w:szCs w:val="24"/>
        </w:rPr>
      </w:pPr>
      <w:bookmarkStart w:id="170" w:name="_Hlk531336126"/>
      <w:r w:rsidRPr="00084277">
        <w:rPr>
          <w:rFonts w:ascii="Book Antiqua" w:hAnsi="Book Antiqua"/>
          <w:sz w:val="24"/>
          <w:szCs w:val="24"/>
        </w:rPr>
        <w:t>We did not characterize the UA-ADRCs isolated from lipoaspirate with the Transpose RT system and Matrase Reagent (both from InGeneron) in the present study. However, a very recent study compared cell suspensions that were obtained by isolating cells from lipoaspirate from 12 healthy donors using the Transpose RT system and Matrase Reagent (thereafter: "TRT-MR cell suspensions") with cell suspensions that were obtained by isolating cells from lipoaspirate from the same donors just mechanically (</w:t>
      </w:r>
      <w:r w:rsidRPr="00084277">
        <w:rPr>
          <w:rFonts w:ascii="Book Antiqua" w:hAnsi="Book Antiqua"/>
          <w:i/>
          <w:sz w:val="24"/>
          <w:szCs w:val="24"/>
        </w:rPr>
        <w:t>i.e.</w:t>
      </w:r>
      <w:r w:rsidRPr="00084277">
        <w:rPr>
          <w:rFonts w:ascii="Book Antiqua" w:hAnsi="Book Antiqua"/>
          <w:sz w:val="24"/>
          <w:szCs w:val="24"/>
        </w:rPr>
        <w:t>, using the Transpose RT system but without Matrase Reagent) (thereafter: "TRT cell suspensions")</w:t>
      </w:r>
      <w:r w:rsidRPr="00084277">
        <w:rPr>
          <w:rFonts w:ascii="Book Antiqua" w:hAnsi="Book Antiqua"/>
          <w:sz w:val="24"/>
          <w:szCs w:val="24"/>
          <w:vertAlign w:val="superscript"/>
        </w:rPr>
        <w:t>[53]</w:t>
      </w:r>
      <w:r w:rsidRPr="00084277">
        <w:rPr>
          <w:rFonts w:ascii="Book Antiqua" w:hAnsi="Book Antiqua"/>
          <w:sz w:val="24"/>
          <w:szCs w:val="24"/>
        </w:rPr>
        <w:t>. It was found that the mean cell yield (numbers of cells/g of processed lipoaspirate) was approximately twelve times higher in TRT-MR cell suspensions than in TRT cell suspensions (</w:t>
      </w:r>
      <w:r w:rsidRPr="00084277">
        <w:rPr>
          <w:rFonts w:ascii="Book Antiqua" w:hAnsi="Book Antiqua"/>
          <w:i/>
          <w:caps/>
          <w:sz w:val="24"/>
          <w:szCs w:val="24"/>
        </w:rPr>
        <w:t>p</w:t>
      </w:r>
      <w:r w:rsidRPr="00084277">
        <w:rPr>
          <w:rFonts w:ascii="Book Antiqua" w:hAnsi="Book Antiqua"/>
          <w:sz w:val="24"/>
          <w:szCs w:val="24"/>
        </w:rPr>
        <w:t xml:space="preserve"> &lt; 0.001), and cells in TRT-MR cell suspensions formed on average 16 times more colony forming units (considered to be an indicator of stemness) per g lipoaspirate than cells in TRT cell suspensions (</w:t>
      </w:r>
      <w:r w:rsidRPr="00084277">
        <w:rPr>
          <w:rFonts w:ascii="Book Antiqua" w:hAnsi="Book Antiqua"/>
          <w:i/>
          <w:caps/>
          <w:sz w:val="24"/>
          <w:szCs w:val="24"/>
        </w:rPr>
        <w:t xml:space="preserve">p </w:t>
      </w:r>
      <w:r w:rsidRPr="00084277">
        <w:rPr>
          <w:rFonts w:ascii="Book Antiqua" w:hAnsi="Book Antiqua"/>
          <w:sz w:val="24"/>
          <w:szCs w:val="24"/>
        </w:rPr>
        <w:t>&lt; 0.001)</w:t>
      </w:r>
      <w:r w:rsidRPr="00084277">
        <w:rPr>
          <w:rFonts w:ascii="Book Antiqua" w:hAnsi="Book Antiqua"/>
          <w:sz w:val="24"/>
          <w:szCs w:val="24"/>
          <w:vertAlign w:val="superscript"/>
        </w:rPr>
        <w:t>[53]</w:t>
      </w:r>
      <w:r w:rsidRPr="00084277">
        <w:rPr>
          <w:rFonts w:ascii="Book Antiqua" w:hAnsi="Book Antiqua"/>
          <w:sz w:val="24"/>
          <w:szCs w:val="24"/>
        </w:rPr>
        <w:t xml:space="preserve">. Of note, the mean relative number of </w:t>
      </w:r>
      <w:r w:rsidRPr="00084277">
        <w:rPr>
          <w:rFonts w:ascii="Book Antiqua" w:hAnsi="Book Antiqua"/>
          <w:sz w:val="24"/>
          <w:szCs w:val="24"/>
        </w:rPr>
        <w:lastRenderedPageBreak/>
        <w:t xml:space="preserve">viable cells in TRT-MR cell suspensions (85.9% ± 1.1%; mean ± </w:t>
      </w:r>
      <w:r w:rsidRPr="00084277">
        <w:rPr>
          <w:rFonts w:ascii="Book Antiqua" w:hAnsi="Book Antiqua"/>
          <w:caps/>
          <w:sz w:val="24"/>
          <w:szCs w:val="24"/>
        </w:rPr>
        <w:t>se</w:t>
      </w:r>
      <w:r w:rsidRPr="00084277">
        <w:rPr>
          <w:rFonts w:ascii="Book Antiqua" w:hAnsi="Book Antiqua"/>
          <w:sz w:val="24"/>
          <w:szCs w:val="24"/>
        </w:rPr>
        <w:t>) exceeded the proposed minimum threshold for the viability of cells in the stromal vascular fraction of 70% established by the International Federation for Adipose Therapeutics and Science</w:t>
      </w:r>
      <w:r w:rsidRPr="00084277">
        <w:rPr>
          <w:rFonts w:ascii="Book Antiqua" w:hAnsi="Book Antiqua"/>
          <w:sz w:val="24"/>
          <w:szCs w:val="24"/>
          <w:vertAlign w:val="superscript"/>
        </w:rPr>
        <w:t>[80]</w:t>
      </w:r>
      <w:r w:rsidRPr="00084277">
        <w:rPr>
          <w:rFonts w:ascii="Book Antiqua" w:hAnsi="Book Antiqua"/>
          <w:sz w:val="24"/>
          <w:szCs w:val="24"/>
        </w:rPr>
        <w:t>, whereas the mean relative number of viable cells in TRT suspensions (61.7% ± 2.6%) did not (</w:t>
      </w:r>
      <w:r w:rsidRPr="00084277">
        <w:rPr>
          <w:rFonts w:ascii="Book Antiqua" w:hAnsi="Book Antiqua"/>
          <w:i/>
          <w:caps/>
          <w:sz w:val="24"/>
          <w:szCs w:val="24"/>
        </w:rPr>
        <w:t>p</w:t>
      </w:r>
      <w:r w:rsidRPr="00084277">
        <w:rPr>
          <w:rFonts w:ascii="Book Antiqua" w:hAnsi="Book Antiqua"/>
          <w:sz w:val="24"/>
          <w:szCs w:val="24"/>
        </w:rPr>
        <w:t xml:space="preserve"> &lt; 0.001)</w:t>
      </w:r>
      <w:r w:rsidRPr="00084277">
        <w:rPr>
          <w:rFonts w:ascii="Book Antiqua" w:hAnsi="Book Antiqua"/>
          <w:sz w:val="24"/>
          <w:szCs w:val="24"/>
          <w:vertAlign w:val="superscript"/>
        </w:rPr>
        <w:t>[53]</w:t>
      </w:r>
      <w:r w:rsidRPr="00084277">
        <w:rPr>
          <w:rFonts w:ascii="Book Antiqua" w:hAnsi="Book Antiqua"/>
          <w:sz w:val="24"/>
          <w:szCs w:val="24"/>
        </w:rPr>
        <w:t>. On the other hand, cells in TRT-MR cell suspensions exhibited no statistically significant differences in the expression of regenerative cell-associated genes such as Oct4, Hes1, and Klf4 compared to cells in TRT cell suspensions</w:t>
      </w:r>
      <w:r w:rsidRPr="00084277">
        <w:rPr>
          <w:rFonts w:ascii="Book Antiqua" w:hAnsi="Book Antiqua"/>
          <w:sz w:val="24"/>
          <w:szCs w:val="24"/>
          <w:vertAlign w:val="superscript"/>
        </w:rPr>
        <w:t>[53]</w:t>
      </w:r>
      <w:r w:rsidRPr="00084277">
        <w:rPr>
          <w:rFonts w:ascii="Book Antiqua" w:hAnsi="Book Antiqua"/>
          <w:sz w:val="24"/>
          <w:szCs w:val="24"/>
        </w:rPr>
        <w:t xml:space="preserve">. </w:t>
      </w:r>
    </w:p>
    <w:p w:rsidR="003065D2" w:rsidRPr="00084277" w:rsidRDefault="003065D2" w:rsidP="003065D2">
      <w:pPr>
        <w:adjustRightInd w:val="0"/>
        <w:snapToGrid w:val="0"/>
        <w:spacing w:line="360" w:lineRule="auto"/>
        <w:ind w:firstLine="432"/>
        <w:rPr>
          <w:rFonts w:ascii="Book Antiqua" w:hAnsi="Book Antiqua"/>
          <w:sz w:val="24"/>
          <w:szCs w:val="24"/>
        </w:rPr>
      </w:pPr>
      <w:bookmarkStart w:id="171" w:name="_Hlk531336541"/>
      <w:r w:rsidRPr="00084277">
        <w:rPr>
          <w:rFonts w:ascii="Book Antiqua" w:hAnsi="Book Antiqua"/>
          <w:sz w:val="24"/>
          <w:szCs w:val="24"/>
        </w:rPr>
        <w:t>The same study demonstrated that upon stimulation with specific differentiation media cells in TRT-MR and TRT cell suspensions were independently able to differentiate into cells from all three germ layers (</w:t>
      </w:r>
      <w:r w:rsidRPr="00084277">
        <w:rPr>
          <w:rFonts w:ascii="Book Antiqua" w:hAnsi="Book Antiqua"/>
          <w:i/>
          <w:sz w:val="24"/>
          <w:szCs w:val="24"/>
        </w:rPr>
        <w:t>i.e.</w:t>
      </w:r>
      <w:r w:rsidRPr="00084277">
        <w:rPr>
          <w:rFonts w:ascii="Book Antiqua" w:hAnsi="Book Antiqua"/>
          <w:sz w:val="24"/>
          <w:szCs w:val="24"/>
        </w:rPr>
        <w:t>, into the adipogenic, osteogenic, hepatogenic, and neurogenic lineages)</w:t>
      </w:r>
      <w:r w:rsidRPr="00084277">
        <w:rPr>
          <w:rFonts w:ascii="Book Antiqua" w:hAnsi="Book Antiqua"/>
          <w:sz w:val="24"/>
          <w:szCs w:val="24"/>
          <w:vertAlign w:val="superscript"/>
        </w:rPr>
        <w:t>[53]</w:t>
      </w:r>
      <w:r w:rsidRPr="00084277">
        <w:rPr>
          <w:rFonts w:ascii="Book Antiqua" w:hAnsi="Book Antiqua"/>
          <w:sz w:val="24"/>
          <w:szCs w:val="24"/>
        </w:rPr>
        <w:t>. The latter is in line with earlier findings that adult stem cells may obtain any of the lineages but depend on constant induction of differentiation and re-confirmation by signals released and communicated from the local microenvironment</w:t>
      </w:r>
      <w:r w:rsidRPr="00084277">
        <w:rPr>
          <w:rFonts w:ascii="Book Antiqua" w:hAnsi="Book Antiqua"/>
          <w:sz w:val="24"/>
          <w:szCs w:val="24"/>
          <w:vertAlign w:val="superscript"/>
        </w:rPr>
        <w:t>[81-83]</w:t>
      </w:r>
      <w:r w:rsidRPr="00084277">
        <w:rPr>
          <w:rFonts w:ascii="Book Antiqua" w:hAnsi="Book Antiqua"/>
          <w:sz w:val="24"/>
          <w:szCs w:val="24"/>
        </w:rPr>
        <w:t>. If this information and confirmation is missing or ceases, adult stem cells stop differentiating</w:t>
      </w:r>
      <w:r w:rsidRPr="00084277">
        <w:rPr>
          <w:rFonts w:ascii="Book Antiqua" w:hAnsi="Book Antiqua"/>
          <w:sz w:val="24"/>
          <w:szCs w:val="24"/>
          <w:vertAlign w:val="superscript"/>
        </w:rPr>
        <w:t>[84,85]</w:t>
      </w:r>
      <w:r w:rsidRPr="00084277">
        <w:rPr>
          <w:rFonts w:ascii="Book Antiqua" w:hAnsi="Book Antiqua"/>
          <w:sz w:val="24"/>
          <w:szCs w:val="24"/>
        </w:rPr>
        <w:t>. In fact, only true stem cells are able to continue their expected differentiation pathway as supported by the local microenvironment</w:t>
      </w:r>
      <w:r w:rsidRPr="00084277">
        <w:rPr>
          <w:rFonts w:ascii="Book Antiqua" w:hAnsi="Book Antiqua"/>
          <w:sz w:val="24"/>
          <w:szCs w:val="24"/>
          <w:vertAlign w:val="superscript"/>
        </w:rPr>
        <w:t>[86-88]</w:t>
      </w:r>
      <w:r w:rsidRPr="00084277">
        <w:rPr>
          <w:rFonts w:ascii="Book Antiqua" w:hAnsi="Book Antiqua"/>
          <w:sz w:val="24"/>
          <w:szCs w:val="24"/>
        </w:rPr>
        <w:t>. This is one of several reasons why adult stem cell therapy with UA-ARDCs is very safe</w:t>
      </w:r>
      <w:r w:rsidRPr="00084277">
        <w:rPr>
          <w:rFonts w:ascii="Book Antiqua" w:hAnsi="Book Antiqua"/>
          <w:sz w:val="24"/>
          <w:szCs w:val="24"/>
          <w:vertAlign w:val="superscript"/>
        </w:rPr>
        <w:t>[89-91]</w:t>
      </w:r>
      <w:r w:rsidRPr="00084277">
        <w:rPr>
          <w:rFonts w:ascii="Book Antiqua" w:hAnsi="Book Antiqua"/>
          <w:sz w:val="24"/>
          <w:szCs w:val="24"/>
        </w:rPr>
        <w:t>. In contrast, safety concerns have been raised regarding stem cell therapy with cultured adult stem cells because with higher passages an increased rate of potential malignant transformation may occur</w:t>
      </w:r>
      <w:r w:rsidRPr="00084277">
        <w:rPr>
          <w:rFonts w:ascii="Book Antiqua" w:hAnsi="Book Antiqua"/>
          <w:sz w:val="24"/>
          <w:szCs w:val="24"/>
          <w:vertAlign w:val="superscript"/>
        </w:rPr>
        <w:t>[92-94]</w:t>
      </w:r>
      <w:r w:rsidRPr="00084277">
        <w:rPr>
          <w:rFonts w:ascii="Book Antiqua" w:hAnsi="Book Antiqua"/>
          <w:sz w:val="24"/>
          <w:szCs w:val="24"/>
        </w:rPr>
        <w:t>.</w:t>
      </w:r>
    </w:p>
    <w:bookmarkEnd w:id="171"/>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A study on fresh, uncultured cells that were isolated from adipose tissue of pigs using the Transpose RT system and Matrase Reagent showed that approximately 40% of cells in the stromal vascular fraction were immunopositive for CD29 (thereafter: CD29</w:t>
      </w:r>
      <w:r w:rsidRPr="00084277">
        <w:rPr>
          <w:rFonts w:ascii="Book Antiqua" w:hAnsi="Book Antiqua"/>
          <w:sz w:val="24"/>
          <w:szCs w:val="24"/>
          <w:vertAlign w:val="superscript"/>
        </w:rPr>
        <w:t>+</w:t>
      </w:r>
      <w:r w:rsidRPr="00084277">
        <w:rPr>
          <w:rFonts w:ascii="Book Antiqua" w:hAnsi="Book Antiqua"/>
          <w:sz w:val="24"/>
          <w:szCs w:val="24"/>
        </w:rPr>
        <w:t>) and CD44</w:t>
      </w:r>
      <w:r w:rsidRPr="00084277">
        <w:rPr>
          <w:rFonts w:ascii="Book Antiqua" w:hAnsi="Book Antiqua"/>
          <w:sz w:val="24"/>
          <w:szCs w:val="24"/>
          <w:vertAlign w:val="superscript"/>
        </w:rPr>
        <w:t>+[95]</w:t>
      </w:r>
      <w:r w:rsidRPr="00084277">
        <w:rPr>
          <w:rFonts w:ascii="Book Antiqua" w:hAnsi="Book Antiqua"/>
          <w:sz w:val="24"/>
          <w:szCs w:val="24"/>
        </w:rPr>
        <w:t>, which are markers of adipose tissue-derived stem cells</w:t>
      </w:r>
      <w:r w:rsidRPr="00084277">
        <w:rPr>
          <w:rFonts w:ascii="Book Antiqua" w:hAnsi="Book Antiqua"/>
          <w:sz w:val="24"/>
          <w:szCs w:val="24"/>
          <w:vertAlign w:val="superscript"/>
        </w:rPr>
        <w:t>[50,96]</w:t>
      </w:r>
      <w:r w:rsidRPr="00084277">
        <w:rPr>
          <w:rFonts w:ascii="Book Antiqua" w:hAnsi="Book Antiqua"/>
          <w:sz w:val="24"/>
          <w:szCs w:val="24"/>
        </w:rPr>
        <w:t>. Furthermore, on average only 9% of the cells were CD45</w:t>
      </w:r>
      <w:r w:rsidRPr="00084277">
        <w:rPr>
          <w:rFonts w:ascii="Book Antiqua" w:hAnsi="Book Antiqua"/>
          <w:sz w:val="24"/>
          <w:szCs w:val="24"/>
          <w:vertAlign w:val="superscript"/>
        </w:rPr>
        <w:t>+</w:t>
      </w:r>
      <w:r w:rsidRPr="00084277">
        <w:rPr>
          <w:rFonts w:ascii="Book Antiqua" w:hAnsi="Book Antiqua"/>
          <w:sz w:val="24"/>
          <w:szCs w:val="24"/>
        </w:rPr>
        <w:t xml:space="preserve"> (a marker of blood derived cells</w:t>
      </w:r>
      <w:r w:rsidRPr="00084277">
        <w:rPr>
          <w:rFonts w:ascii="Book Antiqua" w:hAnsi="Book Antiqua"/>
          <w:sz w:val="24"/>
          <w:szCs w:val="24"/>
          <w:vertAlign w:val="superscript"/>
        </w:rPr>
        <w:t>[50]</w:t>
      </w:r>
      <w:r w:rsidRPr="00084277">
        <w:rPr>
          <w:rFonts w:ascii="Book Antiqua" w:hAnsi="Book Antiqua"/>
          <w:sz w:val="24"/>
          <w:szCs w:val="24"/>
        </w:rPr>
        <w:t>), and on average only 11% of the cells were CD31</w:t>
      </w:r>
      <w:r w:rsidRPr="00084277">
        <w:rPr>
          <w:rFonts w:ascii="Book Antiqua" w:hAnsi="Book Antiqua"/>
          <w:sz w:val="24"/>
          <w:szCs w:val="24"/>
          <w:vertAlign w:val="superscript"/>
        </w:rPr>
        <w:t>+</w:t>
      </w:r>
      <w:r w:rsidRPr="00084277">
        <w:rPr>
          <w:rFonts w:ascii="Book Antiqua" w:hAnsi="Book Antiqua"/>
          <w:sz w:val="24"/>
          <w:szCs w:val="24"/>
        </w:rPr>
        <w:t xml:space="preserve"> (a marker of endothelial cells</w:t>
      </w:r>
      <w:r w:rsidRPr="00084277">
        <w:rPr>
          <w:rFonts w:ascii="Book Antiqua" w:hAnsi="Book Antiqua"/>
          <w:sz w:val="24"/>
          <w:szCs w:val="24"/>
          <w:vertAlign w:val="superscript"/>
        </w:rPr>
        <w:t>[50]</w:t>
      </w:r>
      <w:r w:rsidRPr="00084277">
        <w:rPr>
          <w:rFonts w:ascii="Book Antiqua" w:hAnsi="Book Antiqua"/>
          <w:sz w:val="24"/>
          <w:szCs w:val="24"/>
        </w:rPr>
        <w:t xml:space="preserve">). Another study on fresh, uncultured cells that were isolated from adipose </w:t>
      </w:r>
      <w:r w:rsidRPr="00084277">
        <w:rPr>
          <w:rFonts w:ascii="Book Antiqua" w:hAnsi="Book Antiqua"/>
          <w:sz w:val="24"/>
          <w:szCs w:val="24"/>
        </w:rPr>
        <w:lastRenderedPageBreak/>
        <w:t>tissue of horses using a predecessor of the Transpose RT system (ARC system; InGeneron) and Matrase Reagent found the highest relative gene expression of osteocalcin (a gene associated with the osteogenic lineage</w:t>
      </w:r>
      <w:r w:rsidRPr="00084277">
        <w:rPr>
          <w:rFonts w:ascii="Book Antiqua" w:hAnsi="Book Antiqua"/>
          <w:sz w:val="24"/>
          <w:szCs w:val="24"/>
          <w:vertAlign w:val="superscript"/>
        </w:rPr>
        <w:t>[97]</w:t>
      </w:r>
      <w:r w:rsidRPr="00084277">
        <w:rPr>
          <w:rFonts w:ascii="Book Antiqua" w:hAnsi="Book Antiqua"/>
          <w:sz w:val="24"/>
          <w:szCs w:val="24"/>
        </w:rPr>
        <w:t>) when investigating these cells for the relative gene expression of CD44, CD73, CD90, CD105, CD146, and CD166 (mesenchymal stem cell surface markers), CD34 and CD45 (hematopoietic markers), CD31 (endothelial cell marker), type-1 collagen, PPARγ2 (a gene associated with the adipogenic lineage), and osteocalcin</w:t>
      </w:r>
      <w:r w:rsidRPr="00084277">
        <w:rPr>
          <w:rFonts w:ascii="Book Antiqua" w:hAnsi="Book Antiqua"/>
          <w:sz w:val="24"/>
          <w:szCs w:val="24"/>
          <w:vertAlign w:val="superscript"/>
        </w:rPr>
        <w:t>[98]</w:t>
      </w:r>
      <w:r w:rsidRPr="00084277">
        <w:rPr>
          <w:rFonts w:ascii="Book Antiqua" w:hAnsi="Book Antiqua"/>
          <w:sz w:val="24"/>
          <w:szCs w:val="24"/>
        </w:rPr>
        <w:t xml:space="preserve">. Collectively, these data underline the osteogenic potential of the UA-ADRCs used in the present study. </w:t>
      </w:r>
    </w:p>
    <w:bookmarkEnd w:id="170"/>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We used PRGF-2 rather than PRP because our clinical experience is in line with data from a recent experimental study on rats that showed that PRGF-2 has more availability for bone regeneration than PRP</w:t>
      </w:r>
      <w:r w:rsidRPr="00084277">
        <w:rPr>
          <w:rFonts w:ascii="Book Antiqua" w:hAnsi="Book Antiqua"/>
          <w:sz w:val="24"/>
          <w:szCs w:val="24"/>
          <w:vertAlign w:val="superscript"/>
        </w:rPr>
        <w:t>[34]</w:t>
      </w:r>
      <w:r w:rsidRPr="00084277">
        <w:rPr>
          <w:rFonts w:ascii="Book Antiqua" w:hAnsi="Book Antiqua"/>
          <w:sz w:val="24"/>
          <w:szCs w:val="24"/>
        </w:rPr>
        <w:t xml:space="preserve">. </w:t>
      </w:r>
      <w:bookmarkStart w:id="172" w:name="_Hlk531336798"/>
      <w:r w:rsidRPr="00084277">
        <w:rPr>
          <w:rFonts w:ascii="Book Antiqua" w:hAnsi="Book Antiqua"/>
          <w:sz w:val="24"/>
          <w:szCs w:val="24"/>
        </w:rPr>
        <w:t>The content of PRGF-2 prepared using the PRGF-Endoret technology (BTI) was investigated in several studies in the literature. Most relevant to the results of the present study was the demonstration of high amounts of growth factors in PRGF-2</w:t>
      </w:r>
      <w:r w:rsidRPr="00084277">
        <w:rPr>
          <w:rFonts w:ascii="Book Antiqua" w:hAnsi="Book Antiqua"/>
          <w:sz w:val="24"/>
          <w:szCs w:val="24"/>
          <w:vertAlign w:val="superscript"/>
        </w:rPr>
        <w:t>[98]</w:t>
      </w:r>
      <w:r w:rsidRPr="00084277">
        <w:rPr>
          <w:rFonts w:ascii="Book Antiqua" w:hAnsi="Book Antiqua"/>
          <w:sz w:val="24"/>
          <w:szCs w:val="24"/>
        </w:rPr>
        <w:t xml:space="preserve">, </w:t>
      </w:r>
      <w:r w:rsidRPr="00084277">
        <w:rPr>
          <w:rFonts w:ascii="Book Antiqua" w:hAnsi="Book Antiqua"/>
          <w:i/>
          <w:sz w:val="24"/>
          <w:szCs w:val="24"/>
        </w:rPr>
        <w:t>i.e.</w:t>
      </w:r>
      <w:r w:rsidRPr="00084277">
        <w:rPr>
          <w:rFonts w:ascii="Book Antiqua" w:hAnsi="Book Antiqua"/>
          <w:sz w:val="24"/>
          <w:szCs w:val="24"/>
        </w:rPr>
        <w:t xml:space="preserve"> on average approximately 14000 pg/m</w:t>
      </w:r>
      <w:r w:rsidRPr="00084277">
        <w:rPr>
          <w:rFonts w:ascii="Book Antiqua" w:hAnsi="Book Antiqua"/>
          <w:caps/>
          <w:sz w:val="24"/>
          <w:szCs w:val="24"/>
        </w:rPr>
        <w:t>l</w:t>
      </w:r>
      <w:r w:rsidRPr="00084277">
        <w:rPr>
          <w:rFonts w:ascii="Book Antiqua" w:hAnsi="Book Antiqua"/>
          <w:sz w:val="24"/>
          <w:szCs w:val="24"/>
        </w:rPr>
        <w:t xml:space="preserve"> of platelet derived growth factor-AB, 46000 pg/m</w:t>
      </w:r>
      <w:r w:rsidRPr="00084277">
        <w:rPr>
          <w:rFonts w:ascii="Book Antiqua" w:hAnsi="Book Antiqua"/>
          <w:caps/>
          <w:sz w:val="24"/>
          <w:szCs w:val="24"/>
        </w:rPr>
        <w:t>l</w:t>
      </w:r>
      <w:r w:rsidRPr="00084277">
        <w:rPr>
          <w:rFonts w:ascii="Book Antiqua" w:hAnsi="Book Antiqua"/>
          <w:sz w:val="24"/>
          <w:szCs w:val="24"/>
        </w:rPr>
        <w:t xml:space="preserve"> of transforming growth factor-β</w:t>
      </w:r>
      <w:r w:rsidRPr="00084277" w:rsidDel="00D61EA3">
        <w:rPr>
          <w:rFonts w:ascii="Book Antiqua" w:hAnsi="Book Antiqua"/>
          <w:sz w:val="24"/>
          <w:szCs w:val="24"/>
        </w:rPr>
        <w:t xml:space="preserve"> </w:t>
      </w:r>
      <w:r w:rsidRPr="00084277">
        <w:rPr>
          <w:rFonts w:ascii="Book Antiqua" w:hAnsi="Book Antiqua"/>
          <w:sz w:val="24"/>
          <w:szCs w:val="24"/>
        </w:rPr>
        <w:t>1, 220 pg/mL of vascular endothelial growth factor, 400 pg/m</w:t>
      </w:r>
      <w:r w:rsidRPr="00084277">
        <w:rPr>
          <w:rFonts w:ascii="Book Antiqua" w:hAnsi="Book Antiqua"/>
          <w:caps/>
          <w:sz w:val="24"/>
          <w:szCs w:val="24"/>
        </w:rPr>
        <w:t>l</w:t>
      </w:r>
      <w:r w:rsidRPr="00084277">
        <w:rPr>
          <w:rFonts w:ascii="Book Antiqua" w:hAnsi="Book Antiqua"/>
          <w:sz w:val="24"/>
          <w:szCs w:val="24"/>
        </w:rPr>
        <w:t xml:space="preserve"> hepatocyte growth factor, 83000 pg/m</w:t>
      </w:r>
      <w:r w:rsidRPr="00084277">
        <w:rPr>
          <w:rFonts w:ascii="Book Antiqua" w:hAnsi="Book Antiqua"/>
          <w:caps/>
          <w:sz w:val="24"/>
          <w:szCs w:val="24"/>
        </w:rPr>
        <w:t>l</w:t>
      </w:r>
      <w:r w:rsidRPr="00084277">
        <w:rPr>
          <w:rFonts w:ascii="Book Antiqua" w:hAnsi="Book Antiqua"/>
          <w:sz w:val="24"/>
          <w:szCs w:val="24"/>
        </w:rPr>
        <w:t xml:space="preserve"> insulin-like growth factor-1, and 600 pg/m</w:t>
      </w:r>
      <w:r w:rsidRPr="00084277">
        <w:rPr>
          <w:rFonts w:ascii="Book Antiqua" w:hAnsi="Book Antiqua"/>
          <w:caps/>
          <w:sz w:val="24"/>
          <w:szCs w:val="24"/>
        </w:rPr>
        <w:t>l</w:t>
      </w:r>
      <w:r w:rsidRPr="00084277">
        <w:rPr>
          <w:rFonts w:ascii="Book Antiqua" w:hAnsi="Book Antiqua"/>
          <w:sz w:val="24"/>
          <w:szCs w:val="24"/>
        </w:rPr>
        <w:t xml:space="preserve"> endothelial growth factor (note that what was named "PRGF F3" in</w:t>
      </w:r>
      <w:r w:rsidRPr="00084277">
        <w:rPr>
          <w:rFonts w:ascii="Book Antiqua" w:hAnsi="Book Antiqua"/>
          <w:sz w:val="24"/>
          <w:szCs w:val="24"/>
          <w:vertAlign w:val="superscript"/>
        </w:rPr>
        <w:t>[98]</w:t>
      </w:r>
      <w:r w:rsidRPr="00084277">
        <w:rPr>
          <w:rFonts w:ascii="Book Antiqua" w:hAnsi="Book Antiqua"/>
          <w:sz w:val="24"/>
          <w:szCs w:val="24"/>
        </w:rPr>
        <w:t xml:space="preserve"> is now named "Fraction 2 of PRGF" according to BTI, and the latter terminology was used in the present study). </w:t>
      </w:r>
      <w:bookmarkEnd w:id="172"/>
      <w:r w:rsidRPr="00084277">
        <w:rPr>
          <w:rFonts w:ascii="Book Antiqua" w:hAnsi="Book Antiqua"/>
          <w:sz w:val="24"/>
          <w:szCs w:val="24"/>
        </w:rPr>
        <w:t>Several pilot studies described the use of PRGF in GBR-MSA</w:t>
      </w:r>
      <w:r w:rsidRPr="00084277">
        <w:rPr>
          <w:rFonts w:ascii="Book Antiqua" w:hAnsi="Book Antiqua"/>
          <w:sz w:val="24"/>
          <w:szCs w:val="24"/>
          <w:vertAlign w:val="superscript"/>
        </w:rPr>
        <w:t>[99-101]</w:t>
      </w:r>
      <w:r w:rsidRPr="00084277">
        <w:rPr>
          <w:rFonts w:ascii="Book Antiqua" w:hAnsi="Book Antiqua"/>
          <w:sz w:val="24"/>
          <w:szCs w:val="24"/>
        </w:rPr>
        <w:t xml:space="preserve">. Furthermore, it was shown that PRGF can stimulate the proliferation, migration, and chemotaxis of osteoblasts </w:t>
      </w:r>
      <w:r w:rsidRPr="00084277">
        <w:rPr>
          <w:rFonts w:ascii="Book Antiqua" w:hAnsi="Book Antiqua"/>
          <w:i/>
          <w:sz w:val="24"/>
          <w:szCs w:val="24"/>
        </w:rPr>
        <w:t>in vitro</w:t>
      </w:r>
      <w:r w:rsidRPr="00084277">
        <w:rPr>
          <w:rFonts w:ascii="Book Antiqua" w:hAnsi="Book Antiqua"/>
          <w:sz w:val="24"/>
          <w:szCs w:val="24"/>
        </w:rPr>
        <w:t xml:space="preserve"> and enhance the osteblasts’ autocrine expression of vascular endothelial growth factor and hepatocyte growth factor that are proangiogenic factors</w:t>
      </w:r>
      <w:r w:rsidRPr="00084277">
        <w:rPr>
          <w:rFonts w:ascii="Book Antiqua" w:hAnsi="Book Antiqua"/>
          <w:sz w:val="24"/>
          <w:szCs w:val="24"/>
          <w:vertAlign w:val="superscript"/>
        </w:rPr>
        <w:t>[98]</w:t>
      </w:r>
      <w:r w:rsidRPr="00084277">
        <w:rPr>
          <w:rFonts w:ascii="Book Antiqua" w:hAnsi="Book Antiqua"/>
          <w:sz w:val="24"/>
          <w:szCs w:val="24"/>
        </w:rPr>
        <w:t>. Both vascular endothelial growth factor and hepatocyte growth factor are contained in PRGF-2</w:t>
      </w:r>
      <w:r w:rsidRPr="00084277">
        <w:rPr>
          <w:rFonts w:ascii="Book Antiqua" w:hAnsi="Book Antiqua"/>
          <w:sz w:val="24"/>
          <w:szCs w:val="24"/>
          <w:vertAlign w:val="superscript"/>
        </w:rPr>
        <w:t>[98]</w:t>
      </w:r>
      <w:r w:rsidRPr="00084277">
        <w:rPr>
          <w:rFonts w:ascii="Book Antiqua" w:hAnsi="Book Antiqua"/>
          <w:sz w:val="24"/>
          <w:szCs w:val="24"/>
        </w:rPr>
        <w:t xml:space="preserve"> and were also identified within the ASCs’ secretome (reviewed in</w:t>
      </w:r>
      <w:r w:rsidRPr="00084277">
        <w:rPr>
          <w:rFonts w:ascii="Book Antiqua" w:hAnsi="Book Antiqua"/>
          <w:sz w:val="24"/>
          <w:szCs w:val="24"/>
          <w:vertAlign w:val="superscript"/>
        </w:rPr>
        <w:t>[102])</w:t>
      </w:r>
      <w:r w:rsidRPr="00084277">
        <w:rPr>
          <w:rFonts w:ascii="Book Antiqua" w:hAnsi="Book Antiqua"/>
          <w:sz w:val="24"/>
          <w:szCs w:val="24"/>
        </w:rPr>
        <w:t xml:space="preserve">. A recent study showed that PRGF can induce proliferation and migration of human-derived ASCs and reduce senescence and autophagocytosis of these cells </w:t>
      </w:r>
      <w:r w:rsidRPr="00084277">
        <w:rPr>
          <w:rFonts w:ascii="Book Antiqua" w:hAnsi="Book Antiqua"/>
          <w:i/>
          <w:sz w:val="24"/>
          <w:szCs w:val="24"/>
        </w:rPr>
        <w:t>in vitro</w:t>
      </w:r>
      <w:r w:rsidRPr="00084277">
        <w:rPr>
          <w:rFonts w:ascii="Book Antiqua" w:hAnsi="Book Antiqua"/>
          <w:sz w:val="24"/>
          <w:szCs w:val="24"/>
          <w:vertAlign w:val="superscript"/>
        </w:rPr>
        <w:t>[103]</w:t>
      </w:r>
      <w:r w:rsidRPr="00084277">
        <w:rPr>
          <w:rFonts w:ascii="Book Antiqua" w:hAnsi="Book Antiqua"/>
          <w:sz w:val="24"/>
          <w:szCs w:val="24"/>
        </w:rPr>
        <w:t>. The same study</w:t>
      </w:r>
      <w:r w:rsidRPr="00084277">
        <w:rPr>
          <w:rFonts w:ascii="Book Antiqua" w:hAnsi="Book Antiqua"/>
          <w:sz w:val="24"/>
          <w:szCs w:val="24"/>
          <w:vertAlign w:val="superscript"/>
        </w:rPr>
        <w:t>[103]</w:t>
      </w:r>
      <w:r w:rsidRPr="00084277">
        <w:rPr>
          <w:rFonts w:ascii="Book Antiqua" w:hAnsi="Book Antiqua"/>
          <w:sz w:val="24"/>
          <w:szCs w:val="24"/>
        </w:rPr>
        <w:t xml:space="preserve"> confirmed our own finding that </w:t>
      </w:r>
      <w:r w:rsidRPr="00084277">
        <w:rPr>
          <w:rFonts w:ascii="Book Antiqua" w:hAnsi="Book Antiqua"/>
          <w:sz w:val="24"/>
          <w:szCs w:val="24"/>
        </w:rPr>
        <w:lastRenderedPageBreak/>
        <w:t>human-derived ASCs can efficiently differentiate into osteocytes or adipocytes when cultured in osteogenic or adipogenic induction medium, respectively</w:t>
      </w:r>
      <w:r w:rsidRPr="00084277">
        <w:rPr>
          <w:rFonts w:ascii="Book Antiqua" w:hAnsi="Book Antiqua"/>
          <w:sz w:val="24"/>
          <w:szCs w:val="24"/>
          <w:vertAlign w:val="superscript"/>
        </w:rPr>
        <w:t>[53,104]</w:t>
      </w:r>
      <w:r w:rsidRPr="00084277">
        <w:rPr>
          <w:rFonts w:ascii="Book Antiqua" w:hAnsi="Book Antiqua"/>
          <w:sz w:val="24"/>
          <w:szCs w:val="24"/>
        </w:rPr>
        <w:t>, but also demonstrated that this process is enhanced in the presence of PRGF</w:t>
      </w:r>
      <w:r w:rsidRPr="00084277">
        <w:rPr>
          <w:rFonts w:ascii="Book Antiqua" w:hAnsi="Book Antiqua"/>
          <w:sz w:val="24"/>
          <w:szCs w:val="24"/>
          <w:vertAlign w:val="superscript"/>
        </w:rPr>
        <w:t>[103]</w:t>
      </w:r>
      <w:r w:rsidRPr="00084277">
        <w:rPr>
          <w:rFonts w:ascii="Book Antiqua" w:hAnsi="Book Antiqua"/>
          <w:sz w:val="24"/>
          <w:szCs w:val="24"/>
        </w:rPr>
        <w:t>. Accordingly, our finding that the treatment with MCBPA/PRGF-2/UA-ADRCs resulted in the formation of 44% more bone and 83% fewer adipocytes in the biopsies collected at 34 wk after GBR-MSA (Figure 9) cannot be directly attributed to the action of PRGF-2 on UA-ADRCs. Rather, it is reasonable to hypothesize that cues from the local extracellular environment affected the properties of the UA-ADRCs in terms of proliferation and specific osteogenic differentiation (c.f.</w:t>
      </w:r>
      <w:r w:rsidRPr="00084277">
        <w:rPr>
          <w:rFonts w:ascii="Book Antiqua" w:hAnsi="Book Antiqua"/>
          <w:sz w:val="24"/>
          <w:szCs w:val="24"/>
          <w:vertAlign w:val="superscript"/>
        </w:rPr>
        <w:t>[105]</w:t>
      </w:r>
      <w:r w:rsidRPr="00084277">
        <w:rPr>
          <w:rFonts w:ascii="Book Antiqua" w:hAnsi="Book Antiqua"/>
          <w:sz w:val="24"/>
          <w:szCs w:val="24"/>
        </w:rPr>
        <w:t xml:space="preserve">), and this process was enhanced by PRGF-2. </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GBR-MSA has been performed using a number of grafting materials, including autologous bone grafts, allografts, and xenografts</w:t>
      </w:r>
      <w:r w:rsidRPr="00084277">
        <w:rPr>
          <w:rFonts w:ascii="Book Antiqua" w:hAnsi="Book Antiqua"/>
          <w:sz w:val="24"/>
          <w:szCs w:val="24"/>
          <w:vertAlign w:val="superscript"/>
        </w:rPr>
        <w:t>[106]</w:t>
      </w:r>
      <w:r w:rsidRPr="00084277">
        <w:rPr>
          <w:rFonts w:ascii="Book Antiqua" w:hAnsi="Book Antiqua"/>
          <w:sz w:val="24"/>
          <w:szCs w:val="24"/>
        </w:rPr>
        <w:t>. An earlier meta-analysis published in 1998 found that the survival rates of implants placed in grafted maxillary sinuses did not depend on whether autologous, allogeneic, or alloplastic grafts were used</w:t>
      </w:r>
      <w:r w:rsidRPr="00084277">
        <w:rPr>
          <w:rFonts w:ascii="Book Antiqua" w:hAnsi="Book Antiqua"/>
          <w:sz w:val="24"/>
          <w:szCs w:val="24"/>
          <w:vertAlign w:val="superscript"/>
        </w:rPr>
        <w:t>[107]</w:t>
      </w:r>
      <w:r w:rsidRPr="00084277">
        <w:rPr>
          <w:rFonts w:ascii="Book Antiqua" w:hAnsi="Book Antiqua"/>
          <w:sz w:val="24"/>
          <w:szCs w:val="24"/>
        </w:rPr>
        <w:t>. However, when focusing on the total bone volume, another meta-analysis published in 2010 concluded that autologous bone should still be considered the gold standard in MSA surgery</w:t>
      </w:r>
      <w:r w:rsidRPr="00084277">
        <w:rPr>
          <w:rFonts w:ascii="Book Antiqua" w:hAnsi="Book Antiqua"/>
          <w:sz w:val="24"/>
          <w:szCs w:val="24"/>
          <w:vertAlign w:val="superscript"/>
        </w:rPr>
        <w:t>[108]</w:t>
      </w:r>
      <w:r w:rsidRPr="00084277">
        <w:rPr>
          <w:rFonts w:ascii="Book Antiqua" w:hAnsi="Book Antiqua"/>
          <w:sz w:val="24"/>
          <w:szCs w:val="24"/>
        </w:rPr>
        <w:t>. On the other hand, the latter study stated that the consequence of the total bone volume for implant survival is still unknown</w:t>
      </w:r>
      <w:r w:rsidRPr="00084277">
        <w:rPr>
          <w:rFonts w:ascii="Book Antiqua" w:hAnsi="Book Antiqua"/>
          <w:sz w:val="24"/>
          <w:szCs w:val="24"/>
          <w:vertAlign w:val="superscript"/>
        </w:rPr>
        <w:t>[108]</w:t>
      </w:r>
      <w:r w:rsidRPr="00084277">
        <w:rPr>
          <w:rFonts w:ascii="Book Antiqua" w:hAnsi="Book Antiqua"/>
          <w:sz w:val="24"/>
          <w:szCs w:val="24"/>
        </w:rPr>
        <w:t>. A recent meta-analysis based on 16 original studies found that the implant survival rate was 99.6% when a biomaterial was used during surgery compared to 96.0% when no graft material was used (the follow-up period was 48 to 60 mo in this study)</w:t>
      </w:r>
      <w:r w:rsidRPr="00084277">
        <w:rPr>
          <w:rFonts w:ascii="Book Antiqua" w:hAnsi="Book Antiqua"/>
          <w:sz w:val="24"/>
          <w:szCs w:val="24"/>
          <w:vertAlign w:val="superscript"/>
        </w:rPr>
        <w:t>[109]</w:t>
      </w:r>
      <w:r w:rsidRPr="00084277">
        <w:rPr>
          <w:rFonts w:ascii="Book Antiqua" w:hAnsi="Book Antiqua"/>
          <w:sz w:val="24"/>
          <w:szCs w:val="24"/>
        </w:rPr>
        <w:t>. However, these data should be handled cautiously because only two studies in this meta-analysis were performed with autologous bone grafts, and in 10 out of the 16 included studies (six out of seven studies without interpositional graft material) the average preoperative bone height was more than 5 mm, which represents Class C according to</w:t>
      </w:r>
      <w:r w:rsidRPr="00084277">
        <w:rPr>
          <w:rFonts w:ascii="Book Antiqua" w:hAnsi="Book Antiqua"/>
          <w:sz w:val="24"/>
          <w:szCs w:val="24"/>
          <w:vertAlign w:val="superscript"/>
        </w:rPr>
        <w:t>[32]</w:t>
      </w:r>
      <w:r w:rsidRPr="00084277">
        <w:rPr>
          <w:rFonts w:ascii="Book Antiqua" w:hAnsi="Book Antiqua"/>
          <w:sz w:val="24"/>
          <w:szCs w:val="24"/>
        </w:rPr>
        <w:t xml:space="preserve"> and does not resemble the situation addressed in the present study. We used the Puros Cancellous Particulate Allograft (Zimmer Biomet Dental) because it fulfills all of the following criteria that are considered essential for an OIS in the literature </w:t>
      </w:r>
      <w:r w:rsidRPr="00084277">
        <w:rPr>
          <w:rFonts w:ascii="Book Antiqua" w:hAnsi="Book Antiqua"/>
          <w:sz w:val="24"/>
          <w:szCs w:val="24"/>
        </w:rPr>
        <w:lastRenderedPageBreak/>
        <w:t>(reviewed in</w:t>
      </w:r>
      <w:r w:rsidRPr="00084277">
        <w:rPr>
          <w:rFonts w:ascii="Book Antiqua" w:hAnsi="Book Antiqua"/>
          <w:sz w:val="24"/>
          <w:szCs w:val="24"/>
          <w:vertAlign w:val="superscript"/>
        </w:rPr>
        <w:t>[110]</w:t>
      </w:r>
      <w:r w:rsidRPr="00084277">
        <w:rPr>
          <w:rFonts w:ascii="Book Antiqua" w:hAnsi="Book Antiqua"/>
          <w:sz w:val="24"/>
          <w:szCs w:val="24"/>
        </w:rPr>
        <w:t>: volume stability of at least 4 mo after implantation, full biocompatibility and resorbability, and possibility for loading with stem cells and growth factors.</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The patient who was investigated in our study was 79-years-old. The statistical life expectancy of 80-year-old men and women has increased 7.7 years and 9.2 years, respectively in Germany</w:t>
      </w:r>
      <w:r w:rsidRPr="00084277">
        <w:rPr>
          <w:rFonts w:ascii="Book Antiqua" w:hAnsi="Book Antiqua"/>
          <w:sz w:val="24"/>
          <w:szCs w:val="24"/>
          <w:vertAlign w:val="superscript"/>
        </w:rPr>
        <w:t>[111]</w:t>
      </w:r>
      <w:r w:rsidRPr="00084277">
        <w:rPr>
          <w:rFonts w:ascii="Book Antiqua" w:hAnsi="Book Antiqua"/>
          <w:sz w:val="24"/>
          <w:szCs w:val="24"/>
        </w:rPr>
        <w:t>. Thus, one can expect an increasing demand for the restoration of an aesthetic smile and a functional occlusion by patients aged 79 and older (and of course by younger patients) in the future. On the other hand, some authors have argued that age-related progressive decline in mechanical strength of tissue could be due to loss of resident stem cell number and function and have raised concerns regarding the use of autologous adult stem cell therapy in older patients</w:t>
      </w:r>
      <w:r w:rsidRPr="00084277">
        <w:rPr>
          <w:rFonts w:ascii="Book Antiqua" w:hAnsi="Book Antiqua"/>
          <w:sz w:val="24"/>
          <w:szCs w:val="24"/>
          <w:vertAlign w:val="superscript"/>
        </w:rPr>
        <w:t>[112]</w:t>
      </w:r>
      <w:r w:rsidRPr="00084277">
        <w:rPr>
          <w:rFonts w:ascii="Book Antiqua" w:hAnsi="Book Antiqua"/>
          <w:sz w:val="24"/>
          <w:szCs w:val="24"/>
        </w:rPr>
        <w:t>. Indeed, an earlier study</w:t>
      </w:r>
      <w:r w:rsidRPr="00084277">
        <w:rPr>
          <w:rFonts w:ascii="Book Antiqua" w:hAnsi="Book Antiqua"/>
          <w:sz w:val="24"/>
          <w:szCs w:val="24"/>
          <w:vertAlign w:val="superscript"/>
        </w:rPr>
        <w:t>[113]</w:t>
      </w:r>
      <w:r w:rsidRPr="00084277">
        <w:rPr>
          <w:rFonts w:ascii="Book Antiqua" w:hAnsi="Book Antiqua"/>
          <w:sz w:val="24"/>
          <w:szCs w:val="24"/>
        </w:rPr>
        <w:t xml:space="preserve"> found that the number and multilineage differentiation potential of ASCs declined with the age of healthy volunteers, combined with increased expression of cyclin-dependent kinase inhibitor p16ink4a and CHEK1 (</w:t>
      </w:r>
      <w:r w:rsidRPr="00084277">
        <w:rPr>
          <w:rFonts w:ascii="Book Antiqua" w:hAnsi="Book Antiqua"/>
          <w:i/>
          <w:sz w:val="24"/>
          <w:szCs w:val="24"/>
        </w:rPr>
        <w:t>i.e.</w:t>
      </w:r>
      <w:r w:rsidRPr="00084277">
        <w:rPr>
          <w:rFonts w:ascii="Book Antiqua" w:hAnsi="Book Antiqua"/>
          <w:sz w:val="24"/>
          <w:szCs w:val="24"/>
        </w:rPr>
        <w:t>, genes associated with senescence)</w:t>
      </w:r>
      <w:r w:rsidRPr="00084277">
        <w:rPr>
          <w:rFonts w:ascii="Book Antiqua" w:hAnsi="Book Antiqua"/>
          <w:sz w:val="24"/>
          <w:szCs w:val="24"/>
          <w:vertAlign w:val="superscript"/>
        </w:rPr>
        <w:t>[112]</w:t>
      </w:r>
      <w:r w:rsidRPr="00084277">
        <w:rPr>
          <w:rFonts w:ascii="Book Antiqua" w:hAnsi="Book Antiqua"/>
          <w:sz w:val="24"/>
          <w:szCs w:val="24"/>
        </w:rPr>
        <w:t>. These and other data reported in the literature have motivated patients to start cryopreserving ADRCs from lipoaspirate</w:t>
      </w:r>
      <w:r w:rsidRPr="00084277">
        <w:rPr>
          <w:rFonts w:ascii="Book Antiqua" w:hAnsi="Book Antiqua"/>
          <w:sz w:val="24"/>
          <w:szCs w:val="24"/>
          <w:vertAlign w:val="superscript"/>
        </w:rPr>
        <w:t>[112]</w:t>
      </w:r>
      <w:r w:rsidRPr="00084277">
        <w:rPr>
          <w:rFonts w:ascii="Book Antiqua" w:hAnsi="Book Antiqua"/>
          <w:sz w:val="24"/>
          <w:szCs w:val="24"/>
        </w:rPr>
        <w:t>. However, a recent pilot study showed that two samples of ADRCs collected from a healthy person at age 72 years and again at age 84 years showed the same cell yield and ADRC subpopulation composition without change in the proliferation rates of ASCs (obtained by culturing the ADRCs), as well as the capability of tri-lineage differentiation of both cell cultures</w:t>
      </w:r>
      <w:r w:rsidRPr="00084277">
        <w:rPr>
          <w:rFonts w:ascii="Book Antiqua" w:hAnsi="Book Antiqua"/>
          <w:sz w:val="24"/>
          <w:szCs w:val="24"/>
          <w:vertAlign w:val="superscript"/>
        </w:rPr>
        <w:t>[112]</w:t>
      </w:r>
      <w:r w:rsidRPr="00084277">
        <w:rPr>
          <w:rFonts w:ascii="Book Antiqua" w:hAnsi="Book Antiqua"/>
          <w:sz w:val="24"/>
          <w:szCs w:val="24"/>
        </w:rPr>
        <w:t>. Another recent pilot study showed that protein expression profiles of human umbilical vein endothelial cells  that were co-cultured under oxidative stress conditions with ADRCs from three healthy persons aged 42, 45, and 47 years did not differ from protein expression profiles of human umbilical vein endothelial cells</w:t>
      </w:r>
      <w:r w:rsidRPr="00084277" w:rsidDel="00631424">
        <w:rPr>
          <w:rFonts w:ascii="Book Antiqua" w:hAnsi="Book Antiqua"/>
          <w:sz w:val="24"/>
          <w:szCs w:val="24"/>
        </w:rPr>
        <w:t xml:space="preserve"> </w:t>
      </w:r>
      <w:r w:rsidRPr="00084277">
        <w:rPr>
          <w:rFonts w:ascii="Book Antiqua" w:hAnsi="Book Antiqua"/>
          <w:sz w:val="24"/>
          <w:szCs w:val="24"/>
        </w:rPr>
        <w:t>that were co-cultured under identical conditions with ADRCs from three healthy persons aged 61 and 62 (two persons) years</w:t>
      </w:r>
      <w:r w:rsidRPr="00084277">
        <w:rPr>
          <w:rFonts w:ascii="Book Antiqua" w:hAnsi="Book Antiqua"/>
          <w:sz w:val="24"/>
          <w:szCs w:val="24"/>
          <w:vertAlign w:val="superscript"/>
        </w:rPr>
        <w:t>[114]</w:t>
      </w:r>
      <w:r w:rsidRPr="00084277">
        <w:rPr>
          <w:rFonts w:ascii="Book Antiqua" w:hAnsi="Book Antiqua"/>
          <w:sz w:val="24"/>
          <w:szCs w:val="24"/>
        </w:rPr>
        <w:t xml:space="preserve">. Collectively, these data with the results of the present study, indicate (albeit preliminary) that using freshly isolated UA-ADRCs from patients aged 79 years and older is a valid approach for GBR-MSA. </w:t>
      </w:r>
      <w:r w:rsidRPr="00084277">
        <w:rPr>
          <w:rFonts w:ascii="Book Antiqua" w:hAnsi="Book Antiqua"/>
          <w:sz w:val="24"/>
          <w:szCs w:val="24"/>
        </w:rPr>
        <w:lastRenderedPageBreak/>
        <w:t>Effects of aging on PRGF-2 have, to our knowledge, not been reported.</w:t>
      </w:r>
    </w:p>
    <w:p w:rsidR="003065D2" w:rsidRPr="00084277" w:rsidRDefault="003065D2" w:rsidP="003065D2">
      <w:pPr>
        <w:adjustRightInd w:val="0"/>
        <w:snapToGrid w:val="0"/>
        <w:spacing w:line="360" w:lineRule="auto"/>
        <w:ind w:firstLine="432"/>
        <w:rPr>
          <w:rFonts w:ascii="Book Antiqua" w:hAnsi="Book Antiqua"/>
          <w:sz w:val="24"/>
          <w:szCs w:val="24"/>
        </w:rPr>
      </w:pPr>
      <w:r w:rsidRPr="00084277">
        <w:rPr>
          <w:rFonts w:ascii="Book Antiqua" w:hAnsi="Book Antiqua"/>
          <w:sz w:val="24"/>
          <w:szCs w:val="24"/>
        </w:rPr>
        <w:t>There are limitations to the present study. First, only a single patient was investigated. However, from an ethical point of view, this appears justified in a first-in-human pilot study. It goes without saying that the efficacy and safety of our novel approach must be confirmed in future studies (including well-designed randomized controlled trials) on a larger number of patients. Second, only a single combination of a certain dose of UA-ADRCs, PRGF-2, and a certain OIS was tested. However, the same was done in most other feasibility studies on cell-based therapies for GBR-MSA. Third, we did not investigate the combination of UA-ADRCs and MCBPA. Rather, we used MCBPA/PRGF-2/saline as a control treatment because we wanted to compare the effects of UA-ADRCs in GBR-MSA with an established procedure (a similar decision was taken in an earlier study</w:t>
      </w:r>
      <w:r w:rsidRPr="00084277">
        <w:rPr>
          <w:rFonts w:ascii="Book Antiqua" w:hAnsi="Book Antiqua"/>
          <w:sz w:val="24"/>
          <w:szCs w:val="24"/>
          <w:vertAlign w:val="superscript"/>
        </w:rPr>
        <w:t>[79]</w:t>
      </w:r>
      <w:r w:rsidRPr="00084277">
        <w:rPr>
          <w:rFonts w:ascii="Book Antiqua" w:hAnsi="Book Antiqua"/>
          <w:sz w:val="24"/>
          <w:szCs w:val="24"/>
        </w:rPr>
        <w:t xml:space="preserve"> that compared a combination of BMAC and BBM with a combination of autologous bone and BBM in GBR-MSA rather than BBM alone). Fourth, we were unable to determine whether (and, if so, how many) UA-ADRCs differentiated into osteoblasts. This is due to the fact that UA-ADRCs can in principle not be labeled and, thus not be quantified. </w:t>
      </w:r>
    </w:p>
    <w:p w:rsidR="003065D2" w:rsidRPr="00084277" w:rsidRDefault="003065D2" w:rsidP="003065D2">
      <w:pPr>
        <w:adjustRightInd w:val="0"/>
        <w:snapToGrid w:val="0"/>
        <w:spacing w:line="360" w:lineRule="auto"/>
        <w:ind w:firstLine="432"/>
        <w:rPr>
          <w:rFonts w:ascii="Book Antiqua" w:hAnsi="Book Antiqua"/>
          <w:sz w:val="24"/>
          <w:szCs w:val="24"/>
        </w:rPr>
      </w:pP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t>CONCLUSION</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The present study suggests that GBR-MSA with a combination of UA-ADRCs, PRGF-2, and an OIS is effective, leading to a significant increase in the relative amount of newly formed bone and of dense fibrous tissue as well as less unwanted new adipose tissue formation without adverse effects. The results of our study support further evaluation of UA-ADRCs (including the isolation procedure used), dose, and combination with PRFG-2 and an OIS in future clinical trials under strict criteria. Besides this, the results presented here may also be of relevance to other fields of regenerative dentistry using stem cells (reviewed in</w:t>
      </w:r>
      <w:r w:rsidRPr="00084277">
        <w:rPr>
          <w:rFonts w:ascii="Book Antiqua" w:hAnsi="Book Antiqua"/>
          <w:sz w:val="24"/>
          <w:szCs w:val="24"/>
          <w:vertAlign w:val="superscript"/>
        </w:rPr>
        <w:t>[115-117]</w:t>
      </w:r>
      <w:r w:rsidRPr="00084277">
        <w:rPr>
          <w:rFonts w:ascii="Book Antiqua" w:hAnsi="Book Antiqua"/>
          <w:sz w:val="24"/>
          <w:szCs w:val="24"/>
        </w:rPr>
        <w:t xml:space="preserve">), as well as for GBR in general. As soon as the procedure of preparing UA-ADRCs as described in the present study is approved by the corresponding regulatory authorities in Germany it will be </w:t>
      </w:r>
      <w:r w:rsidRPr="00084277">
        <w:rPr>
          <w:rFonts w:ascii="Book Antiqua" w:hAnsi="Book Antiqua"/>
          <w:sz w:val="24"/>
          <w:szCs w:val="24"/>
        </w:rPr>
        <w:lastRenderedPageBreak/>
        <w:t>established as a standard operation procedure in the clinic of the principle investigator.</w:t>
      </w:r>
    </w:p>
    <w:p w:rsidR="003065D2" w:rsidRPr="00084277" w:rsidRDefault="003065D2" w:rsidP="003065D2">
      <w:pPr>
        <w:adjustRightInd w:val="0"/>
        <w:snapToGrid w:val="0"/>
        <w:spacing w:line="360" w:lineRule="auto"/>
        <w:rPr>
          <w:rFonts w:ascii="Book Antiqua" w:hAnsi="Book Antiqua"/>
          <w:b/>
          <w:sz w:val="24"/>
          <w:szCs w:val="24"/>
        </w:rPr>
      </w:pPr>
    </w:p>
    <w:p w:rsidR="003065D2" w:rsidRPr="00084277" w:rsidRDefault="003065D2" w:rsidP="003065D2">
      <w:pPr>
        <w:adjustRightInd w:val="0"/>
        <w:snapToGrid w:val="0"/>
        <w:spacing w:line="360" w:lineRule="auto"/>
        <w:rPr>
          <w:rFonts w:ascii="Book Antiqua" w:hAnsi="Book Antiqua"/>
          <w:b/>
          <w:caps/>
          <w:sz w:val="24"/>
          <w:szCs w:val="24"/>
        </w:rPr>
      </w:pPr>
      <w:r w:rsidRPr="00084277">
        <w:rPr>
          <w:rFonts w:ascii="Book Antiqua" w:hAnsi="Book Antiqua"/>
          <w:b/>
          <w:caps/>
          <w:sz w:val="24"/>
          <w:szCs w:val="24"/>
        </w:rPr>
        <w:t>Acknowledgements</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We thank Aschauer B, Müller-Bay I, and van Dyck S for technical support.</w:t>
      </w:r>
    </w:p>
    <w:p w:rsidR="003065D2" w:rsidRPr="00084277" w:rsidRDefault="003065D2" w:rsidP="003065D2">
      <w:pPr>
        <w:adjustRightInd w:val="0"/>
        <w:snapToGrid w:val="0"/>
        <w:spacing w:line="360" w:lineRule="auto"/>
        <w:rPr>
          <w:rFonts w:ascii="Book Antiqua" w:hAnsi="Book Antiqua"/>
          <w:b/>
          <w:sz w:val="24"/>
          <w:szCs w:val="24"/>
        </w:rPr>
      </w:pPr>
    </w:p>
    <w:p w:rsidR="003065D2" w:rsidRPr="00084277" w:rsidRDefault="003065D2" w:rsidP="003065D2">
      <w:pPr>
        <w:snapToGrid w:val="0"/>
        <w:spacing w:line="360" w:lineRule="auto"/>
        <w:rPr>
          <w:rFonts w:ascii="Book Antiqua" w:hAnsi="Book Antiqua"/>
          <w:b/>
          <w:sz w:val="24"/>
          <w:szCs w:val="24"/>
        </w:rPr>
      </w:pPr>
      <w:r w:rsidRPr="00084277">
        <w:rPr>
          <w:rFonts w:ascii="Book Antiqua" w:hAnsi="Book Antiqua"/>
          <w:b/>
          <w:sz w:val="24"/>
          <w:szCs w:val="24"/>
        </w:rPr>
        <w:br w:type="page"/>
      </w: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lastRenderedPageBreak/>
        <w:t>REFERENCES</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 </w:t>
      </w:r>
      <w:r w:rsidRPr="00084277">
        <w:rPr>
          <w:rFonts w:ascii="Book Antiqua" w:hAnsi="Book Antiqua"/>
          <w:b/>
          <w:sz w:val="24"/>
          <w:szCs w:val="24"/>
        </w:rPr>
        <w:t>Laudenbach JM</w:t>
      </w:r>
      <w:r w:rsidRPr="00084277">
        <w:rPr>
          <w:rFonts w:ascii="Book Antiqua" w:hAnsi="Book Antiqua"/>
          <w:sz w:val="24"/>
          <w:szCs w:val="24"/>
        </w:rPr>
        <w:t xml:space="preserve">, Simon Z. Common dental and periodontal diseases: evaluation and management. </w:t>
      </w:r>
      <w:r w:rsidRPr="00084277">
        <w:rPr>
          <w:rFonts w:ascii="Book Antiqua" w:hAnsi="Book Antiqua"/>
          <w:i/>
          <w:sz w:val="24"/>
          <w:szCs w:val="24"/>
        </w:rPr>
        <w:t>Med Clin North Am</w:t>
      </w:r>
      <w:r w:rsidRPr="00084277">
        <w:rPr>
          <w:rFonts w:ascii="Book Antiqua" w:hAnsi="Book Antiqua"/>
          <w:sz w:val="24"/>
          <w:szCs w:val="24"/>
        </w:rPr>
        <w:t xml:space="preserve"> 2014; </w:t>
      </w:r>
      <w:r w:rsidRPr="00084277">
        <w:rPr>
          <w:rFonts w:ascii="Book Antiqua" w:hAnsi="Book Antiqua"/>
          <w:b/>
          <w:sz w:val="24"/>
          <w:szCs w:val="24"/>
        </w:rPr>
        <w:t>98</w:t>
      </w:r>
      <w:r w:rsidRPr="00084277">
        <w:rPr>
          <w:rFonts w:ascii="Book Antiqua" w:hAnsi="Book Antiqua"/>
          <w:sz w:val="24"/>
          <w:szCs w:val="24"/>
        </w:rPr>
        <w:t>: 1239-1260 [PMID: 25443675 DOI: 10.1016/j.mcna.2014.08.002]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2 </w:t>
      </w:r>
      <w:r w:rsidRPr="00084277">
        <w:rPr>
          <w:rFonts w:ascii="Book Antiqua" w:hAnsi="Book Antiqua"/>
          <w:b/>
          <w:sz w:val="24"/>
          <w:szCs w:val="24"/>
        </w:rPr>
        <w:t>Moraschini V</w:t>
      </w:r>
      <w:r w:rsidRPr="00084277">
        <w:rPr>
          <w:rFonts w:ascii="Book Antiqua" w:hAnsi="Book Antiqua"/>
          <w:sz w:val="24"/>
          <w:szCs w:val="24"/>
        </w:rPr>
        <w:t xml:space="preserve">, Poubel LA, Ferreira VF, Barboza Edos S. Evaluation of survival and success rates of dental implants reported in longitudinal studies with a follow-up period of at least 10 years: a systematic review. </w:t>
      </w:r>
      <w:r w:rsidRPr="00084277">
        <w:rPr>
          <w:rFonts w:ascii="Book Antiqua" w:hAnsi="Book Antiqua"/>
          <w:i/>
          <w:sz w:val="24"/>
          <w:szCs w:val="24"/>
        </w:rPr>
        <w:t>Int J Oral Maxillofac Surg</w:t>
      </w:r>
      <w:r w:rsidRPr="00084277">
        <w:rPr>
          <w:rFonts w:ascii="Book Antiqua" w:hAnsi="Book Antiqua"/>
          <w:sz w:val="24"/>
          <w:szCs w:val="24"/>
        </w:rPr>
        <w:t xml:space="preserve"> 2015; </w:t>
      </w:r>
      <w:r w:rsidRPr="00084277">
        <w:rPr>
          <w:rFonts w:ascii="Book Antiqua" w:hAnsi="Book Antiqua"/>
          <w:b/>
          <w:sz w:val="24"/>
          <w:szCs w:val="24"/>
        </w:rPr>
        <w:t>44</w:t>
      </w:r>
      <w:r w:rsidRPr="00084277">
        <w:rPr>
          <w:rFonts w:ascii="Book Antiqua" w:hAnsi="Book Antiqua"/>
          <w:sz w:val="24"/>
          <w:szCs w:val="24"/>
        </w:rPr>
        <w:t>: 377-388 [PMID: 25467739 DOI: 10.1016/j.ijom.2014.10.023]</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3 </w:t>
      </w:r>
      <w:r w:rsidRPr="00084277">
        <w:rPr>
          <w:rFonts w:ascii="Book Antiqua" w:hAnsi="Book Antiqua"/>
          <w:b/>
          <w:sz w:val="24"/>
          <w:szCs w:val="24"/>
        </w:rPr>
        <w:t>Lundgren S</w:t>
      </w:r>
      <w:r w:rsidRPr="00084277">
        <w:rPr>
          <w:rFonts w:ascii="Book Antiqua" w:hAnsi="Book Antiqua"/>
          <w:sz w:val="24"/>
          <w:szCs w:val="24"/>
        </w:rPr>
        <w:t xml:space="preserve">, Cricchio G, Hallman M, Jungner M, Rasmusson L, Sennerby L. Sinus floor elevation procedures to enable implant placement and integration: techniques, biological aspects and clinical outcomes. </w:t>
      </w:r>
      <w:r w:rsidRPr="00084277">
        <w:rPr>
          <w:rFonts w:ascii="Book Antiqua" w:hAnsi="Book Antiqua"/>
          <w:i/>
          <w:sz w:val="24"/>
          <w:szCs w:val="24"/>
        </w:rPr>
        <w:t>Periodontol 2000</w:t>
      </w:r>
      <w:r w:rsidRPr="00084277">
        <w:rPr>
          <w:rFonts w:ascii="Book Antiqua" w:hAnsi="Book Antiqua"/>
          <w:sz w:val="24"/>
          <w:szCs w:val="24"/>
        </w:rPr>
        <w:t xml:space="preserve"> 2017; </w:t>
      </w:r>
      <w:r w:rsidRPr="00084277">
        <w:rPr>
          <w:rFonts w:ascii="Book Antiqua" w:hAnsi="Book Antiqua"/>
          <w:b/>
          <w:sz w:val="24"/>
          <w:szCs w:val="24"/>
        </w:rPr>
        <w:t>73</w:t>
      </w:r>
      <w:r w:rsidRPr="00084277">
        <w:rPr>
          <w:rFonts w:ascii="Book Antiqua" w:hAnsi="Book Antiqua"/>
          <w:sz w:val="24"/>
          <w:szCs w:val="24"/>
        </w:rPr>
        <w:t>: 103-120 [PMID: 28000271 DOI: 10.1111/prd.12165]</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4 </w:t>
      </w:r>
      <w:r w:rsidRPr="00084277">
        <w:rPr>
          <w:rFonts w:ascii="Book Antiqua" w:hAnsi="Book Antiqua"/>
          <w:b/>
          <w:sz w:val="24"/>
          <w:szCs w:val="24"/>
        </w:rPr>
        <w:t>Esposito M</w:t>
      </w:r>
      <w:r w:rsidRPr="00084277">
        <w:rPr>
          <w:rFonts w:ascii="Book Antiqua" w:hAnsi="Book Antiqua"/>
          <w:sz w:val="24"/>
          <w:szCs w:val="24"/>
        </w:rPr>
        <w:t xml:space="preserve">, Felice P, Worthington HV. Interventions for replacing missing teeth: augmentation procedures of the maxillary sinus. </w:t>
      </w:r>
      <w:r w:rsidRPr="00084277">
        <w:rPr>
          <w:rFonts w:ascii="Book Antiqua" w:hAnsi="Book Antiqua"/>
          <w:i/>
          <w:sz w:val="24"/>
          <w:szCs w:val="24"/>
        </w:rPr>
        <w:t>Cochrane Database Syst Rev</w:t>
      </w:r>
      <w:r w:rsidRPr="00084277">
        <w:rPr>
          <w:rFonts w:ascii="Book Antiqua" w:hAnsi="Book Antiqua"/>
          <w:sz w:val="24"/>
          <w:szCs w:val="24"/>
        </w:rPr>
        <w:t xml:space="preserve"> 2014; </w:t>
      </w:r>
      <w:r w:rsidRPr="00084277">
        <w:rPr>
          <w:rFonts w:ascii="Book Antiqua" w:hAnsi="Book Antiqua"/>
          <w:b/>
          <w:sz w:val="24"/>
          <w:szCs w:val="24"/>
        </w:rPr>
        <w:t>(5)</w:t>
      </w:r>
      <w:r w:rsidRPr="00084277">
        <w:rPr>
          <w:rFonts w:ascii="Book Antiqua" w:hAnsi="Book Antiqua"/>
          <w:sz w:val="24"/>
          <w:szCs w:val="24"/>
        </w:rPr>
        <w:t xml:space="preserve">: CD008397 [PMID: </w:t>
      </w:r>
      <w:bookmarkStart w:id="173" w:name="OLE_LINK158"/>
      <w:bookmarkStart w:id="174" w:name="OLE_LINK159"/>
      <w:r w:rsidRPr="00084277">
        <w:rPr>
          <w:rFonts w:ascii="Book Antiqua" w:hAnsi="Book Antiqua"/>
          <w:sz w:val="24"/>
          <w:szCs w:val="24"/>
        </w:rPr>
        <w:t xml:space="preserve">24825543 </w:t>
      </w:r>
      <w:bookmarkEnd w:id="173"/>
      <w:bookmarkEnd w:id="174"/>
      <w:r w:rsidRPr="00084277">
        <w:rPr>
          <w:rFonts w:ascii="Book Antiqua" w:hAnsi="Book Antiqua"/>
          <w:sz w:val="24"/>
          <w:szCs w:val="24"/>
        </w:rPr>
        <w:t>DOI: 10.1002/14651858.CD008397.pub2]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5 </w:t>
      </w:r>
      <w:r w:rsidRPr="00084277">
        <w:rPr>
          <w:rFonts w:ascii="Book Antiqua" w:hAnsi="Book Antiqua"/>
          <w:b/>
          <w:sz w:val="24"/>
          <w:szCs w:val="24"/>
        </w:rPr>
        <w:t>Starch-Jensen T</w:t>
      </w:r>
      <w:r w:rsidRPr="00084277">
        <w:rPr>
          <w:rFonts w:ascii="Book Antiqua" w:hAnsi="Book Antiqua"/>
          <w:sz w:val="24"/>
          <w:szCs w:val="24"/>
        </w:rPr>
        <w:t xml:space="preserve">, Jensen JD. Maxillary Sinus Floor Augmentation: a Review of Selected Treatment Modalities. </w:t>
      </w:r>
      <w:r w:rsidRPr="00084277">
        <w:rPr>
          <w:rFonts w:ascii="Book Antiqua" w:hAnsi="Book Antiqua"/>
          <w:i/>
          <w:sz w:val="24"/>
          <w:szCs w:val="24"/>
        </w:rPr>
        <w:t>J Oral Maxillofac Res</w:t>
      </w:r>
      <w:r w:rsidRPr="00084277">
        <w:rPr>
          <w:rFonts w:ascii="Book Antiqua" w:hAnsi="Book Antiqua"/>
          <w:sz w:val="24"/>
          <w:szCs w:val="24"/>
        </w:rPr>
        <w:t xml:space="preserve"> 2017; </w:t>
      </w:r>
      <w:r w:rsidRPr="00084277">
        <w:rPr>
          <w:rFonts w:ascii="Book Antiqua" w:hAnsi="Book Antiqua"/>
          <w:b/>
          <w:sz w:val="24"/>
          <w:szCs w:val="24"/>
        </w:rPr>
        <w:t>8</w:t>
      </w:r>
      <w:r w:rsidRPr="00084277">
        <w:rPr>
          <w:rFonts w:ascii="Book Antiqua" w:hAnsi="Book Antiqua"/>
          <w:sz w:val="24"/>
          <w:szCs w:val="24"/>
        </w:rPr>
        <w:t>: e3 [PMID: 29142655 DOI: 10.5037/jomr.2017.8303]</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6 </w:t>
      </w:r>
      <w:r w:rsidRPr="00084277">
        <w:rPr>
          <w:rFonts w:ascii="Book Antiqua" w:hAnsi="Book Antiqua"/>
          <w:b/>
          <w:sz w:val="24"/>
          <w:szCs w:val="24"/>
        </w:rPr>
        <w:t>Al-Dajani M</w:t>
      </w:r>
      <w:r w:rsidRPr="00084277">
        <w:rPr>
          <w:rFonts w:ascii="Book Antiqua" w:hAnsi="Book Antiqua"/>
          <w:sz w:val="24"/>
          <w:szCs w:val="24"/>
        </w:rPr>
        <w:t xml:space="preserve">. Recent Trends in Sinus Lift Surgery and Their Clinical Implications. </w:t>
      </w:r>
      <w:r w:rsidRPr="00084277">
        <w:rPr>
          <w:rFonts w:ascii="Book Antiqua" w:hAnsi="Book Antiqua"/>
          <w:i/>
          <w:sz w:val="24"/>
          <w:szCs w:val="24"/>
        </w:rPr>
        <w:t>Clin Implant Dent Relat Res</w:t>
      </w:r>
      <w:r w:rsidRPr="00084277">
        <w:rPr>
          <w:rFonts w:ascii="Book Antiqua" w:hAnsi="Book Antiqua"/>
          <w:sz w:val="24"/>
          <w:szCs w:val="24"/>
        </w:rPr>
        <w:t xml:space="preserve"> 2016; </w:t>
      </w:r>
      <w:r w:rsidRPr="00084277">
        <w:rPr>
          <w:rFonts w:ascii="Book Antiqua" w:hAnsi="Book Antiqua"/>
          <w:b/>
          <w:sz w:val="24"/>
          <w:szCs w:val="24"/>
        </w:rPr>
        <w:t>18</w:t>
      </w:r>
      <w:r w:rsidRPr="00084277">
        <w:rPr>
          <w:rFonts w:ascii="Book Antiqua" w:hAnsi="Book Antiqua"/>
          <w:sz w:val="24"/>
          <w:szCs w:val="24"/>
        </w:rPr>
        <w:t>: 204-212 [PMID: 25274014 DOI: 10.1111/cid.12275]</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7 </w:t>
      </w:r>
      <w:r w:rsidRPr="00084277">
        <w:rPr>
          <w:rFonts w:ascii="Book Antiqua" w:hAnsi="Book Antiqua"/>
          <w:b/>
          <w:sz w:val="24"/>
          <w:szCs w:val="24"/>
        </w:rPr>
        <w:t>Jamjoom A</w:t>
      </w:r>
      <w:r w:rsidRPr="00084277">
        <w:rPr>
          <w:rFonts w:ascii="Book Antiqua" w:hAnsi="Book Antiqua"/>
          <w:sz w:val="24"/>
          <w:szCs w:val="24"/>
        </w:rPr>
        <w:t xml:space="preserve">, Cohen RE. Grafts for Ridge Preservation. </w:t>
      </w:r>
      <w:r w:rsidRPr="00084277">
        <w:rPr>
          <w:rFonts w:ascii="Book Antiqua" w:hAnsi="Book Antiqua"/>
          <w:i/>
          <w:sz w:val="24"/>
          <w:szCs w:val="24"/>
        </w:rPr>
        <w:t>J Funct Biomater</w:t>
      </w:r>
      <w:r w:rsidRPr="00084277">
        <w:rPr>
          <w:rFonts w:ascii="Book Antiqua" w:hAnsi="Book Antiqua"/>
          <w:sz w:val="24"/>
          <w:szCs w:val="24"/>
        </w:rPr>
        <w:t xml:space="preserve"> 2015; </w:t>
      </w:r>
      <w:r w:rsidRPr="00084277">
        <w:rPr>
          <w:rFonts w:ascii="Book Antiqua" w:hAnsi="Book Antiqua"/>
          <w:b/>
          <w:sz w:val="24"/>
          <w:szCs w:val="24"/>
        </w:rPr>
        <w:t>6</w:t>
      </w:r>
      <w:r w:rsidRPr="00084277">
        <w:rPr>
          <w:rFonts w:ascii="Book Antiqua" w:hAnsi="Book Antiqua"/>
          <w:sz w:val="24"/>
          <w:szCs w:val="24"/>
        </w:rPr>
        <w:t>: 833-848 [PMID: 26262646 DOI: 10.3390/jfb6030833]</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8 </w:t>
      </w:r>
      <w:r w:rsidRPr="00084277">
        <w:rPr>
          <w:rFonts w:ascii="Book Antiqua" w:hAnsi="Book Antiqua"/>
          <w:b/>
          <w:sz w:val="24"/>
          <w:szCs w:val="24"/>
        </w:rPr>
        <w:t>Rogers GF</w:t>
      </w:r>
      <w:r w:rsidRPr="00084277">
        <w:rPr>
          <w:rFonts w:ascii="Book Antiqua" w:hAnsi="Book Antiqua"/>
          <w:sz w:val="24"/>
          <w:szCs w:val="24"/>
        </w:rPr>
        <w:t>, Greene AK. Autogenous bone graft:</w:t>
      </w:r>
      <w:r w:rsidRPr="00084277">
        <w:rPr>
          <w:rFonts w:ascii="Book Antiqua" w:hAnsi="Book Antiqua"/>
          <w:i/>
          <w:sz w:val="24"/>
          <w:szCs w:val="24"/>
        </w:rPr>
        <w:t xml:space="preserve"> </w:t>
      </w:r>
      <w:r w:rsidRPr="00084277">
        <w:rPr>
          <w:rFonts w:ascii="Book Antiqua" w:hAnsi="Book Antiqua"/>
          <w:sz w:val="24"/>
          <w:szCs w:val="24"/>
        </w:rPr>
        <w:t xml:space="preserve">basic science and clinical implications. </w:t>
      </w:r>
      <w:r w:rsidRPr="00084277">
        <w:rPr>
          <w:rFonts w:ascii="Book Antiqua" w:hAnsi="Book Antiqua"/>
          <w:i/>
          <w:sz w:val="24"/>
          <w:szCs w:val="24"/>
        </w:rPr>
        <w:t>J Craniofac Surg</w:t>
      </w:r>
      <w:r w:rsidRPr="00084277">
        <w:rPr>
          <w:rFonts w:ascii="Book Antiqua" w:hAnsi="Book Antiqua"/>
          <w:sz w:val="24"/>
          <w:szCs w:val="24"/>
        </w:rPr>
        <w:t xml:space="preserve"> 2012; </w:t>
      </w:r>
      <w:r w:rsidRPr="00084277">
        <w:rPr>
          <w:rFonts w:ascii="Book Antiqua" w:hAnsi="Book Antiqua"/>
          <w:b/>
          <w:sz w:val="24"/>
          <w:szCs w:val="24"/>
        </w:rPr>
        <w:t>23</w:t>
      </w:r>
      <w:r w:rsidRPr="00084277">
        <w:rPr>
          <w:rFonts w:ascii="Book Antiqua" w:hAnsi="Book Antiqua"/>
          <w:sz w:val="24"/>
          <w:szCs w:val="24"/>
        </w:rPr>
        <w:t>: 323-327 [PMID: 22337435 DOI: 10.1097/SCS.0b013e318241dcba]</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9 </w:t>
      </w:r>
      <w:r w:rsidRPr="00084277">
        <w:rPr>
          <w:rFonts w:ascii="Book Antiqua" w:hAnsi="Book Antiqua"/>
          <w:b/>
          <w:sz w:val="24"/>
          <w:szCs w:val="24"/>
        </w:rPr>
        <w:t>Sakkas A</w:t>
      </w:r>
      <w:r w:rsidRPr="00084277">
        <w:rPr>
          <w:rFonts w:ascii="Book Antiqua" w:hAnsi="Book Antiqua"/>
          <w:sz w:val="24"/>
          <w:szCs w:val="24"/>
        </w:rPr>
        <w:t xml:space="preserve">, Wilde F, Heufelder M, Winter K, Schramm A. Autogenous bone grafts in oral implantology-is it still a "gold standard"? A consecutive review of 279 patients with 456 clinical procedures. </w:t>
      </w:r>
      <w:r w:rsidRPr="00084277">
        <w:rPr>
          <w:rFonts w:ascii="Book Antiqua" w:hAnsi="Book Antiqua"/>
          <w:i/>
          <w:sz w:val="24"/>
          <w:szCs w:val="24"/>
        </w:rPr>
        <w:t>Int J Implant Dent</w:t>
      </w:r>
      <w:r w:rsidRPr="00084277">
        <w:rPr>
          <w:rFonts w:ascii="Book Antiqua" w:hAnsi="Book Antiqua"/>
          <w:sz w:val="24"/>
          <w:szCs w:val="24"/>
        </w:rPr>
        <w:t xml:space="preserve"> 2017; </w:t>
      </w:r>
      <w:r w:rsidRPr="00084277">
        <w:rPr>
          <w:rFonts w:ascii="Book Antiqua" w:hAnsi="Book Antiqua"/>
          <w:b/>
          <w:sz w:val="24"/>
          <w:szCs w:val="24"/>
        </w:rPr>
        <w:t>3</w:t>
      </w:r>
      <w:r w:rsidRPr="00084277">
        <w:rPr>
          <w:rFonts w:ascii="Book Antiqua" w:hAnsi="Book Antiqua"/>
          <w:sz w:val="24"/>
          <w:szCs w:val="24"/>
        </w:rPr>
        <w:t xml:space="preserve">: 23 </w:t>
      </w:r>
      <w:r w:rsidRPr="00084277">
        <w:rPr>
          <w:rFonts w:ascii="Book Antiqua" w:hAnsi="Book Antiqua"/>
          <w:sz w:val="24"/>
          <w:szCs w:val="24"/>
        </w:rPr>
        <w:lastRenderedPageBreak/>
        <w:t>[PMID: 28573552 DOI: 10.1186/s40729-017-0084-4]</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10 </w:t>
      </w:r>
      <w:r w:rsidRPr="00084277">
        <w:rPr>
          <w:rFonts w:ascii="Book Antiqua" w:hAnsi="Book Antiqua"/>
          <w:b/>
          <w:sz w:val="24"/>
          <w:szCs w:val="24"/>
        </w:rPr>
        <w:t>Sanz M</w:t>
      </w:r>
      <w:r w:rsidRPr="00084277">
        <w:rPr>
          <w:rFonts w:ascii="Book Antiqua" w:hAnsi="Book Antiqua"/>
          <w:sz w:val="24"/>
          <w:szCs w:val="24"/>
        </w:rPr>
        <w:t xml:space="preserve">, Vignoletti F. Key aspects on the use of bone substitutes for bone regeneration of edentulous ridges. </w:t>
      </w:r>
      <w:r w:rsidRPr="00084277">
        <w:rPr>
          <w:rFonts w:ascii="Book Antiqua" w:hAnsi="Book Antiqua"/>
          <w:i/>
          <w:sz w:val="24"/>
          <w:szCs w:val="24"/>
        </w:rPr>
        <w:t>Dent Mater</w:t>
      </w:r>
      <w:r w:rsidRPr="00084277">
        <w:rPr>
          <w:rFonts w:ascii="Book Antiqua" w:hAnsi="Book Antiqua"/>
          <w:sz w:val="24"/>
          <w:szCs w:val="24"/>
        </w:rPr>
        <w:t xml:space="preserve"> 2015; </w:t>
      </w:r>
      <w:r w:rsidRPr="00084277">
        <w:rPr>
          <w:rFonts w:ascii="Book Antiqua" w:hAnsi="Book Antiqua"/>
          <w:b/>
          <w:sz w:val="24"/>
          <w:szCs w:val="24"/>
        </w:rPr>
        <w:t>31</w:t>
      </w:r>
      <w:r w:rsidRPr="00084277">
        <w:rPr>
          <w:rFonts w:ascii="Book Antiqua" w:hAnsi="Book Antiqua"/>
          <w:sz w:val="24"/>
          <w:szCs w:val="24"/>
        </w:rPr>
        <w:t>: 640-647 [PMID: 25882277 DOI: 10.1016/j.dental.2015.03.005]</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11 </w:t>
      </w:r>
      <w:r w:rsidRPr="00084277">
        <w:rPr>
          <w:rFonts w:ascii="Book Antiqua" w:hAnsi="Book Antiqua"/>
          <w:b/>
          <w:sz w:val="24"/>
          <w:szCs w:val="24"/>
        </w:rPr>
        <w:t>Wang W</w:t>
      </w:r>
      <w:r w:rsidRPr="00084277">
        <w:rPr>
          <w:rFonts w:ascii="Book Antiqua" w:hAnsi="Book Antiqua"/>
          <w:sz w:val="24"/>
          <w:szCs w:val="24"/>
        </w:rPr>
        <w:t xml:space="preserve">, Yeung KWK. Bone grafts and biomaterials substitutes for bone defect repair: A review. </w:t>
      </w:r>
      <w:r w:rsidRPr="00084277">
        <w:rPr>
          <w:rFonts w:ascii="Book Antiqua" w:hAnsi="Book Antiqua"/>
          <w:i/>
          <w:sz w:val="24"/>
          <w:szCs w:val="24"/>
        </w:rPr>
        <w:t>Bioact Mater</w:t>
      </w:r>
      <w:r w:rsidRPr="00084277">
        <w:rPr>
          <w:rFonts w:ascii="Book Antiqua" w:hAnsi="Book Antiqua"/>
          <w:sz w:val="24"/>
          <w:szCs w:val="24"/>
        </w:rPr>
        <w:t xml:space="preserve"> 2017; </w:t>
      </w:r>
      <w:r w:rsidRPr="00084277">
        <w:rPr>
          <w:rFonts w:ascii="Book Antiqua" w:hAnsi="Book Antiqua"/>
          <w:b/>
          <w:sz w:val="24"/>
          <w:szCs w:val="24"/>
        </w:rPr>
        <w:t>2</w:t>
      </w:r>
      <w:r w:rsidRPr="00084277">
        <w:rPr>
          <w:rFonts w:ascii="Book Antiqua" w:hAnsi="Book Antiqua"/>
          <w:sz w:val="24"/>
          <w:szCs w:val="24"/>
        </w:rPr>
        <w:t>: 224-247 [PMID: 29744432 DOI: 10.1016/j.bioactmat.2017.05.007]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12 </w:t>
      </w:r>
      <w:r w:rsidRPr="00084277">
        <w:rPr>
          <w:rFonts w:ascii="Book Antiqua" w:hAnsi="Book Antiqua"/>
          <w:b/>
          <w:sz w:val="24"/>
          <w:szCs w:val="24"/>
        </w:rPr>
        <w:t>Yamada M</w:t>
      </w:r>
      <w:r w:rsidRPr="00084277">
        <w:rPr>
          <w:rFonts w:ascii="Book Antiqua" w:hAnsi="Book Antiqua"/>
          <w:sz w:val="24"/>
          <w:szCs w:val="24"/>
        </w:rPr>
        <w:t xml:space="preserve">, Egusa H. Current bone substitutes for implant dentistry. </w:t>
      </w:r>
      <w:r w:rsidRPr="00084277">
        <w:rPr>
          <w:rFonts w:ascii="Book Antiqua" w:hAnsi="Book Antiqua"/>
          <w:i/>
          <w:sz w:val="24"/>
          <w:szCs w:val="24"/>
        </w:rPr>
        <w:t>J Prosthodont Res</w:t>
      </w:r>
      <w:r w:rsidRPr="00084277">
        <w:rPr>
          <w:rFonts w:ascii="Book Antiqua" w:hAnsi="Book Antiqua"/>
          <w:sz w:val="24"/>
          <w:szCs w:val="24"/>
        </w:rPr>
        <w:t xml:space="preserve"> 2018; </w:t>
      </w:r>
      <w:r w:rsidRPr="00084277">
        <w:rPr>
          <w:rFonts w:ascii="Book Antiqua" w:hAnsi="Book Antiqua"/>
          <w:b/>
          <w:sz w:val="24"/>
          <w:szCs w:val="24"/>
        </w:rPr>
        <w:t>62</w:t>
      </w:r>
      <w:r w:rsidRPr="00084277">
        <w:rPr>
          <w:rFonts w:ascii="Book Antiqua" w:hAnsi="Book Antiqua"/>
          <w:sz w:val="24"/>
          <w:szCs w:val="24"/>
        </w:rPr>
        <w:t>: 152-161 [PMID: 28927994 DOI: 10.1016/j.jpor.2017.08.010]</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13 </w:t>
      </w:r>
      <w:r w:rsidRPr="00084277">
        <w:rPr>
          <w:rFonts w:ascii="Book Antiqua" w:hAnsi="Book Antiqua"/>
          <w:b/>
          <w:sz w:val="24"/>
          <w:szCs w:val="24"/>
        </w:rPr>
        <w:t>Nkenke E</w:t>
      </w:r>
      <w:r w:rsidRPr="00084277">
        <w:rPr>
          <w:rFonts w:ascii="Book Antiqua" w:hAnsi="Book Antiqua"/>
          <w:sz w:val="24"/>
          <w:szCs w:val="24"/>
        </w:rPr>
        <w:t xml:space="preserve">, Neukam FW. Autogenous bone harvesting and grafting in advanced jaw resorption: morbidity, resorption and implant survival. </w:t>
      </w:r>
      <w:r w:rsidRPr="00084277">
        <w:rPr>
          <w:rFonts w:ascii="Book Antiqua" w:hAnsi="Book Antiqua"/>
          <w:i/>
          <w:sz w:val="24"/>
          <w:szCs w:val="24"/>
        </w:rPr>
        <w:t>Eur J Oral Implantol</w:t>
      </w:r>
      <w:r w:rsidRPr="00084277">
        <w:rPr>
          <w:rFonts w:ascii="Book Antiqua" w:hAnsi="Book Antiqua"/>
          <w:sz w:val="24"/>
          <w:szCs w:val="24"/>
        </w:rPr>
        <w:t xml:space="preserve"> 2014; </w:t>
      </w:r>
      <w:r w:rsidRPr="00084277">
        <w:rPr>
          <w:rFonts w:ascii="Book Antiqua" w:hAnsi="Book Antiqua"/>
          <w:b/>
          <w:sz w:val="24"/>
          <w:szCs w:val="24"/>
        </w:rPr>
        <w:t xml:space="preserve">7 </w:t>
      </w:r>
      <w:r w:rsidRPr="00084277">
        <w:rPr>
          <w:rFonts w:ascii="Book Antiqua" w:hAnsi="Book Antiqua"/>
          <w:sz w:val="24"/>
          <w:szCs w:val="24"/>
        </w:rPr>
        <w:t>Suppl 2: S203-S217 [PMID: 24977256]</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14 </w:t>
      </w:r>
      <w:r w:rsidRPr="00084277">
        <w:rPr>
          <w:rFonts w:ascii="Book Antiqua" w:hAnsi="Book Antiqua"/>
          <w:b/>
          <w:sz w:val="24"/>
          <w:szCs w:val="24"/>
        </w:rPr>
        <w:t>García-Gareta E</w:t>
      </w:r>
      <w:r w:rsidRPr="00084277">
        <w:rPr>
          <w:rFonts w:ascii="Book Antiqua" w:hAnsi="Book Antiqua"/>
          <w:sz w:val="24"/>
          <w:szCs w:val="24"/>
        </w:rPr>
        <w:t xml:space="preserve">, Coathup MJ, Blunn GW. Osteoinduction of bone grafting materials for bone repair and regeneration. </w:t>
      </w:r>
      <w:r w:rsidRPr="00084277">
        <w:rPr>
          <w:rFonts w:ascii="Book Antiqua" w:hAnsi="Book Antiqua"/>
          <w:i/>
          <w:sz w:val="24"/>
          <w:szCs w:val="24"/>
        </w:rPr>
        <w:t>Bone</w:t>
      </w:r>
      <w:r w:rsidRPr="00084277">
        <w:rPr>
          <w:rFonts w:ascii="Book Antiqua" w:hAnsi="Book Antiqua"/>
          <w:sz w:val="24"/>
          <w:szCs w:val="24"/>
        </w:rPr>
        <w:t xml:space="preserve"> 2015; </w:t>
      </w:r>
      <w:r w:rsidRPr="00084277">
        <w:rPr>
          <w:rFonts w:ascii="Book Antiqua" w:hAnsi="Book Antiqua"/>
          <w:b/>
          <w:sz w:val="24"/>
          <w:szCs w:val="24"/>
        </w:rPr>
        <w:t>81</w:t>
      </w:r>
      <w:r w:rsidRPr="00084277">
        <w:rPr>
          <w:rFonts w:ascii="Book Antiqua" w:hAnsi="Book Antiqua"/>
          <w:sz w:val="24"/>
          <w:szCs w:val="24"/>
        </w:rPr>
        <w:t>: 112-121 [PMID: 26163110 DOI: 10.1016/j.bone.2015.07.007]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15 </w:t>
      </w:r>
      <w:r w:rsidRPr="00084277">
        <w:rPr>
          <w:rFonts w:ascii="Book Antiqua" w:hAnsi="Book Antiqua"/>
          <w:b/>
          <w:sz w:val="24"/>
          <w:szCs w:val="24"/>
        </w:rPr>
        <w:t>Troeltzsch M</w:t>
      </w:r>
      <w:r w:rsidRPr="00084277">
        <w:rPr>
          <w:rFonts w:ascii="Book Antiqua" w:hAnsi="Book Antiqua"/>
          <w:sz w:val="24"/>
          <w:szCs w:val="24"/>
        </w:rPr>
        <w:t xml:space="preserve">, Troeltzsch M, Kauffmann P, Gruber R, Brockmeyer P, Moser N, Rau A, Schliephake H. Clinical efficacy of grafting materials in alveolar ridge augmentation: A systematic review. </w:t>
      </w:r>
      <w:r w:rsidRPr="00084277">
        <w:rPr>
          <w:rFonts w:ascii="Book Antiqua" w:hAnsi="Book Antiqua"/>
          <w:i/>
          <w:sz w:val="24"/>
          <w:szCs w:val="24"/>
        </w:rPr>
        <w:t>J Craniomaxillofac Surg</w:t>
      </w:r>
      <w:r w:rsidRPr="00084277">
        <w:rPr>
          <w:rFonts w:ascii="Book Antiqua" w:hAnsi="Book Antiqua"/>
          <w:sz w:val="24"/>
          <w:szCs w:val="24"/>
        </w:rPr>
        <w:t xml:space="preserve"> 2016; </w:t>
      </w:r>
      <w:r w:rsidRPr="00084277">
        <w:rPr>
          <w:rFonts w:ascii="Book Antiqua" w:hAnsi="Book Antiqua"/>
          <w:b/>
          <w:sz w:val="24"/>
          <w:szCs w:val="24"/>
        </w:rPr>
        <w:t>44</w:t>
      </w:r>
      <w:r w:rsidRPr="00084277">
        <w:rPr>
          <w:rFonts w:ascii="Book Antiqua" w:hAnsi="Book Antiqua"/>
          <w:sz w:val="24"/>
          <w:szCs w:val="24"/>
        </w:rPr>
        <w:t>: 1618-1629 [PMID: 27622971 DOI: 10.1016/j.jcms.2016.07.028]</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16 </w:t>
      </w:r>
      <w:r w:rsidRPr="00084277">
        <w:rPr>
          <w:rFonts w:ascii="Book Antiqua" w:hAnsi="Book Antiqua"/>
          <w:b/>
          <w:sz w:val="24"/>
          <w:szCs w:val="24"/>
        </w:rPr>
        <w:t>Danesh-Sani SA</w:t>
      </w:r>
      <w:r w:rsidRPr="00084277">
        <w:rPr>
          <w:rFonts w:ascii="Book Antiqua" w:hAnsi="Book Antiqua"/>
          <w:sz w:val="24"/>
          <w:szCs w:val="24"/>
        </w:rPr>
        <w:t xml:space="preserve">, Engebretson SP, Janal MN. Histomorphometric results of different grafting materials and effect of healing time on bone maturation after sinus floor augmentation: a systematic review and meta-analysis. </w:t>
      </w:r>
      <w:r w:rsidRPr="00084277">
        <w:rPr>
          <w:rFonts w:ascii="Book Antiqua" w:hAnsi="Book Antiqua"/>
          <w:i/>
          <w:sz w:val="24"/>
          <w:szCs w:val="24"/>
        </w:rPr>
        <w:t>J Periodontal Res</w:t>
      </w:r>
      <w:r w:rsidRPr="00084277">
        <w:rPr>
          <w:rFonts w:ascii="Book Antiqua" w:hAnsi="Book Antiqua"/>
          <w:sz w:val="24"/>
          <w:szCs w:val="24"/>
        </w:rPr>
        <w:t xml:space="preserve"> 2017; </w:t>
      </w:r>
      <w:r w:rsidRPr="00084277">
        <w:rPr>
          <w:rFonts w:ascii="Book Antiqua" w:hAnsi="Book Antiqua"/>
          <w:b/>
          <w:sz w:val="24"/>
          <w:szCs w:val="24"/>
        </w:rPr>
        <w:t>52</w:t>
      </w:r>
      <w:r w:rsidRPr="00084277">
        <w:rPr>
          <w:rFonts w:ascii="Book Antiqua" w:hAnsi="Book Antiqua"/>
          <w:sz w:val="24"/>
          <w:szCs w:val="24"/>
        </w:rPr>
        <w:t>: 301-312 [PMID: 27534916 DOI: 10.1111/jre.12402]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17 </w:t>
      </w:r>
      <w:r w:rsidRPr="00084277">
        <w:rPr>
          <w:rFonts w:ascii="Book Antiqua" w:hAnsi="Book Antiqua"/>
          <w:b/>
          <w:sz w:val="24"/>
          <w:szCs w:val="24"/>
        </w:rPr>
        <w:t>Monje A</w:t>
      </w:r>
      <w:r w:rsidRPr="00084277">
        <w:rPr>
          <w:rFonts w:ascii="Book Antiqua" w:hAnsi="Book Antiqua"/>
          <w:sz w:val="24"/>
          <w:szCs w:val="24"/>
        </w:rPr>
        <w:t xml:space="preserve">, O'Valle F, Monje-Gil F, Ortega-Oller I, Mesa F, Wang HL, Galindo-Moreno P. Cellular, Vascular, and Histomorphometric Outcomes of Solvent-Dehydrated vs Freeze-Dried Allogeneic Graft for Maxillary Sinus Augmentation: A Randomized Case Series. </w:t>
      </w:r>
      <w:r w:rsidRPr="00084277">
        <w:rPr>
          <w:rFonts w:ascii="Book Antiqua" w:hAnsi="Book Antiqua"/>
          <w:i/>
          <w:sz w:val="24"/>
          <w:szCs w:val="24"/>
        </w:rPr>
        <w:t>Int J Oral Maxillofac Implants</w:t>
      </w:r>
      <w:r w:rsidRPr="00084277">
        <w:rPr>
          <w:rFonts w:ascii="Book Antiqua" w:hAnsi="Book Antiqua"/>
          <w:sz w:val="24"/>
          <w:szCs w:val="24"/>
        </w:rPr>
        <w:t xml:space="preserve"> 2017; </w:t>
      </w:r>
      <w:r w:rsidRPr="00084277">
        <w:rPr>
          <w:rFonts w:ascii="Book Antiqua" w:hAnsi="Book Antiqua"/>
          <w:b/>
          <w:sz w:val="24"/>
          <w:szCs w:val="24"/>
        </w:rPr>
        <w:t>32</w:t>
      </w:r>
      <w:r w:rsidRPr="00084277">
        <w:rPr>
          <w:rFonts w:ascii="Book Antiqua" w:hAnsi="Book Antiqua"/>
          <w:sz w:val="24"/>
          <w:szCs w:val="24"/>
        </w:rPr>
        <w:t>: 121-127 [PMID: 27529782 DOI: 10.11607/jomi.4801]</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18 </w:t>
      </w:r>
      <w:r w:rsidRPr="00084277">
        <w:rPr>
          <w:rFonts w:ascii="Book Antiqua" w:hAnsi="Book Antiqua"/>
          <w:b/>
          <w:sz w:val="24"/>
          <w:szCs w:val="24"/>
        </w:rPr>
        <w:t>Wood RA</w:t>
      </w:r>
      <w:r w:rsidRPr="00084277">
        <w:rPr>
          <w:rFonts w:ascii="Book Antiqua" w:hAnsi="Book Antiqua"/>
          <w:sz w:val="24"/>
          <w:szCs w:val="24"/>
        </w:rPr>
        <w:t xml:space="preserve">, Mealey BL. Histologic comparison of healing after tooth extraction with ridge preservation using mineralized versus demineralized </w:t>
      </w:r>
      <w:r w:rsidRPr="00084277">
        <w:rPr>
          <w:rFonts w:ascii="Book Antiqua" w:hAnsi="Book Antiqua"/>
          <w:sz w:val="24"/>
          <w:szCs w:val="24"/>
        </w:rPr>
        <w:lastRenderedPageBreak/>
        <w:t xml:space="preserve">freeze-dried bone allograft. </w:t>
      </w:r>
      <w:r w:rsidRPr="00084277">
        <w:rPr>
          <w:rFonts w:ascii="Book Antiqua" w:hAnsi="Book Antiqua"/>
          <w:i/>
          <w:sz w:val="24"/>
          <w:szCs w:val="24"/>
        </w:rPr>
        <w:t>J Periodontol</w:t>
      </w:r>
      <w:r w:rsidRPr="00084277">
        <w:rPr>
          <w:rFonts w:ascii="Book Antiqua" w:hAnsi="Book Antiqua"/>
          <w:sz w:val="24"/>
          <w:szCs w:val="24"/>
        </w:rPr>
        <w:t xml:space="preserve"> 2012; </w:t>
      </w:r>
      <w:r w:rsidRPr="00084277">
        <w:rPr>
          <w:rFonts w:ascii="Book Antiqua" w:hAnsi="Book Antiqua"/>
          <w:b/>
          <w:sz w:val="24"/>
          <w:szCs w:val="24"/>
        </w:rPr>
        <w:t>83</w:t>
      </w:r>
      <w:r w:rsidRPr="00084277">
        <w:rPr>
          <w:rFonts w:ascii="Book Antiqua" w:hAnsi="Book Antiqua"/>
          <w:sz w:val="24"/>
          <w:szCs w:val="24"/>
        </w:rPr>
        <w:t>: 329-336 [PMID: 21749166 DOI: 10.1902/jop.2011.110270]</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19 </w:t>
      </w:r>
      <w:r w:rsidRPr="00084277">
        <w:rPr>
          <w:rFonts w:ascii="Book Antiqua" w:hAnsi="Book Antiqua"/>
          <w:b/>
          <w:sz w:val="24"/>
          <w:szCs w:val="24"/>
        </w:rPr>
        <w:t>Miron RJ</w:t>
      </w:r>
      <w:r w:rsidRPr="00084277">
        <w:rPr>
          <w:rFonts w:ascii="Book Antiqua" w:hAnsi="Book Antiqua"/>
          <w:sz w:val="24"/>
          <w:szCs w:val="24"/>
        </w:rPr>
        <w:t xml:space="preserve">, Sculean A, Shuang Y, Bosshardt DD, Gruber R, Buser D, Chandad F, Zhang Y. Osteoinductive potential of a novel biphasic calcium phosphate bone graft in comparison with autographs, xenografts, and DFDBA. </w:t>
      </w:r>
      <w:r w:rsidRPr="00084277">
        <w:rPr>
          <w:rFonts w:ascii="Book Antiqua" w:hAnsi="Book Antiqua"/>
          <w:i/>
          <w:sz w:val="24"/>
          <w:szCs w:val="24"/>
        </w:rPr>
        <w:t>Clin Oral Implants Res</w:t>
      </w:r>
      <w:r w:rsidRPr="00084277">
        <w:rPr>
          <w:rFonts w:ascii="Book Antiqua" w:hAnsi="Book Antiqua"/>
          <w:sz w:val="24"/>
          <w:szCs w:val="24"/>
        </w:rPr>
        <w:t xml:space="preserve"> 2016; </w:t>
      </w:r>
      <w:r w:rsidRPr="00084277">
        <w:rPr>
          <w:rFonts w:ascii="Book Antiqua" w:hAnsi="Book Antiqua"/>
          <w:b/>
          <w:sz w:val="24"/>
          <w:szCs w:val="24"/>
        </w:rPr>
        <w:t>27</w:t>
      </w:r>
      <w:r w:rsidRPr="00084277">
        <w:rPr>
          <w:rFonts w:ascii="Book Antiqua" w:hAnsi="Book Antiqua"/>
          <w:sz w:val="24"/>
          <w:szCs w:val="24"/>
        </w:rPr>
        <w:t>: 668-675 [PMID: 26227281 DOI: 10.1111/clr.12647]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20 </w:t>
      </w:r>
      <w:r w:rsidRPr="00084277">
        <w:rPr>
          <w:rFonts w:ascii="Book Antiqua" w:hAnsi="Book Antiqua"/>
          <w:b/>
          <w:sz w:val="24"/>
          <w:szCs w:val="24"/>
        </w:rPr>
        <w:t>Roldán JC</w:t>
      </w:r>
      <w:r w:rsidRPr="00084277">
        <w:rPr>
          <w:rFonts w:ascii="Book Antiqua" w:hAnsi="Book Antiqua"/>
          <w:sz w:val="24"/>
          <w:szCs w:val="24"/>
        </w:rPr>
        <w:t xml:space="preserve">, Knueppel H, Schmidt C, Jepsen S, Zimmermann C, Terheyden H. Single-stage sinus augmentation with cancellous iliac bone and anorganic bovine bone in the presence of platelet-rich plasma in the miniature pig. </w:t>
      </w:r>
      <w:r w:rsidRPr="00084277">
        <w:rPr>
          <w:rFonts w:ascii="Book Antiqua" w:hAnsi="Book Antiqua"/>
          <w:i/>
          <w:sz w:val="24"/>
          <w:szCs w:val="24"/>
        </w:rPr>
        <w:t>Clin Oral Implants Res</w:t>
      </w:r>
      <w:r w:rsidRPr="00084277">
        <w:rPr>
          <w:rFonts w:ascii="Book Antiqua" w:hAnsi="Book Antiqua"/>
          <w:sz w:val="24"/>
          <w:szCs w:val="24"/>
        </w:rPr>
        <w:t xml:space="preserve"> 2008; </w:t>
      </w:r>
      <w:r w:rsidRPr="00084277">
        <w:rPr>
          <w:rFonts w:ascii="Book Antiqua" w:hAnsi="Book Antiqua"/>
          <w:b/>
          <w:sz w:val="24"/>
          <w:szCs w:val="24"/>
        </w:rPr>
        <w:t>19</w:t>
      </w:r>
      <w:r w:rsidRPr="00084277">
        <w:rPr>
          <w:rFonts w:ascii="Book Antiqua" w:hAnsi="Book Antiqua"/>
          <w:sz w:val="24"/>
          <w:szCs w:val="24"/>
        </w:rPr>
        <w:t>: 373-378 [PMID: 18261122 DOI: 10.1111/j.1600-0501.2007.01465.x]</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21 </w:t>
      </w:r>
      <w:r w:rsidRPr="00084277">
        <w:rPr>
          <w:rFonts w:ascii="Book Antiqua" w:hAnsi="Book Antiqua"/>
          <w:b/>
          <w:sz w:val="24"/>
          <w:szCs w:val="24"/>
        </w:rPr>
        <w:t>Lee HJ</w:t>
      </w:r>
      <w:r w:rsidRPr="00084277">
        <w:rPr>
          <w:rFonts w:ascii="Book Antiqua" w:hAnsi="Book Antiqua"/>
          <w:sz w:val="24"/>
          <w:szCs w:val="24"/>
        </w:rPr>
        <w:t xml:space="preserve">, Choi BH, Jung JH, Zhu SJ, Lee SH, Huh JY, You TM, Li J. Maxillary sinus floor augmentation using autogenous bone grafts and platelet-enriched fibrin glue with simultaneous implant placement. </w:t>
      </w:r>
      <w:r w:rsidRPr="00084277">
        <w:rPr>
          <w:rFonts w:ascii="Book Antiqua" w:hAnsi="Book Antiqua"/>
          <w:i/>
          <w:sz w:val="24"/>
          <w:szCs w:val="24"/>
        </w:rPr>
        <w:t>Oral Surg Oral Med Oral Pathol Oral Radiol Endod</w:t>
      </w:r>
      <w:r w:rsidRPr="00084277">
        <w:rPr>
          <w:rFonts w:ascii="Book Antiqua" w:hAnsi="Book Antiqua"/>
          <w:sz w:val="24"/>
          <w:szCs w:val="24"/>
        </w:rPr>
        <w:t xml:space="preserve"> 2007; </w:t>
      </w:r>
      <w:r w:rsidRPr="00084277">
        <w:rPr>
          <w:rFonts w:ascii="Book Antiqua" w:hAnsi="Book Antiqua"/>
          <w:b/>
          <w:sz w:val="24"/>
          <w:szCs w:val="24"/>
        </w:rPr>
        <w:t>103</w:t>
      </w:r>
      <w:r w:rsidRPr="00084277">
        <w:rPr>
          <w:rFonts w:ascii="Book Antiqua" w:hAnsi="Book Antiqua"/>
          <w:sz w:val="24"/>
          <w:szCs w:val="24"/>
        </w:rPr>
        <w:t>: 329-333 [PMID: 17321442 DOI: 10.1016/j.tripleo.2006.03.010]</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22 </w:t>
      </w:r>
      <w:r w:rsidRPr="00084277">
        <w:rPr>
          <w:rFonts w:ascii="Book Antiqua" w:hAnsi="Book Antiqua"/>
          <w:b/>
          <w:sz w:val="24"/>
          <w:szCs w:val="24"/>
        </w:rPr>
        <w:t>Kassolis JD</w:t>
      </w:r>
      <w:r w:rsidRPr="00084277">
        <w:rPr>
          <w:rFonts w:ascii="Book Antiqua" w:hAnsi="Book Antiqua"/>
          <w:sz w:val="24"/>
          <w:szCs w:val="24"/>
        </w:rPr>
        <w:t xml:space="preserve">, Rosen PS, Reynolds MA. Alveolar ridge and sinus augmentation utilizing platelet-rich plasma in combination with freeze-dried bone allograft: case series. </w:t>
      </w:r>
      <w:r w:rsidRPr="00084277">
        <w:rPr>
          <w:rFonts w:ascii="Book Antiqua" w:hAnsi="Book Antiqua"/>
          <w:i/>
          <w:sz w:val="24"/>
          <w:szCs w:val="24"/>
        </w:rPr>
        <w:t>J Periodontol</w:t>
      </w:r>
      <w:r w:rsidRPr="00084277">
        <w:rPr>
          <w:rFonts w:ascii="Book Antiqua" w:hAnsi="Book Antiqua"/>
          <w:sz w:val="24"/>
          <w:szCs w:val="24"/>
        </w:rPr>
        <w:t xml:space="preserve"> 2000; </w:t>
      </w:r>
      <w:r w:rsidRPr="00084277">
        <w:rPr>
          <w:rFonts w:ascii="Book Antiqua" w:hAnsi="Book Antiqua"/>
          <w:b/>
          <w:sz w:val="24"/>
          <w:szCs w:val="24"/>
        </w:rPr>
        <w:t>71</w:t>
      </w:r>
      <w:r w:rsidRPr="00084277">
        <w:rPr>
          <w:rFonts w:ascii="Book Antiqua" w:hAnsi="Book Antiqua"/>
          <w:sz w:val="24"/>
          <w:szCs w:val="24"/>
        </w:rPr>
        <w:t>: 1654-1661 [PMID: 11063400 DOI: 10.1902/jop.2000.71.10.1654]</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23 </w:t>
      </w:r>
      <w:r w:rsidRPr="00084277">
        <w:rPr>
          <w:rFonts w:ascii="Book Antiqua" w:hAnsi="Book Antiqua"/>
          <w:b/>
          <w:sz w:val="24"/>
          <w:szCs w:val="24"/>
        </w:rPr>
        <w:t>Rodriguez A</w:t>
      </w:r>
      <w:r w:rsidRPr="00084277">
        <w:rPr>
          <w:rFonts w:ascii="Book Antiqua" w:hAnsi="Book Antiqua"/>
          <w:sz w:val="24"/>
          <w:szCs w:val="24"/>
        </w:rPr>
        <w:t xml:space="preserve">, Anastassov GE, Lee H, Buchbinder D, Wettan H. Maxillary sinus augmentation with deproteinated bovine bone and platelet rich plasma with simultaneous insertion of endosseous implants. </w:t>
      </w:r>
      <w:r w:rsidRPr="00084277">
        <w:rPr>
          <w:rFonts w:ascii="Book Antiqua" w:hAnsi="Book Antiqua"/>
          <w:i/>
          <w:sz w:val="24"/>
          <w:szCs w:val="24"/>
        </w:rPr>
        <w:t>J Oral Maxillofac Surg</w:t>
      </w:r>
      <w:r w:rsidRPr="00084277">
        <w:rPr>
          <w:rFonts w:ascii="Book Antiqua" w:hAnsi="Book Antiqua"/>
          <w:sz w:val="24"/>
          <w:szCs w:val="24"/>
        </w:rPr>
        <w:t xml:space="preserve"> 2003; </w:t>
      </w:r>
      <w:r w:rsidRPr="00084277">
        <w:rPr>
          <w:rFonts w:ascii="Book Antiqua" w:hAnsi="Book Antiqua"/>
          <w:b/>
          <w:sz w:val="24"/>
          <w:szCs w:val="24"/>
        </w:rPr>
        <w:t>61</w:t>
      </w:r>
      <w:r w:rsidRPr="00084277">
        <w:rPr>
          <w:rFonts w:ascii="Book Antiqua" w:hAnsi="Book Antiqua"/>
          <w:sz w:val="24"/>
          <w:szCs w:val="24"/>
        </w:rPr>
        <w:t>: 157-163 [PMID: 12618990 DOI: 10.1053/joms.2003.50041]</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24 </w:t>
      </w:r>
      <w:r w:rsidRPr="00084277">
        <w:rPr>
          <w:rFonts w:ascii="Book Antiqua" w:hAnsi="Book Antiqua"/>
          <w:b/>
          <w:sz w:val="24"/>
          <w:szCs w:val="24"/>
        </w:rPr>
        <w:t>Wiltfang J</w:t>
      </w:r>
      <w:r w:rsidRPr="00084277">
        <w:rPr>
          <w:rFonts w:ascii="Book Antiqua" w:hAnsi="Book Antiqua"/>
          <w:sz w:val="24"/>
          <w:szCs w:val="24"/>
        </w:rPr>
        <w:t xml:space="preserve">, Schlegel KA, Schultze-Mosgau S, Nkenke E, Zimmermann R, Kessler P. Sinus floor augmentation with beta-tricalciumphosphate (beta-TCP): does platelet-rich plasma promote its osseous integration and degradation? </w:t>
      </w:r>
      <w:r w:rsidRPr="00084277">
        <w:rPr>
          <w:rFonts w:ascii="Book Antiqua" w:hAnsi="Book Antiqua"/>
          <w:i/>
          <w:sz w:val="24"/>
          <w:szCs w:val="24"/>
        </w:rPr>
        <w:t>Clin Oral Implants Res</w:t>
      </w:r>
      <w:r w:rsidRPr="00084277">
        <w:rPr>
          <w:rFonts w:ascii="Book Antiqua" w:hAnsi="Book Antiqua"/>
          <w:sz w:val="24"/>
          <w:szCs w:val="24"/>
        </w:rPr>
        <w:t xml:space="preserve"> 2003; </w:t>
      </w:r>
      <w:r w:rsidRPr="00084277">
        <w:rPr>
          <w:rFonts w:ascii="Book Antiqua" w:hAnsi="Book Antiqua"/>
          <w:b/>
          <w:sz w:val="24"/>
          <w:szCs w:val="24"/>
        </w:rPr>
        <w:t>14</w:t>
      </w:r>
      <w:r w:rsidRPr="00084277">
        <w:rPr>
          <w:rFonts w:ascii="Book Antiqua" w:hAnsi="Book Antiqua"/>
          <w:sz w:val="24"/>
          <w:szCs w:val="24"/>
        </w:rPr>
        <w:t>: 213-218 [PMID: 12656882 DOI: 10.1034/j.1600-0501.2003.140212.x]</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25 </w:t>
      </w:r>
      <w:r w:rsidRPr="00084277">
        <w:rPr>
          <w:rFonts w:ascii="Book Antiqua" w:hAnsi="Book Antiqua"/>
          <w:b/>
          <w:sz w:val="24"/>
          <w:szCs w:val="24"/>
        </w:rPr>
        <w:t>Bae JH</w:t>
      </w:r>
      <w:r w:rsidRPr="00084277">
        <w:rPr>
          <w:rFonts w:ascii="Book Antiqua" w:hAnsi="Book Antiqua"/>
          <w:sz w:val="24"/>
          <w:szCs w:val="24"/>
        </w:rPr>
        <w:t xml:space="preserve">, Kim YK, Myung SK. Effects of platelet-rich plasma on sinus bone </w:t>
      </w:r>
      <w:r w:rsidRPr="00084277">
        <w:rPr>
          <w:rFonts w:ascii="Book Antiqua" w:hAnsi="Book Antiqua"/>
          <w:sz w:val="24"/>
          <w:szCs w:val="24"/>
        </w:rPr>
        <w:lastRenderedPageBreak/>
        <w:t xml:space="preserve">graft: meta-analysis. </w:t>
      </w:r>
      <w:r w:rsidRPr="00084277">
        <w:rPr>
          <w:rFonts w:ascii="Book Antiqua" w:hAnsi="Book Antiqua"/>
          <w:i/>
          <w:sz w:val="24"/>
          <w:szCs w:val="24"/>
        </w:rPr>
        <w:t>J Periodontol</w:t>
      </w:r>
      <w:r w:rsidRPr="00084277">
        <w:rPr>
          <w:rFonts w:ascii="Book Antiqua" w:hAnsi="Book Antiqua"/>
          <w:sz w:val="24"/>
          <w:szCs w:val="24"/>
        </w:rPr>
        <w:t xml:space="preserve"> 2011; </w:t>
      </w:r>
      <w:r w:rsidRPr="00084277">
        <w:rPr>
          <w:rFonts w:ascii="Book Antiqua" w:hAnsi="Book Antiqua"/>
          <w:b/>
          <w:sz w:val="24"/>
          <w:szCs w:val="24"/>
        </w:rPr>
        <w:t>82</w:t>
      </w:r>
      <w:r w:rsidRPr="00084277">
        <w:rPr>
          <w:rFonts w:ascii="Book Antiqua" w:hAnsi="Book Antiqua"/>
          <w:sz w:val="24"/>
          <w:szCs w:val="24"/>
        </w:rPr>
        <w:t>: 660-667 [PMID: 21091351 DOI: 10.1902/jop.2010.100529]</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26 </w:t>
      </w:r>
      <w:r w:rsidRPr="00084277">
        <w:rPr>
          <w:rFonts w:ascii="Book Antiqua" w:hAnsi="Book Antiqua"/>
          <w:b/>
          <w:sz w:val="24"/>
          <w:szCs w:val="24"/>
        </w:rPr>
        <w:t>Nikolidakis D</w:t>
      </w:r>
      <w:r w:rsidRPr="00084277">
        <w:rPr>
          <w:rFonts w:ascii="Book Antiqua" w:hAnsi="Book Antiqua"/>
          <w:sz w:val="24"/>
          <w:szCs w:val="24"/>
        </w:rPr>
        <w:t xml:space="preserve">, Jansen JA. The biology of platelet-rich plasma and its application in oral surgery: literature review. </w:t>
      </w:r>
      <w:r w:rsidRPr="00084277">
        <w:rPr>
          <w:rFonts w:ascii="Book Antiqua" w:hAnsi="Book Antiqua"/>
          <w:i/>
          <w:sz w:val="24"/>
          <w:szCs w:val="24"/>
        </w:rPr>
        <w:t>Tissue Eng Part B Rev</w:t>
      </w:r>
      <w:r w:rsidRPr="00084277">
        <w:rPr>
          <w:rFonts w:ascii="Book Antiqua" w:hAnsi="Book Antiqua"/>
          <w:sz w:val="24"/>
          <w:szCs w:val="24"/>
        </w:rPr>
        <w:t xml:space="preserve"> 2008; </w:t>
      </w:r>
      <w:r w:rsidRPr="00084277">
        <w:rPr>
          <w:rFonts w:ascii="Book Antiqua" w:hAnsi="Book Antiqua"/>
          <w:b/>
          <w:sz w:val="24"/>
          <w:szCs w:val="24"/>
        </w:rPr>
        <w:t>14</w:t>
      </w:r>
      <w:r w:rsidRPr="00084277">
        <w:rPr>
          <w:rFonts w:ascii="Book Antiqua" w:hAnsi="Book Antiqua"/>
          <w:sz w:val="24"/>
          <w:szCs w:val="24"/>
        </w:rPr>
        <w:t>: 249-258 [PMID: 18601587 DOI: 10.1089/ten.teb.2008.0062]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27 </w:t>
      </w:r>
      <w:r w:rsidRPr="00084277">
        <w:rPr>
          <w:rFonts w:ascii="Book Antiqua" w:hAnsi="Book Antiqua"/>
          <w:b/>
          <w:sz w:val="24"/>
          <w:szCs w:val="24"/>
        </w:rPr>
        <w:t>Intini G</w:t>
      </w:r>
      <w:r w:rsidRPr="00084277">
        <w:rPr>
          <w:rFonts w:ascii="Book Antiqua" w:hAnsi="Book Antiqua"/>
          <w:sz w:val="24"/>
          <w:szCs w:val="24"/>
        </w:rPr>
        <w:t xml:space="preserve">. The use of platelet-rich plasma in bone reconstruction therapy. </w:t>
      </w:r>
      <w:r w:rsidRPr="00084277">
        <w:rPr>
          <w:rFonts w:ascii="Book Antiqua" w:hAnsi="Book Antiqua"/>
          <w:i/>
          <w:sz w:val="24"/>
          <w:szCs w:val="24"/>
        </w:rPr>
        <w:t>Biomaterials</w:t>
      </w:r>
      <w:r w:rsidRPr="00084277">
        <w:rPr>
          <w:rFonts w:ascii="Book Antiqua" w:hAnsi="Book Antiqua"/>
          <w:sz w:val="24"/>
          <w:szCs w:val="24"/>
        </w:rPr>
        <w:t xml:space="preserve"> 2009; </w:t>
      </w:r>
      <w:r w:rsidRPr="00084277">
        <w:rPr>
          <w:rFonts w:ascii="Book Antiqua" w:hAnsi="Book Antiqua"/>
          <w:b/>
          <w:sz w:val="24"/>
          <w:szCs w:val="24"/>
        </w:rPr>
        <w:t>30</w:t>
      </w:r>
      <w:r w:rsidRPr="00084277">
        <w:rPr>
          <w:rFonts w:ascii="Book Antiqua" w:hAnsi="Book Antiqua"/>
          <w:sz w:val="24"/>
          <w:szCs w:val="24"/>
        </w:rPr>
        <w:t>: 4956-4966 [PMID: 19573909 DOI: 10.1016/j.biomaterials.2009.05.055]</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28 </w:t>
      </w:r>
      <w:r w:rsidRPr="00084277">
        <w:rPr>
          <w:rFonts w:ascii="Book Antiqua" w:hAnsi="Book Antiqua"/>
          <w:b/>
          <w:sz w:val="24"/>
          <w:szCs w:val="24"/>
        </w:rPr>
        <w:t>Roffi A</w:t>
      </w:r>
      <w:r w:rsidRPr="00084277">
        <w:rPr>
          <w:rFonts w:ascii="Book Antiqua" w:hAnsi="Book Antiqua"/>
          <w:sz w:val="24"/>
          <w:szCs w:val="24"/>
        </w:rPr>
        <w:t xml:space="preserve">, Di Matteo B, Krishnakumar GS, Kon E, Filardo G. Platelet-rich plasma for the treatment of bone defects: from pre-clinical rational to evidence in the clinical practice. A systematic review. </w:t>
      </w:r>
      <w:r w:rsidRPr="00084277">
        <w:rPr>
          <w:rFonts w:ascii="Book Antiqua" w:hAnsi="Book Antiqua"/>
          <w:i/>
          <w:sz w:val="24"/>
          <w:szCs w:val="24"/>
        </w:rPr>
        <w:t>Int Orthop</w:t>
      </w:r>
      <w:r w:rsidRPr="00084277">
        <w:rPr>
          <w:rFonts w:ascii="Book Antiqua" w:hAnsi="Book Antiqua"/>
          <w:sz w:val="24"/>
          <w:szCs w:val="24"/>
        </w:rPr>
        <w:t xml:space="preserve"> 2017; </w:t>
      </w:r>
      <w:r w:rsidRPr="00084277">
        <w:rPr>
          <w:rFonts w:ascii="Book Antiqua" w:hAnsi="Book Antiqua"/>
          <w:b/>
          <w:sz w:val="24"/>
          <w:szCs w:val="24"/>
        </w:rPr>
        <w:t>41</w:t>
      </w:r>
      <w:r w:rsidRPr="00084277">
        <w:rPr>
          <w:rFonts w:ascii="Book Antiqua" w:hAnsi="Book Antiqua"/>
          <w:sz w:val="24"/>
          <w:szCs w:val="24"/>
        </w:rPr>
        <w:t>: 221-237 [PMID: 27888295 DOI: 10.1007/s00264-016-3342-9]</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29 </w:t>
      </w:r>
      <w:r w:rsidRPr="00084277">
        <w:rPr>
          <w:rFonts w:ascii="Book Antiqua" w:hAnsi="Book Antiqua"/>
          <w:b/>
          <w:sz w:val="24"/>
          <w:szCs w:val="24"/>
        </w:rPr>
        <w:t>Lemos CA</w:t>
      </w:r>
      <w:r w:rsidRPr="00084277">
        <w:rPr>
          <w:rFonts w:ascii="Book Antiqua" w:hAnsi="Book Antiqua"/>
          <w:sz w:val="24"/>
          <w:szCs w:val="24"/>
        </w:rPr>
        <w:t xml:space="preserve">, Mello CC, dos Santos DM, Verri FR, Goiato MC, Pellizzer EP. Effects of platelet-rich plasma in association with bone grafts in maxillary sinus augmentation: a systematic review and meta-analysis. </w:t>
      </w:r>
      <w:r w:rsidRPr="00084277">
        <w:rPr>
          <w:rFonts w:ascii="Book Antiqua" w:hAnsi="Book Antiqua"/>
          <w:i/>
          <w:sz w:val="24"/>
          <w:szCs w:val="24"/>
        </w:rPr>
        <w:t>Int J Oral Maxillofac Surg</w:t>
      </w:r>
      <w:r w:rsidRPr="00084277">
        <w:rPr>
          <w:rFonts w:ascii="Book Antiqua" w:hAnsi="Book Antiqua"/>
          <w:sz w:val="24"/>
          <w:szCs w:val="24"/>
        </w:rPr>
        <w:t xml:space="preserve"> 2016; </w:t>
      </w:r>
      <w:r w:rsidRPr="00084277">
        <w:rPr>
          <w:rFonts w:ascii="Book Antiqua" w:hAnsi="Book Antiqua"/>
          <w:b/>
          <w:sz w:val="24"/>
          <w:szCs w:val="24"/>
        </w:rPr>
        <w:t>45</w:t>
      </w:r>
      <w:r w:rsidRPr="00084277">
        <w:rPr>
          <w:rFonts w:ascii="Book Antiqua" w:hAnsi="Book Antiqua"/>
          <w:sz w:val="24"/>
          <w:szCs w:val="24"/>
        </w:rPr>
        <w:t>: 517-525 [PMID: 26775635 DOI: 10.1016/j.ijom.2015.07.012]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30 </w:t>
      </w:r>
      <w:r w:rsidRPr="00084277">
        <w:rPr>
          <w:rFonts w:ascii="Book Antiqua" w:hAnsi="Book Antiqua"/>
          <w:b/>
          <w:sz w:val="24"/>
          <w:szCs w:val="24"/>
        </w:rPr>
        <w:t>Pocaterra A</w:t>
      </w:r>
      <w:r w:rsidRPr="00084277">
        <w:rPr>
          <w:rFonts w:ascii="Book Antiqua" w:hAnsi="Book Antiqua"/>
          <w:sz w:val="24"/>
          <w:szCs w:val="24"/>
        </w:rPr>
        <w:t xml:space="preserve">, Caruso S, Bernardi S, Scagnoli L, Continenza MA, Gatto R. Effectiveness of platelet-rich plasma as an adjunctive material to bone graft: a systematic review and meta-analysis of randomized controlled clinical trials. </w:t>
      </w:r>
      <w:r w:rsidRPr="00084277">
        <w:rPr>
          <w:rFonts w:ascii="Book Antiqua" w:hAnsi="Book Antiqua"/>
          <w:i/>
          <w:sz w:val="24"/>
          <w:szCs w:val="24"/>
        </w:rPr>
        <w:t>Int J Oral Maxillofac Surg</w:t>
      </w:r>
      <w:r w:rsidRPr="00084277">
        <w:rPr>
          <w:rFonts w:ascii="Book Antiqua" w:hAnsi="Book Antiqua"/>
          <w:sz w:val="24"/>
          <w:szCs w:val="24"/>
        </w:rPr>
        <w:t xml:space="preserve"> 2016; </w:t>
      </w:r>
      <w:r w:rsidRPr="00084277">
        <w:rPr>
          <w:rFonts w:ascii="Book Antiqua" w:hAnsi="Book Antiqua"/>
          <w:b/>
          <w:sz w:val="24"/>
          <w:szCs w:val="24"/>
        </w:rPr>
        <w:t>45</w:t>
      </w:r>
      <w:r w:rsidRPr="00084277">
        <w:rPr>
          <w:rFonts w:ascii="Book Antiqua" w:hAnsi="Book Antiqua"/>
          <w:sz w:val="24"/>
          <w:szCs w:val="24"/>
        </w:rPr>
        <w:t>: 1027-1034 [PMID: 26987695 DOI: 10.1016/j.ijom.2016.02.012]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31 </w:t>
      </w:r>
      <w:r w:rsidRPr="00084277">
        <w:rPr>
          <w:rFonts w:ascii="Book Antiqua" w:hAnsi="Book Antiqua"/>
          <w:b/>
          <w:sz w:val="24"/>
          <w:szCs w:val="24"/>
        </w:rPr>
        <w:t>Abdalla RIB</w:t>
      </w:r>
      <w:r w:rsidRPr="00084277">
        <w:rPr>
          <w:rFonts w:ascii="Book Antiqua" w:hAnsi="Book Antiqua"/>
          <w:sz w:val="24"/>
          <w:szCs w:val="24"/>
        </w:rPr>
        <w:t xml:space="preserve">, Alqutaibi AY, Kaddah A. Does the adjunctive use of platelet-rich plasma to bone graft during sinus augmentation reduce implant failure and complication? Systematic review and meta-analysis. </w:t>
      </w:r>
      <w:r w:rsidRPr="00084277">
        <w:rPr>
          <w:rFonts w:ascii="Book Antiqua" w:hAnsi="Book Antiqua"/>
          <w:i/>
          <w:sz w:val="24"/>
          <w:szCs w:val="24"/>
        </w:rPr>
        <w:t>Quintessence Int</w:t>
      </w:r>
      <w:r w:rsidRPr="00084277">
        <w:rPr>
          <w:rFonts w:ascii="Book Antiqua" w:hAnsi="Book Antiqua"/>
          <w:sz w:val="24"/>
          <w:szCs w:val="24"/>
        </w:rPr>
        <w:t xml:space="preserve"> 2018; </w:t>
      </w:r>
      <w:r w:rsidRPr="00084277">
        <w:rPr>
          <w:rFonts w:ascii="Book Antiqua" w:hAnsi="Book Antiqua"/>
          <w:b/>
          <w:sz w:val="24"/>
          <w:szCs w:val="24"/>
        </w:rPr>
        <w:t>49</w:t>
      </w:r>
      <w:r w:rsidRPr="00084277">
        <w:rPr>
          <w:rFonts w:ascii="Book Antiqua" w:hAnsi="Book Antiqua"/>
          <w:sz w:val="24"/>
          <w:szCs w:val="24"/>
        </w:rPr>
        <w:t>: 139-146 [PMID: 29292406 DOI: 10.3290/j.qi.a39616]</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32 </w:t>
      </w:r>
      <w:r w:rsidRPr="00084277">
        <w:rPr>
          <w:rFonts w:ascii="Book Antiqua" w:hAnsi="Book Antiqua"/>
          <w:b/>
          <w:sz w:val="24"/>
          <w:szCs w:val="24"/>
        </w:rPr>
        <w:t>Misch CE.</w:t>
      </w:r>
      <w:r w:rsidRPr="00084277">
        <w:rPr>
          <w:rFonts w:ascii="Book Antiqua" w:hAnsi="Book Antiqua"/>
          <w:sz w:val="24"/>
          <w:szCs w:val="24"/>
        </w:rPr>
        <w:t xml:space="preserve"> Available bone and dental implant treatment plans. In: Misch CE, editor. Contemporary Implant Dentistry. 3rd ed. St. Louis: Mosby, 2008: 178-199</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33 </w:t>
      </w:r>
      <w:r w:rsidRPr="00084277">
        <w:rPr>
          <w:rFonts w:ascii="Book Antiqua" w:hAnsi="Book Antiqua"/>
          <w:b/>
          <w:sz w:val="24"/>
          <w:szCs w:val="24"/>
        </w:rPr>
        <w:t>Jensen OT</w:t>
      </w:r>
      <w:r w:rsidRPr="00084277">
        <w:rPr>
          <w:rFonts w:ascii="Book Antiqua" w:hAnsi="Book Antiqua"/>
          <w:sz w:val="24"/>
          <w:szCs w:val="24"/>
        </w:rPr>
        <w:t xml:space="preserve">, Shulman LB, Block MS, Iacono VJ. </w:t>
      </w:r>
      <w:bookmarkStart w:id="175" w:name="OLE_LINK154"/>
      <w:bookmarkStart w:id="176" w:name="OLE_LINK155"/>
      <w:r w:rsidRPr="00084277">
        <w:rPr>
          <w:rFonts w:ascii="Book Antiqua" w:hAnsi="Book Antiqua"/>
          <w:sz w:val="24"/>
          <w:szCs w:val="24"/>
        </w:rPr>
        <w:t>Report of the Sinus Consensus Conference of 1996</w:t>
      </w:r>
      <w:bookmarkEnd w:id="175"/>
      <w:bookmarkEnd w:id="176"/>
      <w:r w:rsidRPr="00084277">
        <w:rPr>
          <w:rFonts w:ascii="Book Antiqua" w:hAnsi="Book Antiqua"/>
          <w:sz w:val="24"/>
          <w:szCs w:val="24"/>
        </w:rPr>
        <w:t xml:space="preserve">. </w:t>
      </w:r>
      <w:r w:rsidRPr="00084277">
        <w:rPr>
          <w:rFonts w:ascii="Book Antiqua" w:hAnsi="Book Antiqua"/>
          <w:i/>
          <w:sz w:val="24"/>
          <w:szCs w:val="24"/>
        </w:rPr>
        <w:t>Int J Oral Maxillofac Implants</w:t>
      </w:r>
      <w:r w:rsidRPr="00084277">
        <w:rPr>
          <w:rFonts w:ascii="Book Antiqua" w:hAnsi="Book Antiqua"/>
          <w:sz w:val="24"/>
          <w:szCs w:val="24"/>
        </w:rPr>
        <w:t xml:space="preserve"> 1998; </w:t>
      </w:r>
      <w:r w:rsidRPr="00084277">
        <w:rPr>
          <w:rFonts w:ascii="Book Antiqua" w:hAnsi="Book Antiqua"/>
          <w:b/>
          <w:sz w:val="24"/>
          <w:szCs w:val="24"/>
        </w:rPr>
        <w:t xml:space="preserve">13 </w:t>
      </w:r>
      <w:r w:rsidRPr="00084277">
        <w:rPr>
          <w:rFonts w:ascii="Book Antiqua" w:hAnsi="Book Antiqua"/>
          <w:sz w:val="24"/>
          <w:szCs w:val="24"/>
        </w:rPr>
        <w:t xml:space="preserve">Suppl: </w:t>
      </w:r>
      <w:r w:rsidRPr="00084277">
        <w:rPr>
          <w:rFonts w:ascii="Book Antiqua" w:hAnsi="Book Antiqua"/>
          <w:sz w:val="24"/>
          <w:szCs w:val="24"/>
        </w:rPr>
        <w:lastRenderedPageBreak/>
        <w:t>11-45 [PMID: 9715571]</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34 </w:t>
      </w:r>
      <w:r w:rsidRPr="00084277">
        <w:rPr>
          <w:rFonts w:ascii="Book Antiqua" w:hAnsi="Book Antiqua"/>
          <w:b/>
          <w:sz w:val="24"/>
          <w:szCs w:val="24"/>
        </w:rPr>
        <w:t>Eda T,</w:t>
      </w:r>
      <w:r w:rsidRPr="00084277">
        <w:rPr>
          <w:rFonts w:ascii="Book Antiqua" w:hAnsi="Book Antiqua"/>
          <w:i/>
          <w:sz w:val="24"/>
          <w:szCs w:val="24"/>
        </w:rPr>
        <w:t xml:space="preserve"> </w:t>
      </w:r>
      <w:r w:rsidRPr="00084277">
        <w:rPr>
          <w:rFonts w:ascii="Book Antiqua" w:hAnsi="Book Antiqua"/>
          <w:sz w:val="24"/>
          <w:szCs w:val="24"/>
        </w:rPr>
        <w:t xml:space="preserve">Takahashi K, Kanao S, Aoki A, Ogura N, Ito K, Tsukahara H, Suemitsu M, Kuyama K, Kondoh T. Comparison study between plasma rich in growth factors and platelet-rich plasma for osteoconduction in rat calvaria. </w:t>
      </w:r>
      <w:r w:rsidRPr="00084277">
        <w:rPr>
          <w:rFonts w:ascii="Book Antiqua" w:hAnsi="Book Antiqua"/>
          <w:i/>
          <w:sz w:val="24"/>
          <w:szCs w:val="24"/>
        </w:rPr>
        <w:t>J Oral Maxillofac Surg Med Pathol</w:t>
      </w:r>
      <w:r w:rsidRPr="00084277">
        <w:rPr>
          <w:rFonts w:ascii="Book Antiqua" w:hAnsi="Book Antiqua"/>
          <w:sz w:val="24"/>
          <w:szCs w:val="24"/>
        </w:rPr>
        <w:t xml:space="preserve"> 2017; </w:t>
      </w:r>
      <w:r w:rsidRPr="00084277">
        <w:rPr>
          <w:rFonts w:ascii="Book Antiqua" w:hAnsi="Book Antiqua"/>
          <w:b/>
          <w:sz w:val="24"/>
          <w:szCs w:val="24"/>
        </w:rPr>
        <w:t>29</w:t>
      </w:r>
      <w:r w:rsidRPr="00084277">
        <w:rPr>
          <w:rFonts w:ascii="Book Antiqua" w:hAnsi="Book Antiqua"/>
          <w:sz w:val="24"/>
          <w:szCs w:val="24"/>
        </w:rPr>
        <w:t>: 563-569 [DOI: 10.1016/j.ajoms.2017.06.011]</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35 </w:t>
      </w:r>
      <w:r w:rsidRPr="00084277">
        <w:rPr>
          <w:rFonts w:ascii="Book Antiqua" w:hAnsi="Book Antiqua"/>
          <w:b/>
          <w:sz w:val="24"/>
          <w:szCs w:val="24"/>
        </w:rPr>
        <w:t>Parnia F</w:t>
      </w:r>
      <w:r w:rsidRPr="00084277">
        <w:rPr>
          <w:rFonts w:ascii="Book Antiqua" w:hAnsi="Book Antiqua"/>
          <w:sz w:val="24"/>
          <w:szCs w:val="24"/>
        </w:rPr>
        <w:t xml:space="preserve">, Yazdani J, Maleki Dizaj S. Applications of Mesenchymal Stem Cells in Sinus Lift Augmentation as a Dental Implant Technology. </w:t>
      </w:r>
      <w:r w:rsidRPr="00084277">
        <w:rPr>
          <w:rFonts w:ascii="Book Antiqua" w:hAnsi="Book Antiqua"/>
          <w:i/>
          <w:sz w:val="24"/>
          <w:szCs w:val="24"/>
        </w:rPr>
        <w:t>Stem Cells Int</w:t>
      </w:r>
      <w:r w:rsidRPr="00084277">
        <w:rPr>
          <w:rFonts w:ascii="Book Antiqua" w:hAnsi="Book Antiqua"/>
          <w:sz w:val="24"/>
          <w:szCs w:val="24"/>
        </w:rPr>
        <w:t xml:space="preserve"> 2018; </w:t>
      </w:r>
      <w:r w:rsidRPr="00084277">
        <w:rPr>
          <w:rFonts w:ascii="Book Antiqua" w:hAnsi="Book Antiqua"/>
          <w:b/>
          <w:sz w:val="24"/>
          <w:szCs w:val="24"/>
        </w:rPr>
        <w:t>2018</w:t>
      </w:r>
      <w:r w:rsidRPr="00084277">
        <w:rPr>
          <w:rFonts w:ascii="Book Antiqua" w:hAnsi="Book Antiqua"/>
          <w:sz w:val="24"/>
          <w:szCs w:val="24"/>
        </w:rPr>
        <w:t>: 3080139 [PMID: 29760723 DOI: 10.1155/2018/3080139]</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36 </w:t>
      </w:r>
      <w:r w:rsidRPr="00084277">
        <w:rPr>
          <w:rFonts w:ascii="Book Antiqua" w:hAnsi="Book Antiqua"/>
          <w:b/>
          <w:sz w:val="24"/>
          <w:szCs w:val="24"/>
        </w:rPr>
        <w:t>Niño-Sandoval TC</w:t>
      </w:r>
      <w:r w:rsidRPr="00084277">
        <w:rPr>
          <w:rFonts w:ascii="Book Antiqua" w:hAnsi="Book Antiqua"/>
          <w:sz w:val="24"/>
          <w:szCs w:val="24"/>
        </w:rPr>
        <w:t xml:space="preserve">, Vasconcelos BC, D Moraes SL, A Lemos CA, Pellizzer EP. Efficacy of stem cells in maxillary sinus floor augmentation: systematic review and meta-analysis. </w:t>
      </w:r>
      <w:r w:rsidRPr="00084277">
        <w:rPr>
          <w:rFonts w:ascii="Book Antiqua" w:hAnsi="Book Antiqua"/>
          <w:i/>
          <w:sz w:val="24"/>
          <w:szCs w:val="24"/>
        </w:rPr>
        <w:t>Int J Oral Maxillofac Surg</w:t>
      </w:r>
      <w:r w:rsidRPr="00084277">
        <w:rPr>
          <w:rFonts w:ascii="Book Antiqua" w:hAnsi="Book Antiqua"/>
          <w:sz w:val="24"/>
          <w:szCs w:val="24"/>
        </w:rPr>
        <w:t xml:space="preserve"> 2018 [PMID: </w:t>
      </w:r>
      <w:bookmarkStart w:id="177" w:name="OLE_LINK157"/>
      <w:r w:rsidRPr="00084277">
        <w:rPr>
          <w:rFonts w:ascii="Book Antiqua" w:hAnsi="Book Antiqua"/>
          <w:sz w:val="24"/>
          <w:szCs w:val="24"/>
        </w:rPr>
        <w:t xml:space="preserve">29759309 </w:t>
      </w:r>
      <w:bookmarkEnd w:id="177"/>
      <w:r w:rsidRPr="00084277">
        <w:rPr>
          <w:rFonts w:ascii="Book Antiqua" w:hAnsi="Book Antiqua"/>
          <w:sz w:val="24"/>
          <w:szCs w:val="24"/>
        </w:rPr>
        <w:t>DOI: 10.1016/j.ijom.2018.04.022]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37 </w:t>
      </w:r>
      <w:r w:rsidRPr="00084277">
        <w:rPr>
          <w:rFonts w:ascii="Book Antiqua" w:hAnsi="Book Antiqua"/>
          <w:b/>
          <w:sz w:val="24"/>
          <w:szCs w:val="24"/>
        </w:rPr>
        <w:t>Miguita L</w:t>
      </w:r>
      <w:r w:rsidRPr="00084277">
        <w:rPr>
          <w:rFonts w:ascii="Book Antiqua" w:hAnsi="Book Antiqua"/>
          <w:sz w:val="24"/>
          <w:szCs w:val="24"/>
        </w:rPr>
        <w:t xml:space="preserve">, Mantesso A, Pannuti CM, Deboni MCZ. Can stem cells enhance bone formation in the human edentulous alveolar ridge? A systematic review and meta-analysis. </w:t>
      </w:r>
      <w:r w:rsidRPr="00084277">
        <w:rPr>
          <w:rFonts w:ascii="Book Antiqua" w:hAnsi="Book Antiqua"/>
          <w:i/>
          <w:sz w:val="24"/>
          <w:szCs w:val="24"/>
        </w:rPr>
        <w:t>Cell Tissue Bank</w:t>
      </w:r>
      <w:r w:rsidRPr="00084277">
        <w:rPr>
          <w:rFonts w:ascii="Book Antiqua" w:hAnsi="Book Antiqua"/>
          <w:sz w:val="24"/>
          <w:szCs w:val="24"/>
        </w:rPr>
        <w:t xml:space="preserve"> 2017; </w:t>
      </w:r>
      <w:r w:rsidRPr="00084277">
        <w:rPr>
          <w:rFonts w:ascii="Book Antiqua" w:hAnsi="Book Antiqua"/>
          <w:b/>
          <w:sz w:val="24"/>
          <w:szCs w:val="24"/>
        </w:rPr>
        <w:t>18</w:t>
      </w:r>
      <w:r w:rsidRPr="00084277">
        <w:rPr>
          <w:rFonts w:ascii="Book Antiqua" w:hAnsi="Book Antiqua"/>
          <w:sz w:val="24"/>
          <w:szCs w:val="24"/>
        </w:rPr>
        <w:t>: 217-228 [PMID: 28233169 DOI: 10.1007/s10561-017-9612-y]</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38 </w:t>
      </w:r>
      <w:r w:rsidRPr="00084277">
        <w:rPr>
          <w:rFonts w:ascii="Book Antiqua" w:hAnsi="Book Antiqua"/>
          <w:b/>
          <w:sz w:val="24"/>
          <w:szCs w:val="24"/>
        </w:rPr>
        <w:t>Barba M</w:t>
      </w:r>
      <w:r w:rsidRPr="00084277">
        <w:rPr>
          <w:rFonts w:ascii="Book Antiqua" w:hAnsi="Book Antiqua"/>
          <w:sz w:val="24"/>
          <w:szCs w:val="24"/>
        </w:rPr>
        <w:t xml:space="preserve">, Di Taranto G, Lattanzi W. Adipose-derived stem cell therapies for bone regeneration. </w:t>
      </w:r>
      <w:r w:rsidRPr="00084277">
        <w:rPr>
          <w:rFonts w:ascii="Book Antiqua" w:hAnsi="Book Antiqua"/>
          <w:i/>
          <w:sz w:val="24"/>
          <w:szCs w:val="24"/>
        </w:rPr>
        <w:t>Expert Opin Biol Ther</w:t>
      </w:r>
      <w:r w:rsidRPr="00084277">
        <w:rPr>
          <w:rFonts w:ascii="Book Antiqua" w:hAnsi="Book Antiqua"/>
          <w:sz w:val="24"/>
          <w:szCs w:val="24"/>
        </w:rPr>
        <w:t xml:space="preserve"> 2017; </w:t>
      </w:r>
      <w:r w:rsidRPr="00084277">
        <w:rPr>
          <w:rFonts w:ascii="Book Antiqua" w:hAnsi="Book Antiqua"/>
          <w:b/>
          <w:sz w:val="24"/>
          <w:szCs w:val="24"/>
        </w:rPr>
        <w:t>17</w:t>
      </w:r>
      <w:r w:rsidRPr="00084277">
        <w:rPr>
          <w:rFonts w:ascii="Book Antiqua" w:hAnsi="Book Antiqua"/>
          <w:sz w:val="24"/>
          <w:szCs w:val="24"/>
        </w:rPr>
        <w:t>: 677-689 [PMID: 28374644 DOI: 10.1080/14712598.2017.1315403]</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39 </w:t>
      </w:r>
      <w:r w:rsidRPr="00084277">
        <w:rPr>
          <w:rFonts w:ascii="Book Antiqua" w:hAnsi="Book Antiqua"/>
          <w:b/>
          <w:sz w:val="24"/>
          <w:szCs w:val="24"/>
        </w:rPr>
        <w:t>Bhattacharya I</w:t>
      </w:r>
      <w:r w:rsidRPr="00084277">
        <w:rPr>
          <w:rFonts w:ascii="Book Antiqua" w:hAnsi="Book Antiqua"/>
          <w:sz w:val="24"/>
          <w:szCs w:val="24"/>
        </w:rPr>
        <w:t xml:space="preserve">, Ghayor C, Weber FE. The Use of Adipose Tissue-Derived Progenitors in Bone Tissue Engineering - a Review. </w:t>
      </w:r>
      <w:r w:rsidRPr="00084277">
        <w:rPr>
          <w:rFonts w:ascii="Book Antiqua" w:hAnsi="Book Antiqua"/>
          <w:i/>
          <w:sz w:val="24"/>
          <w:szCs w:val="24"/>
        </w:rPr>
        <w:t>Transfus Med Hemother</w:t>
      </w:r>
      <w:r w:rsidRPr="00084277">
        <w:rPr>
          <w:rFonts w:ascii="Book Antiqua" w:hAnsi="Book Antiqua"/>
          <w:sz w:val="24"/>
          <w:szCs w:val="24"/>
        </w:rPr>
        <w:t xml:space="preserve"> 2016; </w:t>
      </w:r>
      <w:r w:rsidRPr="00084277">
        <w:rPr>
          <w:rFonts w:ascii="Book Antiqua" w:hAnsi="Book Antiqua"/>
          <w:b/>
          <w:sz w:val="24"/>
          <w:szCs w:val="24"/>
        </w:rPr>
        <w:t>43</w:t>
      </w:r>
      <w:r w:rsidRPr="00084277">
        <w:rPr>
          <w:rFonts w:ascii="Book Antiqua" w:hAnsi="Book Antiqua"/>
          <w:sz w:val="24"/>
          <w:szCs w:val="24"/>
        </w:rPr>
        <w:t>: 336-343 [PMID: 27781021 DOI: 10.1159/000447494]</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40 </w:t>
      </w:r>
      <w:r w:rsidRPr="00084277">
        <w:rPr>
          <w:rFonts w:ascii="Book Antiqua" w:hAnsi="Book Antiqua"/>
          <w:b/>
          <w:sz w:val="24"/>
          <w:szCs w:val="24"/>
        </w:rPr>
        <w:t>Han DS</w:t>
      </w:r>
      <w:r w:rsidRPr="00084277">
        <w:rPr>
          <w:rFonts w:ascii="Book Antiqua" w:hAnsi="Book Antiqua"/>
          <w:sz w:val="24"/>
          <w:szCs w:val="24"/>
        </w:rPr>
        <w:t xml:space="preserve">, Chang HK, Kim KR, Woo SM. Consideration of bone regeneration effect of stem cells: comparison of bone regeneration between bone marrow stem cells and adipose-derived stem cells. </w:t>
      </w:r>
      <w:r w:rsidRPr="00084277">
        <w:rPr>
          <w:rFonts w:ascii="Book Antiqua" w:hAnsi="Book Antiqua"/>
          <w:i/>
          <w:sz w:val="24"/>
          <w:szCs w:val="24"/>
        </w:rPr>
        <w:t>J Craniofac Surg</w:t>
      </w:r>
      <w:r w:rsidRPr="00084277">
        <w:rPr>
          <w:rFonts w:ascii="Book Antiqua" w:hAnsi="Book Antiqua"/>
          <w:sz w:val="24"/>
          <w:szCs w:val="24"/>
        </w:rPr>
        <w:t xml:space="preserve"> 2014; </w:t>
      </w:r>
      <w:r w:rsidRPr="00084277">
        <w:rPr>
          <w:rFonts w:ascii="Book Antiqua" w:hAnsi="Book Antiqua"/>
          <w:b/>
          <w:sz w:val="24"/>
          <w:szCs w:val="24"/>
        </w:rPr>
        <w:t>25</w:t>
      </w:r>
      <w:r w:rsidRPr="00084277">
        <w:rPr>
          <w:rFonts w:ascii="Book Antiqua" w:hAnsi="Book Antiqua"/>
          <w:sz w:val="24"/>
          <w:szCs w:val="24"/>
        </w:rPr>
        <w:t>: 196-201 [PMID: 24406577 DOI: 10.1097/SCS.0000000000000378]</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41 </w:t>
      </w:r>
      <w:r w:rsidRPr="00084277">
        <w:rPr>
          <w:rFonts w:ascii="Book Antiqua" w:hAnsi="Book Antiqua"/>
          <w:b/>
          <w:sz w:val="24"/>
          <w:szCs w:val="24"/>
        </w:rPr>
        <w:t>Hayashi O</w:t>
      </w:r>
      <w:r w:rsidRPr="00084277">
        <w:rPr>
          <w:rFonts w:ascii="Book Antiqua" w:hAnsi="Book Antiqua"/>
          <w:sz w:val="24"/>
          <w:szCs w:val="24"/>
        </w:rPr>
        <w:t xml:space="preserve">, Katsube Y, Hirose M, Ohgushi H, Ito H. Comparison of osteogenic ability of rat mesenchymal stem cells from bone marrow, periosteum, and adipose tissue. </w:t>
      </w:r>
      <w:r w:rsidRPr="00084277">
        <w:rPr>
          <w:rFonts w:ascii="Book Antiqua" w:hAnsi="Book Antiqua"/>
          <w:i/>
          <w:sz w:val="24"/>
          <w:szCs w:val="24"/>
        </w:rPr>
        <w:t>Calcif Tissue Int</w:t>
      </w:r>
      <w:r w:rsidRPr="00084277">
        <w:rPr>
          <w:rFonts w:ascii="Book Antiqua" w:hAnsi="Book Antiqua"/>
          <w:sz w:val="24"/>
          <w:szCs w:val="24"/>
        </w:rPr>
        <w:t xml:space="preserve"> 2008; </w:t>
      </w:r>
      <w:r w:rsidRPr="00084277">
        <w:rPr>
          <w:rFonts w:ascii="Book Antiqua" w:hAnsi="Book Antiqua"/>
          <w:b/>
          <w:sz w:val="24"/>
          <w:szCs w:val="24"/>
        </w:rPr>
        <w:t>82</w:t>
      </w:r>
      <w:r w:rsidRPr="00084277">
        <w:rPr>
          <w:rFonts w:ascii="Book Antiqua" w:hAnsi="Book Antiqua"/>
          <w:sz w:val="24"/>
          <w:szCs w:val="24"/>
        </w:rPr>
        <w:t>: 238-247 [PMID: 18305886 DOI: 10.1007/s00223-008-9112-y]</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lastRenderedPageBreak/>
        <w:t xml:space="preserve">42 </w:t>
      </w:r>
      <w:r w:rsidRPr="00084277">
        <w:rPr>
          <w:rFonts w:ascii="Book Antiqua" w:hAnsi="Book Antiqua"/>
          <w:b/>
          <w:sz w:val="24"/>
          <w:szCs w:val="24"/>
        </w:rPr>
        <w:t>Zhang W</w:t>
      </w:r>
      <w:r w:rsidRPr="00084277">
        <w:rPr>
          <w:rFonts w:ascii="Book Antiqua" w:hAnsi="Book Antiqua"/>
          <w:sz w:val="24"/>
          <w:szCs w:val="24"/>
        </w:rPr>
        <w:t xml:space="preserve">, Zhang X, Wang S, Xu L, Zhang M, Wang G, Jin Y, Zhang X, Jiang X. Comparison of the use of adipose tissue-derived and bone marrow-derived stem cells for rapid bone regeneration. </w:t>
      </w:r>
      <w:r w:rsidRPr="00084277">
        <w:rPr>
          <w:rFonts w:ascii="Book Antiqua" w:hAnsi="Book Antiqua"/>
          <w:i/>
          <w:sz w:val="24"/>
          <w:szCs w:val="24"/>
        </w:rPr>
        <w:t>J Dent Res</w:t>
      </w:r>
      <w:r w:rsidRPr="00084277">
        <w:rPr>
          <w:rFonts w:ascii="Book Antiqua" w:hAnsi="Book Antiqua"/>
          <w:sz w:val="24"/>
          <w:szCs w:val="24"/>
        </w:rPr>
        <w:t xml:space="preserve"> 2013; </w:t>
      </w:r>
      <w:r w:rsidRPr="00084277">
        <w:rPr>
          <w:rFonts w:ascii="Book Antiqua" w:hAnsi="Book Antiqua"/>
          <w:b/>
          <w:sz w:val="24"/>
          <w:szCs w:val="24"/>
        </w:rPr>
        <w:t>92</w:t>
      </w:r>
      <w:r w:rsidRPr="00084277">
        <w:rPr>
          <w:rFonts w:ascii="Book Antiqua" w:hAnsi="Book Antiqua"/>
          <w:sz w:val="24"/>
          <w:szCs w:val="24"/>
        </w:rPr>
        <w:t>: 1136-1141 [PMID: 24097853 DOI: 10.1177/0022034513507581]</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43 </w:t>
      </w:r>
      <w:r w:rsidRPr="00084277">
        <w:rPr>
          <w:rFonts w:ascii="Book Antiqua" w:hAnsi="Book Antiqua"/>
          <w:b/>
          <w:sz w:val="24"/>
          <w:szCs w:val="24"/>
        </w:rPr>
        <w:t>Yu H</w:t>
      </w:r>
      <w:r w:rsidRPr="00084277">
        <w:rPr>
          <w:rFonts w:ascii="Book Antiqua" w:hAnsi="Book Antiqua"/>
          <w:sz w:val="24"/>
          <w:szCs w:val="24"/>
        </w:rPr>
        <w:t xml:space="preserve">, Lu K, Zhu J, Wang J. Stem cell therapy for ischemic heart diseases. </w:t>
      </w:r>
      <w:r w:rsidRPr="00084277">
        <w:rPr>
          <w:rFonts w:ascii="Book Antiqua" w:hAnsi="Book Antiqua"/>
          <w:i/>
          <w:sz w:val="24"/>
          <w:szCs w:val="24"/>
        </w:rPr>
        <w:t>Br Med Bull</w:t>
      </w:r>
      <w:r w:rsidRPr="00084277">
        <w:rPr>
          <w:rFonts w:ascii="Book Antiqua" w:hAnsi="Book Antiqua"/>
          <w:sz w:val="24"/>
          <w:szCs w:val="24"/>
        </w:rPr>
        <w:t xml:space="preserve"> 2017; </w:t>
      </w:r>
      <w:r w:rsidRPr="00084277">
        <w:rPr>
          <w:rFonts w:ascii="Book Antiqua" w:hAnsi="Book Antiqua"/>
          <w:b/>
          <w:sz w:val="24"/>
          <w:szCs w:val="24"/>
        </w:rPr>
        <w:t>121</w:t>
      </w:r>
      <w:r w:rsidRPr="00084277">
        <w:rPr>
          <w:rFonts w:ascii="Book Antiqua" w:hAnsi="Book Antiqua"/>
          <w:sz w:val="24"/>
          <w:szCs w:val="24"/>
        </w:rPr>
        <w:t>: 135-154 [PMID: 28164211 DOI: 10.1093/bmb/ldw059]</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44 </w:t>
      </w:r>
      <w:r w:rsidRPr="00084277">
        <w:rPr>
          <w:rFonts w:ascii="Book Antiqua" w:hAnsi="Book Antiqua"/>
          <w:b/>
          <w:sz w:val="24"/>
          <w:szCs w:val="24"/>
        </w:rPr>
        <w:t>Fraser JK</w:t>
      </w:r>
      <w:r w:rsidRPr="00084277">
        <w:rPr>
          <w:rFonts w:ascii="Book Antiqua" w:hAnsi="Book Antiqua"/>
          <w:sz w:val="24"/>
          <w:szCs w:val="24"/>
        </w:rPr>
        <w:t xml:space="preserve">, Wulur I, Alfonso Z, Hedrick MH. Fat tissue: an underappreciated source of stem cells for biotechnology. </w:t>
      </w:r>
      <w:r w:rsidRPr="00084277">
        <w:rPr>
          <w:rFonts w:ascii="Book Antiqua" w:hAnsi="Book Antiqua"/>
          <w:i/>
          <w:sz w:val="24"/>
          <w:szCs w:val="24"/>
        </w:rPr>
        <w:t>Trends Biotechnol</w:t>
      </w:r>
      <w:r w:rsidRPr="00084277">
        <w:rPr>
          <w:rFonts w:ascii="Book Antiqua" w:hAnsi="Book Antiqua"/>
          <w:sz w:val="24"/>
          <w:szCs w:val="24"/>
        </w:rPr>
        <w:t xml:space="preserve"> 2006; </w:t>
      </w:r>
      <w:r w:rsidRPr="00084277">
        <w:rPr>
          <w:rFonts w:ascii="Book Antiqua" w:hAnsi="Book Antiqua"/>
          <w:b/>
          <w:sz w:val="24"/>
          <w:szCs w:val="24"/>
        </w:rPr>
        <w:t>24</w:t>
      </w:r>
      <w:r w:rsidRPr="00084277">
        <w:rPr>
          <w:rFonts w:ascii="Book Antiqua" w:hAnsi="Book Antiqua"/>
          <w:sz w:val="24"/>
          <w:szCs w:val="24"/>
        </w:rPr>
        <w:t>: 150-154 [PMID: 16488036 DOI: 10.1016/j.tibtech.2006.01.010]</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45 </w:t>
      </w:r>
      <w:r w:rsidRPr="00084277">
        <w:rPr>
          <w:rFonts w:ascii="Book Antiqua" w:hAnsi="Book Antiqua"/>
          <w:b/>
          <w:sz w:val="24"/>
          <w:szCs w:val="24"/>
        </w:rPr>
        <w:t>Aust L</w:t>
      </w:r>
      <w:r w:rsidRPr="00084277">
        <w:rPr>
          <w:rFonts w:ascii="Book Antiqua" w:hAnsi="Book Antiqua"/>
          <w:sz w:val="24"/>
          <w:szCs w:val="24"/>
        </w:rPr>
        <w:t xml:space="preserve">, Devlin B, Foster SJ, Halvorsen YD, Hicok K, du Laney T, Sen A, Willingmyre GD, Gimble JM. Yield of human adipose-derived adult stem cells from liposuction aspirates. </w:t>
      </w:r>
      <w:r w:rsidRPr="00084277">
        <w:rPr>
          <w:rFonts w:ascii="Book Antiqua" w:hAnsi="Book Antiqua"/>
          <w:i/>
          <w:sz w:val="24"/>
          <w:szCs w:val="24"/>
        </w:rPr>
        <w:t>Cytotherapy</w:t>
      </w:r>
      <w:r w:rsidRPr="00084277">
        <w:rPr>
          <w:rFonts w:ascii="Book Antiqua" w:hAnsi="Book Antiqua"/>
          <w:sz w:val="24"/>
          <w:szCs w:val="24"/>
        </w:rPr>
        <w:t xml:space="preserve"> 2004; </w:t>
      </w:r>
      <w:r w:rsidRPr="00084277">
        <w:rPr>
          <w:rFonts w:ascii="Book Antiqua" w:hAnsi="Book Antiqua"/>
          <w:b/>
          <w:sz w:val="24"/>
          <w:szCs w:val="24"/>
        </w:rPr>
        <w:t>6</w:t>
      </w:r>
      <w:r w:rsidRPr="00084277">
        <w:rPr>
          <w:rFonts w:ascii="Book Antiqua" w:hAnsi="Book Antiqua"/>
          <w:sz w:val="24"/>
          <w:szCs w:val="24"/>
        </w:rPr>
        <w:t>: 7-14 [PMID: 14985162 DOI: 10.1080/14653240310004539]</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46 </w:t>
      </w:r>
      <w:r w:rsidRPr="00084277">
        <w:rPr>
          <w:rFonts w:ascii="Book Antiqua" w:hAnsi="Book Antiqua"/>
          <w:b/>
          <w:sz w:val="24"/>
          <w:szCs w:val="24"/>
        </w:rPr>
        <w:t>Tajima S</w:t>
      </w:r>
      <w:r w:rsidRPr="00084277">
        <w:rPr>
          <w:rFonts w:ascii="Book Antiqua" w:hAnsi="Book Antiqua"/>
          <w:sz w:val="24"/>
          <w:szCs w:val="24"/>
        </w:rPr>
        <w:t xml:space="preserve">, Tobita M, Mizuno H. Current status of bone regeneration using adipose-derived stem cells. </w:t>
      </w:r>
      <w:r w:rsidRPr="00084277">
        <w:rPr>
          <w:rFonts w:ascii="Book Antiqua" w:hAnsi="Book Antiqua"/>
          <w:i/>
          <w:sz w:val="24"/>
          <w:szCs w:val="24"/>
        </w:rPr>
        <w:t>Histol Histopathol</w:t>
      </w:r>
      <w:r w:rsidRPr="00084277">
        <w:rPr>
          <w:rFonts w:ascii="Book Antiqua" w:hAnsi="Book Antiqua"/>
          <w:sz w:val="24"/>
          <w:szCs w:val="24"/>
        </w:rPr>
        <w:t xml:space="preserve"> 2018; </w:t>
      </w:r>
      <w:r w:rsidRPr="00084277">
        <w:rPr>
          <w:rFonts w:ascii="Book Antiqua" w:hAnsi="Book Antiqua"/>
          <w:b/>
          <w:sz w:val="24"/>
          <w:szCs w:val="24"/>
        </w:rPr>
        <w:t>33</w:t>
      </w:r>
      <w:r w:rsidRPr="00084277">
        <w:rPr>
          <w:rFonts w:ascii="Book Antiqua" w:hAnsi="Book Antiqua"/>
          <w:sz w:val="24"/>
          <w:szCs w:val="24"/>
        </w:rPr>
        <w:t>: 619-627 [PMID: 29094748 DOI: 10.14670/HH-11-942]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47 </w:t>
      </w:r>
      <w:r w:rsidRPr="00084277">
        <w:rPr>
          <w:rFonts w:ascii="Book Antiqua" w:hAnsi="Book Antiqua"/>
          <w:b/>
          <w:sz w:val="24"/>
          <w:szCs w:val="24"/>
        </w:rPr>
        <w:t>Romagnoli C</w:t>
      </w:r>
      <w:r w:rsidRPr="00084277">
        <w:rPr>
          <w:rFonts w:ascii="Book Antiqua" w:hAnsi="Book Antiqua"/>
          <w:sz w:val="24"/>
          <w:szCs w:val="24"/>
        </w:rPr>
        <w:t xml:space="preserve">, Brandi ML. Adipose mesenchymal stem cells in the field of bone tissue engineering. </w:t>
      </w:r>
      <w:r w:rsidRPr="00084277">
        <w:rPr>
          <w:rFonts w:ascii="Book Antiqua" w:hAnsi="Book Antiqua"/>
          <w:i/>
          <w:sz w:val="24"/>
          <w:szCs w:val="24"/>
        </w:rPr>
        <w:t>World J Stem Cells</w:t>
      </w:r>
      <w:r w:rsidRPr="00084277">
        <w:rPr>
          <w:rFonts w:ascii="Book Antiqua" w:hAnsi="Book Antiqua"/>
          <w:sz w:val="24"/>
          <w:szCs w:val="24"/>
        </w:rPr>
        <w:t xml:space="preserve"> 2014; </w:t>
      </w:r>
      <w:r w:rsidRPr="00084277">
        <w:rPr>
          <w:rFonts w:ascii="Book Antiqua" w:hAnsi="Book Antiqua"/>
          <w:b/>
          <w:sz w:val="24"/>
          <w:szCs w:val="24"/>
        </w:rPr>
        <w:t>6</w:t>
      </w:r>
      <w:r w:rsidRPr="00084277">
        <w:rPr>
          <w:rFonts w:ascii="Book Antiqua" w:hAnsi="Book Antiqua"/>
          <w:sz w:val="24"/>
          <w:szCs w:val="24"/>
        </w:rPr>
        <w:t>: 144-152 [PMID: 24772241 DOI: 10.4252/wjsc.v6.i2.144]</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48 </w:t>
      </w:r>
      <w:r w:rsidRPr="00084277">
        <w:rPr>
          <w:rFonts w:ascii="Book Antiqua" w:hAnsi="Book Antiqua"/>
          <w:b/>
          <w:sz w:val="24"/>
          <w:szCs w:val="24"/>
        </w:rPr>
        <w:t>Zanetti AS</w:t>
      </w:r>
      <w:r w:rsidRPr="00084277">
        <w:rPr>
          <w:rFonts w:ascii="Book Antiqua" w:hAnsi="Book Antiqua"/>
          <w:sz w:val="24"/>
          <w:szCs w:val="24"/>
        </w:rPr>
        <w:t xml:space="preserve">, Sabliov C, Gimble JM, Hayes DJ. Human adipose-derived stem cells and three-dimensional scaffold constructs: a review of the biomaterials and models currently used for bone regeneration. </w:t>
      </w:r>
      <w:r w:rsidRPr="00084277">
        <w:rPr>
          <w:rFonts w:ascii="Book Antiqua" w:hAnsi="Book Antiqua"/>
          <w:i/>
          <w:sz w:val="24"/>
          <w:szCs w:val="24"/>
        </w:rPr>
        <w:t>J Biomed Mater Res B Appl Biomater</w:t>
      </w:r>
      <w:r w:rsidRPr="00084277">
        <w:rPr>
          <w:rFonts w:ascii="Book Antiqua" w:hAnsi="Book Antiqua"/>
          <w:sz w:val="24"/>
          <w:szCs w:val="24"/>
        </w:rPr>
        <w:t xml:space="preserve"> 2013; </w:t>
      </w:r>
      <w:r w:rsidRPr="00084277">
        <w:rPr>
          <w:rFonts w:ascii="Book Antiqua" w:hAnsi="Book Antiqua"/>
          <w:b/>
          <w:sz w:val="24"/>
          <w:szCs w:val="24"/>
        </w:rPr>
        <w:t>101</w:t>
      </w:r>
      <w:r w:rsidRPr="00084277">
        <w:rPr>
          <w:rFonts w:ascii="Book Antiqua" w:hAnsi="Book Antiqua"/>
          <w:sz w:val="24"/>
          <w:szCs w:val="24"/>
        </w:rPr>
        <w:t>: 187-199 [PMID: 22997152 DOI: 10.1002/jbm.b.32817]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49 </w:t>
      </w:r>
      <w:r w:rsidRPr="00084277">
        <w:rPr>
          <w:rFonts w:ascii="Book Antiqua" w:hAnsi="Book Antiqua"/>
          <w:b/>
          <w:sz w:val="24"/>
          <w:szCs w:val="24"/>
        </w:rPr>
        <w:t>Oberbauer E</w:t>
      </w:r>
      <w:r w:rsidRPr="00084277">
        <w:rPr>
          <w:rFonts w:ascii="Book Antiqua" w:hAnsi="Book Antiqua"/>
          <w:sz w:val="24"/>
          <w:szCs w:val="24"/>
        </w:rPr>
        <w:t xml:space="preserve">, Steffenhagen C, Wurzer C, Gabriel C, Redl H, Wolbank S. Enzymatic and non-enzymatic isolation systems for adipose tissue-derived cells: current state of the art. </w:t>
      </w:r>
      <w:r w:rsidRPr="00084277">
        <w:rPr>
          <w:rFonts w:ascii="Book Antiqua" w:hAnsi="Book Antiqua"/>
          <w:i/>
          <w:sz w:val="24"/>
          <w:szCs w:val="24"/>
        </w:rPr>
        <w:t>Cell Regen (Lond)</w:t>
      </w:r>
      <w:r w:rsidRPr="00084277">
        <w:rPr>
          <w:rFonts w:ascii="Book Antiqua" w:hAnsi="Book Antiqua"/>
          <w:sz w:val="24"/>
          <w:szCs w:val="24"/>
        </w:rPr>
        <w:t xml:space="preserve"> 2015; </w:t>
      </w:r>
      <w:r w:rsidRPr="00084277">
        <w:rPr>
          <w:rFonts w:ascii="Book Antiqua" w:hAnsi="Book Antiqua"/>
          <w:b/>
          <w:sz w:val="24"/>
          <w:szCs w:val="24"/>
        </w:rPr>
        <w:t>4</w:t>
      </w:r>
      <w:r w:rsidRPr="00084277">
        <w:rPr>
          <w:rFonts w:ascii="Book Antiqua" w:hAnsi="Book Antiqua"/>
          <w:sz w:val="24"/>
          <w:szCs w:val="24"/>
        </w:rPr>
        <w:t>: 7 [PMID: 26435835 DOI: 10.1186/s13619-015-0020-0]</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50 </w:t>
      </w:r>
      <w:r w:rsidRPr="00084277">
        <w:rPr>
          <w:rFonts w:ascii="Book Antiqua" w:hAnsi="Book Antiqua"/>
          <w:b/>
          <w:sz w:val="24"/>
          <w:szCs w:val="24"/>
        </w:rPr>
        <w:t>van Dongen JA</w:t>
      </w:r>
      <w:r w:rsidRPr="00084277">
        <w:rPr>
          <w:rFonts w:ascii="Book Antiqua" w:hAnsi="Book Antiqua"/>
          <w:sz w:val="24"/>
          <w:szCs w:val="24"/>
        </w:rPr>
        <w:t xml:space="preserve">, Tuin AJ, Spiekman M, Jansma J, van der Lei B, Harmsen MC. Comparison of intraoperative procedures for isolation of clinical grade stromal vascular fraction for regenerative purposes: a systematic review. </w:t>
      </w:r>
      <w:r w:rsidRPr="00084277">
        <w:rPr>
          <w:rFonts w:ascii="Book Antiqua" w:hAnsi="Book Antiqua"/>
          <w:i/>
          <w:sz w:val="24"/>
          <w:szCs w:val="24"/>
        </w:rPr>
        <w:t>J Tissue Eng Regen Med</w:t>
      </w:r>
      <w:r w:rsidRPr="00084277">
        <w:rPr>
          <w:rFonts w:ascii="Book Antiqua" w:hAnsi="Book Antiqua"/>
          <w:sz w:val="24"/>
          <w:szCs w:val="24"/>
        </w:rPr>
        <w:t xml:space="preserve"> 2018; </w:t>
      </w:r>
      <w:r w:rsidRPr="00084277">
        <w:rPr>
          <w:rFonts w:ascii="Book Antiqua" w:hAnsi="Book Antiqua"/>
          <w:b/>
          <w:sz w:val="24"/>
          <w:szCs w:val="24"/>
        </w:rPr>
        <w:t>12</w:t>
      </w:r>
      <w:r w:rsidRPr="00084277">
        <w:rPr>
          <w:rFonts w:ascii="Book Antiqua" w:hAnsi="Book Antiqua"/>
          <w:sz w:val="24"/>
          <w:szCs w:val="24"/>
        </w:rPr>
        <w:t xml:space="preserve">: e261-e274 [PMID: 28084666 DOI: </w:t>
      </w:r>
      <w:r w:rsidRPr="00084277">
        <w:rPr>
          <w:rFonts w:ascii="Book Antiqua" w:hAnsi="Book Antiqua"/>
          <w:sz w:val="24"/>
          <w:szCs w:val="24"/>
        </w:rPr>
        <w:lastRenderedPageBreak/>
        <w:t>10.1002/term.2407]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51 </w:t>
      </w:r>
      <w:r w:rsidRPr="00084277">
        <w:rPr>
          <w:rFonts w:ascii="Book Antiqua" w:hAnsi="Book Antiqua"/>
          <w:b/>
          <w:sz w:val="24"/>
          <w:szCs w:val="24"/>
        </w:rPr>
        <w:t>Condé-Green A</w:t>
      </w:r>
      <w:r w:rsidRPr="00084277">
        <w:rPr>
          <w:rFonts w:ascii="Book Antiqua" w:hAnsi="Book Antiqua"/>
          <w:sz w:val="24"/>
          <w:szCs w:val="24"/>
        </w:rPr>
        <w:t xml:space="preserve">, Kotamarti VS, Sherman LS, Keith JD, Lee ES, Granick MS, Rameshwar P. Shift toward Mechanical Isolation of Adipose-derived Stromal Vascular Fraction: Review of Upcoming Techniques. </w:t>
      </w:r>
      <w:r w:rsidRPr="00084277">
        <w:rPr>
          <w:rFonts w:ascii="Book Antiqua" w:hAnsi="Book Antiqua"/>
          <w:i/>
          <w:sz w:val="24"/>
          <w:szCs w:val="24"/>
        </w:rPr>
        <w:t>Plast Reconstr Surg Glob Open</w:t>
      </w:r>
      <w:r w:rsidRPr="00084277">
        <w:rPr>
          <w:rFonts w:ascii="Book Antiqua" w:hAnsi="Book Antiqua"/>
          <w:sz w:val="24"/>
          <w:szCs w:val="24"/>
        </w:rPr>
        <w:t xml:space="preserve"> 2016; </w:t>
      </w:r>
      <w:r w:rsidRPr="00084277">
        <w:rPr>
          <w:rFonts w:ascii="Book Antiqua" w:hAnsi="Book Antiqua"/>
          <w:b/>
          <w:sz w:val="24"/>
          <w:szCs w:val="24"/>
        </w:rPr>
        <w:t>4</w:t>
      </w:r>
      <w:r w:rsidRPr="00084277">
        <w:rPr>
          <w:rFonts w:ascii="Book Antiqua" w:hAnsi="Book Antiqua"/>
          <w:sz w:val="24"/>
          <w:szCs w:val="24"/>
        </w:rPr>
        <w:t>: e1017 [PMID: 27757339 DOI: 10.1097/GOX.0000000000001017]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52 </w:t>
      </w:r>
      <w:r w:rsidRPr="00084277">
        <w:rPr>
          <w:rFonts w:ascii="Book Antiqua" w:hAnsi="Book Antiqua"/>
          <w:b/>
          <w:sz w:val="24"/>
          <w:szCs w:val="24"/>
        </w:rPr>
        <w:t>Aronowitz JA</w:t>
      </w:r>
      <w:r w:rsidRPr="00084277">
        <w:rPr>
          <w:rFonts w:ascii="Book Antiqua" w:hAnsi="Book Antiqua"/>
          <w:sz w:val="24"/>
          <w:szCs w:val="24"/>
        </w:rPr>
        <w:t xml:space="preserve">, Lockhart RA, Hakakian CS. Mechanical versus enzymatic isolation of stromal vascular fraction cells from adipose tissue. </w:t>
      </w:r>
      <w:r w:rsidRPr="00084277">
        <w:rPr>
          <w:rFonts w:ascii="Book Antiqua" w:hAnsi="Book Antiqua"/>
          <w:i/>
          <w:sz w:val="24"/>
          <w:szCs w:val="24"/>
        </w:rPr>
        <w:t>Springerplus</w:t>
      </w:r>
      <w:r w:rsidRPr="00084277">
        <w:rPr>
          <w:rFonts w:ascii="Book Antiqua" w:hAnsi="Book Antiqua"/>
          <w:sz w:val="24"/>
          <w:szCs w:val="24"/>
        </w:rPr>
        <w:t xml:space="preserve"> 2015; </w:t>
      </w:r>
      <w:r w:rsidRPr="00084277">
        <w:rPr>
          <w:rFonts w:ascii="Book Antiqua" w:hAnsi="Book Antiqua"/>
          <w:b/>
          <w:sz w:val="24"/>
          <w:szCs w:val="24"/>
        </w:rPr>
        <w:t>4</w:t>
      </w:r>
      <w:r w:rsidRPr="00084277">
        <w:rPr>
          <w:rFonts w:ascii="Book Antiqua" w:hAnsi="Book Antiqua"/>
          <w:sz w:val="24"/>
          <w:szCs w:val="24"/>
        </w:rPr>
        <w:t>: 713 [PMID: 26636001 DOI: 10.1186/s40064-015-1509-2]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53 </w:t>
      </w:r>
      <w:r w:rsidRPr="00084277">
        <w:rPr>
          <w:rFonts w:ascii="Book Antiqua" w:hAnsi="Book Antiqua"/>
          <w:b/>
          <w:sz w:val="24"/>
          <w:szCs w:val="24"/>
        </w:rPr>
        <w:t>Valenzuela N,</w:t>
      </w:r>
      <w:r w:rsidRPr="00084277">
        <w:rPr>
          <w:rFonts w:ascii="Book Antiqua" w:hAnsi="Book Antiqua"/>
          <w:i/>
          <w:sz w:val="24"/>
          <w:szCs w:val="24"/>
        </w:rPr>
        <w:t xml:space="preserve"> </w:t>
      </w:r>
      <w:r w:rsidRPr="00084277">
        <w:rPr>
          <w:rFonts w:ascii="Book Antiqua" w:hAnsi="Book Antiqua"/>
          <w:sz w:val="24"/>
          <w:szCs w:val="24"/>
        </w:rPr>
        <w:t xml:space="preserve">Alt C, Winnier GE, Alt EU. </w:t>
      </w:r>
      <w:bookmarkStart w:id="178" w:name="OLE_LINK160"/>
      <w:bookmarkStart w:id="179" w:name="OLE_LINK161"/>
      <w:r w:rsidRPr="00084277">
        <w:rPr>
          <w:rFonts w:ascii="Book Antiqua" w:hAnsi="Book Antiqua"/>
          <w:sz w:val="24"/>
          <w:szCs w:val="24"/>
        </w:rPr>
        <w:t>Isolation of adipose tissue derived regenerative cells from human subcutaneous tissue with or without the use of enzymatic reagent</w:t>
      </w:r>
      <w:bookmarkEnd w:id="178"/>
      <w:bookmarkEnd w:id="179"/>
      <w:r w:rsidRPr="00084277">
        <w:rPr>
          <w:rFonts w:ascii="Book Antiqua" w:hAnsi="Book Antiqua"/>
          <w:sz w:val="24"/>
          <w:szCs w:val="24"/>
        </w:rPr>
        <w:t xml:space="preserve">. 2018 Preprint. Available from: bioRxiv:485318 [DOI: </w:t>
      </w:r>
      <w:bookmarkStart w:id="180" w:name="OLE_LINK162"/>
      <w:r w:rsidRPr="00084277">
        <w:rPr>
          <w:rFonts w:ascii="Book Antiqua" w:hAnsi="Book Antiqua"/>
          <w:sz w:val="24"/>
          <w:szCs w:val="24"/>
        </w:rPr>
        <w:t>10.1101/485318</w:t>
      </w:r>
      <w:bookmarkEnd w:id="180"/>
      <w:r w:rsidRPr="00084277">
        <w:rPr>
          <w:rFonts w:ascii="Book Antiqua" w:hAnsi="Book Antiqua"/>
          <w:sz w:val="24"/>
          <w:szCs w:val="24"/>
        </w:rPr>
        <w:t>]</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54 </w:t>
      </w:r>
      <w:r w:rsidRPr="00084277">
        <w:rPr>
          <w:rFonts w:ascii="Book Antiqua" w:hAnsi="Book Antiqua"/>
          <w:b/>
          <w:sz w:val="24"/>
          <w:szCs w:val="24"/>
        </w:rPr>
        <w:t>Panés J</w:t>
      </w:r>
      <w:r w:rsidRPr="00084277">
        <w:rPr>
          <w:rFonts w:ascii="Book Antiqua" w:hAnsi="Book Antiqua"/>
          <w:sz w:val="24"/>
          <w:szCs w:val="24"/>
        </w:rPr>
        <w:t xml:space="preserve">, García-Olmo D, Van Assche G, Colombel JF, Reinisch W, Baumgart DC, Dignass A, Nachury M, Ferrante M, Kazemi-Shirazi L, Grimaud JC, de la Portilla F, Goldin E, Richard MP, Leselbaum A, Danese S; ADMIRE CD Study Group Collaborators. Expanded allogeneic adipose-derived mesenchymal stem cells (Cx601) for complex perianal fistulas in Crohn's disease: a phase 3 randomised, double-blind controlled trial. </w:t>
      </w:r>
      <w:r w:rsidRPr="00084277">
        <w:rPr>
          <w:rFonts w:ascii="Book Antiqua" w:hAnsi="Book Antiqua"/>
          <w:i/>
          <w:sz w:val="24"/>
          <w:szCs w:val="24"/>
        </w:rPr>
        <w:t>Lancet</w:t>
      </w:r>
      <w:r w:rsidRPr="00084277">
        <w:rPr>
          <w:rFonts w:ascii="Book Antiqua" w:hAnsi="Book Antiqua"/>
          <w:sz w:val="24"/>
          <w:szCs w:val="24"/>
        </w:rPr>
        <w:t xml:space="preserve"> 2016; </w:t>
      </w:r>
      <w:r w:rsidRPr="00084277">
        <w:rPr>
          <w:rFonts w:ascii="Book Antiqua" w:hAnsi="Book Antiqua"/>
          <w:b/>
          <w:sz w:val="24"/>
          <w:szCs w:val="24"/>
        </w:rPr>
        <w:t>388</w:t>
      </w:r>
      <w:r w:rsidRPr="00084277">
        <w:rPr>
          <w:rFonts w:ascii="Book Antiqua" w:hAnsi="Book Antiqua"/>
          <w:sz w:val="24"/>
          <w:szCs w:val="24"/>
        </w:rPr>
        <w:t>: 1281-1290 [PMID: 27477896 DOI: 10.1016/S0140-6736(16)31203-X]</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55 </w:t>
      </w:r>
      <w:r w:rsidRPr="00084277">
        <w:rPr>
          <w:rFonts w:ascii="Book Antiqua" w:hAnsi="Book Antiqua"/>
          <w:b/>
          <w:sz w:val="24"/>
          <w:szCs w:val="24"/>
        </w:rPr>
        <w:t>Álvaro-Gracia JM</w:t>
      </w:r>
      <w:r w:rsidRPr="00084277">
        <w:rPr>
          <w:rFonts w:ascii="Book Antiqua" w:hAnsi="Book Antiqua"/>
          <w:sz w:val="24"/>
          <w:szCs w:val="24"/>
        </w:rPr>
        <w:t xml:space="preserve">, Jover JA, García-Vicuña R, Carreño L, Alonso A, Marsal S, Blanco F, Martínez-Taboada VM, Taylor P, Martín-Martín C, DelaRosa O, Tagarro I, Díaz-González F. Intravenous administration of expanded allogeneic adipose-derived mesenchymal stem cells in refractory rheumatoid arthritis (Cx611): results of a multicentre, dose escalation, randomised, single-blind, placebo-controlled phase Ib/IIa clinical trial. </w:t>
      </w:r>
      <w:r w:rsidRPr="00084277">
        <w:rPr>
          <w:rFonts w:ascii="Book Antiqua" w:hAnsi="Book Antiqua"/>
          <w:i/>
          <w:sz w:val="24"/>
          <w:szCs w:val="24"/>
        </w:rPr>
        <w:t>Ann Rheum Dis</w:t>
      </w:r>
      <w:r w:rsidRPr="00084277">
        <w:rPr>
          <w:rFonts w:ascii="Book Antiqua" w:hAnsi="Book Antiqua"/>
          <w:sz w:val="24"/>
          <w:szCs w:val="24"/>
        </w:rPr>
        <w:t xml:space="preserve"> 2017; </w:t>
      </w:r>
      <w:r w:rsidRPr="00084277">
        <w:rPr>
          <w:rFonts w:ascii="Book Antiqua" w:hAnsi="Book Antiqua"/>
          <w:b/>
          <w:sz w:val="24"/>
          <w:szCs w:val="24"/>
        </w:rPr>
        <w:t>76</w:t>
      </w:r>
      <w:r w:rsidRPr="00084277">
        <w:rPr>
          <w:rFonts w:ascii="Book Antiqua" w:hAnsi="Book Antiqua"/>
          <w:sz w:val="24"/>
          <w:szCs w:val="24"/>
        </w:rPr>
        <w:t>: 196-202 [PMID: 27269294 DOI: 10.1136/annrheumdis-2015-208918]</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56 </w:t>
      </w:r>
      <w:r w:rsidRPr="00084277">
        <w:rPr>
          <w:rFonts w:ascii="Book Antiqua" w:hAnsi="Book Antiqua"/>
          <w:b/>
          <w:sz w:val="24"/>
          <w:szCs w:val="24"/>
        </w:rPr>
        <w:t>Schmitz C</w:t>
      </w:r>
      <w:r w:rsidRPr="00084277">
        <w:rPr>
          <w:rFonts w:ascii="Book Antiqua" w:hAnsi="Book Antiqua"/>
          <w:sz w:val="24"/>
          <w:szCs w:val="24"/>
        </w:rPr>
        <w:t xml:space="preserve">, Hof PR. Design-based stereology in neuroscience. </w:t>
      </w:r>
      <w:r w:rsidRPr="00084277">
        <w:rPr>
          <w:rFonts w:ascii="Book Antiqua" w:hAnsi="Book Antiqua"/>
          <w:i/>
          <w:sz w:val="24"/>
          <w:szCs w:val="24"/>
        </w:rPr>
        <w:t>Neuroscience</w:t>
      </w:r>
      <w:r w:rsidRPr="00084277">
        <w:rPr>
          <w:rFonts w:ascii="Book Antiqua" w:hAnsi="Book Antiqua"/>
          <w:sz w:val="24"/>
          <w:szCs w:val="24"/>
        </w:rPr>
        <w:t xml:space="preserve"> 2005; </w:t>
      </w:r>
      <w:r w:rsidRPr="00084277">
        <w:rPr>
          <w:rFonts w:ascii="Book Antiqua" w:hAnsi="Book Antiqua"/>
          <w:b/>
          <w:sz w:val="24"/>
          <w:szCs w:val="24"/>
        </w:rPr>
        <w:t>130</w:t>
      </w:r>
      <w:r w:rsidRPr="00084277">
        <w:rPr>
          <w:rFonts w:ascii="Book Antiqua" w:hAnsi="Book Antiqua"/>
          <w:sz w:val="24"/>
          <w:szCs w:val="24"/>
        </w:rPr>
        <w:t>: 813-831 [PMID: 15652981 DOI: 10.1016/j.neuroscience.2004.08.050]</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57 </w:t>
      </w:r>
      <w:r w:rsidRPr="00084277">
        <w:rPr>
          <w:rFonts w:ascii="Book Antiqua" w:hAnsi="Book Antiqua"/>
          <w:b/>
          <w:sz w:val="24"/>
          <w:szCs w:val="24"/>
        </w:rPr>
        <w:t>Klein JA</w:t>
      </w:r>
      <w:r w:rsidRPr="00084277">
        <w:rPr>
          <w:rFonts w:ascii="Book Antiqua" w:hAnsi="Book Antiqua"/>
          <w:sz w:val="24"/>
          <w:szCs w:val="24"/>
        </w:rPr>
        <w:t xml:space="preserve">. Tumescent technique for local anesthesia improves safety in large-volume liposuction. </w:t>
      </w:r>
      <w:r w:rsidRPr="00084277">
        <w:rPr>
          <w:rFonts w:ascii="Book Antiqua" w:hAnsi="Book Antiqua"/>
          <w:i/>
          <w:sz w:val="24"/>
          <w:szCs w:val="24"/>
        </w:rPr>
        <w:t>Plast Reconstr Surg</w:t>
      </w:r>
      <w:r w:rsidRPr="00084277">
        <w:rPr>
          <w:rFonts w:ascii="Book Antiqua" w:hAnsi="Book Antiqua"/>
          <w:sz w:val="24"/>
          <w:szCs w:val="24"/>
        </w:rPr>
        <w:t xml:space="preserve"> 1993; </w:t>
      </w:r>
      <w:r w:rsidRPr="00084277">
        <w:rPr>
          <w:rFonts w:ascii="Book Antiqua" w:hAnsi="Book Antiqua"/>
          <w:b/>
          <w:sz w:val="24"/>
          <w:szCs w:val="24"/>
        </w:rPr>
        <w:t>92</w:t>
      </w:r>
      <w:r w:rsidRPr="00084277">
        <w:rPr>
          <w:rFonts w:ascii="Book Antiqua" w:hAnsi="Book Antiqua"/>
          <w:sz w:val="24"/>
          <w:szCs w:val="24"/>
        </w:rPr>
        <w:t xml:space="preserve">: 1085-98; discussion </w:t>
      </w:r>
      <w:r w:rsidRPr="00084277">
        <w:rPr>
          <w:rFonts w:ascii="Book Antiqua" w:hAnsi="Book Antiqua"/>
          <w:sz w:val="24"/>
          <w:szCs w:val="24"/>
        </w:rPr>
        <w:lastRenderedPageBreak/>
        <w:t>1099-100 [PMID: 8234507 DOI: 10.1097/00006534-199311000-00014]</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58 </w:t>
      </w:r>
      <w:r w:rsidRPr="00084277">
        <w:rPr>
          <w:rFonts w:ascii="Book Antiqua" w:hAnsi="Book Antiqua"/>
          <w:b/>
          <w:sz w:val="24"/>
          <w:szCs w:val="24"/>
        </w:rPr>
        <w:t>Coleman WP 4th</w:t>
      </w:r>
      <w:r w:rsidRPr="00084277">
        <w:rPr>
          <w:rFonts w:ascii="Book Antiqua" w:hAnsi="Book Antiqua"/>
          <w:sz w:val="24"/>
          <w:szCs w:val="24"/>
        </w:rPr>
        <w:t xml:space="preserve">, Hendry SL 2nd. Principles of liposuction. </w:t>
      </w:r>
      <w:r w:rsidRPr="00084277">
        <w:rPr>
          <w:rFonts w:ascii="Book Antiqua" w:hAnsi="Book Antiqua"/>
          <w:i/>
          <w:sz w:val="24"/>
          <w:szCs w:val="24"/>
        </w:rPr>
        <w:t>Semin Cutan Med Surg</w:t>
      </w:r>
      <w:r w:rsidRPr="00084277">
        <w:rPr>
          <w:rFonts w:ascii="Book Antiqua" w:hAnsi="Book Antiqua"/>
          <w:sz w:val="24"/>
          <w:szCs w:val="24"/>
        </w:rPr>
        <w:t xml:space="preserve"> 2006; </w:t>
      </w:r>
      <w:r w:rsidRPr="00084277">
        <w:rPr>
          <w:rFonts w:ascii="Book Antiqua" w:hAnsi="Book Antiqua"/>
          <w:b/>
          <w:sz w:val="24"/>
          <w:szCs w:val="24"/>
        </w:rPr>
        <w:t>25</w:t>
      </w:r>
      <w:r w:rsidRPr="00084277">
        <w:rPr>
          <w:rFonts w:ascii="Book Antiqua" w:hAnsi="Book Antiqua"/>
          <w:sz w:val="24"/>
          <w:szCs w:val="24"/>
        </w:rPr>
        <w:t>: 138-144 [PMID: 17055393 DOI: 10.1016/j.sder.2006.06.006]</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59 </w:t>
      </w:r>
      <w:r w:rsidRPr="00084277">
        <w:rPr>
          <w:rFonts w:ascii="Book Antiqua" w:hAnsi="Book Antiqua"/>
          <w:b/>
          <w:sz w:val="24"/>
          <w:szCs w:val="24"/>
        </w:rPr>
        <w:t>Tatum H Jr</w:t>
      </w:r>
      <w:r w:rsidRPr="00084277">
        <w:rPr>
          <w:rFonts w:ascii="Book Antiqua" w:hAnsi="Book Antiqua"/>
          <w:sz w:val="24"/>
          <w:szCs w:val="24"/>
        </w:rPr>
        <w:t xml:space="preserve">. Maxillary and sinus implant reconstructions. </w:t>
      </w:r>
      <w:r w:rsidRPr="00084277">
        <w:rPr>
          <w:rFonts w:ascii="Book Antiqua" w:hAnsi="Book Antiqua"/>
          <w:i/>
          <w:sz w:val="24"/>
          <w:szCs w:val="24"/>
        </w:rPr>
        <w:t>Dent Clin North Am</w:t>
      </w:r>
      <w:r w:rsidRPr="00084277">
        <w:rPr>
          <w:rFonts w:ascii="Book Antiqua" w:hAnsi="Book Antiqua"/>
          <w:sz w:val="24"/>
          <w:szCs w:val="24"/>
        </w:rPr>
        <w:t xml:space="preserve"> 1986; </w:t>
      </w:r>
      <w:r w:rsidRPr="00084277">
        <w:rPr>
          <w:rFonts w:ascii="Book Antiqua" w:hAnsi="Book Antiqua"/>
          <w:b/>
          <w:sz w:val="24"/>
          <w:szCs w:val="24"/>
        </w:rPr>
        <w:t>30</w:t>
      </w:r>
      <w:r w:rsidRPr="00084277">
        <w:rPr>
          <w:rFonts w:ascii="Book Antiqua" w:hAnsi="Book Antiqua"/>
          <w:sz w:val="24"/>
          <w:szCs w:val="24"/>
        </w:rPr>
        <w:t>: 207-229 [PMID: 3516738 DOI: 10.1016/0011-3840(86)90013-4]</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60 </w:t>
      </w:r>
      <w:r w:rsidRPr="00084277">
        <w:rPr>
          <w:rFonts w:ascii="Book Antiqua" w:hAnsi="Book Antiqua"/>
          <w:b/>
          <w:sz w:val="24"/>
          <w:szCs w:val="24"/>
        </w:rPr>
        <w:t>El Chaar ES</w:t>
      </w:r>
      <w:r w:rsidRPr="00084277">
        <w:rPr>
          <w:rFonts w:ascii="Book Antiqua" w:hAnsi="Book Antiqua"/>
          <w:sz w:val="24"/>
          <w:szCs w:val="24"/>
        </w:rPr>
        <w:t xml:space="preserve">. Soft tissue closure of grafted extraction sockets in the posterior maxilla: the rotated pedicle palatal connective tissue flap technique. </w:t>
      </w:r>
      <w:r w:rsidRPr="00084277">
        <w:rPr>
          <w:rFonts w:ascii="Book Antiqua" w:hAnsi="Book Antiqua"/>
          <w:i/>
          <w:sz w:val="24"/>
          <w:szCs w:val="24"/>
        </w:rPr>
        <w:t>Implant Dent</w:t>
      </w:r>
      <w:r w:rsidRPr="00084277">
        <w:rPr>
          <w:rFonts w:ascii="Book Antiqua" w:hAnsi="Book Antiqua"/>
          <w:sz w:val="24"/>
          <w:szCs w:val="24"/>
        </w:rPr>
        <w:t xml:space="preserve"> 2010; </w:t>
      </w:r>
      <w:r w:rsidRPr="00084277">
        <w:rPr>
          <w:rFonts w:ascii="Book Antiqua" w:hAnsi="Book Antiqua"/>
          <w:b/>
          <w:sz w:val="24"/>
          <w:szCs w:val="24"/>
        </w:rPr>
        <w:t>19</w:t>
      </w:r>
      <w:r w:rsidRPr="00084277">
        <w:rPr>
          <w:rFonts w:ascii="Book Antiqua" w:hAnsi="Book Antiqua"/>
          <w:sz w:val="24"/>
          <w:szCs w:val="24"/>
        </w:rPr>
        <w:t>: 370-377 [PMID: 20881807 DOI: 10.1097/ID.0b013e3181ed06cd]</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61 </w:t>
      </w:r>
      <w:r w:rsidRPr="00084277">
        <w:rPr>
          <w:rFonts w:ascii="Book Antiqua" w:hAnsi="Book Antiqua"/>
          <w:b/>
          <w:sz w:val="24"/>
          <w:szCs w:val="24"/>
        </w:rPr>
        <w:t>Ronda M</w:t>
      </w:r>
      <w:r w:rsidRPr="00084277">
        <w:rPr>
          <w:rFonts w:ascii="Book Antiqua" w:hAnsi="Book Antiqua"/>
          <w:sz w:val="24"/>
          <w:szCs w:val="24"/>
        </w:rPr>
        <w:t xml:space="preserve">, Stacchi C. A Novel Approach for the Coronal Advancement of the Buccal Flap. </w:t>
      </w:r>
      <w:r w:rsidRPr="00084277">
        <w:rPr>
          <w:rFonts w:ascii="Book Antiqua" w:hAnsi="Book Antiqua"/>
          <w:i/>
          <w:sz w:val="24"/>
          <w:szCs w:val="24"/>
        </w:rPr>
        <w:t>Int J Periodontics Restorative Dent</w:t>
      </w:r>
      <w:r w:rsidRPr="00084277">
        <w:rPr>
          <w:rFonts w:ascii="Book Antiqua" w:hAnsi="Book Antiqua"/>
          <w:sz w:val="24"/>
          <w:szCs w:val="24"/>
        </w:rPr>
        <w:t xml:space="preserve"> 2015; </w:t>
      </w:r>
      <w:r w:rsidRPr="00084277">
        <w:rPr>
          <w:rFonts w:ascii="Book Antiqua" w:hAnsi="Book Antiqua"/>
          <w:b/>
          <w:sz w:val="24"/>
          <w:szCs w:val="24"/>
        </w:rPr>
        <w:t>35</w:t>
      </w:r>
      <w:r w:rsidRPr="00084277">
        <w:rPr>
          <w:rFonts w:ascii="Book Antiqua" w:hAnsi="Book Antiqua"/>
          <w:sz w:val="24"/>
          <w:szCs w:val="24"/>
        </w:rPr>
        <w:t>: 795-801 [PMID: 26509982 DOI: 10.11607/prd.2232]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62 </w:t>
      </w:r>
      <w:r w:rsidRPr="00084277">
        <w:rPr>
          <w:rFonts w:ascii="Book Antiqua" w:hAnsi="Book Antiqua"/>
          <w:b/>
          <w:sz w:val="24"/>
          <w:szCs w:val="24"/>
        </w:rPr>
        <w:t>Mangano FG</w:t>
      </w:r>
      <w:r w:rsidRPr="00084277">
        <w:rPr>
          <w:rFonts w:ascii="Book Antiqua" w:hAnsi="Book Antiqua"/>
          <w:sz w:val="24"/>
          <w:szCs w:val="24"/>
        </w:rPr>
        <w:t xml:space="preserve">, Tettamanti L, Sammons RL, Azzi L, Caprioglio A, Macchi A, Mangano C. Maxillary sinus augmentation with adult mesenchymal stem cells: a review of the current literature. </w:t>
      </w:r>
      <w:r w:rsidRPr="00084277">
        <w:rPr>
          <w:rFonts w:ascii="Book Antiqua" w:hAnsi="Book Antiqua"/>
          <w:i/>
          <w:sz w:val="24"/>
          <w:szCs w:val="24"/>
        </w:rPr>
        <w:t>Oral Surg Oral Med Oral Pathol Oral Radiol</w:t>
      </w:r>
      <w:r w:rsidRPr="00084277">
        <w:rPr>
          <w:rFonts w:ascii="Book Antiqua" w:hAnsi="Book Antiqua"/>
          <w:sz w:val="24"/>
          <w:szCs w:val="24"/>
        </w:rPr>
        <w:t xml:space="preserve"> 2013; </w:t>
      </w:r>
      <w:r w:rsidRPr="00084277">
        <w:rPr>
          <w:rFonts w:ascii="Book Antiqua" w:hAnsi="Book Antiqua"/>
          <w:b/>
          <w:sz w:val="24"/>
          <w:szCs w:val="24"/>
        </w:rPr>
        <w:t>115</w:t>
      </w:r>
      <w:r w:rsidRPr="00084277">
        <w:rPr>
          <w:rFonts w:ascii="Book Antiqua" w:hAnsi="Book Antiqua"/>
          <w:sz w:val="24"/>
          <w:szCs w:val="24"/>
        </w:rPr>
        <w:t>: 717-723 [PMID: 23313230 DOI: 10.1016/j.oooo.2012.09.087]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63 </w:t>
      </w:r>
      <w:r w:rsidRPr="00084277">
        <w:rPr>
          <w:rFonts w:ascii="Book Antiqua" w:hAnsi="Book Antiqua"/>
          <w:b/>
          <w:sz w:val="24"/>
          <w:szCs w:val="24"/>
        </w:rPr>
        <w:t>Mangano FG</w:t>
      </w:r>
      <w:r w:rsidRPr="00084277">
        <w:rPr>
          <w:rFonts w:ascii="Book Antiqua" w:hAnsi="Book Antiqua"/>
          <w:sz w:val="24"/>
          <w:szCs w:val="24"/>
        </w:rPr>
        <w:t xml:space="preserve">, Colombo M, Veronesi G, Caprioglio A, Mangano C. Mesenchymal stem cells in maxillary sinus augmentation: A systematic review with meta-analysis. </w:t>
      </w:r>
      <w:r w:rsidRPr="00084277">
        <w:rPr>
          <w:rFonts w:ascii="Book Antiqua" w:hAnsi="Book Antiqua"/>
          <w:i/>
          <w:sz w:val="24"/>
          <w:szCs w:val="24"/>
        </w:rPr>
        <w:t>World J Stem Cells</w:t>
      </w:r>
      <w:r w:rsidRPr="00084277">
        <w:rPr>
          <w:rFonts w:ascii="Book Antiqua" w:hAnsi="Book Antiqua"/>
          <w:sz w:val="24"/>
          <w:szCs w:val="24"/>
        </w:rPr>
        <w:t xml:space="preserve"> 2015; </w:t>
      </w:r>
      <w:r w:rsidRPr="00084277">
        <w:rPr>
          <w:rFonts w:ascii="Book Antiqua" w:hAnsi="Book Antiqua"/>
          <w:b/>
          <w:sz w:val="24"/>
          <w:szCs w:val="24"/>
        </w:rPr>
        <w:t>7</w:t>
      </w:r>
      <w:r w:rsidRPr="00084277">
        <w:rPr>
          <w:rFonts w:ascii="Book Antiqua" w:hAnsi="Book Antiqua"/>
          <w:sz w:val="24"/>
          <w:szCs w:val="24"/>
        </w:rPr>
        <w:t>: 976-991 [PMID: 26240683 DOI: 10.4252/wjsc.v7.i6.976]</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64 </w:t>
      </w:r>
      <w:r w:rsidRPr="00084277">
        <w:rPr>
          <w:rFonts w:ascii="Book Antiqua" w:hAnsi="Book Antiqua"/>
          <w:b/>
          <w:sz w:val="24"/>
          <w:szCs w:val="24"/>
        </w:rPr>
        <w:t>Correia F</w:t>
      </w:r>
      <w:r w:rsidRPr="00084277">
        <w:rPr>
          <w:rFonts w:ascii="Book Antiqua" w:hAnsi="Book Antiqua"/>
          <w:sz w:val="24"/>
          <w:szCs w:val="24"/>
        </w:rPr>
        <w:t xml:space="preserve">, Pozza DH, Gouveia S, Felino A, Faria E Almeida R. The applications of regenerative medicine in sinus lift procedures: A systematic review. </w:t>
      </w:r>
      <w:r w:rsidRPr="00084277">
        <w:rPr>
          <w:rFonts w:ascii="Book Antiqua" w:hAnsi="Book Antiqua"/>
          <w:i/>
          <w:sz w:val="24"/>
          <w:szCs w:val="24"/>
        </w:rPr>
        <w:t>Clin Implant Dent Relat Res</w:t>
      </w:r>
      <w:r w:rsidRPr="00084277">
        <w:rPr>
          <w:rFonts w:ascii="Book Antiqua" w:hAnsi="Book Antiqua"/>
          <w:sz w:val="24"/>
          <w:szCs w:val="24"/>
        </w:rPr>
        <w:t xml:space="preserve"> 2018; </w:t>
      </w:r>
      <w:r w:rsidRPr="00084277">
        <w:rPr>
          <w:rFonts w:ascii="Book Antiqua" w:hAnsi="Book Antiqua"/>
          <w:b/>
          <w:sz w:val="24"/>
          <w:szCs w:val="24"/>
        </w:rPr>
        <w:t>20</w:t>
      </w:r>
      <w:r w:rsidRPr="00084277">
        <w:rPr>
          <w:rFonts w:ascii="Book Antiqua" w:hAnsi="Book Antiqua"/>
          <w:sz w:val="24"/>
          <w:szCs w:val="24"/>
        </w:rPr>
        <w:t>: 229-242 [PMID: 29205768 DOI: 10.1111/cid.12561]</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65 </w:t>
      </w:r>
      <w:r w:rsidRPr="00084277">
        <w:rPr>
          <w:rFonts w:ascii="Book Antiqua" w:hAnsi="Book Antiqua"/>
          <w:b/>
          <w:sz w:val="24"/>
          <w:szCs w:val="24"/>
        </w:rPr>
        <w:t>Wildburger A</w:t>
      </w:r>
      <w:r w:rsidRPr="00084277">
        <w:rPr>
          <w:rFonts w:ascii="Book Antiqua" w:hAnsi="Book Antiqua"/>
          <w:sz w:val="24"/>
          <w:szCs w:val="24"/>
        </w:rPr>
        <w:t xml:space="preserve">, Payer M, Jakse N, Strunk D, Etchard-Liechtenstein N, Sauerbier S. Impact of autogenous concentrated bone marrow aspirate on bone regeneration after sinus floor augmentation with a bovine bone substitute--a split-mouth pilot study. </w:t>
      </w:r>
      <w:r w:rsidRPr="00084277">
        <w:rPr>
          <w:rFonts w:ascii="Book Antiqua" w:hAnsi="Book Antiqua"/>
          <w:i/>
          <w:sz w:val="24"/>
          <w:szCs w:val="24"/>
        </w:rPr>
        <w:t>Clin Oral Implants Res</w:t>
      </w:r>
      <w:r w:rsidRPr="00084277">
        <w:rPr>
          <w:rFonts w:ascii="Book Antiqua" w:hAnsi="Book Antiqua"/>
          <w:sz w:val="24"/>
          <w:szCs w:val="24"/>
        </w:rPr>
        <w:t xml:space="preserve"> 2014; </w:t>
      </w:r>
      <w:r w:rsidRPr="00084277">
        <w:rPr>
          <w:rFonts w:ascii="Book Antiqua" w:hAnsi="Book Antiqua"/>
          <w:b/>
          <w:sz w:val="24"/>
          <w:szCs w:val="24"/>
        </w:rPr>
        <w:t>25</w:t>
      </w:r>
      <w:r w:rsidRPr="00084277">
        <w:rPr>
          <w:rFonts w:ascii="Book Antiqua" w:hAnsi="Book Antiqua"/>
          <w:sz w:val="24"/>
          <w:szCs w:val="24"/>
        </w:rPr>
        <w:t>: 1175-1181 [PMID: 23875876 DOI: 10.1111/clr.12228]</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66 </w:t>
      </w:r>
      <w:r w:rsidRPr="00084277">
        <w:rPr>
          <w:rFonts w:ascii="Book Antiqua" w:hAnsi="Book Antiqua"/>
          <w:b/>
          <w:sz w:val="24"/>
          <w:szCs w:val="24"/>
        </w:rPr>
        <w:t>Pasquali PJ</w:t>
      </w:r>
      <w:r w:rsidRPr="00084277">
        <w:rPr>
          <w:rFonts w:ascii="Book Antiqua" w:hAnsi="Book Antiqua"/>
          <w:sz w:val="24"/>
          <w:szCs w:val="24"/>
        </w:rPr>
        <w:t xml:space="preserve">, Teixeira ML, de Oliveira TA, de Macedo LG, Aloise AC, Pelegrine AA. Maxillary Sinus Augmentation Combining Bio-Oss with the </w:t>
      </w:r>
      <w:r w:rsidRPr="00084277">
        <w:rPr>
          <w:rFonts w:ascii="Book Antiqua" w:hAnsi="Book Antiqua"/>
          <w:sz w:val="24"/>
          <w:szCs w:val="24"/>
        </w:rPr>
        <w:lastRenderedPageBreak/>
        <w:t xml:space="preserve">Bone Marrow Aspirate Concentrate: A Histomorphometric Study in Humans. </w:t>
      </w:r>
      <w:r w:rsidRPr="00084277">
        <w:rPr>
          <w:rFonts w:ascii="Book Antiqua" w:hAnsi="Book Antiqua"/>
          <w:i/>
          <w:sz w:val="24"/>
          <w:szCs w:val="24"/>
        </w:rPr>
        <w:t>Int J Biomater</w:t>
      </w:r>
      <w:r w:rsidRPr="00084277">
        <w:rPr>
          <w:rFonts w:ascii="Book Antiqua" w:hAnsi="Book Antiqua"/>
          <w:sz w:val="24"/>
          <w:szCs w:val="24"/>
        </w:rPr>
        <w:t xml:space="preserve"> 2015; </w:t>
      </w:r>
      <w:r w:rsidRPr="00084277">
        <w:rPr>
          <w:rFonts w:ascii="Book Antiqua" w:hAnsi="Book Antiqua"/>
          <w:b/>
          <w:sz w:val="24"/>
          <w:szCs w:val="24"/>
        </w:rPr>
        <w:t>2015</w:t>
      </w:r>
      <w:r w:rsidRPr="00084277">
        <w:rPr>
          <w:rFonts w:ascii="Book Antiqua" w:hAnsi="Book Antiqua"/>
          <w:sz w:val="24"/>
          <w:szCs w:val="24"/>
        </w:rPr>
        <w:t>: 121286 [PMID: 26543482 DOI: 10.1155/2015/121286]</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67 </w:t>
      </w:r>
      <w:r w:rsidRPr="00084277">
        <w:rPr>
          <w:rFonts w:ascii="Book Antiqua" w:hAnsi="Book Antiqua"/>
          <w:b/>
          <w:sz w:val="24"/>
          <w:szCs w:val="24"/>
        </w:rPr>
        <w:t>Parisien M</w:t>
      </w:r>
      <w:r w:rsidRPr="00084277">
        <w:rPr>
          <w:rFonts w:ascii="Book Antiqua" w:hAnsi="Book Antiqua"/>
          <w:sz w:val="24"/>
          <w:szCs w:val="24"/>
        </w:rPr>
        <w:t xml:space="preserve">, Cosman F, Morgan D, Schnitzer M, Liang X, Nieves J, Forese L, Luckey M, Meier D, Shen V, Lindsay R, Dempster DW. Histomorphometric assessment of bone mass, structure, and remodeling: a comparison between healthy black and white premenopausal women. </w:t>
      </w:r>
      <w:r w:rsidRPr="00084277">
        <w:rPr>
          <w:rFonts w:ascii="Book Antiqua" w:hAnsi="Book Antiqua"/>
          <w:i/>
          <w:sz w:val="24"/>
          <w:szCs w:val="24"/>
        </w:rPr>
        <w:t>J Bone Miner Res</w:t>
      </w:r>
      <w:r w:rsidRPr="00084277">
        <w:rPr>
          <w:rFonts w:ascii="Book Antiqua" w:hAnsi="Book Antiqua"/>
          <w:sz w:val="24"/>
          <w:szCs w:val="24"/>
        </w:rPr>
        <w:t xml:space="preserve"> 1997; </w:t>
      </w:r>
      <w:r w:rsidRPr="00084277">
        <w:rPr>
          <w:rFonts w:ascii="Book Antiqua" w:hAnsi="Book Antiqua"/>
          <w:b/>
          <w:sz w:val="24"/>
          <w:szCs w:val="24"/>
        </w:rPr>
        <w:t>12</w:t>
      </w:r>
      <w:r w:rsidRPr="00084277">
        <w:rPr>
          <w:rFonts w:ascii="Book Antiqua" w:hAnsi="Book Antiqua"/>
          <w:sz w:val="24"/>
          <w:szCs w:val="24"/>
        </w:rPr>
        <w:t>: 948-957 [PMID: 9169355 DOI: 10.1359/jbmr.1997.12.6.948]</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68 </w:t>
      </w:r>
      <w:r w:rsidRPr="00084277">
        <w:rPr>
          <w:rFonts w:ascii="Book Antiqua" w:hAnsi="Book Antiqua"/>
          <w:b/>
          <w:sz w:val="24"/>
          <w:szCs w:val="24"/>
        </w:rPr>
        <w:t>Hynes K</w:t>
      </w:r>
      <w:r w:rsidRPr="00084277">
        <w:rPr>
          <w:rFonts w:ascii="Book Antiqua" w:hAnsi="Book Antiqua"/>
          <w:sz w:val="24"/>
          <w:szCs w:val="24"/>
        </w:rPr>
        <w:t xml:space="preserve">, Menicanin D, Gronthos S, Bartold PM. Clinical utility of stem cells for periodontal regeneration. </w:t>
      </w:r>
      <w:r w:rsidRPr="00084277">
        <w:rPr>
          <w:rFonts w:ascii="Book Antiqua" w:hAnsi="Book Antiqua"/>
          <w:i/>
          <w:sz w:val="24"/>
          <w:szCs w:val="24"/>
        </w:rPr>
        <w:t>Periodontol 2000</w:t>
      </w:r>
      <w:r w:rsidRPr="00084277">
        <w:rPr>
          <w:rFonts w:ascii="Book Antiqua" w:hAnsi="Book Antiqua"/>
          <w:sz w:val="24"/>
          <w:szCs w:val="24"/>
        </w:rPr>
        <w:t xml:space="preserve"> 2012; </w:t>
      </w:r>
      <w:r w:rsidRPr="00084277">
        <w:rPr>
          <w:rFonts w:ascii="Book Antiqua" w:hAnsi="Book Antiqua"/>
          <w:b/>
          <w:sz w:val="24"/>
          <w:szCs w:val="24"/>
        </w:rPr>
        <w:t>59</w:t>
      </w:r>
      <w:r w:rsidRPr="00084277">
        <w:rPr>
          <w:rFonts w:ascii="Book Antiqua" w:hAnsi="Book Antiqua"/>
          <w:sz w:val="24"/>
          <w:szCs w:val="24"/>
        </w:rPr>
        <w:t>: 203-227 [PMID: 22507067 DOI: 10.1111/j.1600-0757.2012.00443.x]</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69 </w:t>
      </w:r>
      <w:r w:rsidRPr="00084277">
        <w:rPr>
          <w:rFonts w:ascii="Book Antiqua" w:hAnsi="Book Antiqua"/>
          <w:b/>
          <w:sz w:val="24"/>
          <w:szCs w:val="24"/>
        </w:rPr>
        <w:t>Egusa H</w:t>
      </w:r>
      <w:r w:rsidRPr="00084277">
        <w:rPr>
          <w:rFonts w:ascii="Book Antiqua" w:hAnsi="Book Antiqua"/>
          <w:sz w:val="24"/>
          <w:szCs w:val="24"/>
        </w:rPr>
        <w:t xml:space="preserve">, Sonoyama W, Nishimura M, Atsuta I, Akiyama K. Stem cells in dentistry--part I: stem cell sources. </w:t>
      </w:r>
      <w:r w:rsidRPr="00084277">
        <w:rPr>
          <w:rFonts w:ascii="Book Antiqua" w:hAnsi="Book Antiqua"/>
          <w:i/>
          <w:sz w:val="24"/>
          <w:szCs w:val="24"/>
        </w:rPr>
        <w:t>J Prosthodont Res</w:t>
      </w:r>
      <w:r w:rsidRPr="00084277">
        <w:rPr>
          <w:rFonts w:ascii="Book Antiqua" w:hAnsi="Book Antiqua"/>
          <w:sz w:val="24"/>
          <w:szCs w:val="24"/>
        </w:rPr>
        <w:t xml:space="preserve"> 2012; </w:t>
      </w:r>
      <w:r w:rsidRPr="00084277">
        <w:rPr>
          <w:rFonts w:ascii="Book Antiqua" w:hAnsi="Book Antiqua"/>
          <w:b/>
          <w:sz w:val="24"/>
          <w:szCs w:val="24"/>
        </w:rPr>
        <w:t>56</w:t>
      </w:r>
      <w:r w:rsidRPr="00084277">
        <w:rPr>
          <w:rFonts w:ascii="Book Antiqua" w:hAnsi="Book Antiqua"/>
          <w:sz w:val="24"/>
          <w:szCs w:val="24"/>
        </w:rPr>
        <w:t>: 151-165 [PMID: 22796367 DOI: 10.1016/j.jpor.2012.06.001]</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70 </w:t>
      </w:r>
      <w:r w:rsidRPr="00084277">
        <w:rPr>
          <w:rFonts w:ascii="Book Antiqua" w:hAnsi="Book Antiqua"/>
          <w:b/>
          <w:sz w:val="24"/>
          <w:szCs w:val="24"/>
        </w:rPr>
        <w:t>Ahmed RP</w:t>
      </w:r>
      <w:r w:rsidRPr="00084277">
        <w:rPr>
          <w:rFonts w:ascii="Book Antiqua" w:hAnsi="Book Antiqua"/>
          <w:sz w:val="24"/>
          <w:szCs w:val="24"/>
        </w:rPr>
        <w:t xml:space="preserve">, Ashraf M, Buccini S, Shujia J, Haider HKh. Cardiac tumorigenic potential of induced pluripotent stem cells in an immunocompetent host with myocardial infarction. </w:t>
      </w:r>
      <w:r w:rsidRPr="00084277">
        <w:rPr>
          <w:rFonts w:ascii="Book Antiqua" w:hAnsi="Book Antiqua"/>
          <w:i/>
          <w:sz w:val="24"/>
          <w:szCs w:val="24"/>
        </w:rPr>
        <w:t>Regen Med</w:t>
      </w:r>
      <w:r w:rsidRPr="00084277">
        <w:rPr>
          <w:rFonts w:ascii="Book Antiqua" w:hAnsi="Book Antiqua"/>
          <w:sz w:val="24"/>
          <w:szCs w:val="24"/>
        </w:rPr>
        <w:t xml:space="preserve"> 2011; </w:t>
      </w:r>
      <w:r w:rsidRPr="00084277">
        <w:rPr>
          <w:rFonts w:ascii="Book Antiqua" w:hAnsi="Book Antiqua"/>
          <w:b/>
          <w:sz w:val="24"/>
          <w:szCs w:val="24"/>
        </w:rPr>
        <w:t>6</w:t>
      </w:r>
      <w:r w:rsidRPr="00084277">
        <w:rPr>
          <w:rFonts w:ascii="Book Antiqua" w:hAnsi="Book Antiqua"/>
          <w:sz w:val="24"/>
          <w:szCs w:val="24"/>
        </w:rPr>
        <w:t>: 171-178 [PMID: 21391851 DOI: 10.2217/rme.10.103]</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71 </w:t>
      </w:r>
      <w:r w:rsidRPr="00084277">
        <w:rPr>
          <w:rFonts w:ascii="Book Antiqua" w:hAnsi="Book Antiqua"/>
          <w:b/>
          <w:sz w:val="24"/>
          <w:szCs w:val="24"/>
        </w:rPr>
        <w:t>Zhang Y</w:t>
      </w:r>
      <w:r w:rsidRPr="00084277">
        <w:rPr>
          <w:rFonts w:ascii="Book Antiqua" w:hAnsi="Book Antiqua"/>
          <w:sz w:val="24"/>
          <w:szCs w:val="24"/>
        </w:rPr>
        <w:t xml:space="preserve">, Wang D, Chen M, Yang B, Zhang F, Cao K. Intramyocardial transplantation of undifferentiated rat induced pluripotent stem cells causes tumorigenesis in the heart. </w:t>
      </w:r>
      <w:r w:rsidRPr="00084277">
        <w:rPr>
          <w:rFonts w:ascii="Book Antiqua" w:hAnsi="Book Antiqua"/>
          <w:i/>
          <w:sz w:val="24"/>
          <w:szCs w:val="24"/>
        </w:rPr>
        <w:t>PLoS One</w:t>
      </w:r>
      <w:r w:rsidRPr="00084277">
        <w:rPr>
          <w:rFonts w:ascii="Book Antiqua" w:hAnsi="Book Antiqua"/>
          <w:sz w:val="24"/>
          <w:szCs w:val="24"/>
        </w:rPr>
        <w:t xml:space="preserve"> 2011; </w:t>
      </w:r>
      <w:r w:rsidRPr="00084277">
        <w:rPr>
          <w:rFonts w:ascii="Book Antiqua" w:hAnsi="Book Antiqua"/>
          <w:b/>
          <w:sz w:val="24"/>
          <w:szCs w:val="24"/>
        </w:rPr>
        <w:t>6</w:t>
      </w:r>
      <w:r w:rsidRPr="00084277">
        <w:rPr>
          <w:rFonts w:ascii="Book Antiqua" w:hAnsi="Book Antiqua"/>
          <w:sz w:val="24"/>
          <w:szCs w:val="24"/>
        </w:rPr>
        <w:t>: e19012 [PMID: 21552563 DOI: 10.1371/journal.pone.0019012]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72 </w:t>
      </w:r>
      <w:r w:rsidRPr="00084277">
        <w:rPr>
          <w:rFonts w:ascii="Book Antiqua" w:hAnsi="Book Antiqua"/>
          <w:b/>
          <w:sz w:val="24"/>
          <w:szCs w:val="24"/>
        </w:rPr>
        <w:t>Schmelzeisen R</w:t>
      </w:r>
      <w:r w:rsidRPr="00084277">
        <w:rPr>
          <w:rFonts w:ascii="Book Antiqua" w:hAnsi="Book Antiqua"/>
          <w:sz w:val="24"/>
          <w:szCs w:val="24"/>
        </w:rPr>
        <w:t xml:space="preserve">, Gutwald R, Oshima T, Nagursky H, Vogeler M, Sauerbier S. Making bone II: maxillary sinus augmentation with mononuclear cells--case report with a new clinical method. </w:t>
      </w:r>
      <w:r w:rsidRPr="00084277">
        <w:rPr>
          <w:rFonts w:ascii="Book Antiqua" w:hAnsi="Book Antiqua"/>
          <w:i/>
          <w:sz w:val="24"/>
          <w:szCs w:val="24"/>
        </w:rPr>
        <w:t>Br J Oral Maxillofac Surg</w:t>
      </w:r>
      <w:r w:rsidRPr="00084277">
        <w:rPr>
          <w:rFonts w:ascii="Book Antiqua" w:hAnsi="Book Antiqua"/>
          <w:sz w:val="24"/>
          <w:szCs w:val="24"/>
        </w:rPr>
        <w:t xml:space="preserve"> 2011; </w:t>
      </w:r>
      <w:r w:rsidRPr="00084277">
        <w:rPr>
          <w:rFonts w:ascii="Book Antiqua" w:hAnsi="Book Antiqua"/>
          <w:b/>
          <w:sz w:val="24"/>
          <w:szCs w:val="24"/>
        </w:rPr>
        <w:t>49</w:t>
      </w:r>
      <w:r w:rsidRPr="00084277">
        <w:rPr>
          <w:rFonts w:ascii="Book Antiqua" w:hAnsi="Book Antiqua"/>
          <w:sz w:val="24"/>
          <w:szCs w:val="24"/>
        </w:rPr>
        <w:t>: 480-482 [PMID: 20678831 DOI: 10.1016/j.bjoms.2010.06.020]</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73 </w:t>
      </w:r>
      <w:r w:rsidRPr="00084277">
        <w:rPr>
          <w:rFonts w:ascii="Book Antiqua" w:hAnsi="Book Antiqua"/>
          <w:b/>
          <w:sz w:val="24"/>
          <w:szCs w:val="24"/>
        </w:rPr>
        <w:t>Sauerbier S</w:t>
      </w:r>
      <w:r w:rsidRPr="00084277">
        <w:rPr>
          <w:rFonts w:ascii="Book Antiqua" w:hAnsi="Book Antiqua"/>
          <w:sz w:val="24"/>
          <w:szCs w:val="24"/>
        </w:rPr>
        <w:t xml:space="preserve">, Rickert D, Gutwald R, Nagursky H, Oshima T, Xavier SP, Christmann J, Kurz P, Menne D, Vissink A, Raghoebar G, Schmelzeisen R, Wagner W, Koch FP. Bone marrow concentrate and bovine bone mineral for sinus floor augmentation: a controlled, randomized, single-blinded clinical and histological trial--per-protocol analysis. </w:t>
      </w:r>
      <w:r w:rsidRPr="00084277">
        <w:rPr>
          <w:rFonts w:ascii="Book Antiqua" w:hAnsi="Book Antiqua"/>
          <w:i/>
          <w:sz w:val="24"/>
          <w:szCs w:val="24"/>
        </w:rPr>
        <w:t>Tissue Eng Part A</w:t>
      </w:r>
      <w:r w:rsidRPr="00084277">
        <w:rPr>
          <w:rFonts w:ascii="Book Antiqua" w:hAnsi="Book Antiqua"/>
          <w:sz w:val="24"/>
          <w:szCs w:val="24"/>
        </w:rPr>
        <w:t xml:space="preserve"> 2011; </w:t>
      </w:r>
      <w:r w:rsidRPr="00084277">
        <w:rPr>
          <w:rFonts w:ascii="Book Antiqua" w:hAnsi="Book Antiqua"/>
          <w:b/>
          <w:sz w:val="24"/>
          <w:szCs w:val="24"/>
        </w:rPr>
        <w:t>17</w:t>
      </w:r>
      <w:r w:rsidRPr="00084277">
        <w:rPr>
          <w:rFonts w:ascii="Book Antiqua" w:hAnsi="Book Antiqua"/>
          <w:sz w:val="24"/>
          <w:szCs w:val="24"/>
        </w:rPr>
        <w:t>: 2187-2197 [PMID: 21529247 DOI: 10.1089/ten.TEA.2010.0516]</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lastRenderedPageBreak/>
        <w:t xml:space="preserve">74 </w:t>
      </w:r>
      <w:r w:rsidRPr="00084277">
        <w:rPr>
          <w:rFonts w:ascii="Book Antiqua" w:hAnsi="Book Antiqua"/>
          <w:b/>
          <w:sz w:val="24"/>
          <w:szCs w:val="24"/>
        </w:rPr>
        <w:t>Götz W</w:t>
      </w:r>
      <w:r w:rsidRPr="00084277">
        <w:rPr>
          <w:rFonts w:ascii="Book Antiqua" w:hAnsi="Book Antiqua"/>
          <w:sz w:val="24"/>
          <w:szCs w:val="24"/>
        </w:rPr>
        <w:t xml:space="preserve">, Gerber T, Michel B, Lossdörfer S, Henkel KO, Heinemann F. Immunohistochemical characterization of nanocrystalline hydroxyapatite silica gel (NanoBone(r)) osteogenesis: a study on biopsies from human jaws. </w:t>
      </w:r>
      <w:r w:rsidRPr="00084277">
        <w:rPr>
          <w:rFonts w:ascii="Book Antiqua" w:hAnsi="Book Antiqua"/>
          <w:i/>
          <w:sz w:val="24"/>
          <w:szCs w:val="24"/>
        </w:rPr>
        <w:t>Clin Oral Implants Res</w:t>
      </w:r>
      <w:r w:rsidRPr="00084277">
        <w:rPr>
          <w:rFonts w:ascii="Book Antiqua" w:hAnsi="Book Antiqua"/>
          <w:sz w:val="24"/>
          <w:szCs w:val="24"/>
        </w:rPr>
        <w:t xml:space="preserve"> 2008; </w:t>
      </w:r>
      <w:r w:rsidRPr="00084277">
        <w:rPr>
          <w:rFonts w:ascii="Book Antiqua" w:hAnsi="Book Antiqua"/>
          <w:b/>
          <w:sz w:val="24"/>
          <w:szCs w:val="24"/>
        </w:rPr>
        <w:t>19</w:t>
      </w:r>
      <w:r w:rsidRPr="00084277">
        <w:rPr>
          <w:rFonts w:ascii="Book Antiqua" w:hAnsi="Book Antiqua"/>
          <w:sz w:val="24"/>
          <w:szCs w:val="24"/>
        </w:rPr>
        <w:t>: 1016-1026 [PMID: 18828818 DOI: 10.1111/j.1600-0501.2008.01569.x]</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75 </w:t>
      </w:r>
      <w:r w:rsidRPr="00084277">
        <w:rPr>
          <w:rFonts w:ascii="Book Antiqua" w:hAnsi="Book Antiqua"/>
          <w:b/>
          <w:sz w:val="24"/>
          <w:szCs w:val="24"/>
        </w:rPr>
        <w:t>Friedmann A</w:t>
      </w:r>
      <w:r w:rsidRPr="00084277">
        <w:rPr>
          <w:rFonts w:ascii="Book Antiqua" w:hAnsi="Book Antiqua"/>
          <w:sz w:val="24"/>
          <w:szCs w:val="24"/>
        </w:rPr>
        <w:t xml:space="preserve">, Gissel K, Konermann A, Götz W. Tissue reactions after simultaneous alveolar ridge augmentation with biphasic calcium phosphate and implant insertion--histological and immunohistochemical evaluation in humans. </w:t>
      </w:r>
      <w:r w:rsidRPr="00084277">
        <w:rPr>
          <w:rFonts w:ascii="Book Antiqua" w:hAnsi="Book Antiqua"/>
          <w:i/>
          <w:sz w:val="24"/>
          <w:szCs w:val="24"/>
        </w:rPr>
        <w:t>Clin Oral Investig</w:t>
      </w:r>
      <w:r w:rsidRPr="00084277">
        <w:rPr>
          <w:rFonts w:ascii="Book Antiqua" w:hAnsi="Book Antiqua"/>
          <w:sz w:val="24"/>
          <w:szCs w:val="24"/>
        </w:rPr>
        <w:t xml:space="preserve"> 2015; </w:t>
      </w:r>
      <w:r w:rsidRPr="00084277">
        <w:rPr>
          <w:rFonts w:ascii="Book Antiqua" w:hAnsi="Book Antiqua"/>
          <w:b/>
          <w:sz w:val="24"/>
          <w:szCs w:val="24"/>
        </w:rPr>
        <w:t>19</w:t>
      </w:r>
      <w:r w:rsidRPr="00084277">
        <w:rPr>
          <w:rFonts w:ascii="Book Antiqua" w:hAnsi="Book Antiqua"/>
          <w:sz w:val="24"/>
          <w:szCs w:val="24"/>
        </w:rPr>
        <w:t>: 1595-1603 [PMID: 25511386 DOI: 10.1007/s00784-014-1385-0]</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76 </w:t>
      </w:r>
      <w:r w:rsidRPr="00084277">
        <w:rPr>
          <w:rFonts w:ascii="Book Antiqua" w:hAnsi="Book Antiqua"/>
          <w:b/>
          <w:sz w:val="24"/>
          <w:szCs w:val="24"/>
        </w:rPr>
        <w:t>Hawthorne AC</w:t>
      </w:r>
      <w:r w:rsidRPr="00084277">
        <w:rPr>
          <w:rFonts w:ascii="Book Antiqua" w:hAnsi="Book Antiqua"/>
          <w:sz w:val="24"/>
          <w:szCs w:val="24"/>
        </w:rPr>
        <w:t xml:space="preserve">, Xavier SP, Okamoto R, Salvador SL, Antunes AA, Salata LA. Immunohistochemical, tomographic, and histological study on onlay bone graft remodeling. Part III: allografts. </w:t>
      </w:r>
      <w:r w:rsidRPr="00084277">
        <w:rPr>
          <w:rFonts w:ascii="Book Antiqua" w:hAnsi="Book Antiqua"/>
          <w:i/>
          <w:sz w:val="24"/>
          <w:szCs w:val="24"/>
        </w:rPr>
        <w:t>Clin Oral Implants Res</w:t>
      </w:r>
      <w:r w:rsidRPr="00084277">
        <w:rPr>
          <w:rFonts w:ascii="Book Antiqua" w:hAnsi="Book Antiqua"/>
          <w:sz w:val="24"/>
          <w:szCs w:val="24"/>
        </w:rPr>
        <w:t xml:space="preserve"> 2013; </w:t>
      </w:r>
      <w:r w:rsidRPr="00084277">
        <w:rPr>
          <w:rFonts w:ascii="Book Antiqua" w:hAnsi="Book Antiqua"/>
          <w:b/>
          <w:sz w:val="24"/>
          <w:szCs w:val="24"/>
        </w:rPr>
        <w:t>24</w:t>
      </w:r>
      <w:r w:rsidRPr="00084277">
        <w:rPr>
          <w:rFonts w:ascii="Book Antiqua" w:hAnsi="Book Antiqua"/>
          <w:sz w:val="24"/>
          <w:szCs w:val="24"/>
        </w:rPr>
        <w:t>: 1164-1172 [PMID: 22775764 DOI: 10.1111/j.1600-0501.2012.02528.x]</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77 </w:t>
      </w:r>
      <w:r w:rsidRPr="00084277">
        <w:rPr>
          <w:rFonts w:ascii="Book Antiqua" w:hAnsi="Book Antiqua"/>
          <w:b/>
          <w:sz w:val="24"/>
          <w:szCs w:val="24"/>
        </w:rPr>
        <w:t>Brunel G</w:t>
      </w:r>
      <w:r w:rsidRPr="00084277">
        <w:rPr>
          <w:rFonts w:ascii="Book Antiqua" w:hAnsi="Book Antiqua"/>
          <w:sz w:val="24"/>
          <w:szCs w:val="24"/>
        </w:rPr>
        <w:t xml:space="preserve">, Brocard D, Duffort JF, Jacquet E, Justumus P, Simonet T, Benqué E. Bioabsorbable materials for guided bone regeneration prior to implant placement and 7-year follow-up: report of 14 cases. </w:t>
      </w:r>
      <w:r w:rsidRPr="00084277">
        <w:rPr>
          <w:rFonts w:ascii="Book Antiqua" w:hAnsi="Book Antiqua"/>
          <w:i/>
          <w:sz w:val="24"/>
          <w:szCs w:val="24"/>
        </w:rPr>
        <w:t>J Periodontol</w:t>
      </w:r>
      <w:r w:rsidRPr="00084277">
        <w:rPr>
          <w:rFonts w:ascii="Book Antiqua" w:hAnsi="Book Antiqua"/>
          <w:sz w:val="24"/>
          <w:szCs w:val="24"/>
        </w:rPr>
        <w:t xml:space="preserve"> 2001; </w:t>
      </w:r>
      <w:r w:rsidRPr="00084277">
        <w:rPr>
          <w:rFonts w:ascii="Book Antiqua" w:hAnsi="Book Antiqua"/>
          <w:b/>
          <w:sz w:val="24"/>
          <w:szCs w:val="24"/>
        </w:rPr>
        <w:t>72</w:t>
      </w:r>
      <w:r w:rsidRPr="00084277">
        <w:rPr>
          <w:rFonts w:ascii="Book Antiqua" w:hAnsi="Book Antiqua"/>
          <w:sz w:val="24"/>
          <w:szCs w:val="24"/>
        </w:rPr>
        <w:t>: 257-264 [PMID: 11288801 DOI: 10.1902/jop.2001.72.2.257]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78 </w:t>
      </w:r>
      <w:r w:rsidRPr="00084277">
        <w:rPr>
          <w:rFonts w:ascii="Book Antiqua" w:hAnsi="Book Antiqua"/>
          <w:b/>
          <w:sz w:val="24"/>
          <w:szCs w:val="24"/>
        </w:rPr>
        <w:t>Mordenfeld A</w:t>
      </w:r>
      <w:r w:rsidRPr="00084277">
        <w:rPr>
          <w:rFonts w:ascii="Book Antiqua" w:hAnsi="Book Antiqua"/>
          <w:sz w:val="24"/>
          <w:szCs w:val="24"/>
        </w:rPr>
        <w:t xml:space="preserve">, Hallman M, Johansson CB, Albrektsson T. Histological and histomorphometrical analyses of biopsies harvested 11 years after maxillary sinus floor augmentation with deproteinized bovine and autogenous bone. </w:t>
      </w:r>
      <w:r w:rsidRPr="00084277">
        <w:rPr>
          <w:rFonts w:ascii="Book Antiqua" w:hAnsi="Book Antiqua"/>
          <w:i/>
          <w:sz w:val="24"/>
          <w:szCs w:val="24"/>
        </w:rPr>
        <w:t>Clin Oral Implants Res</w:t>
      </w:r>
      <w:r w:rsidRPr="00084277">
        <w:rPr>
          <w:rFonts w:ascii="Book Antiqua" w:hAnsi="Book Antiqua"/>
          <w:sz w:val="24"/>
          <w:szCs w:val="24"/>
        </w:rPr>
        <w:t xml:space="preserve"> 2010; </w:t>
      </w:r>
      <w:r w:rsidRPr="00084277">
        <w:rPr>
          <w:rFonts w:ascii="Book Antiqua" w:hAnsi="Book Antiqua"/>
          <w:b/>
          <w:sz w:val="24"/>
          <w:szCs w:val="24"/>
        </w:rPr>
        <w:t>21</w:t>
      </w:r>
      <w:r w:rsidRPr="00084277">
        <w:rPr>
          <w:rFonts w:ascii="Book Antiqua" w:hAnsi="Book Antiqua"/>
          <w:sz w:val="24"/>
          <w:szCs w:val="24"/>
        </w:rPr>
        <w:t>: 961-970 [PMID: 20497443 DOI: 10.1111/j.1600-0501.2010.01939.x]</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79 </w:t>
      </w:r>
      <w:r w:rsidRPr="00084277">
        <w:rPr>
          <w:rFonts w:ascii="Book Antiqua" w:hAnsi="Book Antiqua"/>
          <w:b/>
          <w:sz w:val="24"/>
          <w:szCs w:val="24"/>
        </w:rPr>
        <w:t>Tian T</w:t>
      </w:r>
      <w:r w:rsidRPr="00084277">
        <w:rPr>
          <w:rFonts w:ascii="Book Antiqua" w:hAnsi="Book Antiqua"/>
          <w:sz w:val="24"/>
          <w:szCs w:val="24"/>
        </w:rPr>
        <w:t xml:space="preserve">, Zhang T, Lin Y, Cai X. Vascularization in Craniofacial Bone Tissue Engineering. </w:t>
      </w:r>
      <w:r w:rsidRPr="00084277">
        <w:rPr>
          <w:rFonts w:ascii="Book Antiqua" w:hAnsi="Book Antiqua"/>
          <w:i/>
          <w:sz w:val="24"/>
          <w:szCs w:val="24"/>
        </w:rPr>
        <w:t>J Dent Res</w:t>
      </w:r>
      <w:r w:rsidRPr="00084277">
        <w:rPr>
          <w:rFonts w:ascii="Book Antiqua" w:hAnsi="Book Antiqua"/>
          <w:sz w:val="24"/>
          <w:szCs w:val="24"/>
        </w:rPr>
        <w:t xml:space="preserve"> 2018; </w:t>
      </w:r>
      <w:r w:rsidRPr="00084277">
        <w:rPr>
          <w:rFonts w:ascii="Book Antiqua" w:hAnsi="Book Antiqua"/>
          <w:b/>
          <w:sz w:val="24"/>
          <w:szCs w:val="24"/>
        </w:rPr>
        <w:t>97</w:t>
      </w:r>
      <w:r w:rsidRPr="00084277">
        <w:rPr>
          <w:rFonts w:ascii="Book Antiqua" w:hAnsi="Book Antiqua"/>
          <w:sz w:val="24"/>
          <w:szCs w:val="24"/>
        </w:rPr>
        <w:t>: 969-976 [PMID: 29608865 DOI: 10.1177/0022034518767120]</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80 </w:t>
      </w:r>
      <w:r w:rsidRPr="00084277">
        <w:rPr>
          <w:rFonts w:ascii="Book Antiqua" w:hAnsi="Book Antiqua"/>
          <w:b/>
          <w:sz w:val="24"/>
          <w:szCs w:val="24"/>
        </w:rPr>
        <w:t>Bourin P</w:t>
      </w:r>
      <w:r w:rsidRPr="00084277">
        <w:rPr>
          <w:rFonts w:ascii="Book Antiqua" w:hAnsi="Book Antiqua"/>
          <w:sz w:val="24"/>
          <w:szCs w:val="24"/>
        </w:rPr>
        <w:t xml:space="preserve">, Bunnell BA, Casteilla L, Dominici M, Katz AJ, March KL, Redl H, Rubin JP, Yoshimura K, Gimble JM. Stromal cells from the adipose tissue-derived stromal vascular fraction and culture expanded adipose tissue-derived stromal/stem cells: a joint statement of the International Federation for Adipose Therapeutics and Science (IFATS) and the </w:t>
      </w:r>
      <w:r w:rsidRPr="00084277">
        <w:rPr>
          <w:rFonts w:ascii="Book Antiqua" w:hAnsi="Book Antiqua"/>
          <w:sz w:val="24"/>
          <w:szCs w:val="24"/>
        </w:rPr>
        <w:lastRenderedPageBreak/>
        <w:t xml:space="preserve">International Society for Cellular Therapy (ISCT). </w:t>
      </w:r>
      <w:r w:rsidRPr="00084277">
        <w:rPr>
          <w:rFonts w:ascii="Book Antiqua" w:hAnsi="Book Antiqua"/>
          <w:i/>
          <w:sz w:val="24"/>
          <w:szCs w:val="24"/>
        </w:rPr>
        <w:t>Cytotherapy</w:t>
      </w:r>
      <w:r w:rsidRPr="00084277">
        <w:rPr>
          <w:rFonts w:ascii="Book Antiqua" w:hAnsi="Book Antiqua"/>
          <w:sz w:val="24"/>
          <w:szCs w:val="24"/>
        </w:rPr>
        <w:t xml:space="preserve"> 2013; </w:t>
      </w:r>
      <w:r w:rsidRPr="00084277">
        <w:rPr>
          <w:rFonts w:ascii="Book Antiqua" w:hAnsi="Book Antiqua"/>
          <w:b/>
          <w:sz w:val="24"/>
          <w:szCs w:val="24"/>
        </w:rPr>
        <w:t>15</w:t>
      </w:r>
      <w:r w:rsidRPr="00084277">
        <w:rPr>
          <w:rFonts w:ascii="Book Antiqua" w:hAnsi="Book Antiqua"/>
          <w:sz w:val="24"/>
          <w:szCs w:val="24"/>
        </w:rPr>
        <w:t>: 641-648 [PMID: 23570660 DOI: 10.1016/j.jcyt.2013.02.006]</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81 </w:t>
      </w:r>
      <w:r w:rsidRPr="00084277">
        <w:rPr>
          <w:rFonts w:ascii="Book Antiqua" w:hAnsi="Book Antiqua"/>
          <w:b/>
          <w:sz w:val="24"/>
          <w:szCs w:val="24"/>
        </w:rPr>
        <w:t>Rezza A</w:t>
      </w:r>
      <w:r w:rsidRPr="00084277">
        <w:rPr>
          <w:rFonts w:ascii="Book Antiqua" w:hAnsi="Book Antiqua"/>
          <w:sz w:val="24"/>
          <w:szCs w:val="24"/>
        </w:rPr>
        <w:t xml:space="preserve">, Sennett R, Rendl M. Adult stem cell niches: cellular and molecular components. </w:t>
      </w:r>
      <w:r w:rsidRPr="00084277">
        <w:rPr>
          <w:rFonts w:ascii="Book Antiqua" w:hAnsi="Book Antiqua"/>
          <w:i/>
          <w:sz w:val="24"/>
          <w:szCs w:val="24"/>
        </w:rPr>
        <w:t>Curr Top Dev Biol</w:t>
      </w:r>
      <w:r w:rsidRPr="00084277">
        <w:rPr>
          <w:rFonts w:ascii="Book Antiqua" w:hAnsi="Book Antiqua"/>
          <w:sz w:val="24"/>
          <w:szCs w:val="24"/>
        </w:rPr>
        <w:t xml:space="preserve"> 2014; </w:t>
      </w:r>
      <w:r w:rsidRPr="00084277">
        <w:rPr>
          <w:rFonts w:ascii="Book Antiqua" w:hAnsi="Book Antiqua"/>
          <w:b/>
          <w:sz w:val="24"/>
          <w:szCs w:val="24"/>
        </w:rPr>
        <w:t>107</w:t>
      </w:r>
      <w:r w:rsidRPr="00084277">
        <w:rPr>
          <w:rFonts w:ascii="Book Antiqua" w:hAnsi="Book Antiqua"/>
          <w:sz w:val="24"/>
          <w:szCs w:val="24"/>
        </w:rPr>
        <w:t>: 333-372 [PMID: 24439812 DOI: 10.1016/B978-0-12-416022-4.00012-3]</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82 </w:t>
      </w:r>
      <w:r w:rsidRPr="00084277">
        <w:rPr>
          <w:rFonts w:ascii="Book Antiqua" w:hAnsi="Book Antiqua"/>
          <w:b/>
          <w:sz w:val="24"/>
          <w:szCs w:val="24"/>
        </w:rPr>
        <w:t>Dong L</w:t>
      </w:r>
      <w:r w:rsidRPr="00084277">
        <w:rPr>
          <w:rFonts w:ascii="Book Antiqua" w:hAnsi="Book Antiqua"/>
          <w:sz w:val="24"/>
          <w:szCs w:val="24"/>
        </w:rPr>
        <w:t xml:space="preserve">, Hao H, Han W, Fu X. The role of the microenvironment on the fate of adult stem cells. </w:t>
      </w:r>
      <w:r w:rsidRPr="00084277">
        <w:rPr>
          <w:rFonts w:ascii="Book Antiqua" w:hAnsi="Book Antiqua"/>
          <w:i/>
          <w:sz w:val="24"/>
          <w:szCs w:val="24"/>
        </w:rPr>
        <w:t>Sci China Life Sci</w:t>
      </w:r>
      <w:r w:rsidRPr="00084277">
        <w:rPr>
          <w:rFonts w:ascii="Book Antiqua" w:hAnsi="Book Antiqua"/>
          <w:sz w:val="24"/>
          <w:szCs w:val="24"/>
        </w:rPr>
        <w:t xml:space="preserve"> 2015; </w:t>
      </w:r>
      <w:r w:rsidRPr="00084277">
        <w:rPr>
          <w:rFonts w:ascii="Book Antiqua" w:hAnsi="Book Antiqua"/>
          <w:b/>
          <w:sz w:val="24"/>
          <w:szCs w:val="24"/>
        </w:rPr>
        <w:t>58</w:t>
      </w:r>
      <w:r w:rsidRPr="00084277">
        <w:rPr>
          <w:rFonts w:ascii="Book Antiqua" w:hAnsi="Book Antiqua"/>
          <w:sz w:val="24"/>
          <w:szCs w:val="24"/>
        </w:rPr>
        <w:t>: 639-648 [PMID: 25985755 DOI: 10.1007/s11427-015-4865-9]</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83 </w:t>
      </w:r>
      <w:r w:rsidRPr="00084277">
        <w:rPr>
          <w:rFonts w:ascii="Book Antiqua" w:hAnsi="Book Antiqua"/>
          <w:b/>
          <w:sz w:val="24"/>
          <w:szCs w:val="24"/>
        </w:rPr>
        <w:t>Wabik A</w:t>
      </w:r>
      <w:r w:rsidRPr="00084277">
        <w:rPr>
          <w:rFonts w:ascii="Book Antiqua" w:hAnsi="Book Antiqua"/>
          <w:sz w:val="24"/>
          <w:szCs w:val="24"/>
        </w:rPr>
        <w:t xml:space="preserve">, Jones PH. Switching roles: the functional plasticity of adult tissue stem cells. </w:t>
      </w:r>
      <w:r w:rsidRPr="00084277">
        <w:rPr>
          <w:rFonts w:ascii="Book Antiqua" w:hAnsi="Book Antiqua"/>
          <w:i/>
          <w:sz w:val="24"/>
          <w:szCs w:val="24"/>
        </w:rPr>
        <w:t>EMBO J</w:t>
      </w:r>
      <w:r w:rsidRPr="00084277">
        <w:rPr>
          <w:rFonts w:ascii="Book Antiqua" w:hAnsi="Book Antiqua"/>
          <w:sz w:val="24"/>
          <w:szCs w:val="24"/>
        </w:rPr>
        <w:t xml:space="preserve"> 2015; </w:t>
      </w:r>
      <w:r w:rsidRPr="00084277">
        <w:rPr>
          <w:rFonts w:ascii="Book Antiqua" w:hAnsi="Book Antiqua"/>
          <w:b/>
          <w:sz w:val="24"/>
          <w:szCs w:val="24"/>
        </w:rPr>
        <w:t>34</w:t>
      </w:r>
      <w:r w:rsidRPr="00084277">
        <w:rPr>
          <w:rFonts w:ascii="Book Antiqua" w:hAnsi="Book Antiqua"/>
          <w:sz w:val="24"/>
          <w:szCs w:val="24"/>
        </w:rPr>
        <w:t>: 1164-1179 [PMID: 25812989 DOI: 10.15252/embj.201490386]</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84 </w:t>
      </w:r>
      <w:r w:rsidRPr="00084277">
        <w:rPr>
          <w:rFonts w:ascii="Book Antiqua" w:hAnsi="Book Antiqua"/>
          <w:b/>
          <w:sz w:val="24"/>
          <w:szCs w:val="24"/>
        </w:rPr>
        <w:t>Trosko JE</w:t>
      </w:r>
      <w:r w:rsidRPr="00084277">
        <w:rPr>
          <w:rFonts w:ascii="Book Antiqua" w:hAnsi="Book Antiqua"/>
          <w:sz w:val="24"/>
          <w:szCs w:val="24"/>
        </w:rPr>
        <w:t xml:space="preserve">. Induction of iPS cells and of cancer stem cells: the stem cell or reprogramming hypothesis of cancer? </w:t>
      </w:r>
      <w:r w:rsidRPr="00084277">
        <w:rPr>
          <w:rFonts w:ascii="Book Antiqua" w:hAnsi="Book Antiqua"/>
          <w:i/>
          <w:sz w:val="24"/>
          <w:szCs w:val="24"/>
        </w:rPr>
        <w:t>Anat Rec (Hoboken)</w:t>
      </w:r>
      <w:r w:rsidRPr="00084277">
        <w:rPr>
          <w:rFonts w:ascii="Book Antiqua" w:hAnsi="Book Antiqua"/>
          <w:sz w:val="24"/>
          <w:szCs w:val="24"/>
        </w:rPr>
        <w:t xml:space="preserve"> 2014; </w:t>
      </w:r>
      <w:r w:rsidRPr="00084277">
        <w:rPr>
          <w:rFonts w:ascii="Book Antiqua" w:hAnsi="Book Antiqua"/>
          <w:b/>
          <w:sz w:val="24"/>
          <w:szCs w:val="24"/>
        </w:rPr>
        <w:t>297</w:t>
      </w:r>
      <w:r w:rsidRPr="00084277">
        <w:rPr>
          <w:rFonts w:ascii="Book Antiqua" w:hAnsi="Book Antiqua"/>
          <w:sz w:val="24"/>
          <w:szCs w:val="24"/>
        </w:rPr>
        <w:t>: 161-173 [PMID: 24293264 DOI: 10.1002/ar.22793]</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85 </w:t>
      </w:r>
      <w:r w:rsidRPr="00084277">
        <w:rPr>
          <w:rFonts w:ascii="Book Antiqua" w:hAnsi="Book Antiqua"/>
          <w:b/>
          <w:sz w:val="24"/>
          <w:szCs w:val="24"/>
        </w:rPr>
        <w:t>Zhang B</w:t>
      </w:r>
      <w:r w:rsidRPr="00084277">
        <w:rPr>
          <w:rFonts w:ascii="Book Antiqua" w:hAnsi="Book Antiqua"/>
          <w:sz w:val="24"/>
          <w:szCs w:val="24"/>
        </w:rPr>
        <w:t xml:space="preserve">, Wang M, Gong A, Zhang X, Wu X, Zhu Y, Shi H, Wu L, Zhu W, Qian H, Xu W. HucMSC-Exosome Mediated-Wnt4 Signaling Is Required for Cutaneous Wound Healing. </w:t>
      </w:r>
      <w:r w:rsidRPr="00084277">
        <w:rPr>
          <w:rFonts w:ascii="Book Antiqua" w:hAnsi="Book Antiqua"/>
          <w:i/>
          <w:sz w:val="24"/>
          <w:szCs w:val="24"/>
        </w:rPr>
        <w:t>Stem Cells</w:t>
      </w:r>
      <w:r w:rsidRPr="00084277">
        <w:rPr>
          <w:rFonts w:ascii="Book Antiqua" w:hAnsi="Book Antiqua"/>
          <w:sz w:val="24"/>
          <w:szCs w:val="24"/>
        </w:rPr>
        <w:t xml:space="preserve"> 2015; </w:t>
      </w:r>
      <w:r w:rsidRPr="00084277">
        <w:rPr>
          <w:rFonts w:ascii="Book Antiqua" w:hAnsi="Book Antiqua"/>
          <w:b/>
          <w:sz w:val="24"/>
          <w:szCs w:val="24"/>
        </w:rPr>
        <w:t>33</w:t>
      </w:r>
      <w:r w:rsidRPr="00084277">
        <w:rPr>
          <w:rFonts w:ascii="Book Antiqua" w:hAnsi="Book Antiqua"/>
          <w:sz w:val="24"/>
          <w:szCs w:val="24"/>
        </w:rPr>
        <w:t>: 2158-2168 [PMID: 24964196 DOI: 10.1002/stem.1771]</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86 </w:t>
      </w:r>
      <w:r w:rsidRPr="00084277">
        <w:rPr>
          <w:rFonts w:ascii="Book Antiqua" w:hAnsi="Book Antiqua"/>
          <w:b/>
          <w:sz w:val="24"/>
          <w:szCs w:val="24"/>
        </w:rPr>
        <w:t>Phinney DG</w:t>
      </w:r>
      <w:r w:rsidRPr="00084277">
        <w:rPr>
          <w:rFonts w:ascii="Book Antiqua" w:hAnsi="Book Antiqua"/>
          <w:sz w:val="24"/>
          <w:szCs w:val="24"/>
        </w:rPr>
        <w:t xml:space="preserve">, Prockop DJ. Concise review: mesenchymal stem/multipotent stromal cells: the state of transdifferentiation and modes of tissue repair--current views. </w:t>
      </w:r>
      <w:r w:rsidRPr="00084277">
        <w:rPr>
          <w:rFonts w:ascii="Book Antiqua" w:hAnsi="Book Antiqua"/>
          <w:i/>
          <w:sz w:val="24"/>
          <w:szCs w:val="24"/>
        </w:rPr>
        <w:t>Stem Cells</w:t>
      </w:r>
      <w:r w:rsidRPr="00084277">
        <w:rPr>
          <w:rFonts w:ascii="Book Antiqua" w:hAnsi="Book Antiqua"/>
          <w:sz w:val="24"/>
          <w:szCs w:val="24"/>
        </w:rPr>
        <w:t xml:space="preserve"> 2007; </w:t>
      </w:r>
      <w:r w:rsidRPr="00084277">
        <w:rPr>
          <w:rFonts w:ascii="Book Antiqua" w:hAnsi="Book Antiqua"/>
          <w:b/>
          <w:sz w:val="24"/>
          <w:szCs w:val="24"/>
        </w:rPr>
        <w:t>25</w:t>
      </w:r>
      <w:r w:rsidRPr="00084277">
        <w:rPr>
          <w:rFonts w:ascii="Book Antiqua" w:hAnsi="Book Antiqua"/>
          <w:sz w:val="24"/>
          <w:szCs w:val="24"/>
        </w:rPr>
        <w:t>: 2896-2902 [PMID: 17901396 DOI: 10.1634/stemcells.2007-0637]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87 </w:t>
      </w:r>
      <w:r w:rsidRPr="00084277">
        <w:rPr>
          <w:rFonts w:ascii="Book Antiqua" w:hAnsi="Book Antiqua"/>
          <w:b/>
          <w:sz w:val="24"/>
          <w:szCs w:val="24"/>
        </w:rPr>
        <w:t>Kara RJ</w:t>
      </w:r>
      <w:r w:rsidRPr="00084277">
        <w:rPr>
          <w:rFonts w:ascii="Book Antiqua" w:hAnsi="Book Antiqua"/>
          <w:sz w:val="24"/>
          <w:szCs w:val="24"/>
        </w:rPr>
        <w:t xml:space="preserve">, Bolli P, Karakikes I, Matsunaga I, Tripodi J, Tanweer O, Altman P, Shachter NS, Nakano A, Najfeld V, Chaudhry HW. Fetal cells traffic to injured maternal myocardium and undergo cardiac differentiation. </w:t>
      </w:r>
      <w:r w:rsidRPr="00084277">
        <w:rPr>
          <w:rFonts w:ascii="Book Antiqua" w:hAnsi="Book Antiqua"/>
          <w:i/>
          <w:sz w:val="24"/>
          <w:szCs w:val="24"/>
        </w:rPr>
        <w:t>Circ Res</w:t>
      </w:r>
      <w:r w:rsidRPr="00084277">
        <w:rPr>
          <w:rFonts w:ascii="Book Antiqua" w:hAnsi="Book Antiqua"/>
          <w:sz w:val="24"/>
          <w:szCs w:val="24"/>
        </w:rPr>
        <w:t xml:space="preserve"> 2012; </w:t>
      </w:r>
      <w:r w:rsidRPr="00084277">
        <w:rPr>
          <w:rFonts w:ascii="Book Antiqua" w:hAnsi="Book Antiqua"/>
          <w:b/>
          <w:sz w:val="24"/>
          <w:szCs w:val="24"/>
        </w:rPr>
        <w:t>110</w:t>
      </w:r>
      <w:r w:rsidRPr="00084277">
        <w:rPr>
          <w:rFonts w:ascii="Book Antiqua" w:hAnsi="Book Antiqua"/>
          <w:sz w:val="24"/>
          <w:szCs w:val="24"/>
        </w:rPr>
        <w:t>: 82-93 [PMID: 22082491 DOI: 10.1161/CIRCRESAHA.111.249037]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88 </w:t>
      </w:r>
      <w:r w:rsidRPr="00084277">
        <w:rPr>
          <w:rFonts w:ascii="Book Antiqua" w:hAnsi="Book Antiqua"/>
          <w:b/>
          <w:sz w:val="24"/>
          <w:szCs w:val="24"/>
        </w:rPr>
        <w:t>Malliaras K</w:t>
      </w:r>
      <w:r w:rsidRPr="00084277">
        <w:rPr>
          <w:rFonts w:ascii="Book Antiqua" w:hAnsi="Book Antiqua"/>
          <w:sz w:val="24"/>
          <w:szCs w:val="24"/>
        </w:rPr>
        <w:t xml:space="preserve">, Zhang Y, Seinfeld J, Galang G, Tseliou E, Cheng K, Sun B, Aminzadeh M, Marbán E. Cardiomyocyte proliferation and progenitor cell recruitment underlie therapeutic regeneration after myocardial infarction in the adult mouse heart. </w:t>
      </w:r>
      <w:r w:rsidRPr="00084277">
        <w:rPr>
          <w:rFonts w:ascii="Book Antiqua" w:hAnsi="Book Antiqua"/>
          <w:i/>
          <w:sz w:val="24"/>
          <w:szCs w:val="24"/>
        </w:rPr>
        <w:t>EMBO Mol Med</w:t>
      </w:r>
      <w:r w:rsidRPr="00084277">
        <w:rPr>
          <w:rFonts w:ascii="Book Antiqua" w:hAnsi="Book Antiqua"/>
          <w:sz w:val="24"/>
          <w:szCs w:val="24"/>
        </w:rPr>
        <w:t xml:space="preserve"> 2013; </w:t>
      </w:r>
      <w:r w:rsidRPr="00084277">
        <w:rPr>
          <w:rFonts w:ascii="Book Antiqua" w:hAnsi="Book Antiqua"/>
          <w:b/>
          <w:sz w:val="24"/>
          <w:szCs w:val="24"/>
        </w:rPr>
        <w:t>5</w:t>
      </w:r>
      <w:r w:rsidRPr="00084277">
        <w:rPr>
          <w:rFonts w:ascii="Book Antiqua" w:hAnsi="Book Antiqua"/>
          <w:sz w:val="24"/>
          <w:szCs w:val="24"/>
        </w:rPr>
        <w:t>: 191-209 [PMID: 23255322 DOI: 10.1002/emmm.201201737]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lastRenderedPageBreak/>
        <w:t xml:space="preserve">89 </w:t>
      </w:r>
      <w:r w:rsidRPr="00084277">
        <w:rPr>
          <w:rFonts w:ascii="Book Antiqua" w:hAnsi="Book Antiqua"/>
          <w:b/>
          <w:sz w:val="24"/>
          <w:szCs w:val="24"/>
        </w:rPr>
        <w:t>Ra JC</w:t>
      </w:r>
      <w:r w:rsidRPr="00084277">
        <w:rPr>
          <w:rFonts w:ascii="Book Antiqua" w:hAnsi="Book Antiqua"/>
          <w:sz w:val="24"/>
          <w:szCs w:val="24"/>
        </w:rPr>
        <w:t xml:space="preserve">, Shin IS, Kim SH, Kang SK, Kang BC, Lee HY, Kim YJ, Jo JY, Yoon EJ, Choi HJ, Kwon E. Safety of intravenous infusion of human adipose tissue-derived mesenchymal stem cells in animals and humans. </w:t>
      </w:r>
      <w:r w:rsidRPr="00084277">
        <w:rPr>
          <w:rFonts w:ascii="Book Antiqua" w:hAnsi="Book Antiqua"/>
          <w:i/>
          <w:sz w:val="24"/>
          <w:szCs w:val="24"/>
        </w:rPr>
        <w:t>Stem Cells Dev</w:t>
      </w:r>
      <w:r w:rsidRPr="00084277">
        <w:rPr>
          <w:rFonts w:ascii="Book Antiqua" w:hAnsi="Book Antiqua"/>
          <w:sz w:val="24"/>
          <w:szCs w:val="24"/>
        </w:rPr>
        <w:t xml:space="preserve"> 2011; </w:t>
      </w:r>
      <w:r w:rsidRPr="00084277">
        <w:rPr>
          <w:rFonts w:ascii="Book Antiqua" w:hAnsi="Book Antiqua"/>
          <w:b/>
          <w:sz w:val="24"/>
          <w:szCs w:val="24"/>
        </w:rPr>
        <w:t>20</w:t>
      </w:r>
      <w:r w:rsidRPr="00084277">
        <w:rPr>
          <w:rFonts w:ascii="Book Antiqua" w:hAnsi="Book Antiqua"/>
          <w:sz w:val="24"/>
          <w:szCs w:val="24"/>
        </w:rPr>
        <w:t>: 1297-1308 [PMID: 21303266 DOI: 10.1089/scd.2010.0466]</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90 </w:t>
      </w:r>
      <w:r w:rsidRPr="00084277">
        <w:rPr>
          <w:rFonts w:ascii="Book Antiqua" w:hAnsi="Book Antiqua"/>
          <w:b/>
          <w:sz w:val="24"/>
          <w:szCs w:val="24"/>
        </w:rPr>
        <w:t>Hoffman AM</w:t>
      </w:r>
      <w:r w:rsidRPr="00084277">
        <w:rPr>
          <w:rFonts w:ascii="Book Antiqua" w:hAnsi="Book Antiqua"/>
          <w:sz w:val="24"/>
          <w:szCs w:val="24"/>
        </w:rPr>
        <w:t xml:space="preserve">, Dow SW. Concise Review: Stem Cell Trials Using Companion Animal Disease Models. </w:t>
      </w:r>
      <w:r w:rsidRPr="00084277">
        <w:rPr>
          <w:rFonts w:ascii="Book Antiqua" w:hAnsi="Book Antiqua"/>
          <w:i/>
          <w:sz w:val="24"/>
          <w:szCs w:val="24"/>
        </w:rPr>
        <w:t>Stem Cells</w:t>
      </w:r>
      <w:r w:rsidRPr="00084277">
        <w:rPr>
          <w:rFonts w:ascii="Book Antiqua" w:hAnsi="Book Antiqua"/>
          <w:sz w:val="24"/>
          <w:szCs w:val="24"/>
        </w:rPr>
        <w:t xml:space="preserve"> 2016; </w:t>
      </w:r>
      <w:r w:rsidRPr="00084277">
        <w:rPr>
          <w:rFonts w:ascii="Book Antiqua" w:hAnsi="Book Antiqua"/>
          <w:b/>
          <w:sz w:val="24"/>
          <w:szCs w:val="24"/>
        </w:rPr>
        <w:t>34</w:t>
      </w:r>
      <w:r w:rsidRPr="00084277">
        <w:rPr>
          <w:rFonts w:ascii="Book Antiqua" w:hAnsi="Book Antiqua"/>
          <w:sz w:val="24"/>
          <w:szCs w:val="24"/>
        </w:rPr>
        <w:t>: 1709-1729 [PMID: 27066769 DOI: 10.1002/stem.2377]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91 </w:t>
      </w:r>
      <w:r w:rsidRPr="00084277">
        <w:rPr>
          <w:rFonts w:ascii="Book Antiqua" w:hAnsi="Book Antiqua"/>
          <w:b/>
          <w:sz w:val="24"/>
          <w:szCs w:val="24"/>
        </w:rPr>
        <w:t>Toyserkani NM</w:t>
      </w:r>
      <w:r w:rsidRPr="00084277">
        <w:rPr>
          <w:rFonts w:ascii="Book Antiqua" w:hAnsi="Book Antiqua"/>
          <w:sz w:val="24"/>
          <w:szCs w:val="24"/>
        </w:rPr>
        <w:t xml:space="preserve">, Jørgensen MG, Tabatabaeifar S, Jensen CH, Sheikh SP, Sørensen JA. Concise Review: A Safety Assessment of Adipose-Derived Cell Therapy in Clinical Trials: A Systematic Review of Reported Adverse Events. </w:t>
      </w:r>
      <w:r w:rsidRPr="00084277">
        <w:rPr>
          <w:rFonts w:ascii="Book Antiqua" w:hAnsi="Book Antiqua"/>
          <w:i/>
          <w:sz w:val="24"/>
          <w:szCs w:val="24"/>
        </w:rPr>
        <w:t>Stem Cells Transl Med</w:t>
      </w:r>
      <w:r w:rsidRPr="00084277">
        <w:rPr>
          <w:rFonts w:ascii="Book Antiqua" w:hAnsi="Book Antiqua"/>
          <w:sz w:val="24"/>
          <w:szCs w:val="24"/>
        </w:rPr>
        <w:t xml:space="preserve"> 2017; </w:t>
      </w:r>
      <w:r w:rsidRPr="00084277">
        <w:rPr>
          <w:rFonts w:ascii="Book Antiqua" w:hAnsi="Book Antiqua"/>
          <w:b/>
          <w:sz w:val="24"/>
          <w:szCs w:val="24"/>
        </w:rPr>
        <w:t>6</w:t>
      </w:r>
      <w:r w:rsidRPr="00084277">
        <w:rPr>
          <w:rFonts w:ascii="Book Antiqua" w:hAnsi="Book Antiqua"/>
          <w:sz w:val="24"/>
          <w:szCs w:val="24"/>
        </w:rPr>
        <w:t>: 1786-1794 [PMID: 28722289 DOI: 10.1002/sctm.17-0031]</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92 </w:t>
      </w:r>
      <w:r w:rsidRPr="00084277">
        <w:rPr>
          <w:rFonts w:ascii="Book Antiqua" w:hAnsi="Book Antiqua"/>
          <w:b/>
          <w:sz w:val="24"/>
          <w:szCs w:val="24"/>
        </w:rPr>
        <w:t>Røsland GV</w:t>
      </w:r>
      <w:r w:rsidRPr="00084277">
        <w:rPr>
          <w:rFonts w:ascii="Book Antiqua" w:hAnsi="Book Antiqua"/>
          <w:sz w:val="24"/>
          <w:szCs w:val="24"/>
        </w:rPr>
        <w:t xml:space="preserve">, Svendsen A, Torsvik A, Sobala E, McCormack E, Immervoll H, Mysliwietz J, Tonn JC, Goldbrunner R, Lønning PE, Bjerkvig R, Schichor C. Long-term cultures of bone marrow-derived human mesenchymal stem cells frequently undergo spontaneous malignant transformation. </w:t>
      </w:r>
      <w:r w:rsidRPr="00084277">
        <w:rPr>
          <w:rFonts w:ascii="Book Antiqua" w:hAnsi="Book Antiqua"/>
          <w:i/>
          <w:sz w:val="24"/>
          <w:szCs w:val="24"/>
        </w:rPr>
        <w:t>Cancer Res</w:t>
      </w:r>
      <w:r w:rsidRPr="00084277">
        <w:rPr>
          <w:rFonts w:ascii="Book Antiqua" w:hAnsi="Book Antiqua"/>
          <w:sz w:val="24"/>
          <w:szCs w:val="24"/>
        </w:rPr>
        <w:t xml:space="preserve"> 2009; </w:t>
      </w:r>
      <w:r w:rsidRPr="00084277">
        <w:rPr>
          <w:rFonts w:ascii="Book Antiqua" w:hAnsi="Book Antiqua"/>
          <w:b/>
          <w:sz w:val="24"/>
          <w:szCs w:val="24"/>
        </w:rPr>
        <w:t>69</w:t>
      </w:r>
      <w:r w:rsidRPr="00084277">
        <w:rPr>
          <w:rFonts w:ascii="Book Antiqua" w:hAnsi="Book Antiqua"/>
          <w:sz w:val="24"/>
          <w:szCs w:val="24"/>
        </w:rPr>
        <w:t>: 5331-5339 [PMID: 19509230 DOI: 10.1158/0008-5472.CAN-08-4630]</w:t>
      </w:r>
    </w:p>
    <w:p w:rsidR="003065D2" w:rsidRPr="00084277" w:rsidRDefault="003065D2" w:rsidP="003065D2">
      <w:pPr>
        <w:adjustRightInd w:val="0"/>
        <w:snapToGrid w:val="0"/>
        <w:spacing w:line="360" w:lineRule="auto"/>
        <w:rPr>
          <w:rFonts w:ascii="Book Antiqua" w:hAnsi="Book Antiqua"/>
          <w:sz w:val="24"/>
          <w:szCs w:val="24"/>
        </w:rPr>
      </w:pPr>
      <w:bookmarkStart w:id="181" w:name="OLE_LINK165"/>
      <w:bookmarkStart w:id="182" w:name="OLE_LINK166"/>
      <w:r w:rsidRPr="00084277">
        <w:rPr>
          <w:rFonts w:ascii="Book Antiqua" w:hAnsi="Book Antiqua"/>
          <w:sz w:val="24"/>
          <w:szCs w:val="24"/>
        </w:rPr>
        <w:t xml:space="preserve">93 </w:t>
      </w:r>
      <w:bookmarkEnd w:id="181"/>
      <w:bookmarkEnd w:id="182"/>
      <w:r w:rsidRPr="00084277">
        <w:rPr>
          <w:rFonts w:ascii="Book Antiqua" w:hAnsi="Book Antiqua"/>
          <w:b/>
          <w:bCs/>
          <w:sz w:val="24"/>
          <w:szCs w:val="24"/>
        </w:rPr>
        <w:t>Xu S</w:t>
      </w:r>
      <w:r w:rsidRPr="00084277">
        <w:rPr>
          <w:rFonts w:ascii="Book Antiqua" w:hAnsi="Book Antiqua"/>
          <w:sz w:val="24"/>
          <w:szCs w:val="24"/>
        </w:rPr>
        <w:t xml:space="preserve">, De Becker A, De Raeve H, Van Camp B, Vanderkerken K, Van Riet I. In vitro expanded bone marrow-derived murine (C57Bl/KaLwRij) mesenchymal stem cells can acquire CD34 expression and induce sarcoma formation in vivo. </w:t>
      </w:r>
      <w:r w:rsidRPr="00084277">
        <w:rPr>
          <w:rFonts w:ascii="Book Antiqua" w:hAnsi="Book Antiqua"/>
          <w:i/>
          <w:iCs/>
          <w:sz w:val="24"/>
          <w:szCs w:val="24"/>
        </w:rPr>
        <w:t>Biochem Biophys Res Commun</w:t>
      </w:r>
      <w:r w:rsidRPr="00084277">
        <w:rPr>
          <w:rFonts w:ascii="Book Antiqua" w:hAnsi="Book Antiqua"/>
          <w:sz w:val="24"/>
          <w:szCs w:val="24"/>
        </w:rPr>
        <w:t xml:space="preserve"> 2012; </w:t>
      </w:r>
      <w:r w:rsidRPr="00084277">
        <w:rPr>
          <w:rFonts w:ascii="Book Antiqua" w:hAnsi="Book Antiqua"/>
          <w:b/>
          <w:bCs/>
          <w:sz w:val="24"/>
          <w:szCs w:val="24"/>
        </w:rPr>
        <w:t>424</w:t>
      </w:r>
      <w:r w:rsidRPr="00084277">
        <w:rPr>
          <w:rFonts w:ascii="Book Antiqua" w:hAnsi="Book Antiqua"/>
          <w:sz w:val="24"/>
          <w:szCs w:val="24"/>
        </w:rPr>
        <w:t>: 391-397 [PMID: 22771324 DOI: 10.1016/j.bbrc.2012.06.118]</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94 </w:t>
      </w:r>
      <w:r w:rsidRPr="00084277">
        <w:rPr>
          <w:rFonts w:ascii="Book Antiqua" w:hAnsi="Book Antiqua"/>
          <w:b/>
          <w:sz w:val="24"/>
          <w:szCs w:val="24"/>
        </w:rPr>
        <w:t>Pan Q</w:t>
      </w:r>
      <w:r w:rsidRPr="00084277">
        <w:rPr>
          <w:rFonts w:ascii="Book Antiqua" w:hAnsi="Book Antiqua"/>
          <w:sz w:val="24"/>
          <w:szCs w:val="24"/>
        </w:rPr>
        <w:t xml:space="preserve">, Fouraschen SM, de Ruiter PE, Dinjens WN, Kwekkeboom J, Tilanus HW, van der Laan LJ. Detection of spontaneous tumorigenic transformation during culture expansion of human mesenchymal stromal cells. </w:t>
      </w:r>
      <w:r w:rsidRPr="00084277">
        <w:rPr>
          <w:rFonts w:ascii="Book Antiqua" w:hAnsi="Book Antiqua"/>
          <w:i/>
          <w:sz w:val="24"/>
          <w:szCs w:val="24"/>
        </w:rPr>
        <w:t xml:space="preserve">Exp Biol Med </w:t>
      </w:r>
      <w:r w:rsidRPr="00084277">
        <w:rPr>
          <w:rFonts w:ascii="Book Antiqua" w:hAnsi="Book Antiqua"/>
          <w:sz w:val="24"/>
          <w:szCs w:val="24"/>
        </w:rPr>
        <w:t xml:space="preserve">(Maywood) 2014; </w:t>
      </w:r>
      <w:r w:rsidRPr="00084277">
        <w:rPr>
          <w:rFonts w:ascii="Book Antiqua" w:hAnsi="Book Antiqua"/>
          <w:b/>
          <w:sz w:val="24"/>
          <w:szCs w:val="24"/>
        </w:rPr>
        <w:t>239</w:t>
      </w:r>
      <w:r w:rsidRPr="00084277">
        <w:rPr>
          <w:rFonts w:ascii="Book Antiqua" w:hAnsi="Book Antiqua"/>
          <w:sz w:val="24"/>
          <w:szCs w:val="24"/>
        </w:rPr>
        <w:t>: 105-115 [PMID: 24227633 DOI: 10.1177/1535370213506802]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95 </w:t>
      </w:r>
      <w:r w:rsidRPr="00084277">
        <w:rPr>
          <w:rFonts w:ascii="Book Antiqua" w:hAnsi="Book Antiqua"/>
          <w:b/>
          <w:sz w:val="24"/>
          <w:szCs w:val="24"/>
        </w:rPr>
        <w:t>Haenel A,</w:t>
      </w:r>
      <w:r w:rsidRPr="00084277">
        <w:rPr>
          <w:rFonts w:ascii="Book Antiqua" w:hAnsi="Book Antiqua"/>
          <w:i/>
          <w:sz w:val="24"/>
          <w:szCs w:val="24"/>
        </w:rPr>
        <w:t xml:space="preserve"> </w:t>
      </w:r>
      <w:r w:rsidRPr="00084277">
        <w:rPr>
          <w:rFonts w:ascii="Book Antiqua" w:hAnsi="Book Antiqua"/>
          <w:sz w:val="24"/>
          <w:szCs w:val="24"/>
        </w:rPr>
        <w:t xml:space="preserve">Ghosn M, Karimi T, Vykoukal J, Kettlun C, Shah D, Dave A, Valderrrabano M, Schulz D, Azares A, Raizner A, Alt E. </w:t>
      </w:r>
      <w:bookmarkStart w:id="183" w:name="OLE_LINK163"/>
      <w:bookmarkStart w:id="184" w:name="OLE_LINK164"/>
      <w:r w:rsidRPr="00084277">
        <w:rPr>
          <w:rFonts w:ascii="Book Antiqua" w:hAnsi="Book Antiqua"/>
          <w:sz w:val="24"/>
          <w:szCs w:val="24"/>
        </w:rPr>
        <w:t xml:space="preserve">Unmodified, autologous adipose-derived regenerative cells improve cardiac function, structure and revascularization in a porcine model of chronic myocardial </w:t>
      </w:r>
      <w:r w:rsidRPr="00084277">
        <w:rPr>
          <w:rFonts w:ascii="Book Antiqua" w:hAnsi="Book Antiqua"/>
          <w:sz w:val="24"/>
          <w:szCs w:val="24"/>
        </w:rPr>
        <w:lastRenderedPageBreak/>
        <w:t xml:space="preserve">infarction. </w:t>
      </w:r>
      <w:bookmarkEnd w:id="183"/>
      <w:bookmarkEnd w:id="184"/>
      <w:r w:rsidRPr="00084277">
        <w:rPr>
          <w:rFonts w:ascii="Book Antiqua" w:hAnsi="Book Antiqua"/>
          <w:sz w:val="24"/>
          <w:szCs w:val="24"/>
        </w:rPr>
        <w:t>2018 Preprint. Bio</w:t>
      </w:r>
      <w:r w:rsidRPr="00084277">
        <w:rPr>
          <w:rFonts w:ascii="Book Antiqua" w:hAnsi="Book Antiqua"/>
          <w:caps/>
          <w:sz w:val="24"/>
          <w:szCs w:val="24"/>
        </w:rPr>
        <w:t>r</w:t>
      </w:r>
      <w:r w:rsidRPr="00084277">
        <w:rPr>
          <w:rFonts w:ascii="Book Antiqua" w:hAnsi="Book Antiqua"/>
          <w:sz w:val="24"/>
          <w:szCs w:val="24"/>
        </w:rPr>
        <w:t>xiv:286468 [DOI: 10.1101/286468]</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96 </w:t>
      </w:r>
      <w:r w:rsidRPr="00084277">
        <w:rPr>
          <w:rFonts w:ascii="Book Antiqua" w:hAnsi="Book Antiqua"/>
          <w:b/>
          <w:sz w:val="24"/>
          <w:szCs w:val="24"/>
        </w:rPr>
        <w:t>Badimon L</w:t>
      </w:r>
      <w:r w:rsidRPr="00084277">
        <w:rPr>
          <w:rFonts w:ascii="Book Antiqua" w:hAnsi="Book Antiqua"/>
          <w:sz w:val="24"/>
          <w:szCs w:val="24"/>
        </w:rPr>
        <w:t xml:space="preserve">, Oñate B, Vilahur G. Adipose-derived Mesenchymal Stem Cells and Their Reparative Potential in Ischemic Heart Disease. </w:t>
      </w:r>
      <w:r w:rsidRPr="00084277">
        <w:rPr>
          <w:rFonts w:ascii="Book Antiqua" w:hAnsi="Book Antiqua"/>
          <w:i/>
          <w:sz w:val="24"/>
          <w:szCs w:val="24"/>
        </w:rPr>
        <w:t xml:space="preserve">Rev Esp Cardiol </w:t>
      </w:r>
      <w:r w:rsidRPr="00084277">
        <w:rPr>
          <w:rFonts w:ascii="Book Antiqua" w:hAnsi="Book Antiqua"/>
          <w:sz w:val="24"/>
          <w:szCs w:val="24"/>
        </w:rPr>
        <w:t xml:space="preserve">(Engl Ed) 2015; </w:t>
      </w:r>
      <w:r w:rsidRPr="00084277">
        <w:rPr>
          <w:rFonts w:ascii="Book Antiqua" w:hAnsi="Book Antiqua"/>
          <w:b/>
          <w:sz w:val="24"/>
          <w:szCs w:val="24"/>
        </w:rPr>
        <w:t>68</w:t>
      </w:r>
      <w:r w:rsidRPr="00084277">
        <w:rPr>
          <w:rFonts w:ascii="Book Antiqua" w:hAnsi="Book Antiqua"/>
          <w:sz w:val="24"/>
          <w:szCs w:val="24"/>
        </w:rPr>
        <w:t>: 599-611 [PMID: 26028258 DOI: 10.1016/j.rec.2015.02.025]</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97 </w:t>
      </w:r>
      <w:r w:rsidRPr="00084277">
        <w:rPr>
          <w:rFonts w:ascii="Book Antiqua" w:hAnsi="Book Antiqua"/>
          <w:b/>
          <w:sz w:val="24"/>
          <w:szCs w:val="24"/>
        </w:rPr>
        <w:t>Lombardi G</w:t>
      </w:r>
      <w:r w:rsidRPr="00084277">
        <w:rPr>
          <w:rFonts w:ascii="Book Antiqua" w:hAnsi="Book Antiqua"/>
          <w:sz w:val="24"/>
          <w:szCs w:val="24"/>
        </w:rPr>
        <w:t xml:space="preserve">, Perego S, Luzi L, Banfi G. A four-season molecule: osteocalcin. Updates in its physiological roles. </w:t>
      </w:r>
      <w:r w:rsidRPr="00084277">
        <w:rPr>
          <w:rFonts w:ascii="Book Antiqua" w:hAnsi="Book Antiqua"/>
          <w:i/>
          <w:sz w:val="24"/>
          <w:szCs w:val="24"/>
        </w:rPr>
        <w:t>Endocrine</w:t>
      </w:r>
      <w:r w:rsidRPr="00084277">
        <w:rPr>
          <w:rFonts w:ascii="Book Antiqua" w:hAnsi="Book Antiqua"/>
          <w:sz w:val="24"/>
          <w:szCs w:val="24"/>
        </w:rPr>
        <w:t xml:space="preserve"> 2015; </w:t>
      </w:r>
      <w:r w:rsidRPr="00084277">
        <w:rPr>
          <w:rFonts w:ascii="Book Antiqua" w:hAnsi="Book Antiqua"/>
          <w:b/>
          <w:sz w:val="24"/>
          <w:szCs w:val="24"/>
        </w:rPr>
        <w:t>48</w:t>
      </w:r>
      <w:r w:rsidRPr="00084277">
        <w:rPr>
          <w:rFonts w:ascii="Book Antiqua" w:hAnsi="Book Antiqua"/>
          <w:sz w:val="24"/>
          <w:szCs w:val="24"/>
        </w:rPr>
        <w:t>: 394-404 [PMID: 25158976 DOI: 10.1007/s12020-014-0401-0]</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98 </w:t>
      </w:r>
      <w:r w:rsidRPr="00084277">
        <w:rPr>
          <w:rFonts w:ascii="Book Antiqua" w:hAnsi="Book Antiqua"/>
          <w:b/>
          <w:sz w:val="24"/>
          <w:szCs w:val="24"/>
        </w:rPr>
        <w:t>Anitua E</w:t>
      </w:r>
      <w:r w:rsidRPr="00084277">
        <w:rPr>
          <w:rFonts w:ascii="Book Antiqua" w:hAnsi="Book Antiqua"/>
          <w:sz w:val="24"/>
          <w:szCs w:val="24"/>
        </w:rPr>
        <w:t xml:space="preserve">, Tejero R, Zalduendo MM, Orive G. Plasma rich in growth factors promotes bone tissue regeneration by stimulating proliferation, migration, and autocrine secretion in primary human osteoblasts. </w:t>
      </w:r>
      <w:r w:rsidRPr="00084277">
        <w:rPr>
          <w:rFonts w:ascii="Book Antiqua" w:hAnsi="Book Antiqua"/>
          <w:i/>
          <w:sz w:val="24"/>
          <w:szCs w:val="24"/>
        </w:rPr>
        <w:t>J Periodontol</w:t>
      </w:r>
      <w:r w:rsidRPr="00084277">
        <w:rPr>
          <w:rFonts w:ascii="Book Antiqua" w:hAnsi="Book Antiqua"/>
          <w:sz w:val="24"/>
          <w:szCs w:val="24"/>
        </w:rPr>
        <w:t xml:space="preserve"> 2013; </w:t>
      </w:r>
      <w:r w:rsidRPr="00084277">
        <w:rPr>
          <w:rFonts w:ascii="Book Antiqua" w:hAnsi="Book Antiqua"/>
          <w:b/>
          <w:sz w:val="24"/>
          <w:szCs w:val="24"/>
        </w:rPr>
        <w:t>84</w:t>
      </w:r>
      <w:r w:rsidRPr="00084277">
        <w:rPr>
          <w:rFonts w:ascii="Book Antiqua" w:hAnsi="Book Antiqua"/>
          <w:sz w:val="24"/>
          <w:szCs w:val="24"/>
        </w:rPr>
        <w:t>: 1180-1190 [PMID: 23088531 DOI: 10.1902/jop.2012.120292]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99 </w:t>
      </w:r>
      <w:r w:rsidRPr="00084277">
        <w:rPr>
          <w:rFonts w:ascii="Book Antiqua" w:hAnsi="Book Antiqua"/>
          <w:b/>
          <w:sz w:val="24"/>
          <w:szCs w:val="24"/>
        </w:rPr>
        <w:t>Anitua E</w:t>
      </w:r>
      <w:r w:rsidRPr="00084277">
        <w:rPr>
          <w:rFonts w:ascii="Book Antiqua" w:hAnsi="Book Antiqua"/>
          <w:sz w:val="24"/>
          <w:szCs w:val="24"/>
        </w:rPr>
        <w:t xml:space="preserve">, Prado R, Orive G. A lateral approach for sinus elevation using PRGF technology. </w:t>
      </w:r>
      <w:r w:rsidRPr="00084277">
        <w:rPr>
          <w:rFonts w:ascii="Book Antiqua" w:hAnsi="Book Antiqua"/>
          <w:i/>
          <w:sz w:val="24"/>
          <w:szCs w:val="24"/>
        </w:rPr>
        <w:t>Clin Implant Dent Relat Res</w:t>
      </w:r>
      <w:r w:rsidRPr="00084277">
        <w:rPr>
          <w:rFonts w:ascii="Book Antiqua" w:hAnsi="Book Antiqua"/>
          <w:sz w:val="24"/>
          <w:szCs w:val="24"/>
        </w:rPr>
        <w:t xml:space="preserve"> 2009; </w:t>
      </w:r>
      <w:r w:rsidRPr="00084277">
        <w:rPr>
          <w:rFonts w:ascii="Book Antiqua" w:hAnsi="Book Antiqua"/>
          <w:b/>
          <w:sz w:val="24"/>
          <w:szCs w:val="24"/>
        </w:rPr>
        <w:t>11</w:t>
      </w:r>
      <w:r w:rsidRPr="00084277">
        <w:rPr>
          <w:rFonts w:ascii="Book Antiqua" w:hAnsi="Book Antiqua"/>
          <w:sz w:val="24"/>
          <w:szCs w:val="24"/>
        </w:rPr>
        <w:t xml:space="preserve"> Suppl 1: e23-e31 [PMID: 19438953 DOI: 10.1111/j.1708-8208.2009.00159.x]</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100 </w:t>
      </w:r>
      <w:r w:rsidRPr="00084277">
        <w:rPr>
          <w:rFonts w:ascii="Book Antiqua" w:hAnsi="Book Antiqua"/>
          <w:b/>
          <w:sz w:val="24"/>
          <w:szCs w:val="24"/>
        </w:rPr>
        <w:t>Taschieri S</w:t>
      </w:r>
      <w:r w:rsidRPr="00084277">
        <w:rPr>
          <w:rFonts w:ascii="Book Antiqua" w:hAnsi="Book Antiqua"/>
          <w:sz w:val="24"/>
          <w:szCs w:val="24"/>
        </w:rPr>
        <w:t xml:space="preserve">, Corbella S, Del Fabbro M. Use of plasma rich in growth factor for schneiderian membrane management during maxillary sinus augmentation procedure. </w:t>
      </w:r>
      <w:r w:rsidRPr="00084277">
        <w:rPr>
          <w:rFonts w:ascii="Book Antiqua" w:hAnsi="Book Antiqua"/>
          <w:i/>
          <w:sz w:val="24"/>
          <w:szCs w:val="24"/>
        </w:rPr>
        <w:t>J Oral Implantol</w:t>
      </w:r>
      <w:r w:rsidRPr="00084277">
        <w:rPr>
          <w:rFonts w:ascii="Book Antiqua" w:hAnsi="Book Antiqua"/>
          <w:sz w:val="24"/>
          <w:szCs w:val="24"/>
        </w:rPr>
        <w:t xml:space="preserve"> 2012; </w:t>
      </w:r>
      <w:r w:rsidRPr="00084277">
        <w:rPr>
          <w:rFonts w:ascii="Book Antiqua" w:hAnsi="Book Antiqua"/>
          <w:b/>
          <w:sz w:val="24"/>
          <w:szCs w:val="24"/>
        </w:rPr>
        <w:t>38</w:t>
      </w:r>
      <w:r w:rsidRPr="00084277">
        <w:rPr>
          <w:rFonts w:ascii="Book Antiqua" w:hAnsi="Book Antiqua"/>
          <w:sz w:val="24"/>
          <w:szCs w:val="24"/>
        </w:rPr>
        <w:t>: 621-627 [PMID: 23072223 DOI: 10.1563/AAID-JOI-D-12-00009]</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101 </w:t>
      </w:r>
      <w:r w:rsidRPr="00084277">
        <w:rPr>
          <w:rFonts w:ascii="Book Antiqua" w:hAnsi="Book Antiqua"/>
          <w:b/>
          <w:sz w:val="24"/>
          <w:szCs w:val="24"/>
        </w:rPr>
        <w:t>Khouly I</w:t>
      </w:r>
      <w:r w:rsidRPr="00084277">
        <w:rPr>
          <w:rFonts w:ascii="Book Antiqua" w:hAnsi="Book Antiqua"/>
          <w:sz w:val="24"/>
          <w:szCs w:val="24"/>
        </w:rPr>
        <w:t xml:space="preserve">, Pardiñas López S, Aliaga I, Froum SJ. Long-Term Implant Survival After 100 Maxillary Sinus Augmentations Using Plasma Rich in Growth Factors. </w:t>
      </w:r>
      <w:r w:rsidRPr="00084277">
        <w:rPr>
          <w:rFonts w:ascii="Book Antiqua" w:hAnsi="Book Antiqua"/>
          <w:i/>
          <w:sz w:val="24"/>
          <w:szCs w:val="24"/>
        </w:rPr>
        <w:t>Implant Dent</w:t>
      </w:r>
      <w:r w:rsidRPr="00084277">
        <w:rPr>
          <w:rFonts w:ascii="Book Antiqua" w:hAnsi="Book Antiqua"/>
          <w:sz w:val="24"/>
          <w:szCs w:val="24"/>
        </w:rPr>
        <w:t xml:space="preserve"> 2017; </w:t>
      </w:r>
      <w:r w:rsidRPr="00084277">
        <w:rPr>
          <w:rFonts w:ascii="Book Antiqua" w:hAnsi="Book Antiqua"/>
          <w:b/>
          <w:sz w:val="24"/>
          <w:szCs w:val="24"/>
        </w:rPr>
        <w:t>26</w:t>
      </w:r>
      <w:r w:rsidRPr="00084277">
        <w:rPr>
          <w:rFonts w:ascii="Book Antiqua" w:hAnsi="Book Antiqua"/>
          <w:sz w:val="24"/>
          <w:szCs w:val="24"/>
        </w:rPr>
        <w:t>: 199-208 [PMID: 28207599 DOI: 10.1097/ID.0000000000000561]</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102 </w:t>
      </w:r>
      <w:r w:rsidRPr="00084277">
        <w:rPr>
          <w:rFonts w:ascii="Book Antiqua" w:hAnsi="Book Antiqua"/>
          <w:b/>
          <w:sz w:val="24"/>
          <w:szCs w:val="24"/>
        </w:rPr>
        <w:t>Salgado AJ</w:t>
      </w:r>
      <w:r w:rsidRPr="00084277">
        <w:rPr>
          <w:rFonts w:ascii="Book Antiqua" w:hAnsi="Book Antiqua"/>
          <w:sz w:val="24"/>
          <w:szCs w:val="24"/>
        </w:rPr>
        <w:t xml:space="preserve">, Reis RL, Sousa NJ, Gimble JM. Adipose tissue derived stem cells secretome: soluble factors and their roles in regenerative medicine. </w:t>
      </w:r>
      <w:r w:rsidRPr="00084277">
        <w:rPr>
          <w:rFonts w:ascii="Book Antiqua" w:hAnsi="Book Antiqua"/>
          <w:i/>
          <w:sz w:val="24"/>
          <w:szCs w:val="24"/>
        </w:rPr>
        <w:t>Curr Stem Cell Res Ther</w:t>
      </w:r>
      <w:r w:rsidRPr="00084277">
        <w:rPr>
          <w:rFonts w:ascii="Book Antiqua" w:hAnsi="Book Antiqua"/>
          <w:sz w:val="24"/>
          <w:szCs w:val="24"/>
        </w:rPr>
        <w:t xml:space="preserve"> 2010; </w:t>
      </w:r>
      <w:r w:rsidRPr="00084277">
        <w:rPr>
          <w:rFonts w:ascii="Book Antiqua" w:hAnsi="Book Antiqua"/>
          <w:b/>
          <w:sz w:val="24"/>
          <w:szCs w:val="24"/>
        </w:rPr>
        <w:t>5</w:t>
      </w:r>
      <w:r w:rsidRPr="00084277">
        <w:rPr>
          <w:rFonts w:ascii="Book Antiqua" w:hAnsi="Book Antiqua"/>
          <w:sz w:val="24"/>
          <w:szCs w:val="24"/>
        </w:rPr>
        <w:t>: 103-110 [PMID: 19941460 DOI: 10.2174/157488810791268564]</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103 </w:t>
      </w:r>
      <w:r w:rsidRPr="00084277">
        <w:rPr>
          <w:rFonts w:ascii="Book Antiqua" w:hAnsi="Book Antiqua"/>
          <w:b/>
          <w:sz w:val="24"/>
          <w:szCs w:val="24"/>
        </w:rPr>
        <w:t>Mellado-López M</w:t>
      </w:r>
      <w:r w:rsidRPr="00084277">
        <w:rPr>
          <w:rFonts w:ascii="Book Antiqua" w:hAnsi="Book Antiqua"/>
          <w:sz w:val="24"/>
          <w:szCs w:val="24"/>
        </w:rPr>
        <w:t xml:space="preserve">, Griffeth RJ, Meseguer-Ripolles J, Cugat R, García M, Moreno-Manzano V. Plasma Rich in Growth Factors Induces Cell Proliferation, Migration, Differentiation, and Cell Survival of Adipose-Derived Stem Cells. </w:t>
      </w:r>
      <w:r w:rsidRPr="00084277">
        <w:rPr>
          <w:rFonts w:ascii="Book Antiqua" w:hAnsi="Book Antiqua"/>
          <w:i/>
          <w:sz w:val="24"/>
          <w:szCs w:val="24"/>
        </w:rPr>
        <w:t>Stem Cells Int</w:t>
      </w:r>
      <w:r w:rsidRPr="00084277">
        <w:rPr>
          <w:rFonts w:ascii="Book Antiqua" w:hAnsi="Book Antiqua"/>
          <w:sz w:val="24"/>
          <w:szCs w:val="24"/>
        </w:rPr>
        <w:t xml:space="preserve"> 2017; </w:t>
      </w:r>
      <w:r w:rsidRPr="00084277">
        <w:rPr>
          <w:rFonts w:ascii="Book Antiqua" w:hAnsi="Book Antiqua"/>
          <w:b/>
          <w:sz w:val="24"/>
          <w:szCs w:val="24"/>
        </w:rPr>
        <w:t>2017</w:t>
      </w:r>
      <w:r w:rsidRPr="00084277">
        <w:rPr>
          <w:rFonts w:ascii="Book Antiqua" w:hAnsi="Book Antiqua"/>
          <w:sz w:val="24"/>
          <w:szCs w:val="24"/>
        </w:rPr>
        <w:t>: 5946527 [PMID: 29270200 DOI: 10.1155/2017/5946527]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lastRenderedPageBreak/>
        <w:t xml:space="preserve">104 </w:t>
      </w:r>
      <w:r w:rsidRPr="00084277">
        <w:rPr>
          <w:rFonts w:ascii="Book Antiqua" w:hAnsi="Book Antiqua"/>
          <w:b/>
          <w:sz w:val="24"/>
          <w:szCs w:val="24"/>
        </w:rPr>
        <w:t>Bai X</w:t>
      </w:r>
      <w:r w:rsidRPr="00084277">
        <w:rPr>
          <w:rFonts w:ascii="Book Antiqua" w:hAnsi="Book Antiqua"/>
          <w:sz w:val="24"/>
          <w:szCs w:val="24"/>
        </w:rPr>
        <w:t xml:space="preserve">, Sadat S, Gehmert S, Alt E, Song YH. VEGF receptor Flk-1 plays an important role in c-kit expression in adipose tissue derived stem cells. </w:t>
      </w:r>
      <w:r w:rsidRPr="00084277">
        <w:rPr>
          <w:rFonts w:ascii="Book Antiqua" w:hAnsi="Book Antiqua"/>
          <w:i/>
          <w:sz w:val="24"/>
          <w:szCs w:val="24"/>
        </w:rPr>
        <w:t>FEBS Lett</w:t>
      </w:r>
      <w:r w:rsidRPr="00084277">
        <w:rPr>
          <w:rFonts w:ascii="Book Antiqua" w:hAnsi="Book Antiqua"/>
          <w:sz w:val="24"/>
          <w:szCs w:val="24"/>
        </w:rPr>
        <w:t xml:space="preserve"> 2007; </w:t>
      </w:r>
      <w:r w:rsidRPr="00084277">
        <w:rPr>
          <w:rFonts w:ascii="Book Antiqua" w:hAnsi="Book Antiqua"/>
          <w:b/>
          <w:sz w:val="24"/>
          <w:szCs w:val="24"/>
        </w:rPr>
        <w:t>581</w:t>
      </w:r>
      <w:r w:rsidRPr="00084277">
        <w:rPr>
          <w:rFonts w:ascii="Book Antiqua" w:hAnsi="Book Antiqua"/>
          <w:sz w:val="24"/>
          <w:szCs w:val="24"/>
        </w:rPr>
        <w:t>: 4681-4684 [PMID: 17850794 DOI: 10.1016/j.febslet.2007.08.063]</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105 </w:t>
      </w:r>
      <w:r w:rsidRPr="00084277">
        <w:rPr>
          <w:rFonts w:ascii="Book Antiqua" w:hAnsi="Book Antiqua"/>
          <w:b/>
          <w:sz w:val="24"/>
          <w:szCs w:val="24"/>
        </w:rPr>
        <w:t>Kusuma GD</w:t>
      </w:r>
      <w:r w:rsidRPr="00084277">
        <w:rPr>
          <w:rFonts w:ascii="Book Antiqua" w:hAnsi="Book Antiqua"/>
          <w:sz w:val="24"/>
          <w:szCs w:val="24"/>
        </w:rPr>
        <w:t xml:space="preserve">, Carthew J, Lim R, Frith JE. Effect of the Microenvironment on Mesenchymal Stem Cell Paracrine Signaling: Opportunities to Engineer the Therapeutic Effect. </w:t>
      </w:r>
      <w:r w:rsidRPr="00084277">
        <w:rPr>
          <w:rFonts w:ascii="Book Antiqua" w:hAnsi="Book Antiqua"/>
          <w:i/>
          <w:sz w:val="24"/>
          <w:szCs w:val="24"/>
        </w:rPr>
        <w:t>Stem Cells Dev</w:t>
      </w:r>
      <w:r w:rsidRPr="00084277">
        <w:rPr>
          <w:rFonts w:ascii="Book Antiqua" w:hAnsi="Book Antiqua"/>
          <w:sz w:val="24"/>
          <w:szCs w:val="24"/>
        </w:rPr>
        <w:t xml:space="preserve"> 2017; </w:t>
      </w:r>
      <w:r w:rsidRPr="00084277">
        <w:rPr>
          <w:rFonts w:ascii="Book Antiqua" w:hAnsi="Book Antiqua"/>
          <w:b/>
          <w:sz w:val="24"/>
          <w:szCs w:val="24"/>
        </w:rPr>
        <w:t>26</w:t>
      </w:r>
      <w:r w:rsidRPr="00084277">
        <w:rPr>
          <w:rFonts w:ascii="Book Antiqua" w:hAnsi="Book Antiqua"/>
          <w:sz w:val="24"/>
          <w:szCs w:val="24"/>
        </w:rPr>
        <w:t>: 617-631 [PMID: 28186467 DOI: 10.1089/scd.2016.0349]</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106 </w:t>
      </w:r>
      <w:r w:rsidRPr="00084277">
        <w:rPr>
          <w:rFonts w:ascii="Book Antiqua" w:hAnsi="Book Antiqua"/>
          <w:b/>
          <w:sz w:val="24"/>
          <w:szCs w:val="24"/>
        </w:rPr>
        <w:t>Hegde R</w:t>
      </w:r>
      <w:r w:rsidRPr="00084277">
        <w:rPr>
          <w:rFonts w:ascii="Book Antiqua" w:hAnsi="Book Antiqua"/>
          <w:sz w:val="24"/>
          <w:szCs w:val="24"/>
        </w:rPr>
        <w:t xml:space="preserve">, Prasad K, Shroff KK. Maxillary sinus augmentation using sinus membrane elevation without grafts - A Systematic Review. </w:t>
      </w:r>
      <w:r w:rsidRPr="00084277">
        <w:rPr>
          <w:rFonts w:ascii="Book Antiqua" w:hAnsi="Book Antiqua"/>
          <w:i/>
          <w:sz w:val="24"/>
          <w:szCs w:val="24"/>
        </w:rPr>
        <w:t>J Indian Prosthodont Soc</w:t>
      </w:r>
      <w:r w:rsidRPr="00084277">
        <w:rPr>
          <w:rFonts w:ascii="Book Antiqua" w:hAnsi="Book Antiqua"/>
          <w:sz w:val="24"/>
          <w:szCs w:val="24"/>
        </w:rPr>
        <w:t xml:space="preserve"> 2016; </w:t>
      </w:r>
      <w:r w:rsidRPr="00084277">
        <w:rPr>
          <w:rFonts w:ascii="Book Antiqua" w:hAnsi="Book Antiqua"/>
          <w:b/>
          <w:sz w:val="24"/>
          <w:szCs w:val="24"/>
        </w:rPr>
        <w:t>16</w:t>
      </w:r>
      <w:r w:rsidRPr="00084277">
        <w:rPr>
          <w:rFonts w:ascii="Book Antiqua" w:hAnsi="Book Antiqua"/>
          <w:sz w:val="24"/>
          <w:szCs w:val="24"/>
        </w:rPr>
        <w:t>: 317-322 [PMID: 27746593 DOI: 10.4103/0972-4052.191289]</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107 </w:t>
      </w:r>
      <w:r w:rsidRPr="00084277">
        <w:rPr>
          <w:rFonts w:ascii="Book Antiqua" w:hAnsi="Book Antiqua"/>
          <w:b/>
          <w:sz w:val="24"/>
          <w:szCs w:val="24"/>
        </w:rPr>
        <w:t>Tong DC</w:t>
      </w:r>
      <w:r w:rsidRPr="00084277">
        <w:rPr>
          <w:rFonts w:ascii="Book Antiqua" w:hAnsi="Book Antiqua"/>
          <w:sz w:val="24"/>
          <w:szCs w:val="24"/>
        </w:rPr>
        <w:t xml:space="preserve">, Rioux K, Drangsholt M, Beirne OR. A review of survival rates for implants placed in grafted maxillary sinuses using meta-analysis. </w:t>
      </w:r>
      <w:r w:rsidRPr="00084277">
        <w:rPr>
          <w:rFonts w:ascii="Book Antiqua" w:hAnsi="Book Antiqua"/>
          <w:i/>
          <w:sz w:val="24"/>
          <w:szCs w:val="24"/>
        </w:rPr>
        <w:t>Int J Oral Maxillofac Implants</w:t>
      </w:r>
      <w:r w:rsidRPr="00084277">
        <w:rPr>
          <w:rFonts w:ascii="Book Antiqua" w:hAnsi="Book Antiqua"/>
          <w:sz w:val="24"/>
          <w:szCs w:val="24"/>
        </w:rPr>
        <w:t xml:space="preserve"> 1998; </w:t>
      </w:r>
      <w:r w:rsidRPr="00084277">
        <w:rPr>
          <w:rFonts w:ascii="Book Antiqua" w:hAnsi="Book Antiqua"/>
          <w:b/>
          <w:sz w:val="24"/>
          <w:szCs w:val="24"/>
        </w:rPr>
        <w:t>13</w:t>
      </w:r>
      <w:r w:rsidRPr="00084277">
        <w:rPr>
          <w:rFonts w:ascii="Book Antiqua" w:hAnsi="Book Antiqua"/>
          <w:sz w:val="24"/>
          <w:szCs w:val="24"/>
        </w:rPr>
        <w:t>: 175-182 [PMID: 9581402 DOI: 10.1016/S0020-1383(98)00055-2]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108 </w:t>
      </w:r>
      <w:r w:rsidRPr="00084277">
        <w:rPr>
          <w:rFonts w:ascii="Book Antiqua" w:hAnsi="Book Antiqua"/>
          <w:b/>
          <w:sz w:val="24"/>
          <w:szCs w:val="24"/>
        </w:rPr>
        <w:t>Klijn RJ</w:t>
      </w:r>
      <w:r w:rsidRPr="00084277">
        <w:rPr>
          <w:rFonts w:ascii="Book Antiqua" w:hAnsi="Book Antiqua"/>
          <w:sz w:val="24"/>
          <w:szCs w:val="24"/>
        </w:rPr>
        <w:t xml:space="preserve">, Meijer GJ, Bronkhorst EM, Jansen JA. A meta-analysis of histomorphometric results and graft healing time of various biomaterials compared to autologous bone used as sinus floor augmentation material in humans. </w:t>
      </w:r>
      <w:r w:rsidRPr="00084277">
        <w:rPr>
          <w:rFonts w:ascii="Book Antiqua" w:hAnsi="Book Antiqua"/>
          <w:i/>
          <w:sz w:val="24"/>
          <w:szCs w:val="24"/>
        </w:rPr>
        <w:t>Tissue Eng Part B Rev</w:t>
      </w:r>
      <w:r w:rsidRPr="00084277">
        <w:rPr>
          <w:rFonts w:ascii="Book Antiqua" w:hAnsi="Book Antiqua"/>
          <w:sz w:val="24"/>
          <w:szCs w:val="24"/>
        </w:rPr>
        <w:t xml:space="preserve"> 2010; </w:t>
      </w:r>
      <w:r w:rsidRPr="00084277">
        <w:rPr>
          <w:rFonts w:ascii="Book Antiqua" w:hAnsi="Book Antiqua"/>
          <w:b/>
          <w:sz w:val="24"/>
          <w:szCs w:val="24"/>
        </w:rPr>
        <w:t>16</w:t>
      </w:r>
      <w:r w:rsidRPr="00084277">
        <w:rPr>
          <w:rFonts w:ascii="Book Antiqua" w:hAnsi="Book Antiqua"/>
          <w:sz w:val="24"/>
          <w:szCs w:val="24"/>
        </w:rPr>
        <w:t>: 493-507 [PMID: 20334505 DOI: 10.1089/ten.TEB.2010.0035]</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109 </w:t>
      </w:r>
      <w:r w:rsidRPr="00084277">
        <w:rPr>
          <w:rFonts w:ascii="Book Antiqua" w:hAnsi="Book Antiqua"/>
          <w:b/>
          <w:sz w:val="24"/>
          <w:szCs w:val="24"/>
        </w:rPr>
        <w:t>Silva LD</w:t>
      </w:r>
      <w:r w:rsidRPr="00084277">
        <w:rPr>
          <w:rFonts w:ascii="Book Antiqua" w:hAnsi="Book Antiqua"/>
          <w:sz w:val="24"/>
          <w:szCs w:val="24"/>
        </w:rPr>
        <w:t xml:space="preserve">, de Lima VN, Faverani LP, de Mendonça MR, Okamoto R, Pellizzer EP. Maxillary sinus lift surgery-with or without graft material? A systematic review. </w:t>
      </w:r>
      <w:r w:rsidRPr="00084277">
        <w:rPr>
          <w:rFonts w:ascii="Book Antiqua" w:hAnsi="Book Antiqua"/>
          <w:i/>
          <w:sz w:val="24"/>
          <w:szCs w:val="24"/>
        </w:rPr>
        <w:t>Int J Oral Maxillofac Surg</w:t>
      </w:r>
      <w:r w:rsidRPr="00084277">
        <w:rPr>
          <w:rFonts w:ascii="Book Antiqua" w:hAnsi="Book Antiqua"/>
          <w:sz w:val="24"/>
          <w:szCs w:val="24"/>
        </w:rPr>
        <w:t xml:space="preserve"> 2016; </w:t>
      </w:r>
      <w:r w:rsidRPr="00084277">
        <w:rPr>
          <w:rFonts w:ascii="Book Antiqua" w:hAnsi="Book Antiqua"/>
          <w:b/>
          <w:sz w:val="24"/>
          <w:szCs w:val="24"/>
        </w:rPr>
        <w:t>45</w:t>
      </w:r>
      <w:r w:rsidRPr="00084277">
        <w:rPr>
          <w:rFonts w:ascii="Book Antiqua" w:hAnsi="Book Antiqua"/>
          <w:sz w:val="24"/>
          <w:szCs w:val="24"/>
        </w:rPr>
        <w:t>: 1570-1576 [PMID: 27765427 DOI: 10.1016/j.ijom.2016.09.023]</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110 </w:t>
      </w:r>
      <w:r w:rsidRPr="00084277">
        <w:rPr>
          <w:rFonts w:ascii="Book Antiqua" w:hAnsi="Book Antiqua"/>
          <w:b/>
          <w:sz w:val="24"/>
          <w:szCs w:val="24"/>
        </w:rPr>
        <w:t>Hosseinpour S</w:t>
      </w:r>
      <w:r w:rsidRPr="00084277">
        <w:rPr>
          <w:rFonts w:ascii="Book Antiqua" w:hAnsi="Book Antiqua"/>
          <w:sz w:val="24"/>
          <w:szCs w:val="24"/>
        </w:rPr>
        <w:t xml:space="preserve">, Ghazizadeh Ahsaie M, Rezai Rad M, Baghani MT, Motamedian SR, Khojasteh A. Application of selected scaffolds for bone tissue engineering: a systematic review. </w:t>
      </w:r>
      <w:r w:rsidRPr="00084277">
        <w:rPr>
          <w:rFonts w:ascii="Book Antiqua" w:hAnsi="Book Antiqua"/>
          <w:i/>
          <w:sz w:val="24"/>
          <w:szCs w:val="24"/>
        </w:rPr>
        <w:t>Oral Maxillofac Surg</w:t>
      </w:r>
      <w:r w:rsidRPr="00084277">
        <w:rPr>
          <w:rFonts w:ascii="Book Antiqua" w:hAnsi="Book Antiqua"/>
          <w:sz w:val="24"/>
          <w:szCs w:val="24"/>
        </w:rPr>
        <w:t xml:space="preserve"> 2017; </w:t>
      </w:r>
      <w:r w:rsidRPr="00084277">
        <w:rPr>
          <w:rFonts w:ascii="Book Antiqua" w:hAnsi="Book Antiqua"/>
          <w:b/>
          <w:sz w:val="24"/>
          <w:szCs w:val="24"/>
        </w:rPr>
        <w:t>21</w:t>
      </w:r>
      <w:r w:rsidRPr="00084277">
        <w:rPr>
          <w:rFonts w:ascii="Book Antiqua" w:hAnsi="Book Antiqua"/>
          <w:sz w:val="24"/>
          <w:szCs w:val="24"/>
        </w:rPr>
        <w:t>: 109-129 [PMID: 28194530 DOI: 10.1007/s10006-017-0608-3]</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111 </w:t>
      </w:r>
      <w:bookmarkStart w:id="185" w:name="OLE_LINK167"/>
      <w:r w:rsidRPr="00084277">
        <w:rPr>
          <w:rFonts w:ascii="Book Antiqua" w:hAnsi="Book Antiqua"/>
          <w:b/>
          <w:sz w:val="24"/>
          <w:szCs w:val="24"/>
        </w:rPr>
        <w:t>Destatis Statistisches Bundesamt</w:t>
      </w:r>
      <w:r w:rsidRPr="00084277">
        <w:rPr>
          <w:rFonts w:ascii="Book Antiqua" w:hAnsi="Book Antiqua"/>
          <w:sz w:val="24"/>
          <w:szCs w:val="24"/>
        </w:rPr>
        <w:t>. Die Angeforderte Seite I</w:t>
      </w:r>
      <w:r w:rsidRPr="00084277">
        <w:rPr>
          <w:rFonts w:ascii="Book Antiqua" w:hAnsi="Book Antiqua"/>
          <w:caps/>
          <w:sz w:val="24"/>
          <w:szCs w:val="24"/>
        </w:rPr>
        <w:t>st</w:t>
      </w:r>
      <w:r w:rsidRPr="00084277">
        <w:rPr>
          <w:rFonts w:ascii="Book Antiqua" w:hAnsi="Book Antiqua"/>
          <w:sz w:val="24"/>
          <w:szCs w:val="24"/>
        </w:rPr>
        <w:t xml:space="preserve"> Nicht Verfügbar. 2018. Available from: URL: https://www.destatis.de/DE/ZahlenFakten/GesellschaftStaat/Bevoelkerun</w:t>
      </w:r>
      <w:r w:rsidRPr="00084277">
        <w:rPr>
          <w:rFonts w:ascii="Book Antiqua" w:hAnsi="Book Antiqua"/>
          <w:sz w:val="24"/>
          <w:szCs w:val="24"/>
        </w:rPr>
        <w:lastRenderedPageBreak/>
        <w:t>g/Sterbefaelle/Tabellen/Lebenserwartung.pdf</w:t>
      </w:r>
      <w:bookmarkEnd w:id="185"/>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112 </w:t>
      </w:r>
      <w:r w:rsidRPr="00084277">
        <w:rPr>
          <w:rFonts w:ascii="Book Antiqua" w:hAnsi="Book Antiqua"/>
          <w:b/>
          <w:sz w:val="24"/>
          <w:szCs w:val="24"/>
        </w:rPr>
        <w:t>Kokai LE</w:t>
      </w:r>
      <w:r w:rsidRPr="00084277">
        <w:rPr>
          <w:rFonts w:ascii="Book Antiqua" w:hAnsi="Book Antiqua"/>
          <w:sz w:val="24"/>
          <w:szCs w:val="24"/>
        </w:rPr>
        <w:t xml:space="preserve">, Traktuev DO, Zhang L, Merfeld-Clauss S, DiBernardo G, Lu H, Marra KG, Donnenberg A, Donnenberg V, Meyer EM, Fodor PB, March KL, Rubin JP. Adipose Stem Cell Function Maintained with Age: An Intra-Subject Study of Long-Term Cryopreserved Cells. </w:t>
      </w:r>
      <w:r w:rsidRPr="00084277">
        <w:rPr>
          <w:rFonts w:ascii="Book Antiqua" w:hAnsi="Book Antiqua"/>
          <w:i/>
          <w:sz w:val="24"/>
          <w:szCs w:val="24"/>
        </w:rPr>
        <w:t>Aesthet Surg J</w:t>
      </w:r>
      <w:r w:rsidRPr="00084277">
        <w:rPr>
          <w:rFonts w:ascii="Book Antiqua" w:hAnsi="Book Antiqua"/>
          <w:sz w:val="24"/>
          <w:szCs w:val="24"/>
        </w:rPr>
        <w:t xml:space="preserve"> 2017; </w:t>
      </w:r>
      <w:r w:rsidRPr="00084277">
        <w:rPr>
          <w:rFonts w:ascii="Book Antiqua" w:hAnsi="Book Antiqua"/>
          <w:b/>
          <w:sz w:val="24"/>
          <w:szCs w:val="24"/>
        </w:rPr>
        <w:t>37</w:t>
      </w:r>
      <w:r w:rsidRPr="00084277">
        <w:rPr>
          <w:rFonts w:ascii="Book Antiqua" w:hAnsi="Book Antiqua"/>
          <w:sz w:val="24"/>
          <w:szCs w:val="24"/>
        </w:rPr>
        <w:t>: 454-463 [PMID: 28364523 DOI: 10.1093/asj/sjw197]</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113 </w:t>
      </w:r>
      <w:r w:rsidRPr="00084277">
        <w:rPr>
          <w:rFonts w:ascii="Book Antiqua" w:hAnsi="Book Antiqua"/>
          <w:b/>
          <w:sz w:val="24"/>
          <w:szCs w:val="24"/>
        </w:rPr>
        <w:t>Alt EU</w:t>
      </w:r>
      <w:r w:rsidRPr="00084277">
        <w:rPr>
          <w:rFonts w:ascii="Book Antiqua" w:hAnsi="Book Antiqua"/>
          <w:sz w:val="24"/>
          <w:szCs w:val="24"/>
        </w:rPr>
        <w:t xml:space="preserve">, Senst C, Murthy SN, Slakey DP, Dupin CL, Chaffin AE, Kadowitz PJ, Izadpanah R. Aging alters tissue resident mesenchymal stem cell properties. </w:t>
      </w:r>
      <w:r w:rsidRPr="00084277">
        <w:rPr>
          <w:rFonts w:ascii="Book Antiqua" w:hAnsi="Book Antiqua"/>
          <w:i/>
          <w:sz w:val="24"/>
          <w:szCs w:val="24"/>
        </w:rPr>
        <w:t>Stem Cell Res</w:t>
      </w:r>
      <w:r w:rsidRPr="00084277">
        <w:rPr>
          <w:rFonts w:ascii="Book Antiqua" w:hAnsi="Book Antiqua"/>
          <w:sz w:val="24"/>
          <w:szCs w:val="24"/>
        </w:rPr>
        <w:t xml:space="preserve"> 2012; </w:t>
      </w:r>
      <w:r w:rsidRPr="00084277">
        <w:rPr>
          <w:rFonts w:ascii="Book Antiqua" w:hAnsi="Book Antiqua"/>
          <w:b/>
          <w:sz w:val="24"/>
          <w:szCs w:val="24"/>
        </w:rPr>
        <w:t>8</w:t>
      </w:r>
      <w:r w:rsidRPr="00084277">
        <w:rPr>
          <w:rFonts w:ascii="Book Antiqua" w:hAnsi="Book Antiqua"/>
          <w:sz w:val="24"/>
          <w:szCs w:val="24"/>
        </w:rPr>
        <w:t>: 215-225 [PMID: 22265741 DOI: 10.1016/j.scr.2011.11.002]</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114 </w:t>
      </w:r>
      <w:r w:rsidRPr="00084277">
        <w:rPr>
          <w:rFonts w:ascii="Book Antiqua" w:hAnsi="Book Antiqua"/>
          <w:b/>
          <w:sz w:val="24"/>
          <w:szCs w:val="24"/>
        </w:rPr>
        <w:t>Kim SW</w:t>
      </w:r>
      <w:r w:rsidRPr="00084277">
        <w:rPr>
          <w:rFonts w:ascii="Book Antiqua" w:hAnsi="Book Antiqua"/>
          <w:sz w:val="24"/>
          <w:szCs w:val="24"/>
        </w:rPr>
        <w:t xml:space="preserve">, Choi JW, Lee CY, Lee J, Shin S, Lim S, Lee S, Kim IK, Lee HB, Hwang KC. Effects of donor age on human adipose-derived adherent stromal cells under oxidative stress conditions. </w:t>
      </w:r>
      <w:r w:rsidRPr="00084277">
        <w:rPr>
          <w:rFonts w:ascii="Book Antiqua" w:hAnsi="Book Antiqua"/>
          <w:i/>
          <w:sz w:val="24"/>
          <w:szCs w:val="24"/>
        </w:rPr>
        <w:t>J Int Med Res</w:t>
      </w:r>
      <w:r w:rsidRPr="00084277">
        <w:rPr>
          <w:rFonts w:ascii="Book Antiqua" w:hAnsi="Book Antiqua"/>
          <w:sz w:val="24"/>
          <w:szCs w:val="24"/>
        </w:rPr>
        <w:t xml:space="preserve"> 2018; </w:t>
      </w:r>
      <w:r w:rsidRPr="00084277">
        <w:rPr>
          <w:rFonts w:ascii="Book Antiqua" w:hAnsi="Book Antiqua"/>
          <w:b/>
          <w:sz w:val="24"/>
          <w:szCs w:val="24"/>
        </w:rPr>
        <w:t>46</w:t>
      </w:r>
      <w:r w:rsidRPr="00084277">
        <w:rPr>
          <w:rFonts w:ascii="Book Antiqua" w:hAnsi="Book Antiqua"/>
          <w:sz w:val="24"/>
          <w:szCs w:val="24"/>
        </w:rPr>
        <w:t>: 951-964 [PMID: 28984178 DOI: 10.1177/0300060517731684]</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115 </w:t>
      </w:r>
      <w:r w:rsidRPr="00084277">
        <w:rPr>
          <w:rFonts w:ascii="Book Antiqua" w:hAnsi="Book Antiqua"/>
          <w:b/>
          <w:sz w:val="24"/>
          <w:szCs w:val="24"/>
        </w:rPr>
        <w:t>Egusa H</w:t>
      </w:r>
      <w:r w:rsidRPr="00084277">
        <w:rPr>
          <w:rFonts w:ascii="Book Antiqua" w:hAnsi="Book Antiqua"/>
          <w:sz w:val="24"/>
          <w:szCs w:val="24"/>
        </w:rPr>
        <w:t xml:space="preserve">, Sonoyama W, Nishimura M, Atsuta I, Akiyama K. Stem cells in dentistry--Part II: Clinical applications. </w:t>
      </w:r>
      <w:r w:rsidRPr="00084277">
        <w:rPr>
          <w:rFonts w:ascii="Book Antiqua" w:hAnsi="Book Antiqua"/>
          <w:i/>
          <w:sz w:val="24"/>
          <w:szCs w:val="24"/>
        </w:rPr>
        <w:t>J Prosthodont Res</w:t>
      </w:r>
      <w:r w:rsidRPr="00084277">
        <w:rPr>
          <w:rFonts w:ascii="Book Antiqua" w:hAnsi="Book Antiqua"/>
          <w:sz w:val="24"/>
          <w:szCs w:val="24"/>
        </w:rPr>
        <w:t xml:space="preserve"> 2012; </w:t>
      </w:r>
      <w:r w:rsidRPr="00084277">
        <w:rPr>
          <w:rFonts w:ascii="Book Antiqua" w:hAnsi="Book Antiqua"/>
          <w:b/>
          <w:sz w:val="24"/>
          <w:szCs w:val="24"/>
        </w:rPr>
        <w:t>56</w:t>
      </w:r>
      <w:r w:rsidRPr="00084277">
        <w:rPr>
          <w:rFonts w:ascii="Book Antiqua" w:hAnsi="Book Antiqua"/>
          <w:sz w:val="24"/>
          <w:szCs w:val="24"/>
        </w:rPr>
        <w:t>: 229-248 [PMID: 23137671 DOI: 10.1016/j.jpor.2012.10.001]</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116 </w:t>
      </w:r>
      <w:r w:rsidRPr="00084277">
        <w:rPr>
          <w:rFonts w:ascii="Book Antiqua" w:hAnsi="Book Antiqua"/>
          <w:b/>
          <w:sz w:val="24"/>
          <w:szCs w:val="24"/>
        </w:rPr>
        <w:t>Miran S</w:t>
      </w:r>
      <w:r w:rsidRPr="00084277">
        <w:rPr>
          <w:rFonts w:ascii="Book Antiqua" w:hAnsi="Book Antiqua"/>
          <w:sz w:val="24"/>
          <w:szCs w:val="24"/>
        </w:rPr>
        <w:t xml:space="preserve">, Mitsiadis TA, Pagella P. Innovative Dental Stem Cell-Based Research Approaches: The Future of Dentistry. </w:t>
      </w:r>
      <w:r w:rsidRPr="00084277">
        <w:rPr>
          <w:rFonts w:ascii="Book Antiqua" w:hAnsi="Book Antiqua"/>
          <w:i/>
          <w:sz w:val="24"/>
          <w:szCs w:val="24"/>
        </w:rPr>
        <w:t>Stem Cells Int</w:t>
      </w:r>
      <w:r w:rsidRPr="00084277">
        <w:rPr>
          <w:rFonts w:ascii="Book Antiqua" w:hAnsi="Book Antiqua"/>
          <w:sz w:val="24"/>
          <w:szCs w:val="24"/>
        </w:rPr>
        <w:t xml:space="preserve"> 2016; </w:t>
      </w:r>
      <w:r w:rsidRPr="00084277">
        <w:rPr>
          <w:rFonts w:ascii="Book Antiqua" w:hAnsi="Book Antiqua"/>
          <w:b/>
          <w:sz w:val="24"/>
          <w:szCs w:val="24"/>
        </w:rPr>
        <w:t>2016</w:t>
      </w:r>
      <w:r w:rsidRPr="00084277">
        <w:rPr>
          <w:rFonts w:ascii="Book Antiqua" w:hAnsi="Book Antiqua"/>
          <w:sz w:val="24"/>
          <w:szCs w:val="24"/>
        </w:rPr>
        <w:t>: 7231038 [PMID: 27648076 DOI: 10.1155/2016/7231038]</w:t>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t xml:space="preserve">117 </w:t>
      </w:r>
      <w:r w:rsidRPr="00084277">
        <w:rPr>
          <w:rFonts w:ascii="Book Antiqua" w:hAnsi="Book Antiqua"/>
          <w:b/>
          <w:sz w:val="24"/>
          <w:szCs w:val="24"/>
        </w:rPr>
        <w:t>Amrollahi P</w:t>
      </w:r>
      <w:r w:rsidRPr="00084277">
        <w:rPr>
          <w:rFonts w:ascii="Book Antiqua" w:hAnsi="Book Antiqua"/>
          <w:sz w:val="24"/>
          <w:szCs w:val="24"/>
        </w:rPr>
        <w:t xml:space="preserve">, Shah B, Seifi A, Tayebi L. Recent advancements in regenerative dentistry: A review. </w:t>
      </w:r>
      <w:r w:rsidRPr="00084277">
        <w:rPr>
          <w:rFonts w:ascii="Book Antiqua" w:hAnsi="Book Antiqua"/>
          <w:i/>
          <w:sz w:val="24"/>
          <w:szCs w:val="24"/>
        </w:rPr>
        <w:t>Mater Sci Eng C Mater Biol Appl</w:t>
      </w:r>
      <w:r w:rsidRPr="00084277">
        <w:rPr>
          <w:rFonts w:ascii="Book Antiqua" w:hAnsi="Book Antiqua"/>
          <w:sz w:val="24"/>
          <w:szCs w:val="24"/>
        </w:rPr>
        <w:t xml:space="preserve"> 2016; </w:t>
      </w:r>
      <w:r w:rsidRPr="00084277">
        <w:rPr>
          <w:rFonts w:ascii="Book Antiqua" w:hAnsi="Book Antiqua"/>
          <w:b/>
          <w:sz w:val="24"/>
          <w:szCs w:val="24"/>
        </w:rPr>
        <w:t>69</w:t>
      </w:r>
      <w:r w:rsidRPr="00084277">
        <w:rPr>
          <w:rFonts w:ascii="Book Antiqua" w:hAnsi="Book Antiqua"/>
          <w:sz w:val="24"/>
          <w:szCs w:val="24"/>
        </w:rPr>
        <w:t>: 1383-1390 [PMID: 27612840 DOI: 10.1016/j.msec.2016.08.045]</w:t>
      </w:r>
    </w:p>
    <w:p w:rsidR="003065D2" w:rsidRPr="00084277" w:rsidRDefault="003065D2" w:rsidP="003065D2">
      <w:pPr>
        <w:adjustRightInd w:val="0"/>
        <w:snapToGrid w:val="0"/>
        <w:spacing w:line="360" w:lineRule="auto"/>
        <w:jc w:val="right"/>
        <w:rPr>
          <w:rFonts w:ascii="Book Antiqua" w:hAnsi="Book Antiqua"/>
          <w:b/>
          <w:bCs/>
          <w:sz w:val="24"/>
          <w:szCs w:val="24"/>
        </w:rPr>
      </w:pPr>
      <w:bookmarkStart w:id="186" w:name="OLE_LINK62"/>
      <w:bookmarkStart w:id="187" w:name="OLE_LINK63"/>
      <w:bookmarkStart w:id="188" w:name="OLE_LINK68"/>
      <w:bookmarkStart w:id="189" w:name="OLE_LINK115"/>
      <w:bookmarkStart w:id="190" w:name="OLE_LINK93"/>
      <w:bookmarkStart w:id="191" w:name="OLE_LINK96"/>
      <w:bookmarkStart w:id="192" w:name="OLE_LINK140"/>
      <w:bookmarkStart w:id="193" w:name="OLE_LINK112"/>
      <w:bookmarkStart w:id="194" w:name="OLE_LINK174"/>
      <w:bookmarkStart w:id="195" w:name="OLE_LINK183"/>
      <w:bookmarkStart w:id="196" w:name="OLE_LINK194"/>
      <w:bookmarkStart w:id="197" w:name="OLE_LINK173"/>
      <w:bookmarkStart w:id="198" w:name="OLE_LINK192"/>
      <w:bookmarkStart w:id="199" w:name="OLE_LINK224"/>
      <w:bookmarkStart w:id="200" w:name="OLE_LINK243"/>
      <w:bookmarkStart w:id="201" w:name="OLE_LINK337"/>
      <w:bookmarkStart w:id="202" w:name="OLE_LINK212"/>
      <w:bookmarkStart w:id="203" w:name="OLE_LINK244"/>
      <w:bookmarkStart w:id="204" w:name="OLE_LINK214"/>
      <w:bookmarkStart w:id="205" w:name="OLE_LINK220"/>
      <w:bookmarkStart w:id="206" w:name="OLE_LINK228"/>
      <w:bookmarkStart w:id="207" w:name="OLE_LINK100"/>
      <w:bookmarkStart w:id="208" w:name="OLE_LINK177"/>
      <w:bookmarkStart w:id="209" w:name="OLE_LINK305"/>
      <w:bookmarkStart w:id="210" w:name="OLE_LINK445"/>
    </w:p>
    <w:p w:rsidR="003065D2" w:rsidRPr="00084277" w:rsidRDefault="003065D2" w:rsidP="003065D2">
      <w:pPr>
        <w:adjustRightInd w:val="0"/>
        <w:snapToGrid w:val="0"/>
        <w:spacing w:line="360" w:lineRule="auto"/>
        <w:jc w:val="right"/>
        <w:rPr>
          <w:rFonts w:ascii="Book Antiqua" w:hAnsi="Book Antiqua"/>
          <w:sz w:val="24"/>
          <w:szCs w:val="24"/>
        </w:rPr>
      </w:pPr>
      <w:r w:rsidRPr="00084277">
        <w:rPr>
          <w:rFonts w:ascii="Book Antiqua" w:hAnsi="Book Antiqua"/>
          <w:b/>
          <w:bCs/>
          <w:sz w:val="24"/>
          <w:szCs w:val="24"/>
        </w:rPr>
        <w:t xml:space="preserve">P-Reviewer: </w:t>
      </w:r>
      <w:r w:rsidRPr="00084277">
        <w:rPr>
          <w:rFonts w:ascii="Book Antiqua" w:hAnsi="Book Antiqua"/>
          <w:bCs/>
          <w:sz w:val="24"/>
          <w:szCs w:val="24"/>
        </w:rPr>
        <w:t>Fatkhudinov T, He SQ, Zheng YW</w:t>
      </w:r>
      <w:r w:rsidRPr="00084277">
        <w:rPr>
          <w:rFonts w:ascii="Book Antiqua" w:hAnsi="Book Antiqua"/>
          <w:b/>
          <w:bCs/>
          <w:sz w:val="24"/>
          <w:szCs w:val="24"/>
        </w:rPr>
        <w:t xml:space="preserve"> S-Editor:</w:t>
      </w:r>
      <w:r w:rsidRPr="00084277">
        <w:rPr>
          <w:rFonts w:ascii="Book Antiqua" w:hAnsi="Book Antiqua"/>
          <w:sz w:val="24"/>
          <w:szCs w:val="24"/>
        </w:rPr>
        <w:t xml:space="preserve"> Ma YJ </w:t>
      </w:r>
    </w:p>
    <w:p w:rsidR="003065D2" w:rsidRPr="00E56FEF" w:rsidRDefault="003065D2" w:rsidP="00E56FEF">
      <w:pPr>
        <w:wordWrap w:val="0"/>
        <w:adjustRightInd w:val="0"/>
        <w:snapToGrid w:val="0"/>
        <w:spacing w:line="360" w:lineRule="auto"/>
        <w:jc w:val="right"/>
        <w:rPr>
          <w:rFonts w:ascii="Book Antiqua" w:hAnsi="Book Antiqua"/>
          <w:bCs/>
          <w:sz w:val="24"/>
          <w:szCs w:val="24"/>
        </w:rPr>
      </w:pPr>
      <w:r w:rsidRPr="00084277">
        <w:rPr>
          <w:rFonts w:ascii="Book Antiqua" w:hAnsi="Book Antiqua"/>
          <w:b/>
          <w:bCs/>
          <w:sz w:val="24"/>
          <w:szCs w:val="24"/>
        </w:rPr>
        <w:t>L-Editor:</w:t>
      </w:r>
      <w:r w:rsidRPr="00084277">
        <w:rPr>
          <w:rFonts w:ascii="Book Antiqua" w:hAnsi="Book Antiqua"/>
          <w:sz w:val="24"/>
          <w:szCs w:val="24"/>
        </w:rPr>
        <w:t xml:space="preserve"> Filipodia </w:t>
      </w:r>
      <w:r w:rsidRPr="00084277">
        <w:rPr>
          <w:rFonts w:ascii="Book Antiqua" w:hAnsi="Book Antiqua"/>
          <w:b/>
          <w:bCs/>
          <w:sz w:val="24"/>
          <w:szCs w:val="24"/>
        </w:rPr>
        <w:t>E-Editor:</w:t>
      </w:r>
      <w:r w:rsidR="00E56FEF">
        <w:rPr>
          <w:rFonts w:ascii="Book Antiqua" w:hAnsi="Book Antiqua" w:hint="eastAsia"/>
          <w:b/>
          <w:bCs/>
          <w:sz w:val="24"/>
          <w:szCs w:val="24"/>
        </w:rPr>
        <w:t xml:space="preserve"> </w:t>
      </w:r>
      <w:r w:rsidR="00E56FEF">
        <w:rPr>
          <w:rFonts w:ascii="Book Antiqua" w:hAnsi="Book Antiqua" w:hint="eastAsia"/>
          <w:bCs/>
          <w:sz w:val="24"/>
          <w:szCs w:val="24"/>
        </w:rPr>
        <w:t>Bian YN</w:t>
      </w:r>
      <w:bookmarkStart w:id="211" w:name="_GoBack"/>
      <w:bookmarkEnd w:id="211"/>
    </w:p>
    <w:p w:rsidR="003065D2" w:rsidRPr="00084277" w:rsidRDefault="003065D2" w:rsidP="003065D2">
      <w:pPr>
        <w:adjustRightInd w:val="0"/>
        <w:snapToGrid w:val="0"/>
        <w:spacing w:line="360" w:lineRule="auto"/>
        <w:rPr>
          <w:rFonts w:ascii="Book Antiqua" w:hAnsi="Book Antiqua" w:cs="Arial"/>
          <w:b/>
          <w:bCs/>
          <w:color w:val="2B2B2B"/>
          <w:sz w:val="24"/>
          <w:szCs w:val="24"/>
          <w:shd w:val="clear" w:color="auto" w:fill="FAFAFA"/>
        </w:rPr>
      </w:pPr>
    </w:p>
    <w:p w:rsidR="003065D2" w:rsidRPr="00084277" w:rsidRDefault="003065D2" w:rsidP="003065D2">
      <w:pPr>
        <w:shd w:val="clear" w:color="auto" w:fill="FFFFFF"/>
        <w:adjustRightInd w:val="0"/>
        <w:snapToGrid w:val="0"/>
        <w:spacing w:line="360" w:lineRule="auto"/>
        <w:rPr>
          <w:rFonts w:ascii="Book Antiqua" w:hAnsi="Book Antiqua" w:cs="Helvetica"/>
          <w:b/>
          <w:sz w:val="24"/>
          <w:szCs w:val="24"/>
        </w:rPr>
      </w:pPr>
      <w:r w:rsidRPr="00084277">
        <w:rPr>
          <w:rFonts w:ascii="Book Antiqua" w:hAnsi="Book Antiqua" w:cs="Helvetica"/>
          <w:b/>
          <w:sz w:val="24"/>
          <w:szCs w:val="24"/>
        </w:rPr>
        <w:t xml:space="preserve">Specialty type: </w:t>
      </w:r>
      <w:bookmarkStart w:id="212" w:name="OLE_LINK264"/>
      <w:bookmarkStart w:id="213" w:name="OLE_LINK265"/>
      <w:r w:rsidRPr="00084277">
        <w:rPr>
          <w:rFonts w:ascii="Book Antiqua" w:eastAsia="微软雅黑" w:hAnsi="Book Antiqua" w:cs="宋体"/>
          <w:sz w:val="24"/>
          <w:szCs w:val="24"/>
        </w:rPr>
        <w:t>Cell and tissue engineering</w:t>
      </w:r>
      <w:bookmarkEnd w:id="212"/>
      <w:bookmarkEnd w:id="213"/>
    </w:p>
    <w:p w:rsidR="003065D2" w:rsidRPr="00084277" w:rsidRDefault="003065D2" w:rsidP="003065D2">
      <w:pPr>
        <w:shd w:val="clear" w:color="auto" w:fill="FFFFFF"/>
        <w:adjustRightInd w:val="0"/>
        <w:snapToGrid w:val="0"/>
        <w:spacing w:line="360" w:lineRule="auto"/>
        <w:rPr>
          <w:rFonts w:ascii="Book Antiqua" w:hAnsi="Book Antiqua" w:cs="Helvetica"/>
          <w:sz w:val="24"/>
          <w:szCs w:val="24"/>
        </w:rPr>
      </w:pPr>
      <w:r w:rsidRPr="00084277">
        <w:rPr>
          <w:rFonts w:ascii="Book Antiqua" w:hAnsi="Book Antiqua" w:cs="Helvetica"/>
          <w:b/>
          <w:sz w:val="24"/>
          <w:szCs w:val="24"/>
        </w:rPr>
        <w:t>Country of origin:</w:t>
      </w:r>
      <w:r w:rsidRPr="00084277">
        <w:rPr>
          <w:rFonts w:ascii="Book Antiqua" w:hAnsi="Book Antiqua" w:cs="Helvetica"/>
          <w:sz w:val="24"/>
          <w:szCs w:val="24"/>
        </w:rPr>
        <w:t xml:space="preserve"> Germany</w:t>
      </w:r>
    </w:p>
    <w:p w:rsidR="003065D2" w:rsidRPr="00084277" w:rsidRDefault="003065D2" w:rsidP="003065D2">
      <w:pPr>
        <w:shd w:val="clear" w:color="auto" w:fill="FFFFFF"/>
        <w:adjustRightInd w:val="0"/>
        <w:snapToGrid w:val="0"/>
        <w:spacing w:line="360" w:lineRule="auto"/>
        <w:rPr>
          <w:rFonts w:ascii="Book Antiqua" w:hAnsi="Book Antiqua" w:cs="Helvetica"/>
          <w:b/>
          <w:sz w:val="24"/>
          <w:szCs w:val="24"/>
        </w:rPr>
      </w:pPr>
      <w:r w:rsidRPr="00084277">
        <w:rPr>
          <w:rFonts w:ascii="Book Antiqua" w:hAnsi="Book Antiqua" w:cs="Helvetica"/>
          <w:b/>
          <w:sz w:val="24"/>
          <w:szCs w:val="24"/>
        </w:rPr>
        <w:t>Peer-review report classification</w:t>
      </w:r>
    </w:p>
    <w:p w:rsidR="003065D2" w:rsidRPr="00084277" w:rsidRDefault="003065D2" w:rsidP="003065D2">
      <w:pPr>
        <w:shd w:val="clear" w:color="auto" w:fill="FFFFFF"/>
        <w:adjustRightInd w:val="0"/>
        <w:snapToGrid w:val="0"/>
        <w:spacing w:line="360" w:lineRule="auto"/>
        <w:rPr>
          <w:rFonts w:ascii="Book Antiqua" w:hAnsi="Book Antiqua" w:cs="Helvetica"/>
          <w:sz w:val="24"/>
          <w:szCs w:val="24"/>
        </w:rPr>
      </w:pPr>
      <w:r w:rsidRPr="00084277">
        <w:rPr>
          <w:rFonts w:ascii="Book Antiqua" w:hAnsi="Book Antiqua" w:cs="Helvetica"/>
          <w:sz w:val="24"/>
          <w:szCs w:val="24"/>
        </w:rPr>
        <w:t>Grade A (Excellent): 0</w:t>
      </w:r>
    </w:p>
    <w:p w:rsidR="003065D2" w:rsidRPr="00084277" w:rsidRDefault="003065D2" w:rsidP="003065D2">
      <w:pPr>
        <w:shd w:val="clear" w:color="auto" w:fill="FFFFFF"/>
        <w:adjustRightInd w:val="0"/>
        <w:snapToGrid w:val="0"/>
        <w:spacing w:line="360" w:lineRule="auto"/>
        <w:rPr>
          <w:rFonts w:ascii="Book Antiqua" w:hAnsi="Book Antiqua" w:cs="Helvetica"/>
          <w:sz w:val="24"/>
          <w:szCs w:val="24"/>
        </w:rPr>
      </w:pPr>
      <w:r w:rsidRPr="00084277">
        <w:rPr>
          <w:rFonts w:ascii="Book Antiqua" w:hAnsi="Book Antiqua" w:cs="Helvetica"/>
          <w:sz w:val="24"/>
          <w:szCs w:val="24"/>
        </w:rPr>
        <w:lastRenderedPageBreak/>
        <w:t>Grade B (Very good): B, B</w:t>
      </w:r>
    </w:p>
    <w:p w:rsidR="003065D2" w:rsidRPr="00084277" w:rsidRDefault="003065D2" w:rsidP="003065D2">
      <w:pPr>
        <w:shd w:val="clear" w:color="auto" w:fill="FFFFFF"/>
        <w:adjustRightInd w:val="0"/>
        <w:snapToGrid w:val="0"/>
        <w:spacing w:line="360" w:lineRule="auto"/>
        <w:rPr>
          <w:rFonts w:ascii="Book Antiqua" w:hAnsi="Book Antiqua" w:cs="Helvetica"/>
          <w:sz w:val="24"/>
          <w:szCs w:val="24"/>
        </w:rPr>
      </w:pPr>
      <w:r w:rsidRPr="00084277">
        <w:rPr>
          <w:rFonts w:ascii="Book Antiqua" w:hAnsi="Book Antiqua" w:cs="Helvetica"/>
          <w:sz w:val="24"/>
          <w:szCs w:val="24"/>
        </w:rPr>
        <w:t>Grade C (Good): C</w:t>
      </w:r>
    </w:p>
    <w:p w:rsidR="003065D2" w:rsidRPr="00084277" w:rsidRDefault="003065D2" w:rsidP="003065D2">
      <w:pPr>
        <w:shd w:val="clear" w:color="auto" w:fill="FFFFFF"/>
        <w:adjustRightInd w:val="0"/>
        <w:snapToGrid w:val="0"/>
        <w:spacing w:line="360" w:lineRule="auto"/>
        <w:rPr>
          <w:rFonts w:ascii="Book Antiqua" w:hAnsi="Book Antiqua" w:cs="Helvetica"/>
          <w:sz w:val="24"/>
          <w:szCs w:val="24"/>
        </w:rPr>
      </w:pPr>
      <w:r w:rsidRPr="00084277">
        <w:rPr>
          <w:rFonts w:ascii="Book Antiqua" w:hAnsi="Book Antiqua" w:cs="Helvetica"/>
          <w:sz w:val="24"/>
          <w:szCs w:val="24"/>
        </w:rPr>
        <w:t>Grade D (Fair): 0</w:t>
      </w:r>
    </w:p>
    <w:p w:rsidR="003065D2" w:rsidRPr="00084277" w:rsidRDefault="003065D2" w:rsidP="003065D2">
      <w:pPr>
        <w:adjustRightInd w:val="0"/>
        <w:snapToGrid w:val="0"/>
        <w:spacing w:line="360" w:lineRule="auto"/>
        <w:rPr>
          <w:rFonts w:ascii="Book Antiqua" w:hAnsi="Book Antiqua" w:cs="Helvetica"/>
          <w:sz w:val="24"/>
          <w:szCs w:val="24"/>
        </w:rPr>
      </w:pPr>
      <w:r w:rsidRPr="00084277">
        <w:rPr>
          <w:rFonts w:ascii="Book Antiqua" w:hAnsi="Book Antiqua" w:cs="Helvetica"/>
          <w:sz w:val="24"/>
          <w:szCs w:val="24"/>
        </w:rPr>
        <w:t>Grade E (Poor): 0</w:t>
      </w:r>
    </w:p>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sz w:val="24"/>
          <w:szCs w:val="24"/>
        </w:rPr>
        <w:br w:type="page"/>
      </w:r>
    </w:p>
    <w:p w:rsidR="003065D2" w:rsidRPr="00084277" w:rsidRDefault="003065D2" w:rsidP="003065D2">
      <w:pPr>
        <w:adjustRightInd w:val="0"/>
        <w:snapToGrid w:val="0"/>
        <w:spacing w:line="360" w:lineRule="auto"/>
        <w:rPr>
          <w:rFonts w:ascii="Book Antiqua" w:hAnsi="Book Antiqua"/>
          <w:b/>
          <w:sz w:val="24"/>
          <w:szCs w:val="24"/>
        </w:rPr>
      </w:pP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noProof/>
          <w:sz w:val="24"/>
          <w:szCs w:val="24"/>
        </w:rPr>
        <w:drawing>
          <wp:inline distT="0" distB="0" distL="0" distR="0" wp14:anchorId="7F81059E" wp14:editId="13C16DAC">
            <wp:extent cx="5943600" cy="33051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778-Image File Figure 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05175"/>
                    </a:xfrm>
                    <a:prstGeom prst="rect">
                      <a:avLst/>
                    </a:prstGeom>
                  </pic:spPr>
                </pic:pic>
              </a:graphicData>
            </a:graphic>
          </wp:inline>
        </w:drawing>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Figure 1 Panoramic radiograph at T0.</w:t>
      </w:r>
      <w:r w:rsidRPr="00084277">
        <w:rPr>
          <w:rFonts w:ascii="Book Antiqua" w:hAnsi="Book Antiqua"/>
          <w:sz w:val="24"/>
          <w:szCs w:val="24"/>
        </w:rPr>
        <w:t xml:space="preserve"> The yellow arrows indicate the reduced bone height of the edentulous posterior maxilla below the antrum and the ridge crest of less than 3 mm on both sides. </w:t>
      </w:r>
      <w:bookmarkStart w:id="214" w:name="OLE_LINK1"/>
      <w:r w:rsidRPr="00084277">
        <w:rPr>
          <w:rFonts w:ascii="Book Antiqua" w:hAnsi="Book Antiqua"/>
          <w:sz w:val="24"/>
          <w:szCs w:val="24"/>
        </w:rPr>
        <w:t xml:space="preserve">R: </w:t>
      </w:r>
      <w:r w:rsidRPr="00084277">
        <w:rPr>
          <w:rFonts w:ascii="Book Antiqua" w:hAnsi="Book Antiqua"/>
          <w:caps/>
          <w:sz w:val="24"/>
          <w:szCs w:val="24"/>
        </w:rPr>
        <w:t>r</w:t>
      </w:r>
      <w:r w:rsidRPr="00084277">
        <w:rPr>
          <w:rFonts w:ascii="Book Antiqua" w:hAnsi="Book Antiqua"/>
          <w:sz w:val="24"/>
          <w:szCs w:val="24"/>
        </w:rPr>
        <w:t xml:space="preserve">ight; L: </w:t>
      </w:r>
      <w:r w:rsidRPr="00084277">
        <w:rPr>
          <w:rFonts w:ascii="Book Antiqua" w:hAnsi="Book Antiqua"/>
          <w:caps/>
          <w:sz w:val="24"/>
          <w:szCs w:val="24"/>
        </w:rPr>
        <w:t>l</w:t>
      </w:r>
      <w:r w:rsidRPr="00084277">
        <w:rPr>
          <w:rFonts w:ascii="Book Antiqua" w:hAnsi="Book Antiqua"/>
          <w:sz w:val="24"/>
          <w:szCs w:val="24"/>
        </w:rPr>
        <w:t>eft.</w:t>
      </w:r>
    </w:p>
    <w:bookmarkEnd w:id="214"/>
    <w:p w:rsidR="003065D2" w:rsidRPr="00084277" w:rsidRDefault="003065D2" w:rsidP="003065D2">
      <w:pPr>
        <w:adjustRightInd w:val="0"/>
        <w:snapToGrid w:val="0"/>
        <w:spacing w:line="360" w:lineRule="auto"/>
        <w:rPr>
          <w:rFonts w:ascii="Book Antiqua" w:hAnsi="Book Antiqua"/>
          <w:b/>
          <w:sz w:val="24"/>
          <w:szCs w:val="24"/>
        </w:rPr>
      </w:pP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br w:type="page"/>
      </w: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noProof/>
          <w:sz w:val="24"/>
          <w:szCs w:val="24"/>
        </w:rPr>
        <w:lastRenderedPageBreak/>
        <w:drawing>
          <wp:inline distT="0" distB="0" distL="0" distR="0" wp14:anchorId="7E9908EB" wp14:editId="4FF80A5E">
            <wp:extent cx="5943600" cy="103886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778-Image File Figure 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038860"/>
                    </a:xfrm>
                    <a:prstGeom prst="rect">
                      <a:avLst/>
                    </a:prstGeom>
                  </pic:spPr>
                </pic:pic>
              </a:graphicData>
            </a:graphic>
          </wp:inline>
        </w:drawing>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Figure 2 Details of the procedures performed immediately before and during the first surgery (guided bone regeneration-maxillary sinus augmentation).</w:t>
      </w:r>
      <w:r w:rsidRPr="00084277">
        <w:rPr>
          <w:rFonts w:ascii="Book Antiqua" w:hAnsi="Book Antiqua"/>
          <w:sz w:val="24"/>
          <w:szCs w:val="24"/>
        </w:rPr>
        <w:t xml:space="preserve"> A: Rehydration of the MCBPA with PRGF-2 and UA-ADRCs; B: Preparation of the right maxillary sinus with a lateral external window after atraumatic extraction of tooth # 14 (the Schneiderian membrane was elevated); C: Filling of the right sinus cavity with loosely packed MCBPA/PRGF-2/UA-ADRCs; D: Achievement of primary closure without tension on the right side using horizontal mattress as well as a continuous half-hitch sutures. MCBPA: </w:t>
      </w:r>
      <w:r w:rsidRPr="00084277">
        <w:rPr>
          <w:rFonts w:ascii="Book Antiqua" w:hAnsi="Book Antiqua"/>
          <w:caps/>
          <w:sz w:val="24"/>
          <w:szCs w:val="24"/>
        </w:rPr>
        <w:t>m</w:t>
      </w:r>
      <w:r w:rsidRPr="00084277">
        <w:rPr>
          <w:rFonts w:ascii="Book Antiqua" w:hAnsi="Book Antiqua"/>
          <w:sz w:val="24"/>
          <w:szCs w:val="24"/>
        </w:rPr>
        <w:t xml:space="preserve">ineralized cancellous bone particulate allograft; PRGF-2: </w:t>
      </w:r>
      <w:r w:rsidRPr="00084277">
        <w:rPr>
          <w:rFonts w:ascii="Book Antiqua" w:hAnsi="Book Antiqua"/>
          <w:caps/>
          <w:sz w:val="24"/>
          <w:szCs w:val="24"/>
        </w:rPr>
        <w:t>f</w:t>
      </w:r>
      <w:r w:rsidRPr="00084277">
        <w:rPr>
          <w:rFonts w:ascii="Book Antiqua" w:hAnsi="Book Antiqua"/>
          <w:sz w:val="24"/>
          <w:szCs w:val="24"/>
        </w:rPr>
        <w:t xml:space="preserve">raction 2 of plasma rich in growth factors; UA-ADRCs: </w:t>
      </w:r>
      <w:r w:rsidRPr="00084277">
        <w:rPr>
          <w:rFonts w:ascii="Book Antiqua" w:hAnsi="Book Antiqua"/>
          <w:caps/>
          <w:sz w:val="24"/>
          <w:szCs w:val="24"/>
        </w:rPr>
        <w:t>u</w:t>
      </w:r>
      <w:r w:rsidRPr="00084277">
        <w:rPr>
          <w:rFonts w:ascii="Book Antiqua" w:hAnsi="Book Antiqua"/>
          <w:sz w:val="24"/>
          <w:szCs w:val="24"/>
        </w:rPr>
        <w:t>nmodified autologous adipose-derived regenerative cells.</w:t>
      </w:r>
    </w:p>
    <w:p w:rsidR="003065D2" w:rsidRPr="00084277" w:rsidRDefault="003065D2" w:rsidP="003065D2">
      <w:pPr>
        <w:adjustRightInd w:val="0"/>
        <w:snapToGrid w:val="0"/>
        <w:spacing w:line="360" w:lineRule="auto"/>
        <w:rPr>
          <w:rFonts w:ascii="Book Antiqua" w:hAnsi="Book Antiqua"/>
          <w:b/>
          <w:i/>
          <w:sz w:val="24"/>
          <w:szCs w:val="24"/>
        </w:rPr>
      </w:pPr>
    </w:p>
    <w:p w:rsidR="003065D2" w:rsidRPr="00084277" w:rsidRDefault="003065D2" w:rsidP="003065D2">
      <w:pPr>
        <w:adjustRightInd w:val="0"/>
        <w:snapToGrid w:val="0"/>
        <w:spacing w:line="360" w:lineRule="auto"/>
        <w:rPr>
          <w:rFonts w:ascii="Book Antiqua" w:hAnsi="Book Antiqua"/>
          <w:b/>
          <w:sz w:val="24"/>
          <w:szCs w:val="24"/>
        </w:rPr>
      </w:pP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sz w:val="24"/>
          <w:szCs w:val="24"/>
        </w:rPr>
        <w:br w:type="page"/>
      </w: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noProof/>
          <w:sz w:val="24"/>
          <w:szCs w:val="24"/>
        </w:rPr>
        <w:lastRenderedPageBreak/>
        <w:drawing>
          <wp:inline distT="0" distB="0" distL="0" distR="0" wp14:anchorId="79B2A0AC" wp14:editId="54CACF3C">
            <wp:extent cx="4166616" cy="6300216"/>
            <wp:effectExtent l="0" t="0" r="5715"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778-Image File Figure 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6616" cy="6300216"/>
                    </a:xfrm>
                    <a:prstGeom prst="rect">
                      <a:avLst/>
                    </a:prstGeom>
                  </pic:spPr>
                </pic:pic>
              </a:graphicData>
            </a:graphic>
          </wp:inline>
        </w:drawing>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Figure 3 Clinical findings.</w:t>
      </w:r>
      <w:r w:rsidRPr="00084277">
        <w:rPr>
          <w:rFonts w:ascii="Book Antiqua" w:hAnsi="Book Antiqua"/>
          <w:sz w:val="24"/>
          <w:szCs w:val="24"/>
        </w:rPr>
        <w:t xml:space="preserve"> A: Panoramic radiograph taken immediately after the first surgery (GBR-MSA). The yellow arrows indicate the restored bone height of the edentulous posterior maxilla on both sides; B: Panoramic radiograph taken after the third surgery (placement of implants at 34 wk after GBR-MSA); C: Panoramic radiograph taken at 32 mo after the first treatment. R: </w:t>
      </w:r>
      <w:r w:rsidRPr="00084277">
        <w:rPr>
          <w:rFonts w:ascii="Book Antiqua" w:hAnsi="Book Antiqua"/>
          <w:caps/>
          <w:sz w:val="24"/>
          <w:szCs w:val="24"/>
        </w:rPr>
        <w:t>r</w:t>
      </w:r>
      <w:r w:rsidRPr="00084277">
        <w:rPr>
          <w:rFonts w:ascii="Book Antiqua" w:hAnsi="Book Antiqua"/>
          <w:sz w:val="24"/>
          <w:szCs w:val="24"/>
        </w:rPr>
        <w:t xml:space="preserve">ight; L: </w:t>
      </w:r>
      <w:r w:rsidRPr="00084277">
        <w:rPr>
          <w:rFonts w:ascii="Book Antiqua" w:hAnsi="Book Antiqua"/>
          <w:caps/>
          <w:sz w:val="24"/>
          <w:szCs w:val="24"/>
        </w:rPr>
        <w:t>l</w:t>
      </w:r>
      <w:r w:rsidRPr="00084277">
        <w:rPr>
          <w:rFonts w:ascii="Book Antiqua" w:hAnsi="Book Antiqua"/>
          <w:sz w:val="24"/>
          <w:szCs w:val="24"/>
        </w:rPr>
        <w:t>eft.</w:t>
      </w:r>
    </w:p>
    <w:p w:rsidR="003065D2" w:rsidRPr="00084277" w:rsidRDefault="003065D2" w:rsidP="003065D2">
      <w:pPr>
        <w:adjustRightInd w:val="0"/>
        <w:snapToGrid w:val="0"/>
        <w:spacing w:line="360" w:lineRule="auto"/>
        <w:rPr>
          <w:rFonts w:ascii="Book Antiqua" w:hAnsi="Book Antiqua"/>
          <w:sz w:val="24"/>
          <w:szCs w:val="24"/>
        </w:rPr>
      </w:pPr>
    </w:p>
    <w:p w:rsidR="003065D2" w:rsidRPr="00084277" w:rsidRDefault="003065D2" w:rsidP="003065D2">
      <w:pPr>
        <w:adjustRightInd w:val="0"/>
        <w:snapToGrid w:val="0"/>
        <w:spacing w:line="360" w:lineRule="auto"/>
        <w:rPr>
          <w:rFonts w:ascii="Book Antiqua" w:hAnsi="Book Antiqua"/>
          <w:b/>
          <w:sz w:val="24"/>
          <w:szCs w:val="24"/>
        </w:rPr>
      </w:pPr>
      <w:r w:rsidRPr="00084277">
        <w:rPr>
          <w:rFonts w:ascii="Book Antiqua" w:hAnsi="Book Antiqua"/>
          <w:b/>
          <w:noProof/>
          <w:sz w:val="24"/>
          <w:szCs w:val="24"/>
        </w:rPr>
        <w:lastRenderedPageBreak/>
        <w:drawing>
          <wp:inline distT="0" distB="0" distL="0" distR="0" wp14:anchorId="037D0818" wp14:editId="6EAC2548">
            <wp:extent cx="5943600" cy="34544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778-Image File Figure 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54400"/>
                    </a:xfrm>
                    <a:prstGeom prst="rect">
                      <a:avLst/>
                    </a:prstGeom>
                  </pic:spPr>
                </pic:pic>
              </a:graphicData>
            </a:graphic>
          </wp:inline>
        </w:drawing>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 xml:space="preserve">Figure 4 Digital volume tomography radiographs taken after the fourth surgery (1 year after the placement of implants and 20 mo after guided bone regeneration-maxillary sinus augmentation). </w:t>
      </w:r>
      <w:r w:rsidRPr="00084277">
        <w:rPr>
          <w:rFonts w:ascii="Book Antiqua" w:hAnsi="Book Antiqua"/>
          <w:sz w:val="24"/>
          <w:szCs w:val="24"/>
        </w:rPr>
        <w:t>A: Panoramic view; B-E: Detailed view on selected regions 15 (B), 16 (C), 25 (D), and 26 (E). With the application of unmodified autologous adipose-derived regenerative cells (UA-ADRCs) the bone around the implants in regions 15 and 16 appeared larger in area and denser (arrows in B, C) than without the application of UA-ADRCs in regions 25 and 26 (arrowheads in D, E).</w:t>
      </w:r>
    </w:p>
    <w:p w:rsidR="003065D2" w:rsidRPr="00084277" w:rsidRDefault="003065D2">
      <w:pPr>
        <w:widowControl/>
        <w:jc w:val="left"/>
        <w:rPr>
          <w:rFonts w:ascii="Book Antiqua" w:hAnsi="Book Antiqua"/>
          <w:sz w:val="24"/>
          <w:szCs w:val="24"/>
        </w:rPr>
      </w:pPr>
      <w:r w:rsidRPr="00084277">
        <w:rPr>
          <w:rFonts w:ascii="Book Antiqua" w:hAnsi="Book Antiqua"/>
          <w:sz w:val="24"/>
          <w:szCs w:val="24"/>
        </w:rPr>
        <w:br w:type="page"/>
      </w:r>
    </w:p>
    <w:p w:rsidR="003065D2" w:rsidRPr="00084277" w:rsidRDefault="003065D2">
      <w:pPr>
        <w:rPr>
          <w:rFonts w:ascii="Book Antiqua" w:hAnsi="Book Antiqua"/>
          <w:sz w:val="24"/>
          <w:szCs w:val="24"/>
        </w:rPr>
      </w:pPr>
      <w:r w:rsidRPr="00084277">
        <w:rPr>
          <w:rFonts w:ascii="Book Antiqua" w:hAnsi="Book Antiqua"/>
          <w:b/>
          <w:noProof/>
          <w:sz w:val="24"/>
          <w:szCs w:val="24"/>
        </w:rPr>
        <w:lastRenderedPageBreak/>
        <w:drawing>
          <wp:inline distT="0" distB="0" distL="0" distR="0" wp14:anchorId="5D1F2D92" wp14:editId="102421F8">
            <wp:extent cx="5608320" cy="6984036"/>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778-Image File Figure 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9671" cy="6985718"/>
                    </a:xfrm>
                    <a:prstGeom prst="rect">
                      <a:avLst/>
                    </a:prstGeom>
                  </pic:spPr>
                </pic:pic>
              </a:graphicData>
            </a:graphic>
          </wp:inline>
        </w:drawing>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 xml:space="preserve">Figure 5 Histological findings. </w:t>
      </w:r>
      <w:r w:rsidRPr="00084277">
        <w:rPr>
          <w:rFonts w:ascii="Book Antiqua" w:hAnsi="Book Antiqua"/>
          <w:sz w:val="24"/>
          <w:szCs w:val="24"/>
        </w:rPr>
        <w:t xml:space="preserve">Representative </w:t>
      </w:r>
      <w:bookmarkStart w:id="215" w:name="_Hlk514327754"/>
      <w:r w:rsidRPr="00084277">
        <w:rPr>
          <w:rFonts w:ascii="Book Antiqua" w:hAnsi="Book Antiqua"/>
          <w:sz w:val="24"/>
          <w:szCs w:val="24"/>
        </w:rPr>
        <w:t xml:space="preserve">photomicrographs of 3 µm thick paraffin sections stained with hematoxylin and eosin s of </w:t>
      </w:r>
      <w:bookmarkStart w:id="216" w:name="_Hlk514262089"/>
      <w:bookmarkStart w:id="217" w:name="_Hlk514299443"/>
      <w:r w:rsidRPr="00084277">
        <w:rPr>
          <w:rFonts w:ascii="Book Antiqua" w:hAnsi="Book Antiqua"/>
          <w:sz w:val="24"/>
          <w:szCs w:val="24"/>
        </w:rPr>
        <w:t xml:space="preserve">biopsies that were collected at 6 wk (A, B, E, F) or 34 wk (C, D, G, H) after </w:t>
      </w:r>
      <w:r w:rsidRPr="00084277">
        <w:rPr>
          <w:rFonts w:ascii="Book Antiqua" w:hAnsi="Book Antiqua"/>
          <w:b/>
          <w:sz w:val="24"/>
          <w:szCs w:val="24"/>
        </w:rPr>
        <w:t>g</w:t>
      </w:r>
      <w:r w:rsidRPr="00084277">
        <w:rPr>
          <w:rFonts w:ascii="Book Antiqua" w:hAnsi="Book Antiqua"/>
          <w:sz w:val="24"/>
          <w:szCs w:val="24"/>
        </w:rPr>
        <w:t>uided bone regeneration</w:t>
      </w:r>
      <w:r w:rsidRPr="00084277">
        <w:rPr>
          <w:rFonts w:ascii="Book Antiqua" w:hAnsi="Book Antiqua"/>
          <w:caps/>
          <w:sz w:val="24"/>
          <w:szCs w:val="24"/>
        </w:rPr>
        <w:t xml:space="preserve"> </w:t>
      </w:r>
      <w:r w:rsidRPr="00084277">
        <w:rPr>
          <w:rFonts w:ascii="Book Antiqua" w:hAnsi="Book Antiqua"/>
          <w:sz w:val="24"/>
          <w:szCs w:val="24"/>
        </w:rPr>
        <w:t>maxillary sinus augmentation with the application of UA-ADRCs (A, C, E, G) or without UA-ADRCs (B, D, F, H).</w:t>
      </w:r>
      <w:bookmarkEnd w:id="216"/>
      <w:r w:rsidRPr="00084277">
        <w:rPr>
          <w:rFonts w:ascii="Book Antiqua" w:hAnsi="Book Antiqua"/>
          <w:sz w:val="24"/>
          <w:szCs w:val="24"/>
        </w:rPr>
        <w:t xml:space="preserve"> </w:t>
      </w:r>
      <w:bookmarkEnd w:id="215"/>
      <w:bookmarkEnd w:id="217"/>
      <w:r w:rsidRPr="00084277">
        <w:rPr>
          <w:rFonts w:ascii="Book Antiqua" w:hAnsi="Book Antiqua"/>
          <w:sz w:val="24"/>
          <w:szCs w:val="24"/>
        </w:rPr>
        <w:t xml:space="preserve">In A-D the asterisks indicate newly formed bone and the arrows indicate empty </w:t>
      </w:r>
      <w:r w:rsidRPr="00084277">
        <w:rPr>
          <w:rFonts w:ascii="Book Antiqua" w:hAnsi="Book Antiqua"/>
          <w:sz w:val="24"/>
          <w:szCs w:val="24"/>
        </w:rPr>
        <w:lastRenderedPageBreak/>
        <w:t xml:space="preserve">osteocyte lacunae in allogeneic fragments. Furthermore, in A and B the arrowheads point to osteoblasts with underlying osteoid, while in C and D the arrowheads indicate adipocytes. In E-H the arrows indicate cells on the surface of newly formed bone. The scale bar in H represents 150 µm in A-D and 75 µm in E-H. UA-ADRCs: </w:t>
      </w:r>
      <w:r w:rsidRPr="00084277">
        <w:rPr>
          <w:rFonts w:ascii="Book Antiqua" w:hAnsi="Book Antiqua"/>
          <w:caps/>
          <w:sz w:val="24"/>
          <w:szCs w:val="24"/>
        </w:rPr>
        <w:t>u</w:t>
      </w:r>
      <w:r w:rsidRPr="00084277">
        <w:rPr>
          <w:rFonts w:ascii="Book Antiqua" w:hAnsi="Book Antiqua"/>
          <w:sz w:val="24"/>
          <w:szCs w:val="24"/>
        </w:rPr>
        <w:t>nmodified autologous adipose-derived regenerative cells.</w:t>
      </w:r>
    </w:p>
    <w:p w:rsidR="003065D2" w:rsidRPr="00084277" w:rsidRDefault="003065D2">
      <w:pPr>
        <w:widowControl/>
        <w:jc w:val="left"/>
        <w:rPr>
          <w:rFonts w:ascii="Book Antiqua" w:hAnsi="Book Antiqua"/>
          <w:sz w:val="24"/>
          <w:szCs w:val="24"/>
        </w:rPr>
      </w:pPr>
      <w:r w:rsidRPr="00084277">
        <w:rPr>
          <w:rFonts w:ascii="Book Antiqua" w:hAnsi="Book Antiqua"/>
          <w:sz w:val="24"/>
          <w:szCs w:val="24"/>
        </w:rPr>
        <w:br w:type="page"/>
      </w:r>
    </w:p>
    <w:p w:rsidR="003065D2" w:rsidRPr="00084277" w:rsidRDefault="003065D2">
      <w:pPr>
        <w:rPr>
          <w:rFonts w:ascii="Book Antiqua" w:hAnsi="Book Antiqua"/>
          <w:sz w:val="24"/>
          <w:szCs w:val="24"/>
        </w:rPr>
      </w:pPr>
      <w:r w:rsidRPr="00084277">
        <w:rPr>
          <w:rFonts w:ascii="Book Antiqua" w:hAnsi="Book Antiqua"/>
          <w:b/>
          <w:noProof/>
          <w:sz w:val="24"/>
          <w:szCs w:val="24"/>
        </w:rPr>
        <w:lastRenderedPageBreak/>
        <w:drawing>
          <wp:inline distT="0" distB="0" distL="0" distR="0" wp14:anchorId="5537D819" wp14:editId="5A6A08FA">
            <wp:extent cx="5274310" cy="3341523"/>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778-Image File Figure 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341523"/>
                    </a:xfrm>
                    <a:prstGeom prst="rect">
                      <a:avLst/>
                    </a:prstGeom>
                  </pic:spPr>
                </pic:pic>
              </a:graphicData>
            </a:graphic>
          </wp:inline>
        </w:drawing>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 xml:space="preserve">Figure 6 Histological findings. </w:t>
      </w:r>
      <w:r w:rsidRPr="00084277">
        <w:rPr>
          <w:rFonts w:ascii="Book Antiqua" w:hAnsi="Book Antiqua"/>
          <w:sz w:val="24"/>
          <w:szCs w:val="24"/>
        </w:rPr>
        <w:t xml:space="preserve">Representative photomicrographs of histochemical detection of tartrate-resistant acid phosphatase (TRAP) (A-D) as well as of immunohistochemical detection of Runt-related transcription factor 2 (runX2) (E-H), collagen 1 (Coll 1) (I-L), and alkaline phosphatase (AP) (M-P) in 3 µm thick paraffin sections of biopsies that were collected at 6 wk (A, B, E, F, I, J, M, N) or 34 wk (C, D, G, H, K, L, O, P) after GBR-MSA with the application of UA-ADRCs (A, C, E, G, I, K, M, O) or without UA-ADRCs (B, D, F, H, J, L, N, P). In A-D the arrows point to osteoclasts, in E to osteoblasts, in I-L to type I collagen in osteoid seams, and in M-P to AP immunostaining found in osteoblasts, osteoblast-like cells, and fibroblasts in the intertrabecular connective tissue. Furthermore, in I-L the asterisks indicate type I collagen in the matrix of newly formed bone trabeculae. The scale bar in P represents 200 µm in A-D and I-P, and 100 µm in E-H. UA-ADRCs: </w:t>
      </w:r>
      <w:r w:rsidRPr="00084277">
        <w:rPr>
          <w:rFonts w:ascii="Book Antiqua" w:hAnsi="Book Antiqua"/>
          <w:caps/>
          <w:sz w:val="24"/>
          <w:szCs w:val="24"/>
        </w:rPr>
        <w:t>u</w:t>
      </w:r>
      <w:r w:rsidRPr="00084277">
        <w:rPr>
          <w:rFonts w:ascii="Book Antiqua" w:hAnsi="Book Antiqua"/>
          <w:sz w:val="24"/>
          <w:szCs w:val="24"/>
        </w:rPr>
        <w:t>nmodified autologous adipose-derived regenerative cells.</w:t>
      </w:r>
    </w:p>
    <w:p w:rsidR="003065D2" w:rsidRPr="00084277" w:rsidRDefault="003065D2">
      <w:pPr>
        <w:widowControl/>
        <w:jc w:val="left"/>
        <w:rPr>
          <w:rFonts w:ascii="Book Antiqua" w:hAnsi="Book Antiqua"/>
          <w:sz w:val="24"/>
          <w:szCs w:val="24"/>
        </w:rPr>
      </w:pPr>
      <w:r w:rsidRPr="00084277">
        <w:rPr>
          <w:rFonts w:ascii="Book Antiqua" w:hAnsi="Book Antiqua"/>
          <w:sz w:val="24"/>
          <w:szCs w:val="24"/>
        </w:rPr>
        <w:br w:type="page"/>
      </w:r>
    </w:p>
    <w:p w:rsidR="003065D2" w:rsidRPr="00084277" w:rsidRDefault="003065D2">
      <w:pPr>
        <w:rPr>
          <w:rFonts w:ascii="Book Antiqua" w:hAnsi="Book Antiqua"/>
          <w:sz w:val="24"/>
          <w:szCs w:val="24"/>
        </w:rPr>
      </w:pPr>
      <w:r w:rsidRPr="00084277">
        <w:rPr>
          <w:rFonts w:ascii="Book Antiqua" w:hAnsi="Book Antiqua"/>
          <w:b/>
          <w:noProof/>
          <w:sz w:val="24"/>
          <w:szCs w:val="24"/>
        </w:rPr>
        <w:lastRenderedPageBreak/>
        <w:drawing>
          <wp:inline distT="0" distB="0" distL="0" distR="0" wp14:anchorId="30E74D1E" wp14:editId="348639C3">
            <wp:extent cx="5274310" cy="3337579"/>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778-Image File Figure 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337579"/>
                    </a:xfrm>
                    <a:prstGeom prst="rect">
                      <a:avLst/>
                    </a:prstGeom>
                  </pic:spPr>
                </pic:pic>
              </a:graphicData>
            </a:graphic>
          </wp:inline>
        </w:drawing>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 xml:space="preserve">Figure 7 Histological findings. </w:t>
      </w:r>
      <w:r w:rsidRPr="00084277">
        <w:rPr>
          <w:rFonts w:ascii="Book Antiqua" w:hAnsi="Book Antiqua"/>
          <w:sz w:val="24"/>
          <w:szCs w:val="24"/>
        </w:rPr>
        <w:t>Representative photomicrographs of immunohistochemical detection of factor VIII/von Willebrand factor (vWF) (A-D), CD146 (E-H), CD73 (I-L), and peroxisome proliferator-activated receptor gamma (PPAR</w:t>
      </w:r>
      <w:r w:rsidRPr="00084277">
        <w:rPr>
          <w:rFonts w:ascii="Book Antiqua" w:hAnsi="Book Antiqua"/>
          <w:sz w:val="24"/>
          <w:szCs w:val="24"/>
        </w:rPr>
        <w:sym w:font="Symbol" w:char="F067"/>
      </w:r>
      <w:r w:rsidRPr="00084277">
        <w:rPr>
          <w:rFonts w:ascii="Book Antiqua" w:hAnsi="Book Antiqua"/>
          <w:sz w:val="24"/>
          <w:szCs w:val="24"/>
        </w:rPr>
        <w:t xml:space="preserve">) (M-P) in 3 µm thick paraffin sections of biopsies that were collected at </w:t>
      </w:r>
      <w:bookmarkStart w:id="218" w:name="_Hlk531339370"/>
      <w:r w:rsidRPr="00084277">
        <w:rPr>
          <w:rFonts w:ascii="Book Antiqua" w:hAnsi="Book Antiqua"/>
          <w:sz w:val="24"/>
          <w:szCs w:val="24"/>
        </w:rPr>
        <w:t xml:space="preserve">6 wk (A, B, E, F, I, J, M, N) or 34 wk (C, D, G, H, K, L, O, P) after GBR-MSA with the application of UA-ADRCs (A, C, E, G, I, K, M, O) or without UA-ADRCs (B, D, F, H, J, L, N, P). </w:t>
      </w:r>
      <w:bookmarkEnd w:id="218"/>
      <w:r w:rsidRPr="00084277">
        <w:rPr>
          <w:rFonts w:ascii="Book Antiqua" w:hAnsi="Book Antiqua"/>
          <w:sz w:val="24"/>
          <w:szCs w:val="24"/>
        </w:rPr>
        <w:t>In all panels the arrows point to vessels. Furthermore, the arrowheads indicate sinusoidal vessels in D, and fibroblasts and osteoblasts in I-L, M, and O. The scale bar in P represents 200 µm in A-D and I-P, and 100 µm in E-H. GBR-MSA:</w:t>
      </w:r>
      <w:r w:rsidRPr="00084277">
        <w:rPr>
          <w:rFonts w:ascii="Book Antiqua" w:hAnsi="Book Antiqua"/>
          <w:b/>
          <w:sz w:val="24"/>
          <w:szCs w:val="24"/>
        </w:rPr>
        <w:t xml:space="preserve"> </w:t>
      </w:r>
      <w:r w:rsidRPr="00084277">
        <w:rPr>
          <w:rFonts w:ascii="Book Antiqua" w:hAnsi="Book Antiqua"/>
          <w:caps/>
          <w:sz w:val="24"/>
          <w:szCs w:val="24"/>
        </w:rPr>
        <w:t>g</w:t>
      </w:r>
      <w:r w:rsidRPr="00084277">
        <w:rPr>
          <w:rFonts w:ascii="Book Antiqua" w:hAnsi="Book Antiqua"/>
          <w:sz w:val="24"/>
          <w:szCs w:val="24"/>
        </w:rPr>
        <w:t>uided bone regeneration</w:t>
      </w:r>
      <w:r w:rsidRPr="00084277">
        <w:rPr>
          <w:rFonts w:ascii="Book Antiqua" w:hAnsi="Book Antiqua"/>
          <w:caps/>
          <w:sz w:val="24"/>
          <w:szCs w:val="24"/>
        </w:rPr>
        <w:t xml:space="preserve"> </w:t>
      </w:r>
      <w:r w:rsidRPr="00084277">
        <w:rPr>
          <w:rFonts w:ascii="Book Antiqua" w:hAnsi="Book Antiqua"/>
          <w:sz w:val="24"/>
          <w:szCs w:val="24"/>
        </w:rPr>
        <w:t xml:space="preserve">maxillary sinus augmentation; UA-ADRCs: </w:t>
      </w:r>
      <w:r w:rsidRPr="00084277">
        <w:rPr>
          <w:rFonts w:ascii="Book Antiqua" w:hAnsi="Book Antiqua"/>
          <w:caps/>
          <w:sz w:val="24"/>
          <w:szCs w:val="24"/>
        </w:rPr>
        <w:t>u</w:t>
      </w:r>
      <w:r w:rsidRPr="00084277">
        <w:rPr>
          <w:rFonts w:ascii="Book Antiqua" w:hAnsi="Book Antiqua"/>
          <w:sz w:val="24"/>
          <w:szCs w:val="24"/>
        </w:rPr>
        <w:t>nmodified autologous adipose-derived regenerative cells.</w:t>
      </w:r>
    </w:p>
    <w:p w:rsidR="003065D2" w:rsidRPr="00084277" w:rsidRDefault="003065D2">
      <w:pPr>
        <w:widowControl/>
        <w:jc w:val="left"/>
        <w:rPr>
          <w:rFonts w:ascii="Book Antiqua" w:hAnsi="Book Antiqua"/>
          <w:sz w:val="24"/>
          <w:szCs w:val="24"/>
        </w:rPr>
      </w:pPr>
      <w:r w:rsidRPr="00084277">
        <w:rPr>
          <w:rFonts w:ascii="Book Antiqua" w:hAnsi="Book Antiqua"/>
          <w:sz w:val="24"/>
          <w:szCs w:val="24"/>
        </w:rPr>
        <w:br w:type="page"/>
      </w:r>
    </w:p>
    <w:p w:rsidR="003065D2" w:rsidRPr="00084277" w:rsidRDefault="003065D2">
      <w:pPr>
        <w:rPr>
          <w:rFonts w:ascii="Book Antiqua" w:hAnsi="Book Antiqua"/>
          <w:sz w:val="24"/>
          <w:szCs w:val="24"/>
        </w:rPr>
      </w:pPr>
      <w:r w:rsidRPr="00084277">
        <w:rPr>
          <w:rFonts w:ascii="Book Antiqua" w:hAnsi="Book Antiqua"/>
          <w:b/>
          <w:noProof/>
          <w:sz w:val="24"/>
          <w:szCs w:val="24"/>
        </w:rPr>
        <w:lastRenderedPageBreak/>
        <w:drawing>
          <wp:inline distT="0" distB="0" distL="0" distR="0" wp14:anchorId="1C62BAB8" wp14:editId="12A1E642">
            <wp:extent cx="5274310" cy="645765"/>
            <wp:effectExtent l="0" t="0" r="254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778-Image File Figure 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645765"/>
                    </a:xfrm>
                    <a:prstGeom prst="rect">
                      <a:avLst/>
                    </a:prstGeom>
                  </pic:spPr>
                </pic:pic>
              </a:graphicData>
            </a:graphic>
          </wp:inline>
        </w:drawing>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hAnsi="Book Antiqua"/>
          <w:b/>
          <w:sz w:val="24"/>
          <w:szCs w:val="24"/>
        </w:rPr>
        <w:t>Figure 8 Documentation of clinical outcome.</w:t>
      </w:r>
      <w:r w:rsidRPr="00084277">
        <w:rPr>
          <w:rFonts w:ascii="Book Antiqua" w:hAnsi="Book Antiqua"/>
          <w:sz w:val="24"/>
          <w:szCs w:val="24"/>
        </w:rPr>
        <w:t xml:space="preserve"> A, B: Intraoral ventral (A) and occlusal (B) views on the healing abutments in regions 12, 14, 15, 16, 22, 25, and 26 after the fourth treatment (1 year after the placement of implants and 20 mo after guided bone regeneration maxillary sinus augmentation). Note that the teeth # 13, 21, 23, and 24 are crowned; C, D: External (C) and internal (D) view of the prosthetic telescopic bridge; E: Intraoral view of the final prosthetic reconstruction.</w:t>
      </w:r>
    </w:p>
    <w:p w:rsidR="003065D2" w:rsidRPr="00084277" w:rsidRDefault="003065D2">
      <w:pPr>
        <w:widowControl/>
        <w:jc w:val="left"/>
        <w:rPr>
          <w:rFonts w:ascii="Book Antiqua" w:hAnsi="Book Antiqua"/>
          <w:sz w:val="24"/>
          <w:szCs w:val="24"/>
        </w:rPr>
      </w:pPr>
      <w:r w:rsidRPr="00084277">
        <w:rPr>
          <w:rFonts w:ascii="Book Antiqua" w:hAnsi="Book Antiqua"/>
          <w:sz w:val="24"/>
          <w:szCs w:val="24"/>
        </w:rPr>
        <w:br w:type="page"/>
      </w:r>
    </w:p>
    <w:p w:rsidR="003065D2" w:rsidRPr="00084277" w:rsidRDefault="003065D2">
      <w:pPr>
        <w:rPr>
          <w:rFonts w:ascii="Book Antiqua" w:hAnsi="Book Antiqua"/>
          <w:sz w:val="24"/>
          <w:szCs w:val="24"/>
        </w:rPr>
      </w:pPr>
      <w:r w:rsidRPr="00084277">
        <w:rPr>
          <w:rFonts w:ascii="Book Antiqua" w:hAnsi="Book Antiqua"/>
          <w:noProof/>
          <w:sz w:val="24"/>
          <w:szCs w:val="24"/>
        </w:rPr>
        <w:lastRenderedPageBreak/>
        <w:drawing>
          <wp:inline distT="0" distB="0" distL="0" distR="0" wp14:anchorId="680B3B67" wp14:editId="11F2DEEC">
            <wp:extent cx="5274310" cy="1936509"/>
            <wp:effectExtent l="0" t="0" r="2540" b="6985"/>
            <wp:docPr id="7" name="图片 7" descr="D:\边莹娜\组版\智能排版\2019-2\WJSCv11i2\word\42776\PMC\42776-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边莹娜\组版\智能排版\2019-2\WJSCv11i2\word\42776\PMC\42776-g00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1936509"/>
                    </a:xfrm>
                    <a:prstGeom prst="rect">
                      <a:avLst/>
                    </a:prstGeom>
                    <a:noFill/>
                    <a:ln>
                      <a:noFill/>
                    </a:ln>
                  </pic:spPr>
                </pic:pic>
              </a:graphicData>
            </a:graphic>
          </wp:inline>
        </w:drawing>
      </w:r>
    </w:p>
    <w:p w:rsidR="003065D2" w:rsidRPr="00084277" w:rsidRDefault="003065D2" w:rsidP="003065D2">
      <w:pPr>
        <w:adjustRightInd w:val="0"/>
        <w:snapToGrid w:val="0"/>
        <w:spacing w:line="360" w:lineRule="auto"/>
        <w:rPr>
          <w:rFonts w:ascii="Book Antiqua" w:hAnsi="Book Antiqua"/>
          <w:sz w:val="24"/>
          <w:szCs w:val="24"/>
        </w:rPr>
      </w:pPr>
      <w:r w:rsidRPr="00084277">
        <w:rPr>
          <w:rFonts w:ascii="Book Antiqua" w:eastAsia="微软雅黑" w:hAnsi="Book Antiqua"/>
          <w:b/>
          <w:bCs/>
          <w:color w:val="000000"/>
          <w:sz w:val="24"/>
          <w:szCs w:val="24"/>
          <w:shd w:val="clear" w:color="auto" w:fill="FFFFFF"/>
        </w:rPr>
        <w:t>Figure 9</w:t>
      </w:r>
      <w:r w:rsidRPr="00084277">
        <w:rPr>
          <w:rStyle w:val="apple-converted-space"/>
          <w:rFonts w:ascii="Book Antiqua" w:eastAsia="微软雅黑" w:hAnsi="Book Antiqua"/>
          <w:b/>
          <w:color w:val="000000"/>
          <w:sz w:val="24"/>
          <w:szCs w:val="24"/>
          <w:shd w:val="clear" w:color="auto" w:fill="FFFFFF"/>
        </w:rPr>
        <w:t> </w:t>
      </w:r>
      <w:r w:rsidRPr="00084277">
        <w:rPr>
          <w:rFonts w:ascii="Book Antiqua" w:eastAsia="微软雅黑" w:hAnsi="Book Antiqua"/>
          <w:b/>
          <w:color w:val="000000"/>
          <w:sz w:val="24"/>
          <w:szCs w:val="24"/>
          <w:shd w:val="clear" w:color="auto" w:fill="FFFFFF"/>
        </w:rPr>
        <w:t>Results of histomorphometric analyses.</w:t>
      </w:r>
      <w:r w:rsidRPr="00084277">
        <w:rPr>
          <w:rFonts w:ascii="Book Antiqua" w:eastAsia="微软雅黑" w:hAnsi="Book Antiqua"/>
          <w:color w:val="000000"/>
          <w:sz w:val="24"/>
          <w:szCs w:val="24"/>
          <w:shd w:val="clear" w:color="auto" w:fill="FFFFFF"/>
        </w:rPr>
        <w:t xml:space="preserve"> Relative amounts (area/area) of bone (Bo), allograft (Al), fibrin and connective tissue (F/CT), adipocytes (Ad), arteries (Ar), veins (Ve) and artifacts (X) in 3 µm thick paraffin sections stained with hematoxylin and eosin stain of biopsies that were collected at 6 wk (on the left) or 34 wk (on the right) after g</w:t>
      </w:r>
      <w:r w:rsidRPr="00084277">
        <w:rPr>
          <w:rFonts w:ascii="Book Antiqua" w:hAnsi="Book Antiqua"/>
          <w:sz w:val="24"/>
          <w:szCs w:val="24"/>
        </w:rPr>
        <w:t>uided bone regeneration</w:t>
      </w:r>
      <w:r w:rsidRPr="00084277">
        <w:rPr>
          <w:rFonts w:ascii="Book Antiqua" w:hAnsi="Book Antiqua"/>
          <w:caps/>
          <w:sz w:val="24"/>
          <w:szCs w:val="24"/>
        </w:rPr>
        <w:t xml:space="preserve"> </w:t>
      </w:r>
      <w:r w:rsidRPr="00084277">
        <w:rPr>
          <w:rFonts w:ascii="Book Antiqua" w:hAnsi="Book Antiqua"/>
          <w:sz w:val="24"/>
          <w:szCs w:val="24"/>
        </w:rPr>
        <w:t>maxillary sinus augmentation</w:t>
      </w:r>
      <w:r w:rsidRPr="00084277">
        <w:rPr>
          <w:rFonts w:ascii="Book Antiqua" w:eastAsia="微软雅黑" w:hAnsi="Book Antiqua"/>
          <w:color w:val="000000"/>
          <w:sz w:val="24"/>
          <w:szCs w:val="24"/>
          <w:shd w:val="clear" w:color="auto" w:fill="FFFFFF"/>
        </w:rPr>
        <w:t xml:space="preserve"> with the application of u</w:t>
      </w:r>
      <w:r w:rsidRPr="00084277">
        <w:rPr>
          <w:rFonts w:ascii="Book Antiqua" w:hAnsi="Book Antiqua"/>
          <w:sz w:val="24"/>
          <w:szCs w:val="24"/>
        </w:rPr>
        <w:t>nmodified autologous adipose-derived regenerative cells</w:t>
      </w:r>
      <w:r w:rsidRPr="00084277">
        <w:rPr>
          <w:rFonts w:ascii="Book Antiqua" w:eastAsia="微软雅黑" w:hAnsi="Book Antiqua"/>
          <w:color w:val="000000"/>
          <w:sz w:val="24"/>
          <w:szCs w:val="24"/>
          <w:shd w:val="clear" w:color="auto" w:fill="FFFFFF"/>
        </w:rPr>
        <w:t xml:space="preserve"> (UA-ADRCs) or without UA-ADRCs. </w:t>
      </w:r>
      <w:r w:rsidRPr="00084277">
        <w:rPr>
          <w:rFonts w:ascii="Book Antiqua" w:hAnsi="Book Antiqua"/>
          <w:sz w:val="24"/>
          <w:szCs w:val="24"/>
        </w:rPr>
        <w:t xml:space="preserve">UA-ADRCs: </w:t>
      </w:r>
      <w:r w:rsidRPr="00084277">
        <w:rPr>
          <w:rFonts w:ascii="Book Antiqua" w:hAnsi="Book Antiqua"/>
          <w:caps/>
          <w:sz w:val="24"/>
          <w:szCs w:val="24"/>
        </w:rPr>
        <w:t>u</w:t>
      </w:r>
      <w:r w:rsidRPr="00084277">
        <w:rPr>
          <w:rFonts w:ascii="Book Antiqua" w:hAnsi="Book Antiqua"/>
          <w:sz w:val="24"/>
          <w:szCs w:val="24"/>
        </w:rPr>
        <w:t>nmodified autologous adipose-derived regenerative cells.</w:t>
      </w:r>
    </w:p>
    <w:p w:rsidR="003065D2" w:rsidRPr="00084277" w:rsidRDefault="003065D2">
      <w:pPr>
        <w:rPr>
          <w:rFonts w:ascii="Book Antiqua" w:hAnsi="Book Antiqua"/>
          <w:sz w:val="24"/>
          <w:szCs w:val="24"/>
        </w:rPr>
      </w:pPr>
    </w:p>
    <w:sectPr w:rsidR="003065D2" w:rsidRPr="000842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B0D" w:rsidRDefault="00147B0D">
      <w:r>
        <w:separator/>
      </w:r>
    </w:p>
  </w:endnote>
  <w:endnote w:type="continuationSeparator" w:id="0">
    <w:p w:rsidR="00147B0D" w:rsidRDefault="00147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BoldItalicMT">
    <w:altName w:val="Arial Unicode MS"/>
    <w:charset w:val="00"/>
    <w:family w:val="roman"/>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16" w:rsidRDefault="003065D2" w:rsidP="00EC5E25">
    <w:pPr>
      <w:pStyle w:val="a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B4816" w:rsidRDefault="00147B0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496272"/>
      <w:docPartObj>
        <w:docPartGallery w:val="Page Numbers (Bottom of Page)"/>
        <w:docPartUnique/>
      </w:docPartObj>
    </w:sdtPr>
    <w:sdtEndPr/>
    <w:sdtContent>
      <w:p w:rsidR="00BB4816" w:rsidRPr="00D13E4B" w:rsidRDefault="003065D2">
        <w:pPr>
          <w:pStyle w:val="a4"/>
          <w:jc w:val="center"/>
        </w:pPr>
        <w:r w:rsidRPr="00EC5E25">
          <w:fldChar w:fldCharType="begin"/>
        </w:r>
        <w:r w:rsidRPr="00EC5E25">
          <w:instrText>PAGE   \* MERGEFORMAT</w:instrText>
        </w:r>
        <w:r w:rsidRPr="00EC5E25">
          <w:fldChar w:fldCharType="separate"/>
        </w:r>
        <w:r w:rsidR="00E56FEF">
          <w:rPr>
            <w:noProof/>
          </w:rPr>
          <w:t>46</w:t>
        </w:r>
        <w:r w:rsidRPr="00EC5E25">
          <w:fldChar w:fldCharType="end"/>
        </w:r>
      </w:p>
    </w:sdtContent>
  </w:sdt>
  <w:p w:rsidR="00BB4816" w:rsidRDefault="00147B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B0D" w:rsidRDefault="00147B0D">
      <w:r>
        <w:separator/>
      </w:r>
    </w:p>
  </w:footnote>
  <w:footnote w:type="continuationSeparator" w:id="0">
    <w:p w:rsidR="00147B0D" w:rsidRDefault="00147B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B9020B"/>
    <w:multiLevelType w:val="hybridMultilevel"/>
    <w:tmpl w:val="68DAF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8842FF3"/>
    <w:multiLevelType w:val="hybridMultilevel"/>
    <w:tmpl w:val="7D26A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117207F"/>
    <w:multiLevelType w:val="hybridMultilevel"/>
    <w:tmpl w:val="B0F64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F465A89"/>
    <w:multiLevelType w:val="multilevel"/>
    <w:tmpl w:val="088A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661DE4"/>
    <w:multiLevelType w:val="hybridMultilevel"/>
    <w:tmpl w:val="C8D672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5D2"/>
    <w:rsid w:val="00084277"/>
    <w:rsid w:val="000E6F0D"/>
    <w:rsid w:val="00147B0D"/>
    <w:rsid w:val="003065D2"/>
    <w:rsid w:val="004141C4"/>
    <w:rsid w:val="00983E88"/>
    <w:rsid w:val="00B92121"/>
    <w:rsid w:val="00D42D2C"/>
    <w:rsid w:val="00E56FEF"/>
    <w:rsid w:val="00ED6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3065D2"/>
    <w:pPr>
      <w:keepNext/>
      <w:widowControl/>
      <w:spacing w:line="360" w:lineRule="auto"/>
      <w:jc w:val="left"/>
      <w:outlineLvl w:val="0"/>
    </w:pPr>
    <w:rPr>
      <w:rFonts w:ascii="Arial" w:eastAsia="宋体" w:hAnsi="Arial" w:cs="Arial"/>
      <w:b/>
      <w:bCs/>
      <w:noProof/>
      <w:color w:val="000000" w:themeColor="text1"/>
      <w:kern w:val="0"/>
      <w:sz w:val="28"/>
      <w:szCs w:val="24"/>
      <w:lang w:val="en-GB" w:eastAsia="en-US"/>
    </w:rPr>
  </w:style>
  <w:style w:type="paragraph" w:styleId="2">
    <w:name w:val="heading 2"/>
    <w:basedOn w:val="a"/>
    <w:next w:val="a"/>
    <w:link w:val="2Char"/>
    <w:uiPriority w:val="9"/>
    <w:semiHidden/>
    <w:unhideWhenUsed/>
    <w:qFormat/>
    <w:rsid w:val="003065D2"/>
    <w:pPr>
      <w:keepNext/>
      <w:keepLines/>
      <w:widowControl/>
      <w:spacing w:before="200" w:line="259" w:lineRule="auto"/>
      <w:jc w:val="left"/>
      <w:outlineLvl w:val="1"/>
    </w:pPr>
    <w:rPr>
      <w:rFonts w:asciiTheme="majorHAnsi" w:eastAsiaTheme="majorEastAsia" w:hAnsiTheme="majorHAnsi" w:cstheme="majorBidi"/>
      <w:b/>
      <w:bCs/>
      <w:color w:val="4F81BD" w:themeColor="accent1"/>
      <w:kern w:val="0"/>
      <w:sz w:val="26"/>
      <w:szCs w:val="26"/>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3065D2"/>
    <w:rPr>
      <w:rFonts w:ascii="Arial" w:eastAsia="宋体" w:hAnsi="Arial" w:cs="Arial"/>
      <w:b/>
      <w:bCs/>
      <w:noProof/>
      <w:color w:val="000000" w:themeColor="text1"/>
      <w:kern w:val="0"/>
      <w:sz w:val="28"/>
      <w:szCs w:val="24"/>
      <w:lang w:val="en-GB" w:eastAsia="en-US"/>
    </w:rPr>
  </w:style>
  <w:style w:type="character" w:customStyle="1" w:styleId="2Char">
    <w:name w:val="标题 2 Char"/>
    <w:basedOn w:val="a0"/>
    <w:link w:val="2"/>
    <w:uiPriority w:val="9"/>
    <w:semiHidden/>
    <w:rsid w:val="003065D2"/>
    <w:rPr>
      <w:rFonts w:asciiTheme="majorHAnsi" w:eastAsiaTheme="majorEastAsia" w:hAnsiTheme="majorHAnsi" w:cstheme="majorBidi"/>
      <w:b/>
      <w:bCs/>
      <w:color w:val="4F81BD" w:themeColor="accent1"/>
      <w:kern w:val="0"/>
      <w:sz w:val="26"/>
      <w:szCs w:val="26"/>
      <w:lang w:eastAsia="de-DE"/>
    </w:rPr>
  </w:style>
  <w:style w:type="paragraph" w:customStyle="1" w:styleId="Default">
    <w:name w:val="Default"/>
    <w:basedOn w:val="a"/>
    <w:rsid w:val="003065D2"/>
    <w:pPr>
      <w:widowControl/>
      <w:autoSpaceDE w:val="0"/>
      <w:autoSpaceDN w:val="0"/>
      <w:jc w:val="left"/>
    </w:pPr>
    <w:rPr>
      <w:rFonts w:ascii="Arial" w:eastAsiaTheme="minorHAnsi" w:hAnsi="Arial" w:cs="Arial"/>
      <w:color w:val="000000"/>
      <w:kern w:val="0"/>
      <w:sz w:val="24"/>
      <w:szCs w:val="24"/>
      <w:lang w:eastAsia="de-DE"/>
    </w:rPr>
  </w:style>
  <w:style w:type="paragraph" w:customStyle="1" w:styleId="Standard1">
    <w:name w:val="Standard1"/>
    <w:rsid w:val="00306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pPr>
    <w:rPr>
      <w:rFonts w:ascii="Arial" w:eastAsia="ヒラギノ角ゴ Pro W3" w:hAnsi="Arial" w:cs="Times New Roman"/>
      <w:color w:val="000000"/>
      <w:kern w:val="0"/>
      <w:sz w:val="24"/>
      <w:szCs w:val="20"/>
      <w:lang w:eastAsia="de-DE"/>
    </w:rPr>
  </w:style>
  <w:style w:type="paragraph" w:styleId="a3">
    <w:name w:val="header"/>
    <w:basedOn w:val="a"/>
    <w:link w:val="Char"/>
    <w:uiPriority w:val="99"/>
    <w:unhideWhenUsed/>
    <w:rsid w:val="003065D2"/>
    <w:pPr>
      <w:widowControl/>
      <w:tabs>
        <w:tab w:val="center" w:pos="4536"/>
        <w:tab w:val="right" w:pos="9072"/>
      </w:tabs>
      <w:jc w:val="left"/>
    </w:pPr>
    <w:rPr>
      <w:rFonts w:ascii="Book Antiqua" w:eastAsia="宋体" w:hAnsi="Book Antiqua" w:cs="Times New Roman"/>
      <w:color w:val="000000" w:themeColor="text1"/>
      <w:kern w:val="0"/>
      <w:sz w:val="24"/>
      <w:szCs w:val="24"/>
      <w:lang w:eastAsia="de-DE"/>
    </w:rPr>
  </w:style>
  <w:style w:type="character" w:customStyle="1" w:styleId="Char">
    <w:name w:val="页眉 Char"/>
    <w:basedOn w:val="a0"/>
    <w:link w:val="a3"/>
    <w:uiPriority w:val="99"/>
    <w:rsid w:val="003065D2"/>
    <w:rPr>
      <w:rFonts w:ascii="Book Antiqua" w:eastAsia="宋体" w:hAnsi="Book Antiqua" w:cs="Times New Roman"/>
      <w:color w:val="000000" w:themeColor="text1"/>
      <w:kern w:val="0"/>
      <w:sz w:val="24"/>
      <w:szCs w:val="24"/>
      <w:lang w:eastAsia="de-DE"/>
    </w:rPr>
  </w:style>
  <w:style w:type="paragraph" w:styleId="a4">
    <w:name w:val="footer"/>
    <w:basedOn w:val="a"/>
    <w:link w:val="Char0"/>
    <w:uiPriority w:val="99"/>
    <w:unhideWhenUsed/>
    <w:rsid w:val="003065D2"/>
    <w:pPr>
      <w:widowControl/>
      <w:tabs>
        <w:tab w:val="center" w:pos="4536"/>
        <w:tab w:val="right" w:pos="9072"/>
      </w:tabs>
      <w:jc w:val="left"/>
    </w:pPr>
    <w:rPr>
      <w:rFonts w:ascii="Book Antiqua" w:eastAsia="宋体" w:hAnsi="Book Antiqua" w:cs="Times New Roman"/>
      <w:color w:val="000000" w:themeColor="text1"/>
      <w:kern w:val="0"/>
      <w:sz w:val="24"/>
      <w:szCs w:val="24"/>
      <w:lang w:eastAsia="de-DE"/>
    </w:rPr>
  </w:style>
  <w:style w:type="character" w:customStyle="1" w:styleId="Char0">
    <w:name w:val="页脚 Char"/>
    <w:basedOn w:val="a0"/>
    <w:link w:val="a4"/>
    <w:uiPriority w:val="99"/>
    <w:rsid w:val="003065D2"/>
    <w:rPr>
      <w:rFonts w:ascii="Book Antiqua" w:eastAsia="宋体" w:hAnsi="Book Antiqua" w:cs="Times New Roman"/>
      <w:color w:val="000000" w:themeColor="text1"/>
      <w:kern w:val="0"/>
      <w:sz w:val="24"/>
      <w:szCs w:val="24"/>
      <w:lang w:eastAsia="de-DE"/>
    </w:rPr>
  </w:style>
  <w:style w:type="paragraph" w:styleId="a5">
    <w:name w:val="Balloon Text"/>
    <w:basedOn w:val="a"/>
    <w:link w:val="Char1"/>
    <w:uiPriority w:val="99"/>
    <w:semiHidden/>
    <w:unhideWhenUsed/>
    <w:rsid w:val="003065D2"/>
    <w:pPr>
      <w:widowControl/>
      <w:jc w:val="left"/>
    </w:pPr>
    <w:rPr>
      <w:rFonts w:ascii="Tahoma" w:eastAsia="宋体" w:hAnsi="Tahoma" w:cs="Tahoma"/>
      <w:color w:val="000000" w:themeColor="text1"/>
      <w:kern w:val="0"/>
      <w:sz w:val="16"/>
      <w:szCs w:val="16"/>
      <w:lang w:eastAsia="de-DE"/>
    </w:rPr>
  </w:style>
  <w:style w:type="character" w:customStyle="1" w:styleId="Char1">
    <w:name w:val="批注框文本 Char"/>
    <w:basedOn w:val="a0"/>
    <w:link w:val="a5"/>
    <w:uiPriority w:val="99"/>
    <w:semiHidden/>
    <w:rsid w:val="003065D2"/>
    <w:rPr>
      <w:rFonts w:ascii="Tahoma" w:eastAsia="宋体" w:hAnsi="Tahoma" w:cs="Tahoma"/>
      <w:color w:val="000000" w:themeColor="text1"/>
      <w:kern w:val="0"/>
      <w:sz w:val="16"/>
      <w:szCs w:val="16"/>
      <w:lang w:eastAsia="de-DE"/>
    </w:rPr>
  </w:style>
  <w:style w:type="paragraph" w:styleId="a6">
    <w:name w:val="Normal (Web)"/>
    <w:basedOn w:val="a"/>
    <w:uiPriority w:val="99"/>
    <w:semiHidden/>
    <w:unhideWhenUsed/>
    <w:rsid w:val="003065D2"/>
    <w:pPr>
      <w:widowControl/>
      <w:spacing w:before="100" w:beforeAutospacing="1" w:after="100" w:afterAutospacing="1"/>
      <w:jc w:val="left"/>
    </w:pPr>
    <w:rPr>
      <w:rFonts w:ascii="Times New Roman" w:hAnsi="Book Antiqua" w:cs="Times New Roman"/>
      <w:color w:val="000000" w:themeColor="text1"/>
      <w:kern w:val="0"/>
      <w:sz w:val="24"/>
      <w:szCs w:val="24"/>
      <w:lang w:eastAsia="de-DE"/>
    </w:rPr>
  </w:style>
  <w:style w:type="paragraph" w:styleId="a7">
    <w:name w:val="Body Text"/>
    <w:basedOn w:val="a"/>
    <w:link w:val="Char2"/>
    <w:semiHidden/>
    <w:rsid w:val="003065D2"/>
    <w:pPr>
      <w:widowControl/>
      <w:jc w:val="left"/>
    </w:pPr>
    <w:rPr>
      <w:rFonts w:ascii="Arial" w:eastAsia="宋体" w:hAnsi="Arial" w:cs="Arial"/>
      <w:b/>
      <w:bCs/>
      <w:noProof/>
      <w:color w:val="000000" w:themeColor="text1"/>
      <w:kern w:val="0"/>
      <w:sz w:val="24"/>
      <w:szCs w:val="24"/>
      <w:lang w:val="en-GB" w:eastAsia="en-US"/>
    </w:rPr>
  </w:style>
  <w:style w:type="character" w:customStyle="1" w:styleId="Char2">
    <w:name w:val="正文文本 Char"/>
    <w:basedOn w:val="a0"/>
    <w:link w:val="a7"/>
    <w:semiHidden/>
    <w:rsid w:val="003065D2"/>
    <w:rPr>
      <w:rFonts w:ascii="Arial" w:eastAsia="宋体" w:hAnsi="Arial" w:cs="Arial"/>
      <w:b/>
      <w:bCs/>
      <w:noProof/>
      <w:color w:val="000000" w:themeColor="text1"/>
      <w:kern w:val="0"/>
      <w:sz w:val="24"/>
      <w:szCs w:val="24"/>
      <w:lang w:val="en-GB" w:eastAsia="en-US"/>
    </w:rPr>
  </w:style>
  <w:style w:type="character" w:styleId="a8">
    <w:name w:val="annotation reference"/>
    <w:basedOn w:val="a0"/>
    <w:uiPriority w:val="99"/>
    <w:semiHidden/>
    <w:unhideWhenUsed/>
    <w:rsid w:val="003065D2"/>
    <w:rPr>
      <w:sz w:val="16"/>
      <w:szCs w:val="16"/>
    </w:rPr>
  </w:style>
  <w:style w:type="paragraph" w:styleId="a9">
    <w:name w:val="annotation text"/>
    <w:basedOn w:val="a"/>
    <w:link w:val="Char3"/>
    <w:uiPriority w:val="99"/>
    <w:unhideWhenUsed/>
    <w:qFormat/>
    <w:rsid w:val="003065D2"/>
    <w:pPr>
      <w:widowControl/>
      <w:spacing w:after="160"/>
      <w:jc w:val="left"/>
    </w:pPr>
    <w:rPr>
      <w:rFonts w:ascii="Book Antiqua" w:eastAsia="宋体" w:hAnsi="Book Antiqua" w:cs="Times New Roman"/>
      <w:color w:val="000000" w:themeColor="text1"/>
      <w:kern w:val="0"/>
      <w:sz w:val="20"/>
      <w:szCs w:val="20"/>
      <w:lang w:eastAsia="de-DE"/>
    </w:rPr>
  </w:style>
  <w:style w:type="character" w:customStyle="1" w:styleId="Char3">
    <w:name w:val="批注文字 Char"/>
    <w:basedOn w:val="a0"/>
    <w:link w:val="a9"/>
    <w:uiPriority w:val="99"/>
    <w:qFormat/>
    <w:rsid w:val="003065D2"/>
    <w:rPr>
      <w:rFonts w:ascii="Book Antiqua" w:eastAsia="宋体" w:hAnsi="Book Antiqua" w:cs="Times New Roman"/>
      <w:color w:val="000000" w:themeColor="text1"/>
      <w:kern w:val="0"/>
      <w:sz w:val="20"/>
      <w:szCs w:val="20"/>
      <w:lang w:eastAsia="de-DE"/>
    </w:rPr>
  </w:style>
  <w:style w:type="paragraph" w:styleId="aa">
    <w:name w:val="annotation subject"/>
    <w:basedOn w:val="a9"/>
    <w:next w:val="a9"/>
    <w:link w:val="Char4"/>
    <w:uiPriority w:val="99"/>
    <w:semiHidden/>
    <w:unhideWhenUsed/>
    <w:rsid w:val="003065D2"/>
    <w:rPr>
      <w:b/>
      <w:bCs/>
    </w:rPr>
  </w:style>
  <w:style w:type="character" w:customStyle="1" w:styleId="Char4">
    <w:name w:val="批注主题 Char"/>
    <w:basedOn w:val="Char3"/>
    <w:link w:val="aa"/>
    <w:uiPriority w:val="99"/>
    <w:semiHidden/>
    <w:rsid w:val="003065D2"/>
    <w:rPr>
      <w:rFonts w:ascii="Book Antiqua" w:eastAsia="宋体" w:hAnsi="Book Antiqua" w:cs="Times New Roman"/>
      <w:b/>
      <w:bCs/>
      <w:color w:val="000000" w:themeColor="text1"/>
      <w:kern w:val="0"/>
      <w:sz w:val="20"/>
      <w:szCs w:val="20"/>
      <w:lang w:eastAsia="de-DE"/>
    </w:rPr>
  </w:style>
  <w:style w:type="table" w:styleId="ab">
    <w:name w:val="Table Grid"/>
    <w:basedOn w:val="a1"/>
    <w:uiPriority w:val="59"/>
    <w:rsid w:val="003065D2"/>
    <w:rPr>
      <w:rFonts w:ascii="Book Antiqua" w:eastAsia="宋体" w:hAnsi="Book Antiqua" w:cs="Times New Roman"/>
      <w:color w:val="000000" w:themeColor="text1"/>
      <w:kern w:val="0"/>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3065D2"/>
    <w:rPr>
      <w:color w:val="0000FF" w:themeColor="hyperlink"/>
      <w:u w:val="single"/>
    </w:rPr>
  </w:style>
  <w:style w:type="paragraph" w:styleId="ad">
    <w:name w:val="Revision"/>
    <w:hidden/>
    <w:uiPriority w:val="99"/>
    <w:semiHidden/>
    <w:rsid w:val="003065D2"/>
    <w:rPr>
      <w:rFonts w:ascii="Book Antiqua" w:eastAsia="宋体" w:hAnsi="Book Antiqua" w:cs="Times New Roman"/>
      <w:color w:val="000000" w:themeColor="text1"/>
      <w:kern w:val="0"/>
      <w:sz w:val="24"/>
      <w:szCs w:val="24"/>
      <w:lang w:val="de-DE" w:eastAsia="de-DE"/>
    </w:rPr>
  </w:style>
  <w:style w:type="character" w:styleId="ae">
    <w:name w:val="FollowedHyperlink"/>
    <w:basedOn w:val="a0"/>
    <w:uiPriority w:val="99"/>
    <w:semiHidden/>
    <w:unhideWhenUsed/>
    <w:rsid w:val="003065D2"/>
    <w:rPr>
      <w:color w:val="800080" w:themeColor="followedHyperlink"/>
      <w:u w:val="single"/>
    </w:rPr>
  </w:style>
  <w:style w:type="paragraph" w:styleId="af">
    <w:name w:val="List Paragraph"/>
    <w:basedOn w:val="a"/>
    <w:uiPriority w:val="34"/>
    <w:qFormat/>
    <w:rsid w:val="003065D2"/>
    <w:pPr>
      <w:widowControl/>
      <w:spacing w:after="160" w:line="259" w:lineRule="auto"/>
      <w:ind w:left="720"/>
      <w:contextualSpacing/>
      <w:jc w:val="left"/>
    </w:pPr>
    <w:rPr>
      <w:rFonts w:ascii="Book Antiqua" w:eastAsia="宋体" w:hAnsi="Book Antiqua" w:cs="Times New Roman"/>
      <w:color w:val="000000" w:themeColor="text1"/>
      <w:kern w:val="0"/>
      <w:sz w:val="24"/>
      <w:szCs w:val="24"/>
      <w:lang w:eastAsia="de-DE"/>
    </w:rPr>
  </w:style>
  <w:style w:type="character" w:customStyle="1" w:styleId="NichtaufgelsteErwhnung1">
    <w:name w:val="Nicht aufgelöste Erwähnung1"/>
    <w:basedOn w:val="a0"/>
    <w:uiPriority w:val="99"/>
    <w:semiHidden/>
    <w:unhideWhenUsed/>
    <w:rsid w:val="003065D2"/>
    <w:rPr>
      <w:color w:val="808080"/>
      <w:shd w:val="clear" w:color="auto" w:fill="E6E6E6"/>
    </w:rPr>
  </w:style>
  <w:style w:type="character" w:styleId="af0">
    <w:name w:val="line number"/>
    <w:basedOn w:val="a0"/>
    <w:uiPriority w:val="99"/>
    <w:semiHidden/>
    <w:unhideWhenUsed/>
    <w:rsid w:val="003065D2"/>
  </w:style>
  <w:style w:type="character" w:customStyle="1" w:styleId="NichtaufgelsteErwhnung2">
    <w:name w:val="Nicht aufgelöste Erwähnung2"/>
    <w:basedOn w:val="a0"/>
    <w:uiPriority w:val="99"/>
    <w:semiHidden/>
    <w:unhideWhenUsed/>
    <w:rsid w:val="003065D2"/>
    <w:rPr>
      <w:color w:val="605E5C"/>
      <w:shd w:val="clear" w:color="auto" w:fill="E1DFDD"/>
    </w:rPr>
  </w:style>
  <w:style w:type="character" w:customStyle="1" w:styleId="UnresolvedMention1">
    <w:name w:val="Unresolved Mention1"/>
    <w:basedOn w:val="a0"/>
    <w:uiPriority w:val="99"/>
    <w:semiHidden/>
    <w:unhideWhenUsed/>
    <w:rsid w:val="003065D2"/>
    <w:rPr>
      <w:color w:val="605E5C"/>
      <w:shd w:val="clear" w:color="auto" w:fill="E1DFDD"/>
    </w:rPr>
  </w:style>
  <w:style w:type="character" w:styleId="af1">
    <w:name w:val="page number"/>
    <w:basedOn w:val="a0"/>
    <w:uiPriority w:val="99"/>
    <w:semiHidden/>
    <w:unhideWhenUsed/>
    <w:rsid w:val="003065D2"/>
  </w:style>
  <w:style w:type="character" w:customStyle="1" w:styleId="apple-converted-space">
    <w:name w:val="apple-converted-space"/>
    <w:basedOn w:val="a0"/>
    <w:rsid w:val="003065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3065D2"/>
    <w:pPr>
      <w:keepNext/>
      <w:widowControl/>
      <w:spacing w:line="360" w:lineRule="auto"/>
      <w:jc w:val="left"/>
      <w:outlineLvl w:val="0"/>
    </w:pPr>
    <w:rPr>
      <w:rFonts w:ascii="Arial" w:eastAsia="宋体" w:hAnsi="Arial" w:cs="Arial"/>
      <w:b/>
      <w:bCs/>
      <w:noProof/>
      <w:color w:val="000000" w:themeColor="text1"/>
      <w:kern w:val="0"/>
      <w:sz w:val="28"/>
      <w:szCs w:val="24"/>
      <w:lang w:val="en-GB" w:eastAsia="en-US"/>
    </w:rPr>
  </w:style>
  <w:style w:type="paragraph" w:styleId="2">
    <w:name w:val="heading 2"/>
    <w:basedOn w:val="a"/>
    <w:next w:val="a"/>
    <w:link w:val="2Char"/>
    <w:uiPriority w:val="9"/>
    <w:semiHidden/>
    <w:unhideWhenUsed/>
    <w:qFormat/>
    <w:rsid w:val="003065D2"/>
    <w:pPr>
      <w:keepNext/>
      <w:keepLines/>
      <w:widowControl/>
      <w:spacing w:before="200" w:line="259" w:lineRule="auto"/>
      <w:jc w:val="left"/>
      <w:outlineLvl w:val="1"/>
    </w:pPr>
    <w:rPr>
      <w:rFonts w:asciiTheme="majorHAnsi" w:eastAsiaTheme="majorEastAsia" w:hAnsiTheme="majorHAnsi" w:cstheme="majorBidi"/>
      <w:b/>
      <w:bCs/>
      <w:color w:val="4F81BD" w:themeColor="accent1"/>
      <w:kern w:val="0"/>
      <w:sz w:val="26"/>
      <w:szCs w:val="26"/>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3065D2"/>
    <w:rPr>
      <w:rFonts w:ascii="Arial" w:eastAsia="宋体" w:hAnsi="Arial" w:cs="Arial"/>
      <w:b/>
      <w:bCs/>
      <w:noProof/>
      <w:color w:val="000000" w:themeColor="text1"/>
      <w:kern w:val="0"/>
      <w:sz w:val="28"/>
      <w:szCs w:val="24"/>
      <w:lang w:val="en-GB" w:eastAsia="en-US"/>
    </w:rPr>
  </w:style>
  <w:style w:type="character" w:customStyle="1" w:styleId="2Char">
    <w:name w:val="标题 2 Char"/>
    <w:basedOn w:val="a0"/>
    <w:link w:val="2"/>
    <w:uiPriority w:val="9"/>
    <w:semiHidden/>
    <w:rsid w:val="003065D2"/>
    <w:rPr>
      <w:rFonts w:asciiTheme="majorHAnsi" w:eastAsiaTheme="majorEastAsia" w:hAnsiTheme="majorHAnsi" w:cstheme="majorBidi"/>
      <w:b/>
      <w:bCs/>
      <w:color w:val="4F81BD" w:themeColor="accent1"/>
      <w:kern w:val="0"/>
      <w:sz w:val="26"/>
      <w:szCs w:val="26"/>
      <w:lang w:eastAsia="de-DE"/>
    </w:rPr>
  </w:style>
  <w:style w:type="paragraph" w:customStyle="1" w:styleId="Default">
    <w:name w:val="Default"/>
    <w:basedOn w:val="a"/>
    <w:rsid w:val="003065D2"/>
    <w:pPr>
      <w:widowControl/>
      <w:autoSpaceDE w:val="0"/>
      <w:autoSpaceDN w:val="0"/>
      <w:jc w:val="left"/>
    </w:pPr>
    <w:rPr>
      <w:rFonts w:ascii="Arial" w:eastAsiaTheme="minorHAnsi" w:hAnsi="Arial" w:cs="Arial"/>
      <w:color w:val="000000"/>
      <w:kern w:val="0"/>
      <w:sz w:val="24"/>
      <w:szCs w:val="24"/>
      <w:lang w:eastAsia="de-DE"/>
    </w:rPr>
  </w:style>
  <w:style w:type="paragraph" w:customStyle="1" w:styleId="Standard1">
    <w:name w:val="Standard1"/>
    <w:rsid w:val="00306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pPr>
    <w:rPr>
      <w:rFonts w:ascii="Arial" w:eastAsia="ヒラギノ角ゴ Pro W3" w:hAnsi="Arial" w:cs="Times New Roman"/>
      <w:color w:val="000000"/>
      <w:kern w:val="0"/>
      <w:sz w:val="24"/>
      <w:szCs w:val="20"/>
      <w:lang w:eastAsia="de-DE"/>
    </w:rPr>
  </w:style>
  <w:style w:type="paragraph" w:styleId="a3">
    <w:name w:val="header"/>
    <w:basedOn w:val="a"/>
    <w:link w:val="Char"/>
    <w:uiPriority w:val="99"/>
    <w:unhideWhenUsed/>
    <w:rsid w:val="003065D2"/>
    <w:pPr>
      <w:widowControl/>
      <w:tabs>
        <w:tab w:val="center" w:pos="4536"/>
        <w:tab w:val="right" w:pos="9072"/>
      </w:tabs>
      <w:jc w:val="left"/>
    </w:pPr>
    <w:rPr>
      <w:rFonts w:ascii="Book Antiqua" w:eastAsia="宋体" w:hAnsi="Book Antiqua" w:cs="Times New Roman"/>
      <w:color w:val="000000" w:themeColor="text1"/>
      <w:kern w:val="0"/>
      <w:sz w:val="24"/>
      <w:szCs w:val="24"/>
      <w:lang w:eastAsia="de-DE"/>
    </w:rPr>
  </w:style>
  <w:style w:type="character" w:customStyle="1" w:styleId="Char">
    <w:name w:val="页眉 Char"/>
    <w:basedOn w:val="a0"/>
    <w:link w:val="a3"/>
    <w:uiPriority w:val="99"/>
    <w:rsid w:val="003065D2"/>
    <w:rPr>
      <w:rFonts w:ascii="Book Antiqua" w:eastAsia="宋体" w:hAnsi="Book Antiqua" w:cs="Times New Roman"/>
      <w:color w:val="000000" w:themeColor="text1"/>
      <w:kern w:val="0"/>
      <w:sz w:val="24"/>
      <w:szCs w:val="24"/>
      <w:lang w:eastAsia="de-DE"/>
    </w:rPr>
  </w:style>
  <w:style w:type="paragraph" w:styleId="a4">
    <w:name w:val="footer"/>
    <w:basedOn w:val="a"/>
    <w:link w:val="Char0"/>
    <w:uiPriority w:val="99"/>
    <w:unhideWhenUsed/>
    <w:rsid w:val="003065D2"/>
    <w:pPr>
      <w:widowControl/>
      <w:tabs>
        <w:tab w:val="center" w:pos="4536"/>
        <w:tab w:val="right" w:pos="9072"/>
      </w:tabs>
      <w:jc w:val="left"/>
    </w:pPr>
    <w:rPr>
      <w:rFonts w:ascii="Book Antiqua" w:eastAsia="宋体" w:hAnsi="Book Antiqua" w:cs="Times New Roman"/>
      <w:color w:val="000000" w:themeColor="text1"/>
      <w:kern w:val="0"/>
      <w:sz w:val="24"/>
      <w:szCs w:val="24"/>
      <w:lang w:eastAsia="de-DE"/>
    </w:rPr>
  </w:style>
  <w:style w:type="character" w:customStyle="1" w:styleId="Char0">
    <w:name w:val="页脚 Char"/>
    <w:basedOn w:val="a0"/>
    <w:link w:val="a4"/>
    <w:uiPriority w:val="99"/>
    <w:rsid w:val="003065D2"/>
    <w:rPr>
      <w:rFonts w:ascii="Book Antiqua" w:eastAsia="宋体" w:hAnsi="Book Antiqua" w:cs="Times New Roman"/>
      <w:color w:val="000000" w:themeColor="text1"/>
      <w:kern w:val="0"/>
      <w:sz w:val="24"/>
      <w:szCs w:val="24"/>
      <w:lang w:eastAsia="de-DE"/>
    </w:rPr>
  </w:style>
  <w:style w:type="paragraph" w:styleId="a5">
    <w:name w:val="Balloon Text"/>
    <w:basedOn w:val="a"/>
    <w:link w:val="Char1"/>
    <w:uiPriority w:val="99"/>
    <w:semiHidden/>
    <w:unhideWhenUsed/>
    <w:rsid w:val="003065D2"/>
    <w:pPr>
      <w:widowControl/>
      <w:jc w:val="left"/>
    </w:pPr>
    <w:rPr>
      <w:rFonts w:ascii="Tahoma" w:eastAsia="宋体" w:hAnsi="Tahoma" w:cs="Tahoma"/>
      <w:color w:val="000000" w:themeColor="text1"/>
      <w:kern w:val="0"/>
      <w:sz w:val="16"/>
      <w:szCs w:val="16"/>
      <w:lang w:eastAsia="de-DE"/>
    </w:rPr>
  </w:style>
  <w:style w:type="character" w:customStyle="1" w:styleId="Char1">
    <w:name w:val="批注框文本 Char"/>
    <w:basedOn w:val="a0"/>
    <w:link w:val="a5"/>
    <w:uiPriority w:val="99"/>
    <w:semiHidden/>
    <w:rsid w:val="003065D2"/>
    <w:rPr>
      <w:rFonts w:ascii="Tahoma" w:eastAsia="宋体" w:hAnsi="Tahoma" w:cs="Tahoma"/>
      <w:color w:val="000000" w:themeColor="text1"/>
      <w:kern w:val="0"/>
      <w:sz w:val="16"/>
      <w:szCs w:val="16"/>
      <w:lang w:eastAsia="de-DE"/>
    </w:rPr>
  </w:style>
  <w:style w:type="paragraph" w:styleId="a6">
    <w:name w:val="Normal (Web)"/>
    <w:basedOn w:val="a"/>
    <w:uiPriority w:val="99"/>
    <w:semiHidden/>
    <w:unhideWhenUsed/>
    <w:rsid w:val="003065D2"/>
    <w:pPr>
      <w:widowControl/>
      <w:spacing w:before="100" w:beforeAutospacing="1" w:after="100" w:afterAutospacing="1"/>
      <w:jc w:val="left"/>
    </w:pPr>
    <w:rPr>
      <w:rFonts w:ascii="Times New Roman" w:hAnsi="Book Antiqua" w:cs="Times New Roman"/>
      <w:color w:val="000000" w:themeColor="text1"/>
      <w:kern w:val="0"/>
      <w:sz w:val="24"/>
      <w:szCs w:val="24"/>
      <w:lang w:eastAsia="de-DE"/>
    </w:rPr>
  </w:style>
  <w:style w:type="paragraph" w:styleId="a7">
    <w:name w:val="Body Text"/>
    <w:basedOn w:val="a"/>
    <w:link w:val="Char2"/>
    <w:semiHidden/>
    <w:rsid w:val="003065D2"/>
    <w:pPr>
      <w:widowControl/>
      <w:jc w:val="left"/>
    </w:pPr>
    <w:rPr>
      <w:rFonts w:ascii="Arial" w:eastAsia="宋体" w:hAnsi="Arial" w:cs="Arial"/>
      <w:b/>
      <w:bCs/>
      <w:noProof/>
      <w:color w:val="000000" w:themeColor="text1"/>
      <w:kern w:val="0"/>
      <w:sz w:val="24"/>
      <w:szCs w:val="24"/>
      <w:lang w:val="en-GB" w:eastAsia="en-US"/>
    </w:rPr>
  </w:style>
  <w:style w:type="character" w:customStyle="1" w:styleId="Char2">
    <w:name w:val="正文文本 Char"/>
    <w:basedOn w:val="a0"/>
    <w:link w:val="a7"/>
    <w:semiHidden/>
    <w:rsid w:val="003065D2"/>
    <w:rPr>
      <w:rFonts w:ascii="Arial" w:eastAsia="宋体" w:hAnsi="Arial" w:cs="Arial"/>
      <w:b/>
      <w:bCs/>
      <w:noProof/>
      <w:color w:val="000000" w:themeColor="text1"/>
      <w:kern w:val="0"/>
      <w:sz w:val="24"/>
      <w:szCs w:val="24"/>
      <w:lang w:val="en-GB" w:eastAsia="en-US"/>
    </w:rPr>
  </w:style>
  <w:style w:type="character" w:styleId="a8">
    <w:name w:val="annotation reference"/>
    <w:basedOn w:val="a0"/>
    <w:uiPriority w:val="99"/>
    <w:semiHidden/>
    <w:unhideWhenUsed/>
    <w:rsid w:val="003065D2"/>
    <w:rPr>
      <w:sz w:val="16"/>
      <w:szCs w:val="16"/>
    </w:rPr>
  </w:style>
  <w:style w:type="paragraph" w:styleId="a9">
    <w:name w:val="annotation text"/>
    <w:basedOn w:val="a"/>
    <w:link w:val="Char3"/>
    <w:uiPriority w:val="99"/>
    <w:unhideWhenUsed/>
    <w:qFormat/>
    <w:rsid w:val="003065D2"/>
    <w:pPr>
      <w:widowControl/>
      <w:spacing w:after="160"/>
      <w:jc w:val="left"/>
    </w:pPr>
    <w:rPr>
      <w:rFonts w:ascii="Book Antiqua" w:eastAsia="宋体" w:hAnsi="Book Antiqua" w:cs="Times New Roman"/>
      <w:color w:val="000000" w:themeColor="text1"/>
      <w:kern w:val="0"/>
      <w:sz w:val="20"/>
      <w:szCs w:val="20"/>
      <w:lang w:eastAsia="de-DE"/>
    </w:rPr>
  </w:style>
  <w:style w:type="character" w:customStyle="1" w:styleId="Char3">
    <w:name w:val="批注文字 Char"/>
    <w:basedOn w:val="a0"/>
    <w:link w:val="a9"/>
    <w:uiPriority w:val="99"/>
    <w:qFormat/>
    <w:rsid w:val="003065D2"/>
    <w:rPr>
      <w:rFonts w:ascii="Book Antiqua" w:eastAsia="宋体" w:hAnsi="Book Antiqua" w:cs="Times New Roman"/>
      <w:color w:val="000000" w:themeColor="text1"/>
      <w:kern w:val="0"/>
      <w:sz w:val="20"/>
      <w:szCs w:val="20"/>
      <w:lang w:eastAsia="de-DE"/>
    </w:rPr>
  </w:style>
  <w:style w:type="paragraph" w:styleId="aa">
    <w:name w:val="annotation subject"/>
    <w:basedOn w:val="a9"/>
    <w:next w:val="a9"/>
    <w:link w:val="Char4"/>
    <w:uiPriority w:val="99"/>
    <w:semiHidden/>
    <w:unhideWhenUsed/>
    <w:rsid w:val="003065D2"/>
    <w:rPr>
      <w:b/>
      <w:bCs/>
    </w:rPr>
  </w:style>
  <w:style w:type="character" w:customStyle="1" w:styleId="Char4">
    <w:name w:val="批注主题 Char"/>
    <w:basedOn w:val="Char3"/>
    <w:link w:val="aa"/>
    <w:uiPriority w:val="99"/>
    <w:semiHidden/>
    <w:rsid w:val="003065D2"/>
    <w:rPr>
      <w:rFonts w:ascii="Book Antiqua" w:eastAsia="宋体" w:hAnsi="Book Antiqua" w:cs="Times New Roman"/>
      <w:b/>
      <w:bCs/>
      <w:color w:val="000000" w:themeColor="text1"/>
      <w:kern w:val="0"/>
      <w:sz w:val="20"/>
      <w:szCs w:val="20"/>
      <w:lang w:eastAsia="de-DE"/>
    </w:rPr>
  </w:style>
  <w:style w:type="table" w:styleId="ab">
    <w:name w:val="Table Grid"/>
    <w:basedOn w:val="a1"/>
    <w:uiPriority w:val="59"/>
    <w:rsid w:val="003065D2"/>
    <w:rPr>
      <w:rFonts w:ascii="Book Antiqua" w:eastAsia="宋体" w:hAnsi="Book Antiqua" w:cs="Times New Roman"/>
      <w:color w:val="000000" w:themeColor="text1"/>
      <w:kern w:val="0"/>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3065D2"/>
    <w:rPr>
      <w:color w:val="0000FF" w:themeColor="hyperlink"/>
      <w:u w:val="single"/>
    </w:rPr>
  </w:style>
  <w:style w:type="paragraph" w:styleId="ad">
    <w:name w:val="Revision"/>
    <w:hidden/>
    <w:uiPriority w:val="99"/>
    <w:semiHidden/>
    <w:rsid w:val="003065D2"/>
    <w:rPr>
      <w:rFonts w:ascii="Book Antiqua" w:eastAsia="宋体" w:hAnsi="Book Antiqua" w:cs="Times New Roman"/>
      <w:color w:val="000000" w:themeColor="text1"/>
      <w:kern w:val="0"/>
      <w:sz w:val="24"/>
      <w:szCs w:val="24"/>
      <w:lang w:val="de-DE" w:eastAsia="de-DE"/>
    </w:rPr>
  </w:style>
  <w:style w:type="character" w:styleId="ae">
    <w:name w:val="FollowedHyperlink"/>
    <w:basedOn w:val="a0"/>
    <w:uiPriority w:val="99"/>
    <w:semiHidden/>
    <w:unhideWhenUsed/>
    <w:rsid w:val="003065D2"/>
    <w:rPr>
      <w:color w:val="800080" w:themeColor="followedHyperlink"/>
      <w:u w:val="single"/>
    </w:rPr>
  </w:style>
  <w:style w:type="paragraph" w:styleId="af">
    <w:name w:val="List Paragraph"/>
    <w:basedOn w:val="a"/>
    <w:uiPriority w:val="34"/>
    <w:qFormat/>
    <w:rsid w:val="003065D2"/>
    <w:pPr>
      <w:widowControl/>
      <w:spacing w:after="160" w:line="259" w:lineRule="auto"/>
      <w:ind w:left="720"/>
      <w:contextualSpacing/>
      <w:jc w:val="left"/>
    </w:pPr>
    <w:rPr>
      <w:rFonts w:ascii="Book Antiqua" w:eastAsia="宋体" w:hAnsi="Book Antiqua" w:cs="Times New Roman"/>
      <w:color w:val="000000" w:themeColor="text1"/>
      <w:kern w:val="0"/>
      <w:sz w:val="24"/>
      <w:szCs w:val="24"/>
      <w:lang w:eastAsia="de-DE"/>
    </w:rPr>
  </w:style>
  <w:style w:type="character" w:customStyle="1" w:styleId="NichtaufgelsteErwhnung1">
    <w:name w:val="Nicht aufgelöste Erwähnung1"/>
    <w:basedOn w:val="a0"/>
    <w:uiPriority w:val="99"/>
    <w:semiHidden/>
    <w:unhideWhenUsed/>
    <w:rsid w:val="003065D2"/>
    <w:rPr>
      <w:color w:val="808080"/>
      <w:shd w:val="clear" w:color="auto" w:fill="E6E6E6"/>
    </w:rPr>
  </w:style>
  <w:style w:type="character" w:styleId="af0">
    <w:name w:val="line number"/>
    <w:basedOn w:val="a0"/>
    <w:uiPriority w:val="99"/>
    <w:semiHidden/>
    <w:unhideWhenUsed/>
    <w:rsid w:val="003065D2"/>
  </w:style>
  <w:style w:type="character" w:customStyle="1" w:styleId="NichtaufgelsteErwhnung2">
    <w:name w:val="Nicht aufgelöste Erwähnung2"/>
    <w:basedOn w:val="a0"/>
    <w:uiPriority w:val="99"/>
    <w:semiHidden/>
    <w:unhideWhenUsed/>
    <w:rsid w:val="003065D2"/>
    <w:rPr>
      <w:color w:val="605E5C"/>
      <w:shd w:val="clear" w:color="auto" w:fill="E1DFDD"/>
    </w:rPr>
  </w:style>
  <w:style w:type="character" w:customStyle="1" w:styleId="UnresolvedMention1">
    <w:name w:val="Unresolved Mention1"/>
    <w:basedOn w:val="a0"/>
    <w:uiPriority w:val="99"/>
    <w:semiHidden/>
    <w:unhideWhenUsed/>
    <w:rsid w:val="003065D2"/>
    <w:rPr>
      <w:color w:val="605E5C"/>
      <w:shd w:val="clear" w:color="auto" w:fill="E1DFDD"/>
    </w:rPr>
  </w:style>
  <w:style w:type="character" w:styleId="af1">
    <w:name w:val="page number"/>
    <w:basedOn w:val="a0"/>
    <w:uiPriority w:val="99"/>
    <w:semiHidden/>
    <w:unhideWhenUsed/>
    <w:rsid w:val="003065D2"/>
  </w:style>
  <w:style w:type="character" w:customStyle="1" w:styleId="apple-converted-space">
    <w:name w:val="apple-converted-space"/>
    <w:basedOn w:val="a0"/>
    <w:rsid w:val="00306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57</Pages>
  <Words>14041</Words>
  <Characters>80040</Characters>
  <Application>Microsoft Office Word</Application>
  <DocSecurity>0</DocSecurity>
  <Lines>667</Lines>
  <Paragraphs>187</Paragraphs>
  <ScaleCrop>false</ScaleCrop>
  <Company>Hewlett-Packard Company</Company>
  <LinksUpToDate>false</LinksUpToDate>
  <CharactersWithSpaces>93894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WHL</dc:creator>
  <cp:lastModifiedBy>WHL</cp:lastModifiedBy>
  <cp:revision>5</cp:revision>
  <dcterms:created xsi:type="dcterms:W3CDTF">2019-02-25T05:50:00Z</dcterms:created>
  <dcterms:modified xsi:type="dcterms:W3CDTF">2019-02-25T11:57:00Z</dcterms:modified>
</cp:coreProperties>
</file>