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14B87" w14:textId="22ECB2C2" w:rsidR="000707A8" w:rsidRPr="00565259" w:rsidRDefault="00525BD6"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cs="Times New Roman"/>
          <w:b/>
          <w:sz w:val="24"/>
          <w:szCs w:val="24"/>
        </w:rPr>
        <w:t>Name of Journ</w:t>
      </w:r>
      <w:r w:rsidR="00BF284A" w:rsidRPr="00565259">
        <w:rPr>
          <w:rFonts w:ascii="Book Antiqua" w:hAnsi="Book Antiqua" w:cs="Times New Roman"/>
          <w:b/>
          <w:sz w:val="24"/>
          <w:szCs w:val="24"/>
        </w:rPr>
        <w:t xml:space="preserve">al: </w:t>
      </w:r>
      <w:r w:rsidR="00BF284A" w:rsidRPr="00565259">
        <w:rPr>
          <w:rFonts w:ascii="Book Antiqua" w:hAnsi="Book Antiqua" w:cs="Times New Roman"/>
          <w:i/>
          <w:sz w:val="24"/>
          <w:szCs w:val="24"/>
        </w:rPr>
        <w:t>World Journal of Stem Cells</w:t>
      </w:r>
    </w:p>
    <w:p w14:paraId="101BBE7B" w14:textId="03F93DB8" w:rsidR="00253B19" w:rsidRPr="00565259" w:rsidRDefault="00253B19" w:rsidP="00B83DB9">
      <w:pPr>
        <w:spacing w:after="0" w:line="360" w:lineRule="auto"/>
        <w:jc w:val="both"/>
        <w:rPr>
          <w:rFonts w:ascii="Book Antiqua" w:eastAsiaTheme="minorHAnsi" w:hAnsi="Book Antiqua" w:cs="Book Antiqua"/>
          <w:sz w:val="24"/>
          <w:szCs w:val="24"/>
        </w:rPr>
      </w:pPr>
      <w:r w:rsidRPr="00565259">
        <w:rPr>
          <w:rFonts w:ascii="Book Antiqua" w:hAnsi="Book Antiqua"/>
          <w:b/>
          <w:bCs/>
          <w:sz w:val="24"/>
          <w:szCs w:val="24"/>
        </w:rPr>
        <w:t xml:space="preserve">Manuscript NO: </w:t>
      </w:r>
      <w:r w:rsidRPr="00565259">
        <w:rPr>
          <w:rFonts w:ascii="Book Antiqua" w:hAnsi="Book Antiqua"/>
          <w:bCs/>
          <w:sz w:val="24"/>
          <w:szCs w:val="24"/>
        </w:rPr>
        <w:t>47678</w:t>
      </w:r>
    </w:p>
    <w:p w14:paraId="1687D6B8" w14:textId="7F12D253" w:rsidR="00525BD6" w:rsidRPr="00565259" w:rsidRDefault="00525BD6" w:rsidP="00B83DB9">
      <w:pPr>
        <w:spacing w:after="0" w:line="360" w:lineRule="auto"/>
        <w:jc w:val="both"/>
        <w:rPr>
          <w:rFonts w:ascii="Book Antiqua" w:eastAsiaTheme="minorHAnsi" w:hAnsi="Book Antiqua" w:cs="Book Antiqua"/>
          <w:sz w:val="24"/>
          <w:szCs w:val="24"/>
        </w:rPr>
      </w:pPr>
      <w:r w:rsidRPr="00565259">
        <w:rPr>
          <w:rFonts w:ascii="Book Antiqua" w:hAnsi="Book Antiqua" w:cs="Times New Roman"/>
          <w:b/>
          <w:sz w:val="24"/>
          <w:szCs w:val="24"/>
        </w:rPr>
        <w:t>Manuscript Type:</w:t>
      </w:r>
      <w:r w:rsidRPr="00565259">
        <w:rPr>
          <w:rFonts w:ascii="Book Antiqua" w:hAnsi="Book Antiqua" w:cs="Times New Roman"/>
          <w:sz w:val="24"/>
          <w:szCs w:val="24"/>
        </w:rPr>
        <w:t xml:space="preserve"> REVIEW</w:t>
      </w:r>
    </w:p>
    <w:p w14:paraId="54E21671" w14:textId="77777777" w:rsidR="008C6DDA" w:rsidRPr="00565259" w:rsidRDefault="008C6DDA" w:rsidP="00B83DB9">
      <w:pPr>
        <w:tabs>
          <w:tab w:val="left" w:pos="720"/>
        </w:tabs>
        <w:spacing w:after="0" w:line="360" w:lineRule="auto"/>
        <w:jc w:val="both"/>
        <w:rPr>
          <w:rFonts w:ascii="Book Antiqua" w:hAnsi="Book Antiqua" w:cs="Times New Roman"/>
          <w:sz w:val="24"/>
          <w:szCs w:val="24"/>
        </w:rPr>
      </w:pPr>
    </w:p>
    <w:p w14:paraId="169090FD" w14:textId="5225B57B" w:rsidR="008C6DDA" w:rsidRPr="00565259" w:rsidRDefault="00E07C80" w:rsidP="00B83DB9">
      <w:pPr>
        <w:tabs>
          <w:tab w:val="left" w:pos="720"/>
        </w:tabs>
        <w:spacing w:after="0" w:line="360" w:lineRule="auto"/>
        <w:jc w:val="both"/>
        <w:rPr>
          <w:rFonts w:ascii="Book Antiqua" w:hAnsi="Book Antiqua" w:cs="Times New Roman"/>
          <w:b/>
          <w:sz w:val="24"/>
          <w:szCs w:val="24"/>
        </w:rPr>
      </w:pPr>
      <w:bookmarkStart w:id="0" w:name="OLE_LINK9"/>
      <w:r w:rsidRPr="00565259">
        <w:rPr>
          <w:rFonts w:ascii="Book Antiqua" w:hAnsi="Book Antiqua" w:cs="Times New Roman"/>
          <w:b/>
          <w:sz w:val="24"/>
          <w:szCs w:val="24"/>
        </w:rPr>
        <w:t xml:space="preserve">Dysfunctional </w:t>
      </w:r>
      <w:r w:rsidR="00E94BB9" w:rsidRPr="00565259">
        <w:rPr>
          <w:rFonts w:ascii="Book Antiqua" w:hAnsi="Book Antiqua" w:cs="Times New Roman"/>
          <w:b/>
          <w:sz w:val="24"/>
          <w:szCs w:val="24"/>
        </w:rPr>
        <w:t>stem and progenitor cells impair fracture healing with age</w:t>
      </w:r>
    </w:p>
    <w:bookmarkEnd w:id="0"/>
    <w:p w14:paraId="0B1B0931" w14:textId="77777777" w:rsidR="008C6DDA" w:rsidRPr="00565259" w:rsidRDefault="008C6DDA" w:rsidP="00B83DB9">
      <w:pPr>
        <w:tabs>
          <w:tab w:val="left" w:pos="720"/>
        </w:tabs>
        <w:spacing w:after="0" w:line="360" w:lineRule="auto"/>
        <w:jc w:val="both"/>
        <w:rPr>
          <w:rFonts w:ascii="Book Antiqua" w:hAnsi="Book Antiqua" w:cs="Times New Roman"/>
          <w:b/>
          <w:sz w:val="24"/>
          <w:szCs w:val="24"/>
        </w:rPr>
      </w:pPr>
    </w:p>
    <w:p w14:paraId="6AD3EC23" w14:textId="340AC5BC" w:rsidR="00BF284A" w:rsidRPr="00565259" w:rsidRDefault="008C6DDA"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cs="Times New Roman"/>
          <w:sz w:val="24"/>
          <w:szCs w:val="24"/>
        </w:rPr>
        <w:t xml:space="preserve">Wagner </w:t>
      </w:r>
      <w:r w:rsidR="00E94BB9" w:rsidRPr="00565259">
        <w:rPr>
          <w:rFonts w:ascii="Book Antiqua" w:hAnsi="Book Antiqua" w:cs="Times New Roman"/>
          <w:sz w:val="24"/>
          <w:szCs w:val="24"/>
        </w:rPr>
        <w:t xml:space="preserve">DR </w:t>
      </w:r>
      <w:r w:rsidRPr="00565259">
        <w:rPr>
          <w:rFonts w:ascii="Book Antiqua" w:hAnsi="Book Antiqua" w:cs="Times New Roman"/>
          <w:i/>
          <w:sz w:val="24"/>
          <w:szCs w:val="24"/>
        </w:rPr>
        <w:t>et al.</w:t>
      </w:r>
      <w:r w:rsidRPr="00565259">
        <w:rPr>
          <w:rFonts w:ascii="Book Antiqua" w:hAnsi="Book Antiqua" w:cs="Times New Roman"/>
          <w:sz w:val="24"/>
          <w:szCs w:val="24"/>
        </w:rPr>
        <w:t xml:space="preserve"> </w:t>
      </w:r>
      <w:bookmarkStart w:id="1" w:name="OLE_LINK10"/>
      <w:r w:rsidR="0014597F" w:rsidRPr="00565259">
        <w:rPr>
          <w:rFonts w:ascii="Book Antiqua" w:hAnsi="Book Antiqua" w:cs="Times New Roman"/>
          <w:sz w:val="24"/>
          <w:szCs w:val="24"/>
        </w:rPr>
        <w:t xml:space="preserve">Impaired </w:t>
      </w:r>
      <w:r w:rsidR="00E94BB9" w:rsidRPr="00565259">
        <w:rPr>
          <w:rFonts w:ascii="Book Antiqua" w:hAnsi="Book Antiqua" w:cs="Times New Roman"/>
          <w:sz w:val="24"/>
          <w:szCs w:val="24"/>
        </w:rPr>
        <w:t>fracture healing in aging</w:t>
      </w:r>
    </w:p>
    <w:bookmarkEnd w:id="1"/>
    <w:p w14:paraId="5F16E736" w14:textId="77777777" w:rsidR="00BF284A" w:rsidRPr="00565259" w:rsidRDefault="00BF284A" w:rsidP="00B83DB9">
      <w:pPr>
        <w:tabs>
          <w:tab w:val="left" w:pos="720"/>
        </w:tabs>
        <w:spacing w:after="0" w:line="360" w:lineRule="auto"/>
        <w:jc w:val="both"/>
        <w:rPr>
          <w:rFonts w:ascii="Book Antiqua" w:hAnsi="Book Antiqua" w:cs="Times New Roman"/>
          <w:sz w:val="24"/>
          <w:szCs w:val="24"/>
        </w:rPr>
      </w:pPr>
    </w:p>
    <w:p w14:paraId="0CB0DD0F" w14:textId="55025846" w:rsidR="00E1765C" w:rsidRPr="00565259" w:rsidRDefault="00432671"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cs="Times New Roman"/>
          <w:sz w:val="24"/>
          <w:szCs w:val="24"/>
        </w:rPr>
        <w:t>Diane R</w:t>
      </w:r>
      <w:r w:rsidR="00C6598E" w:rsidRPr="00565259">
        <w:rPr>
          <w:rFonts w:ascii="Book Antiqua" w:hAnsi="Book Antiqua" w:cs="Times New Roman"/>
          <w:sz w:val="24"/>
          <w:szCs w:val="24"/>
        </w:rPr>
        <w:t xml:space="preserve"> Wagner, Sonali Karnik, Zachary</w:t>
      </w:r>
      <w:r w:rsidR="00D17E28" w:rsidRPr="00565259">
        <w:rPr>
          <w:rFonts w:ascii="Book Antiqua" w:hAnsi="Book Antiqua" w:cs="Times New Roman"/>
          <w:sz w:val="24"/>
          <w:szCs w:val="24"/>
        </w:rPr>
        <w:t xml:space="preserve"> J</w:t>
      </w:r>
      <w:r w:rsidR="00C6598E" w:rsidRPr="00565259">
        <w:rPr>
          <w:rFonts w:ascii="Book Antiqua" w:hAnsi="Book Antiqua" w:cs="Times New Roman"/>
          <w:sz w:val="24"/>
          <w:szCs w:val="24"/>
        </w:rPr>
        <w:t xml:space="preserve"> Gunderson, </w:t>
      </w:r>
      <w:r w:rsidR="00352A71" w:rsidRPr="00565259">
        <w:rPr>
          <w:rFonts w:ascii="Book Antiqua" w:hAnsi="Book Antiqua" w:cs="Times New Roman"/>
          <w:sz w:val="24"/>
          <w:szCs w:val="24"/>
        </w:rPr>
        <w:t xml:space="preserve">Jeffery </w:t>
      </w:r>
      <w:r w:rsidR="00E7322D" w:rsidRPr="00565259">
        <w:rPr>
          <w:rFonts w:ascii="Book Antiqua" w:hAnsi="Book Antiqua" w:cs="Times New Roman"/>
          <w:sz w:val="24"/>
          <w:szCs w:val="24"/>
        </w:rPr>
        <w:t xml:space="preserve">J </w:t>
      </w:r>
      <w:r w:rsidR="00352A71" w:rsidRPr="00565259">
        <w:rPr>
          <w:rFonts w:ascii="Book Antiqua" w:hAnsi="Book Antiqua" w:cs="Times New Roman"/>
          <w:sz w:val="24"/>
          <w:szCs w:val="24"/>
        </w:rPr>
        <w:t xml:space="preserve">Nielsen, </w:t>
      </w:r>
      <w:r w:rsidR="00393B27" w:rsidRPr="00565259">
        <w:rPr>
          <w:rFonts w:ascii="Book Antiqua" w:hAnsi="Book Antiqua" w:cs="Times New Roman"/>
          <w:sz w:val="24"/>
          <w:szCs w:val="24"/>
        </w:rPr>
        <w:t xml:space="preserve">Alanna Fennimore, </w:t>
      </w:r>
      <w:r w:rsidR="00C6598E" w:rsidRPr="00565259">
        <w:rPr>
          <w:rFonts w:ascii="Book Antiqua" w:hAnsi="Book Antiqua" w:cs="Times New Roman"/>
          <w:sz w:val="24"/>
          <w:szCs w:val="24"/>
        </w:rPr>
        <w:t xml:space="preserve">Hunter </w:t>
      </w:r>
      <w:r w:rsidR="001A6D3B" w:rsidRPr="00565259">
        <w:rPr>
          <w:rFonts w:ascii="Book Antiqua" w:hAnsi="Book Antiqua" w:cs="Times New Roman"/>
          <w:sz w:val="24"/>
          <w:szCs w:val="24"/>
        </w:rPr>
        <w:t xml:space="preserve">J </w:t>
      </w:r>
      <w:r w:rsidR="00C6598E" w:rsidRPr="00565259">
        <w:rPr>
          <w:rFonts w:ascii="Book Antiqua" w:hAnsi="Book Antiqua" w:cs="Times New Roman"/>
          <w:sz w:val="24"/>
          <w:szCs w:val="24"/>
        </w:rPr>
        <w:t xml:space="preserve">Promer, Jonathon </w:t>
      </w:r>
      <w:r w:rsidR="001A6D3B" w:rsidRPr="00565259">
        <w:rPr>
          <w:rFonts w:ascii="Book Antiqua" w:hAnsi="Book Antiqua" w:cs="Times New Roman"/>
          <w:sz w:val="24"/>
          <w:szCs w:val="24"/>
        </w:rPr>
        <w:t xml:space="preserve">W </w:t>
      </w:r>
      <w:r w:rsidR="00C6598E" w:rsidRPr="00565259">
        <w:rPr>
          <w:rFonts w:ascii="Book Antiqua" w:hAnsi="Book Antiqua" w:cs="Times New Roman"/>
          <w:sz w:val="24"/>
          <w:szCs w:val="24"/>
        </w:rPr>
        <w:t xml:space="preserve">Lowery, </w:t>
      </w:r>
      <w:r w:rsidR="00D17E28" w:rsidRPr="00565259">
        <w:rPr>
          <w:rFonts w:ascii="Book Antiqua" w:hAnsi="Book Antiqua" w:cs="Times New Roman"/>
          <w:sz w:val="24"/>
          <w:szCs w:val="24"/>
        </w:rPr>
        <w:t xml:space="preserve">M </w:t>
      </w:r>
      <w:r w:rsidR="00393B27" w:rsidRPr="00565259">
        <w:rPr>
          <w:rFonts w:ascii="Book Antiqua" w:hAnsi="Book Antiqua" w:cs="Times New Roman"/>
          <w:sz w:val="24"/>
          <w:szCs w:val="24"/>
        </w:rPr>
        <w:t xml:space="preserve">Terry Loghmani, </w:t>
      </w:r>
      <w:r w:rsidR="00B51C05" w:rsidRPr="00565259">
        <w:rPr>
          <w:rFonts w:ascii="Book Antiqua" w:hAnsi="Book Antiqua" w:cs="Times New Roman"/>
          <w:sz w:val="24"/>
          <w:szCs w:val="24"/>
        </w:rPr>
        <w:t xml:space="preserve">Philip </w:t>
      </w:r>
      <w:r w:rsidR="001A6D3B" w:rsidRPr="00565259">
        <w:rPr>
          <w:rFonts w:ascii="Book Antiqua" w:hAnsi="Book Antiqua" w:cs="Times New Roman"/>
          <w:sz w:val="24"/>
          <w:szCs w:val="24"/>
        </w:rPr>
        <w:t xml:space="preserve">S </w:t>
      </w:r>
      <w:r w:rsidR="00B51C05" w:rsidRPr="00565259">
        <w:rPr>
          <w:rFonts w:ascii="Book Antiqua" w:hAnsi="Book Antiqua" w:cs="Times New Roman"/>
          <w:sz w:val="24"/>
          <w:szCs w:val="24"/>
        </w:rPr>
        <w:t>Low,</w:t>
      </w:r>
      <w:r w:rsidR="002658D1" w:rsidRPr="00565259">
        <w:rPr>
          <w:rFonts w:ascii="Book Antiqua" w:hAnsi="Book Antiqua" w:cs="Times New Roman"/>
          <w:sz w:val="24"/>
          <w:szCs w:val="24"/>
        </w:rPr>
        <w:t xml:space="preserve"> Todd </w:t>
      </w:r>
      <w:r w:rsidR="00D17E28" w:rsidRPr="00565259">
        <w:rPr>
          <w:rFonts w:ascii="Book Antiqua" w:hAnsi="Book Antiqua" w:cs="Times New Roman"/>
          <w:sz w:val="24"/>
          <w:szCs w:val="24"/>
        </w:rPr>
        <w:t xml:space="preserve">O </w:t>
      </w:r>
      <w:r w:rsidR="002658D1" w:rsidRPr="00565259">
        <w:rPr>
          <w:rFonts w:ascii="Book Antiqua" w:hAnsi="Book Antiqua" w:cs="Times New Roman"/>
          <w:sz w:val="24"/>
          <w:szCs w:val="24"/>
        </w:rPr>
        <w:t>McKinley,</w:t>
      </w:r>
      <w:r w:rsidR="00B51C05" w:rsidRPr="00565259">
        <w:rPr>
          <w:rFonts w:ascii="Book Antiqua" w:hAnsi="Book Antiqua" w:cs="Times New Roman"/>
          <w:sz w:val="24"/>
          <w:szCs w:val="24"/>
        </w:rPr>
        <w:t xml:space="preserve"> </w:t>
      </w:r>
      <w:r w:rsidR="00C6598E" w:rsidRPr="00565259">
        <w:rPr>
          <w:rFonts w:ascii="Book Antiqua" w:hAnsi="Book Antiqua" w:cs="Times New Roman"/>
          <w:sz w:val="24"/>
          <w:szCs w:val="24"/>
        </w:rPr>
        <w:t xml:space="preserve">Melissa </w:t>
      </w:r>
      <w:r w:rsidRPr="00565259">
        <w:rPr>
          <w:rFonts w:ascii="Book Antiqua" w:hAnsi="Book Antiqua" w:cs="Times New Roman"/>
          <w:sz w:val="24"/>
          <w:szCs w:val="24"/>
        </w:rPr>
        <w:t>A</w:t>
      </w:r>
      <w:r w:rsidR="009A1953" w:rsidRPr="00565259">
        <w:rPr>
          <w:rFonts w:ascii="Book Antiqua" w:hAnsi="Book Antiqua" w:cs="Times New Roman"/>
          <w:sz w:val="24"/>
          <w:szCs w:val="24"/>
        </w:rPr>
        <w:t xml:space="preserve"> </w:t>
      </w:r>
      <w:r w:rsidR="00C6598E" w:rsidRPr="00565259">
        <w:rPr>
          <w:rFonts w:ascii="Book Antiqua" w:hAnsi="Book Antiqua" w:cs="Times New Roman"/>
          <w:sz w:val="24"/>
          <w:szCs w:val="24"/>
        </w:rPr>
        <w:t>Kacena, Matt</w:t>
      </w:r>
      <w:r w:rsidR="00875CB5" w:rsidRPr="00565259">
        <w:rPr>
          <w:rFonts w:ascii="Book Antiqua" w:hAnsi="Book Antiqua" w:cs="Times New Roman"/>
          <w:sz w:val="24"/>
          <w:szCs w:val="24"/>
        </w:rPr>
        <w:t>h</w:t>
      </w:r>
      <w:r w:rsidR="00C6598E" w:rsidRPr="00565259">
        <w:rPr>
          <w:rFonts w:ascii="Book Antiqua" w:hAnsi="Book Antiqua" w:cs="Times New Roman"/>
          <w:sz w:val="24"/>
          <w:szCs w:val="24"/>
        </w:rPr>
        <w:t>ias Claus</w:t>
      </w:r>
      <w:r w:rsidR="00312A68" w:rsidRPr="00565259">
        <w:rPr>
          <w:rFonts w:ascii="Book Antiqua" w:hAnsi="Book Antiqua" w:cs="Times New Roman"/>
          <w:sz w:val="24"/>
          <w:szCs w:val="24"/>
        </w:rPr>
        <w:t>s</w:t>
      </w:r>
      <w:r w:rsidR="00C6598E" w:rsidRPr="00565259">
        <w:rPr>
          <w:rFonts w:ascii="Book Antiqua" w:hAnsi="Book Antiqua" w:cs="Times New Roman"/>
          <w:sz w:val="24"/>
          <w:szCs w:val="24"/>
        </w:rPr>
        <w:t>, Jiliang Li</w:t>
      </w:r>
    </w:p>
    <w:p w14:paraId="34C3686A" w14:textId="77777777" w:rsidR="00E7322D" w:rsidRPr="00565259" w:rsidRDefault="00E7322D" w:rsidP="00B83DB9">
      <w:pPr>
        <w:tabs>
          <w:tab w:val="left" w:pos="720"/>
        </w:tabs>
        <w:spacing w:after="0" w:line="360" w:lineRule="auto"/>
        <w:jc w:val="both"/>
        <w:rPr>
          <w:rFonts w:ascii="Book Antiqua" w:hAnsi="Book Antiqua" w:cs="Times New Roman"/>
          <w:b/>
          <w:sz w:val="24"/>
          <w:szCs w:val="24"/>
        </w:rPr>
      </w:pPr>
    </w:p>
    <w:p w14:paraId="15F254DE" w14:textId="150C8328" w:rsidR="00E1765C" w:rsidRPr="00565259" w:rsidRDefault="00432671"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cs="Times New Roman"/>
          <w:b/>
          <w:sz w:val="24"/>
          <w:szCs w:val="24"/>
        </w:rPr>
        <w:t>Diane R</w:t>
      </w:r>
      <w:r w:rsidR="008C6DDA" w:rsidRPr="00565259">
        <w:rPr>
          <w:rFonts w:ascii="Book Antiqua" w:hAnsi="Book Antiqua" w:cs="Times New Roman"/>
          <w:b/>
          <w:sz w:val="24"/>
          <w:szCs w:val="24"/>
        </w:rPr>
        <w:t xml:space="preserve"> Wagner, Sonali Karnik,</w:t>
      </w:r>
      <w:r w:rsidR="008C6DDA" w:rsidRPr="00565259">
        <w:rPr>
          <w:rFonts w:ascii="Book Antiqua" w:hAnsi="Book Antiqua" w:cs="Times New Roman"/>
          <w:sz w:val="24"/>
          <w:szCs w:val="24"/>
        </w:rPr>
        <w:t xml:space="preserve"> Department of Mechanical and Energy Engineering, Indiana University-Purdue University Indianapolis, Indianapolis, IN</w:t>
      </w:r>
      <w:r w:rsidR="00253B19" w:rsidRPr="00565259">
        <w:rPr>
          <w:rFonts w:ascii="Book Antiqua" w:hAnsi="Book Antiqua" w:cs="Times New Roman"/>
          <w:sz w:val="24"/>
          <w:szCs w:val="24"/>
        </w:rPr>
        <w:t xml:space="preserve"> </w:t>
      </w:r>
      <w:r w:rsidR="008C6DDA" w:rsidRPr="00565259">
        <w:rPr>
          <w:rFonts w:ascii="Book Antiqua" w:hAnsi="Book Antiqua" w:cs="Times New Roman"/>
          <w:sz w:val="24"/>
          <w:szCs w:val="24"/>
        </w:rPr>
        <w:t>46202, United States</w:t>
      </w:r>
    </w:p>
    <w:p w14:paraId="57F11791" w14:textId="77777777" w:rsidR="00E94BB9" w:rsidRPr="00565259" w:rsidRDefault="00E94BB9" w:rsidP="00B83DB9">
      <w:pPr>
        <w:tabs>
          <w:tab w:val="left" w:pos="720"/>
        </w:tabs>
        <w:spacing w:after="0" w:line="360" w:lineRule="auto"/>
        <w:jc w:val="both"/>
        <w:rPr>
          <w:rFonts w:ascii="Book Antiqua" w:hAnsi="Book Antiqua" w:cs="Times New Roman"/>
          <w:sz w:val="24"/>
          <w:szCs w:val="24"/>
        </w:rPr>
      </w:pPr>
    </w:p>
    <w:p w14:paraId="483EE9FD" w14:textId="572208EA" w:rsidR="00D17E28" w:rsidRPr="00565259" w:rsidRDefault="008C6DDA"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cs="Times New Roman"/>
          <w:b/>
          <w:sz w:val="24"/>
          <w:szCs w:val="24"/>
        </w:rPr>
        <w:t xml:space="preserve">Zachary </w:t>
      </w:r>
      <w:r w:rsidR="000F79FB" w:rsidRPr="00565259">
        <w:rPr>
          <w:rFonts w:ascii="Book Antiqua" w:hAnsi="Book Antiqua" w:cs="Times New Roman"/>
          <w:b/>
          <w:sz w:val="24"/>
          <w:szCs w:val="24"/>
        </w:rPr>
        <w:t xml:space="preserve">J </w:t>
      </w:r>
      <w:r w:rsidRPr="00565259">
        <w:rPr>
          <w:rFonts w:ascii="Book Antiqua" w:hAnsi="Book Antiqua" w:cs="Times New Roman"/>
          <w:b/>
          <w:sz w:val="24"/>
          <w:szCs w:val="24"/>
        </w:rPr>
        <w:t>Gunderson</w:t>
      </w:r>
      <w:r w:rsidR="00875CB5" w:rsidRPr="00565259">
        <w:rPr>
          <w:rFonts w:ascii="Book Antiqua" w:hAnsi="Book Antiqua" w:cs="Times New Roman"/>
          <w:b/>
          <w:sz w:val="24"/>
          <w:szCs w:val="24"/>
        </w:rPr>
        <w:t>,</w:t>
      </w:r>
      <w:r w:rsidR="00D17E28" w:rsidRPr="00565259">
        <w:rPr>
          <w:rFonts w:ascii="Book Antiqua" w:hAnsi="Book Antiqua" w:cs="Times New Roman"/>
          <w:b/>
          <w:sz w:val="24"/>
          <w:szCs w:val="24"/>
        </w:rPr>
        <w:t xml:space="preserve"> Todd</w:t>
      </w:r>
      <w:r w:rsidR="000F79FB" w:rsidRPr="00565259">
        <w:rPr>
          <w:rFonts w:ascii="Book Antiqua" w:hAnsi="Book Antiqua" w:cs="Times New Roman"/>
          <w:b/>
          <w:sz w:val="24"/>
          <w:szCs w:val="24"/>
        </w:rPr>
        <w:t xml:space="preserve"> O</w:t>
      </w:r>
      <w:r w:rsidR="00E7322D" w:rsidRPr="00565259">
        <w:rPr>
          <w:rFonts w:ascii="Book Antiqua" w:hAnsi="Book Antiqua" w:cs="Times New Roman"/>
          <w:b/>
          <w:sz w:val="24"/>
          <w:szCs w:val="24"/>
        </w:rPr>
        <w:t xml:space="preserve"> McKinley</w:t>
      </w:r>
      <w:r w:rsidR="00D17E28" w:rsidRPr="00565259">
        <w:rPr>
          <w:rFonts w:ascii="Book Antiqua" w:hAnsi="Book Antiqua" w:cs="Times New Roman"/>
          <w:b/>
          <w:sz w:val="24"/>
          <w:szCs w:val="24"/>
        </w:rPr>
        <w:t xml:space="preserve">, </w:t>
      </w:r>
      <w:r w:rsidR="00D17E28" w:rsidRPr="00565259">
        <w:rPr>
          <w:rFonts w:ascii="Book Antiqua" w:hAnsi="Book Antiqua" w:cs="Times New Roman"/>
          <w:sz w:val="24"/>
          <w:szCs w:val="24"/>
        </w:rPr>
        <w:t>Department of Orthopaedic Surgery, Indiana University School of Medicine,</w:t>
      </w:r>
      <w:r w:rsidR="00D17E28" w:rsidRPr="00565259">
        <w:rPr>
          <w:rFonts w:ascii="Book Antiqua" w:hAnsi="Book Antiqua" w:cs="Times New Roman"/>
          <w:b/>
          <w:sz w:val="24"/>
          <w:szCs w:val="24"/>
        </w:rPr>
        <w:t xml:space="preserve"> </w:t>
      </w:r>
      <w:r w:rsidR="00D17E28" w:rsidRPr="00565259">
        <w:rPr>
          <w:rFonts w:ascii="Book Antiqua" w:hAnsi="Book Antiqua" w:cs="Times New Roman"/>
          <w:sz w:val="24"/>
          <w:szCs w:val="24"/>
        </w:rPr>
        <w:t>Indianapolis, IN 46202, United States</w:t>
      </w:r>
    </w:p>
    <w:p w14:paraId="4FBCE0C8" w14:textId="77777777" w:rsidR="00E94BB9" w:rsidRPr="00565259" w:rsidRDefault="00E94BB9" w:rsidP="00B83DB9">
      <w:pPr>
        <w:tabs>
          <w:tab w:val="left" w:pos="720"/>
        </w:tabs>
        <w:spacing w:after="0" w:line="360" w:lineRule="auto"/>
        <w:jc w:val="both"/>
        <w:rPr>
          <w:rFonts w:ascii="Book Antiqua" w:hAnsi="Book Antiqua" w:cs="Times New Roman"/>
          <w:sz w:val="24"/>
          <w:szCs w:val="24"/>
        </w:rPr>
      </w:pPr>
    </w:p>
    <w:p w14:paraId="1699143A" w14:textId="43E4278E" w:rsidR="008C6DDA" w:rsidRPr="00565259" w:rsidRDefault="00875CB5" w:rsidP="00B83DB9">
      <w:pPr>
        <w:tabs>
          <w:tab w:val="left" w:pos="720"/>
        </w:tabs>
        <w:spacing w:after="0" w:line="360" w:lineRule="auto"/>
        <w:jc w:val="both"/>
        <w:rPr>
          <w:rFonts w:ascii="Book Antiqua" w:hAnsi="Book Antiqua" w:cs="Arial"/>
          <w:sz w:val="24"/>
          <w:szCs w:val="24"/>
        </w:rPr>
      </w:pPr>
      <w:r w:rsidRPr="00565259">
        <w:rPr>
          <w:rFonts w:ascii="Book Antiqua" w:hAnsi="Book Antiqua" w:cs="Times New Roman"/>
          <w:b/>
          <w:sz w:val="24"/>
          <w:szCs w:val="24"/>
        </w:rPr>
        <w:t xml:space="preserve">Jeffery </w:t>
      </w:r>
      <w:r w:rsidR="00E7322D" w:rsidRPr="00565259">
        <w:rPr>
          <w:rFonts w:ascii="Book Antiqua" w:hAnsi="Book Antiqua" w:cs="Times New Roman"/>
          <w:b/>
          <w:sz w:val="24"/>
          <w:szCs w:val="24"/>
        </w:rPr>
        <w:t xml:space="preserve">J </w:t>
      </w:r>
      <w:r w:rsidRPr="00565259">
        <w:rPr>
          <w:rFonts w:ascii="Book Antiqua" w:hAnsi="Book Antiqua" w:cs="Times New Roman"/>
          <w:b/>
          <w:sz w:val="24"/>
          <w:szCs w:val="24"/>
        </w:rPr>
        <w:t xml:space="preserve">Nielsen, </w:t>
      </w:r>
      <w:r w:rsidR="001A6D3B" w:rsidRPr="00565259">
        <w:rPr>
          <w:rFonts w:ascii="Book Antiqua" w:hAnsi="Book Antiqua" w:cs="Arial"/>
          <w:sz w:val="24"/>
          <w:szCs w:val="24"/>
        </w:rPr>
        <w:t>Department of Medicinal Chemistry and Molecular Pharmacology, Purdue University, West Lafayette, IN 47907</w:t>
      </w:r>
      <w:r w:rsidR="00E94BB9" w:rsidRPr="00565259">
        <w:rPr>
          <w:rFonts w:ascii="Book Antiqua" w:hAnsi="Book Antiqua" w:cs="Arial"/>
          <w:sz w:val="24"/>
          <w:szCs w:val="24"/>
        </w:rPr>
        <w:t>,</w:t>
      </w:r>
      <w:r w:rsidR="001A6D3B" w:rsidRPr="00565259">
        <w:rPr>
          <w:rFonts w:ascii="Book Antiqua" w:hAnsi="Book Antiqua" w:cs="Arial"/>
          <w:sz w:val="24"/>
          <w:szCs w:val="24"/>
        </w:rPr>
        <w:t xml:space="preserve"> United States</w:t>
      </w:r>
    </w:p>
    <w:p w14:paraId="04D03DEC" w14:textId="77777777" w:rsidR="00E94BB9" w:rsidRPr="00565259" w:rsidRDefault="00E94BB9" w:rsidP="00B83DB9">
      <w:pPr>
        <w:tabs>
          <w:tab w:val="left" w:pos="720"/>
        </w:tabs>
        <w:spacing w:after="0" w:line="360" w:lineRule="auto"/>
        <w:jc w:val="both"/>
        <w:rPr>
          <w:rFonts w:ascii="Book Antiqua" w:hAnsi="Book Antiqua" w:cs="Times New Roman"/>
          <w:sz w:val="24"/>
          <w:szCs w:val="24"/>
        </w:rPr>
      </w:pPr>
    </w:p>
    <w:p w14:paraId="22BC0DD7" w14:textId="22CE3B7E" w:rsidR="00875CB5" w:rsidRPr="00565259" w:rsidRDefault="00875CB5"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cs="Times New Roman"/>
          <w:b/>
          <w:sz w:val="24"/>
          <w:szCs w:val="24"/>
        </w:rPr>
        <w:t xml:space="preserve">Alanna Fennimore, </w:t>
      </w:r>
      <w:r w:rsidR="000F79FB" w:rsidRPr="00565259">
        <w:rPr>
          <w:rFonts w:ascii="Book Antiqua" w:hAnsi="Book Antiqua" w:cs="Times New Roman"/>
          <w:b/>
          <w:sz w:val="24"/>
          <w:szCs w:val="24"/>
        </w:rPr>
        <w:t xml:space="preserve">M </w:t>
      </w:r>
      <w:r w:rsidRPr="00565259">
        <w:rPr>
          <w:rFonts w:ascii="Book Antiqua" w:hAnsi="Book Antiqua" w:cs="Times New Roman"/>
          <w:b/>
          <w:sz w:val="24"/>
          <w:szCs w:val="24"/>
        </w:rPr>
        <w:t>Terry Loghmani,</w:t>
      </w:r>
      <w:r w:rsidR="001A6D3B" w:rsidRPr="00565259">
        <w:rPr>
          <w:rFonts w:ascii="Book Antiqua" w:hAnsi="Book Antiqua" w:cs="Times New Roman"/>
          <w:b/>
          <w:sz w:val="24"/>
          <w:szCs w:val="24"/>
        </w:rPr>
        <w:t xml:space="preserve"> </w:t>
      </w:r>
      <w:r w:rsidR="001A6D3B" w:rsidRPr="00565259">
        <w:rPr>
          <w:rFonts w:ascii="Book Antiqua" w:hAnsi="Book Antiqua" w:cs="Times New Roman"/>
          <w:sz w:val="24"/>
          <w:szCs w:val="24"/>
        </w:rPr>
        <w:t>Department of Physical Therapy,</w:t>
      </w:r>
      <w:r w:rsidR="001A6D3B" w:rsidRPr="00565259">
        <w:rPr>
          <w:rFonts w:ascii="Book Antiqua" w:hAnsi="Book Antiqua" w:cs="Times New Roman"/>
          <w:b/>
          <w:sz w:val="24"/>
          <w:szCs w:val="24"/>
        </w:rPr>
        <w:t xml:space="preserve"> </w:t>
      </w:r>
      <w:r w:rsidR="001A6D3B" w:rsidRPr="00565259">
        <w:rPr>
          <w:rFonts w:ascii="Book Antiqua" w:hAnsi="Book Antiqua" w:cs="Times New Roman"/>
          <w:sz w:val="24"/>
          <w:szCs w:val="24"/>
        </w:rPr>
        <w:t>Indiana University-Purdue University Indianapolis, Indianapolis, IN 46202, United States</w:t>
      </w:r>
    </w:p>
    <w:p w14:paraId="5CCD207F" w14:textId="77777777" w:rsidR="00E94BB9" w:rsidRPr="00565259" w:rsidRDefault="00E94BB9" w:rsidP="00B83DB9">
      <w:pPr>
        <w:tabs>
          <w:tab w:val="left" w:pos="720"/>
        </w:tabs>
        <w:spacing w:after="0" w:line="360" w:lineRule="auto"/>
        <w:jc w:val="both"/>
        <w:rPr>
          <w:rFonts w:ascii="Book Antiqua" w:hAnsi="Book Antiqua" w:cs="Times New Roman"/>
          <w:sz w:val="24"/>
          <w:szCs w:val="24"/>
        </w:rPr>
      </w:pPr>
    </w:p>
    <w:p w14:paraId="1F812AB4" w14:textId="461B6CBA" w:rsidR="00875CB5" w:rsidRPr="00565259" w:rsidRDefault="00875CB5" w:rsidP="00B83DB9">
      <w:pPr>
        <w:spacing w:after="0" w:line="360" w:lineRule="auto"/>
        <w:jc w:val="both"/>
        <w:rPr>
          <w:rFonts w:ascii="Book Antiqua" w:hAnsi="Book Antiqua" w:cs="Times New Roman"/>
          <w:sz w:val="24"/>
          <w:szCs w:val="24"/>
        </w:rPr>
      </w:pPr>
      <w:r w:rsidRPr="00565259">
        <w:rPr>
          <w:rFonts w:ascii="Book Antiqua" w:hAnsi="Book Antiqua" w:cs="Times New Roman"/>
          <w:b/>
          <w:sz w:val="24"/>
          <w:szCs w:val="24"/>
        </w:rPr>
        <w:t xml:space="preserve">Hunter </w:t>
      </w:r>
      <w:r w:rsidR="001A6D3B" w:rsidRPr="00565259">
        <w:rPr>
          <w:rFonts w:ascii="Book Antiqua" w:hAnsi="Book Antiqua" w:cs="Times New Roman"/>
          <w:b/>
          <w:sz w:val="24"/>
          <w:szCs w:val="24"/>
        </w:rPr>
        <w:t xml:space="preserve">J </w:t>
      </w:r>
      <w:r w:rsidRPr="00565259">
        <w:rPr>
          <w:rFonts w:ascii="Book Antiqua" w:hAnsi="Book Antiqua" w:cs="Times New Roman"/>
          <w:b/>
          <w:sz w:val="24"/>
          <w:szCs w:val="24"/>
        </w:rPr>
        <w:t xml:space="preserve">Promer, Jonathon </w:t>
      </w:r>
      <w:r w:rsidR="001A6D3B" w:rsidRPr="00565259">
        <w:rPr>
          <w:rFonts w:ascii="Book Antiqua" w:hAnsi="Book Antiqua" w:cs="Times New Roman"/>
          <w:b/>
          <w:sz w:val="24"/>
          <w:szCs w:val="24"/>
        </w:rPr>
        <w:t xml:space="preserve">W </w:t>
      </w:r>
      <w:r w:rsidRPr="00565259">
        <w:rPr>
          <w:rFonts w:ascii="Book Antiqua" w:hAnsi="Book Antiqua" w:cs="Times New Roman"/>
          <w:b/>
          <w:sz w:val="24"/>
          <w:szCs w:val="24"/>
        </w:rPr>
        <w:t>Lowery,</w:t>
      </w:r>
      <w:r w:rsidR="001A6D3B" w:rsidRPr="00565259">
        <w:rPr>
          <w:rFonts w:ascii="Book Antiqua" w:hAnsi="Book Antiqua" w:cs="Times New Roman"/>
          <w:b/>
          <w:sz w:val="24"/>
          <w:szCs w:val="24"/>
        </w:rPr>
        <w:t xml:space="preserve"> </w:t>
      </w:r>
      <w:r w:rsidR="001A6D3B" w:rsidRPr="00565259">
        <w:rPr>
          <w:rFonts w:ascii="Book Antiqua" w:hAnsi="Book Antiqua"/>
          <w:sz w:val="24"/>
          <w:szCs w:val="24"/>
        </w:rPr>
        <w:t>Division of Biomedical Science, Marian University College of Osteopathic Medicine, Indianapolis, IN 46222</w:t>
      </w:r>
      <w:r w:rsidR="00E94BB9" w:rsidRPr="00565259">
        <w:rPr>
          <w:rFonts w:ascii="Book Antiqua" w:hAnsi="Book Antiqua"/>
          <w:sz w:val="24"/>
          <w:szCs w:val="24"/>
        </w:rPr>
        <w:t xml:space="preserve">, </w:t>
      </w:r>
      <w:r w:rsidR="00E94BB9" w:rsidRPr="00565259">
        <w:rPr>
          <w:rFonts w:ascii="Book Antiqua" w:hAnsi="Book Antiqua" w:cs="Times New Roman"/>
          <w:sz w:val="24"/>
          <w:szCs w:val="24"/>
        </w:rPr>
        <w:t>United States</w:t>
      </w:r>
    </w:p>
    <w:p w14:paraId="2526EEAB" w14:textId="77777777" w:rsidR="00E94BB9" w:rsidRPr="00565259" w:rsidRDefault="00E94BB9" w:rsidP="00B83DB9">
      <w:pPr>
        <w:spacing w:after="0" w:line="360" w:lineRule="auto"/>
        <w:jc w:val="both"/>
        <w:rPr>
          <w:rFonts w:ascii="Book Antiqua" w:hAnsi="Book Antiqua"/>
          <w:sz w:val="24"/>
          <w:szCs w:val="24"/>
        </w:rPr>
      </w:pPr>
    </w:p>
    <w:p w14:paraId="75D60DAC" w14:textId="619EDA74" w:rsidR="00FB52FF" w:rsidRPr="00565259" w:rsidRDefault="00FB52FF" w:rsidP="00B83DB9">
      <w:pPr>
        <w:tabs>
          <w:tab w:val="left" w:pos="720"/>
        </w:tabs>
        <w:spacing w:after="0" w:line="360" w:lineRule="auto"/>
        <w:jc w:val="both"/>
        <w:rPr>
          <w:rFonts w:ascii="Book Antiqua" w:hAnsi="Book Antiqua" w:cs="Arial"/>
          <w:sz w:val="24"/>
          <w:szCs w:val="24"/>
        </w:rPr>
      </w:pPr>
      <w:r w:rsidRPr="00565259">
        <w:rPr>
          <w:rFonts w:ascii="Book Antiqua" w:hAnsi="Book Antiqua" w:cs="Times New Roman"/>
          <w:b/>
          <w:sz w:val="24"/>
          <w:szCs w:val="24"/>
        </w:rPr>
        <w:t xml:space="preserve">Philip S Low, </w:t>
      </w:r>
      <w:r w:rsidRPr="00565259">
        <w:rPr>
          <w:rFonts w:ascii="Book Antiqua" w:hAnsi="Book Antiqua" w:cs="Arial"/>
          <w:sz w:val="24"/>
          <w:szCs w:val="24"/>
        </w:rPr>
        <w:t>Department of Chemistry, Purdue University, West Lafayette, IN 47907 United States</w:t>
      </w:r>
    </w:p>
    <w:p w14:paraId="262F8728" w14:textId="77777777" w:rsidR="00E94BB9" w:rsidRPr="00565259" w:rsidRDefault="00E94BB9" w:rsidP="00B83DB9">
      <w:pPr>
        <w:tabs>
          <w:tab w:val="left" w:pos="720"/>
        </w:tabs>
        <w:spacing w:after="0" w:line="360" w:lineRule="auto"/>
        <w:jc w:val="both"/>
        <w:rPr>
          <w:rFonts w:ascii="Book Antiqua" w:hAnsi="Book Antiqua" w:cs="Times New Roman"/>
          <w:b/>
          <w:sz w:val="24"/>
          <w:szCs w:val="24"/>
        </w:rPr>
      </w:pPr>
    </w:p>
    <w:p w14:paraId="38D057C3" w14:textId="3CCB6E8A" w:rsidR="00253B19" w:rsidRPr="00565259" w:rsidRDefault="00E7322D"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cs="Times New Roman"/>
          <w:b/>
          <w:sz w:val="24"/>
          <w:szCs w:val="24"/>
        </w:rPr>
        <w:t xml:space="preserve">Melissa A Kacena, </w:t>
      </w:r>
      <w:r w:rsidRPr="00565259">
        <w:rPr>
          <w:rFonts w:ascii="Book Antiqua" w:hAnsi="Book Antiqua" w:cs="Times New Roman"/>
          <w:sz w:val="24"/>
          <w:szCs w:val="24"/>
        </w:rPr>
        <w:t>Department of Orthopaedic Surgery, Indiana University School of Medicine,</w:t>
      </w:r>
      <w:r w:rsidRPr="00565259">
        <w:rPr>
          <w:rFonts w:ascii="Book Antiqua" w:hAnsi="Book Antiqua" w:cs="Times New Roman"/>
          <w:b/>
          <w:sz w:val="24"/>
          <w:szCs w:val="24"/>
        </w:rPr>
        <w:t xml:space="preserve"> </w:t>
      </w:r>
      <w:r w:rsidRPr="00565259">
        <w:rPr>
          <w:rFonts w:ascii="Book Antiqua" w:hAnsi="Book Antiqua" w:cs="Times New Roman"/>
          <w:sz w:val="24"/>
          <w:szCs w:val="24"/>
        </w:rPr>
        <w:t>Indianapolis, IN 46202, United States</w:t>
      </w:r>
    </w:p>
    <w:p w14:paraId="635C896F" w14:textId="77777777" w:rsidR="00253B19" w:rsidRPr="00565259" w:rsidRDefault="00253B19" w:rsidP="00B83DB9">
      <w:pPr>
        <w:tabs>
          <w:tab w:val="left" w:pos="720"/>
        </w:tabs>
        <w:spacing w:after="0" w:line="360" w:lineRule="auto"/>
        <w:jc w:val="both"/>
        <w:rPr>
          <w:rFonts w:ascii="Book Antiqua" w:hAnsi="Book Antiqua" w:cs="Times New Roman"/>
          <w:sz w:val="24"/>
          <w:szCs w:val="24"/>
        </w:rPr>
      </w:pPr>
    </w:p>
    <w:p w14:paraId="5776F2DE" w14:textId="55F8DA1A" w:rsidR="00E7322D" w:rsidRPr="00565259" w:rsidRDefault="00253B19"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cs="Times New Roman"/>
          <w:b/>
          <w:sz w:val="24"/>
          <w:szCs w:val="24"/>
        </w:rPr>
        <w:t xml:space="preserve">Melissa A Kacena, </w:t>
      </w:r>
      <w:r w:rsidR="00E7322D" w:rsidRPr="00565259">
        <w:rPr>
          <w:rFonts w:ascii="Book Antiqua" w:hAnsi="Book Antiqua" w:cs="Times New Roman"/>
          <w:sz w:val="24"/>
          <w:szCs w:val="24"/>
        </w:rPr>
        <w:t>Richard L. Roudebush VA Medical Center, Indianapolis, IN 46202, United States</w:t>
      </w:r>
    </w:p>
    <w:p w14:paraId="06F43137" w14:textId="77777777" w:rsidR="00E94BB9" w:rsidRPr="00565259" w:rsidRDefault="00E94BB9" w:rsidP="00B83DB9">
      <w:pPr>
        <w:tabs>
          <w:tab w:val="left" w:pos="720"/>
        </w:tabs>
        <w:spacing w:after="0" w:line="360" w:lineRule="auto"/>
        <w:jc w:val="both"/>
        <w:rPr>
          <w:rFonts w:ascii="Book Antiqua" w:hAnsi="Book Antiqua" w:cs="Times New Roman"/>
          <w:sz w:val="24"/>
          <w:szCs w:val="24"/>
        </w:rPr>
      </w:pPr>
    </w:p>
    <w:p w14:paraId="6EB0BAE0" w14:textId="6110BDA1" w:rsidR="00875CB5" w:rsidRPr="00565259" w:rsidRDefault="00875CB5" w:rsidP="00B83DB9">
      <w:pPr>
        <w:spacing w:after="0" w:line="360" w:lineRule="auto"/>
        <w:jc w:val="both"/>
        <w:rPr>
          <w:rFonts w:ascii="Book Antiqua" w:hAnsi="Book Antiqua" w:cs="Times New Roman"/>
          <w:sz w:val="24"/>
          <w:szCs w:val="24"/>
        </w:rPr>
      </w:pPr>
      <w:r w:rsidRPr="00565259">
        <w:rPr>
          <w:rFonts w:ascii="Book Antiqua" w:hAnsi="Book Antiqua" w:cs="Times New Roman"/>
          <w:b/>
          <w:sz w:val="24"/>
          <w:szCs w:val="24"/>
        </w:rPr>
        <w:t>Matthias Claus</w:t>
      </w:r>
      <w:r w:rsidR="00312A68" w:rsidRPr="00565259">
        <w:rPr>
          <w:rFonts w:ascii="Book Antiqua" w:hAnsi="Book Antiqua" w:cs="Times New Roman"/>
          <w:b/>
          <w:sz w:val="24"/>
          <w:szCs w:val="24"/>
        </w:rPr>
        <w:t>s</w:t>
      </w:r>
      <w:r w:rsidRPr="00565259">
        <w:rPr>
          <w:rFonts w:ascii="Book Antiqua" w:hAnsi="Book Antiqua" w:cs="Times New Roman"/>
          <w:b/>
          <w:sz w:val="24"/>
          <w:szCs w:val="24"/>
        </w:rPr>
        <w:t>,</w:t>
      </w:r>
      <w:r w:rsidR="00E7322D" w:rsidRPr="00565259">
        <w:rPr>
          <w:rFonts w:ascii="Book Antiqua" w:hAnsi="Book Antiqua" w:cs="Times New Roman"/>
          <w:b/>
          <w:sz w:val="24"/>
          <w:szCs w:val="24"/>
        </w:rPr>
        <w:t xml:space="preserve"> </w:t>
      </w:r>
      <w:r w:rsidR="00E7322D" w:rsidRPr="00565259">
        <w:rPr>
          <w:rFonts w:ascii="Book Antiqua" w:hAnsi="Book Antiqua" w:cs="Times New Roman"/>
          <w:sz w:val="24"/>
          <w:szCs w:val="24"/>
        </w:rPr>
        <w:t>Department of Medicine, Indiana University School of Medicine,</w:t>
      </w:r>
      <w:r w:rsidR="00E7322D" w:rsidRPr="00565259">
        <w:rPr>
          <w:rFonts w:ascii="Book Antiqua" w:hAnsi="Book Antiqua" w:cs="Times New Roman"/>
          <w:b/>
          <w:sz w:val="24"/>
          <w:szCs w:val="24"/>
        </w:rPr>
        <w:t xml:space="preserve"> </w:t>
      </w:r>
      <w:r w:rsidR="00E7322D" w:rsidRPr="00565259">
        <w:rPr>
          <w:rFonts w:ascii="Book Antiqua" w:hAnsi="Book Antiqua" w:cs="Times New Roman"/>
          <w:sz w:val="24"/>
          <w:szCs w:val="24"/>
        </w:rPr>
        <w:t>Indianapolis, IN 46202, United States</w:t>
      </w:r>
    </w:p>
    <w:p w14:paraId="5A47C199" w14:textId="77777777" w:rsidR="00E94BB9" w:rsidRPr="00565259" w:rsidRDefault="00E94BB9" w:rsidP="00B83DB9">
      <w:pPr>
        <w:spacing w:after="0" w:line="360" w:lineRule="auto"/>
        <w:jc w:val="both"/>
        <w:rPr>
          <w:rFonts w:ascii="Book Antiqua" w:hAnsi="Book Antiqua" w:cs="Times New Roman"/>
          <w:sz w:val="24"/>
          <w:szCs w:val="24"/>
        </w:rPr>
      </w:pPr>
    </w:p>
    <w:p w14:paraId="321D09DE" w14:textId="694D372D" w:rsidR="00875CB5" w:rsidRPr="00565259" w:rsidRDefault="00875CB5" w:rsidP="00B83DB9">
      <w:pPr>
        <w:tabs>
          <w:tab w:val="left" w:pos="720"/>
        </w:tabs>
        <w:spacing w:after="0" w:line="360" w:lineRule="auto"/>
        <w:jc w:val="both"/>
        <w:rPr>
          <w:rFonts w:ascii="Book Antiqua" w:hAnsi="Book Antiqua" w:cs="Times New Roman"/>
          <w:b/>
          <w:sz w:val="24"/>
          <w:szCs w:val="24"/>
        </w:rPr>
      </w:pPr>
      <w:r w:rsidRPr="00565259">
        <w:rPr>
          <w:rFonts w:ascii="Book Antiqua" w:hAnsi="Book Antiqua" w:cs="Times New Roman"/>
          <w:b/>
          <w:sz w:val="24"/>
          <w:szCs w:val="24"/>
        </w:rPr>
        <w:t>Jiliang Li,</w:t>
      </w:r>
      <w:r w:rsidR="006F45DE" w:rsidRPr="00565259">
        <w:rPr>
          <w:rFonts w:ascii="Book Antiqua" w:hAnsi="Book Antiqua" w:cs="Times New Roman"/>
          <w:b/>
          <w:sz w:val="24"/>
          <w:szCs w:val="24"/>
        </w:rPr>
        <w:t xml:space="preserve"> </w:t>
      </w:r>
      <w:r w:rsidR="006F45DE" w:rsidRPr="00565259">
        <w:rPr>
          <w:rFonts w:ascii="Book Antiqua" w:hAnsi="Book Antiqua" w:cs="Times New Roman"/>
          <w:sz w:val="24"/>
          <w:szCs w:val="24"/>
        </w:rPr>
        <w:t>Department</w:t>
      </w:r>
      <w:r w:rsidR="001A6D3B" w:rsidRPr="00565259">
        <w:rPr>
          <w:rFonts w:ascii="Book Antiqua" w:hAnsi="Book Antiqua" w:cs="Times New Roman"/>
          <w:sz w:val="24"/>
          <w:szCs w:val="24"/>
        </w:rPr>
        <w:t xml:space="preserve"> of Biology, Indiana University-</w:t>
      </w:r>
      <w:r w:rsidR="006F45DE" w:rsidRPr="00565259">
        <w:rPr>
          <w:rFonts w:ascii="Book Antiqua" w:hAnsi="Book Antiqua" w:cs="Times New Roman"/>
          <w:sz w:val="24"/>
          <w:szCs w:val="24"/>
        </w:rPr>
        <w:t>Purdue University Indianapolis, Indianapolis, IN 46202</w:t>
      </w:r>
      <w:r w:rsidR="00D57E27" w:rsidRPr="00565259">
        <w:rPr>
          <w:rFonts w:ascii="Book Antiqua" w:hAnsi="Book Antiqua" w:cs="Times New Roman"/>
          <w:sz w:val="24"/>
          <w:szCs w:val="24"/>
        </w:rPr>
        <w:t>, United States</w:t>
      </w:r>
    </w:p>
    <w:p w14:paraId="74C02379" w14:textId="77777777" w:rsidR="009A1953" w:rsidRPr="00565259" w:rsidRDefault="009A1953" w:rsidP="00B83DB9">
      <w:pPr>
        <w:tabs>
          <w:tab w:val="left" w:pos="720"/>
        </w:tabs>
        <w:spacing w:after="0" w:line="360" w:lineRule="auto"/>
        <w:jc w:val="both"/>
        <w:rPr>
          <w:rFonts w:ascii="Book Antiqua" w:hAnsi="Book Antiqua" w:cs="Times New Roman"/>
          <w:sz w:val="24"/>
          <w:szCs w:val="24"/>
        </w:rPr>
      </w:pPr>
    </w:p>
    <w:p w14:paraId="3EE70F5D" w14:textId="052BD5A5" w:rsidR="00875CB5" w:rsidRPr="00565259" w:rsidRDefault="00253B19"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b/>
          <w:bCs/>
          <w:sz w:val="24"/>
          <w:szCs w:val="24"/>
          <w:shd w:val="clear" w:color="auto" w:fill="FFFFFF"/>
        </w:rPr>
        <w:t>ORCID number</w:t>
      </w:r>
      <w:r w:rsidRPr="00565259">
        <w:rPr>
          <w:rFonts w:ascii="Book Antiqua" w:hAnsi="Book Antiqua"/>
          <w:b/>
          <w:sz w:val="24"/>
          <w:szCs w:val="24"/>
          <w:lang w:val="en-GB"/>
        </w:rPr>
        <w:t>:</w:t>
      </w:r>
      <w:r w:rsidRPr="00565259">
        <w:rPr>
          <w:rFonts w:ascii="Book Antiqua" w:hAnsi="Book Antiqua"/>
          <w:sz w:val="24"/>
          <w:szCs w:val="24"/>
        </w:rPr>
        <w:t xml:space="preserve"> </w:t>
      </w:r>
      <w:r w:rsidR="00E7322D" w:rsidRPr="00565259">
        <w:rPr>
          <w:rFonts w:ascii="Book Antiqua" w:hAnsi="Book Antiqua" w:cs="Times New Roman"/>
          <w:sz w:val="24"/>
          <w:szCs w:val="24"/>
        </w:rPr>
        <w:t>Diane R</w:t>
      </w:r>
      <w:r w:rsidR="00875CB5" w:rsidRPr="00565259">
        <w:rPr>
          <w:rFonts w:ascii="Book Antiqua" w:hAnsi="Book Antiqua" w:cs="Times New Roman"/>
          <w:sz w:val="24"/>
          <w:szCs w:val="24"/>
        </w:rPr>
        <w:t xml:space="preserve"> Wagner (</w:t>
      </w:r>
      <w:r w:rsidR="009A1953" w:rsidRPr="00565259">
        <w:rPr>
          <w:rFonts w:ascii="Book Antiqua" w:hAnsi="Book Antiqua" w:cs="Times New Roman"/>
          <w:sz w:val="24"/>
          <w:szCs w:val="24"/>
        </w:rPr>
        <w:t>0000-0001-8013-0777); Sonali Karnik</w:t>
      </w:r>
      <w:r w:rsidR="00432671" w:rsidRPr="00565259">
        <w:rPr>
          <w:rFonts w:ascii="Book Antiqua" w:hAnsi="Book Antiqua" w:cs="Times New Roman"/>
          <w:sz w:val="24"/>
          <w:szCs w:val="24"/>
        </w:rPr>
        <w:t xml:space="preserve"> </w:t>
      </w:r>
      <w:r w:rsidR="009A1953" w:rsidRPr="00565259">
        <w:rPr>
          <w:rFonts w:ascii="Book Antiqua" w:hAnsi="Book Antiqua" w:cs="Times New Roman"/>
          <w:sz w:val="24"/>
          <w:szCs w:val="24"/>
        </w:rPr>
        <w:t>(</w:t>
      </w:r>
      <w:r w:rsidR="00FB52FF" w:rsidRPr="00565259">
        <w:rPr>
          <w:rFonts w:ascii="Book Antiqua" w:hAnsi="Book Antiqua" w:cs="Times New Roman"/>
          <w:sz w:val="24"/>
          <w:szCs w:val="24"/>
        </w:rPr>
        <w:t>0000-0002-1905-2885</w:t>
      </w:r>
      <w:r w:rsidR="009A1953" w:rsidRPr="00565259">
        <w:rPr>
          <w:rFonts w:ascii="Book Antiqua" w:hAnsi="Book Antiqua" w:cs="Times New Roman"/>
          <w:sz w:val="24"/>
          <w:szCs w:val="24"/>
        </w:rPr>
        <w:t xml:space="preserve">); Zachary </w:t>
      </w:r>
      <w:r w:rsidR="00E7322D" w:rsidRPr="00565259">
        <w:rPr>
          <w:rFonts w:ascii="Book Antiqua" w:hAnsi="Book Antiqua" w:cs="Times New Roman"/>
          <w:sz w:val="24"/>
          <w:szCs w:val="24"/>
        </w:rPr>
        <w:t xml:space="preserve">J </w:t>
      </w:r>
      <w:r w:rsidR="009A1953" w:rsidRPr="00565259">
        <w:rPr>
          <w:rFonts w:ascii="Book Antiqua" w:hAnsi="Book Antiqua" w:cs="Times New Roman"/>
          <w:sz w:val="24"/>
          <w:szCs w:val="24"/>
        </w:rPr>
        <w:t>Gunderson</w:t>
      </w:r>
      <w:r w:rsidR="00432671" w:rsidRPr="00565259">
        <w:rPr>
          <w:rFonts w:ascii="Book Antiqua" w:hAnsi="Book Antiqua" w:cs="Times New Roman"/>
          <w:sz w:val="24"/>
          <w:szCs w:val="24"/>
        </w:rPr>
        <w:t xml:space="preserve"> </w:t>
      </w:r>
      <w:r w:rsidR="009A1953" w:rsidRPr="00565259">
        <w:rPr>
          <w:rFonts w:ascii="Book Antiqua" w:hAnsi="Book Antiqua" w:cs="Times New Roman"/>
          <w:sz w:val="24"/>
          <w:szCs w:val="24"/>
        </w:rPr>
        <w:t>(</w:t>
      </w:r>
      <w:r w:rsidR="001A6D3B" w:rsidRPr="00565259">
        <w:rPr>
          <w:rFonts w:ascii="Book Antiqua" w:hAnsi="Book Antiqua" w:cs="Times New Roman"/>
          <w:sz w:val="24"/>
          <w:szCs w:val="24"/>
        </w:rPr>
        <w:t>0000-0003-0469-3644</w:t>
      </w:r>
      <w:r w:rsidR="009A1953" w:rsidRPr="00565259">
        <w:rPr>
          <w:rFonts w:ascii="Book Antiqua" w:hAnsi="Book Antiqua" w:cs="Times New Roman"/>
          <w:sz w:val="24"/>
          <w:szCs w:val="24"/>
        </w:rPr>
        <w:t>);</w:t>
      </w:r>
      <w:r w:rsidR="00875CB5" w:rsidRPr="00565259">
        <w:rPr>
          <w:rFonts w:ascii="Book Antiqua" w:hAnsi="Book Antiqua" w:cs="Times New Roman"/>
          <w:sz w:val="24"/>
          <w:szCs w:val="24"/>
        </w:rPr>
        <w:t xml:space="preserve"> </w:t>
      </w:r>
      <w:r w:rsidR="009A1953" w:rsidRPr="00565259">
        <w:rPr>
          <w:rFonts w:ascii="Book Antiqua" w:hAnsi="Book Antiqua" w:cs="Times New Roman"/>
          <w:sz w:val="24"/>
          <w:szCs w:val="24"/>
        </w:rPr>
        <w:t xml:space="preserve">Jeffery </w:t>
      </w:r>
      <w:r w:rsidR="00E7322D" w:rsidRPr="00565259">
        <w:rPr>
          <w:rFonts w:ascii="Book Antiqua" w:hAnsi="Book Antiqua" w:cs="Times New Roman"/>
          <w:sz w:val="24"/>
          <w:szCs w:val="24"/>
        </w:rPr>
        <w:t xml:space="preserve">J </w:t>
      </w:r>
      <w:r w:rsidR="009A1953" w:rsidRPr="00565259">
        <w:rPr>
          <w:rFonts w:ascii="Book Antiqua" w:hAnsi="Book Antiqua" w:cs="Times New Roman"/>
          <w:sz w:val="24"/>
          <w:szCs w:val="24"/>
        </w:rPr>
        <w:t>Nielsen</w:t>
      </w:r>
      <w:r w:rsidR="00432671" w:rsidRPr="00565259">
        <w:rPr>
          <w:rFonts w:ascii="Book Antiqua" w:hAnsi="Book Antiqua" w:cs="Times New Roman"/>
          <w:sz w:val="24"/>
          <w:szCs w:val="24"/>
        </w:rPr>
        <w:t xml:space="preserve"> </w:t>
      </w:r>
      <w:r w:rsidR="009A1953" w:rsidRPr="00565259">
        <w:rPr>
          <w:rFonts w:ascii="Book Antiqua" w:hAnsi="Book Antiqua" w:cs="Times New Roman"/>
          <w:sz w:val="24"/>
          <w:szCs w:val="24"/>
        </w:rPr>
        <w:t>(</w:t>
      </w:r>
      <w:r w:rsidR="001A6D3B" w:rsidRPr="00565259">
        <w:rPr>
          <w:rFonts w:ascii="Book Antiqua" w:hAnsi="Book Antiqua" w:cs="Times New Roman"/>
          <w:sz w:val="24"/>
          <w:szCs w:val="24"/>
        </w:rPr>
        <w:t>0000-0002-2329-1299</w:t>
      </w:r>
      <w:r w:rsidR="009A1953" w:rsidRPr="00565259">
        <w:rPr>
          <w:rFonts w:ascii="Book Antiqua" w:hAnsi="Book Antiqua" w:cs="Times New Roman"/>
          <w:sz w:val="24"/>
          <w:szCs w:val="24"/>
        </w:rPr>
        <w:t>);</w:t>
      </w:r>
      <w:r w:rsidR="00875CB5" w:rsidRPr="00565259">
        <w:rPr>
          <w:rFonts w:ascii="Book Antiqua" w:hAnsi="Book Antiqua" w:cs="Times New Roman"/>
          <w:sz w:val="24"/>
          <w:szCs w:val="24"/>
        </w:rPr>
        <w:t xml:space="preserve"> </w:t>
      </w:r>
      <w:r w:rsidR="009A1953" w:rsidRPr="00565259">
        <w:rPr>
          <w:rFonts w:ascii="Book Antiqua" w:hAnsi="Book Antiqua" w:cs="Times New Roman"/>
          <w:sz w:val="24"/>
          <w:szCs w:val="24"/>
        </w:rPr>
        <w:t>Alanna Fennimore</w:t>
      </w:r>
      <w:r w:rsidR="00432671" w:rsidRPr="00565259">
        <w:rPr>
          <w:rFonts w:ascii="Book Antiqua" w:hAnsi="Book Antiqua" w:cs="Times New Roman"/>
          <w:sz w:val="24"/>
          <w:szCs w:val="24"/>
        </w:rPr>
        <w:t xml:space="preserve"> </w:t>
      </w:r>
      <w:r w:rsidR="009A1953" w:rsidRPr="00565259">
        <w:rPr>
          <w:rFonts w:ascii="Book Antiqua" w:hAnsi="Book Antiqua" w:cs="Times New Roman"/>
          <w:sz w:val="24"/>
          <w:szCs w:val="24"/>
        </w:rPr>
        <w:t>(</w:t>
      </w:r>
      <w:r w:rsidR="001A6D3B" w:rsidRPr="00565259">
        <w:rPr>
          <w:rFonts w:ascii="Book Antiqua" w:hAnsi="Book Antiqua" w:cs="Times New Roman"/>
          <w:sz w:val="24"/>
          <w:szCs w:val="24"/>
        </w:rPr>
        <w:t>0000-0002-3285-3310</w:t>
      </w:r>
      <w:r w:rsidR="009A1953" w:rsidRPr="00565259">
        <w:rPr>
          <w:rFonts w:ascii="Book Antiqua" w:hAnsi="Book Antiqua" w:cs="Times New Roman"/>
          <w:sz w:val="24"/>
          <w:szCs w:val="24"/>
        </w:rPr>
        <w:t>);</w:t>
      </w:r>
      <w:r w:rsidR="00875CB5" w:rsidRPr="00565259">
        <w:rPr>
          <w:rFonts w:ascii="Book Antiqua" w:hAnsi="Book Antiqua" w:cs="Times New Roman"/>
          <w:sz w:val="24"/>
          <w:szCs w:val="24"/>
        </w:rPr>
        <w:t xml:space="preserve"> </w:t>
      </w:r>
      <w:r w:rsidR="009A1953" w:rsidRPr="00565259">
        <w:rPr>
          <w:rFonts w:ascii="Book Antiqua" w:hAnsi="Book Antiqua" w:cs="Times New Roman"/>
          <w:sz w:val="24"/>
          <w:szCs w:val="24"/>
        </w:rPr>
        <w:t xml:space="preserve">Hunter </w:t>
      </w:r>
      <w:r w:rsidR="001A6D3B" w:rsidRPr="00565259">
        <w:rPr>
          <w:rFonts w:ascii="Book Antiqua" w:hAnsi="Book Antiqua" w:cs="Times New Roman"/>
          <w:sz w:val="24"/>
          <w:szCs w:val="24"/>
        </w:rPr>
        <w:t xml:space="preserve">J </w:t>
      </w:r>
      <w:r w:rsidR="009A1953" w:rsidRPr="00565259">
        <w:rPr>
          <w:rFonts w:ascii="Book Antiqua" w:hAnsi="Book Antiqua" w:cs="Times New Roman"/>
          <w:sz w:val="24"/>
          <w:szCs w:val="24"/>
        </w:rPr>
        <w:t>Promer</w:t>
      </w:r>
      <w:r w:rsidR="00432671" w:rsidRPr="00565259">
        <w:rPr>
          <w:rFonts w:ascii="Book Antiqua" w:hAnsi="Book Antiqua" w:cs="Times New Roman"/>
          <w:sz w:val="24"/>
          <w:szCs w:val="24"/>
        </w:rPr>
        <w:t xml:space="preserve"> </w:t>
      </w:r>
      <w:r w:rsidR="009A1953" w:rsidRPr="00565259">
        <w:rPr>
          <w:rFonts w:ascii="Book Antiqua" w:hAnsi="Book Antiqua" w:cs="Times New Roman"/>
          <w:sz w:val="24"/>
          <w:szCs w:val="24"/>
        </w:rPr>
        <w:t>(</w:t>
      </w:r>
      <w:r w:rsidR="001A6D3B" w:rsidRPr="00565259">
        <w:rPr>
          <w:rFonts w:ascii="Book Antiqua" w:hAnsi="Book Antiqua" w:cs="Times New Roman"/>
          <w:sz w:val="24"/>
          <w:szCs w:val="24"/>
        </w:rPr>
        <w:t>0000-0003-0047-9456</w:t>
      </w:r>
      <w:r w:rsidR="009A1953" w:rsidRPr="00565259">
        <w:rPr>
          <w:rFonts w:ascii="Book Antiqua" w:hAnsi="Book Antiqua" w:cs="Times New Roman"/>
          <w:sz w:val="24"/>
          <w:szCs w:val="24"/>
        </w:rPr>
        <w:t>);</w:t>
      </w:r>
      <w:r w:rsidR="00875CB5" w:rsidRPr="00565259">
        <w:rPr>
          <w:rFonts w:ascii="Book Antiqua" w:hAnsi="Book Antiqua" w:cs="Times New Roman"/>
          <w:sz w:val="24"/>
          <w:szCs w:val="24"/>
        </w:rPr>
        <w:t xml:space="preserve"> Jonathon </w:t>
      </w:r>
      <w:r w:rsidR="001A6D3B" w:rsidRPr="00565259">
        <w:rPr>
          <w:rFonts w:ascii="Book Antiqua" w:hAnsi="Book Antiqua" w:cs="Times New Roman"/>
          <w:sz w:val="24"/>
          <w:szCs w:val="24"/>
        </w:rPr>
        <w:t xml:space="preserve">W </w:t>
      </w:r>
      <w:r w:rsidR="009A1953" w:rsidRPr="00565259">
        <w:rPr>
          <w:rFonts w:ascii="Book Antiqua" w:hAnsi="Book Antiqua" w:cs="Times New Roman"/>
          <w:sz w:val="24"/>
          <w:szCs w:val="24"/>
        </w:rPr>
        <w:t>Lowery</w:t>
      </w:r>
      <w:r w:rsidR="00432671" w:rsidRPr="00565259">
        <w:rPr>
          <w:rFonts w:ascii="Book Antiqua" w:hAnsi="Book Antiqua" w:cs="Times New Roman"/>
          <w:sz w:val="24"/>
          <w:szCs w:val="24"/>
        </w:rPr>
        <w:t xml:space="preserve"> </w:t>
      </w:r>
      <w:r w:rsidR="009A1953" w:rsidRPr="00565259">
        <w:rPr>
          <w:rFonts w:ascii="Book Antiqua" w:hAnsi="Book Antiqua" w:cs="Times New Roman"/>
          <w:sz w:val="24"/>
          <w:szCs w:val="24"/>
        </w:rPr>
        <w:t>(</w:t>
      </w:r>
      <w:r w:rsidR="00FB52FF" w:rsidRPr="00565259">
        <w:rPr>
          <w:rFonts w:ascii="Book Antiqua" w:hAnsi="Book Antiqua" w:cs="Times New Roman"/>
          <w:sz w:val="24"/>
          <w:szCs w:val="24"/>
        </w:rPr>
        <w:t>0000-0002-9942-2945</w:t>
      </w:r>
      <w:r w:rsidR="009A1953" w:rsidRPr="00565259">
        <w:rPr>
          <w:rFonts w:ascii="Book Antiqua" w:hAnsi="Book Antiqua" w:cs="Times New Roman"/>
          <w:sz w:val="24"/>
          <w:szCs w:val="24"/>
        </w:rPr>
        <w:t>);</w:t>
      </w:r>
      <w:r w:rsidR="00875CB5" w:rsidRPr="00565259">
        <w:rPr>
          <w:rFonts w:ascii="Book Antiqua" w:hAnsi="Book Antiqua" w:cs="Times New Roman"/>
          <w:sz w:val="24"/>
          <w:szCs w:val="24"/>
        </w:rPr>
        <w:t xml:space="preserve"> </w:t>
      </w:r>
      <w:r w:rsidR="0059119B" w:rsidRPr="00565259">
        <w:rPr>
          <w:rFonts w:ascii="Book Antiqua" w:hAnsi="Book Antiqua" w:cs="Times New Roman"/>
          <w:sz w:val="24"/>
          <w:szCs w:val="24"/>
        </w:rPr>
        <w:t xml:space="preserve">M </w:t>
      </w:r>
      <w:r w:rsidR="009A1953" w:rsidRPr="00565259">
        <w:rPr>
          <w:rFonts w:ascii="Book Antiqua" w:hAnsi="Book Antiqua" w:cs="Times New Roman"/>
          <w:sz w:val="24"/>
          <w:szCs w:val="24"/>
        </w:rPr>
        <w:t>Terry Loghmani</w:t>
      </w:r>
      <w:r w:rsidR="00432671" w:rsidRPr="00565259">
        <w:rPr>
          <w:rFonts w:ascii="Book Antiqua" w:hAnsi="Book Antiqua" w:cs="Times New Roman"/>
          <w:sz w:val="24"/>
          <w:szCs w:val="24"/>
        </w:rPr>
        <w:t xml:space="preserve"> </w:t>
      </w:r>
      <w:r w:rsidR="009A1953" w:rsidRPr="00565259">
        <w:rPr>
          <w:rFonts w:ascii="Book Antiqua" w:hAnsi="Book Antiqua" w:cs="Times New Roman"/>
          <w:sz w:val="24"/>
          <w:szCs w:val="24"/>
        </w:rPr>
        <w:t>(</w:t>
      </w:r>
      <w:r w:rsidR="00FB52FF" w:rsidRPr="00565259">
        <w:rPr>
          <w:rFonts w:ascii="Book Antiqua" w:hAnsi="Book Antiqua" w:cs="Times New Roman"/>
          <w:sz w:val="24"/>
          <w:szCs w:val="24"/>
        </w:rPr>
        <w:t>0000-0003-2286-0733</w:t>
      </w:r>
      <w:r w:rsidR="009A1953" w:rsidRPr="00565259">
        <w:rPr>
          <w:rFonts w:ascii="Book Antiqua" w:hAnsi="Book Antiqua" w:cs="Times New Roman"/>
          <w:sz w:val="24"/>
          <w:szCs w:val="24"/>
        </w:rPr>
        <w:t>);</w:t>
      </w:r>
      <w:r w:rsidR="00875CB5" w:rsidRPr="00565259">
        <w:rPr>
          <w:rFonts w:ascii="Book Antiqua" w:hAnsi="Book Antiqua" w:cs="Times New Roman"/>
          <w:sz w:val="24"/>
          <w:szCs w:val="24"/>
        </w:rPr>
        <w:t xml:space="preserve"> </w:t>
      </w:r>
      <w:r w:rsidR="009A1953" w:rsidRPr="00565259">
        <w:rPr>
          <w:rFonts w:ascii="Book Antiqua" w:hAnsi="Book Antiqua" w:cs="Times New Roman"/>
          <w:sz w:val="24"/>
          <w:szCs w:val="24"/>
        </w:rPr>
        <w:t xml:space="preserve">Philip </w:t>
      </w:r>
      <w:r w:rsidR="001A6D3B" w:rsidRPr="00565259">
        <w:rPr>
          <w:rFonts w:ascii="Book Antiqua" w:hAnsi="Book Antiqua" w:cs="Times New Roman"/>
          <w:sz w:val="24"/>
          <w:szCs w:val="24"/>
        </w:rPr>
        <w:t xml:space="preserve">S </w:t>
      </w:r>
      <w:r w:rsidR="009A1953" w:rsidRPr="00565259">
        <w:rPr>
          <w:rFonts w:ascii="Book Antiqua" w:hAnsi="Book Antiqua" w:cs="Times New Roman"/>
          <w:sz w:val="24"/>
          <w:szCs w:val="24"/>
        </w:rPr>
        <w:t>Low</w:t>
      </w:r>
      <w:r w:rsidR="00432671" w:rsidRPr="00565259">
        <w:rPr>
          <w:rFonts w:ascii="Book Antiqua" w:hAnsi="Book Antiqua" w:cs="Times New Roman"/>
          <w:sz w:val="24"/>
          <w:szCs w:val="24"/>
        </w:rPr>
        <w:t xml:space="preserve"> </w:t>
      </w:r>
      <w:r w:rsidR="009A1953" w:rsidRPr="00565259">
        <w:rPr>
          <w:rFonts w:ascii="Book Antiqua" w:hAnsi="Book Antiqua" w:cs="Times New Roman"/>
          <w:sz w:val="24"/>
          <w:szCs w:val="24"/>
        </w:rPr>
        <w:t>(</w:t>
      </w:r>
      <w:r w:rsidR="001A6D3B" w:rsidRPr="00565259">
        <w:rPr>
          <w:rFonts w:ascii="Book Antiqua" w:hAnsi="Book Antiqua" w:cs="Times New Roman"/>
          <w:sz w:val="24"/>
          <w:szCs w:val="24"/>
        </w:rPr>
        <w:t>0000-0001-9042-5528</w:t>
      </w:r>
      <w:r w:rsidR="009A1953" w:rsidRPr="00565259">
        <w:rPr>
          <w:rFonts w:ascii="Book Antiqua" w:hAnsi="Book Antiqua" w:cs="Times New Roman"/>
          <w:sz w:val="24"/>
          <w:szCs w:val="24"/>
        </w:rPr>
        <w:t>);</w:t>
      </w:r>
      <w:r w:rsidR="00875CB5" w:rsidRPr="00565259">
        <w:rPr>
          <w:rFonts w:ascii="Book Antiqua" w:hAnsi="Book Antiqua" w:cs="Times New Roman"/>
          <w:sz w:val="24"/>
          <w:szCs w:val="24"/>
        </w:rPr>
        <w:t xml:space="preserve"> Todd </w:t>
      </w:r>
      <w:r w:rsidR="00E7322D" w:rsidRPr="00565259">
        <w:rPr>
          <w:rFonts w:ascii="Book Antiqua" w:hAnsi="Book Antiqua" w:cs="Times New Roman"/>
          <w:sz w:val="24"/>
          <w:szCs w:val="24"/>
        </w:rPr>
        <w:t xml:space="preserve">O </w:t>
      </w:r>
      <w:r w:rsidR="009A1953" w:rsidRPr="00565259">
        <w:rPr>
          <w:rFonts w:ascii="Book Antiqua" w:hAnsi="Book Antiqua" w:cs="Times New Roman"/>
          <w:sz w:val="24"/>
          <w:szCs w:val="24"/>
        </w:rPr>
        <w:t>McKinley</w:t>
      </w:r>
      <w:r w:rsidR="00432671" w:rsidRPr="00565259">
        <w:rPr>
          <w:rFonts w:ascii="Book Antiqua" w:hAnsi="Book Antiqua" w:cs="Times New Roman"/>
          <w:sz w:val="24"/>
          <w:szCs w:val="24"/>
        </w:rPr>
        <w:t xml:space="preserve"> </w:t>
      </w:r>
      <w:r w:rsidR="009A1953" w:rsidRPr="00565259">
        <w:rPr>
          <w:rFonts w:ascii="Book Antiqua" w:hAnsi="Book Antiqua" w:cs="Times New Roman"/>
          <w:sz w:val="24"/>
          <w:szCs w:val="24"/>
        </w:rPr>
        <w:t>(</w:t>
      </w:r>
      <w:r w:rsidR="00DB0528" w:rsidRPr="00565259">
        <w:rPr>
          <w:rFonts w:ascii="Book Antiqua" w:hAnsi="Book Antiqua" w:cs="Times New Roman"/>
          <w:sz w:val="24"/>
          <w:szCs w:val="24"/>
        </w:rPr>
        <w:t>0000-0001-6354-7685</w:t>
      </w:r>
      <w:r w:rsidR="009A1953" w:rsidRPr="00565259">
        <w:rPr>
          <w:rFonts w:ascii="Book Antiqua" w:hAnsi="Book Antiqua" w:cs="Times New Roman"/>
          <w:sz w:val="24"/>
          <w:szCs w:val="24"/>
        </w:rPr>
        <w:t>);</w:t>
      </w:r>
      <w:r w:rsidR="00875CB5" w:rsidRPr="00565259">
        <w:rPr>
          <w:rFonts w:ascii="Book Antiqua" w:hAnsi="Book Antiqua" w:cs="Times New Roman"/>
          <w:sz w:val="24"/>
          <w:szCs w:val="24"/>
        </w:rPr>
        <w:t xml:space="preserve"> </w:t>
      </w:r>
      <w:r w:rsidR="009A1953" w:rsidRPr="00565259">
        <w:rPr>
          <w:rFonts w:ascii="Book Antiqua" w:hAnsi="Book Antiqua" w:cs="Times New Roman"/>
          <w:sz w:val="24"/>
          <w:szCs w:val="24"/>
        </w:rPr>
        <w:t xml:space="preserve">Melissa </w:t>
      </w:r>
      <w:r w:rsidR="00E7322D" w:rsidRPr="00565259">
        <w:rPr>
          <w:rFonts w:ascii="Book Antiqua" w:hAnsi="Book Antiqua" w:cs="Times New Roman"/>
          <w:sz w:val="24"/>
          <w:szCs w:val="24"/>
        </w:rPr>
        <w:t xml:space="preserve">A </w:t>
      </w:r>
      <w:r w:rsidR="009A1953" w:rsidRPr="00565259">
        <w:rPr>
          <w:rFonts w:ascii="Book Antiqua" w:hAnsi="Book Antiqua" w:cs="Times New Roman"/>
          <w:sz w:val="24"/>
          <w:szCs w:val="24"/>
        </w:rPr>
        <w:t>Kacena</w:t>
      </w:r>
      <w:r w:rsidR="00432671" w:rsidRPr="00565259">
        <w:rPr>
          <w:rFonts w:ascii="Book Antiqua" w:hAnsi="Book Antiqua" w:cs="Times New Roman"/>
          <w:sz w:val="24"/>
          <w:szCs w:val="24"/>
        </w:rPr>
        <w:t xml:space="preserve"> </w:t>
      </w:r>
      <w:r w:rsidR="009A1953" w:rsidRPr="00565259">
        <w:rPr>
          <w:rFonts w:ascii="Book Antiqua" w:hAnsi="Book Antiqua" w:cs="Times New Roman"/>
          <w:sz w:val="24"/>
          <w:szCs w:val="24"/>
        </w:rPr>
        <w:t>(</w:t>
      </w:r>
      <w:r w:rsidR="00D17E28" w:rsidRPr="00565259">
        <w:rPr>
          <w:rFonts w:ascii="Book Antiqua" w:hAnsi="Book Antiqua" w:cs="Times New Roman"/>
          <w:sz w:val="24"/>
          <w:szCs w:val="24"/>
        </w:rPr>
        <w:t>0000-0001-7293-0088</w:t>
      </w:r>
      <w:r w:rsidR="009A1953" w:rsidRPr="00565259">
        <w:rPr>
          <w:rFonts w:ascii="Book Antiqua" w:hAnsi="Book Antiqua" w:cs="Times New Roman"/>
          <w:sz w:val="24"/>
          <w:szCs w:val="24"/>
        </w:rPr>
        <w:t>);</w:t>
      </w:r>
      <w:r w:rsidR="00875CB5" w:rsidRPr="00565259">
        <w:rPr>
          <w:rFonts w:ascii="Book Antiqua" w:hAnsi="Book Antiqua" w:cs="Times New Roman"/>
          <w:sz w:val="24"/>
          <w:szCs w:val="24"/>
        </w:rPr>
        <w:t xml:space="preserve"> Matth</w:t>
      </w:r>
      <w:r w:rsidR="009A1953" w:rsidRPr="00565259">
        <w:rPr>
          <w:rFonts w:ascii="Book Antiqua" w:hAnsi="Book Antiqua" w:cs="Times New Roman"/>
          <w:sz w:val="24"/>
          <w:szCs w:val="24"/>
        </w:rPr>
        <w:t>ias Claus</w:t>
      </w:r>
      <w:r w:rsidR="00E7322D" w:rsidRPr="00565259">
        <w:rPr>
          <w:rFonts w:ascii="Book Antiqua" w:hAnsi="Book Antiqua" w:cs="Times New Roman"/>
          <w:sz w:val="24"/>
          <w:szCs w:val="24"/>
        </w:rPr>
        <w:t>s</w:t>
      </w:r>
      <w:r w:rsidR="00432671" w:rsidRPr="00565259">
        <w:rPr>
          <w:rFonts w:ascii="Book Antiqua" w:hAnsi="Book Antiqua" w:cs="Times New Roman"/>
          <w:sz w:val="24"/>
          <w:szCs w:val="24"/>
        </w:rPr>
        <w:t xml:space="preserve"> </w:t>
      </w:r>
      <w:r w:rsidR="009A1953" w:rsidRPr="00565259">
        <w:rPr>
          <w:rFonts w:ascii="Book Antiqua" w:hAnsi="Book Antiqua" w:cs="Times New Roman"/>
          <w:sz w:val="24"/>
          <w:szCs w:val="24"/>
        </w:rPr>
        <w:t>(</w:t>
      </w:r>
      <w:r w:rsidR="00E7322D" w:rsidRPr="00565259">
        <w:rPr>
          <w:rFonts w:ascii="Book Antiqua" w:hAnsi="Book Antiqua" w:cs="Times New Roman"/>
          <w:sz w:val="24"/>
          <w:szCs w:val="24"/>
        </w:rPr>
        <w:t>0000-0001-5180-3899</w:t>
      </w:r>
      <w:r w:rsidR="009A1953" w:rsidRPr="00565259">
        <w:rPr>
          <w:rFonts w:ascii="Book Antiqua" w:hAnsi="Book Antiqua" w:cs="Times New Roman"/>
          <w:sz w:val="24"/>
          <w:szCs w:val="24"/>
        </w:rPr>
        <w:t>);</w:t>
      </w:r>
      <w:r w:rsidR="00875CB5" w:rsidRPr="00565259">
        <w:rPr>
          <w:rFonts w:ascii="Book Antiqua" w:hAnsi="Book Antiqua" w:cs="Times New Roman"/>
          <w:sz w:val="24"/>
          <w:szCs w:val="24"/>
        </w:rPr>
        <w:t xml:space="preserve"> Jiliang Li</w:t>
      </w:r>
      <w:r w:rsidR="00432671" w:rsidRPr="00565259">
        <w:rPr>
          <w:rFonts w:ascii="Book Antiqua" w:hAnsi="Book Antiqua" w:cs="Times New Roman"/>
          <w:sz w:val="24"/>
          <w:szCs w:val="24"/>
        </w:rPr>
        <w:t xml:space="preserve"> </w:t>
      </w:r>
      <w:r w:rsidR="009A1953" w:rsidRPr="00565259">
        <w:rPr>
          <w:rFonts w:ascii="Book Antiqua" w:hAnsi="Book Antiqua" w:cs="Times New Roman"/>
          <w:sz w:val="24"/>
          <w:szCs w:val="24"/>
        </w:rPr>
        <w:t>(</w:t>
      </w:r>
      <w:r w:rsidR="006F45DE" w:rsidRPr="00565259">
        <w:rPr>
          <w:rFonts w:ascii="Book Antiqua" w:hAnsi="Book Antiqua" w:cs="Times New Roman"/>
          <w:sz w:val="24"/>
          <w:szCs w:val="24"/>
        </w:rPr>
        <w:t>0000-0002-8180-3205</w:t>
      </w:r>
      <w:r w:rsidR="009A1953" w:rsidRPr="00565259">
        <w:rPr>
          <w:rFonts w:ascii="Book Antiqua" w:hAnsi="Book Antiqua" w:cs="Times New Roman"/>
          <w:sz w:val="24"/>
          <w:szCs w:val="24"/>
        </w:rPr>
        <w:t>)</w:t>
      </w:r>
      <w:r w:rsidR="00E94BB9" w:rsidRPr="00565259">
        <w:rPr>
          <w:rFonts w:ascii="Book Antiqua" w:hAnsi="Book Antiqua" w:cs="Times New Roman"/>
          <w:sz w:val="24"/>
          <w:szCs w:val="24"/>
        </w:rPr>
        <w:t>.</w:t>
      </w:r>
    </w:p>
    <w:p w14:paraId="3CFC7A77" w14:textId="77777777" w:rsidR="00BF284A" w:rsidRPr="00565259" w:rsidRDefault="00BF284A" w:rsidP="00B83DB9">
      <w:pPr>
        <w:tabs>
          <w:tab w:val="left" w:pos="720"/>
        </w:tabs>
        <w:spacing w:after="0" w:line="360" w:lineRule="auto"/>
        <w:jc w:val="both"/>
        <w:rPr>
          <w:rFonts w:ascii="Book Antiqua" w:hAnsi="Book Antiqua" w:cs="Times New Roman"/>
          <w:sz w:val="24"/>
          <w:szCs w:val="24"/>
        </w:rPr>
      </w:pPr>
    </w:p>
    <w:p w14:paraId="3CF2F11C" w14:textId="5CD0493D" w:rsidR="00BF284A" w:rsidRPr="00565259" w:rsidRDefault="00253B19"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b/>
          <w:sz w:val="24"/>
          <w:szCs w:val="24"/>
          <w:lang w:val="en-GB"/>
        </w:rPr>
        <w:t>Author contributions:</w:t>
      </w:r>
      <w:r w:rsidRPr="00565259">
        <w:rPr>
          <w:rFonts w:ascii="Book Antiqua" w:hAnsi="Book Antiqua"/>
          <w:sz w:val="24"/>
          <w:szCs w:val="24"/>
        </w:rPr>
        <w:t xml:space="preserve"> </w:t>
      </w:r>
      <w:r w:rsidR="00BF284A" w:rsidRPr="00565259">
        <w:rPr>
          <w:rFonts w:ascii="Book Antiqua" w:hAnsi="Book Antiqua" w:cs="Times New Roman"/>
          <w:sz w:val="24"/>
          <w:szCs w:val="24"/>
        </w:rPr>
        <w:t>All authors contributed to this paper with conception and design of the study, literature review and analysis, drafting and critical revision and editing, and approval of the final version.</w:t>
      </w:r>
    </w:p>
    <w:p w14:paraId="4F189CC2" w14:textId="77777777" w:rsidR="000707A8" w:rsidRPr="00565259" w:rsidRDefault="000707A8" w:rsidP="00B83DB9">
      <w:pPr>
        <w:tabs>
          <w:tab w:val="left" w:pos="720"/>
        </w:tabs>
        <w:spacing w:after="0" w:line="360" w:lineRule="auto"/>
        <w:jc w:val="both"/>
        <w:rPr>
          <w:rFonts w:ascii="Book Antiqua" w:hAnsi="Book Antiqua" w:cs="Times New Roman"/>
          <w:b/>
          <w:sz w:val="24"/>
          <w:szCs w:val="24"/>
        </w:rPr>
      </w:pPr>
    </w:p>
    <w:p w14:paraId="7E42934B" w14:textId="7323B942" w:rsidR="00E1765C" w:rsidRPr="00565259" w:rsidRDefault="00BF284A"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cs="Times New Roman"/>
          <w:b/>
          <w:sz w:val="24"/>
          <w:szCs w:val="24"/>
        </w:rPr>
        <w:t>Supported by</w:t>
      </w:r>
      <w:r w:rsidR="00F152C6" w:rsidRPr="00565259">
        <w:rPr>
          <w:rFonts w:ascii="Book Antiqua" w:hAnsi="Book Antiqua" w:cs="Times New Roman"/>
          <w:sz w:val="24"/>
          <w:szCs w:val="24"/>
        </w:rPr>
        <w:t xml:space="preserve"> in part </w:t>
      </w:r>
      <w:r w:rsidR="00E94BB9" w:rsidRPr="00565259">
        <w:rPr>
          <w:rFonts w:ascii="Book Antiqua" w:hAnsi="Book Antiqua" w:cs="Times New Roman"/>
          <w:sz w:val="24"/>
          <w:szCs w:val="24"/>
        </w:rPr>
        <w:t xml:space="preserve">of </w:t>
      </w:r>
      <w:r w:rsidR="00F152C6" w:rsidRPr="00565259">
        <w:rPr>
          <w:rFonts w:ascii="Book Antiqua" w:hAnsi="Book Antiqua" w:cs="Times New Roman"/>
          <w:sz w:val="24"/>
          <w:szCs w:val="24"/>
        </w:rPr>
        <w:t xml:space="preserve">the following grants: </w:t>
      </w:r>
      <w:r w:rsidR="009A1953" w:rsidRPr="00565259">
        <w:rPr>
          <w:rFonts w:ascii="Book Antiqua" w:hAnsi="Book Antiqua" w:cs="Times New Roman"/>
          <w:sz w:val="24"/>
          <w:szCs w:val="24"/>
        </w:rPr>
        <w:t>Indiana University Collaborative Research Grant</w:t>
      </w:r>
      <w:r w:rsidR="00432671" w:rsidRPr="00565259">
        <w:rPr>
          <w:rFonts w:ascii="Book Antiqua" w:hAnsi="Book Antiqua" w:cs="Times New Roman"/>
          <w:sz w:val="24"/>
          <w:szCs w:val="24"/>
        </w:rPr>
        <w:t>;</w:t>
      </w:r>
      <w:r w:rsidR="00F152C6" w:rsidRPr="00565259">
        <w:rPr>
          <w:rFonts w:ascii="Book Antiqua" w:hAnsi="Book Antiqua" w:cs="Times New Roman"/>
          <w:sz w:val="24"/>
          <w:szCs w:val="24"/>
        </w:rPr>
        <w:t xml:space="preserve"> Indiana Clinical and Translational Sciences Institute</w:t>
      </w:r>
      <w:r w:rsidR="001157B5" w:rsidRPr="00565259">
        <w:rPr>
          <w:rFonts w:ascii="Book Antiqua" w:hAnsi="Book Antiqua" w:cs="Times New Roman"/>
          <w:sz w:val="24"/>
          <w:szCs w:val="24"/>
        </w:rPr>
        <w:t>,</w:t>
      </w:r>
      <w:r w:rsidR="000F79FB" w:rsidRPr="00565259">
        <w:rPr>
          <w:rFonts w:ascii="Book Antiqua" w:hAnsi="Book Antiqua" w:cs="Times New Roman"/>
          <w:sz w:val="24"/>
          <w:szCs w:val="24"/>
        </w:rPr>
        <w:t xml:space="preserve"> </w:t>
      </w:r>
      <w:r w:rsidR="001157B5" w:rsidRPr="00565259">
        <w:rPr>
          <w:rFonts w:ascii="Book Antiqua" w:hAnsi="Book Antiqua" w:cs="Times New Roman"/>
          <w:sz w:val="24"/>
          <w:szCs w:val="24"/>
        </w:rPr>
        <w:t xml:space="preserve">No. </w:t>
      </w:r>
      <w:r w:rsidR="000F79FB" w:rsidRPr="00565259">
        <w:rPr>
          <w:rFonts w:ascii="Book Antiqua" w:hAnsi="Book Antiqua" w:cs="Times New Roman"/>
          <w:sz w:val="24"/>
          <w:szCs w:val="24"/>
        </w:rPr>
        <w:t>NIH UL1TR001108</w:t>
      </w:r>
      <w:r w:rsidR="001157B5" w:rsidRPr="00565259">
        <w:rPr>
          <w:rFonts w:ascii="Book Antiqua" w:hAnsi="Book Antiqua" w:cs="Times New Roman"/>
          <w:sz w:val="24"/>
          <w:szCs w:val="24"/>
        </w:rPr>
        <w:t>,</w:t>
      </w:r>
      <w:r w:rsidR="00F152C6" w:rsidRPr="00565259">
        <w:rPr>
          <w:rFonts w:ascii="Book Antiqua" w:hAnsi="Book Antiqua" w:cs="Times New Roman"/>
          <w:sz w:val="24"/>
          <w:szCs w:val="24"/>
        </w:rPr>
        <w:t xml:space="preserve"> </w:t>
      </w:r>
      <w:r w:rsidR="001157B5" w:rsidRPr="00565259">
        <w:rPr>
          <w:rFonts w:ascii="Book Antiqua" w:hAnsi="Book Antiqua" w:cs="Times New Roman"/>
          <w:sz w:val="24"/>
          <w:szCs w:val="24"/>
        </w:rPr>
        <w:t xml:space="preserve">No. </w:t>
      </w:r>
      <w:r w:rsidR="00D03227" w:rsidRPr="00565259">
        <w:rPr>
          <w:rFonts w:ascii="Book Antiqua" w:hAnsi="Book Antiqua" w:cs="Times New Roman"/>
          <w:sz w:val="24"/>
          <w:szCs w:val="24"/>
        </w:rPr>
        <w:t xml:space="preserve">NIH R01 </w:t>
      </w:r>
      <w:r w:rsidR="00244350" w:rsidRPr="00565259">
        <w:rPr>
          <w:rFonts w:ascii="Book Antiqua" w:hAnsi="Book Antiqua" w:cs="Arial"/>
          <w:sz w:val="24"/>
          <w:szCs w:val="24"/>
        </w:rPr>
        <w:t>AR069657</w:t>
      </w:r>
      <w:r w:rsidR="001157B5" w:rsidRPr="00565259">
        <w:rPr>
          <w:rFonts w:ascii="Book Antiqua" w:hAnsi="Book Antiqua" w:cs="Times New Roman"/>
          <w:sz w:val="24"/>
          <w:szCs w:val="24"/>
        </w:rPr>
        <w:t>,</w:t>
      </w:r>
      <w:r w:rsidR="00D03227" w:rsidRPr="00565259">
        <w:rPr>
          <w:rFonts w:ascii="Book Antiqua" w:hAnsi="Book Antiqua" w:cs="Times New Roman"/>
          <w:sz w:val="24"/>
          <w:szCs w:val="24"/>
        </w:rPr>
        <w:t xml:space="preserve"> </w:t>
      </w:r>
      <w:r w:rsidR="001157B5" w:rsidRPr="00565259">
        <w:rPr>
          <w:rFonts w:ascii="Book Antiqua" w:hAnsi="Book Antiqua" w:cs="Times New Roman"/>
          <w:sz w:val="24"/>
          <w:szCs w:val="24"/>
        </w:rPr>
        <w:t xml:space="preserve">No. </w:t>
      </w:r>
      <w:r w:rsidR="00F152C6" w:rsidRPr="00565259">
        <w:rPr>
          <w:rFonts w:ascii="Book Antiqua" w:hAnsi="Book Antiqua" w:cs="Times New Roman"/>
          <w:sz w:val="24"/>
          <w:szCs w:val="24"/>
        </w:rPr>
        <w:t>NIH R01 AR060863</w:t>
      </w:r>
      <w:r w:rsidR="000F79FB" w:rsidRPr="00565259">
        <w:rPr>
          <w:rFonts w:ascii="Book Antiqua" w:hAnsi="Book Antiqua" w:cs="Times New Roman"/>
          <w:sz w:val="24"/>
          <w:szCs w:val="24"/>
        </w:rPr>
        <w:t xml:space="preserve"> and </w:t>
      </w:r>
      <w:r w:rsidR="001157B5" w:rsidRPr="00565259">
        <w:rPr>
          <w:rFonts w:ascii="Book Antiqua" w:hAnsi="Book Antiqua" w:cs="Times New Roman"/>
          <w:sz w:val="24"/>
          <w:szCs w:val="24"/>
        </w:rPr>
        <w:t xml:space="preserve">No. </w:t>
      </w:r>
      <w:r w:rsidR="000F79FB" w:rsidRPr="00565259">
        <w:rPr>
          <w:rFonts w:ascii="Book Antiqua" w:hAnsi="Book Antiqua" w:cs="Times New Roman"/>
          <w:sz w:val="24"/>
          <w:szCs w:val="24"/>
        </w:rPr>
        <w:t>NIH R01 AG060621. This material is also the result of work supported with resources and the use of facilities at the Richard L. Roudebush VA M</w:t>
      </w:r>
      <w:r w:rsidR="00270051" w:rsidRPr="00565259">
        <w:rPr>
          <w:rFonts w:ascii="Book Antiqua" w:hAnsi="Book Antiqua" w:cs="Times New Roman"/>
          <w:sz w:val="24"/>
          <w:szCs w:val="24"/>
        </w:rPr>
        <w:t>edical Center, Indianapolis, IN,</w:t>
      </w:r>
      <w:r w:rsidR="000F79FB" w:rsidRPr="00565259">
        <w:rPr>
          <w:rFonts w:ascii="Book Antiqua" w:hAnsi="Book Antiqua" w:cs="Times New Roman"/>
          <w:sz w:val="24"/>
          <w:szCs w:val="24"/>
        </w:rPr>
        <w:t xml:space="preserve"> VA Merit</w:t>
      </w:r>
      <w:r w:rsidR="001157B5" w:rsidRPr="00565259">
        <w:rPr>
          <w:rFonts w:ascii="Book Antiqua" w:hAnsi="Book Antiqua" w:cs="Times New Roman"/>
          <w:sz w:val="24"/>
          <w:szCs w:val="24"/>
        </w:rPr>
        <w:t>,</w:t>
      </w:r>
      <w:r w:rsidR="000F79FB" w:rsidRPr="00565259">
        <w:rPr>
          <w:rFonts w:ascii="Book Antiqua" w:hAnsi="Book Antiqua" w:cs="Times New Roman"/>
          <w:sz w:val="24"/>
          <w:szCs w:val="24"/>
        </w:rPr>
        <w:t xml:space="preserve"> </w:t>
      </w:r>
      <w:r w:rsidR="001157B5" w:rsidRPr="00565259">
        <w:rPr>
          <w:rFonts w:ascii="Book Antiqua" w:hAnsi="Book Antiqua" w:cs="Times New Roman"/>
          <w:sz w:val="24"/>
          <w:szCs w:val="24"/>
        </w:rPr>
        <w:t xml:space="preserve">No. </w:t>
      </w:r>
      <w:r w:rsidR="000F79FB" w:rsidRPr="00565259">
        <w:rPr>
          <w:rFonts w:ascii="Book Antiqua" w:hAnsi="Book Antiqua" w:cs="Times New Roman"/>
          <w:sz w:val="24"/>
          <w:szCs w:val="24"/>
        </w:rPr>
        <w:t>BX003751</w:t>
      </w:r>
      <w:r w:rsidR="00270051" w:rsidRPr="00565259">
        <w:rPr>
          <w:rFonts w:ascii="Book Antiqua" w:hAnsi="Book Antiqua" w:cs="Times New Roman"/>
          <w:sz w:val="24"/>
          <w:szCs w:val="24"/>
        </w:rPr>
        <w:t>; the contents do not represent the views of the U.S. Department of Veterans Affairs or the United States Government</w:t>
      </w:r>
      <w:r w:rsidR="000F79FB" w:rsidRPr="00565259">
        <w:rPr>
          <w:rFonts w:ascii="Book Antiqua" w:hAnsi="Book Antiqua" w:cs="Times New Roman"/>
          <w:sz w:val="24"/>
          <w:szCs w:val="24"/>
        </w:rPr>
        <w:t>.</w:t>
      </w:r>
    </w:p>
    <w:p w14:paraId="3C5E7DD3" w14:textId="77777777" w:rsidR="00270051" w:rsidRPr="00565259" w:rsidRDefault="00270051" w:rsidP="00B83DB9">
      <w:pPr>
        <w:tabs>
          <w:tab w:val="left" w:pos="720"/>
        </w:tabs>
        <w:spacing w:after="0" w:line="360" w:lineRule="auto"/>
        <w:jc w:val="both"/>
        <w:rPr>
          <w:rFonts w:ascii="Book Antiqua" w:hAnsi="Book Antiqua" w:cs="Times New Roman"/>
          <w:sz w:val="24"/>
          <w:szCs w:val="24"/>
        </w:rPr>
      </w:pPr>
    </w:p>
    <w:p w14:paraId="7F933ADE" w14:textId="5DECEE49" w:rsidR="00BF284A" w:rsidRPr="00565259" w:rsidRDefault="00253B19"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b/>
          <w:sz w:val="24"/>
          <w:szCs w:val="24"/>
        </w:rPr>
        <w:t>Conflict-of-interest statement:</w:t>
      </w:r>
      <w:r w:rsidRPr="00565259">
        <w:rPr>
          <w:rFonts w:ascii="Book Antiqua" w:hAnsi="Book Antiqua"/>
          <w:b/>
          <w:bCs/>
          <w:sz w:val="24"/>
          <w:szCs w:val="24"/>
        </w:rPr>
        <w:t xml:space="preserve"> </w:t>
      </w:r>
      <w:r w:rsidR="00BF284A" w:rsidRPr="00565259">
        <w:rPr>
          <w:rFonts w:ascii="Book Antiqua" w:hAnsi="Book Antiqua" w:cs="Times New Roman"/>
          <w:sz w:val="24"/>
          <w:szCs w:val="24"/>
        </w:rPr>
        <w:t>No potential conflicts of interest</w:t>
      </w:r>
      <w:r w:rsidR="00E94BB9" w:rsidRPr="00565259">
        <w:rPr>
          <w:rFonts w:ascii="Book Antiqua" w:hAnsi="Book Antiqua" w:cs="Times New Roman"/>
          <w:sz w:val="24"/>
          <w:szCs w:val="24"/>
        </w:rPr>
        <w:t>.</w:t>
      </w:r>
    </w:p>
    <w:p w14:paraId="4E465F78" w14:textId="77777777" w:rsidR="00BF284A" w:rsidRPr="00565259" w:rsidRDefault="00BF284A" w:rsidP="00B83DB9">
      <w:pPr>
        <w:tabs>
          <w:tab w:val="left" w:pos="720"/>
        </w:tabs>
        <w:spacing w:after="0" w:line="360" w:lineRule="auto"/>
        <w:jc w:val="both"/>
        <w:rPr>
          <w:rFonts w:ascii="Book Antiqua" w:hAnsi="Book Antiqua" w:cs="Times New Roman"/>
          <w:sz w:val="24"/>
          <w:szCs w:val="24"/>
        </w:rPr>
      </w:pPr>
    </w:p>
    <w:p w14:paraId="0661F3F5" w14:textId="77777777" w:rsidR="00253B19" w:rsidRPr="00565259" w:rsidRDefault="00253B19" w:rsidP="00B83DB9">
      <w:pPr>
        <w:adjustRightInd w:val="0"/>
        <w:snapToGrid w:val="0"/>
        <w:spacing w:after="0" w:line="360" w:lineRule="auto"/>
        <w:jc w:val="both"/>
        <w:rPr>
          <w:rFonts w:ascii="Book Antiqua" w:eastAsia="PMingLiU" w:hAnsi="Book Antiqua"/>
          <w:sz w:val="24"/>
          <w:szCs w:val="24"/>
          <w:lang w:eastAsia="zh-TW"/>
        </w:rPr>
      </w:pPr>
      <w:r w:rsidRPr="00565259">
        <w:rPr>
          <w:rFonts w:ascii="Book Antiqua" w:hAnsi="Book Antiqua"/>
          <w:b/>
          <w:sz w:val="24"/>
          <w:szCs w:val="24"/>
        </w:rPr>
        <w:t>Open-Access:</w:t>
      </w:r>
      <w:r w:rsidRPr="00565259">
        <w:rPr>
          <w:rFonts w:ascii="Book Antiqua" w:hAnsi="Book Antiqua"/>
          <w:sz w:val="24"/>
          <w:szCs w:val="24"/>
        </w:rPr>
        <w:t xml:space="preserve"> </w:t>
      </w:r>
      <w:bookmarkStart w:id="2" w:name="OLE_LINK23"/>
      <w:r w:rsidRPr="0056525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76D89F0B" w14:textId="77777777" w:rsidR="00253B19" w:rsidRPr="00565259" w:rsidRDefault="00253B19" w:rsidP="00B83DB9">
      <w:pPr>
        <w:adjustRightInd w:val="0"/>
        <w:snapToGrid w:val="0"/>
        <w:spacing w:after="0" w:line="360" w:lineRule="auto"/>
        <w:jc w:val="both"/>
        <w:rPr>
          <w:rFonts w:ascii="Book Antiqua" w:hAnsi="Book Antiqua"/>
          <w:sz w:val="24"/>
          <w:szCs w:val="24"/>
          <w:lang w:eastAsia="zh-CN"/>
        </w:rPr>
      </w:pPr>
    </w:p>
    <w:p w14:paraId="6F5A6D2B" w14:textId="77777777" w:rsidR="00253B19" w:rsidRPr="00565259" w:rsidRDefault="00253B19" w:rsidP="00B83DB9">
      <w:pPr>
        <w:pStyle w:val="11"/>
        <w:snapToGrid w:val="0"/>
        <w:spacing w:line="360" w:lineRule="auto"/>
        <w:jc w:val="both"/>
        <w:rPr>
          <w:rFonts w:ascii="Book Antiqua" w:hAnsi="Book Antiqua" w:cs="Times New Roman"/>
          <w:b/>
          <w:bCs/>
          <w:color w:val="auto"/>
          <w:sz w:val="24"/>
          <w:szCs w:val="24"/>
          <w:lang w:val="en-US" w:eastAsia="zh-CN"/>
        </w:rPr>
      </w:pPr>
      <w:r w:rsidRPr="00565259">
        <w:rPr>
          <w:rFonts w:ascii="Book Antiqua" w:hAnsi="Book Antiqua" w:cs="Times New Roman"/>
          <w:b/>
          <w:bCs/>
          <w:color w:val="auto"/>
          <w:sz w:val="24"/>
          <w:szCs w:val="24"/>
          <w:lang w:val="en-US"/>
        </w:rPr>
        <w:t>Manuscript</w:t>
      </w:r>
      <w:r w:rsidRPr="00565259">
        <w:rPr>
          <w:rFonts w:ascii="Book Antiqua" w:hAnsi="Book Antiqua" w:cs="Times New Roman"/>
          <w:b/>
          <w:bCs/>
          <w:color w:val="auto"/>
          <w:sz w:val="24"/>
          <w:szCs w:val="24"/>
          <w:lang w:val="en-US" w:eastAsia="zh-CN"/>
        </w:rPr>
        <w:t xml:space="preserve"> </w:t>
      </w:r>
      <w:r w:rsidRPr="00565259">
        <w:rPr>
          <w:rFonts w:ascii="Book Antiqua" w:hAnsi="Book Antiqua" w:cs="Times New Roman"/>
          <w:b/>
          <w:bCs/>
          <w:color w:val="auto"/>
          <w:sz w:val="24"/>
          <w:szCs w:val="24"/>
          <w:lang w:val="en-US"/>
        </w:rPr>
        <w:t>source:</w:t>
      </w:r>
      <w:r w:rsidRPr="00565259">
        <w:rPr>
          <w:rFonts w:ascii="Book Antiqua" w:hAnsi="Book Antiqua" w:cs="Times New Roman"/>
          <w:b/>
          <w:bCs/>
          <w:color w:val="auto"/>
          <w:sz w:val="24"/>
          <w:szCs w:val="24"/>
          <w:lang w:val="en-US" w:eastAsia="zh-CN"/>
        </w:rPr>
        <w:t xml:space="preserve"> </w:t>
      </w:r>
      <w:r w:rsidRPr="00565259">
        <w:rPr>
          <w:rFonts w:ascii="Book Antiqua" w:hAnsi="Book Antiqua" w:cs="Times New Roman"/>
          <w:bCs/>
          <w:color w:val="auto"/>
          <w:sz w:val="24"/>
          <w:szCs w:val="24"/>
          <w:lang w:val="en-US"/>
        </w:rPr>
        <w:t>Invited manuscript</w:t>
      </w:r>
    </w:p>
    <w:p w14:paraId="7B1AF457" w14:textId="77777777" w:rsidR="00253B19" w:rsidRPr="00565259" w:rsidRDefault="00253B19" w:rsidP="00B83DB9">
      <w:pPr>
        <w:adjustRightInd w:val="0"/>
        <w:snapToGrid w:val="0"/>
        <w:spacing w:after="0" w:line="360" w:lineRule="auto"/>
        <w:jc w:val="both"/>
        <w:rPr>
          <w:rFonts w:ascii="Book Antiqua" w:hAnsi="Book Antiqua"/>
          <w:b/>
          <w:sz w:val="24"/>
          <w:szCs w:val="24"/>
          <w:lang w:eastAsia="zh-CN"/>
        </w:rPr>
      </w:pPr>
    </w:p>
    <w:p w14:paraId="7CC94C24" w14:textId="2A02973C" w:rsidR="00BF284A" w:rsidRPr="00565259" w:rsidRDefault="00253B19"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b/>
          <w:sz w:val="24"/>
          <w:szCs w:val="24"/>
        </w:rPr>
        <w:t>Corresponding author:</w:t>
      </w:r>
      <w:r w:rsidRPr="00565259">
        <w:rPr>
          <w:rFonts w:ascii="Book Antiqua" w:hAnsi="Book Antiqua" w:cs="Arial"/>
          <w:sz w:val="24"/>
          <w:szCs w:val="24"/>
        </w:rPr>
        <w:t xml:space="preserve"> </w:t>
      </w:r>
      <w:r w:rsidR="00E1765C" w:rsidRPr="00565259">
        <w:rPr>
          <w:rFonts w:ascii="Book Antiqua" w:hAnsi="Book Antiqua"/>
          <w:b/>
          <w:sz w:val="24"/>
          <w:szCs w:val="24"/>
        </w:rPr>
        <w:t>Diane</w:t>
      </w:r>
      <w:r w:rsidR="00432671" w:rsidRPr="00565259">
        <w:rPr>
          <w:rFonts w:ascii="Book Antiqua" w:hAnsi="Book Antiqua"/>
          <w:b/>
          <w:sz w:val="24"/>
          <w:szCs w:val="24"/>
        </w:rPr>
        <w:t xml:space="preserve"> R</w:t>
      </w:r>
      <w:r w:rsidR="00BF284A" w:rsidRPr="00565259">
        <w:rPr>
          <w:rFonts w:ascii="Book Antiqua" w:hAnsi="Book Antiqua"/>
          <w:b/>
          <w:sz w:val="24"/>
          <w:szCs w:val="24"/>
        </w:rPr>
        <w:t xml:space="preserve"> Wagner, </w:t>
      </w:r>
      <w:r w:rsidR="001157B5" w:rsidRPr="00565259">
        <w:rPr>
          <w:rFonts w:ascii="Book Antiqua" w:hAnsi="Book Antiqua"/>
          <w:b/>
          <w:sz w:val="24"/>
          <w:szCs w:val="24"/>
        </w:rPr>
        <w:t>PhD, Associate Professor,</w:t>
      </w:r>
      <w:r w:rsidR="00BF284A" w:rsidRPr="00565259">
        <w:rPr>
          <w:rFonts w:ascii="Book Antiqua" w:hAnsi="Book Antiqua"/>
          <w:b/>
          <w:sz w:val="24"/>
          <w:szCs w:val="24"/>
        </w:rPr>
        <w:t xml:space="preserve"> </w:t>
      </w:r>
      <w:bookmarkStart w:id="3" w:name="OLE_LINK3"/>
      <w:bookmarkStart w:id="4" w:name="OLE_LINK4"/>
      <w:r w:rsidR="00E1765C" w:rsidRPr="00565259">
        <w:rPr>
          <w:rFonts w:ascii="Book Antiqua" w:hAnsi="Book Antiqua"/>
          <w:sz w:val="24"/>
          <w:szCs w:val="24"/>
        </w:rPr>
        <w:t xml:space="preserve">Department of Mechanical </w:t>
      </w:r>
      <w:r w:rsidR="00525BD6" w:rsidRPr="00565259">
        <w:rPr>
          <w:rFonts w:ascii="Book Antiqua" w:hAnsi="Book Antiqua"/>
          <w:sz w:val="24"/>
          <w:szCs w:val="24"/>
        </w:rPr>
        <w:t xml:space="preserve">and Energy </w:t>
      </w:r>
      <w:r w:rsidR="00E1765C" w:rsidRPr="00565259">
        <w:rPr>
          <w:rFonts w:ascii="Book Antiqua" w:hAnsi="Book Antiqua"/>
          <w:sz w:val="24"/>
          <w:szCs w:val="24"/>
        </w:rPr>
        <w:t>Engineering</w:t>
      </w:r>
      <w:bookmarkEnd w:id="3"/>
      <w:bookmarkEnd w:id="4"/>
      <w:r w:rsidR="00BF284A" w:rsidRPr="00565259">
        <w:rPr>
          <w:rFonts w:ascii="Book Antiqua" w:hAnsi="Book Antiqua"/>
          <w:sz w:val="24"/>
          <w:szCs w:val="24"/>
        </w:rPr>
        <w:t xml:space="preserve">, </w:t>
      </w:r>
      <w:bookmarkStart w:id="5" w:name="OLE_LINK5"/>
      <w:bookmarkStart w:id="6" w:name="OLE_LINK6"/>
      <w:r w:rsidR="00E1765C" w:rsidRPr="00565259">
        <w:rPr>
          <w:rFonts w:ascii="Book Antiqua" w:hAnsi="Book Antiqua"/>
          <w:sz w:val="24"/>
          <w:szCs w:val="24"/>
        </w:rPr>
        <w:t>Indiana University-Purdue University Indianapolis</w:t>
      </w:r>
      <w:bookmarkEnd w:id="5"/>
      <w:bookmarkEnd w:id="6"/>
      <w:r w:rsidR="00BF284A" w:rsidRPr="00565259">
        <w:rPr>
          <w:rFonts w:ascii="Book Antiqua" w:hAnsi="Book Antiqua"/>
          <w:sz w:val="24"/>
          <w:szCs w:val="24"/>
        </w:rPr>
        <w:t xml:space="preserve">, </w:t>
      </w:r>
      <w:bookmarkStart w:id="7" w:name="OLE_LINK7"/>
      <w:bookmarkStart w:id="8" w:name="OLE_LINK8"/>
      <w:r w:rsidR="00E1765C" w:rsidRPr="00565259">
        <w:rPr>
          <w:rFonts w:ascii="Book Antiqua" w:hAnsi="Book Antiqua"/>
          <w:sz w:val="24"/>
          <w:szCs w:val="24"/>
        </w:rPr>
        <w:t>723 W. Michigan St. SL 260</w:t>
      </w:r>
      <w:bookmarkEnd w:id="7"/>
      <w:bookmarkEnd w:id="8"/>
      <w:r w:rsidR="00BF284A" w:rsidRPr="00565259">
        <w:rPr>
          <w:rFonts w:ascii="Book Antiqua" w:hAnsi="Book Antiqua"/>
          <w:sz w:val="24"/>
          <w:szCs w:val="24"/>
        </w:rPr>
        <w:t xml:space="preserve">, </w:t>
      </w:r>
      <w:r w:rsidR="00E1765C" w:rsidRPr="00565259">
        <w:rPr>
          <w:rFonts w:ascii="Book Antiqua" w:hAnsi="Book Antiqua"/>
          <w:sz w:val="24"/>
          <w:szCs w:val="24"/>
        </w:rPr>
        <w:t>Indianapolis, IN 46220</w:t>
      </w:r>
      <w:r w:rsidR="00BF284A" w:rsidRPr="00565259">
        <w:rPr>
          <w:rFonts w:ascii="Book Antiqua" w:hAnsi="Book Antiqua"/>
          <w:sz w:val="24"/>
          <w:szCs w:val="24"/>
        </w:rPr>
        <w:t>, United States. wagnerdi@iupui.edu</w:t>
      </w:r>
    </w:p>
    <w:p w14:paraId="517B0134" w14:textId="5B66F80E" w:rsidR="00E1765C" w:rsidRPr="00565259" w:rsidRDefault="00E1765C" w:rsidP="00B83DB9">
      <w:pPr>
        <w:tabs>
          <w:tab w:val="left" w:pos="0"/>
          <w:tab w:val="left" w:pos="720"/>
        </w:tabs>
        <w:spacing w:after="0" w:line="360" w:lineRule="auto"/>
        <w:jc w:val="both"/>
        <w:rPr>
          <w:rFonts w:ascii="Book Antiqua" w:hAnsi="Book Antiqua"/>
          <w:sz w:val="24"/>
          <w:szCs w:val="24"/>
        </w:rPr>
      </w:pPr>
      <w:r w:rsidRPr="00565259">
        <w:rPr>
          <w:rFonts w:ascii="Book Antiqua" w:hAnsi="Book Antiqua"/>
          <w:b/>
          <w:sz w:val="24"/>
          <w:szCs w:val="24"/>
        </w:rPr>
        <w:t>Tel</w:t>
      </w:r>
      <w:r w:rsidR="0037407F" w:rsidRPr="00565259">
        <w:rPr>
          <w:rFonts w:ascii="Book Antiqua" w:hAnsi="Book Antiqua"/>
          <w:b/>
          <w:sz w:val="24"/>
          <w:szCs w:val="24"/>
        </w:rPr>
        <w:t>ephone</w:t>
      </w:r>
      <w:r w:rsidRPr="00565259">
        <w:rPr>
          <w:rFonts w:ascii="Book Antiqua" w:hAnsi="Book Antiqua"/>
          <w:sz w:val="24"/>
          <w:szCs w:val="24"/>
        </w:rPr>
        <w:t>:</w:t>
      </w:r>
      <w:r w:rsidR="00E94BB9" w:rsidRPr="00565259">
        <w:rPr>
          <w:rFonts w:ascii="Book Antiqua" w:hAnsi="Book Antiqua"/>
          <w:sz w:val="24"/>
          <w:szCs w:val="24"/>
        </w:rPr>
        <w:t xml:space="preserve"> </w:t>
      </w:r>
      <w:r w:rsidR="00BF284A" w:rsidRPr="00565259">
        <w:rPr>
          <w:rFonts w:ascii="Book Antiqua" w:hAnsi="Book Antiqua"/>
          <w:sz w:val="24"/>
          <w:szCs w:val="24"/>
        </w:rPr>
        <w:t>+1-317-274</w:t>
      </w:r>
      <w:r w:rsidR="00432671" w:rsidRPr="00565259">
        <w:rPr>
          <w:rFonts w:ascii="Book Antiqua" w:hAnsi="Book Antiqua"/>
          <w:sz w:val="24"/>
          <w:szCs w:val="24"/>
        </w:rPr>
        <w:t>8958</w:t>
      </w:r>
    </w:p>
    <w:p w14:paraId="76EA191B" w14:textId="40709723" w:rsidR="00E1765C" w:rsidRPr="00565259" w:rsidRDefault="00E1765C" w:rsidP="00B83DB9">
      <w:pPr>
        <w:tabs>
          <w:tab w:val="left" w:pos="0"/>
          <w:tab w:val="left" w:pos="720"/>
        </w:tabs>
        <w:spacing w:after="0" w:line="360" w:lineRule="auto"/>
        <w:jc w:val="both"/>
        <w:rPr>
          <w:rFonts w:ascii="Book Antiqua" w:hAnsi="Book Antiqua"/>
          <w:sz w:val="24"/>
          <w:szCs w:val="24"/>
        </w:rPr>
      </w:pPr>
      <w:r w:rsidRPr="00565259">
        <w:rPr>
          <w:rFonts w:ascii="Book Antiqua" w:hAnsi="Book Antiqua"/>
          <w:b/>
          <w:sz w:val="24"/>
          <w:szCs w:val="24"/>
        </w:rPr>
        <w:t>Fax:</w:t>
      </w:r>
      <w:r w:rsidRPr="00565259">
        <w:rPr>
          <w:rFonts w:ascii="Book Antiqua" w:hAnsi="Book Antiqua"/>
          <w:sz w:val="24"/>
          <w:szCs w:val="24"/>
        </w:rPr>
        <w:t xml:space="preserve"> </w:t>
      </w:r>
      <w:r w:rsidR="00BF284A" w:rsidRPr="00565259">
        <w:rPr>
          <w:rFonts w:ascii="Book Antiqua" w:hAnsi="Book Antiqua"/>
          <w:sz w:val="24"/>
          <w:szCs w:val="24"/>
        </w:rPr>
        <w:t>+1-317-274</w:t>
      </w:r>
      <w:r w:rsidR="00432671" w:rsidRPr="00565259">
        <w:rPr>
          <w:rFonts w:ascii="Book Antiqua" w:hAnsi="Book Antiqua"/>
          <w:sz w:val="24"/>
          <w:szCs w:val="24"/>
        </w:rPr>
        <w:t>4567</w:t>
      </w:r>
    </w:p>
    <w:p w14:paraId="3A62F85A" w14:textId="01DE57FC" w:rsidR="001157B5" w:rsidRPr="00565259" w:rsidRDefault="001157B5" w:rsidP="00B83DB9">
      <w:pPr>
        <w:tabs>
          <w:tab w:val="left" w:pos="0"/>
          <w:tab w:val="left" w:pos="720"/>
        </w:tabs>
        <w:spacing w:after="0" w:line="360" w:lineRule="auto"/>
        <w:jc w:val="both"/>
        <w:rPr>
          <w:rFonts w:ascii="Book Antiqua" w:hAnsi="Book Antiqua"/>
          <w:sz w:val="24"/>
          <w:szCs w:val="24"/>
        </w:rPr>
      </w:pPr>
    </w:p>
    <w:p w14:paraId="73F6AB17" w14:textId="19560808" w:rsidR="001157B5" w:rsidRPr="00565259" w:rsidRDefault="001157B5" w:rsidP="00B83DB9">
      <w:pPr>
        <w:spacing w:after="0" w:line="360" w:lineRule="auto"/>
        <w:jc w:val="both"/>
        <w:rPr>
          <w:rFonts w:ascii="Book Antiqua" w:hAnsi="Book Antiqua" w:cs="Helvetica"/>
          <w:sz w:val="24"/>
          <w:szCs w:val="24"/>
        </w:rPr>
      </w:pPr>
      <w:r w:rsidRPr="00565259">
        <w:rPr>
          <w:rFonts w:ascii="Book Antiqua" w:hAnsi="Book Antiqua" w:cs="Helvetica"/>
          <w:b/>
          <w:bCs/>
          <w:sz w:val="24"/>
          <w:szCs w:val="24"/>
        </w:rPr>
        <w:t xml:space="preserve">Received: </w:t>
      </w:r>
      <w:r w:rsidRPr="00565259">
        <w:rPr>
          <w:rFonts w:ascii="Book Antiqua" w:hAnsi="Book Antiqua" w:cs="Helvetica"/>
          <w:sz w:val="24"/>
          <w:szCs w:val="24"/>
        </w:rPr>
        <w:t>May 21, 2019</w:t>
      </w:r>
    </w:p>
    <w:p w14:paraId="590E912F" w14:textId="6EAF12D8" w:rsidR="001157B5" w:rsidRPr="00565259" w:rsidRDefault="001157B5" w:rsidP="00B83DB9">
      <w:pPr>
        <w:spacing w:after="0" w:line="360" w:lineRule="auto"/>
        <w:jc w:val="both"/>
        <w:rPr>
          <w:rFonts w:ascii="Book Antiqua" w:hAnsi="Book Antiqua" w:cs="Helvetica"/>
          <w:b/>
          <w:sz w:val="24"/>
          <w:szCs w:val="24"/>
        </w:rPr>
      </w:pPr>
      <w:r w:rsidRPr="00565259">
        <w:rPr>
          <w:rFonts w:ascii="Book Antiqua" w:hAnsi="Book Antiqua" w:cs="Helvetica"/>
          <w:b/>
          <w:bCs/>
          <w:sz w:val="24"/>
          <w:szCs w:val="24"/>
        </w:rPr>
        <w:t xml:space="preserve">Peer-review started: </w:t>
      </w:r>
      <w:r w:rsidRPr="00565259">
        <w:rPr>
          <w:rFonts w:ascii="Book Antiqua" w:hAnsi="Book Antiqua" w:cs="Helvetica"/>
          <w:sz w:val="24"/>
          <w:szCs w:val="24"/>
        </w:rPr>
        <w:t>May 22, 2019</w:t>
      </w:r>
      <w:r w:rsidRPr="00565259">
        <w:rPr>
          <w:rFonts w:ascii="Book Antiqua" w:hAnsi="Book Antiqua" w:cs="Helvetica"/>
          <w:b/>
          <w:sz w:val="24"/>
          <w:szCs w:val="24"/>
        </w:rPr>
        <w:t xml:space="preserve"> </w:t>
      </w:r>
    </w:p>
    <w:p w14:paraId="1EE48D6B" w14:textId="49F09BDA" w:rsidR="001157B5" w:rsidRPr="00565259" w:rsidRDefault="001157B5" w:rsidP="00B83DB9">
      <w:pPr>
        <w:pStyle w:val="ac"/>
        <w:spacing w:before="0" w:beforeAutospacing="0" w:after="0" w:afterAutospacing="0" w:line="360" w:lineRule="auto"/>
        <w:jc w:val="both"/>
        <w:rPr>
          <w:rFonts w:ascii="Book Antiqua" w:hAnsi="Book Antiqua"/>
        </w:rPr>
      </w:pPr>
      <w:r w:rsidRPr="00565259">
        <w:rPr>
          <w:rFonts w:ascii="Book Antiqua" w:hAnsi="Book Antiqua" w:cs="Helvetica"/>
          <w:b/>
          <w:bCs/>
        </w:rPr>
        <w:t xml:space="preserve">First decision: </w:t>
      </w:r>
      <w:r w:rsidRPr="00565259">
        <w:rPr>
          <w:rFonts w:ascii="Book Antiqua" w:hAnsi="Book Antiqua" w:cs="Helvetica"/>
          <w:bCs/>
        </w:rPr>
        <w:t>April 11, 2019</w:t>
      </w:r>
    </w:p>
    <w:p w14:paraId="41121771" w14:textId="13043F8E" w:rsidR="001157B5" w:rsidRPr="00565259" w:rsidRDefault="001157B5" w:rsidP="00B83DB9">
      <w:pPr>
        <w:spacing w:after="0" w:line="360" w:lineRule="auto"/>
        <w:jc w:val="both"/>
        <w:rPr>
          <w:rFonts w:ascii="Book Antiqua" w:hAnsi="Book Antiqua" w:cs="Helvetica"/>
          <w:sz w:val="24"/>
          <w:szCs w:val="24"/>
        </w:rPr>
      </w:pPr>
      <w:r w:rsidRPr="00565259">
        <w:rPr>
          <w:rFonts w:ascii="Book Antiqua" w:hAnsi="Book Antiqua" w:cs="Helvetica"/>
          <w:b/>
          <w:bCs/>
          <w:sz w:val="24"/>
          <w:szCs w:val="24"/>
        </w:rPr>
        <w:t xml:space="preserve">Revised: </w:t>
      </w:r>
      <w:r w:rsidRPr="00565259">
        <w:rPr>
          <w:rFonts w:ascii="Book Antiqua" w:hAnsi="Book Antiqua" w:cs="Helvetica"/>
          <w:sz w:val="24"/>
          <w:szCs w:val="24"/>
        </w:rPr>
        <w:t xml:space="preserve">April 26, 2019 </w:t>
      </w:r>
    </w:p>
    <w:p w14:paraId="6E1A0E28" w14:textId="4CABFB65" w:rsidR="001157B5" w:rsidRPr="00565259" w:rsidRDefault="001157B5" w:rsidP="00B83DB9">
      <w:pPr>
        <w:spacing w:after="0" w:line="360" w:lineRule="auto"/>
        <w:jc w:val="both"/>
        <w:rPr>
          <w:rFonts w:ascii="Book Antiqua" w:hAnsi="Book Antiqua" w:cs="Helvetica"/>
          <w:b/>
          <w:sz w:val="24"/>
          <w:szCs w:val="24"/>
        </w:rPr>
      </w:pPr>
      <w:r w:rsidRPr="00565259">
        <w:rPr>
          <w:rFonts w:ascii="Book Antiqua" w:hAnsi="Book Antiqua" w:cs="Helvetica"/>
          <w:b/>
          <w:bCs/>
          <w:sz w:val="24"/>
          <w:szCs w:val="24"/>
        </w:rPr>
        <w:t xml:space="preserve">Accepted: </w:t>
      </w:r>
      <w:r w:rsidR="00481F2A" w:rsidRPr="00565259">
        <w:rPr>
          <w:rFonts w:ascii="Book Antiqua" w:hAnsi="Book Antiqua" w:cs="Helvetica"/>
          <w:sz w:val="24"/>
          <w:szCs w:val="24"/>
        </w:rPr>
        <w:t>June 12, 2019</w:t>
      </w:r>
    </w:p>
    <w:p w14:paraId="789E1900" w14:textId="6E6321A4" w:rsidR="001157B5" w:rsidRPr="00565259" w:rsidRDefault="001157B5" w:rsidP="00B83DB9">
      <w:pPr>
        <w:spacing w:after="0" w:line="360" w:lineRule="auto"/>
        <w:jc w:val="both"/>
        <w:rPr>
          <w:rFonts w:ascii="Book Antiqua" w:hAnsi="Book Antiqua" w:cs="Helvetica"/>
          <w:b/>
          <w:sz w:val="24"/>
          <w:szCs w:val="24"/>
        </w:rPr>
      </w:pPr>
      <w:r w:rsidRPr="00565259">
        <w:rPr>
          <w:rFonts w:ascii="Book Antiqua" w:hAnsi="Book Antiqua" w:cs="Helvetica"/>
          <w:b/>
          <w:bCs/>
          <w:sz w:val="24"/>
          <w:szCs w:val="24"/>
        </w:rPr>
        <w:t xml:space="preserve">Article in press: </w:t>
      </w:r>
      <w:r w:rsidR="008663CD" w:rsidRPr="00565259">
        <w:rPr>
          <w:rFonts w:ascii="Book Antiqua" w:hAnsi="Book Antiqua" w:cs="Helvetica"/>
          <w:sz w:val="24"/>
          <w:szCs w:val="24"/>
        </w:rPr>
        <w:t>June 12, 2019</w:t>
      </w:r>
    </w:p>
    <w:p w14:paraId="64321A98" w14:textId="59C0B7B7" w:rsidR="001157B5" w:rsidRPr="00565259" w:rsidRDefault="001157B5" w:rsidP="00B83DB9">
      <w:pPr>
        <w:spacing w:after="0" w:line="360" w:lineRule="auto"/>
        <w:jc w:val="both"/>
        <w:rPr>
          <w:rFonts w:ascii="Book Antiqua" w:hAnsi="Book Antiqua" w:cs="Helvetica"/>
          <w:b/>
          <w:sz w:val="24"/>
          <w:szCs w:val="24"/>
        </w:rPr>
      </w:pPr>
      <w:r w:rsidRPr="00565259">
        <w:rPr>
          <w:rFonts w:ascii="Book Antiqua" w:hAnsi="Book Antiqua" w:cs="Helvetica"/>
          <w:b/>
          <w:bCs/>
          <w:sz w:val="24"/>
          <w:szCs w:val="24"/>
        </w:rPr>
        <w:t>Published online:</w:t>
      </w:r>
      <w:r w:rsidR="008663CD" w:rsidRPr="00565259">
        <w:rPr>
          <w:rFonts w:ascii="Book Antiqua" w:hAnsi="Book Antiqua" w:cs="Helvetica"/>
          <w:sz w:val="24"/>
          <w:szCs w:val="24"/>
        </w:rPr>
        <w:t xml:space="preserve"> </w:t>
      </w:r>
      <w:r w:rsidR="008663CD" w:rsidRPr="00565259">
        <w:rPr>
          <w:rFonts w:ascii="Book Antiqua" w:hAnsi="Book Antiqua" w:cs="Helvetica"/>
          <w:sz w:val="24"/>
          <w:szCs w:val="24"/>
        </w:rPr>
        <w:t xml:space="preserve">June </w:t>
      </w:r>
      <w:r w:rsidR="008663CD" w:rsidRPr="00565259">
        <w:rPr>
          <w:rFonts w:ascii="Book Antiqua" w:hAnsi="Book Antiqua" w:cs="Helvetica" w:hint="eastAsia"/>
          <w:sz w:val="24"/>
          <w:szCs w:val="24"/>
          <w:lang w:eastAsia="zh-CN"/>
        </w:rPr>
        <w:t>26</w:t>
      </w:r>
      <w:r w:rsidR="008663CD" w:rsidRPr="00565259">
        <w:rPr>
          <w:rFonts w:ascii="Book Antiqua" w:hAnsi="Book Antiqua" w:cs="Helvetica"/>
          <w:sz w:val="24"/>
          <w:szCs w:val="24"/>
        </w:rPr>
        <w:t>, 2019</w:t>
      </w:r>
    </w:p>
    <w:p w14:paraId="49E2165E" w14:textId="77777777" w:rsidR="001157B5" w:rsidRPr="00565259" w:rsidRDefault="001157B5" w:rsidP="00B83DB9">
      <w:pPr>
        <w:tabs>
          <w:tab w:val="left" w:pos="0"/>
          <w:tab w:val="left" w:pos="720"/>
        </w:tabs>
        <w:spacing w:after="0" w:line="360" w:lineRule="auto"/>
        <w:jc w:val="both"/>
        <w:rPr>
          <w:rFonts w:ascii="Book Antiqua" w:hAnsi="Book Antiqua"/>
          <w:sz w:val="24"/>
          <w:szCs w:val="24"/>
        </w:rPr>
      </w:pPr>
    </w:p>
    <w:p w14:paraId="0DD20C42" w14:textId="77777777" w:rsidR="0037407F" w:rsidRPr="00565259" w:rsidRDefault="0037407F"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cs="Times New Roman"/>
          <w:sz w:val="24"/>
          <w:szCs w:val="24"/>
        </w:rPr>
        <w:br w:type="page"/>
      </w:r>
    </w:p>
    <w:p w14:paraId="4E2D05BC" w14:textId="77777777" w:rsidR="00E1765C" w:rsidRPr="00565259" w:rsidRDefault="0037407F" w:rsidP="00B83DB9">
      <w:pPr>
        <w:tabs>
          <w:tab w:val="left" w:pos="720"/>
        </w:tabs>
        <w:spacing w:after="0" w:line="360" w:lineRule="auto"/>
        <w:jc w:val="both"/>
        <w:rPr>
          <w:rFonts w:ascii="Book Antiqua" w:hAnsi="Book Antiqua" w:cs="Times New Roman"/>
          <w:b/>
          <w:sz w:val="24"/>
          <w:szCs w:val="24"/>
        </w:rPr>
      </w:pPr>
      <w:r w:rsidRPr="00565259">
        <w:rPr>
          <w:rFonts w:ascii="Book Antiqua" w:hAnsi="Book Antiqua" w:cs="Times New Roman"/>
          <w:b/>
          <w:sz w:val="24"/>
          <w:szCs w:val="24"/>
        </w:rPr>
        <w:t>Abstract</w:t>
      </w:r>
    </w:p>
    <w:p w14:paraId="38990E57" w14:textId="08AE3D20" w:rsidR="0037407F" w:rsidRPr="00565259" w:rsidRDefault="00B43606"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cs="Times New Roman"/>
          <w:sz w:val="24"/>
          <w:szCs w:val="24"/>
        </w:rPr>
        <w:t>Successful fracture healing requires the simultaneous regeneration of</w:t>
      </w:r>
      <w:r w:rsidR="00D137B3" w:rsidRPr="00565259">
        <w:rPr>
          <w:rFonts w:ascii="Book Antiqua" w:hAnsi="Book Antiqua" w:cs="Times New Roman"/>
          <w:sz w:val="24"/>
          <w:szCs w:val="24"/>
        </w:rPr>
        <w:t xml:space="preserve"> both the bone and vasculature;</w:t>
      </w:r>
      <w:r w:rsidR="00AB3AFC" w:rsidRPr="00565259">
        <w:rPr>
          <w:rFonts w:ascii="Book Antiqua" w:hAnsi="Book Antiqua" w:cs="Times New Roman"/>
          <w:sz w:val="24"/>
          <w:szCs w:val="24"/>
        </w:rPr>
        <w:t xml:space="preserve"> mesenchymal stem cells </w:t>
      </w:r>
      <w:r w:rsidR="009B4982" w:rsidRPr="00565259">
        <w:rPr>
          <w:rFonts w:ascii="Book Antiqua" w:hAnsi="Book Antiqua" w:cs="Times New Roman"/>
          <w:sz w:val="24"/>
          <w:szCs w:val="24"/>
        </w:rPr>
        <w:t xml:space="preserve">(MSCs) </w:t>
      </w:r>
      <w:r w:rsidR="00AB3AFC" w:rsidRPr="00565259">
        <w:rPr>
          <w:rFonts w:ascii="Book Antiqua" w:hAnsi="Book Antiqua" w:cs="Times New Roman"/>
          <w:sz w:val="24"/>
          <w:szCs w:val="24"/>
        </w:rPr>
        <w:t>are directed to replace the bone tissue</w:t>
      </w:r>
      <w:r w:rsidR="00D17E28" w:rsidRPr="00565259">
        <w:rPr>
          <w:rFonts w:ascii="Book Antiqua" w:hAnsi="Book Antiqua" w:cs="Times New Roman"/>
          <w:sz w:val="24"/>
          <w:szCs w:val="24"/>
        </w:rPr>
        <w:t>,</w:t>
      </w:r>
      <w:r w:rsidR="00AB3AFC" w:rsidRPr="00565259">
        <w:rPr>
          <w:rFonts w:ascii="Book Antiqua" w:hAnsi="Book Antiqua" w:cs="Times New Roman"/>
          <w:sz w:val="24"/>
          <w:szCs w:val="24"/>
        </w:rPr>
        <w:t xml:space="preserve"> while endothelial progenitor cells </w:t>
      </w:r>
      <w:r w:rsidR="009B4982" w:rsidRPr="00565259">
        <w:rPr>
          <w:rFonts w:ascii="Book Antiqua" w:hAnsi="Book Antiqua" w:cs="Times New Roman"/>
          <w:sz w:val="24"/>
          <w:szCs w:val="24"/>
        </w:rPr>
        <w:t>(EPCs) form the new vasculature that supplies blood</w:t>
      </w:r>
      <w:r w:rsidR="00D137B3" w:rsidRPr="00565259">
        <w:rPr>
          <w:rFonts w:ascii="Book Antiqua" w:hAnsi="Book Antiqua" w:cs="Times New Roman"/>
          <w:sz w:val="24"/>
          <w:szCs w:val="24"/>
        </w:rPr>
        <w:t xml:space="preserve"> to the fracture site</w:t>
      </w:r>
      <w:r w:rsidR="00AB3AFC" w:rsidRPr="00565259">
        <w:rPr>
          <w:rFonts w:ascii="Book Antiqua" w:hAnsi="Book Antiqua" w:cs="Times New Roman"/>
          <w:sz w:val="24"/>
          <w:szCs w:val="24"/>
        </w:rPr>
        <w:t xml:space="preserve">. </w:t>
      </w:r>
      <w:r w:rsidR="004C3D2C" w:rsidRPr="00565259">
        <w:rPr>
          <w:rFonts w:ascii="Book Antiqua" w:hAnsi="Book Antiqua" w:cs="Times New Roman"/>
          <w:sz w:val="24"/>
          <w:szCs w:val="24"/>
        </w:rPr>
        <w:t>In the elderly</w:t>
      </w:r>
      <w:r w:rsidR="00AB3AFC" w:rsidRPr="00565259">
        <w:rPr>
          <w:rFonts w:ascii="Book Antiqua" w:hAnsi="Book Antiqua" w:cs="Times New Roman"/>
          <w:sz w:val="24"/>
          <w:szCs w:val="24"/>
        </w:rPr>
        <w:t xml:space="preserve">, the healing process is </w:t>
      </w:r>
      <w:r w:rsidR="004C3D2C" w:rsidRPr="00565259">
        <w:rPr>
          <w:rFonts w:ascii="Book Antiqua" w:hAnsi="Book Antiqua" w:cs="Times New Roman"/>
          <w:sz w:val="24"/>
          <w:szCs w:val="24"/>
        </w:rPr>
        <w:t>slowed</w:t>
      </w:r>
      <w:r w:rsidR="003270F7" w:rsidRPr="00565259">
        <w:rPr>
          <w:rFonts w:ascii="Book Antiqua" w:hAnsi="Book Antiqua" w:cs="Times New Roman"/>
          <w:sz w:val="24"/>
          <w:szCs w:val="24"/>
        </w:rPr>
        <w:t>,</w:t>
      </w:r>
      <w:r w:rsidR="004C3D2C" w:rsidRPr="00565259">
        <w:rPr>
          <w:rFonts w:ascii="Book Antiqua" w:hAnsi="Book Antiqua" w:cs="Times New Roman"/>
          <w:sz w:val="24"/>
          <w:szCs w:val="24"/>
        </w:rPr>
        <w:t xml:space="preserve"> </w:t>
      </w:r>
      <w:r w:rsidR="003270F7" w:rsidRPr="00565259">
        <w:rPr>
          <w:rFonts w:ascii="Book Antiqua" w:hAnsi="Book Antiqua" w:cs="Times New Roman"/>
          <w:sz w:val="24"/>
          <w:szCs w:val="24"/>
        </w:rPr>
        <w:t xml:space="preserve">partly </w:t>
      </w:r>
      <w:r w:rsidR="004C3D2C" w:rsidRPr="00565259">
        <w:rPr>
          <w:rFonts w:ascii="Book Antiqua" w:hAnsi="Book Antiqua" w:cs="Times New Roman"/>
          <w:sz w:val="24"/>
          <w:szCs w:val="24"/>
        </w:rPr>
        <w:t>due</w:t>
      </w:r>
      <w:r w:rsidR="00AB3AFC" w:rsidRPr="00565259">
        <w:rPr>
          <w:rFonts w:ascii="Book Antiqua" w:hAnsi="Book Antiqua" w:cs="Times New Roman"/>
          <w:sz w:val="24"/>
          <w:szCs w:val="24"/>
        </w:rPr>
        <w:t xml:space="preserve"> t</w:t>
      </w:r>
      <w:r w:rsidR="00D137B3" w:rsidRPr="00565259">
        <w:rPr>
          <w:rFonts w:ascii="Book Antiqua" w:hAnsi="Book Antiqua" w:cs="Times New Roman"/>
          <w:sz w:val="24"/>
          <w:szCs w:val="24"/>
        </w:rPr>
        <w:t>o</w:t>
      </w:r>
      <w:r w:rsidR="00AB3AFC" w:rsidRPr="00565259">
        <w:rPr>
          <w:rFonts w:ascii="Book Antiqua" w:hAnsi="Book Antiqua" w:cs="Times New Roman"/>
          <w:sz w:val="24"/>
          <w:szCs w:val="24"/>
        </w:rPr>
        <w:t xml:space="preserve"> </w:t>
      </w:r>
      <w:r w:rsidR="004C3D2C" w:rsidRPr="00565259">
        <w:rPr>
          <w:rFonts w:ascii="Book Antiqua" w:hAnsi="Book Antiqua" w:cs="Times New Roman"/>
          <w:sz w:val="24"/>
          <w:szCs w:val="24"/>
        </w:rPr>
        <w:t xml:space="preserve">decreased regenerative function of </w:t>
      </w:r>
      <w:r w:rsidR="003270F7" w:rsidRPr="00565259">
        <w:rPr>
          <w:rFonts w:ascii="Book Antiqua" w:hAnsi="Book Antiqua" w:cs="Times New Roman"/>
          <w:sz w:val="24"/>
          <w:szCs w:val="24"/>
        </w:rPr>
        <w:t xml:space="preserve">these </w:t>
      </w:r>
      <w:r w:rsidR="00AB3AFC" w:rsidRPr="00565259">
        <w:rPr>
          <w:rFonts w:ascii="Book Antiqua" w:hAnsi="Book Antiqua" w:cs="Times New Roman"/>
          <w:sz w:val="24"/>
          <w:szCs w:val="24"/>
        </w:rPr>
        <w:t xml:space="preserve">stem </w:t>
      </w:r>
      <w:r w:rsidR="00D137B3" w:rsidRPr="00565259">
        <w:rPr>
          <w:rFonts w:ascii="Book Antiqua" w:hAnsi="Book Antiqua" w:cs="Times New Roman"/>
          <w:sz w:val="24"/>
          <w:szCs w:val="24"/>
        </w:rPr>
        <w:t xml:space="preserve">and progenitor </w:t>
      </w:r>
      <w:r w:rsidR="004C3D2C" w:rsidRPr="00565259">
        <w:rPr>
          <w:rFonts w:ascii="Book Antiqua" w:hAnsi="Book Antiqua" w:cs="Times New Roman"/>
          <w:sz w:val="24"/>
          <w:szCs w:val="24"/>
        </w:rPr>
        <w:t>cells</w:t>
      </w:r>
      <w:r w:rsidR="009B4982" w:rsidRPr="00565259">
        <w:rPr>
          <w:rFonts w:ascii="Book Antiqua" w:hAnsi="Book Antiqua" w:cs="Times New Roman"/>
          <w:sz w:val="24"/>
          <w:szCs w:val="24"/>
        </w:rPr>
        <w:t>. MSCs from older individuals are impaired with</w:t>
      </w:r>
      <w:r w:rsidR="00D137B3" w:rsidRPr="00565259">
        <w:rPr>
          <w:rFonts w:ascii="Book Antiqua" w:hAnsi="Book Antiqua" w:cs="Times New Roman"/>
          <w:sz w:val="24"/>
          <w:szCs w:val="24"/>
        </w:rPr>
        <w:t xml:space="preserve"> regard to cell number, proliferative c</w:t>
      </w:r>
      <w:r w:rsidR="009B4982" w:rsidRPr="00565259">
        <w:rPr>
          <w:rFonts w:ascii="Book Antiqua" w:hAnsi="Book Antiqua" w:cs="Times New Roman"/>
          <w:sz w:val="24"/>
          <w:szCs w:val="24"/>
        </w:rPr>
        <w:t xml:space="preserve">apacity, ability to migrate, and </w:t>
      </w:r>
      <w:r w:rsidR="00340483" w:rsidRPr="00565259">
        <w:rPr>
          <w:rFonts w:ascii="Book Antiqua" w:hAnsi="Book Antiqua" w:cs="Times New Roman"/>
          <w:sz w:val="24"/>
          <w:szCs w:val="24"/>
        </w:rPr>
        <w:t>osteochondrogenic differentiation</w:t>
      </w:r>
      <w:r w:rsidR="00D137B3" w:rsidRPr="00565259">
        <w:rPr>
          <w:rFonts w:ascii="Book Antiqua" w:hAnsi="Book Antiqua" w:cs="Times New Roman"/>
          <w:sz w:val="24"/>
          <w:szCs w:val="24"/>
        </w:rPr>
        <w:t xml:space="preserve"> potential.</w:t>
      </w:r>
      <w:r w:rsidR="009B4982" w:rsidRPr="00565259">
        <w:rPr>
          <w:rFonts w:ascii="Book Antiqua" w:hAnsi="Book Antiqua" w:cs="Times New Roman"/>
          <w:sz w:val="24"/>
          <w:szCs w:val="24"/>
        </w:rPr>
        <w:t xml:space="preserve"> The proliferation, migration and function of EPCs are also compromised with advanced age.</w:t>
      </w:r>
      <w:r w:rsidR="00E94BB9" w:rsidRPr="00565259">
        <w:rPr>
          <w:rFonts w:ascii="Book Antiqua" w:hAnsi="Book Antiqua" w:cs="Times New Roman"/>
          <w:sz w:val="24"/>
          <w:szCs w:val="24"/>
        </w:rPr>
        <w:t xml:space="preserve"> </w:t>
      </w:r>
      <w:r w:rsidR="004C3D2C" w:rsidRPr="00565259">
        <w:rPr>
          <w:rFonts w:ascii="Book Antiqua" w:hAnsi="Book Antiqua" w:cs="Times New Roman"/>
          <w:sz w:val="24"/>
          <w:szCs w:val="24"/>
        </w:rPr>
        <w:t xml:space="preserve">Although the reasons for cellular dysfunction with age are complex and multidimensional, reduced expression of growth factors, accumulation of oxidative damage </w:t>
      </w:r>
      <w:r w:rsidR="00466968" w:rsidRPr="00565259">
        <w:rPr>
          <w:rFonts w:ascii="Book Antiqua" w:hAnsi="Book Antiqua" w:cs="Times New Roman"/>
          <w:sz w:val="24"/>
          <w:szCs w:val="24"/>
        </w:rPr>
        <w:t xml:space="preserve">from </w:t>
      </w:r>
      <w:r w:rsidR="004C3D2C" w:rsidRPr="00565259">
        <w:rPr>
          <w:rFonts w:ascii="Book Antiqua" w:hAnsi="Book Antiqua" w:cs="Times New Roman"/>
          <w:sz w:val="24"/>
          <w:szCs w:val="24"/>
        </w:rPr>
        <w:t xml:space="preserve">reactive oxygen species, and altered signaling of the Sirtuin-1 pathway are contributing factors to aging at the cellular level of both MSCs and EPCs. </w:t>
      </w:r>
      <w:r w:rsidR="00F76336" w:rsidRPr="00565259">
        <w:rPr>
          <w:rFonts w:ascii="Book Antiqua" w:hAnsi="Book Antiqua" w:cs="Times New Roman"/>
          <w:sz w:val="24"/>
          <w:szCs w:val="24"/>
        </w:rPr>
        <w:t xml:space="preserve">Because of these </w:t>
      </w:r>
      <w:r w:rsidR="0014597F" w:rsidRPr="00565259">
        <w:rPr>
          <w:rFonts w:ascii="Book Antiqua" w:hAnsi="Book Antiqua" w:cs="Times New Roman"/>
          <w:sz w:val="24"/>
          <w:szCs w:val="24"/>
        </w:rPr>
        <w:t xml:space="preserve">geriatric-specific </w:t>
      </w:r>
      <w:r w:rsidR="00F76336" w:rsidRPr="00565259">
        <w:rPr>
          <w:rFonts w:ascii="Book Antiqua" w:hAnsi="Book Antiqua" w:cs="Times New Roman"/>
          <w:sz w:val="24"/>
          <w:szCs w:val="24"/>
        </w:rPr>
        <w:t>issues, e</w:t>
      </w:r>
      <w:r w:rsidR="003270F7" w:rsidRPr="00565259">
        <w:rPr>
          <w:rFonts w:ascii="Book Antiqua" w:hAnsi="Book Antiqua" w:cs="Times New Roman"/>
          <w:sz w:val="24"/>
          <w:szCs w:val="24"/>
        </w:rPr>
        <w:t xml:space="preserve">ffective treatment </w:t>
      </w:r>
      <w:r w:rsidR="0014597F" w:rsidRPr="00565259">
        <w:rPr>
          <w:rFonts w:ascii="Book Antiqua" w:hAnsi="Book Antiqua" w:cs="Times New Roman"/>
          <w:sz w:val="24"/>
          <w:szCs w:val="24"/>
        </w:rPr>
        <w:t xml:space="preserve">for fracture repair </w:t>
      </w:r>
      <w:r w:rsidR="003270F7" w:rsidRPr="00565259">
        <w:rPr>
          <w:rFonts w:ascii="Book Antiqua" w:hAnsi="Book Antiqua" w:cs="Times New Roman"/>
          <w:sz w:val="24"/>
          <w:szCs w:val="24"/>
        </w:rPr>
        <w:t xml:space="preserve">may require new therapeutic techniques to restore cellular function. </w:t>
      </w:r>
      <w:r w:rsidR="00F76336" w:rsidRPr="00565259">
        <w:rPr>
          <w:rFonts w:ascii="Book Antiqua" w:hAnsi="Book Antiqua" w:cs="Times New Roman"/>
          <w:sz w:val="24"/>
          <w:szCs w:val="24"/>
        </w:rPr>
        <w:t>Some suggested directions</w:t>
      </w:r>
      <w:r w:rsidR="00C6679C" w:rsidRPr="00565259">
        <w:rPr>
          <w:rFonts w:ascii="Book Antiqua" w:hAnsi="Book Antiqua" w:cs="Times New Roman"/>
          <w:sz w:val="24"/>
          <w:szCs w:val="24"/>
        </w:rPr>
        <w:t xml:space="preserve"> for potential treatments</w:t>
      </w:r>
      <w:r w:rsidR="00F76336" w:rsidRPr="00565259">
        <w:rPr>
          <w:rFonts w:ascii="Book Antiqua" w:hAnsi="Book Antiqua" w:cs="Times New Roman"/>
          <w:sz w:val="24"/>
          <w:szCs w:val="24"/>
        </w:rPr>
        <w:t xml:space="preserve"> include</w:t>
      </w:r>
      <w:r w:rsidR="003270F7" w:rsidRPr="00565259">
        <w:rPr>
          <w:rFonts w:ascii="Book Antiqua" w:hAnsi="Book Antiqua" w:cs="Times New Roman"/>
          <w:sz w:val="24"/>
          <w:szCs w:val="24"/>
        </w:rPr>
        <w:t xml:space="preserve"> cellular ther</w:t>
      </w:r>
      <w:r w:rsidR="0014597F" w:rsidRPr="00565259">
        <w:rPr>
          <w:rFonts w:ascii="Book Antiqua" w:hAnsi="Book Antiqua" w:cs="Times New Roman"/>
          <w:sz w:val="24"/>
          <w:szCs w:val="24"/>
        </w:rPr>
        <w:t>apies, pharmacological agents</w:t>
      </w:r>
      <w:r w:rsidR="003270F7" w:rsidRPr="00565259">
        <w:rPr>
          <w:rFonts w:ascii="Book Antiqua" w:hAnsi="Book Antiqua" w:cs="Times New Roman"/>
          <w:sz w:val="24"/>
          <w:szCs w:val="24"/>
        </w:rPr>
        <w:t>,</w:t>
      </w:r>
      <w:r w:rsidR="00E94BB9" w:rsidRPr="00565259">
        <w:rPr>
          <w:rFonts w:ascii="Book Antiqua" w:hAnsi="Book Antiqua" w:cs="Times New Roman"/>
          <w:sz w:val="24"/>
          <w:szCs w:val="24"/>
        </w:rPr>
        <w:t xml:space="preserve"> </w:t>
      </w:r>
      <w:r w:rsidR="003270F7" w:rsidRPr="00565259">
        <w:rPr>
          <w:rFonts w:ascii="Book Antiqua" w:hAnsi="Book Antiqua" w:cs="Times New Roman"/>
          <w:sz w:val="24"/>
          <w:szCs w:val="24"/>
        </w:rPr>
        <w:t xml:space="preserve">treatments targeting age-related molecular mechanisms, and physical therapeutics. </w:t>
      </w:r>
      <w:r w:rsidR="004C3D2C" w:rsidRPr="00565259">
        <w:rPr>
          <w:rFonts w:ascii="Book Antiqua" w:hAnsi="Book Antiqua" w:cs="Times New Roman"/>
          <w:sz w:val="24"/>
          <w:szCs w:val="24"/>
        </w:rPr>
        <w:t>Advanced age is the</w:t>
      </w:r>
      <w:r w:rsidR="001D1491" w:rsidRPr="00565259">
        <w:rPr>
          <w:rFonts w:ascii="Book Antiqua" w:hAnsi="Book Antiqua" w:cs="Times New Roman"/>
          <w:sz w:val="24"/>
          <w:szCs w:val="24"/>
        </w:rPr>
        <w:t xml:space="preserve"> primary risk factor</w:t>
      </w:r>
      <w:r w:rsidR="004C3D2C" w:rsidRPr="00565259">
        <w:rPr>
          <w:rFonts w:ascii="Book Antiqua" w:hAnsi="Book Antiqua" w:cs="Times New Roman"/>
          <w:sz w:val="24"/>
          <w:szCs w:val="24"/>
        </w:rPr>
        <w:t xml:space="preserve"> for a fracture, due to the low bone mass and inferior bone quality associated with aging</w:t>
      </w:r>
      <w:r w:rsidR="003270F7" w:rsidRPr="00565259">
        <w:rPr>
          <w:rFonts w:ascii="Book Antiqua" w:hAnsi="Book Antiqua" w:cs="Times New Roman"/>
          <w:sz w:val="24"/>
          <w:szCs w:val="24"/>
        </w:rPr>
        <w:t xml:space="preserve">; a better understanding of the dysfunctional behavior </w:t>
      </w:r>
      <w:r w:rsidR="0014597F" w:rsidRPr="00565259">
        <w:rPr>
          <w:rFonts w:ascii="Book Antiqua" w:hAnsi="Book Antiqua" w:cs="Times New Roman"/>
          <w:sz w:val="24"/>
          <w:szCs w:val="24"/>
        </w:rPr>
        <w:t>of the aging cell</w:t>
      </w:r>
      <w:r w:rsidR="003270F7" w:rsidRPr="00565259">
        <w:rPr>
          <w:rFonts w:ascii="Book Antiqua" w:hAnsi="Book Antiqua" w:cs="Times New Roman"/>
          <w:sz w:val="24"/>
          <w:szCs w:val="24"/>
        </w:rPr>
        <w:t xml:space="preserve"> will provide a foundation for new treatments to decrease healing time and reduce the development of </w:t>
      </w:r>
      <w:r w:rsidR="00466968" w:rsidRPr="00565259">
        <w:rPr>
          <w:rFonts w:ascii="Book Antiqua" w:hAnsi="Book Antiqua" w:cs="Times New Roman"/>
          <w:sz w:val="24"/>
          <w:szCs w:val="24"/>
        </w:rPr>
        <w:t xml:space="preserve">complications during the </w:t>
      </w:r>
      <w:r w:rsidR="00F76336" w:rsidRPr="00565259">
        <w:rPr>
          <w:rFonts w:ascii="Book Antiqua" w:hAnsi="Book Antiqua" w:cs="Times New Roman"/>
          <w:sz w:val="24"/>
          <w:szCs w:val="24"/>
        </w:rPr>
        <w:t>extended</w:t>
      </w:r>
      <w:r w:rsidR="00466968" w:rsidRPr="00565259">
        <w:rPr>
          <w:rFonts w:ascii="Book Antiqua" w:hAnsi="Book Antiqua" w:cs="Times New Roman"/>
          <w:sz w:val="24"/>
          <w:szCs w:val="24"/>
        </w:rPr>
        <w:t xml:space="preserve"> recovery from fracture healing</w:t>
      </w:r>
      <w:r w:rsidR="00817915" w:rsidRPr="00565259">
        <w:rPr>
          <w:rFonts w:ascii="Book Antiqua" w:hAnsi="Book Antiqua" w:cs="Times New Roman"/>
          <w:sz w:val="24"/>
          <w:szCs w:val="24"/>
        </w:rPr>
        <w:t xml:space="preserve"> in the elderly</w:t>
      </w:r>
      <w:r w:rsidR="003270F7" w:rsidRPr="00565259">
        <w:rPr>
          <w:rFonts w:ascii="Book Antiqua" w:hAnsi="Book Antiqua" w:cs="Times New Roman"/>
          <w:sz w:val="24"/>
          <w:szCs w:val="24"/>
        </w:rPr>
        <w:t>.</w:t>
      </w:r>
    </w:p>
    <w:p w14:paraId="4CE29BB6" w14:textId="77777777" w:rsidR="00432671" w:rsidRPr="00565259" w:rsidRDefault="00432671" w:rsidP="00B83DB9">
      <w:pPr>
        <w:tabs>
          <w:tab w:val="left" w:pos="720"/>
        </w:tabs>
        <w:spacing w:after="0" w:line="360" w:lineRule="auto"/>
        <w:jc w:val="both"/>
        <w:rPr>
          <w:rFonts w:ascii="Book Antiqua" w:hAnsi="Book Antiqua" w:cs="Times New Roman"/>
          <w:sz w:val="24"/>
          <w:szCs w:val="24"/>
        </w:rPr>
      </w:pPr>
    </w:p>
    <w:p w14:paraId="7BB1C328" w14:textId="77BE8806" w:rsidR="0037407F" w:rsidRPr="00565259" w:rsidRDefault="00482040" w:rsidP="00B83DB9">
      <w:pPr>
        <w:tabs>
          <w:tab w:val="left" w:pos="720"/>
        </w:tabs>
        <w:spacing w:after="0" w:line="360" w:lineRule="auto"/>
        <w:jc w:val="both"/>
        <w:rPr>
          <w:rFonts w:ascii="Book Antiqua" w:hAnsi="Book Antiqua" w:cs="Times New Roman"/>
          <w:b/>
          <w:sz w:val="24"/>
          <w:szCs w:val="24"/>
        </w:rPr>
      </w:pPr>
      <w:r w:rsidRPr="00565259">
        <w:rPr>
          <w:rFonts w:ascii="Book Antiqua" w:hAnsi="Book Antiqua"/>
          <w:b/>
          <w:bCs/>
          <w:sz w:val="24"/>
          <w:szCs w:val="24"/>
        </w:rPr>
        <w:t xml:space="preserve">Key words: </w:t>
      </w:r>
      <w:bookmarkStart w:id="9" w:name="OLE_LINK11"/>
      <w:r w:rsidR="000707A8" w:rsidRPr="00565259">
        <w:rPr>
          <w:rFonts w:ascii="Book Antiqua" w:hAnsi="Book Antiqua" w:cs="Times New Roman"/>
          <w:sz w:val="24"/>
          <w:szCs w:val="24"/>
        </w:rPr>
        <w:t xml:space="preserve">Fracture healing; Aging; </w:t>
      </w:r>
      <w:r w:rsidR="007B787B" w:rsidRPr="00565259">
        <w:rPr>
          <w:rFonts w:ascii="Book Antiqua" w:hAnsi="Book Antiqua" w:cs="Times New Roman"/>
          <w:sz w:val="24"/>
          <w:szCs w:val="24"/>
        </w:rPr>
        <w:t>Bone; Angiogenesis; Mesenchymal stem cells; Endothelial progenitor cells</w:t>
      </w:r>
    </w:p>
    <w:bookmarkEnd w:id="9"/>
    <w:p w14:paraId="6D98C70C" w14:textId="77777777" w:rsidR="0037407F" w:rsidRPr="00565259" w:rsidRDefault="0037407F" w:rsidP="00B83DB9">
      <w:pPr>
        <w:tabs>
          <w:tab w:val="left" w:pos="720"/>
        </w:tabs>
        <w:spacing w:after="0" w:line="360" w:lineRule="auto"/>
        <w:jc w:val="both"/>
        <w:rPr>
          <w:rFonts w:ascii="Book Antiqua" w:hAnsi="Book Antiqua" w:cs="Times New Roman"/>
          <w:b/>
          <w:sz w:val="24"/>
          <w:szCs w:val="24"/>
        </w:rPr>
      </w:pPr>
    </w:p>
    <w:p w14:paraId="31D9E702" w14:textId="77777777" w:rsidR="00482040" w:rsidRPr="00565259" w:rsidRDefault="00482040" w:rsidP="00B83DB9">
      <w:pPr>
        <w:adjustRightInd w:val="0"/>
        <w:snapToGrid w:val="0"/>
        <w:spacing w:after="0" w:line="360" w:lineRule="auto"/>
        <w:jc w:val="both"/>
        <w:rPr>
          <w:rFonts w:ascii="Book Antiqua" w:hAnsi="Book Antiqua" w:cs="Tahoma"/>
          <w:sz w:val="24"/>
          <w:szCs w:val="24"/>
        </w:rPr>
      </w:pPr>
      <w:bookmarkStart w:id="10" w:name="OLE_LINK682"/>
      <w:bookmarkStart w:id="11" w:name="OLE_LINK569"/>
      <w:bookmarkStart w:id="12" w:name="OLE_LINK306"/>
      <w:bookmarkStart w:id="13" w:name="OLE_LINK382"/>
      <w:bookmarkStart w:id="14" w:name="OLE_LINK16"/>
      <w:bookmarkStart w:id="15" w:name="OLE_LINK1864"/>
      <w:bookmarkStart w:id="16" w:name="OLE_LINK288"/>
      <w:bookmarkStart w:id="17" w:name="OLE_LINK200"/>
      <w:bookmarkStart w:id="18" w:name="OLE_LINK149"/>
      <w:bookmarkStart w:id="19" w:name="OLE_LINK148"/>
      <w:r w:rsidRPr="00565259">
        <w:rPr>
          <w:rFonts w:ascii="Book Antiqua" w:hAnsi="Book Antiqua" w:cs="Tahoma"/>
          <w:b/>
          <w:sz w:val="24"/>
          <w:szCs w:val="24"/>
          <w:lang w:eastAsia="ja-JP"/>
        </w:rPr>
        <w:t>© The Author(s) 201</w:t>
      </w:r>
      <w:r w:rsidRPr="00565259">
        <w:rPr>
          <w:rFonts w:ascii="Book Antiqua" w:hAnsi="Book Antiqua" w:cs="Tahoma"/>
          <w:b/>
          <w:sz w:val="24"/>
          <w:szCs w:val="24"/>
        </w:rPr>
        <w:t>9</w:t>
      </w:r>
      <w:r w:rsidRPr="00565259">
        <w:rPr>
          <w:rFonts w:ascii="Book Antiqua" w:hAnsi="Book Antiqua" w:cs="Tahoma"/>
          <w:b/>
          <w:sz w:val="24"/>
          <w:szCs w:val="24"/>
          <w:lang w:eastAsia="ja-JP"/>
        </w:rPr>
        <w:t>.</w:t>
      </w:r>
      <w:r w:rsidRPr="00565259">
        <w:rPr>
          <w:rFonts w:ascii="Book Antiqua" w:hAnsi="Book Antiqua" w:cs="Tahoma"/>
          <w:sz w:val="24"/>
          <w:szCs w:val="24"/>
          <w:lang w:eastAsia="ja-JP"/>
        </w:rPr>
        <w:t xml:space="preserve"> Published by Baishideng Publishing Group Inc. All rights reserved.</w:t>
      </w:r>
      <w:bookmarkEnd w:id="10"/>
      <w:bookmarkEnd w:id="11"/>
      <w:bookmarkEnd w:id="12"/>
      <w:bookmarkEnd w:id="13"/>
      <w:bookmarkEnd w:id="14"/>
      <w:bookmarkEnd w:id="15"/>
      <w:bookmarkEnd w:id="16"/>
      <w:bookmarkEnd w:id="17"/>
      <w:bookmarkEnd w:id="18"/>
      <w:bookmarkEnd w:id="19"/>
    </w:p>
    <w:p w14:paraId="0F7FF878" w14:textId="77777777" w:rsidR="00482040" w:rsidRPr="00565259" w:rsidRDefault="00482040" w:rsidP="00B83DB9">
      <w:pPr>
        <w:adjustRightInd w:val="0"/>
        <w:snapToGrid w:val="0"/>
        <w:spacing w:after="0" w:line="360" w:lineRule="auto"/>
        <w:jc w:val="both"/>
        <w:rPr>
          <w:rFonts w:ascii="Book Antiqua" w:hAnsi="Book Antiqua"/>
          <w:b/>
          <w:sz w:val="24"/>
          <w:szCs w:val="24"/>
        </w:rPr>
      </w:pPr>
    </w:p>
    <w:p w14:paraId="1918F865" w14:textId="3B6BC4AC" w:rsidR="0037407F" w:rsidRPr="00565259" w:rsidRDefault="00482040"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b/>
          <w:sz w:val="24"/>
          <w:szCs w:val="24"/>
        </w:rPr>
        <w:t xml:space="preserve">Core tip: </w:t>
      </w:r>
      <w:bookmarkStart w:id="20" w:name="OLE_LINK12"/>
      <w:r w:rsidR="00C6679C" w:rsidRPr="00565259">
        <w:rPr>
          <w:rStyle w:val="10"/>
          <w:szCs w:val="24"/>
        </w:rPr>
        <w:t>Bone fractures in the elderly are a significant issue, due to the prevalence of the problem, the difficulty of treatment, and the severe consequences of the extended healing period. The delay in fracture healing with advanced age has been attributed to both the decr</w:t>
      </w:r>
      <w:r w:rsidR="00EC7951" w:rsidRPr="00565259">
        <w:rPr>
          <w:rStyle w:val="10"/>
          <w:szCs w:val="24"/>
        </w:rPr>
        <w:t>eased number and function of mesenchymal stem cell</w:t>
      </w:r>
      <w:r w:rsidR="00C6679C" w:rsidRPr="00565259">
        <w:rPr>
          <w:rStyle w:val="10"/>
          <w:szCs w:val="24"/>
        </w:rPr>
        <w:t>s that regenerate the bone and the inferior perf</w:t>
      </w:r>
      <w:r w:rsidR="00EC7951" w:rsidRPr="00565259">
        <w:rPr>
          <w:rStyle w:val="10"/>
          <w:szCs w:val="24"/>
        </w:rPr>
        <w:t>ormance of endothelial progenitor cell</w:t>
      </w:r>
      <w:r w:rsidR="00C6679C" w:rsidRPr="00565259">
        <w:rPr>
          <w:rStyle w:val="10"/>
          <w:szCs w:val="24"/>
        </w:rPr>
        <w:t xml:space="preserve">s that </w:t>
      </w:r>
      <w:r w:rsidR="00EC7951" w:rsidRPr="00565259">
        <w:rPr>
          <w:rStyle w:val="10"/>
          <w:szCs w:val="24"/>
        </w:rPr>
        <w:t xml:space="preserve">direct </w:t>
      </w:r>
      <w:r w:rsidR="00C6679C" w:rsidRPr="00565259">
        <w:rPr>
          <w:rStyle w:val="10"/>
          <w:szCs w:val="24"/>
        </w:rPr>
        <w:t xml:space="preserve">angiogenesis. </w:t>
      </w:r>
      <w:r w:rsidR="00C6679C" w:rsidRPr="00565259">
        <w:rPr>
          <w:rFonts w:ascii="Book Antiqua" w:hAnsi="Book Antiqua" w:cs="Times New Roman"/>
          <w:sz w:val="24"/>
          <w:szCs w:val="24"/>
        </w:rPr>
        <w:t xml:space="preserve">Some suggested </w:t>
      </w:r>
      <w:r w:rsidR="00EC7951" w:rsidRPr="00565259">
        <w:rPr>
          <w:rFonts w:ascii="Book Antiqua" w:hAnsi="Book Antiqua" w:cs="Times New Roman"/>
          <w:sz w:val="24"/>
          <w:szCs w:val="24"/>
        </w:rPr>
        <w:t>avenue</w:t>
      </w:r>
      <w:r w:rsidR="00C6679C" w:rsidRPr="00565259">
        <w:rPr>
          <w:rFonts w:ascii="Book Antiqua" w:hAnsi="Book Antiqua" w:cs="Times New Roman"/>
          <w:sz w:val="24"/>
          <w:szCs w:val="24"/>
        </w:rPr>
        <w:t>s for potential treatments include cellular therapies, pharmacological agents, treatments targeting age-related molecular mechanisms, and physical therapeutics.</w:t>
      </w:r>
    </w:p>
    <w:bookmarkEnd w:id="20"/>
    <w:p w14:paraId="6DFDF6DB" w14:textId="2F30BA29" w:rsidR="000707A8" w:rsidRPr="00565259" w:rsidRDefault="000707A8" w:rsidP="00B83DB9">
      <w:pPr>
        <w:tabs>
          <w:tab w:val="left" w:pos="720"/>
        </w:tabs>
        <w:spacing w:after="0" w:line="360" w:lineRule="auto"/>
        <w:jc w:val="both"/>
        <w:rPr>
          <w:rFonts w:ascii="Book Antiqua" w:hAnsi="Book Antiqua" w:cs="Times New Roman"/>
          <w:sz w:val="24"/>
          <w:szCs w:val="24"/>
        </w:rPr>
      </w:pPr>
    </w:p>
    <w:p w14:paraId="68D37C5E" w14:textId="10613057" w:rsidR="005B51A6" w:rsidRPr="00565259" w:rsidRDefault="005B51A6" w:rsidP="005B51A6">
      <w:pPr>
        <w:spacing w:after="0" w:line="360" w:lineRule="auto"/>
        <w:jc w:val="both"/>
        <w:rPr>
          <w:rFonts w:ascii="Book Antiqua" w:hAnsi="Book Antiqua"/>
          <w:sz w:val="24"/>
          <w:szCs w:val="24"/>
        </w:rPr>
      </w:pPr>
      <w:r w:rsidRPr="00565259">
        <w:rPr>
          <w:rFonts w:ascii="Book Antiqua" w:hAnsi="Book Antiqua" w:cs="Times New Roman"/>
          <w:b/>
          <w:bCs/>
          <w:sz w:val="24"/>
          <w:szCs w:val="24"/>
        </w:rPr>
        <w:t xml:space="preserve">Citation: </w:t>
      </w:r>
      <w:r w:rsidR="00E94BB9" w:rsidRPr="00565259">
        <w:rPr>
          <w:rFonts w:ascii="Book Antiqua" w:hAnsi="Book Antiqua" w:cs="Times New Roman"/>
          <w:sz w:val="24"/>
          <w:szCs w:val="24"/>
        </w:rPr>
        <w:t xml:space="preserve">Wagner DR, Karnik S, Gunderson ZJ, Nielsen JJ, Fennimore A, Promer HJ, Lowery JW, Loghmani MT, Low PS, McKinley TO, Kacena MA, Clauss M, Li J. Dysfunctional stem and progenitor cells impair fracture healing with age. </w:t>
      </w:r>
      <w:r w:rsidR="00482040" w:rsidRPr="00565259">
        <w:rPr>
          <w:rFonts w:ascii="Book Antiqua" w:hAnsi="Book Antiqua"/>
          <w:i/>
          <w:iCs/>
          <w:sz w:val="24"/>
          <w:szCs w:val="24"/>
        </w:rPr>
        <w:t xml:space="preserve">World J Stem Cells </w:t>
      </w:r>
      <w:r w:rsidRPr="00565259">
        <w:rPr>
          <w:rFonts w:ascii="Book Antiqua" w:hAnsi="Book Antiqua"/>
          <w:sz w:val="24"/>
          <w:szCs w:val="24"/>
        </w:rPr>
        <w:t xml:space="preserve">2019; 11(6): </w:t>
      </w:r>
      <w:r w:rsidRPr="00565259">
        <w:rPr>
          <w:rFonts w:ascii="Book Antiqua" w:hAnsi="Book Antiqua" w:hint="eastAsia"/>
          <w:sz w:val="24"/>
          <w:szCs w:val="24"/>
          <w:lang w:eastAsia="zh-CN"/>
        </w:rPr>
        <w:t>281-296</w:t>
      </w:r>
      <w:r w:rsidRPr="00565259">
        <w:rPr>
          <w:rFonts w:ascii="Book Antiqua" w:hAnsi="Book Antiqua"/>
          <w:sz w:val="24"/>
          <w:szCs w:val="24"/>
        </w:rPr>
        <w:t xml:space="preserve"> </w:t>
      </w:r>
    </w:p>
    <w:p w14:paraId="14571F0F" w14:textId="2BDBF384" w:rsidR="005B51A6" w:rsidRPr="00565259" w:rsidRDefault="005B51A6" w:rsidP="005B51A6">
      <w:pPr>
        <w:spacing w:after="0" w:line="360" w:lineRule="auto"/>
        <w:jc w:val="both"/>
        <w:rPr>
          <w:rFonts w:ascii="Book Antiqua" w:hAnsi="Book Antiqua"/>
          <w:sz w:val="24"/>
          <w:szCs w:val="24"/>
        </w:rPr>
      </w:pPr>
      <w:r w:rsidRPr="00565259">
        <w:rPr>
          <w:rFonts w:ascii="Book Antiqua" w:hAnsi="Book Antiqua"/>
          <w:b/>
          <w:bCs/>
          <w:sz w:val="24"/>
          <w:szCs w:val="24"/>
        </w:rPr>
        <w:t xml:space="preserve">URL: </w:t>
      </w:r>
      <w:r w:rsidRPr="00565259">
        <w:rPr>
          <w:rFonts w:ascii="Book Antiqua" w:hAnsi="Book Antiqua"/>
          <w:sz w:val="24"/>
          <w:szCs w:val="24"/>
        </w:rPr>
        <w:t>https://www.wjgnet.com/1948-0210/full/v11/i6/</w:t>
      </w:r>
      <w:r w:rsidRPr="00565259">
        <w:rPr>
          <w:rFonts w:ascii="Book Antiqua" w:hAnsi="Book Antiqua" w:hint="eastAsia"/>
          <w:sz w:val="24"/>
          <w:szCs w:val="24"/>
          <w:lang w:eastAsia="zh-CN"/>
        </w:rPr>
        <w:t>281</w:t>
      </w:r>
      <w:r w:rsidRPr="00565259">
        <w:rPr>
          <w:rFonts w:ascii="Book Antiqua" w:hAnsi="Book Antiqua"/>
          <w:sz w:val="24"/>
          <w:szCs w:val="24"/>
        </w:rPr>
        <w:t xml:space="preserve">.htm  </w:t>
      </w:r>
    </w:p>
    <w:p w14:paraId="42F42A4B" w14:textId="4000D68D" w:rsidR="000707A8" w:rsidRPr="00565259" w:rsidRDefault="005B51A6" w:rsidP="005B51A6">
      <w:pPr>
        <w:spacing w:after="0" w:line="360" w:lineRule="auto"/>
        <w:jc w:val="both"/>
        <w:rPr>
          <w:rFonts w:ascii="Book Antiqua" w:hAnsi="Book Antiqua"/>
          <w:b/>
          <w:sz w:val="24"/>
          <w:szCs w:val="24"/>
        </w:rPr>
      </w:pPr>
      <w:r w:rsidRPr="00565259">
        <w:rPr>
          <w:rFonts w:ascii="Book Antiqua" w:hAnsi="Book Antiqua"/>
          <w:b/>
          <w:bCs/>
          <w:sz w:val="24"/>
          <w:szCs w:val="24"/>
        </w:rPr>
        <w:t xml:space="preserve">DOI: </w:t>
      </w:r>
      <w:r w:rsidRPr="00565259">
        <w:rPr>
          <w:rFonts w:ascii="Book Antiqua" w:hAnsi="Book Antiqua"/>
          <w:sz w:val="24"/>
          <w:szCs w:val="24"/>
        </w:rPr>
        <w:t>https://dx.doi.org/10.4252/wjsc.v11.i6.</w:t>
      </w:r>
      <w:r w:rsidRPr="00565259">
        <w:rPr>
          <w:rFonts w:ascii="Book Antiqua" w:hAnsi="Book Antiqua" w:hint="eastAsia"/>
          <w:sz w:val="24"/>
          <w:szCs w:val="24"/>
          <w:lang w:eastAsia="zh-CN"/>
        </w:rPr>
        <w:t>281</w:t>
      </w:r>
    </w:p>
    <w:p w14:paraId="3A6FE677" w14:textId="77777777" w:rsidR="00E94BB9" w:rsidRPr="00565259" w:rsidRDefault="00E94BB9" w:rsidP="00B83DB9">
      <w:pPr>
        <w:spacing w:after="0" w:line="360" w:lineRule="auto"/>
        <w:jc w:val="both"/>
        <w:rPr>
          <w:rFonts w:ascii="Book Antiqua" w:eastAsiaTheme="majorEastAsia" w:hAnsi="Book Antiqua" w:cstheme="majorBidi"/>
          <w:b/>
          <w:sz w:val="24"/>
          <w:szCs w:val="24"/>
        </w:rPr>
      </w:pPr>
      <w:r w:rsidRPr="00565259">
        <w:rPr>
          <w:rFonts w:ascii="Book Antiqua" w:hAnsi="Book Antiqua"/>
          <w:b/>
          <w:sz w:val="24"/>
          <w:szCs w:val="24"/>
        </w:rPr>
        <w:br w:type="page"/>
      </w:r>
    </w:p>
    <w:p w14:paraId="150E7EF9" w14:textId="129A099F" w:rsidR="00EC575B" w:rsidRPr="00565259" w:rsidRDefault="00721F3B" w:rsidP="00B83DB9">
      <w:pPr>
        <w:pStyle w:val="1"/>
        <w:tabs>
          <w:tab w:val="left" w:pos="720"/>
        </w:tabs>
        <w:spacing w:before="0" w:line="360" w:lineRule="auto"/>
        <w:jc w:val="both"/>
        <w:rPr>
          <w:rFonts w:eastAsiaTheme="minorHAnsi" w:cstheme="minorBidi"/>
          <w:szCs w:val="24"/>
        </w:rPr>
      </w:pPr>
      <w:r w:rsidRPr="00565259">
        <w:rPr>
          <w:b/>
          <w:szCs w:val="24"/>
        </w:rPr>
        <w:t>INTRODUCTION</w:t>
      </w:r>
    </w:p>
    <w:p w14:paraId="39AC40BA" w14:textId="40A9C811" w:rsidR="00B94BA7" w:rsidRPr="00565259" w:rsidRDefault="00940669"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cs="Times New Roman"/>
          <w:sz w:val="24"/>
          <w:szCs w:val="24"/>
        </w:rPr>
        <w:t>Aging is the dominant risk factor for fractures</w:t>
      </w:r>
      <w:r w:rsidR="001078D4" w:rsidRPr="00565259">
        <w:rPr>
          <w:rFonts w:ascii="Book Antiqua" w:hAnsi="Book Antiqua" w:cs="Times New Roman"/>
          <w:sz w:val="24"/>
          <w:szCs w:val="24"/>
        </w:rPr>
        <w:t xml:space="preserve">, </w:t>
      </w:r>
      <w:r w:rsidR="001C3195" w:rsidRPr="00565259">
        <w:rPr>
          <w:rFonts w:ascii="Book Antiqua" w:hAnsi="Book Antiqua" w:cs="Times New Roman"/>
          <w:sz w:val="24"/>
          <w:szCs w:val="24"/>
        </w:rPr>
        <w:t xml:space="preserve">primarily </w:t>
      </w:r>
      <w:r w:rsidR="001078D4" w:rsidRPr="00565259">
        <w:rPr>
          <w:rFonts w:ascii="Book Antiqua" w:hAnsi="Book Antiqua" w:cs="Times New Roman"/>
          <w:sz w:val="24"/>
          <w:szCs w:val="24"/>
        </w:rPr>
        <w:t xml:space="preserve">due </w:t>
      </w:r>
      <w:r w:rsidR="001C3195" w:rsidRPr="00565259">
        <w:rPr>
          <w:rFonts w:ascii="Book Antiqua" w:hAnsi="Book Antiqua" w:cs="Times New Roman"/>
          <w:sz w:val="24"/>
          <w:szCs w:val="24"/>
        </w:rPr>
        <w:t>to low bone mass and poor bone quality in the elderly</w:t>
      </w:r>
      <w:r w:rsidR="00FE4360" w:rsidRPr="00565259">
        <w:rPr>
          <w:rFonts w:ascii="Book Antiqua" w:hAnsi="Book Antiqua" w:cs="Times New Roman"/>
          <w:bCs/>
          <w:sz w:val="24"/>
          <w:szCs w:val="24"/>
          <w:vertAlign w:val="superscript"/>
        </w:rPr>
        <w:t>[1]</w:t>
      </w:r>
      <w:r w:rsidRPr="00565259">
        <w:rPr>
          <w:rFonts w:ascii="Book Antiqua" w:hAnsi="Book Antiqua" w:cs="Times New Roman"/>
          <w:sz w:val="24"/>
          <w:szCs w:val="24"/>
        </w:rPr>
        <w:t>.</w:t>
      </w:r>
      <w:r w:rsidR="00E94BB9" w:rsidRPr="00565259">
        <w:rPr>
          <w:rFonts w:ascii="Book Antiqua" w:hAnsi="Book Antiqua" w:cs="Times New Roman"/>
          <w:sz w:val="24"/>
          <w:szCs w:val="24"/>
        </w:rPr>
        <w:t xml:space="preserve"> </w:t>
      </w:r>
      <w:r w:rsidR="00721F3B" w:rsidRPr="00565259">
        <w:rPr>
          <w:rFonts w:ascii="Book Antiqua" w:hAnsi="Book Antiqua" w:cs="Times New Roman"/>
          <w:sz w:val="24"/>
          <w:szCs w:val="24"/>
        </w:rPr>
        <w:t>W</w:t>
      </w:r>
      <w:r w:rsidRPr="00565259">
        <w:rPr>
          <w:rFonts w:ascii="Book Antiqua" w:hAnsi="Book Antiqua" w:cs="Times New Roman"/>
          <w:sz w:val="24"/>
          <w:szCs w:val="24"/>
        </w:rPr>
        <w:t>hile persons 65 years</w:t>
      </w:r>
      <w:r w:rsidR="00721F3B" w:rsidRPr="00565259">
        <w:rPr>
          <w:rFonts w:ascii="Book Antiqua" w:hAnsi="Book Antiqua" w:cs="Times New Roman"/>
          <w:sz w:val="24"/>
          <w:szCs w:val="24"/>
        </w:rPr>
        <w:t xml:space="preserve"> or</w:t>
      </w:r>
      <w:r w:rsidRPr="00565259">
        <w:rPr>
          <w:rFonts w:ascii="Book Antiqua" w:hAnsi="Book Antiqua" w:cs="Times New Roman"/>
          <w:sz w:val="24"/>
          <w:szCs w:val="24"/>
        </w:rPr>
        <w:t xml:space="preserve"> old</w:t>
      </w:r>
      <w:r w:rsidR="00721F3B" w:rsidRPr="00565259">
        <w:rPr>
          <w:rFonts w:ascii="Book Antiqua" w:hAnsi="Book Antiqua" w:cs="Times New Roman"/>
          <w:sz w:val="24"/>
          <w:szCs w:val="24"/>
        </w:rPr>
        <w:t>er</w:t>
      </w:r>
      <w:r w:rsidRPr="00565259">
        <w:rPr>
          <w:rFonts w:ascii="Book Antiqua" w:hAnsi="Book Antiqua" w:cs="Times New Roman"/>
          <w:sz w:val="24"/>
          <w:szCs w:val="24"/>
        </w:rPr>
        <w:t xml:space="preserve"> </w:t>
      </w:r>
      <w:r w:rsidR="00721F3B" w:rsidRPr="00565259">
        <w:rPr>
          <w:rFonts w:ascii="Book Antiqua" w:hAnsi="Book Antiqua" w:cs="Times New Roman"/>
          <w:sz w:val="24"/>
          <w:szCs w:val="24"/>
        </w:rPr>
        <w:t xml:space="preserve">currently </w:t>
      </w:r>
      <w:r w:rsidRPr="00565259">
        <w:rPr>
          <w:rFonts w:ascii="Book Antiqua" w:hAnsi="Book Antiqua" w:cs="Times New Roman"/>
          <w:sz w:val="24"/>
          <w:szCs w:val="24"/>
        </w:rPr>
        <w:t xml:space="preserve">account for 13% of the </w:t>
      </w:r>
      <w:r w:rsidR="00E94BB9" w:rsidRPr="00565259">
        <w:rPr>
          <w:rFonts w:ascii="Book Antiqua" w:hAnsi="Book Antiqua" w:cs="Times New Roman"/>
          <w:sz w:val="24"/>
          <w:szCs w:val="24"/>
        </w:rPr>
        <w:t>United States</w:t>
      </w:r>
      <w:r w:rsidRPr="00565259">
        <w:rPr>
          <w:rFonts w:ascii="Book Antiqua" w:hAnsi="Book Antiqua" w:cs="Times New Roman"/>
          <w:sz w:val="24"/>
          <w:szCs w:val="24"/>
        </w:rPr>
        <w:t xml:space="preserve"> population</w:t>
      </w:r>
      <w:r w:rsidR="00FE4360" w:rsidRPr="00565259">
        <w:rPr>
          <w:rFonts w:ascii="Book Antiqua" w:hAnsi="Book Antiqua" w:cs="Times New Roman"/>
          <w:bCs/>
          <w:sz w:val="24"/>
          <w:szCs w:val="24"/>
          <w:vertAlign w:val="superscript"/>
        </w:rPr>
        <w:t>[2]</w:t>
      </w:r>
      <w:r w:rsidRPr="00565259">
        <w:rPr>
          <w:rFonts w:ascii="Book Antiqua" w:hAnsi="Book Antiqua" w:cs="Times New Roman"/>
          <w:sz w:val="24"/>
          <w:szCs w:val="24"/>
        </w:rPr>
        <w:t>, they account for</w:t>
      </w:r>
      <w:r w:rsidR="00721F3B" w:rsidRPr="00565259">
        <w:rPr>
          <w:rFonts w:ascii="Book Antiqua" w:hAnsi="Book Antiqua" w:cs="Times New Roman"/>
          <w:sz w:val="24"/>
          <w:szCs w:val="24"/>
        </w:rPr>
        <w:t xml:space="preserve"> more than</w:t>
      </w:r>
      <w:r w:rsidRPr="00565259">
        <w:rPr>
          <w:rFonts w:ascii="Book Antiqua" w:hAnsi="Book Antiqua" w:cs="Times New Roman"/>
          <w:sz w:val="24"/>
          <w:szCs w:val="24"/>
        </w:rPr>
        <w:t xml:space="preserve"> 50% of hospital admissions with a musculoskeletal injur</w:t>
      </w:r>
      <w:r w:rsidR="00721F3B" w:rsidRPr="00565259">
        <w:rPr>
          <w:rFonts w:ascii="Book Antiqua" w:hAnsi="Book Antiqua" w:cs="Times New Roman"/>
          <w:sz w:val="24"/>
          <w:szCs w:val="24"/>
        </w:rPr>
        <w:t>y which are primarily fractures</w:t>
      </w:r>
      <w:r w:rsidR="00FE4360" w:rsidRPr="00565259">
        <w:rPr>
          <w:rFonts w:ascii="Book Antiqua" w:hAnsi="Book Antiqua" w:cs="Times New Roman"/>
          <w:bCs/>
          <w:sz w:val="24"/>
          <w:szCs w:val="24"/>
          <w:vertAlign w:val="superscript"/>
        </w:rPr>
        <w:t>[3]</w:t>
      </w:r>
      <w:r w:rsidR="00B94BA7" w:rsidRPr="00565259">
        <w:rPr>
          <w:rFonts w:ascii="Book Antiqua" w:hAnsi="Book Antiqua" w:cs="Times New Roman"/>
          <w:sz w:val="24"/>
          <w:szCs w:val="24"/>
        </w:rPr>
        <w:t>.</w:t>
      </w:r>
      <w:r w:rsidR="00B94BA7" w:rsidRPr="00565259">
        <w:rPr>
          <w:rFonts w:ascii="Book Antiqua" w:hAnsi="Book Antiqua" w:cs="Times New Roman"/>
          <w:sz w:val="24"/>
          <w:szCs w:val="24"/>
          <w:vertAlign w:val="superscript"/>
        </w:rPr>
        <w:t xml:space="preserve"> </w:t>
      </w:r>
      <w:r w:rsidRPr="00565259">
        <w:rPr>
          <w:rFonts w:ascii="Book Antiqua" w:hAnsi="Book Antiqua" w:cs="Times New Roman"/>
          <w:sz w:val="24"/>
          <w:szCs w:val="24"/>
        </w:rPr>
        <w:t>Fractures in the elderly population are associated with a unique set of geriatric-specific management challenges.</w:t>
      </w:r>
      <w:r w:rsidR="00E94BB9" w:rsidRPr="00565259">
        <w:rPr>
          <w:rFonts w:ascii="Book Antiqua" w:hAnsi="Book Antiqua" w:cs="Times New Roman"/>
          <w:sz w:val="24"/>
          <w:szCs w:val="24"/>
        </w:rPr>
        <w:t xml:space="preserve"> </w:t>
      </w:r>
      <w:r w:rsidR="00817915" w:rsidRPr="00565259">
        <w:rPr>
          <w:rFonts w:ascii="Book Antiqua" w:hAnsi="Book Antiqua" w:cs="Times New Roman"/>
          <w:sz w:val="24"/>
          <w:szCs w:val="24"/>
        </w:rPr>
        <w:t>In addition to treatment for a fracture, elderly patients are more likely to be simultaneously treated for additional medical or surgical issues which</w:t>
      </w:r>
      <w:r w:rsidRPr="00565259">
        <w:rPr>
          <w:rFonts w:ascii="Book Antiqua" w:hAnsi="Book Antiqua" w:cs="Times New Roman"/>
          <w:sz w:val="24"/>
          <w:szCs w:val="24"/>
        </w:rPr>
        <w:t xml:space="preserve"> affect healing and outcomes. In addition, low bone mass and poor bone quality impart technical difficulty in achieving stable internal fixation </w:t>
      </w:r>
      <w:r w:rsidR="00130E72" w:rsidRPr="00565259">
        <w:rPr>
          <w:rFonts w:ascii="Book Antiqua" w:hAnsi="Book Antiqua" w:cs="Times New Roman"/>
          <w:sz w:val="24"/>
          <w:szCs w:val="24"/>
        </w:rPr>
        <w:t xml:space="preserve">with plates, screws, nails and wires </w:t>
      </w:r>
      <w:r w:rsidRPr="00565259">
        <w:rPr>
          <w:rFonts w:ascii="Book Antiqua" w:hAnsi="Book Antiqua" w:cs="Times New Roman"/>
          <w:sz w:val="24"/>
          <w:szCs w:val="24"/>
        </w:rPr>
        <w:t>in surgically treated fractures</w:t>
      </w:r>
      <w:r w:rsidR="00FE4360" w:rsidRPr="00565259">
        <w:rPr>
          <w:rFonts w:ascii="Book Antiqua" w:hAnsi="Book Antiqua" w:cs="Times New Roman"/>
          <w:bCs/>
          <w:sz w:val="24"/>
          <w:szCs w:val="24"/>
          <w:vertAlign w:val="superscript"/>
        </w:rPr>
        <w:t>[4-10]</w:t>
      </w:r>
      <w:r w:rsidR="00E81D9C" w:rsidRPr="00565259">
        <w:rPr>
          <w:rFonts w:ascii="Book Antiqua" w:hAnsi="Book Antiqua" w:cs="Times New Roman"/>
          <w:sz w:val="24"/>
          <w:szCs w:val="24"/>
        </w:rPr>
        <w:t>.</w:t>
      </w:r>
      <w:r w:rsidR="00E94BB9" w:rsidRPr="00565259">
        <w:rPr>
          <w:rFonts w:ascii="Book Antiqua" w:hAnsi="Book Antiqua" w:cs="Times New Roman"/>
          <w:sz w:val="24"/>
          <w:szCs w:val="24"/>
        </w:rPr>
        <w:t xml:space="preserve"> </w:t>
      </w:r>
      <w:r w:rsidRPr="00565259">
        <w:rPr>
          <w:rFonts w:ascii="Book Antiqua" w:hAnsi="Book Antiqua" w:cs="Times New Roman"/>
          <w:sz w:val="24"/>
          <w:szCs w:val="24"/>
        </w:rPr>
        <w:t xml:space="preserve">For example, studies have demonstrated </w:t>
      </w:r>
      <w:r w:rsidR="00686603" w:rsidRPr="00565259">
        <w:rPr>
          <w:rFonts w:ascii="Book Antiqua" w:hAnsi="Book Antiqua" w:cs="Times New Roman"/>
          <w:sz w:val="24"/>
          <w:szCs w:val="24"/>
        </w:rPr>
        <w:t xml:space="preserve">that </w:t>
      </w:r>
      <w:r w:rsidRPr="00565259">
        <w:rPr>
          <w:rFonts w:ascii="Book Antiqua" w:hAnsi="Book Antiqua" w:cs="Times New Roman"/>
          <w:sz w:val="24"/>
          <w:szCs w:val="24"/>
        </w:rPr>
        <w:t xml:space="preserve">arthroplasty </w:t>
      </w:r>
      <w:r w:rsidR="00B94BA7" w:rsidRPr="00565259">
        <w:rPr>
          <w:rFonts w:ascii="Book Antiqua" w:hAnsi="Book Antiqua" w:cs="Times New Roman"/>
          <w:sz w:val="24"/>
          <w:szCs w:val="24"/>
        </w:rPr>
        <w:t xml:space="preserve">is </w:t>
      </w:r>
      <w:r w:rsidRPr="00565259">
        <w:rPr>
          <w:rFonts w:ascii="Book Antiqua" w:hAnsi="Book Antiqua" w:cs="Times New Roman"/>
          <w:sz w:val="24"/>
          <w:szCs w:val="24"/>
        </w:rPr>
        <w:t xml:space="preserve">typically </w:t>
      </w:r>
      <w:r w:rsidR="00B94BA7" w:rsidRPr="00565259">
        <w:rPr>
          <w:rFonts w:ascii="Book Antiqua" w:hAnsi="Book Antiqua" w:cs="Times New Roman"/>
          <w:sz w:val="24"/>
          <w:szCs w:val="24"/>
        </w:rPr>
        <w:t>necessary to avoid</w:t>
      </w:r>
      <w:r w:rsidRPr="00565259">
        <w:rPr>
          <w:rFonts w:ascii="Book Antiqua" w:hAnsi="Book Antiqua" w:cs="Times New Roman"/>
          <w:sz w:val="24"/>
          <w:szCs w:val="24"/>
        </w:rPr>
        <w:t xml:space="preserve"> predictable healing failure that results from loss of surgical fixation and fracture reduction in elderly fractures of the shoulder, elbow, and hip</w:t>
      </w:r>
      <w:r w:rsidR="00FE4360" w:rsidRPr="00565259">
        <w:rPr>
          <w:rFonts w:ascii="Book Antiqua" w:hAnsi="Book Antiqua" w:cs="Times New Roman"/>
          <w:bCs/>
          <w:sz w:val="24"/>
          <w:szCs w:val="24"/>
          <w:vertAlign w:val="superscript"/>
        </w:rPr>
        <w:t>[4,5,11-13]</w:t>
      </w:r>
      <w:r w:rsidR="00E81D9C" w:rsidRPr="00565259">
        <w:rPr>
          <w:rFonts w:ascii="Book Antiqua" w:hAnsi="Book Antiqua" w:cs="Times New Roman"/>
          <w:sz w:val="24"/>
          <w:szCs w:val="24"/>
        </w:rPr>
        <w:t>.</w:t>
      </w:r>
      <w:r w:rsidR="00C666FD" w:rsidRPr="00565259">
        <w:rPr>
          <w:rFonts w:ascii="Book Antiqua" w:hAnsi="Book Antiqua" w:cs="Times New Roman"/>
          <w:sz w:val="24"/>
          <w:szCs w:val="24"/>
        </w:rPr>
        <w:t xml:space="preserve"> </w:t>
      </w:r>
      <w:r w:rsidRPr="00565259">
        <w:rPr>
          <w:rFonts w:ascii="Book Antiqua" w:hAnsi="Book Antiqua" w:cs="Times New Roman"/>
          <w:sz w:val="24"/>
          <w:szCs w:val="24"/>
        </w:rPr>
        <w:t>In addition, periprosthetic fractures that occur around hip and knee replacement prostheses are increasing exponentially and will continue to increase with the aging population</w:t>
      </w:r>
      <w:r w:rsidR="00FE4360" w:rsidRPr="00565259">
        <w:rPr>
          <w:rFonts w:ascii="Book Antiqua" w:hAnsi="Book Antiqua" w:cs="Times New Roman"/>
          <w:bCs/>
          <w:sz w:val="24"/>
          <w:szCs w:val="24"/>
          <w:vertAlign w:val="superscript"/>
        </w:rPr>
        <w:t>[14-16]</w:t>
      </w:r>
      <w:r w:rsidR="00347B78" w:rsidRPr="00565259">
        <w:rPr>
          <w:rFonts w:ascii="Book Antiqua" w:hAnsi="Book Antiqua" w:cs="Times New Roman"/>
          <w:sz w:val="24"/>
          <w:szCs w:val="24"/>
        </w:rPr>
        <w:t>.</w:t>
      </w:r>
      <w:r w:rsidR="00E94BB9" w:rsidRPr="00565259">
        <w:rPr>
          <w:rFonts w:ascii="Book Antiqua" w:hAnsi="Book Antiqua" w:cs="Times New Roman"/>
          <w:sz w:val="24"/>
          <w:szCs w:val="24"/>
        </w:rPr>
        <w:t xml:space="preserve"> </w:t>
      </w:r>
      <w:r w:rsidRPr="00565259">
        <w:rPr>
          <w:rFonts w:ascii="Book Antiqua" w:hAnsi="Book Antiqua" w:cs="Times New Roman"/>
          <w:sz w:val="24"/>
          <w:szCs w:val="24"/>
        </w:rPr>
        <w:t>These fractures are particularly challenging for orthopaedic surgeons and healing failure can result in amputation and complete lifelong immobility.</w:t>
      </w:r>
    </w:p>
    <w:p w14:paraId="0235F2BA" w14:textId="4D4757DE" w:rsidR="00846039" w:rsidRPr="00565259" w:rsidRDefault="00E81D9C" w:rsidP="00B83DB9">
      <w:pPr>
        <w:pStyle w:val="ac"/>
        <w:tabs>
          <w:tab w:val="left" w:pos="720"/>
        </w:tabs>
        <w:spacing w:before="0" w:beforeAutospacing="0" w:after="0" w:afterAutospacing="0" w:line="360" w:lineRule="auto"/>
        <w:ind w:firstLineChars="100" w:firstLine="240"/>
        <w:jc w:val="both"/>
        <w:rPr>
          <w:rFonts w:ascii="Book Antiqua" w:hAnsi="Book Antiqua" w:cs="Calibri"/>
          <w:color w:val="000000"/>
        </w:rPr>
      </w:pPr>
      <w:r w:rsidRPr="00565259">
        <w:rPr>
          <w:rFonts w:ascii="Book Antiqua" w:hAnsi="Book Antiqua" w:cs="Calibri"/>
          <w:color w:val="000000"/>
        </w:rPr>
        <w:t>S</w:t>
      </w:r>
      <w:r w:rsidR="00204754" w:rsidRPr="00565259">
        <w:rPr>
          <w:rFonts w:ascii="Book Antiqua" w:hAnsi="Book Antiqua" w:cs="Calibri"/>
          <w:color w:val="000000"/>
        </w:rPr>
        <w:t>uccessful</w:t>
      </w:r>
      <w:r w:rsidR="00B94BA7" w:rsidRPr="00565259">
        <w:rPr>
          <w:rFonts w:ascii="Book Antiqua" w:hAnsi="Book Antiqua" w:cs="Calibri"/>
          <w:color w:val="000000"/>
        </w:rPr>
        <w:t xml:space="preserve"> fracture healing requires that both the mineralized tissue </w:t>
      </w:r>
      <w:r w:rsidR="001D1491" w:rsidRPr="00565259">
        <w:rPr>
          <w:rFonts w:ascii="Book Antiqua" w:hAnsi="Book Antiqua" w:cs="Calibri"/>
          <w:color w:val="000000"/>
        </w:rPr>
        <w:t xml:space="preserve">and vasculature </w:t>
      </w:r>
      <w:r w:rsidR="00B94BA7" w:rsidRPr="00565259">
        <w:rPr>
          <w:rFonts w:ascii="Book Antiqua" w:hAnsi="Book Antiqua" w:cs="Calibri"/>
          <w:color w:val="000000"/>
        </w:rPr>
        <w:t>regenerate simultaneously</w:t>
      </w:r>
      <w:r w:rsidR="00204754" w:rsidRPr="00565259">
        <w:rPr>
          <w:rFonts w:ascii="Book Antiqua" w:hAnsi="Book Antiqua" w:cs="Calibri"/>
          <w:color w:val="000000"/>
        </w:rPr>
        <w:t xml:space="preserve"> to repair the highly vascularized </w:t>
      </w:r>
      <w:r w:rsidR="0041477D" w:rsidRPr="00565259">
        <w:rPr>
          <w:rFonts w:ascii="Book Antiqua" w:hAnsi="Book Antiqua" w:cs="Calibri"/>
          <w:color w:val="000000"/>
        </w:rPr>
        <w:t>bone</w:t>
      </w:r>
      <w:r w:rsidR="00400FCA" w:rsidRPr="00565259">
        <w:rPr>
          <w:rFonts w:ascii="Book Antiqua" w:hAnsi="Book Antiqua" w:cs="Calibri"/>
          <w:color w:val="000000"/>
        </w:rPr>
        <w:t xml:space="preserve"> (Fig</w:t>
      </w:r>
      <w:r w:rsidR="00E94BB9" w:rsidRPr="00565259">
        <w:rPr>
          <w:rFonts w:ascii="Book Antiqua" w:hAnsi="Book Antiqua" w:cs="Calibri"/>
          <w:color w:val="000000"/>
        </w:rPr>
        <w:t>ure</w:t>
      </w:r>
      <w:r w:rsidR="00400FCA" w:rsidRPr="00565259">
        <w:rPr>
          <w:rFonts w:ascii="Book Antiqua" w:hAnsi="Book Antiqua" w:cs="Calibri"/>
          <w:color w:val="000000"/>
        </w:rPr>
        <w:t xml:space="preserve"> 1)</w:t>
      </w:r>
      <w:r w:rsidR="00B94BA7" w:rsidRPr="00565259">
        <w:rPr>
          <w:rFonts w:ascii="Book Antiqua" w:hAnsi="Book Antiqua" w:cs="Calibri"/>
          <w:color w:val="000000"/>
        </w:rPr>
        <w:t>.</w:t>
      </w:r>
      <w:r w:rsidR="00C17406" w:rsidRPr="00565259">
        <w:rPr>
          <w:rFonts w:ascii="Book Antiqua" w:hAnsi="Book Antiqua" w:cs="Calibri"/>
          <w:color w:val="000000"/>
        </w:rPr>
        <w:t xml:space="preserve"> </w:t>
      </w:r>
      <w:r w:rsidR="00B94BA7" w:rsidRPr="00565259">
        <w:rPr>
          <w:rFonts w:ascii="Book Antiqua" w:hAnsi="Book Antiqua" w:cs="Calibri"/>
          <w:color w:val="000000"/>
        </w:rPr>
        <w:t xml:space="preserve">In fact, the processes of bone tissue regeneration </w:t>
      </w:r>
      <w:r w:rsidR="001D1491" w:rsidRPr="00565259">
        <w:rPr>
          <w:rFonts w:ascii="Book Antiqua" w:hAnsi="Book Antiqua" w:cs="Calibri"/>
          <w:color w:val="000000"/>
        </w:rPr>
        <w:t xml:space="preserve">and angiogenesis </w:t>
      </w:r>
      <w:r w:rsidR="00B94BA7" w:rsidRPr="00565259">
        <w:rPr>
          <w:rFonts w:ascii="Book Antiqua" w:hAnsi="Book Antiqua" w:cs="Calibri"/>
          <w:color w:val="000000"/>
        </w:rPr>
        <w:t>have significant interactions between them during fracture healing.</w:t>
      </w:r>
      <w:r w:rsidR="00C17406" w:rsidRPr="00565259">
        <w:rPr>
          <w:rFonts w:ascii="Book Antiqua" w:hAnsi="Book Antiqua" w:cs="Calibri"/>
          <w:color w:val="000000"/>
        </w:rPr>
        <w:t xml:space="preserve"> </w:t>
      </w:r>
      <w:r w:rsidR="00B94BA7" w:rsidRPr="00565259">
        <w:rPr>
          <w:rFonts w:ascii="Book Antiqua" w:hAnsi="Book Antiqua" w:cs="Calibri"/>
          <w:color w:val="000000"/>
        </w:rPr>
        <w:t xml:space="preserve">In secondary fracture healing, </w:t>
      </w:r>
      <w:r w:rsidR="00B94BA7" w:rsidRPr="00565259">
        <w:rPr>
          <w:rFonts w:ascii="Book Antiqua" w:hAnsi="Book Antiqua" w:cs="Calibri"/>
          <w:i/>
          <w:color w:val="000000"/>
        </w:rPr>
        <w:t>i.e.</w:t>
      </w:r>
      <w:r w:rsidR="00B94BA7" w:rsidRPr="00565259">
        <w:rPr>
          <w:rFonts w:ascii="Book Antiqua" w:hAnsi="Book Antiqua" w:cs="Calibri"/>
          <w:color w:val="000000"/>
        </w:rPr>
        <w:t>, in the absence of rigid fixation, the healing process begins when a hematoma forms soon after the injury with subsequent acute inflammation at the fracture site.</w:t>
      </w:r>
      <w:r w:rsidR="00C17406" w:rsidRPr="00565259">
        <w:rPr>
          <w:rFonts w:ascii="Book Antiqua" w:hAnsi="Book Antiqua" w:cs="Calibri"/>
          <w:color w:val="000000"/>
        </w:rPr>
        <w:t xml:space="preserve"> </w:t>
      </w:r>
      <w:r w:rsidR="00B94BA7" w:rsidRPr="00565259">
        <w:rPr>
          <w:rFonts w:ascii="Book Antiqua" w:hAnsi="Book Antiqua" w:cs="Calibri"/>
          <w:color w:val="000000"/>
        </w:rPr>
        <w:t>Inflammatory cytokines as well as growth factors are released to signal the recruitment of mesenchymal stem cells (MSCs) to the injury</w:t>
      </w:r>
      <w:r w:rsidR="00FE4360" w:rsidRPr="00565259">
        <w:rPr>
          <w:rFonts w:ascii="Book Antiqua" w:hAnsi="Book Antiqua" w:cs="Calibri"/>
          <w:bCs/>
          <w:color w:val="000000"/>
          <w:vertAlign w:val="superscript"/>
        </w:rPr>
        <w:t>[17,18]</w:t>
      </w:r>
      <w:r w:rsidR="00204754" w:rsidRPr="00565259">
        <w:rPr>
          <w:rFonts w:ascii="Book Antiqua" w:hAnsi="Book Antiqua" w:cs="Calibri"/>
          <w:color w:val="000000"/>
        </w:rPr>
        <w:t>.</w:t>
      </w:r>
      <w:r w:rsidR="00C17406" w:rsidRPr="00565259">
        <w:rPr>
          <w:rFonts w:ascii="Book Antiqua" w:hAnsi="Book Antiqua" w:cs="Calibri"/>
          <w:color w:val="000000"/>
        </w:rPr>
        <w:t xml:space="preserve"> </w:t>
      </w:r>
      <w:r w:rsidR="00B94BA7" w:rsidRPr="00565259">
        <w:rPr>
          <w:rFonts w:ascii="Book Antiqua" w:hAnsi="Book Antiqua" w:cs="Calibri"/>
          <w:color w:val="000000"/>
        </w:rPr>
        <w:t>Resident and infiltrating macrophages also influence the homing and localization of MSCs</w:t>
      </w:r>
      <w:r w:rsidR="00FE4360" w:rsidRPr="00565259">
        <w:rPr>
          <w:rFonts w:ascii="Book Antiqua" w:hAnsi="Book Antiqua" w:cs="Calibri"/>
          <w:bCs/>
          <w:color w:val="000000"/>
          <w:vertAlign w:val="superscript"/>
        </w:rPr>
        <w:t>[18]</w:t>
      </w:r>
      <w:r w:rsidR="00204754" w:rsidRPr="00565259">
        <w:rPr>
          <w:rFonts w:ascii="Book Antiqua" w:hAnsi="Book Antiqua" w:cs="Calibri"/>
          <w:color w:val="000000"/>
        </w:rPr>
        <w:t>.</w:t>
      </w:r>
      <w:r w:rsidR="00C17406" w:rsidRPr="00565259">
        <w:rPr>
          <w:rFonts w:ascii="Book Antiqua" w:hAnsi="Book Antiqua" w:cs="Calibri"/>
          <w:color w:val="000000"/>
        </w:rPr>
        <w:t xml:space="preserve"> </w:t>
      </w:r>
      <w:r w:rsidR="00B94BA7" w:rsidRPr="00565259">
        <w:rPr>
          <w:rFonts w:ascii="Book Antiqua" w:hAnsi="Book Antiqua" w:cs="Calibri"/>
          <w:color w:val="000000"/>
        </w:rPr>
        <w:t>The recruited MSCs are multipotent, mesodermally derived cells that are capable of proliferating and differentiating into various cell types including osteoblasts and chondrocytes</w:t>
      </w:r>
      <w:r w:rsidR="00FE4360" w:rsidRPr="00565259">
        <w:rPr>
          <w:rFonts w:ascii="Book Antiqua" w:hAnsi="Book Antiqua" w:cs="Calibri"/>
          <w:bCs/>
          <w:color w:val="000000"/>
          <w:vertAlign w:val="superscript"/>
        </w:rPr>
        <w:t>[19]</w:t>
      </w:r>
      <w:r w:rsidR="00B94BA7" w:rsidRPr="00565259">
        <w:rPr>
          <w:rFonts w:ascii="Book Antiqua" w:hAnsi="Book Antiqua" w:cs="Calibri"/>
          <w:color w:val="000000"/>
        </w:rPr>
        <w:t>.</w:t>
      </w:r>
      <w:r w:rsidR="00C17406" w:rsidRPr="00565259">
        <w:rPr>
          <w:rFonts w:ascii="Book Antiqua" w:hAnsi="Book Antiqua" w:cs="Calibri"/>
          <w:color w:val="000000"/>
        </w:rPr>
        <w:t xml:space="preserve"> </w:t>
      </w:r>
      <w:r w:rsidR="00B94BA7" w:rsidRPr="00565259">
        <w:rPr>
          <w:rFonts w:ascii="Book Antiqua" w:hAnsi="Book Antiqua" w:cs="Calibri"/>
          <w:color w:val="000000"/>
        </w:rPr>
        <w:t>Recent evidence supports that the MSCs that home to the fracture site for repair derive primarily from the local periosteum</w:t>
      </w:r>
      <w:r w:rsidR="00FE4360" w:rsidRPr="00565259">
        <w:rPr>
          <w:rFonts w:ascii="Book Antiqua" w:hAnsi="Book Antiqua" w:cs="Calibri"/>
          <w:bCs/>
          <w:color w:val="000000"/>
          <w:vertAlign w:val="superscript"/>
        </w:rPr>
        <w:t>[20,21]</w:t>
      </w:r>
      <w:r w:rsidR="00204754" w:rsidRPr="00565259">
        <w:rPr>
          <w:rFonts w:ascii="Book Antiqua" w:hAnsi="Book Antiqua" w:cs="Calibri"/>
          <w:color w:val="000000"/>
        </w:rPr>
        <w:t>.</w:t>
      </w:r>
      <w:r w:rsidR="00B94BA7" w:rsidRPr="00565259">
        <w:rPr>
          <w:rFonts w:ascii="Book Antiqua" w:hAnsi="Book Antiqua" w:cs="Calibri"/>
          <w:color w:val="000000"/>
        </w:rPr>
        <w:t xml:space="preserve"> Once the MSCs have reached their target site, circulating growth factors </w:t>
      </w:r>
      <w:r w:rsidR="007E615F" w:rsidRPr="00565259">
        <w:rPr>
          <w:rFonts w:ascii="Book Antiqua" w:hAnsi="Book Antiqua" w:cs="Calibri"/>
          <w:color w:val="000000"/>
        </w:rPr>
        <w:t xml:space="preserve">such as bone morphogenetic proteins (BMPs) </w:t>
      </w:r>
      <w:r w:rsidR="00B94BA7" w:rsidRPr="00565259">
        <w:rPr>
          <w:rFonts w:ascii="Book Antiqua" w:hAnsi="Book Antiqua" w:cs="Calibri"/>
          <w:color w:val="000000"/>
        </w:rPr>
        <w:t>induce their differentiation into osteoblasts and chondrocytes to initiate the formation of a cartilaginous callus bridge between the bone fragments</w:t>
      </w:r>
      <w:r w:rsidR="00FE4360" w:rsidRPr="00565259">
        <w:rPr>
          <w:rFonts w:ascii="Book Antiqua" w:hAnsi="Book Antiqua" w:cs="Calibri"/>
          <w:bCs/>
          <w:color w:val="000000"/>
          <w:vertAlign w:val="superscript"/>
        </w:rPr>
        <w:t>[21]</w:t>
      </w:r>
      <w:r w:rsidR="00204754" w:rsidRPr="00565259">
        <w:rPr>
          <w:rFonts w:ascii="Book Antiqua" w:hAnsi="Book Antiqua" w:cs="Calibri"/>
          <w:color w:val="000000"/>
        </w:rPr>
        <w:t>.</w:t>
      </w:r>
      <w:r w:rsidR="00C17406" w:rsidRPr="00565259">
        <w:rPr>
          <w:rFonts w:ascii="Book Antiqua" w:hAnsi="Book Antiqua" w:cs="Calibri"/>
          <w:color w:val="000000"/>
        </w:rPr>
        <w:t xml:space="preserve"> </w:t>
      </w:r>
      <w:r w:rsidR="00B94BA7" w:rsidRPr="00565259">
        <w:rPr>
          <w:rFonts w:ascii="Book Antiqua" w:hAnsi="Book Antiqua" w:cs="Calibri"/>
          <w:color w:val="000000"/>
        </w:rPr>
        <w:t>Subsequently, the chondrocytes become hypertrophic and undergo endochondral ossification.</w:t>
      </w:r>
      <w:r w:rsidR="00C17406" w:rsidRPr="00565259">
        <w:rPr>
          <w:rFonts w:ascii="Book Antiqua" w:hAnsi="Book Antiqua" w:cs="Calibri"/>
          <w:color w:val="000000"/>
        </w:rPr>
        <w:t xml:space="preserve"> </w:t>
      </w:r>
      <w:r w:rsidR="00B94BA7" w:rsidRPr="00565259">
        <w:rPr>
          <w:rFonts w:ascii="Book Antiqua" w:hAnsi="Book Antiqua" w:cs="Calibri"/>
          <w:color w:val="000000"/>
        </w:rPr>
        <w:t>Both osteoblasts and hypertrophic chondrocytes express high levels of vascular endothelial growth factor (VEGF), a k</w:t>
      </w:r>
      <w:r w:rsidR="00130E72" w:rsidRPr="00565259">
        <w:rPr>
          <w:rFonts w:ascii="Book Antiqua" w:hAnsi="Book Antiqua" w:cs="Calibri"/>
          <w:color w:val="000000"/>
        </w:rPr>
        <w:t>ey mediator of angiogenesis and</w:t>
      </w:r>
      <w:r w:rsidR="009E70D2" w:rsidRPr="00565259">
        <w:rPr>
          <w:rFonts w:ascii="Book Antiqua" w:hAnsi="Book Antiqua" w:cs="Calibri"/>
          <w:color w:val="000000"/>
        </w:rPr>
        <w:t xml:space="preserve"> a requisite </w:t>
      </w:r>
      <w:r w:rsidR="00B94BA7" w:rsidRPr="00565259">
        <w:rPr>
          <w:rFonts w:ascii="Book Antiqua" w:hAnsi="Book Antiqua" w:cs="Calibri"/>
          <w:color w:val="000000"/>
        </w:rPr>
        <w:t>component of fracture healing</w:t>
      </w:r>
      <w:r w:rsidR="00FE4360" w:rsidRPr="00565259">
        <w:rPr>
          <w:rFonts w:ascii="Book Antiqua" w:hAnsi="Book Antiqua" w:cs="Calibri"/>
          <w:bCs/>
          <w:color w:val="000000"/>
          <w:vertAlign w:val="superscript"/>
        </w:rPr>
        <w:t>[22,23]</w:t>
      </w:r>
      <w:r w:rsidR="00204754" w:rsidRPr="00565259">
        <w:rPr>
          <w:rFonts w:ascii="Book Antiqua" w:hAnsi="Book Antiqua" w:cs="Calibri"/>
          <w:color w:val="000000"/>
        </w:rPr>
        <w:t>.</w:t>
      </w:r>
      <w:r w:rsidR="00B94BA7" w:rsidRPr="00565259">
        <w:rPr>
          <w:rFonts w:ascii="Book Antiqua" w:hAnsi="Book Antiqua" w:cs="Calibri"/>
          <w:color w:val="000000"/>
        </w:rPr>
        <w:t xml:space="preserve"> VEGF modulates bone repair through the induction of endothelial progenitor cells </w:t>
      </w:r>
      <w:r w:rsidR="000C63E9" w:rsidRPr="00565259">
        <w:rPr>
          <w:rFonts w:ascii="Book Antiqua" w:hAnsi="Book Antiqua" w:cs="Calibri"/>
          <w:color w:val="000000"/>
        </w:rPr>
        <w:t xml:space="preserve">(EPCs) </w:t>
      </w:r>
      <w:r w:rsidR="00B94BA7" w:rsidRPr="00565259">
        <w:rPr>
          <w:rFonts w:ascii="Book Antiqua" w:hAnsi="Book Antiqua" w:cs="Calibri"/>
          <w:color w:val="000000"/>
        </w:rPr>
        <w:t>to increase blood vessel density, providing access for nutrients and cells to the site. With an established vasculature, newly formed osteoblasts begin to replace the soft cartilaginous callus into a stronger osseous one, effectively uniting fragmented bones.</w:t>
      </w:r>
      <w:r w:rsidR="00C17406" w:rsidRPr="00565259">
        <w:rPr>
          <w:rFonts w:ascii="Book Antiqua" w:hAnsi="Book Antiqua" w:cs="Calibri"/>
          <w:color w:val="000000"/>
        </w:rPr>
        <w:t xml:space="preserve"> </w:t>
      </w:r>
      <w:r w:rsidR="00B94BA7" w:rsidRPr="00565259">
        <w:rPr>
          <w:rFonts w:ascii="Book Antiqua" w:hAnsi="Book Antiqua" w:cs="Calibri"/>
          <w:color w:val="000000"/>
        </w:rPr>
        <w:t xml:space="preserve">Over time, the osseous callus is remodeled into vascularized lamellar bone with a central </w:t>
      </w:r>
      <w:r w:rsidR="00B94BA7" w:rsidRPr="00565259">
        <w:rPr>
          <w:rFonts w:ascii="Book Antiqua" w:hAnsi="Book Antiqua" w:cs="Calibri"/>
          <w:color w:val="212121"/>
        </w:rPr>
        <w:t xml:space="preserve">bone </w:t>
      </w:r>
      <w:r w:rsidR="005E489C" w:rsidRPr="00565259">
        <w:rPr>
          <w:rFonts w:ascii="Book Antiqua" w:hAnsi="Book Antiqua" w:cs="Calibri"/>
          <w:color w:val="212121"/>
        </w:rPr>
        <w:t>marrow cavity at the</w:t>
      </w:r>
      <w:r w:rsidR="003E2553" w:rsidRPr="00565259">
        <w:rPr>
          <w:rFonts w:ascii="Book Antiqua" w:hAnsi="Book Antiqua" w:cs="Calibri"/>
          <w:color w:val="212121"/>
        </w:rPr>
        <w:t xml:space="preserve"> diaphysis.</w:t>
      </w:r>
    </w:p>
    <w:p w14:paraId="789CDA64" w14:textId="5B4CCB02" w:rsidR="00A45B26" w:rsidRPr="00565259" w:rsidRDefault="00B94BA7" w:rsidP="00B83DB9">
      <w:pPr>
        <w:tabs>
          <w:tab w:val="left" w:pos="720"/>
        </w:tabs>
        <w:spacing w:after="0" w:line="360" w:lineRule="auto"/>
        <w:ind w:firstLineChars="100" w:firstLine="240"/>
        <w:jc w:val="both"/>
        <w:rPr>
          <w:rFonts w:ascii="Book Antiqua" w:hAnsi="Book Antiqua" w:cs="Times New Roman"/>
          <w:sz w:val="24"/>
          <w:szCs w:val="24"/>
        </w:rPr>
      </w:pPr>
      <w:r w:rsidRPr="00565259">
        <w:rPr>
          <w:rFonts w:ascii="Book Antiqua" w:hAnsi="Book Antiqua" w:cs="Times New Roman"/>
          <w:sz w:val="24"/>
          <w:szCs w:val="24"/>
        </w:rPr>
        <w:t>A</w:t>
      </w:r>
      <w:r w:rsidR="004F2D5D" w:rsidRPr="00565259">
        <w:rPr>
          <w:rFonts w:ascii="Book Antiqua" w:hAnsi="Book Antiqua" w:cs="Times New Roman"/>
          <w:sz w:val="24"/>
          <w:szCs w:val="24"/>
        </w:rPr>
        <w:t>dvanced a</w:t>
      </w:r>
      <w:r w:rsidRPr="00565259">
        <w:rPr>
          <w:rFonts w:ascii="Book Antiqua" w:hAnsi="Book Antiqua" w:cs="Times New Roman"/>
          <w:sz w:val="24"/>
          <w:szCs w:val="24"/>
        </w:rPr>
        <w:t>ge is a risk factor for impaired fracture healing</w:t>
      </w:r>
      <w:r w:rsidR="00FE4360" w:rsidRPr="00565259">
        <w:rPr>
          <w:rFonts w:ascii="Book Antiqua" w:hAnsi="Book Antiqua" w:cs="Times New Roman"/>
          <w:bCs/>
          <w:sz w:val="24"/>
          <w:szCs w:val="24"/>
          <w:vertAlign w:val="superscript"/>
        </w:rPr>
        <w:t>[24,25]</w:t>
      </w:r>
      <w:r w:rsidR="00A45B26" w:rsidRPr="00565259">
        <w:rPr>
          <w:rFonts w:ascii="Book Antiqua" w:hAnsi="Book Antiqua" w:cs="Times New Roman"/>
          <w:sz w:val="24"/>
          <w:szCs w:val="24"/>
        </w:rPr>
        <w:t xml:space="preserve"> </w:t>
      </w:r>
      <w:r w:rsidRPr="00565259">
        <w:rPr>
          <w:rFonts w:ascii="Book Antiqua" w:hAnsi="Book Antiqua" w:cs="Times New Roman"/>
          <w:sz w:val="24"/>
          <w:szCs w:val="24"/>
        </w:rPr>
        <w:t>with increased morbidity and mortality</w:t>
      </w:r>
      <w:r w:rsidR="00FE4360" w:rsidRPr="00565259">
        <w:rPr>
          <w:rFonts w:ascii="Book Antiqua" w:hAnsi="Book Antiqua" w:cs="Times New Roman"/>
          <w:bCs/>
          <w:sz w:val="24"/>
          <w:szCs w:val="24"/>
          <w:vertAlign w:val="superscript"/>
        </w:rPr>
        <w:t>[26-28]</w:t>
      </w:r>
      <w:r w:rsidRPr="00565259">
        <w:rPr>
          <w:rFonts w:ascii="Book Antiqua" w:hAnsi="Book Antiqua" w:cs="Times New Roman"/>
          <w:sz w:val="24"/>
          <w:szCs w:val="24"/>
        </w:rPr>
        <w:t xml:space="preserve"> as well as increased costs.</w:t>
      </w:r>
      <w:r w:rsidR="00C17406" w:rsidRPr="00565259">
        <w:rPr>
          <w:rFonts w:ascii="Book Antiqua" w:hAnsi="Book Antiqua" w:cs="Times New Roman"/>
          <w:sz w:val="24"/>
          <w:szCs w:val="24"/>
        </w:rPr>
        <w:t xml:space="preserve"> </w:t>
      </w:r>
      <w:r w:rsidR="006B2D1E" w:rsidRPr="00565259">
        <w:rPr>
          <w:rFonts w:ascii="Book Antiqua" w:hAnsi="Book Antiqua" w:cs="Times New Roman"/>
          <w:sz w:val="24"/>
          <w:szCs w:val="24"/>
        </w:rPr>
        <w:t>Increased age has been correlated to healing complications in the tibial shaft</w:t>
      </w:r>
      <w:r w:rsidR="00FE4360" w:rsidRPr="00565259">
        <w:rPr>
          <w:rFonts w:ascii="Book Antiqua" w:hAnsi="Book Antiqua" w:cs="Times New Roman"/>
          <w:bCs/>
          <w:sz w:val="24"/>
          <w:szCs w:val="24"/>
          <w:vertAlign w:val="superscript"/>
        </w:rPr>
        <w:t>[29]</w:t>
      </w:r>
      <w:r w:rsidR="008407C2" w:rsidRPr="00565259">
        <w:rPr>
          <w:rFonts w:ascii="Book Antiqua" w:hAnsi="Book Antiqua" w:cs="Times New Roman"/>
          <w:sz w:val="24"/>
          <w:szCs w:val="24"/>
        </w:rPr>
        <w:t>,</w:t>
      </w:r>
      <w:r w:rsidR="00C17406" w:rsidRPr="00565259">
        <w:rPr>
          <w:rFonts w:ascii="Book Antiqua" w:hAnsi="Book Antiqua" w:cs="Times New Roman"/>
          <w:sz w:val="24"/>
          <w:szCs w:val="24"/>
        </w:rPr>
        <w:t xml:space="preserve"> </w:t>
      </w:r>
      <w:r w:rsidR="006B2D1E" w:rsidRPr="00565259">
        <w:rPr>
          <w:rFonts w:ascii="Book Antiqua" w:hAnsi="Book Antiqua" w:cs="Times New Roman"/>
          <w:sz w:val="24"/>
          <w:szCs w:val="24"/>
        </w:rPr>
        <w:t>clavicle</w:t>
      </w:r>
      <w:r w:rsidR="00FE4360" w:rsidRPr="00565259">
        <w:rPr>
          <w:rFonts w:ascii="Book Antiqua" w:hAnsi="Book Antiqua" w:cs="Times New Roman"/>
          <w:bCs/>
          <w:sz w:val="24"/>
          <w:szCs w:val="24"/>
          <w:vertAlign w:val="superscript"/>
        </w:rPr>
        <w:t>[30]</w:t>
      </w:r>
      <w:r w:rsidR="008407C2" w:rsidRPr="00565259">
        <w:rPr>
          <w:rFonts w:ascii="Book Antiqua" w:hAnsi="Book Antiqua" w:cs="Times New Roman"/>
          <w:sz w:val="24"/>
          <w:szCs w:val="24"/>
        </w:rPr>
        <w:t>,</w:t>
      </w:r>
      <w:r w:rsidR="009C3C3B" w:rsidRPr="00565259">
        <w:rPr>
          <w:rFonts w:ascii="Book Antiqua" w:hAnsi="Book Antiqua" w:cs="Times New Roman"/>
          <w:sz w:val="24"/>
          <w:szCs w:val="24"/>
        </w:rPr>
        <w:t xml:space="preserve"> </w:t>
      </w:r>
      <w:r w:rsidR="006B2D1E" w:rsidRPr="00565259">
        <w:rPr>
          <w:rFonts w:ascii="Book Antiqua" w:hAnsi="Book Antiqua" w:cs="Times New Roman"/>
          <w:sz w:val="24"/>
          <w:szCs w:val="24"/>
        </w:rPr>
        <w:t>femoral neck</w:t>
      </w:r>
      <w:r w:rsidR="00FE4360" w:rsidRPr="00565259">
        <w:rPr>
          <w:rFonts w:ascii="Book Antiqua" w:hAnsi="Book Antiqua" w:cs="Times New Roman"/>
          <w:bCs/>
          <w:sz w:val="24"/>
          <w:szCs w:val="24"/>
          <w:vertAlign w:val="superscript"/>
        </w:rPr>
        <w:t>[31]</w:t>
      </w:r>
      <w:r w:rsidR="008407C2" w:rsidRPr="00565259">
        <w:rPr>
          <w:rFonts w:ascii="Book Antiqua" w:hAnsi="Book Antiqua" w:cs="Times New Roman"/>
          <w:sz w:val="24"/>
          <w:szCs w:val="24"/>
        </w:rPr>
        <w:t>,</w:t>
      </w:r>
      <w:r w:rsidR="00C17406" w:rsidRPr="00565259">
        <w:rPr>
          <w:rFonts w:ascii="Book Antiqua" w:hAnsi="Book Antiqua" w:cs="Times New Roman"/>
          <w:sz w:val="24"/>
          <w:szCs w:val="24"/>
        </w:rPr>
        <w:t xml:space="preserve"> </w:t>
      </w:r>
      <w:r w:rsidR="006B2D1E" w:rsidRPr="00565259">
        <w:rPr>
          <w:rFonts w:ascii="Book Antiqua" w:hAnsi="Book Antiqua" w:cs="Times New Roman"/>
          <w:sz w:val="24"/>
          <w:szCs w:val="24"/>
        </w:rPr>
        <w:t>and floating knee injuries</w:t>
      </w:r>
      <w:r w:rsidR="00FE4360" w:rsidRPr="00565259">
        <w:rPr>
          <w:rFonts w:ascii="Book Antiqua" w:hAnsi="Book Antiqua" w:cs="Times New Roman"/>
          <w:bCs/>
          <w:sz w:val="24"/>
          <w:szCs w:val="24"/>
          <w:vertAlign w:val="superscript"/>
        </w:rPr>
        <w:t>[32]</w:t>
      </w:r>
      <w:r w:rsidR="008407C2" w:rsidRPr="00565259">
        <w:rPr>
          <w:rFonts w:ascii="Book Antiqua" w:hAnsi="Book Antiqua" w:cs="Times New Roman"/>
          <w:sz w:val="24"/>
          <w:szCs w:val="24"/>
        </w:rPr>
        <w:t>.</w:t>
      </w:r>
      <w:r w:rsidR="00A45B26" w:rsidRPr="00565259">
        <w:rPr>
          <w:rFonts w:ascii="Book Antiqua" w:hAnsi="Book Antiqua" w:cs="Times New Roman"/>
          <w:sz w:val="24"/>
          <w:szCs w:val="24"/>
        </w:rPr>
        <w:t xml:space="preserve"> </w:t>
      </w:r>
      <w:r w:rsidR="006B2D1E" w:rsidRPr="00565259">
        <w:rPr>
          <w:rFonts w:ascii="Book Antiqua" w:hAnsi="Book Antiqua" w:cs="Times New Roman"/>
          <w:sz w:val="24"/>
          <w:szCs w:val="24"/>
        </w:rPr>
        <w:t>Delayed fracture healing, evidence</w:t>
      </w:r>
      <w:r w:rsidR="009127E9" w:rsidRPr="00565259">
        <w:rPr>
          <w:rFonts w:ascii="Book Antiqua" w:hAnsi="Book Antiqua" w:cs="Times New Roman"/>
          <w:sz w:val="24"/>
          <w:szCs w:val="24"/>
        </w:rPr>
        <w:t>d</w:t>
      </w:r>
      <w:r w:rsidR="006B2D1E" w:rsidRPr="00565259">
        <w:rPr>
          <w:rFonts w:ascii="Book Antiqua" w:hAnsi="Book Antiqua" w:cs="Times New Roman"/>
          <w:sz w:val="24"/>
          <w:szCs w:val="24"/>
        </w:rPr>
        <w:t xml:space="preserve"> by a longer time to regain the mechanical strength </w:t>
      </w:r>
      <w:r w:rsidR="00850C44" w:rsidRPr="00565259">
        <w:rPr>
          <w:rFonts w:ascii="Book Antiqua" w:hAnsi="Book Antiqua" w:cs="Times New Roman"/>
          <w:sz w:val="24"/>
          <w:szCs w:val="24"/>
        </w:rPr>
        <w:t xml:space="preserve">and mineral content </w:t>
      </w:r>
      <w:r w:rsidR="006B2D1E" w:rsidRPr="00565259">
        <w:rPr>
          <w:rFonts w:ascii="Book Antiqua" w:hAnsi="Book Antiqua" w:cs="Times New Roman"/>
          <w:sz w:val="24"/>
          <w:szCs w:val="24"/>
        </w:rPr>
        <w:t xml:space="preserve">in the bone, has been observed in </w:t>
      </w:r>
      <w:r w:rsidR="00850C44" w:rsidRPr="00565259">
        <w:rPr>
          <w:rFonts w:ascii="Book Antiqua" w:hAnsi="Book Antiqua" w:cs="Times New Roman"/>
          <w:sz w:val="24"/>
          <w:szCs w:val="24"/>
        </w:rPr>
        <w:t>rodents</w:t>
      </w:r>
      <w:r w:rsidR="00FE4360" w:rsidRPr="00565259">
        <w:rPr>
          <w:rFonts w:ascii="Book Antiqua" w:hAnsi="Book Antiqua" w:cs="Times New Roman"/>
          <w:bCs/>
          <w:sz w:val="24"/>
          <w:szCs w:val="24"/>
          <w:vertAlign w:val="superscript"/>
        </w:rPr>
        <w:t>[33-35]</w:t>
      </w:r>
      <w:r w:rsidR="008407C2" w:rsidRPr="00565259">
        <w:rPr>
          <w:rFonts w:ascii="Book Antiqua" w:hAnsi="Book Antiqua" w:cs="Times New Roman"/>
          <w:sz w:val="24"/>
          <w:szCs w:val="24"/>
        </w:rPr>
        <w:t>.</w:t>
      </w:r>
      <w:r w:rsidR="00A45B26" w:rsidRPr="00565259">
        <w:rPr>
          <w:rFonts w:ascii="Book Antiqua" w:hAnsi="Book Antiqua" w:cs="Times New Roman"/>
          <w:sz w:val="24"/>
          <w:szCs w:val="24"/>
        </w:rPr>
        <w:t xml:space="preserve"> </w:t>
      </w:r>
      <w:r w:rsidR="004D2752" w:rsidRPr="00565259">
        <w:rPr>
          <w:rFonts w:ascii="Book Antiqua" w:hAnsi="Book Antiqua" w:cs="Times New Roman"/>
          <w:sz w:val="24"/>
          <w:szCs w:val="24"/>
        </w:rPr>
        <w:t>In general, dela</w:t>
      </w:r>
      <w:r w:rsidR="00903A2D" w:rsidRPr="00565259">
        <w:rPr>
          <w:rFonts w:ascii="Book Antiqua" w:hAnsi="Book Antiqua" w:cs="Times New Roman"/>
          <w:sz w:val="24"/>
          <w:szCs w:val="24"/>
        </w:rPr>
        <w:t xml:space="preserve">yed fracture healing in elderly </w:t>
      </w:r>
      <w:r w:rsidR="004D2752" w:rsidRPr="00565259">
        <w:rPr>
          <w:rFonts w:ascii="Book Antiqua" w:hAnsi="Book Antiqua" w:cs="Times New Roman"/>
          <w:sz w:val="24"/>
          <w:szCs w:val="24"/>
        </w:rPr>
        <w:t xml:space="preserve">patients </w:t>
      </w:r>
      <w:r w:rsidR="00E152E9" w:rsidRPr="00565259">
        <w:rPr>
          <w:rFonts w:ascii="Book Antiqua" w:hAnsi="Book Antiqua" w:cs="Times New Roman"/>
          <w:sz w:val="24"/>
          <w:szCs w:val="24"/>
        </w:rPr>
        <w:t xml:space="preserve">is thought to </w:t>
      </w:r>
      <w:r w:rsidR="004D2752" w:rsidRPr="00565259">
        <w:rPr>
          <w:rFonts w:ascii="Book Antiqua" w:hAnsi="Book Antiqua" w:cs="Times New Roman"/>
          <w:sz w:val="24"/>
          <w:szCs w:val="24"/>
        </w:rPr>
        <w:t xml:space="preserve">result from a lower capacity for </w:t>
      </w:r>
      <w:r w:rsidR="008308A5" w:rsidRPr="00565259">
        <w:rPr>
          <w:rFonts w:ascii="Book Antiqua" w:hAnsi="Book Antiqua" w:cs="Times New Roman"/>
          <w:sz w:val="24"/>
          <w:szCs w:val="24"/>
        </w:rPr>
        <w:t>MSC</w:t>
      </w:r>
      <w:r w:rsidR="004D2752" w:rsidRPr="00565259">
        <w:rPr>
          <w:rFonts w:ascii="Book Antiqua" w:hAnsi="Book Antiqua" w:cs="Times New Roman"/>
          <w:sz w:val="24"/>
          <w:szCs w:val="24"/>
        </w:rPr>
        <w:t xml:space="preserve"> differentiation and </w:t>
      </w:r>
      <w:r w:rsidR="008407C2" w:rsidRPr="00565259">
        <w:rPr>
          <w:rFonts w:ascii="Book Antiqua" w:hAnsi="Book Antiqua" w:cs="Times New Roman"/>
          <w:sz w:val="24"/>
          <w:szCs w:val="24"/>
        </w:rPr>
        <w:t>impaired angio-/vasculo-genesis</w:t>
      </w:r>
      <w:r w:rsidR="00FE4360" w:rsidRPr="00565259">
        <w:rPr>
          <w:rFonts w:ascii="Book Antiqua" w:hAnsi="Book Antiqua" w:cs="Times New Roman"/>
          <w:bCs/>
          <w:sz w:val="24"/>
          <w:szCs w:val="24"/>
          <w:vertAlign w:val="superscript"/>
        </w:rPr>
        <w:t>[25]</w:t>
      </w:r>
      <w:r w:rsidR="008407C2" w:rsidRPr="00565259">
        <w:rPr>
          <w:rFonts w:ascii="Book Antiqua" w:hAnsi="Book Antiqua" w:cs="Times New Roman"/>
          <w:sz w:val="24"/>
          <w:szCs w:val="24"/>
        </w:rPr>
        <w:t>.</w:t>
      </w:r>
      <w:r w:rsidR="00A45B26" w:rsidRPr="00565259">
        <w:rPr>
          <w:rFonts w:ascii="Book Antiqua" w:hAnsi="Book Antiqua" w:cs="Times New Roman"/>
          <w:sz w:val="24"/>
          <w:szCs w:val="24"/>
          <w:vertAlign w:val="superscript"/>
        </w:rPr>
        <w:t xml:space="preserve"> </w:t>
      </w:r>
      <w:r w:rsidR="00BD4C31" w:rsidRPr="00565259">
        <w:rPr>
          <w:rFonts w:ascii="Book Antiqua" w:hAnsi="Book Antiqua" w:cs="Times New Roman"/>
          <w:sz w:val="24"/>
          <w:szCs w:val="24"/>
        </w:rPr>
        <w:t xml:space="preserve">These phenomena were observed by </w:t>
      </w:r>
      <w:r w:rsidR="003111EB" w:rsidRPr="00565259">
        <w:rPr>
          <w:rFonts w:ascii="Book Antiqua" w:hAnsi="Book Antiqua" w:cs="Times New Roman"/>
          <w:sz w:val="24"/>
          <w:szCs w:val="24"/>
        </w:rPr>
        <w:t xml:space="preserve">Lu </w:t>
      </w:r>
      <w:r w:rsidR="003111EB" w:rsidRPr="00565259">
        <w:rPr>
          <w:rFonts w:ascii="Book Antiqua" w:hAnsi="Book Antiqua" w:cs="Times New Roman"/>
          <w:i/>
          <w:sz w:val="24"/>
          <w:szCs w:val="24"/>
        </w:rPr>
        <w:t>et al</w:t>
      </w:r>
      <w:r w:rsidR="00A45B26" w:rsidRPr="00565259">
        <w:rPr>
          <w:rFonts w:ascii="Book Antiqua" w:hAnsi="Book Antiqua" w:cs="Times New Roman"/>
          <w:bCs/>
          <w:sz w:val="24"/>
          <w:szCs w:val="24"/>
          <w:vertAlign w:val="superscript"/>
        </w:rPr>
        <w:t>[36]</w:t>
      </w:r>
      <w:r w:rsidR="00BD4C31" w:rsidRPr="00565259">
        <w:rPr>
          <w:rFonts w:ascii="Book Antiqua" w:hAnsi="Book Antiqua" w:cs="Times New Roman"/>
          <w:sz w:val="24"/>
          <w:szCs w:val="24"/>
        </w:rPr>
        <w:t>, who</w:t>
      </w:r>
      <w:r w:rsidR="003111EB" w:rsidRPr="00565259">
        <w:rPr>
          <w:rFonts w:ascii="Book Antiqua" w:hAnsi="Book Antiqua" w:cs="Times New Roman"/>
          <w:sz w:val="24"/>
          <w:szCs w:val="24"/>
        </w:rPr>
        <w:t xml:space="preserve"> assessed the molecular, cellular and histological progression of tibia fractures in juvenile, middle-aged and elderly mice and reported </w:t>
      </w:r>
      <w:r w:rsidR="00864375" w:rsidRPr="00565259">
        <w:rPr>
          <w:rFonts w:ascii="Book Antiqua" w:hAnsi="Book Antiqua" w:cs="Times New Roman"/>
          <w:sz w:val="24"/>
          <w:szCs w:val="24"/>
        </w:rPr>
        <w:t>delayed</w:t>
      </w:r>
      <w:r w:rsidR="003111EB" w:rsidRPr="00565259">
        <w:rPr>
          <w:rFonts w:ascii="Book Antiqua" w:hAnsi="Book Antiqua" w:cs="Times New Roman"/>
          <w:sz w:val="24"/>
          <w:szCs w:val="24"/>
        </w:rPr>
        <w:t xml:space="preserve"> </w:t>
      </w:r>
      <w:r w:rsidR="00BD4C31" w:rsidRPr="00565259">
        <w:rPr>
          <w:rFonts w:ascii="Book Antiqua" w:hAnsi="Book Antiqua" w:cs="Times New Roman"/>
          <w:sz w:val="24"/>
          <w:szCs w:val="24"/>
        </w:rPr>
        <w:t xml:space="preserve">chondrocyte </w:t>
      </w:r>
      <w:r w:rsidR="00E81D9C" w:rsidRPr="00565259">
        <w:rPr>
          <w:rFonts w:ascii="Book Antiqua" w:hAnsi="Book Antiqua" w:cs="Times New Roman"/>
          <w:sz w:val="24"/>
          <w:szCs w:val="24"/>
        </w:rPr>
        <w:t xml:space="preserve">differentiation and </w:t>
      </w:r>
      <w:r w:rsidR="00BD4C31" w:rsidRPr="00565259">
        <w:rPr>
          <w:rFonts w:ascii="Book Antiqua" w:hAnsi="Book Antiqua" w:cs="Times New Roman"/>
          <w:sz w:val="24"/>
          <w:szCs w:val="24"/>
        </w:rPr>
        <w:t>maturation,</w:t>
      </w:r>
      <w:r w:rsidR="003111EB" w:rsidRPr="00565259">
        <w:rPr>
          <w:rFonts w:ascii="Book Antiqua" w:hAnsi="Book Antiqua" w:cs="Times New Roman"/>
          <w:sz w:val="24"/>
          <w:szCs w:val="24"/>
        </w:rPr>
        <w:t xml:space="preserve"> vascular inva</w:t>
      </w:r>
      <w:r w:rsidR="00BD4C31" w:rsidRPr="00565259">
        <w:rPr>
          <w:rFonts w:ascii="Book Antiqua" w:hAnsi="Book Antiqua" w:cs="Times New Roman"/>
          <w:sz w:val="24"/>
          <w:szCs w:val="24"/>
        </w:rPr>
        <w:t>s</w:t>
      </w:r>
      <w:r w:rsidR="003111EB" w:rsidRPr="00565259">
        <w:rPr>
          <w:rFonts w:ascii="Book Antiqua" w:hAnsi="Book Antiqua" w:cs="Times New Roman"/>
          <w:sz w:val="24"/>
          <w:szCs w:val="24"/>
        </w:rPr>
        <w:t>ion</w:t>
      </w:r>
      <w:r w:rsidR="00E81D9C" w:rsidRPr="00565259">
        <w:rPr>
          <w:rFonts w:ascii="Book Antiqua" w:hAnsi="Book Antiqua" w:cs="Times New Roman"/>
          <w:sz w:val="24"/>
          <w:szCs w:val="24"/>
        </w:rPr>
        <w:t>,</w:t>
      </w:r>
      <w:r w:rsidR="003111EB" w:rsidRPr="00565259">
        <w:rPr>
          <w:rFonts w:ascii="Book Antiqua" w:hAnsi="Book Antiqua" w:cs="Times New Roman"/>
          <w:sz w:val="24"/>
          <w:szCs w:val="24"/>
        </w:rPr>
        <w:t xml:space="preserve"> and </w:t>
      </w:r>
      <w:r w:rsidR="00BD4C31" w:rsidRPr="00565259">
        <w:rPr>
          <w:rFonts w:ascii="Book Antiqua" w:hAnsi="Book Antiqua" w:cs="Times New Roman"/>
          <w:sz w:val="24"/>
          <w:szCs w:val="24"/>
        </w:rPr>
        <w:t>bone formation in the older animals</w:t>
      </w:r>
      <w:r w:rsidR="00FE4360" w:rsidRPr="00565259">
        <w:rPr>
          <w:rFonts w:ascii="Book Antiqua" w:hAnsi="Book Antiqua" w:cs="Times New Roman"/>
          <w:bCs/>
          <w:sz w:val="24"/>
          <w:szCs w:val="24"/>
          <w:vertAlign w:val="superscript"/>
        </w:rPr>
        <w:t>[36]</w:t>
      </w:r>
      <w:r w:rsidR="008407C2" w:rsidRPr="00565259">
        <w:rPr>
          <w:rFonts w:ascii="Book Antiqua" w:hAnsi="Book Antiqua" w:cs="Times New Roman"/>
          <w:sz w:val="24"/>
          <w:szCs w:val="24"/>
        </w:rPr>
        <w:t>.</w:t>
      </w:r>
      <w:r w:rsidR="00C17406" w:rsidRPr="00565259">
        <w:rPr>
          <w:rFonts w:ascii="Book Antiqua" w:hAnsi="Book Antiqua" w:cs="Times New Roman"/>
          <w:sz w:val="24"/>
          <w:szCs w:val="24"/>
        </w:rPr>
        <w:t xml:space="preserve"> </w:t>
      </w:r>
      <w:r w:rsidR="0092355A" w:rsidRPr="00565259">
        <w:rPr>
          <w:rFonts w:ascii="Book Antiqua" w:hAnsi="Book Antiqua" w:cs="Times New Roman"/>
          <w:sz w:val="24"/>
          <w:szCs w:val="24"/>
        </w:rPr>
        <w:t xml:space="preserve">The extended healing time </w:t>
      </w:r>
      <w:r w:rsidR="00D41551" w:rsidRPr="00565259">
        <w:rPr>
          <w:rFonts w:ascii="Book Antiqua" w:hAnsi="Book Antiqua" w:cs="Times New Roman"/>
          <w:sz w:val="24"/>
          <w:szCs w:val="24"/>
        </w:rPr>
        <w:t xml:space="preserve">may </w:t>
      </w:r>
      <w:r w:rsidR="00C23F6C" w:rsidRPr="00565259">
        <w:rPr>
          <w:rFonts w:ascii="Book Antiqua" w:hAnsi="Book Antiqua" w:cs="Times New Roman"/>
          <w:sz w:val="24"/>
          <w:szCs w:val="24"/>
        </w:rPr>
        <w:t xml:space="preserve">play a role in the development of </w:t>
      </w:r>
      <w:r w:rsidR="00EB4C51" w:rsidRPr="00565259">
        <w:rPr>
          <w:rFonts w:ascii="Book Antiqua" w:hAnsi="Book Antiqua" w:cs="Times New Roman"/>
          <w:sz w:val="24"/>
          <w:szCs w:val="24"/>
        </w:rPr>
        <w:t xml:space="preserve">serious </w:t>
      </w:r>
      <w:r w:rsidR="00130E72" w:rsidRPr="00565259">
        <w:rPr>
          <w:rFonts w:ascii="Book Antiqua" w:hAnsi="Book Antiqua" w:cs="Times New Roman"/>
          <w:sz w:val="24"/>
          <w:szCs w:val="24"/>
        </w:rPr>
        <w:t>complications</w:t>
      </w:r>
      <w:r w:rsidR="00C23F6C" w:rsidRPr="00565259">
        <w:rPr>
          <w:rFonts w:ascii="Book Antiqua" w:hAnsi="Book Antiqua" w:cs="Times New Roman"/>
          <w:sz w:val="24"/>
          <w:szCs w:val="24"/>
        </w:rPr>
        <w:t xml:space="preserve"> that emerge during prolonged immobilization and the consequent high mortality rate with fractures in the geriatric population</w:t>
      </w:r>
      <w:r w:rsidR="00FE4360" w:rsidRPr="00565259">
        <w:rPr>
          <w:rFonts w:ascii="Book Antiqua" w:hAnsi="Book Antiqua"/>
          <w:bCs/>
          <w:sz w:val="24"/>
          <w:szCs w:val="24"/>
          <w:vertAlign w:val="superscript"/>
        </w:rPr>
        <w:t>[37,38]</w:t>
      </w:r>
      <w:r w:rsidR="00C23F6C" w:rsidRPr="00565259">
        <w:rPr>
          <w:rFonts w:ascii="Book Antiqua" w:hAnsi="Book Antiqua"/>
          <w:sz w:val="24"/>
          <w:szCs w:val="24"/>
        </w:rPr>
        <w:t>.</w:t>
      </w:r>
    </w:p>
    <w:p w14:paraId="33FCC65D" w14:textId="2B02ECC5" w:rsidR="00E367F9" w:rsidRPr="00565259" w:rsidRDefault="000C63E9" w:rsidP="00B83DB9">
      <w:pPr>
        <w:tabs>
          <w:tab w:val="left" w:pos="720"/>
        </w:tabs>
        <w:spacing w:after="0" w:line="360" w:lineRule="auto"/>
        <w:ind w:firstLineChars="100" w:firstLine="240"/>
        <w:jc w:val="both"/>
        <w:rPr>
          <w:rFonts w:ascii="Book Antiqua" w:hAnsi="Book Antiqua" w:cs="Times New Roman"/>
          <w:sz w:val="24"/>
          <w:szCs w:val="24"/>
        </w:rPr>
      </w:pPr>
      <w:r w:rsidRPr="00565259">
        <w:rPr>
          <w:rFonts w:ascii="Book Antiqua" w:hAnsi="Book Antiqua" w:cs="Times New Roman"/>
          <w:sz w:val="24"/>
          <w:szCs w:val="24"/>
        </w:rPr>
        <w:t>In this revie</w:t>
      </w:r>
      <w:r w:rsidR="00A00313" w:rsidRPr="00565259">
        <w:rPr>
          <w:rFonts w:ascii="Book Antiqua" w:hAnsi="Book Antiqua" w:cs="Times New Roman"/>
          <w:sz w:val="24"/>
          <w:szCs w:val="24"/>
        </w:rPr>
        <w:t>w</w:t>
      </w:r>
      <w:r w:rsidRPr="00565259">
        <w:rPr>
          <w:rFonts w:ascii="Book Antiqua" w:hAnsi="Book Antiqua" w:cs="Times New Roman"/>
          <w:sz w:val="24"/>
          <w:szCs w:val="24"/>
        </w:rPr>
        <w:t>, we describe the dysfunctional behavior of aging MSCs and EPCs that contribute to impaired fracture healing in the elderly</w:t>
      </w:r>
      <w:r w:rsidR="00400FCA" w:rsidRPr="00565259">
        <w:rPr>
          <w:rFonts w:ascii="Book Antiqua" w:hAnsi="Book Antiqua" w:cs="Times New Roman"/>
          <w:sz w:val="24"/>
          <w:szCs w:val="24"/>
        </w:rPr>
        <w:t xml:space="preserve"> (Fig</w:t>
      </w:r>
      <w:r w:rsidR="00E94BB9" w:rsidRPr="00565259">
        <w:rPr>
          <w:rFonts w:ascii="Book Antiqua" w:hAnsi="Book Antiqua" w:cs="Times New Roman"/>
          <w:sz w:val="24"/>
          <w:szCs w:val="24"/>
        </w:rPr>
        <w:t>ure</w:t>
      </w:r>
      <w:r w:rsidR="00400FCA" w:rsidRPr="00565259">
        <w:rPr>
          <w:rFonts w:ascii="Book Antiqua" w:hAnsi="Book Antiqua" w:cs="Times New Roman"/>
          <w:sz w:val="24"/>
          <w:szCs w:val="24"/>
        </w:rPr>
        <w:t xml:space="preserve"> 1)</w:t>
      </w:r>
      <w:r w:rsidRPr="00565259">
        <w:rPr>
          <w:rFonts w:ascii="Book Antiqua" w:hAnsi="Book Antiqua" w:cs="Times New Roman"/>
          <w:sz w:val="24"/>
          <w:szCs w:val="24"/>
        </w:rPr>
        <w:t>. Although the</w:t>
      </w:r>
      <w:r w:rsidR="00C23F6C" w:rsidRPr="00565259">
        <w:rPr>
          <w:rFonts w:ascii="Book Antiqua" w:hAnsi="Book Antiqua" w:cs="Times New Roman"/>
          <w:sz w:val="24"/>
          <w:szCs w:val="24"/>
        </w:rPr>
        <w:t xml:space="preserve"> causes </w:t>
      </w:r>
      <w:r w:rsidR="009D391B" w:rsidRPr="00565259">
        <w:rPr>
          <w:rFonts w:ascii="Book Antiqua" w:hAnsi="Book Antiqua" w:cs="Times New Roman"/>
          <w:sz w:val="24"/>
          <w:szCs w:val="24"/>
        </w:rPr>
        <w:t>of delayed frac</w:t>
      </w:r>
      <w:r w:rsidR="00C23F6C" w:rsidRPr="00565259">
        <w:rPr>
          <w:rFonts w:ascii="Book Antiqua" w:hAnsi="Book Antiqua" w:cs="Times New Roman"/>
          <w:sz w:val="24"/>
          <w:szCs w:val="24"/>
        </w:rPr>
        <w:t>ture healing with advanced age are complex and multifactorial</w:t>
      </w:r>
      <w:r w:rsidRPr="00565259">
        <w:rPr>
          <w:rFonts w:ascii="Book Antiqua" w:hAnsi="Book Antiqua" w:cs="Times New Roman"/>
          <w:sz w:val="24"/>
          <w:szCs w:val="24"/>
        </w:rPr>
        <w:t xml:space="preserve">, we highlight the </w:t>
      </w:r>
      <w:r w:rsidR="006844BE" w:rsidRPr="00565259">
        <w:rPr>
          <w:rFonts w:ascii="Book Antiqua" w:hAnsi="Book Antiqua" w:cs="Times New Roman"/>
          <w:sz w:val="24"/>
          <w:szCs w:val="24"/>
        </w:rPr>
        <w:t xml:space="preserve">reduction in growth factor expression, </w:t>
      </w:r>
      <w:r w:rsidRPr="00565259">
        <w:rPr>
          <w:rFonts w:ascii="Book Antiqua" w:hAnsi="Book Antiqua" w:cs="Times New Roman"/>
          <w:sz w:val="24"/>
          <w:szCs w:val="24"/>
        </w:rPr>
        <w:t>effects</w:t>
      </w:r>
      <w:r w:rsidR="00357CCC" w:rsidRPr="00565259">
        <w:rPr>
          <w:rFonts w:ascii="Book Antiqua" w:hAnsi="Book Antiqua" w:cs="Times New Roman"/>
          <w:sz w:val="24"/>
          <w:szCs w:val="24"/>
        </w:rPr>
        <w:t xml:space="preserve"> of</w:t>
      </w:r>
      <w:r w:rsidRPr="00565259">
        <w:rPr>
          <w:rFonts w:ascii="Book Antiqua" w:hAnsi="Book Antiqua" w:cs="Times New Roman"/>
          <w:sz w:val="24"/>
          <w:szCs w:val="24"/>
        </w:rPr>
        <w:t xml:space="preserve"> reactive oxygen species</w:t>
      </w:r>
      <w:r w:rsidR="00A132BB" w:rsidRPr="00565259">
        <w:rPr>
          <w:rFonts w:ascii="Book Antiqua" w:hAnsi="Book Antiqua" w:cs="Times New Roman"/>
          <w:sz w:val="24"/>
          <w:szCs w:val="24"/>
        </w:rPr>
        <w:t xml:space="preserve"> (ROS)</w:t>
      </w:r>
      <w:r w:rsidR="006844BE" w:rsidRPr="00565259">
        <w:rPr>
          <w:rFonts w:ascii="Book Antiqua" w:hAnsi="Book Antiqua" w:cs="Times New Roman"/>
          <w:sz w:val="24"/>
          <w:szCs w:val="24"/>
        </w:rPr>
        <w:t>,</w:t>
      </w:r>
      <w:r w:rsidR="00357CCC" w:rsidRPr="00565259">
        <w:rPr>
          <w:rFonts w:ascii="Book Antiqua" w:hAnsi="Book Antiqua" w:cs="Times New Roman"/>
          <w:sz w:val="24"/>
          <w:szCs w:val="24"/>
        </w:rPr>
        <w:t xml:space="preserve"> and the role of the sirtuin-1 (S</w:t>
      </w:r>
      <w:r w:rsidR="00A132BB" w:rsidRPr="00565259">
        <w:rPr>
          <w:rFonts w:ascii="Book Antiqua" w:hAnsi="Book Antiqua" w:cs="Times New Roman"/>
          <w:sz w:val="24"/>
          <w:szCs w:val="24"/>
        </w:rPr>
        <w:t>IRT</w:t>
      </w:r>
      <w:r w:rsidR="00357CCC" w:rsidRPr="00565259">
        <w:rPr>
          <w:rFonts w:ascii="Book Antiqua" w:hAnsi="Book Antiqua" w:cs="Times New Roman"/>
          <w:sz w:val="24"/>
          <w:szCs w:val="24"/>
        </w:rPr>
        <w:t>1) signaling pathway</w:t>
      </w:r>
      <w:r w:rsidRPr="00565259">
        <w:rPr>
          <w:rFonts w:ascii="Book Antiqua" w:hAnsi="Book Antiqua" w:cs="Times New Roman"/>
          <w:sz w:val="24"/>
          <w:szCs w:val="24"/>
        </w:rPr>
        <w:t xml:space="preserve"> as </w:t>
      </w:r>
      <w:r w:rsidR="00A00313" w:rsidRPr="00565259">
        <w:rPr>
          <w:rFonts w:ascii="Book Antiqua" w:hAnsi="Book Antiqua" w:cs="Times New Roman"/>
          <w:sz w:val="24"/>
          <w:szCs w:val="24"/>
        </w:rPr>
        <w:t>significant</w:t>
      </w:r>
      <w:r w:rsidRPr="00565259">
        <w:rPr>
          <w:rFonts w:ascii="Book Antiqua" w:hAnsi="Book Antiqua" w:cs="Times New Roman"/>
          <w:sz w:val="24"/>
          <w:szCs w:val="24"/>
        </w:rPr>
        <w:t xml:space="preserve"> factors </w:t>
      </w:r>
      <w:r w:rsidR="00A00313" w:rsidRPr="00565259">
        <w:rPr>
          <w:rFonts w:ascii="Book Antiqua" w:hAnsi="Book Antiqua" w:cs="Times New Roman"/>
          <w:sz w:val="24"/>
          <w:szCs w:val="24"/>
        </w:rPr>
        <w:t>in</w:t>
      </w:r>
      <w:r w:rsidRPr="00565259">
        <w:rPr>
          <w:rFonts w:ascii="Book Antiqua" w:hAnsi="Book Antiqua" w:cs="Times New Roman"/>
          <w:sz w:val="24"/>
          <w:szCs w:val="24"/>
        </w:rPr>
        <w:t xml:space="preserve"> aging at the cellular level</w:t>
      </w:r>
      <w:r w:rsidR="00FC286D" w:rsidRPr="00565259">
        <w:rPr>
          <w:rFonts w:ascii="Book Antiqua" w:hAnsi="Book Antiqua" w:cs="Times New Roman"/>
          <w:sz w:val="24"/>
          <w:szCs w:val="24"/>
        </w:rPr>
        <w:t xml:space="preserve"> in MSCs and EPCs</w:t>
      </w:r>
      <w:r w:rsidRPr="00565259">
        <w:rPr>
          <w:rFonts w:ascii="Book Antiqua" w:hAnsi="Book Antiqua" w:cs="Times New Roman"/>
          <w:sz w:val="24"/>
          <w:szCs w:val="24"/>
        </w:rPr>
        <w:t xml:space="preserve">. Finally, we </w:t>
      </w:r>
      <w:r w:rsidR="00374A7A" w:rsidRPr="00565259">
        <w:rPr>
          <w:rFonts w:ascii="Book Antiqua" w:hAnsi="Book Antiqua" w:cs="Times New Roman"/>
          <w:sz w:val="24"/>
          <w:szCs w:val="24"/>
        </w:rPr>
        <w:t xml:space="preserve">discuss </w:t>
      </w:r>
      <w:r w:rsidRPr="00565259">
        <w:rPr>
          <w:rFonts w:ascii="Book Antiqua" w:hAnsi="Book Antiqua" w:cs="Times New Roman"/>
          <w:sz w:val="24"/>
          <w:szCs w:val="24"/>
        </w:rPr>
        <w:t xml:space="preserve">potential treatments </w:t>
      </w:r>
      <w:r w:rsidR="00223CCB" w:rsidRPr="00565259">
        <w:rPr>
          <w:rFonts w:ascii="Book Antiqua" w:hAnsi="Book Antiqua" w:cs="Times New Roman"/>
          <w:sz w:val="24"/>
          <w:szCs w:val="24"/>
        </w:rPr>
        <w:t xml:space="preserve">to enhance bone fracture healing </w:t>
      </w:r>
      <w:r w:rsidR="00625163" w:rsidRPr="00565259">
        <w:rPr>
          <w:rFonts w:ascii="Book Antiqua" w:hAnsi="Book Antiqua" w:cs="Times New Roman"/>
          <w:sz w:val="24"/>
          <w:szCs w:val="24"/>
        </w:rPr>
        <w:t>that may be beneficial for</w:t>
      </w:r>
      <w:r w:rsidR="00223CCB" w:rsidRPr="00565259">
        <w:rPr>
          <w:rFonts w:ascii="Book Antiqua" w:hAnsi="Book Antiqua" w:cs="Times New Roman"/>
          <w:sz w:val="24"/>
          <w:szCs w:val="24"/>
        </w:rPr>
        <w:t xml:space="preserve"> elderly patients.</w:t>
      </w:r>
    </w:p>
    <w:p w14:paraId="43237553" w14:textId="724AA083" w:rsidR="005B4F14" w:rsidRPr="00565259" w:rsidRDefault="00223CCB" w:rsidP="00B83DB9">
      <w:pPr>
        <w:tabs>
          <w:tab w:val="left" w:pos="720"/>
        </w:tabs>
        <w:spacing w:after="0" w:line="360" w:lineRule="auto"/>
        <w:ind w:firstLine="450"/>
        <w:jc w:val="both"/>
        <w:rPr>
          <w:rFonts w:ascii="Book Antiqua" w:hAnsi="Book Antiqua"/>
          <w:sz w:val="24"/>
          <w:szCs w:val="24"/>
        </w:rPr>
      </w:pPr>
      <w:r w:rsidRPr="00565259">
        <w:rPr>
          <w:rFonts w:ascii="Book Antiqua" w:hAnsi="Book Antiqua" w:cs="Times New Roman"/>
          <w:sz w:val="24"/>
          <w:szCs w:val="24"/>
        </w:rPr>
        <w:t xml:space="preserve"> </w:t>
      </w:r>
    </w:p>
    <w:p w14:paraId="4258D136" w14:textId="260EC394" w:rsidR="005B4F14" w:rsidRPr="00565259" w:rsidRDefault="001078D4" w:rsidP="00B83DB9">
      <w:pPr>
        <w:pStyle w:val="1"/>
        <w:tabs>
          <w:tab w:val="left" w:pos="720"/>
        </w:tabs>
        <w:spacing w:before="0" w:line="360" w:lineRule="auto"/>
        <w:jc w:val="both"/>
        <w:rPr>
          <w:b/>
          <w:szCs w:val="24"/>
        </w:rPr>
      </w:pPr>
      <w:r w:rsidRPr="00565259">
        <w:rPr>
          <w:b/>
          <w:szCs w:val="24"/>
        </w:rPr>
        <w:t>MSC</w:t>
      </w:r>
      <w:r w:rsidR="0018762D" w:rsidRPr="00565259">
        <w:rPr>
          <w:b/>
          <w:szCs w:val="24"/>
        </w:rPr>
        <w:t xml:space="preserve"> </w:t>
      </w:r>
      <w:r w:rsidR="00606CDD" w:rsidRPr="00565259">
        <w:rPr>
          <w:b/>
          <w:szCs w:val="24"/>
        </w:rPr>
        <w:t>IMPAIRMENT WITH</w:t>
      </w:r>
      <w:r w:rsidR="002D28C1" w:rsidRPr="00565259">
        <w:rPr>
          <w:b/>
          <w:szCs w:val="24"/>
        </w:rPr>
        <w:t xml:space="preserve"> AG</w:t>
      </w:r>
      <w:r w:rsidR="00606CDD" w:rsidRPr="00565259">
        <w:rPr>
          <w:b/>
          <w:szCs w:val="24"/>
        </w:rPr>
        <w:t>E</w:t>
      </w:r>
    </w:p>
    <w:p w14:paraId="4A1C1D52" w14:textId="6999F1C0" w:rsidR="00A45B26" w:rsidRPr="00565259" w:rsidRDefault="00991394" w:rsidP="00B83DB9">
      <w:pPr>
        <w:tabs>
          <w:tab w:val="left" w:pos="720"/>
        </w:tabs>
        <w:spacing w:after="0" w:line="360" w:lineRule="auto"/>
        <w:jc w:val="both"/>
        <w:rPr>
          <w:rFonts w:ascii="Book Antiqua" w:hAnsi="Book Antiqua" w:cs="Times New Roman"/>
          <w:sz w:val="24"/>
          <w:szCs w:val="24"/>
        </w:rPr>
      </w:pPr>
      <w:r w:rsidRPr="00565259">
        <w:rPr>
          <w:rFonts w:ascii="Book Antiqua" w:hAnsi="Book Antiqua" w:cs="Times New Roman"/>
          <w:sz w:val="24"/>
          <w:szCs w:val="24"/>
        </w:rPr>
        <w:t xml:space="preserve">One of the factors for </w:t>
      </w:r>
      <w:r w:rsidR="00606CDD" w:rsidRPr="00565259">
        <w:rPr>
          <w:rFonts w:ascii="Book Antiqua" w:hAnsi="Book Antiqua" w:cs="Times New Roman"/>
          <w:sz w:val="24"/>
          <w:szCs w:val="24"/>
        </w:rPr>
        <w:t>diminish</w:t>
      </w:r>
      <w:r w:rsidRPr="00565259">
        <w:rPr>
          <w:rFonts w:ascii="Book Antiqua" w:hAnsi="Book Antiqua" w:cs="Times New Roman"/>
          <w:sz w:val="24"/>
          <w:szCs w:val="24"/>
        </w:rPr>
        <w:t>ed fracture healing in the elderly is the altered behavior of MSCs with</w:t>
      </w:r>
      <w:r w:rsidR="00206366" w:rsidRPr="00565259">
        <w:rPr>
          <w:rFonts w:ascii="Book Antiqua" w:hAnsi="Book Antiqua" w:cs="Times New Roman"/>
          <w:sz w:val="24"/>
          <w:szCs w:val="24"/>
        </w:rPr>
        <w:t xml:space="preserve"> respect to number, proliferation</w:t>
      </w:r>
      <w:r w:rsidRPr="00565259">
        <w:rPr>
          <w:rFonts w:ascii="Book Antiqua" w:hAnsi="Book Antiqua" w:cs="Times New Roman"/>
          <w:sz w:val="24"/>
          <w:szCs w:val="24"/>
        </w:rPr>
        <w:t xml:space="preserve">, migration </w:t>
      </w:r>
      <w:r w:rsidR="00206366" w:rsidRPr="00565259">
        <w:rPr>
          <w:rFonts w:ascii="Book Antiqua" w:hAnsi="Book Antiqua" w:cs="Times New Roman"/>
          <w:sz w:val="24"/>
          <w:szCs w:val="24"/>
        </w:rPr>
        <w:t>ability</w:t>
      </w:r>
      <w:r w:rsidRPr="00565259">
        <w:rPr>
          <w:rFonts w:ascii="Book Antiqua" w:hAnsi="Book Antiqua" w:cs="Times New Roman"/>
          <w:sz w:val="24"/>
          <w:szCs w:val="24"/>
        </w:rPr>
        <w:t>, and differentiation potential with age</w:t>
      </w:r>
      <w:r w:rsidR="00FE4360" w:rsidRPr="00565259">
        <w:rPr>
          <w:rFonts w:ascii="Book Antiqua" w:hAnsi="Book Antiqua" w:cs="Times New Roman"/>
          <w:bCs/>
          <w:sz w:val="24"/>
          <w:szCs w:val="24"/>
          <w:vertAlign w:val="superscript"/>
        </w:rPr>
        <w:t>[20]</w:t>
      </w:r>
      <w:r w:rsidR="0041477D" w:rsidRPr="00565259">
        <w:rPr>
          <w:rFonts w:ascii="Book Antiqua" w:hAnsi="Book Antiqua" w:cs="Times New Roman"/>
          <w:sz w:val="24"/>
          <w:szCs w:val="24"/>
        </w:rPr>
        <w:t>.</w:t>
      </w:r>
      <w:r w:rsidRPr="00565259">
        <w:rPr>
          <w:rFonts w:ascii="Book Antiqua" w:hAnsi="Book Antiqua" w:cs="Times New Roman"/>
          <w:sz w:val="24"/>
          <w:szCs w:val="24"/>
        </w:rPr>
        <w:t xml:space="preserve"> In bone marrow and adipose tissue from different species such as non-human primates</w:t>
      </w:r>
      <w:r w:rsidR="00FE4360" w:rsidRPr="00565259">
        <w:rPr>
          <w:rFonts w:ascii="Book Antiqua" w:hAnsi="Book Antiqua" w:cs="Times New Roman"/>
          <w:bCs/>
          <w:sz w:val="24"/>
          <w:szCs w:val="24"/>
          <w:vertAlign w:val="superscript"/>
        </w:rPr>
        <w:t>[39]</w:t>
      </w:r>
      <w:r w:rsidR="00223CCB" w:rsidRPr="00565259">
        <w:rPr>
          <w:rFonts w:ascii="Book Antiqua" w:hAnsi="Book Antiqua" w:cs="Times New Roman"/>
          <w:sz w:val="24"/>
          <w:szCs w:val="24"/>
        </w:rPr>
        <w:t>,</w:t>
      </w:r>
      <w:r w:rsidRPr="00565259">
        <w:rPr>
          <w:rFonts w:ascii="Book Antiqua" w:hAnsi="Book Antiqua" w:cs="Times New Roman"/>
          <w:sz w:val="24"/>
          <w:szCs w:val="24"/>
        </w:rPr>
        <w:t xml:space="preserve"> humans</w:t>
      </w:r>
      <w:r w:rsidR="00FE4360" w:rsidRPr="00565259">
        <w:rPr>
          <w:rFonts w:ascii="Book Antiqua" w:hAnsi="Book Antiqua" w:cs="Times New Roman"/>
          <w:bCs/>
          <w:sz w:val="24"/>
          <w:szCs w:val="24"/>
          <w:vertAlign w:val="superscript"/>
        </w:rPr>
        <w:t>[40-42]</w:t>
      </w:r>
      <w:r w:rsidR="00223CCB" w:rsidRPr="00565259">
        <w:rPr>
          <w:rFonts w:ascii="Book Antiqua" w:hAnsi="Book Antiqua" w:cs="Times New Roman"/>
          <w:sz w:val="24"/>
          <w:szCs w:val="24"/>
        </w:rPr>
        <w:t>,</w:t>
      </w:r>
      <w:r w:rsidR="004C7E6C" w:rsidRPr="00565259">
        <w:rPr>
          <w:rFonts w:ascii="Book Antiqua" w:hAnsi="Book Antiqua" w:cs="Times New Roman"/>
          <w:sz w:val="24"/>
          <w:szCs w:val="24"/>
        </w:rPr>
        <w:t xml:space="preserve"> </w:t>
      </w:r>
      <w:r w:rsidRPr="00565259">
        <w:rPr>
          <w:rFonts w:ascii="Book Antiqua" w:hAnsi="Book Antiqua" w:cs="Times New Roman"/>
          <w:sz w:val="24"/>
          <w:szCs w:val="24"/>
        </w:rPr>
        <w:t>mice</w:t>
      </w:r>
      <w:r w:rsidR="00FE4360" w:rsidRPr="00565259">
        <w:rPr>
          <w:rFonts w:ascii="Book Antiqua" w:hAnsi="Book Antiqua" w:cs="Times New Roman"/>
          <w:bCs/>
          <w:sz w:val="24"/>
          <w:szCs w:val="24"/>
          <w:vertAlign w:val="superscript"/>
        </w:rPr>
        <w:t>[43-45]</w:t>
      </w:r>
      <w:r w:rsidR="008407C2" w:rsidRPr="00565259">
        <w:rPr>
          <w:rFonts w:ascii="Book Antiqua" w:hAnsi="Book Antiqua" w:cs="Times New Roman"/>
          <w:sz w:val="24"/>
          <w:szCs w:val="24"/>
        </w:rPr>
        <w:t>,</w:t>
      </w:r>
      <w:r w:rsidR="004C7E6C" w:rsidRPr="00565259">
        <w:rPr>
          <w:rFonts w:ascii="Book Antiqua" w:hAnsi="Book Antiqua" w:cs="Times New Roman"/>
          <w:sz w:val="24"/>
          <w:szCs w:val="24"/>
        </w:rPr>
        <w:t xml:space="preserve"> </w:t>
      </w:r>
      <w:r w:rsidRPr="00565259">
        <w:rPr>
          <w:rFonts w:ascii="Book Antiqua" w:hAnsi="Book Antiqua" w:cs="Times New Roman"/>
          <w:sz w:val="24"/>
          <w:szCs w:val="24"/>
        </w:rPr>
        <w:t>and rats</w:t>
      </w:r>
      <w:r w:rsidR="00FE4360" w:rsidRPr="00565259">
        <w:rPr>
          <w:rFonts w:ascii="Book Antiqua" w:hAnsi="Book Antiqua" w:cs="Times New Roman"/>
          <w:bCs/>
          <w:sz w:val="24"/>
          <w:szCs w:val="24"/>
          <w:vertAlign w:val="superscript"/>
        </w:rPr>
        <w:t>[46]</w:t>
      </w:r>
      <w:r w:rsidR="004C7E6C" w:rsidRPr="00565259">
        <w:rPr>
          <w:rFonts w:ascii="Book Antiqua" w:hAnsi="Book Antiqua" w:cs="Times New Roman"/>
          <w:sz w:val="24"/>
          <w:szCs w:val="24"/>
        </w:rPr>
        <w:t xml:space="preserve"> </w:t>
      </w:r>
      <w:r w:rsidRPr="00565259">
        <w:rPr>
          <w:rFonts w:ascii="Book Antiqua" w:hAnsi="Book Antiqua" w:cs="Times New Roman"/>
          <w:sz w:val="24"/>
          <w:szCs w:val="24"/>
        </w:rPr>
        <w:t>there was a pronounced age-dependent difference in the number of</w:t>
      </w:r>
      <w:r w:rsidR="00C17406" w:rsidRPr="00565259">
        <w:rPr>
          <w:rFonts w:ascii="Book Antiqua" w:hAnsi="Book Antiqua" w:cs="Times New Roman"/>
          <w:sz w:val="24"/>
          <w:szCs w:val="24"/>
        </w:rPr>
        <w:t xml:space="preserve"> </w:t>
      </w:r>
      <w:r w:rsidRPr="00565259">
        <w:rPr>
          <w:rFonts w:ascii="Book Antiqua" w:hAnsi="Book Antiqua" w:cs="Times New Roman"/>
          <w:sz w:val="24"/>
          <w:szCs w:val="24"/>
        </w:rPr>
        <w:t>MSCs based on the Colony Forming Unit (CFU) assay</w:t>
      </w:r>
      <w:r w:rsidR="0041477D" w:rsidRPr="00565259">
        <w:rPr>
          <w:rFonts w:ascii="Book Antiqua" w:hAnsi="Book Antiqua" w:cs="Times New Roman"/>
          <w:sz w:val="24"/>
          <w:szCs w:val="24"/>
        </w:rPr>
        <w:t>; MSCs</w:t>
      </w:r>
      <w:r w:rsidRPr="00565259">
        <w:rPr>
          <w:rFonts w:ascii="Book Antiqua" w:hAnsi="Book Antiqua" w:cs="Times New Roman"/>
          <w:sz w:val="24"/>
          <w:szCs w:val="24"/>
        </w:rPr>
        <w:t xml:space="preserve"> from younger individuals were more numerous as they formed </w:t>
      </w:r>
      <w:r w:rsidR="00206366" w:rsidRPr="00565259">
        <w:rPr>
          <w:rFonts w:ascii="Book Antiqua" w:hAnsi="Book Antiqua" w:cs="Times New Roman"/>
          <w:sz w:val="24"/>
          <w:szCs w:val="24"/>
        </w:rPr>
        <w:t>up to</w:t>
      </w:r>
      <w:r w:rsidRPr="00565259">
        <w:rPr>
          <w:rFonts w:ascii="Book Antiqua" w:hAnsi="Book Antiqua" w:cs="Times New Roman"/>
          <w:sz w:val="24"/>
          <w:szCs w:val="24"/>
        </w:rPr>
        <w:t xml:space="preserve"> 50% more CFUs than</w:t>
      </w:r>
      <w:r w:rsidR="00DB59F8" w:rsidRPr="00565259">
        <w:rPr>
          <w:rFonts w:ascii="Book Antiqua" w:hAnsi="Book Antiqua" w:cs="Times New Roman"/>
          <w:sz w:val="24"/>
          <w:szCs w:val="24"/>
        </w:rPr>
        <w:t xml:space="preserve"> </w:t>
      </w:r>
      <w:r w:rsidRPr="00565259">
        <w:rPr>
          <w:rFonts w:ascii="Book Antiqua" w:hAnsi="Book Antiqua" w:cs="Times New Roman"/>
          <w:sz w:val="24"/>
          <w:szCs w:val="24"/>
        </w:rPr>
        <w:t>older individuals</w:t>
      </w:r>
      <w:r w:rsidR="00FE4360" w:rsidRPr="00565259">
        <w:rPr>
          <w:rFonts w:ascii="Book Antiqua" w:hAnsi="Book Antiqua" w:cs="Times New Roman"/>
          <w:bCs/>
          <w:sz w:val="24"/>
          <w:szCs w:val="24"/>
          <w:vertAlign w:val="superscript"/>
        </w:rPr>
        <w:t>[40-44,46]</w:t>
      </w:r>
      <w:r w:rsidR="00C23F6C" w:rsidRPr="00565259">
        <w:rPr>
          <w:rFonts w:ascii="Book Antiqua" w:hAnsi="Book Antiqua" w:cs="Times New Roman"/>
          <w:sz w:val="24"/>
          <w:szCs w:val="24"/>
        </w:rPr>
        <w:t>.</w:t>
      </w:r>
      <w:r w:rsidRPr="00565259">
        <w:rPr>
          <w:rFonts w:ascii="Book Antiqua" w:hAnsi="Book Antiqua" w:cs="Times New Roman"/>
          <w:sz w:val="24"/>
          <w:szCs w:val="24"/>
        </w:rPr>
        <w:t xml:space="preserve"> MSCs have also been characterized by their positive expression of surface markers such CD90, CD44, and CD73. In a study on human </w:t>
      </w:r>
      <w:r w:rsidR="00206366" w:rsidRPr="00565259">
        <w:rPr>
          <w:rFonts w:ascii="Book Antiqua" w:hAnsi="Book Antiqua" w:cs="Times New Roman"/>
          <w:sz w:val="24"/>
          <w:szCs w:val="24"/>
        </w:rPr>
        <w:t>marrow-derived MSCs</w:t>
      </w:r>
      <w:r w:rsidRPr="00565259">
        <w:rPr>
          <w:rFonts w:ascii="Book Antiqua" w:hAnsi="Book Antiqua" w:cs="Times New Roman"/>
          <w:sz w:val="24"/>
          <w:szCs w:val="24"/>
        </w:rPr>
        <w:t xml:space="preserve">, Stolzing </w:t>
      </w:r>
      <w:r w:rsidRPr="00565259">
        <w:rPr>
          <w:rFonts w:ascii="Book Antiqua" w:hAnsi="Book Antiqua" w:cs="Times New Roman"/>
          <w:i/>
          <w:sz w:val="24"/>
          <w:szCs w:val="24"/>
        </w:rPr>
        <w:t>et al</w:t>
      </w:r>
      <w:r w:rsidR="00A45B26" w:rsidRPr="00565259">
        <w:rPr>
          <w:rFonts w:ascii="Book Antiqua" w:hAnsi="Book Antiqua" w:cs="Times New Roman"/>
          <w:bCs/>
          <w:sz w:val="24"/>
          <w:szCs w:val="24"/>
          <w:vertAlign w:val="superscript"/>
        </w:rPr>
        <w:t>[45]</w:t>
      </w:r>
      <w:r w:rsidRPr="00565259">
        <w:rPr>
          <w:rFonts w:ascii="Book Antiqua" w:hAnsi="Book Antiqua" w:cs="Times New Roman"/>
          <w:sz w:val="24"/>
          <w:szCs w:val="24"/>
        </w:rPr>
        <w:t xml:space="preserve"> found </w:t>
      </w:r>
      <w:r w:rsidR="004D2E60" w:rsidRPr="00565259">
        <w:rPr>
          <w:rFonts w:ascii="Book Antiqua" w:hAnsi="Book Antiqua" w:cs="Times New Roman"/>
          <w:sz w:val="24"/>
          <w:szCs w:val="24"/>
        </w:rPr>
        <w:t>that young cells expressed</w:t>
      </w:r>
      <w:r w:rsidR="001D1491" w:rsidRPr="00565259">
        <w:rPr>
          <w:rFonts w:ascii="Book Antiqua" w:hAnsi="Book Antiqua" w:cs="Times New Roman"/>
          <w:sz w:val="24"/>
          <w:szCs w:val="24"/>
        </w:rPr>
        <w:t xml:space="preserve"> more CD90</w:t>
      </w:r>
      <w:r w:rsidRPr="00565259">
        <w:rPr>
          <w:rFonts w:ascii="Book Antiqua" w:hAnsi="Book Antiqua" w:cs="Times New Roman"/>
          <w:sz w:val="24"/>
          <w:szCs w:val="24"/>
        </w:rPr>
        <w:t>, CD105</w:t>
      </w:r>
      <w:r w:rsidR="001D1491" w:rsidRPr="00565259">
        <w:rPr>
          <w:rFonts w:ascii="Book Antiqua" w:hAnsi="Book Antiqua" w:cs="Times New Roman"/>
          <w:sz w:val="24"/>
          <w:szCs w:val="24"/>
        </w:rPr>
        <w:t>, and Stro-1</w:t>
      </w:r>
      <w:r w:rsidRPr="00565259">
        <w:rPr>
          <w:rFonts w:ascii="Book Antiqua" w:hAnsi="Book Antiqua" w:cs="Times New Roman"/>
          <w:sz w:val="24"/>
          <w:szCs w:val="24"/>
        </w:rPr>
        <w:t xml:space="preserve"> </w:t>
      </w:r>
      <w:r w:rsidR="004D2E60" w:rsidRPr="00565259">
        <w:rPr>
          <w:rFonts w:ascii="Book Antiqua" w:hAnsi="Book Antiqua" w:cs="Times New Roman"/>
          <w:sz w:val="24"/>
          <w:szCs w:val="24"/>
        </w:rPr>
        <w:t>and old cells expressed</w:t>
      </w:r>
      <w:r w:rsidR="001D1491" w:rsidRPr="00565259">
        <w:rPr>
          <w:rFonts w:ascii="Book Antiqua" w:hAnsi="Book Antiqua" w:cs="Times New Roman"/>
          <w:sz w:val="24"/>
          <w:szCs w:val="24"/>
        </w:rPr>
        <w:t xml:space="preserve"> more CD44</w:t>
      </w:r>
      <w:r w:rsidR="00A24197" w:rsidRPr="00565259">
        <w:rPr>
          <w:rFonts w:ascii="Book Antiqua" w:hAnsi="Book Antiqua" w:cs="Times New Roman"/>
          <w:sz w:val="24"/>
          <w:szCs w:val="24"/>
        </w:rPr>
        <w:t>.</w:t>
      </w:r>
      <w:r w:rsidR="00C17406" w:rsidRPr="00565259">
        <w:rPr>
          <w:rFonts w:ascii="Book Antiqua" w:hAnsi="Book Antiqua" w:cs="Times New Roman"/>
          <w:sz w:val="24"/>
          <w:szCs w:val="24"/>
        </w:rPr>
        <w:t xml:space="preserve"> </w:t>
      </w:r>
      <w:r w:rsidRPr="00565259">
        <w:rPr>
          <w:rFonts w:ascii="Book Antiqua" w:hAnsi="Book Antiqua" w:cs="Times New Roman"/>
          <w:sz w:val="24"/>
          <w:szCs w:val="24"/>
        </w:rPr>
        <w:t xml:space="preserve">The effect of aging </w:t>
      </w:r>
      <w:r w:rsidR="004D2E60" w:rsidRPr="00565259">
        <w:rPr>
          <w:rFonts w:ascii="Book Antiqua" w:hAnsi="Book Antiqua" w:cs="Times New Roman"/>
          <w:sz w:val="24"/>
          <w:szCs w:val="24"/>
        </w:rPr>
        <w:t xml:space="preserve">on </w:t>
      </w:r>
      <w:r w:rsidRPr="00565259">
        <w:rPr>
          <w:rFonts w:ascii="Book Antiqua" w:hAnsi="Book Antiqua" w:cs="Times New Roman"/>
          <w:sz w:val="24"/>
          <w:szCs w:val="24"/>
        </w:rPr>
        <w:t>cell surface marker</w:t>
      </w:r>
      <w:r w:rsidR="004D2E60" w:rsidRPr="00565259">
        <w:rPr>
          <w:rFonts w:ascii="Book Antiqua" w:hAnsi="Book Antiqua" w:cs="Times New Roman"/>
          <w:sz w:val="24"/>
          <w:szCs w:val="24"/>
        </w:rPr>
        <w:t>s</w:t>
      </w:r>
      <w:r w:rsidRPr="00565259">
        <w:rPr>
          <w:rFonts w:ascii="Book Antiqua" w:hAnsi="Book Antiqua" w:cs="Times New Roman"/>
          <w:sz w:val="24"/>
          <w:szCs w:val="24"/>
        </w:rPr>
        <w:t xml:space="preserve"> was also observed by Yu </w:t>
      </w:r>
      <w:r w:rsidRPr="00565259">
        <w:rPr>
          <w:rFonts w:ascii="Book Antiqua" w:hAnsi="Book Antiqua" w:cs="Times New Roman"/>
          <w:i/>
          <w:sz w:val="24"/>
          <w:szCs w:val="24"/>
        </w:rPr>
        <w:t>et al</w:t>
      </w:r>
      <w:r w:rsidR="00A45B26" w:rsidRPr="00565259">
        <w:rPr>
          <w:rFonts w:ascii="Book Antiqua" w:hAnsi="Book Antiqua" w:cs="Times New Roman"/>
          <w:bCs/>
          <w:sz w:val="24"/>
          <w:szCs w:val="24"/>
          <w:vertAlign w:val="superscript"/>
        </w:rPr>
        <w:t>[39]</w:t>
      </w:r>
      <w:r w:rsidRPr="00565259">
        <w:rPr>
          <w:rFonts w:ascii="Book Antiqua" w:hAnsi="Book Antiqua" w:cs="Times New Roman"/>
          <w:sz w:val="24"/>
          <w:szCs w:val="24"/>
        </w:rPr>
        <w:t xml:space="preserve"> in MSCs isolated from </w:t>
      </w:r>
      <w:r w:rsidR="00B2378A" w:rsidRPr="00565259">
        <w:rPr>
          <w:rFonts w:ascii="Book Antiqua" w:hAnsi="Book Antiqua" w:cs="Times New Roman"/>
          <w:sz w:val="24"/>
          <w:szCs w:val="24"/>
        </w:rPr>
        <w:t xml:space="preserve">the </w:t>
      </w:r>
      <w:r w:rsidRPr="00565259">
        <w:rPr>
          <w:rFonts w:ascii="Book Antiqua" w:hAnsi="Book Antiqua" w:cs="Times New Roman"/>
          <w:sz w:val="24"/>
          <w:szCs w:val="24"/>
        </w:rPr>
        <w:t>b</w:t>
      </w:r>
      <w:r w:rsidR="00222EE1" w:rsidRPr="00565259">
        <w:rPr>
          <w:rFonts w:ascii="Book Antiqua" w:hAnsi="Book Antiqua" w:cs="Times New Roman"/>
          <w:sz w:val="24"/>
          <w:szCs w:val="24"/>
        </w:rPr>
        <w:t>one marrow of rhesus macaques</w:t>
      </w:r>
      <w:r w:rsidRPr="00565259">
        <w:rPr>
          <w:rFonts w:ascii="Book Antiqua" w:hAnsi="Book Antiqua" w:cs="Times New Roman"/>
          <w:sz w:val="24"/>
          <w:szCs w:val="24"/>
        </w:rPr>
        <w:t xml:space="preserve">. The MSCs from young and middle-aged individuals had </w:t>
      </w:r>
      <w:r w:rsidR="00206366" w:rsidRPr="00565259">
        <w:rPr>
          <w:rFonts w:ascii="Book Antiqua" w:hAnsi="Book Antiqua" w:cs="Times New Roman"/>
          <w:sz w:val="24"/>
          <w:szCs w:val="24"/>
        </w:rPr>
        <w:t>a higher percentage of</w:t>
      </w:r>
      <w:r w:rsidRPr="00565259">
        <w:rPr>
          <w:rFonts w:ascii="Book Antiqua" w:hAnsi="Book Antiqua" w:cs="Times New Roman"/>
          <w:sz w:val="24"/>
          <w:szCs w:val="24"/>
        </w:rPr>
        <w:t xml:space="preserve"> CD90+ cells than the MSCs derived from older individuals, whereas, the MSCs from older individuals had </w:t>
      </w:r>
      <w:r w:rsidR="00206366" w:rsidRPr="00565259">
        <w:rPr>
          <w:rFonts w:ascii="Book Antiqua" w:hAnsi="Book Antiqua" w:cs="Times New Roman"/>
          <w:sz w:val="24"/>
          <w:szCs w:val="24"/>
        </w:rPr>
        <w:t>a higher percentage of</w:t>
      </w:r>
      <w:r w:rsidRPr="00565259">
        <w:rPr>
          <w:rFonts w:ascii="Book Antiqua" w:hAnsi="Book Antiqua" w:cs="Times New Roman"/>
          <w:sz w:val="24"/>
          <w:szCs w:val="24"/>
        </w:rPr>
        <w:t xml:space="preserve"> CD44+ cells</w:t>
      </w:r>
      <w:r w:rsidR="00D72F05" w:rsidRPr="00565259">
        <w:rPr>
          <w:rFonts w:ascii="Book Antiqua" w:hAnsi="Book Antiqua" w:cs="Times New Roman"/>
          <w:sz w:val="24"/>
          <w:szCs w:val="24"/>
        </w:rPr>
        <w:t>.</w:t>
      </w:r>
    </w:p>
    <w:p w14:paraId="32C97C83" w14:textId="0E8FF4C8" w:rsidR="00991394" w:rsidRPr="00565259" w:rsidRDefault="00991394" w:rsidP="00B83DB9">
      <w:pPr>
        <w:tabs>
          <w:tab w:val="left" w:pos="720"/>
        </w:tabs>
        <w:spacing w:after="0" w:line="360" w:lineRule="auto"/>
        <w:ind w:firstLineChars="100" w:firstLine="240"/>
        <w:jc w:val="both"/>
        <w:rPr>
          <w:rFonts w:ascii="Book Antiqua" w:hAnsi="Book Antiqua" w:cs="Times New Roman"/>
          <w:sz w:val="24"/>
          <w:szCs w:val="24"/>
        </w:rPr>
      </w:pPr>
      <w:r w:rsidRPr="00565259">
        <w:rPr>
          <w:rFonts w:ascii="Book Antiqua" w:hAnsi="Book Antiqua" w:cs="Times New Roman"/>
          <w:sz w:val="24"/>
          <w:szCs w:val="24"/>
        </w:rPr>
        <w:t>The proliferative potential of MSC</w:t>
      </w:r>
      <w:r w:rsidR="00206366" w:rsidRPr="00565259">
        <w:rPr>
          <w:rFonts w:ascii="Book Antiqua" w:hAnsi="Book Antiqua" w:cs="Times New Roman"/>
          <w:sz w:val="24"/>
          <w:szCs w:val="24"/>
        </w:rPr>
        <w:t xml:space="preserve">s also declines with age. The </w:t>
      </w:r>
      <w:r w:rsidRPr="00565259">
        <w:rPr>
          <w:rFonts w:ascii="Book Antiqua" w:hAnsi="Book Antiqua" w:cs="Times New Roman"/>
          <w:sz w:val="24"/>
          <w:szCs w:val="24"/>
        </w:rPr>
        <w:t xml:space="preserve">doubling times in MSCs isolated from human bone marrow </w:t>
      </w:r>
      <w:r w:rsidR="00206366" w:rsidRPr="00565259">
        <w:rPr>
          <w:rFonts w:ascii="Book Antiqua" w:hAnsi="Book Antiqua" w:cs="Times New Roman"/>
          <w:sz w:val="24"/>
          <w:szCs w:val="24"/>
        </w:rPr>
        <w:t xml:space="preserve">was </w:t>
      </w:r>
      <w:r w:rsidRPr="00565259">
        <w:rPr>
          <w:rFonts w:ascii="Book Antiqua" w:hAnsi="Book Antiqua" w:cs="Times New Roman"/>
          <w:sz w:val="24"/>
          <w:szCs w:val="24"/>
        </w:rPr>
        <w:t xml:space="preserve">0.9 </w:t>
      </w:r>
      <w:r w:rsidR="00206366" w:rsidRPr="00565259">
        <w:rPr>
          <w:rFonts w:ascii="Book Antiqua" w:hAnsi="Book Antiqua" w:cs="Times New Roman"/>
          <w:sz w:val="24"/>
          <w:szCs w:val="24"/>
        </w:rPr>
        <w:t xml:space="preserve">and </w:t>
      </w:r>
      <w:r w:rsidR="00B52403" w:rsidRPr="00565259">
        <w:rPr>
          <w:rFonts w:ascii="Book Antiqua" w:hAnsi="Book Antiqua" w:cs="Times New Roman"/>
          <w:sz w:val="24"/>
          <w:szCs w:val="24"/>
        </w:rPr>
        <w:t xml:space="preserve">1.7 </w:t>
      </w:r>
      <w:r w:rsidRPr="00565259">
        <w:rPr>
          <w:rFonts w:ascii="Book Antiqua" w:hAnsi="Book Antiqua" w:cs="Times New Roman"/>
          <w:sz w:val="24"/>
          <w:szCs w:val="24"/>
        </w:rPr>
        <w:t xml:space="preserve">days in </w:t>
      </w:r>
      <w:r w:rsidR="00222EE1" w:rsidRPr="00565259">
        <w:rPr>
          <w:rFonts w:ascii="Book Antiqua" w:hAnsi="Book Antiqua" w:cs="Times New Roman"/>
          <w:sz w:val="24"/>
          <w:szCs w:val="24"/>
        </w:rPr>
        <w:t>cells</w:t>
      </w:r>
      <w:r w:rsidRPr="00565259">
        <w:rPr>
          <w:rFonts w:ascii="Book Antiqua" w:hAnsi="Book Antiqua" w:cs="Times New Roman"/>
          <w:sz w:val="24"/>
          <w:szCs w:val="24"/>
        </w:rPr>
        <w:t xml:space="preserve"> from younger</w:t>
      </w:r>
      <w:r w:rsidR="00B52403" w:rsidRPr="00565259">
        <w:rPr>
          <w:rFonts w:ascii="Book Antiqua" w:hAnsi="Book Antiqua" w:cs="Times New Roman"/>
          <w:sz w:val="24"/>
          <w:szCs w:val="24"/>
        </w:rPr>
        <w:t xml:space="preserve"> and older</w:t>
      </w:r>
      <w:r w:rsidRPr="00565259">
        <w:rPr>
          <w:rFonts w:ascii="Book Antiqua" w:hAnsi="Book Antiqua" w:cs="Times New Roman"/>
          <w:sz w:val="24"/>
          <w:szCs w:val="24"/>
        </w:rPr>
        <w:t xml:space="preserve"> individuals</w:t>
      </w:r>
      <w:r w:rsidR="00B52403" w:rsidRPr="00565259">
        <w:rPr>
          <w:rFonts w:ascii="Book Antiqua" w:hAnsi="Book Antiqua" w:cs="Times New Roman"/>
          <w:sz w:val="24"/>
          <w:szCs w:val="24"/>
        </w:rPr>
        <w:t>, respectively</w:t>
      </w:r>
      <w:r w:rsidR="00FE4360" w:rsidRPr="00565259">
        <w:rPr>
          <w:rFonts w:ascii="Book Antiqua" w:hAnsi="Book Antiqua" w:cs="Times New Roman"/>
          <w:bCs/>
          <w:sz w:val="24"/>
          <w:szCs w:val="24"/>
          <w:vertAlign w:val="superscript"/>
        </w:rPr>
        <w:t>[40]</w:t>
      </w:r>
      <w:r w:rsidR="00A24197" w:rsidRPr="00565259">
        <w:rPr>
          <w:rFonts w:ascii="Book Antiqua" w:hAnsi="Book Antiqua" w:cs="Times New Roman"/>
          <w:sz w:val="24"/>
          <w:szCs w:val="24"/>
        </w:rPr>
        <w:t>.</w:t>
      </w:r>
      <w:r w:rsidRPr="00565259">
        <w:rPr>
          <w:rFonts w:ascii="Book Antiqua" w:hAnsi="Book Antiqua" w:cs="Times New Roman"/>
          <w:sz w:val="24"/>
          <w:szCs w:val="24"/>
        </w:rPr>
        <w:t xml:space="preserve"> This</w:t>
      </w:r>
      <w:r w:rsidR="00222EE1" w:rsidRPr="00565259">
        <w:rPr>
          <w:rFonts w:ascii="Book Antiqua" w:hAnsi="Book Antiqua" w:cs="Times New Roman"/>
          <w:sz w:val="24"/>
          <w:szCs w:val="24"/>
        </w:rPr>
        <w:t xml:space="preserve"> increase in cell doubling time with age</w:t>
      </w:r>
      <w:r w:rsidRPr="00565259">
        <w:rPr>
          <w:rFonts w:ascii="Book Antiqua" w:hAnsi="Book Antiqua" w:cs="Times New Roman"/>
          <w:sz w:val="24"/>
          <w:szCs w:val="24"/>
        </w:rPr>
        <w:t xml:space="preserve"> was also observed in MSC</w:t>
      </w:r>
      <w:r w:rsidR="00B52403" w:rsidRPr="00565259">
        <w:rPr>
          <w:rFonts w:ascii="Book Antiqua" w:hAnsi="Book Antiqua" w:cs="Times New Roman"/>
          <w:sz w:val="24"/>
          <w:szCs w:val="24"/>
        </w:rPr>
        <w:t xml:space="preserve">s isolated from adipose tissue; </w:t>
      </w:r>
      <w:r w:rsidRPr="00565259">
        <w:rPr>
          <w:rFonts w:ascii="Book Antiqua" w:hAnsi="Book Antiqua" w:cs="Times New Roman"/>
          <w:sz w:val="24"/>
          <w:szCs w:val="24"/>
        </w:rPr>
        <w:t>cell doubling times increase</w:t>
      </w:r>
      <w:r w:rsidR="00B2378A" w:rsidRPr="00565259">
        <w:rPr>
          <w:rFonts w:ascii="Book Antiqua" w:hAnsi="Book Antiqua" w:cs="Times New Roman"/>
          <w:sz w:val="24"/>
          <w:szCs w:val="24"/>
        </w:rPr>
        <w:t>d</w:t>
      </w:r>
      <w:r w:rsidRPr="00565259">
        <w:rPr>
          <w:rFonts w:ascii="Book Antiqua" w:hAnsi="Book Antiqua" w:cs="Times New Roman"/>
          <w:sz w:val="24"/>
          <w:szCs w:val="24"/>
        </w:rPr>
        <w:t xml:space="preserve"> from approximately </w:t>
      </w:r>
      <w:r w:rsidR="00222EE1" w:rsidRPr="00565259">
        <w:rPr>
          <w:rFonts w:ascii="Book Antiqua" w:hAnsi="Book Antiqua" w:cs="Times New Roman"/>
          <w:sz w:val="24"/>
          <w:szCs w:val="24"/>
        </w:rPr>
        <w:t>2.6 d</w:t>
      </w:r>
      <w:r w:rsidRPr="00565259">
        <w:rPr>
          <w:rFonts w:ascii="Book Antiqua" w:hAnsi="Book Antiqua" w:cs="Times New Roman"/>
          <w:sz w:val="24"/>
          <w:szCs w:val="24"/>
        </w:rPr>
        <w:t xml:space="preserve"> in MSCs from younger individuals to </w:t>
      </w:r>
      <w:r w:rsidR="00222EE1" w:rsidRPr="00565259">
        <w:rPr>
          <w:rFonts w:ascii="Book Antiqua" w:hAnsi="Book Antiqua" w:cs="Times New Roman"/>
          <w:sz w:val="24"/>
          <w:szCs w:val="24"/>
        </w:rPr>
        <w:t>3.8 d in MSCs from</w:t>
      </w:r>
      <w:r w:rsidRPr="00565259">
        <w:rPr>
          <w:rFonts w:ascii="Book Antiqua" w:hAnsi="Book Antiqua" w:cs="Times New Roman"/>
          <w:sz w:val="24"/>
          <w:szCs w:val="24"/>
        </w:rPr>
        <w:t xml:space="preserve"> older individuals</w:t>
      </w:r>
      <w:r w:rsidR="00FE4360" w:rsidRPr="00565259">
        <w:rPr>
          <w:rFonts w:ascii="Book Antiqua" w:hAnsi="Book Antiqua" w:cs="Times New Roman"/>
          <w:bCs/>
          <w:sz w:val="24"/>
          <w:szCs w:val="24"/>
          <w:vertAlign w:val="superscript"/>
        </w:rPr>
        <w:t>[41,42]</w:t>
      </w:r>
      <w:r w:rsidR="00A24197" w:rsidRPr="00565259">
        <w:rPr>
          <w:rFonts w:ascii="Book Antiqua" w:hAnsi="Book Antiqua" w:cs="Times New Roman"/>
          <w:sz w:val="24"/>
          <w:szCs w:val="24"/>
        </w:rPr>
        <w:t>.</w:t>
      </w:r>
      <w:r w:rsidR="00222EE1" w:rsidRPr="00565259">
        <w:rPr>
          <w:rFonts w:ascii="Book Antiqua" w:hAnsi="Book Antiqua" w:cs="Times New Roman"/>
          <w:sz w:val="24"/>
          <w:szCs w:val="24"/>
        </w:rPr>
        <w:t xml:space="preserve"> The p</w:t>
      </w:r>
      <w:r w:rsidRPr="00565259">
        <w:rPr>
          <w:rFonts w:ascii="Book Antiqua" w:hAnsi="Book Antiqua" w:cs="Times New Roman"/>
          <w:sz w:val="24"/>
          <w:szCs w:val="24"/>
        </w:rPr>
        <w:t xml:space="preserve">roliferation rate was also reduced in MSCs isolated from mouse bone marrow by 20% </w:t>
      </w:r>
      <w:r w:rsidR="00B52403" w:rsidRPr="00565259">
        <w:rPr>
          <w:rFonts w:ascii="Book Antiqua" w:hAnsi="Book Antiqua" w:cs="Times New Roman"/>
          <w:sz w:val="24"/>
          <w:szCs w:val="24"/>
        </w:rPr>
        <w:t>in older anim</w:t>
      </w:r>
      <w:r w:rsidR="00A24197" w:rsidRPr="00565259">
        <w:rPr>
          <w:rFonts w:ascii="Book Antiqua" w:hAnsi="Book Antiqua" w:cs="Times New Roman"/>
          <w:sz w:val="24"/>
          <w:szCs w:val="24"/>
        </w:rPr>
        <w:t>als</w:t>
      </w:r>
      <w:r w:rsidR="00FE4360" w:rsidRPr="00565259">
        <w:rPr>
          <w:rFonts w:ascii="Book Antiqua" w:hAnsi="Book Antiqua" w:cs="Times New Roman"/>
          <w:bCs/>
          <w:sz w:val="24"/>
          <w:szCs w:val="24"/>
          <w:vertAlign w:val="superscript"/>
        </w:rPr>
        <w:t>[44]</w:t>
      </w:r>
      <w:r w:rsidR="00A24197" w:rsidRPr="00565259">
        <w:rPr>
          <w:rFonts w:ascii="Book Antiqua" w:hAnsi="Book Antiqua" w:cs="Times New Roman"/>
          <w:sz w:val="24"/>
          <w:szCs w:val="24"/>
        </w:rPr>
        <w:t>.</w:t>
      </w:r>
    </w:p>
    <w:p w14:paraId="43280094" w14:textId="469F7090" w:rsidR="00683DDA" w:rsidRPr="00565259" w:rsidRDefault="00991394" w:rsidP="00B83DB9">
      <w:pPr>
        <w:tabs>
          <w:tab w:val="left" w:pos="720"/>
        </w:tabs>
        <w:spacing w:after="0" w:line="360" w:lineRule="auto"/>
        <w:ind w:firstLineChars="100" w:firstLine="240"/>
        <w:jc w:val="both"/>
        <w:rPr>
          <w:rFonts w:ascii="Book Antiqua" w:hAnsi="Book Antiqua" w:cs="Times New Roman"/>
          <w:sz w:val="24"/>
          <w:szCs w:val="24"/>
        </w:rPr>
      </w:pPr>
      <w:r w:rsidRPr="00565259">
        <w:rPr>
          <w:rFonts w:ascii="Book Antiqua" w:hAnsi="Book Antiqua" w:cs="Times New Roman"/>
          <w:sz w:val="24"/>
          <w:szCs w:val="24"/>
        </w:rPr>
        <w:t xml:space="preserve">The age of the patients not only affects the number and proliferative potential of MSCs but also their </w:t>
      </w:r>
      <w:r w:rsidR="00222EE1" w:rsidRPr="00565259">
        <w:rPr>
          <w:rFonts w:ascii="Book Antiqua" w:hAnsi="Book Antiqua" w:cs="Times New Roman"/>
          <w:sz w:val="24"/>
          <w:szCs w:val="24"/>
        </w:rPr>
        <w:t xml:space="preserve">ability to </w:t>
      </w:r>
      <w:r w:rsidR="00E23E3B" w:rsidRPr="00565259">
        <w:rPr>
          <w:rFonts w:ascii="Book Antiqua" w:hAnsi="Book Antiqua" w:cs="Times New Roman"/>
          <w:sz w:val="24"/>
          <w:szCs w:val="24"/>
        </w:rPr>
        <w:t>migrate</w:t>
      </w:r>
      <w:r w:rsidRPr="00565259">
        <w:rPr>
          <w:rFonts w:ascii="Book Antiqua" w:hAnsi="Book Antiqua" w:cs="Times New Roman"/>
          <w:sz w:val="24"/>
          <w:szCs w:val="24"/>
        </w:rPr>
        <w:t xml:space="preserve"> to the site of injury, which plays an important role in their regenerative function. It was observed that MSCs from older rats showed lower motility on uncoated </w:t>
      </w:r>
      <w:r w:rsidR="00E23E3B" w:rsidRPr="00565259">
        <w:rPr>
          <w:rFonts w:ascii="Book Antiqua" w:hAnsi="Book Antiqua" w:cs="Times New Roman"/>
          <w:sz w:val="24"/>
          <w:szCs w:val="24"/>
        </w:rPr>
        <w:t>filters than those from younger animals</w:t>
      </w:r>
      <w:r w:rsidR="00FE4360" w:rsidRPr="00565259">
        <w:rPr>
          <w:rFonts w:ascii="Book Antiqua" w:hAnsi="Book Antiqua" w:cs="Times New Roman"/>
          <w:bCs/>
          <w:sz w:val="24"/>
          <w:szCs w:val="24"/>
          <w:vertAlign w:val="superscript"/>
        </w:rPr>
        <w:t>[47]</w:t>
      </w:r>
      <w:r w:rsidR="00A24197" w:rsidRPr="00565259">
        <w:rPr>
          <w:rFonts w:ascii="Book Antiqua" w:hAnsi="Book Antiqua" w:cs="Times New Roman"/>
          <w:sz w:val="24"/>
          <w:szCs w:val="24"/>
        </w:rPr>
        <w:t>.</w:t>
      </w:r>
      <w:r w:rsidRPr="00565259">
        <w:rPr>
          <w:rFonts w:ascii="Book Antiqua" w:hAnsi="Book Antiqua" w:cs="Times New Roman"/>
          <w:sz w:val="24"/>
          <w:szCs w:val="24"/>
        </w:rPr>
        <w:t xml:space="preserve"> </w:t>
      </w:r>
      <w:r w:rsidR="003543E3" w:rsidRPr="00565259">
        <w:rPr>
          <w:rFonts w:ascii="Book Antiqua" w:hAnsi="Book Antiqua" w:cs="Times New Roman"/>
          <w:sz w:val="24"/>
          <w:szCs w:val="24"/>
        </w:rPr>
        <w:t>In a different study</w:t>
      </w:r>
      <w:r w:rsidR="00735A5C" w:rsidRPr="00565259">
        <w:rPr>
          <w:rFonts w:ascii="Book Antiqua" w:hAnsi="Book Antiqua" w:cs="Times New Roman"/>
          <w:sz w:val="24"/>
          <w:szCs w:val="24"/>
        </w:rPr>
        <w:t xml:space="preserve">, </w:t>
      </w:r>
      <w:r w:rsidR="00F03CE4" w:rsidRPr="00565259">
        <w:rPr>
          <w:rFonts w:ascii="Book Antiqua" w:hAnsi="Book Antiqua" w:cs="Times New Roman"/>
          <w:sz w:val="24"/>
          <w:szCs w:val="24"/>
        </w:rPr>
        <w:t xml:space="preserve">twice as many </w:t>
      </w:r>
      <w:r w:rsidR="00735A5C" w:rsidRPr="00565259">
        <w:rPr>
          <w:rFonts w:ascii="Book Antiqua" w:hAnsi="Book Antiqua" w:cs="Times New Roman"/>
          <w:sz w:val="24"/>
          <w:szCs w:val="24"/>
        </w:rPr>
        <w:t>bone marrow</w:t>
      </w:r>
      <w:r w:rsidR="00F03CE4" w:rsidRPr="00565259">
        <w:rPr>
          <w:rFonts w:ascii="Book Antiqua" w:hAnsi="Book Antiqua" w:cs="Times New Roman"/>
          <w:sz w:val="24"/>
          <w:szCs w:val="24"/>
        </w:rPr>
        <w:t>-derived</w:t>
      </w:r>
      <w:r w:rsidR="00735A5C" w:rsidRPr="00565259">
        <w:rPr>
          <w:rFonts w:ascii="Book Antiqua" w:hAnsi="Book Antiqua" w:cs="Times New Roman"/>
          <w:sz w:val="24"/>
          <w:szCs w:val="24"/>
        </w:rPr>
        <w:t xml:space="preserve"> MSCs from younger rats migrated towards </w:t>
      </w:r>
      <w:r w:rsidR="00B2378A" w:rsidRPr="00565259">
        <w:rPr>
          <w:rFonts w:ascii="Book Antiqua" w:hAnsi="Book Antiqua" w:cs="Times New Roman"/>
          <w:sz w:val="24"/>
          <w:szCs w:val="24"/>
        </w:rPr>
        <w:t xml:space="preserve">the </w:t>
      </w:r>
      <w:r w:rsidR="00735A5C" w:rsidRPr="00565259">
        <w:rPr>
          <w:rFonts w:ascii="Book Antiqua" w:hAnsi="Book Antiqua" w:cs="Times New Roman"/>
          <w:sz w:val="24"/>
          <w:szCs w:val="24"/>
        </w:rPr>
        <w:t xml:space="preserve">chemokine SDF-1 </w:t>
      </w:r>
      <w:r w:rsidR="00F03CE4" w:rsidRPr="00565259">
        <w:rPr>
          <w:rFonts w:ascii="Book Antiqua" w:hAnsi="Book Antiqua" w:cs="Times New Roman"/>
          <w:sz w:val="24"/>
          <w:szCs w:val="24"/>
        </w:rPr>
        <w:t>as those from older rats</w:t>
      </w:r>
      <w:r w:rsidR="00FE4360" w:rsidRPr="00565259">
        <w:rPr>
          <w:rFonts w:ascii="Book Antiqua" w:hAnsi="Book Antiqua" w:cs="Times New Roman"/>
          <w:bCs/>
          <w:sz w:val="24"/>
          <w:szCs w:val="24"/>
          <w:vertAlign w:val="superscript"/>
        </w:rPr>
        <w:t>[48]</w:t>
      </w:r>
      <w:r w:rsidR="00A24197" w:rsidRPr="00565259">
        <w:rPr>
          <w:rFonts w:ascii="Book Antiqua" w:hAnsi="Book Antiqua" w:cs="Times New Roman"/>
          <w:sz w:val="24"/>
          <w:szCs w:val="24"/>
        </w:rPr>
        <w:t>.</w:t>
      </w:r>
      <w:r w:rsidR="005162DD" w:rsidRPr="00565259">
        <w:rPr>
          <w:rFonts w:ascii="Book Antiqua" w:hAnsi="Book Antiqua" w:cs="Times New Roman"/>
          <w:sz w:val="24"/>
          <w:szCs w:val="24"/>
        </w:rPr>
        <w:t xml:space="preserve"> </w:t>
      </w:r>
      <w:r w:rsidRPr="00565259">
        <w:rPr>
          <w:rFonts w:ascii="Book Antiqua" w:hAnsi="Book Antiqua" w:cs="Times New Roman"/>
          <w:sz w:val="24"/>
          <w:szCs w:val="24"/>
        </w:rPr>
        <w:t xml:space="preserve">The decrease in the motility or migration potential of old MSCs </w:t>
      </w:r>
      <w:r w:rsidR="00735A5C" w:rsidRPr="00565259">
        <w:rPr>
          <w:rFonts w:ascii="Book Antiqua" w:hAnsi="Book Antiqua" w:cs="Times New Roman"/>
          <w:sz w:val="24"/>
          <w:szCs w:val="24"/>
        </w:rPr>
        <w:t xml:space="preserve">may be </w:t>
      </w:r>
      <w:r w:rsidRPr="00565259">
        <w:rPr>
          <w:rFonts w:ascii="Book Antiqua" w:hAnsi="Book Antiqua" w:cs="Times New Roman"/>
          <w:sz w:val="24"/>
          <w:szCs w:val="24"/>
        </w:rPr>
        <w:t xml:space="preserve">due to </w:t>
      </w:r>
      <w:r w:rsidR="00F03CE4" w:rsidRPr="00565259">
        <w:rPr>
          <w:rFonts w:ascii="Book Antiqua" w:hAnsi="Book Antiqua" w:cs="Times New Roman"/>
          <w:sz w:val="24"/>
          <w:szCs w:val="24"/>
        </w:rPr>
        <w:t xml:space="preserve">their </w:t>
      </w:r>
      <w:r w:rsidRPr="00565259">
        <w:rPr>
          <w:rFonts w:ascii="Book Antiqua" w:hAnsi="Book Antiqua" w:cs="Times New Roman"/>
          <w:sz w:val="24"/>
          <w:szCs w:val="24"/>
        </w:rPr>
        <w:t xml:space="preserve">decreased expression of </w:t>
      </w:r>
      <w:r w:rsidR="00735A5C" w:rsidRPr="00565259">
        <w:rPr>
          <w:rFonts w:ascii="Book Antiqua" w:hAnsi="Book Antiqua" w:cs="Times New Roman"/>
          <w:sz w:val="24"/>
          <w:szCs w:val="24"/>
        </w:rPr>
        <w:t>chemokine receptors</w:t>
      </w:r>
      <w:r w:rsidR="00FE4360" w:rsidRPr="00565259">
        <w:rPr>
          <w:rFonts w:ascii="Book Antiqua" w:hAnsi="Book Antiqua" w:cs="Times New Roman"/>
          <w:bCs/>
          <w:sz w:val="24"/>
          <w:szCs w:val="24"/>
          <w:vertAlign w:val="superscript"/>
        </w:rPr>
        <w:t>[48,49]</w:t>
      </w:r>
      <w:r w:rsidR="00A24197" w:rsidRPr="00565259">
        <w:rPr>
          <w:rFonts w:ascii="Book Antiqua" w:hAnsi="Book Antiqua" w:cs="Times New Roman"/>
          <w:sz w:val="24"/>
          <w:szCs w:val="24"/>
        </w:rPr>
        <w:t>.</w:t>
      </w:r>
      <w:r w:rsidRPr="00565259">
        <w:rPr>
          <w:rFonts w:ascii="Book Antiqua" w:hAnsi="Book Antiqua" w:cs="Times New Roman"/>
          <w:sz w:val="24"/>
          <w:szCs w:val="24"/>
        </w:rPr>
        <w:t xml:space="preserve"> In an interesting study on the effect of age on bone marrow microenvironment and migra</w:t>
      </w:r>
      <w:r w:rsidR="006F439A" w:rsidRPr="00565259">
        <w:rPr>
          <w:rFonts w:ascii="Book Antiqua" w:hAnsi="Book Antiqua" w:cs="Times New Roman"/>
          <w:sz w:val="24"/>
          <w:szCs w:val="24"/>
        </w:rPr>
        <w:t xml:space="preserve">tion of MSCs, Yang </w:t>
      </w:r>
      <w:r w:rsidR="006F439A" w:rsidRPr="00565259">
        <w:rPr>
          <w:rFonts w:ascii="Book Antiqua" w:hAnsi="Book Antiqua" w:cs="Times New Roman"/>
          <w:i/>
          <w:sz w:val="24"/>
          <w:szCs w:val="24"/>
        </w:rPr>
        <w:t>et al</w:t>
      </w:r>
      <w:r w:rsidR="00A45B26" w:rsidRPr="00565259">
        <w:rPr>
          <w:rFonts w:ascii="Book Antiqua" w:hAnsi="Book Antiqua" w:cs="Times New Roman"/>
          <w:bCs/>
          <w:sz w:val="24"/>
          <w:szCs w:val="24"/>
          <w:vertAlign w:val="superscript"/>
        </w:rPr>
        <w:t>[50]</w:t>
      </w:r>
      <w:r w:rsidRPr="00565259">
        <w:rPr>
          <w:rFonts w:ascii="Book Antiqua" w:hAnsi="Book Antiqua" w:cs="Times New Roman"/>
          <w:sz w:val="24"/>
          <w:szCs w:val="24"/>
        </w:rPr>
        <w:t xml:space="preserve"> found that </w:t>
      </w:r>
      <w:r w:rsidR="00F03CE4" w:rsidRPr="00565259">
        <w:rPr>
          <w:rFonts w:ascii="Book Antiqua" w:hAnsi="Book Antiqua" w:cs="Times New Roman"/>
          <w:sz w:val="24"/>
          <w:szCs w:val="24"/>
        </w:rPr>
        <w:t xml:space="preserve">co-culture with </w:t>
      </w:r>
      <w:r w:rsidRPr="00565259">
        <w:rPr>
          <w:rFonts w:ascii="Book Antiqua" w:hAnsi="Book Antiqua" w:cs="Times New Roman"/>
          <w:sz w:val="24"/>
          <w:szCs w:val="24"/>
        </w:rPr>
        <w:t xml:space="preserve">bone </w:t>
      </w:r>
      <w:r w:rsidR="00F03CE4" w:rsidRPr="00565259">
        <w:rPr>
          <w:rFonts w:ascii="Book Antiqua" w:hAnsi="Book Antiqua" w:cs="Times New Roman"/>
          <w:sz w:val="24"/>
          <w:szCs w:val="24"/>
        </w:rPr>
        <w:t>m</w:t>
      </w:r>
      <w:r w:rsidRPr="00565259">
        <w:rPr>
          <w:rFonts w:ascii="Book Antiqua" w:hAnsi="Book Antiqua" w:cs="Times New Roman"/>
          <w:sz w:val="24"/>
          <w:szCs w:val="24"/>
        </w:rPr>
        <w:t xml:space="preserve">arrow aspirate from old mice reduced the migration of </w:t>
      </w:r>
      <w:r w:rsidR="00F03CE4" w:rsidRPr="00565259">
        <w:rPr>
          <w:rFonts w:ascii="Book Antiqua" w:hAnsi="Book Antiqua" w:cs="Times New Roman"/>
          <w:sz w:val="24"/>
          <w:szCs w:val="24"/>
        </w:rPr>
        <w:t>an MSC cell line</w:t>
      </w:r>
      <w:r w:rsidR="00A24197" w:rsidRPr="00565259">
        <w:rPr>
          <w:rFonts w:ascii="Book Antiqua" w:hAnsi="Book Antiqua" w:cs="Times New Roman"/>
          <w:sz w:val="24"/>
          <w:szCs w:val="24"/>
        </w:rPr>
        <w:t>.</w:t>
      </w:r>
      <w:r w:rsidR="00F03CE4" w:rsidRPr="00565259">
        <w:rPr>
          <w:rFonts w:ascii="Book Antiqua" w:hAnsi="Book Antiqua" w:cs="Times New Roman"/>
          <w:sz w:val="24"/>
          <w:szCs w:val="24"/>
        </w:rPr>
        <w:t xml:space="preserve"> </w:t>
      </w:r>
      <w:r w:rsidRPr="00565259">
        <w:rPr>
          <w:rFonts w:ascii="Book Antiqua" w:hAnsi="Book Antiqua" w:cs="Times New Roman"/>
          <w:sz w:val="24"/>
          <w:szCs w:val="24"/>
        </w:rPr>
        <w:t>The authors also found that the bone marrow aspirate from older mice expressed less SDF-1</w:t>
      </w:r>
      <w:r w:rsidR="00FE4360" w:rsidRPr="00565259">
        <w:rPr>
          <w:rFonts w:ascii="Book Antiqua" w:hAnsi="Book Antiqua" w:cs="Times New Roman"/>
          <w:bCs/>
          <w:sz w:val="24"/>
          <w:szCs w:val="24"/>
          <w:vertAlign w:val="superscript"/>
        </w:rPr>
        <w:t>[50]</w:t>
      </w:r>
      <w:r w:rsidR="00A24197" w:rsidRPr="00565259">
        <w:rPr>
          <w:rFonts w:ascii="Book Antiqua" w:hAnsi="Book Antiqua" w:cs="Times New Roman"/>
          <w:sz w:val="24"/>
          <w:szCs w:val="24"/>
        </w:rPr>
        <w:t>.</w:t>
      </w:r>
      <w:r w:rsidRPr="00565259">
        <w:rPr>
          <w:rFonts w:ascii="Book Antiqua" w:hAnsi="Book Antiqua" w:cs="Times New Roman"/>
          <w:sz w:val="24"/>
          <w:szCs w:val="24"/>
        </w:rPr>
        <w:t xml:space="preserve"> </w:t>
      </w:r>
      <w:r w:rsidR="006F439A" w:rsidRPr="00565259">
        <w:rPr>
          <w:rFonts w:ascii="Book Antiqua" w:hAnsi="Book Antiqua" w:cs="Times New Roman"/>
          <w:sz w:val="24"/>
          <w:szCs w:val="24"/>
        </w:rPr>
        <w:t>Together</w:t>
      </w:r>
      <w:r w:rsidRPr="00565259">
        <w:rPr>
          <w:rFonts w:ascii="Book Antiqua" w:hAnsi="Book Antiqua" w:cs="Times New Roman"/>
          <w:sz w:val="24"/>
          <w:szCs w:val="24"/>
        </w:rPr>
        <w:t>, the</w:t>
      </w:r>
      <w:r w:rsidR="006F439A" w:rsidRPr="00565259">
        <w:rPr>
          <w:rFonts w:ascii="Book Antiqua" w:hAnsi="Book Antiqua" w:cs="Times New Roman"/>
          <w:sz w:val="24"/>
          <w:szCs w:val="24"/>
        </w:rPr>
        <w:t xml:space="preserve">se studies suggest that the </w:t>
      </w:r>
      <w:r w:rsidRPr="00565259">
        <w:rPr>
          <w:rFonts w:ascii="Book Antiqua" w:hAnsi="Book Antiqua" w:cs="Times New Roman"/>
          <w:sz w:val="24"/>
          <w:szCs w:val="24"/>
        </w:rPr>
        <w:t xml:space="preserve">reduced migratory potential </w:t>
      </w:r>
      <w:r w:rsidR="006F439A" w:rsidRPr="00565259">
        <w:rPr>
          <w:rFonts w:ascii="Book Antiqua" w:hAnsi="Book Antiqua" w:cs="Times New Roman"/>
          <w:sz w:val="24"/>
          <w:szCs w:val="24"/>
        </w:rPr>
        <w:t xml:space="preserve">of MSCs from </w:t>
      </w:r>
      <w:r w:rsidRPr="00565259">
        <w:rPr>
          <w:rFonts w:ascii="Book Antiqua" w:hAnsi="Book Antiqua" w:cs="Times New Roman"/>
          <w:sz w:val="24"/>
          <w:szCs w:val="24"/>
        </w:rPr>
        <w:t xml:space="preserve">in older individuals </w:t>
      </w:r>
      <w:r w:rsidR="006F439A" w:rsidRPr="00565259">
        <w:rPr>
          <w:rFonts w:ascii="Book Antiqua" w:hAnsi="Book Antiqua" w:cs="Times New Roman"/>
          <w:sz w:val="24"/>
          <w:szCs w:val="24"/>
        </w:rPr>
        <w:t>may be</w:t>
      </w:r>
      <w:r w:rsidRPr="00565259">
        <w:rPr>
          <w:rFonts w:ascii="Book Antiqua" w:hAnsi="Book Antiqua" w:cs="Times New Roman"/>
          <w:sz w:val="24"/>
          <w:szCs w:val="24"/>
        </w:rPr>
        <w:t xml:space="preserve"> due reduction</w:t>
      </w:r>
      <w:r w:rsidR="00FC286D" w:rsidRPr="00565259">
        <w:rPr>
          <w:rFonts w:ascii="Book Antiqua" w:hAnsi="Book Antiqua" w:cs="Times New Roman"/>
          <w:sz w:val="24"/>
          <w:szCs w:val="24"/>
        </w:rPr>
        <w:t>s</w:t>
      </w:r>
      <w:r w:rsidRPr="00565259">
        <w:rPr>
          <w:rFonts w:ascii="Book Antiqua" w:hAnsi="Book Antiqua" w:cs="Times New Roman"/>
          <w:sz w:val="24"/>
          <w:szCs w:val="24"/>
        </w:rPr>
        <w:t xml:space="preserve"> in </w:t>
      </w:r>
      <w:r w:rsidR="00FC286D" w:rsidRPr="00565259">
        <w:rPr>
          <w:rFonts w:ascii="Book Antiqua" w:hAnsi="Book Antiqua" w:cs="Times New Roman"/>
          <w:sz w:val="24"/>
          <w:szCs w:val="24"/>
        </w:rPr>
        <w:t xml:space="preserve">both </w:t>
      </w:r>
      <w:r w:rsidRPr="00565259">
        <w:rPr>
          <w:rFonts w:ascii="Book Antiqua" w:hAnsi="Book Antiqua" w:cs="Times New Roman"/>
          <w:sz w:val="24"/>
          <w:szCs w:val="24"/>
        </w:rPr>
        <w:t xml:space="preserve">the </w:t>
      </w:r>
      <w:r w:rsidR="003543E3" w:rsidRPr="00565259">
        <w:rPr>
          <w:rFonts w:ascii="Book Antiqua" w:hAnsi="Book Antiqua" w:cs="Times New Roman"/>
          <w:sz w:val="24"/>
          <w:szCs w:val="24"/>
        </w:rPr>
        <w:t xml:space="preserve">MSC </w:t>
      </w:r>
      <w:r w:rsidRPr="00565259">
        <w:rPr>
          <w:rFonts w:ascii="Book Antiqua" w:hAnsi="Book Antiqua" w:cs="Times New Roman"/>
          <w:sz w:val="24"/>
          <w:szCs w:val="24"/>
        </w:rPr>
        <w:t xml:space="preserve">expression of chemotactic </w:t>
      </w:r>
      <w:r w:rsidR="003543E3" w:rsidRPr="00565259">
        <w:rPr>
          <w:rFonts w:ascii="Book Antiqua" w:hAnsi="Book Antiqua" w:cs="Times New Roman"/>
          <w:sz w:val="24"/>
          <w:szCs w:val="24"/>
        </w:rPr>
        <w:t>receptor</w:t>
      </w:r>
      <w:r w:rsidR="006F439A" w:rsidRPr="00565259">
        <w:rPr>
          <w:rFonts w:ascii="Book Antiqua" w:hAnsi="Book Antiqua" w:cs="Times New Roman"/>
          <w:sz w:val="24"/>
          <w:szCs w:val="24"/>
        </w:rPr>
        <w:t>s</w:t>
      </w:r>
      <w:r w:rsidRPr="00565259">
        <w:rPr>
          <w:rFonts w:ascii="Book Antiqua" w:hAnsi="Book Antiqua" w:cs="Times New Roman"/>
          <w:sz w:val="24"/>
          <w:szCs w:val="24"/>
        </w:rPr>
        <w:t xml:space="preserve"> and</w:t>
      </w:r>
      <w:r w:rsidR="00462A67" w:rsidRPr="00565259">
        <w:rPr>
          <w:rFonts w:ascii="Book Antiqua" w:hAnsi="Book Antiqua" w:cs="Times New Roman"/>
          <w:sz w:val="24"/>
          <w:szCs w:val="24"/>
        </w:rPr>
        <w:t xml:space="preserve"> </w:t>
      </w:r>
      <w:r w:rsidR="00FC286D" w:rsidRPr="00565259">
        <w:rPr>
          <w:rFonts w:ascii="Book Antiqua" w:hAnsi="Book Antiqua" w:cs="Times New Roman"/>
          <w:sz w:val="24"/>
          <w:szCs w:val="24"/>
        </w:rPr>
        <w:t xml:space="preserve">in </w:t>
      </w:r>
      <w:r w:rsidRPr="00565259">
        <w:rPr>
          <w:rFonts w:ascii="Book Antiqua" w:hAnsi="Book Antiqua" w:cs="Times New Roman"/>
          <w:sz w:val="24"/>
          <w:szCs w:val="24"/>
        </w:rPr>
        <w:t>chemotactic cytokines secreted by the older tissue. All of these factors together might contribute toward reduced migration of MSCs to the fracture site in elderly patients leading to poor fracture healing.</w:t>
      </w:r>
    </w:p>
    <w:p w14:paraId="1561894D" w14:textId="5A5AE1A6" w:rsidR="00423A1B" w:rsidRPr="00565259" w:rsidRDefault="00423A1B" w:rsidP="00B83DB9">
      <w:pPr>
        <w:tabs>
          <w:tab w:val="left" w:pos="720"/>
        </w:tabs>
        <w:spacing w:after="0" w:line="360" w:lineRule="auto"/>
        <w:ind w:firstLineChars="100" w:firstLine="240"/>
        <w:jc w:val="both"/>
        <w:rPr>
          <w:rFonts w:ascii="Book Antiqua" w:hAnsi="Book Antiqua" w:cs="Times New Roman"/>
          <w:sz w:val="24"/>
          <w:szCs w:val="24"/>
        </w:rPr>
      </w:pPr>
      <w:r w:rsidRPr="00565259">
        <w:rPr>
          <w:rFonts w:ascii="Book Antiqua" w:hAnsi="Book Antiqua" w:cs="Times New Roman"/>
          <w:sz w:val="24"/>
          <w:szCs w:val="24"/>
        </w:rPr>
        <w:t>An important distinguishing feature of MSCs is their ability to differentiate to the osteogenic and chondrogenic lineages, among others. Various groups studying the age-related changes in differentiation potential of MSCs have concluded differently. Several groups have reported that the osteogenic differentiation potential of the MSCs isolated from either bone marrow or adipose tissue is reduced as age advances</w:t>
      </w:r>
      <w:r w:rsidR="00FE4360" w:rsidRPr="00565259">
        <w:rPr>
          <w:rFonts w:ascii="Book Antiqua" w:hAnsi="Book Antiqua" w:cs="Times New Roman"/>
          <w:bCs/>
          <w:sz w:val="24"/>
          <w:szCs w:val="24"/>
          <w:vertAlign w:val="superscript"/>
        </w:rPr>
        <w:t>[41,42,45,51,52]</w:t>
      </w:r>
      <w:r w:rsidR="00A24197" w:rsidRPr="00565259">
        <w:rPr>
          <w:rFonts w:ascii="Book Antiqua" w:hAnsi="Book Antiqua" w:cs="Times New Roman"/>
          <w:sz w:val="24"/>
          <w:szCs w:val="24"/>
        </w:rPr>
        <w:t>.</w:t>
      </w:r>
      <w:r w:rsidRPr="00565259">
        <w:rPr>
          <w:rFonts w:ascii="Book Antiqua" w:hAnsi="Book Antiqua" w:cs="Times New Roman"/>
          <w:sz w:val="24"/>
          <w:szCs w:val="24"/>
        </w:rPr>
        <w:t xml:space="preserve"> Zhang </w:t>
      </w:r>
      <w:r w:rsidRPr="00565259">
        <w:rPr>
          <w:rFonts w:ascii="Book Antiqua" w:hAnsi="Book Antiqua" w:cs="Times New Roman"/>
          <w:i/>
          <w:sz w:val="24"/>
          <w:szCs w:val="24"/>
        </w:rPr>
        <w:t>et al</w:t>
      </w:r>
      <w:r w:rsidR="00A45B26" w:rsidRPr="00565259">
        <w:rPr>
          <w:rFonts w:ascii="Book Antiqua" w:hAnsi="Book Antiqua" w:cs="Times New Roman"/>
          <w:bCs/>
          <w:sz w:val="24"/>
          <w:szCs w:val="24"/>
          <w:vertAlign w:val="superscript"/>
        </w:rPr>
        <w:t>[43]</w:t>
      </w:r>
      <w:r w:rsidRPr="00565259">
        <w:rPr>
          <w:rFonts w:ascii="Book Antiqua" w:hAnsi="Book Antiqua" w:cs="Times New Roman"/>
          <w:sz w:val="24"/>
          <w:szCs w:val="24"/>
        </w:rPr>
        <w:t xml:space="preserve"> reported that osteogenic differentiation capacity of bone marrow-derived MSCs from mice increases in an age-dependent manner to 18 mo of age a</w:t>
      </w:r>
      <w:r w:rsidR="00A24197" w:rsidRPr="00565259">
        <w:rPr>
          <w:rFonts w:ascii="Book Antiqua" w:hAnsi="Book Antiqua" w:cs="Times New Roman"/>
          <w:sz w:val="24"/>
          <w:szCs w:val="24"/>
        </w:rPr>
        <w:t>nd decreases rapidly thereafter.</w:t>
      </w:r>
      <w:r w:rsidRPr="00565259">
        <w:rPr>
          <w:rFonts w:ascii="Book Antiqua" w:hAnsi="Book Antiqua" w:cs="Times New Roman"/>
          <w:sz w:val="24"/>
          <w:szCs w:val="24"/>
        </w:rPr>
        <w:t xml:space="preserve"> In contrast to these studies, other groups found the MSCs maintained their differentiatio</w:t>
      </w:r>
      <w:r w:rsidR="00A24197" w:rsidRPr="00565259">
        <w:rPr>
          <w:rFonts w:ascii="Book Antiqua" w:hAnsi="Book Antiqua" w:cs="Times New Roman"/>
          <w:sz w:val="24"/>
          <w:szCs w:val="24"/>
        </w:rPr>
        <w:t>n potential even in aged donors</w:t>
      </w:r>
      <w:r w:rsidR="00FE4360" w:rsidRPr="00565259">
        <w:rPr>
          <w:rFonts w:ascii="Book Antiqua" w:hAnsi="Book Antiqua" w:cs="Times New Roman"/>
          <w:bCs/>
          <w:sz w:val="24"/>
          <w:szCs w:val="24"/>
          <w:vertAlign w:val="superscript"/>
        </w:rPr>
        <w:t>[53,54]</w:t>
      </w:r>
      <w:r w:rsidR="00A24197" w:rsidRPr="00565259">
        <w:rPr>
          <w:rFonts w:ascii="Book Antiqua" w:hAnsi="Book Antiqua" w:cs="Times New Roman"/>
          <w:sz w:val="24"/>
          <w:szCs w:val="24"/>
        </w:rPr>
        <w:t>.</w:t>
      </w:r>
      <w:r w:rsidRPr="00565259">
        <w:rPr>
          <w:rFonts w:ascii="Book Antiqua" w:hAnsi="Book Antiqua" w:cs="Times New Roman"/>
          <w:sz w:val="24"/>
          <w:szCs w:val="24"/>
        </w:rPr>
        <w:t xml:space="preserve"> There is also disagreement in the literature on whether age has an effect on the chondrogenic potential of MSCs. Some groups have reported an age-related reduction </w:t>
      </w:r>
      <w:r w:rsidR="00A24197" w:rsidRPr="00565259">
        <w:rPr>
          <w:rFonts w:ascii="Book Antiqua" w:hAnsi="Book Antiqua" w:cs="Times New Roman"/>
          <w:sz w:val="24"/>
          <w:szCs w:val="24"/>
        </w:rPr>
        <w:t>in their chondrogenic potential</w:t>
      </w:r>
      <w:r w:rsidR="00FE4360" w:rsidRPr="00565259">
        <w:rPr>
          <w:rFonts w:ascii="Book Antiqua" w:hAnsi="Book Antiqua" w:cs="Times New Roman"/>
          <w:bCs/>
          <w:sz w:val="24"/>
          <w:szCs w:val="24"/>
          <w:vertAlign w:val="superscript"/>
        </w:rPr>
        <w:t>[41,42,52]</w:t>
      </w:r>
      <w:r w:rsidR="00A24197" w:rsidRPr="00565259">
        <w:rPr>
          <w:rFonts w:ascii="Book Antiqua" w:hAnsi="Book Antiqua" w:cs="Times New Roman"/>
          <w:sz w:val="24"/>
          <w:szCs w:val="24"/>
        </w:rPr>
        <w:t>.</w:t>
      </w:r>
      <w:r w:rsidRPr="00565259">
        <w:rPr>
          <w:rFonts w:ascii="Book Antiqua" w:hAnsi="Book Antiqua" w:cs="Times New Roman"/>
          <w:sz w:val="24"/>
          <w:szCs w:val="24"/>
        </w:rPr>
        <w:t xml:space="preserve"> In other studies, the chondrogenic potential of MSCs was not affected with advanced age</w:t>
      </w:r>
      <w:r w:rsidR="00FE4360" w:rsidRPr="00565259">
        <w:rPr>
          <w:rFonts w:ascii="Book Antiqua" w:hAnsi="Book Antiqua" w:cs="Times New Roman"/>
          <w:bCs/>
          <w:sz w:val="24"/>
          <w:szCs w:val="24"/>
          <w:vertAlign w:val="superscript"/>
        </w:rPr>
        <w:t>[45,51,55]</w:t>
      </w:r>
      <w:r w:rsidR="00A24197" w:rsidRPr="00565259">
        <w:rPr>
          <w:rFonts w:ascii="Book Antiqua" w:hAnsi="Book Antiqua" w:cs="Times New Roman"/>
          <w:sz w:val="24"/>
          <w:szCs w:val="24"/>
        </w:rPr>
        <w:t>.</w:t>
      </w:r>
      <w:r w:rsidRPr="00565259">
        <w:rPr>
          <w:rFonts w:ascii="Book Antiqua" w:hAnsi="Book Antiqua" w:cs="Times New Roman"/>
          <w:sz w:val="24"/>
          <w:szCs w:val="24"/>
        </w:rPr>
        <w:t xml:space="preserve"> </w:t>
      </w:r>
      <w:r w:rsidR="00073BE7" w:rsidRPr="00565259">
        <w:rPr>
          <w:rFonts w:ascii="Book Antiqua" w:hAnsi="Book Antiqua" w:cs="Times New Roman"/>
          <w:sz w:val="24"/>
          <w:szCs w:val="24"/>
        </w:rPr>
        <w:t>H</w:t>
      </w:r>
      <w:r w:rsidRPr="00565259">
        <w:rPr>
          <w:rFonts w:ascii="Book Antiqua" w:hAnsi="Book Antiqua" w:cs="Times New Roman"/>
          <w:sz w:val="24"/>
          <w:szCs w:val="24"/>
        </w:rPr>
        <w:t xml:space="preserve">owever, in all cases, the isolated MSCs were cultured and differentiated </w:t>
      </w:r>
      <w:r w:rsidRPr="00565259">
        <w:rPr>
          <w:rFonts w:ascii="Book Antiqua" w:hAnsi="Book Antiqua" w:cs="Times New Roman"/>
          <w:i/>
          <w:sz w:val="24"/>
          <w:szCs w:val="24"/>
        </w:rPr>
        <w:t>in vitro</w:t>
      </w:r>
      <w:r w:rsidRPr="00565259">
        <w:rPr>
          <w:rFonts w:ascii="Book Antiqua" w:hAnsi="Book Antiqua" w:cs="Times New Roman"/>
          <w:sz w:val="24"/>
          <w:szCs w:val="24"/>
        </w:rPr>
        <w:t xml:space="preserve"> where they lack the microenvironment of the native tissue which might be different as the donors age. Conflicting findings in the literature with respect to differentiation potential of MSCs isolated from older individuals require further studies which take tissue microenvironment</w:t>
      </w:r>
      <w:r w:rsidR="00864375" w:rsidRPr="00565259">
        <w:rPr>
          <w:rFonts w:ascii="Book Antiqua" w:hAnsi="Book Antiqua" w:cs="Times New Roman"/>
          <w:sz w:val="24"/>
          <w:szCs w:val="24"/>
        </w:rPr>
        <w:t>s</w:t>
      </w:r>
      <w:r w:rsidRPr="00565259">
        <w:rPr>
          <w:rFonts w:ascii="Book Antiqua" w:hAnsi="Book Antiqua" w:cs="Times New Roman"/>
          <w:sz w:val="24"/>
          <w:szCs w:val="24"/>
        </w:rPr>
        <w:t xml:space="preserve"> into consideration to understand any changes in differentiation.</w:t>
      </w:r>
    </w:p>
    <w:p w14:paraId="09F2F44C" w14:textId="45890B7C" w:rsidR="001C31E1" w:rsidRPr="00565259" w:rsidRDefault="00423A1B" w:rsidP="00B83DB9">
      <w:pPr>
        <w:tabs>
          <w:tab w:val="left" w:pos="720"/>
        </w:tabs>
        <w:spacing w:after="0" w:line="360" w:lineRule="auto"/>
        <w:ind w:firstLineChars="100" w:firstLine="240"/>
        <w:jc w:val="both"/>
        <w:rPr>
          <w:rFonts w:ascii="Book Antiqua" w:hAnsi="Book Antiqua" w:cs="Times New Roman"/>
          <w:sz w:val="24"/>
          <w:szCs w:val="24"/>
        </w:rPr>
      </w:pPr>
      <w:r w:rsidRPr="00565259">
        <w:rPr>
          <w:rFonts w:ascii="Book Antiqua" w:hAnsi="Book Antiqua"/>
          <w:sz w:val="24"/>
          <w:szCs w:val="24"/>
        </w:rPr>
        <w:t>A decline in the expression of growth factors that induce MSC chondrogenic and osteogenic differentiation have been proposed to contribute to impaired fracture healing with age.</w:t>
      </w:r>
      <w:r w:rsidR="00C17406" w:rsidRPr="00565259">
        <w:rPr>
          <w:rFonts w:ascii="Book Antiqua" w:hAnsi="Book Antiqua"/>
          <w:sz w:val="24"/>
          <w:szCs w:val="24"/>
        </w:rPr>
        <w:t xml:space="preserve"> </w:t>
      </w:r>
      <w:r w:rsidRPr="00565259">
        <w:rPr>
          <w:rFonts w:ascii="Book Antiqua" w:hAnsi="Book Antiqua"/>
          <w:sz w:val="24"/>
          <w:szCs w:val="24"/>
        </w:rPr>
        <w:t>For example, expression of BMP-2 and Indian hedgehog were at significantly lower levels in the fracture calluses of older rats</w:t>
      </w:r>
      <w:r w:rsidR="00FE4360" w:rsidRPr="00565259">
        <w:rPr>
          <w:rFonts w:ascii="Book Antiqua" w:hAnsi="Book Antiqua"/>
          <w:bCs/>
          <w:sz w:val="24"/>
          <w:szCs w:val="24"/>
          <w:vertAlign w:val="superscript"/>
        </w:rPr>
        <w:t>[56]</w:t>
      </w:r>
      <w:r w:rsidR="00A24197" w:rsidRPr="00565259">
        <w:rPr>
          <w:rFonts w:ascii="Book Antiqua" w:hAnsi="Book Antiqua"/>
          <w:sz w:val="24"/>
          <w:szCs w:val="24"/>
        </w:rPr>
        <w:t>.</w:t>
      </w:r>
      <w:r w:rsidR="00073BE7" w:rsidRPr="00565259">
        <w:rPr>
          <w:rFonts w:ascii="Book Antiqua" w:hAnsi="Book Antiqua"/>
          <w:sz w:val="24"/>
          <w:szCs w:val="24"/>
        </w:rPr>
        <w:t xml:space="preserve"> </w:t>
      </w:r>
      <w:r w:rsidRPr="00565259">
        <w:rPr>
          <w:rFonts w:ascii="Book Antiqua" w:hAnsi="Book Antiqua"/>
          <w:sz w:val="24"/>
          <w:szCs w:val="24"/>
        </w:rPr>
        <w:t>Additionally, the response of MSCs to growth factors like BMP-2 may be attenuated with age. As an example, markers of osteogenesis in canine MSCs increased in all animals when treated with BMP-2 in culture, but the increase was less robust in cells from older animals</w:t>
      </w:r>
      <w:r w:rsidR="00FE4360" w:rsidRPr="00565259">
        <w:rPr>
          <w:rFonts w:ascii="Book Antiqua" w:hAnsi="Book Antiqua"/>
          <w:bCs/>
          <w:sz w:val="24"/>
          <w:szCs w:val="24"/>
          <w:vertAlign w:val="superscript"/>
        </w:rPr>
        <w:t>[57]</w:t>
      </w:r>
      <w:r w:rsidR="00A24197" w:rsidRPr="00565259">
        <w:rPr>
          <w:rFonts w:ascii="Book Antiqua" w:hAnsi="Book Antiqua"/>
          <w:sz w:val="24"/>
          <w:szCs w:val="24"/>
        </w:rPr>
        <w:t>.</w:t>
      </w:r>
      <w:r w:rsidRPr="00565259">
        <w:rPr>
          <w:rFonts w:ascii="Book Antiqua" w:hAnsi="Book Antiqua"/>
          <w:sz w:val="24"/>
          <w:szCs w:val="24"/>
        </w:rPr>
        <w:t xml:space="preserve"> Similarly, pediatric human iliac crest MSCs were more responsive to exogenous BMP-2 than adult MSCs from the same anatomic location based on the </w:t>
      </w:r>
      <w:r w:rsidRPr="00565259">
        <w:rPr>
          <w:rFonts w:ascii="Book Antiqua" w:hAnsi="Book Antiqua"/>
          <w:i/>
          <w:sz w:val="24"/>
          <w:szCs w:val="24"/>
        </w:rPr>
        <w:t>in vitro</w:t>
      </w:r>
      <w:r w:rsidRPr="00565259">
        <w:rPr>
          <w:rFonts w:ascii="Book Antiqua" w:hAnsi="Book Antiqua"/>
          <w:sz w:val="24"/>
          <w:szCs w:val="24"/>
        </w:rPr>
        <w:t xml:space="preserve"> expression of osteogenic markers</w:t>
      </w:r>
      <w:r w:rsidR="00FE4360" w:rsidRPr="00565259">
        <w:rPr>
          <w:rFonts w:ascii="Book Antiqua" w:hAnsi="Book Antiqua"/>
          <w:bCs/>
          <w:sz w:val="24"/>
          <w:szCs w:val="24"/>
          <w:vertAlign w:val="superscript"/>
        </w:rPr>
        <w:t>[58]</w:t>
      </w:r>
      <w:r w:rsidR="00A24197" w:rsidRPr="00565259">
        <w:rPr>
          <w:rFonts w:ascii="Book Antiqua" w:hAnsi="Book Antiqua"/>
          <w:sz w:val="24"/>
          <w:szCs w:val="24"/>
        </w:rPr>
        <w:t>.</w:t>
      </w:r>
    </w:p>
    <w:p w14:paraId="2D40A586" w14:textId="43A99138" w:rsidR="001639DA" w:rsidRPr="00565259" w:rsidRDefault="001639DA" w:rsidP="00B83DB9">
      <w:pPr>
        <w:tabs>
          <w:tab w:val="left" w:pos="720"/>
        </w:tabs>
        <w:spacing w:after="0" w:line="360" w:lineRule="auto"/>
        <w:ind w:firstLineChars="100" w:firstLine="240"/>
        <w:jc w:val="both"/>
        <w:rPr>
          <w:rFonts w:ascii="Book Antiqua" w:hAnsi="Book Antiqua"/>
          <w:sz w:val="24"/>
          <w:szCs w:val="24"/>
        </w:rPr>
      </w:pPr>
      <w:r w:rsidRPr="00565259">
        <w:rPr>
          <w:rFonts w:ascii="Book Antiqua" w:hAnsi="Book Antiqua"/>
          <w:sz w:val="24"/>
          <w:szCs w:val="24"/>
        </w:rPr>
        <w:t xml:space="preserve">The accumulation of ROS is </w:t>
      </w:r>
      <w:r w:rsidR="00B1295B" w:rsidRPr="00565259">
        <w:rPr>
          <w:rFonts w:ascii="Book Antiqua" w:hAnsi="Book Antiqua"/>
          <w:sz w:val="24"/>
          <w:szCs w:val="24"/>
        </w:rPr>
        <w:t>another</w:t>
      </w:r>
      <w:r w:rsidRPr="00565259">
        <w:rPr>
          <w:rFonts w:ascii="Book Antiqua" w:hAnsi="Book Antiqua"/>
          <w:sz w:val="24"/>
          <w:szCs w:val="24"/>
        </w:rPr>
        <w:t xml:space="preserve"> f</w:t>
      </w:r>
      <w:r w:rsidR="00B1295B" w:rsidRPr="00565259">
        <w:rPr>
          <w:rFonts w:ascii="Book Antiqua" w:hAnsi="Book Antiqua"/>
          <w:sz w:val="24"/>
          <w:szCs w:val="24"/>
        </w:rPr>
        <w:t>actor</w:t>
      </w:r>
      <w:r w:rsidRPr="00565259">
        <w:rPr>
          <w:rFonts w:ascii="Book Antiqua" w:hAnsi="Book Antiqua"/>
          <w:sz w:val="24"/>
          <w:szCs w:val="24"/>
        </w:rPr>
        <w:t xml:space="preserve"> that may affect MSC function in the aged population, resulting in oxidative damage to DNA, structural lipids and proteins</w:t>
      </w:r>
      <w:r w:rsidR="009B6D71" w:rsidRPr="00565259">
        <w:rPr>
          <w:rFonts w:ascii="Book Antiqua" w:hAnsi="Book Antiqua"/>
          <w:sz w:val="24"/>
          <w:szCs w:val="24"/>
        </w:rPr>
        <w:t xml:space="preserve"> as well as cellular senescence</w:t>
      </w:r>
      <w:r w:rsidR="00FE4360" w:rsidRPr="00565259">
        <w:rPr>
          <w:rFonts w:ascii="Book Antiqua" w:hAnsi="Book Antiqua"/>
          <w:bCs/>
          <w:sz w:val="24"/>
          <w:szCs w:val="24"/>
          <w:vertAlign w:val="superscript"/>
        </w:rPr>
        <w:t>[46]</w:t>
      </w:r>
      <w:r w:rsidR="00A24197" w:rsidRPr="00565259">
        <w:rPr>
          <w:rFonts w:ascii="Book Antiqua" w:hAnsi="Book Antiqua"/>
          <w:sz w:val="24"/>
          <w:szCs w:val="24"/>
        </w:rPr>
        <w:t>.</w:t>
      </w:r>
      <w:r w:rsidR="00073BE7" w:rsidRPr="00565259">
        <w:rPr>
          <w:rFonts w:ascii="Book Antiqua" w:hAnsi="Book Antiqua"/>
          <w:sz w:val="24"/>
          <w:szCs w:val="24"/>
        </w:rPr>
        <w:t xml:space="preserve"> </w:t>
      </w:r>
      <w:r w:rsidR="00A52232" w:rsidRPr="00565259">
        <w:rPr>
          <w:rFonts w:ascii="Book Antiqua" w:hAnsi="Book Antiqua"/>
          <w:sz w:val="24"/>
          <w:szCs w:val="24"/>
        </w:rPr>
        <w:t xml:space="preserve">Oxidative stress has been shown to increase during fracture </w:t>
      </w:r>
      <w:r w:rsidR="00E152E9" w:rsidRPr="00565259">
        <w:rPr>
          <w:rFonts w:ascii="Book Antiqua" w:hAnsi="Book Antiqua"/>
          <w:sz w:val="24"/>
          <w:szCs w:val="24"/>
        </w:rPr>
        <w:t>healing</w:t>
      </w:r>
      <w:r w:rsidR="00FE4360" w:rsidRPr="00565259">
        <w:rPr>
          <w:rFonts w:ascii="Book Antiqua" w:hAnsi="Book Antiqua"/>
          <w:bCs/>
          <w:sz w:val="24"/>
          <w:szCs w:val="24"/>
          <w:vertAlign w:val="superscript"/>
        </w:rPr>
        <w:t>[59-61]</w:t>
      </w:r>
      <w:r w:rsidR="00A24197" w:rsidRPr="00565259">
        <w:rPr>
          <w:rFonts w:ascii="Book Antiqua" w:hAnsi="Book Antiqua"/>
          <w:sz w:val="24"/>
          <w:szCs w:val="24"/>
        </w:rPr>
        <w:t>,</w:t>
      </w:r>
      <w:r w:rsidR="00A52232" w:rsidRPr="00565259">
        <w:rPr>
          <w:rFonts w:ascii="Book Antiqua" w:hAnsi="Book Antiqua"/>
          <w:sz w:val="24"/>
          <w:szCs w:val="24"/>
        </w:rPr>
        <w:t xml:space="preserve"> </w:t>
      </w:r>
      <w:r w:rsidR="009A76A3" w:rsidRPr="00565259">
        <w:rPr>
          <w:rFonts w:ascii="Book Antiqua" w:hAnsi="Book Antiqua"/>
          <w:sz w:val="24"/>
          <w:szCs w:val="24"/>
        </w:rPr>
        <w:t xml:space="preserve">however the effect of ROS on MSCs during fracture </w:t>
      </w:r>
      <w:r w:rsidR="00E152E9" w:rsidRPr="00565259">
        <w:rPr>
          <w:rFonts w:ascii="Book Antiqua" w:hAnsi="Book Antiqua"/>
          <w:sz w:val="24"/>
          <w:szCs w:val="24"/>
        </w:rPr>
        <w:t>repair</w:t>
      </w:r>
      <w:r w:rsidR="009A76A3" w:rsidRPr="00565259">
        <w:rPr>
          <w:rFonts w:ascii="Book Antiqua" w:hAnsi="Book Antiqua"/>
          <w:sz w:val="24"/>
          <w:szCs w:val="24"/>
        </w:rPr>
        <w:t xml:space="preserve"> in aging is unclear</w:t>
      </w:r>
      <w:r w:rsidR="00A52232" w:rsidRPr="00565259">
        <w:rPr>
          <w:rFonts w:ascii="Book Antiqua" w:hAnsi="Book Antiqua"/>
          <w:sz w:val="24"/>
          <w:szCs w:val="24"/>
        </w:rPr>
        <w:t xml:space="preserve">. </w:t>
      </w:r>
      <w:r w:rsidR="00E152E9" w:rsidRPr="00565259">
        <w:rPr>
          <w:rFonts w:ascii="Book Antiqua" w:hAnsi="Book Antiqua"/>
          <w:sz w:val="24"/>
          <w:szCs w:val="24"/>
        </w:rPr>
        <w:t>In a developmental model of bone formation, chon</w:t>
      </w:r>
      <w:r w:rsidRPr="00565259">
        <w:rPr>
          <w:rFonts w:ascii="Book Antiqua" w:hAnsi="Book Antiqua"/>
          <w:sz w:val="24"/>
          <w:szCs w:val="24"/>
        </w:rPr>
        <w:t>dro</w:t>
      </w:r>
      <w:r w:rsidR="008C6B29" w:rsidRPr="00565259">
        <w:rPr>
          <w:rFonts w:ascii="Book Antiqua" w:hAnsi="Book Antiqua"/>
          <w:sz w:val="24"/>
          <w:szCs w:val="24"/>
        </w:rPr>
        <w:t>genesis</w:t>
      </w:r>
      <w:r w:rsidRPr="00565259">
        <w:rPr>
          <w:rFonts w:ascii="Book Antiqua" w:hAnsi="Book Antiqua"/>
          <w:sz w:val="24"/>
          <w:szCs w:val="24"/>
        </w:rPr>
        <w:t xml:space="preserve"> </w:t>
      </w:r>
      <w:r w:rsidR="00E152E9" w:rsidRPr="00565259">
        <w:rPr>
          <w:rFonts w:ascii="Book Antiqua" w:hAnsi="Book Antiqua"/>
          <w:sz w:val="24"/>
          <w:szCs w:val="24"/>
        </w:rPr>
        <w:t>wa</w:t>
      </w:r>
      <w:r w:rsidR="00EE195A" w:rsidRPr="00565259">
        <w:rPr>
          <w:rFonts w:ascii="Book Antiqua" w:hAnsi="Book Antiqua"/>
          <w:sz w:val="24"/>
          <w:szCs w:val="24"/>
        </w:rPr>
        <w:t>s</w:t>
      </w:r>
      <w:r w:rsidR="00E406FF" w:rsidRPr="00565259">
        <w:rPr>
          <w:rFonts w:ascii="Book Antiqua" w:hAnsi="Book Antiqua"/>
          <w:sz w:val="24"/>
          <w:szCs w:val="24"/>
        </w:rPr>
        <w:t xml:space="preserve"> </w:t>
      </w:r>
      <w:r w:rsidR="008C6B29" w:rsidRPr="00565259">
        <w:rPr>
          <w:rFonts w:ascii="Book Antiqua" w:hAnsi="Book Antiqua"/>
          <w:sz w:val="24"/>
          <w:szCs w:val="24"/>
        </w:rPr>
        <w:t>enhanced by</w:t>
      </w:r>
      <w:r w:rsidRPr="00565259">
        <w:rPr>
          <w:rFonts w:ascii="Book Antiqua" w:hAnsi="Book Antiqua"/>
          <w:sz w:val="24"/>
          <w:szCs w:val="24"/>
        </w:rPr>
        <w:t xml:space="preserve"> ROS </w:t>
      </w:r>
      <w:r w:rsidR="00E152E9" w:rsidRPr="00565259">
        <w:rPr>
          <w:rFonts w:ascii="Book Antiqua" w:hAnsi="Book Antiqua"/>
          <w:sz w:val="24"/>
          <w:szCs w:val="24"/>
        </w:rPr>
        <w:t>in the developing limb bud, where a cartilage template precedes long bone formation</w:t>
      </w:r>
      <w:r w:rsidR="00FE4360" w:rsidRPr="00565259">
        <w:rPr>
          <w:rFonts w:ascii="Book Antiqua" w:hAnsi="Book Antiqua"/>
          <w:bCs/>
          <w:sz w:val="24"/>
          <w:szCs w:val="24"/>
          <w:vertAlign w:val="superscript"/>
        </w:rPr>
        <w:t>[62]</w:t>
      </w:r>
      <w:r w:rsidR="00A24197" w:rsidRPr="00565259">
        <w:rPr>
          <w:rFonts w:ascii="Book Antiqua" w:hAnsi="Book Antiqua"/>
          <w:sz w:val="24"/>
          <w:szCs w:val="24"/>
        </w:rPr>
        <w:t>.</w:t>
      </w:r>
      <w:r w:rsidR="00E81DC5" w:rsidRPr="00565259">
        <w:rPr>
          <w:rFonts w:ascii="Book Antiqua" w:hAnsi="Book Antiqua"/>
          <w:sz w:val="24"/>
          <w:szCs w:val="24"/>
        </w:rPr>
        <w:t xml:space="preserve"> </w:t>
      </w:r>
      <w:r w:rsidR="00E406FF" w:rsidRPr="00565259">
        <w:rPr>
          <w:rFonts w:ascii="Book Antiqua" w:hAnsi="Book Antiqua"/>
          <w:sz w:val="24"/>
          <w:szCs w:val="24"/>
        </w:rPr>
        <w:t>H</w:t>
      </w:r>
      <w:r w:rsidR="005664BB" w:rsidRPr="00565259">
        <w:rPr>
          <w:rFonts w:ascii="Book Antiqua" w:hAnsi="Book Antiqua"/>
          <w:sz w:val="24"/>
          <w:szCs w:val="24"/>
        </w:rPr>
        <w:t>igh l</w:t>
      </w:r>
      <w:r w:rsidR="00E406FF" w:rsidRPr="00565259">
        <w:rPr>
          <w:rFonts w:ascii="Book Antiqua" w:hAnsi="Book Antiqua"/>
          <w:sz w:val="24"/>
          <w:szCs w:val="24"/>
        </w:rPr>
        <w:t>evels of ROS have also been associated with</w:t>
      </w:r>
      <w:r w:rsidR="005664BB" w:rsidRPr="00565259">
        <w:rPr>
          <w:rFonts w:ascii="Book Antiqua" w:hAnsi="Book Antiqua"/>
          <w:sz w:val="24"/>
          <w:szCs w:val="24"/>
        </w:rPr>
        <w:t xml:space="preserve"> hypertrophic chondrocytes that are undergoing endochondral ossification</w:t>
      </w:r>
      <w:r w:rsidR="00E406FF" w:rsidRPr="00565259">
        <w:rPr>
          <w:rFonts w:ascii="Book Antiqua" w:hAnsi="Book Antiqua"/>
          <w:sz w:val="24"/>
          <w:szCs w:val="24"/>
        </w:rPr>
        <w:t xml:space="preserve"> </w:t>
      </w:r>
      <w:r w:rsidR="00E406FF" w:rsidRPr="00565259">
        <w:rPr>
          <w:rFonts w:ascii="Book Antiqua" w:hAnsi="Book Antiqua"/>
          <w:i/>
          <w:sz w:val="24"/>
          <w:szCs w:val="24"/>
        </w:rPr>
        <w:t>in vitro</w:t>
      </w:r>
      <w:r w:rsidR="00FE4360" w:rsidRPr="00565259">
        <w:rPr>
          <w:rFonts w:ascii="Book Antiqua" w:hAnsi="Book Antiqua"/>
          <w:bCs/>
          <w:sz w:val="24"/>
          <w:szCs w:val="24"/>
          <w:vertAlign w:val="superscript"/>
        </w:rPr>
        <w:t>[63]</w:t>
      </w:r>
      <w:r w:rsidR="00A24197" w:rsidRPr="00565259">
        <w:rPr>
          <w:rFonts w:ascii="Book Antiqua" w:hAnsi="Book Antiqua"/>
          <w:sz w:val="24"/>
          <w:szCs w:val="24"/>
        </w:rPr>
        <w:t>.</w:t>
      </w:r>
      <w:r w:rsidR="005664BB" w:rsidRPr="00565259">
        <w:rPr>
          <w:rFonts w:ascii="Book Antiqua" w:hAnsi="Book Antiqua"/>
          <w:sz w:val="24"/>
          <w:szCs w:val="24"/>
        </w:rPr>
        <w:t xml:space="preserve"> Furthermore, the addition of an antioxidan</w:t>
      </w:r>
      <w:r w:rsidR="00E152E9" w:rsidRPr="00565259">
        <w:rPr>
          <w:rFonts w:ascii="Book Antiqua" w:hAnsi="Book Antiqua"/>
          <w:sz w:val="24"/>
          <w:szCs w:val="24"/>
        </w:rPr>
        <w:t>t to cell culture media inhibited</w:t>
      </w:r>
      <w:r w:rsidR="005664BB" w:rsidRPr="00565259">
        <w:rPr>
          <w:rFonts w:ascii="Book Antiqua" w:hAnsi="Book Antiqua"/>
          <w:sz w:val="24"/>
          <w:szCs w:val="24"/>
        </w:rPr>
        <w:t xml:space="preserve"> chondrocyte hypertrophy, while elevated ROS stimulated chondrocyte hypertrophy</w:t>
      </w:r>
      <w:r w:rsidR="00FE4360" w:rsidRPr="00565259">
        <w:rPr>
          <w:rFonts w:ascii="Book Antiqua" w:hAnsi="Book Antiqua"/>
          <w:bCs/>
          <w:sz w:val="24"/>
          <w:szCs w:val="24"/>
          <w:vertAlign w:val="superscript"/>
        </w:rPr>
        <w:t>[63]</w:t>
      </w:r>
      <w:r w:rsidR="00A24197" w:rsidRPr="00565259">
        <w:rPr>
          <w:rFonts w:ascii="Book Antiqua" w:hAnsi="Book Antiqua"/>
          <w:sz w:val="24"/>
          <w:szCs w:val="24"/>
        </w:rPr>
        <w:t>.</w:t>
      </w:r>
      <w:r w:rsidR="00056350" w:rsidRPr="00565259">
        <w:rPr>
          <w:rFonts w:ascii="Book Antiqua" w:hAnsi="Book Antiqua"/>
          <w:sz w:val="24"/>
          <w:szCs w:val="24"/>
        </w:rPr>
        <w:t xml:space="preserve"> </w:t>
      </w:r>
      <w:r w:rsidRPr="00565259">
        <w:rPr>
          <w:rFonts w:ascii="Book Antiqua" w:hAnsi="Book Antiqua"/>
          <w:sz w:val="24"/>
          <w:szCs w:val="24"/>
        </w:rPr>
        <w:t>Osteogenesis</w:t>
      </w:r>
      <w:r w:rsidR="005664BB" w:rsidRPr="00565259">
        <w:rPr>
          <w:rFonts w:ascii="Book Antiqua" w:hAnsi="Book Antiqua"/>
          <w:sz w:val="24"/>
          <w:szCs w:val="24"/>
        </w:rPr>
        <w:t xml:space="preserve"> through intramembranous ossification</w:t>
      </w:r>
      <w:r w:rsidRPr="00565259">
        <w:rPr>
          <w:rFonts w:ascii="Book Antiqua" w:hAnsi="Book Antiqua"/>
          <w:sz w:val="24"/>
          <w:szCs w:val="24"/>
        </w:rPr>
        <w:t>, on the other hand, is inhibited by elevated levels of ROS</w:t>
      </w:r>
      <w:r w:rsidR="00FE4360" w:rsidRPr="00565259">
        <w:rPr>
          <w:rFonts w:ascii="Book Antiqua" w:hAnsi="Book Antiqua"/>
          <w:bCs/>
          <w:sz w:val="24"/>
          <w:szCs w:val="24"/>
          <w:vertAlign w:val="superscript"/>
        </w:rPr>
        <w:t>[64-66]</w:t>
      </w:r>
      <w:r w:rsidRPr="00565259">
        <w:rPr>
          <w:rFonts w:ascii="Book Antiqua" w:hAnsi="Book Antiqua"/>
          <w:sz w:val="24"/>
          <w:szCs w:val="24"/>
        </w:rPr>
        <w:t xml:space="preserve"> </w:t>
      </w:r>
      <w:r w:rsidR="00E406FF" w:rsidRPr="00565259">
        <w:rPr>
          <w:rFonts w:ascii="Book Antiqua" w:hAnsi="Book Antiqua"/>
          <w:spacing w:val="2"/>
          <w:sz w:val="24"/>
          <w:szCs w:val="24"/>
          <w:shd w:val="clear" w:color="auto" w:fill="FCFCFC"/>
        </w:rPr>
        <w:t xml:space="preserve">and </w:t>
      </w:r>
      <w:r w:rsidR="00D80FC6" w:rsidRPr="00565259">
        <w:rPr>
          <w:rFonts w:ascii="Book Antiqua" w:hAnsi="Book Antiqua"/>
          <w:spacing w:val="2"/>
          <w:sz w:val="24"/>
          <w:szCs w:val="24"/>
          <w:shd w:val="clear" w:color="auto" w:fill="FCFCFC"/>
        </w:rPr>
        <w:t>intracellular ROS levels have been observed to dramatically decrease upon osteogenic differentiation due to the upregulation of an</w:t>
      </w:r>
      <w:r w:rsidRPr="00565259">
        <w:rPr>
          <w:rFonts w:ascii="Book Antiqua" w:hAnsi="Book Antiqua"/>
          <w:spacing w:val="2"/>
          <w:sz w:val="24"/>
          <w:szCs w:val="24"/>
          <w:shd w:val="clear" w:color="auto" w:fill="FCFCFC"/>
        </w:rPr>
        <w:t>tioxi</w:t>
      </w:r>
      <w:r w:rsidR="00D80FC6" w:rsidRPr="00565259">
        <w:rPr>
          <w:rFonts w:ascii="Book Antiqua" w:hAnsi="Book Antiqua"/>
          <w:spacing w:val="2"/>
          <w:sz w:val="24"/>
          <w:szCs w:val="24"/>
          <w:shd w:val="clear" w:color="auto" w:fill="FCFCFC"/>
        </w:rPr>
        <w:t xml:space="preserve">dant enzymes </w:t>
      </w:r>
      <w:r w:rsidR="00D34A6B" w:rsidRPr="00565259">
        <w:rPr>
          <w:rFonts w:ascii="Book Antiqua" w:hAnsi="Book Antiqua"/>
          <w:sz w:val="24"/>
          <w:szCs w:val="24"/>
        </w:rPr>
        <w:t>superoxide dismutase 2 (SOD2)</w:t>
      </w:r>
      <w:r w:rsidR="00D80FC6" w:rsidRPr="00565259">
        <w:rPr>
          <w:rFonts w:ascii="Book Antiqua" w:hAnsi="Book Antiqua"/>
          <w:spacing w:val="2"/>
          <w:sz w:val="24"/>
          <w:szCs w:val="24"/>
          <w:shd w:val="clear" w:color="auto" w:fill="FCFCFC"/>
        </w:rPr>
        <w:t xml:space="preserve"> and catalase</w:t>
      </w:r>
      <w:r w:rsidR="00FE4360" w:rsidRPr="00565259">
        <w:rPr>
          <w:rFonts w:ascii="Book Antiqua" w:hAnsi="Book Antiqua"/>
          <w:bCs/>
          <w:spacing w:val="2"/>
          <w:sz w:val="24"/>
          <w:szCs w:val="24"/>
          <w:shd w:val="clear" w:color="auto" w:fill="FCFCFC"/>
          <w:vertAlign w:val="superscript"/>
        </w:rPr>
        <w:t>[66]</w:t>
      </w:r>
      <w:r w:rsidR="00A24197" w:rsidRPr="00565259">
        <w:rPr>
          <w:rFonts w:ascii="Book Antiqua" w:hAnsi="Book Antiqua"/>
          <w:spacing w:val="2"/>
          <w:sz w:val="24"/>
          <w:szCs w:val="24"/>
          <w:shd w:val="clear" w:color="auto" w:fill="FCFCFC"/>
        </w:rPr>
        <w:t>.</w:t>
      </w:r>
    </w:p>
    <w:p w14:paraId="62F6724A" w14:textId="056F39A2" w:rsidR="005478AF" w:rsidRPr="00565259" w:rsidRDefault="00991394" w:rsidP="00B83DB9">
      <w:pPr>
        <w:tabs>
          <w:tab w:val="left" w:pos="720"/>
        </w:tabs>
        <w:spacing w:after="0" w:line="360" w:lineRule="auto"/>
        <w:ind w:firstLineChars="100" w:firstLine="240"/>
        <w:jc w:val="both"/>
        <w:rPr>
          <w:rFonts w:ascii="Book Antiqua" w:eastAsia="Calibri" w:hAnsi="Book Antiqua" w:cs="Times New Roman"/>
          <w:sz w:val="24"/>
          <w:szCs w:val="24"/>
        </w:rPr>
      </w:pPr>
      <w:r w:rsidRPr="00565259">
        <w:rPr>
          <w:rFonts w:ascii="Book Antiqua" w:eastAsia="Calibri" w:hAnsi="Book Antiqua" w:cs="Times New Roman"/>
          <w:sz w:val="24"/>
          <w:szCs w:val="24"/>
        </w:rPr>
        <w:t xml:space="preserve">Among the molecular regulators of aging, </w:t>
      </w:r>
      <w:r w:rsidR="0059119B" w:rsidRPr="00565259">
        <w:rPr>
          <w:rFonts w:ascii="Book Antiqua" w:eastAsia="Calibri" w:hAnsi="Book Antiqua" w:cs="Times New Roman"/>
          <w:sz w:val="24"/>
          <w:szCs w:val="24"/>
        </w:rPr>
        <w:t>SIRT1</w:t>
      </w:r>
      <w:r w:rsidRPr="00565259">
        <w:rPr>
          <w:rFonts w:ascii="Book Antiqua" w:eastAsia="Calibri" w:hAnsi="Book Antiqua" w:cs="Times New Roman"/>
          <w:sz w:val="24"/>
          <w:szCs w:val="24"/>
        </w:rPr>
        <w:t>, a NAD-dependent histone deacetylase, is of particular importance. SIRT1 expression and activation decrease with age, which modifies a wide range of cellular processes, including MSC proliferation and differentiation.</w:t>
      </w:r>
      <w:r w:rsidR="00A45B26" w:rsidRPr="00565259">
        <w:rPr>
          <w:rFonts w:ascii="Book Antiqua" w:eastAsia="Calibri" w:hAnsi="Book Antiqua" w:cs="Times New Roman"/>
          <w:sz w:val="24"/>
          <w:szCs w:val="24"/>
        </w:rPr>
        <w:t xml:space="preserve"> </w:t>
      </w:r>
      <w:r w:rsidRPr="00565259">
        <w:rPr>
          <w:rFonts w:ascii="Book Antiqua" w:eastAsia="Calibri" w:hAnsi="Book Antiqua" w:cs="Times New Roman"/>
          <w:sz w:val="24"/>
          <w:szCs w:val="24"/>
        </w:rPr>
        <w:t xml:space="preserve">For example, SIRT1 knockdown in human marrow- and adipose-derived MSCs </w:t>
      </w:r>
      <w:r w:rsidR="0059119B" w:rsidRPr="00565259">
        <w:rPr>
          <w:rFonts w:ascii="Book Antiqua" w:eastAsia="Calibri" w:hAnsi="Book Antiqua" w:cs="Times New Roman"/>
          <w:sz w:val="24"/>
          <w:szCs w:val="24"/>
        </w:rPr>
        <w:t xml:space="preserve">resulted </w:t>
      </w:r>
      <w:r w:rsidR="00ED73DA" w:rsidRPr="00565259">
        <w:rPr>
          <w:rFonts w:ascii="Book Antiqua" w:eastAsia="Calibri" w:hAnsi="Book Antiqua" w:cs="Times New Roman"/>
          <w:sz w:val="24"/>
          <w:szCs w:val="24"/>
        </w:rPr>
        <w:t>in reduce</w:t>
      </w:r>
      <w:r w:rsidR="0059119B" w:rsidRPr="00565259">
        <w:rPr>
          <w:rFonts w:ascii="Book Antiqua" w:eastAsia="Calibri" w:hAnsi="Book Antiqua" w:cs="Times New Roman"/>
          <w:sz w:val="24"/>
          <w:szCs w:val="24"/>
        </w:rPr>
        <w:t>d</w:t>
      </w:r>
      <w:r w:rsidR="00ED73DA" w:rsidRPr="00565259">
        <w:rPr>
          <w:rFonts w:ascii="Book Antiqua" w:eastAsia="Calibri" w:hAnsi="Book Antiqua" w:cs="Times New Roman"/>
          <w:sz w:val="24"/>
          <w:szCs w:val="24"/>
        </w:rPr>
        <w:t xml:space="preserve"> proliferation</w:t>
      </w:r>
      <w:r w:rsidRPr="00565259">
        <w:rPr>
          <w:rFonts w:ascii="Book Antiqua" w:eastAsia="Calibri" w:hAnsi="Book Antiqua" w:cs="Times New Roman"/>
          <w:sz w:val="24"/>
          <w:szCs w:val="24"/>
        </w:rPr>
        <w:t xml:space="preserve"> </w:t>
      </w:r>
      <w:r w:rsidRPr="00565259">
        <w:rPr>
          <w:rFonts w:ascii="Book Antiqua" w:eastAsia="Calibri" w:hAnsi="Book Antiqua" w:cs="Times New Roman"/>
          <w:i/>
          <w:sz w:val="24"/>
          <w:szCs w:val="24"/>
        </w:rPr>
        <w:t>in vitro</w:t>
      </w:r>
      <w:r w:rsidR="00FE4360" w:rsidRPr="00565259">
        <w:rPr>
          <w:rFonts w:ascii="Book Antiqua" w:eastAsia="Calibri" w:hAnsi="Book Antiqua" w:cs="Times New Roman"/>
          <w:bCs/>
          <w:sz w:val="24"/>
          <w:szCs w:val="24"/>
          <w:vertAlign w:val="superscript"/>
        </w:rPr>
        <w:t>[67]</w:t>
      </w:r>
      <w:r w:rsidR="00A24197" w:rsidRPr="00565259">
        <w:rPr>
          <w:rFonts w:ascii="Book Antiqua" w:eastAsia="Calibri" w:hAnsi="Book Antiqua" w:cs="Times New Roman"/>
          <w:sz w:val="24"/>
          <w:szCs w:val="24"/>
        </w:rPr>
        <w:t>.</w:t>
      </w:r>
      <w:r w:rsidRPr="00565259">
        <w:rPr>
          <w:rFonts w:ascii="Book Antiqua" w:eastAsia="Calibri" w:hAnsi="Book Antiqua" w:cs="Times New Roman"/>
          <w:sz w:val="24"/>
          <w:szCs w:val="24"/>
        </w:rPr>
        <w:t xml:space="preserve"> Additionally, MSCs isolated from S</w:t>
      </w:r>
      <w:r w:rsidR="00A132BB" w:rsidRPr="00565259">
        <w:rPr>
          <w:rFonts w:ascii="Book Antiqua" w:eastAsia="Calibri" w:hAnsi="Book Antiqua" w:cs="Times New Roman"/>
          <w:sz w:val="24"/>
          <w:szCs w:val="24"/>
        </w:rPr>
        <w:t>irt</w:t>
      </w:r>
      <w:r w:rsidRPr="00565259">
        <w:rPr>
          <w:rFonts w:ascii="Book Antiqua" w:eastAsia="Calibri" w:hAnsi="Book Antiqua" w:cs="Times New Roman"/>
          <w:sz w:val="24"/>
          <w:szCs w:val="24"/>
        </w:rPr>
        <w:t>1 knock-out mice showed reduced differentiation toward the osteogenic lineage</w:t>
      </w:r>
      <w:r w:rsidR="00FE4360" w:rsidRPr="00565259">
        <w:rPr>
          <w:rFonts w:ascii="Book Antiqua" w:eastAsia="Calibri" w:hAnsi="Book Antiqua" w:cs="Times New Roman"/>
          <w:bCs/>
          <w:sz w:val="24"/>
          <w:szCs w:val="24"/>
          <w:vertAlign w:val="superscript"/>
        </w:rPr>
        <w:t>[68]</w:t>
      </w:r>
      <w:r w:rsidR="00A24197" w:rsidRPr="00565259">
        <w:rPr>
          <w:rFonts w:ascii="Book Antiqua" w:eastAsia="Calibri" w:hAnsi="Book Antiqua" w:cs="Times New Roman"/>
          <w:sz w:val="24"/>
          <w:szCs w:val="24"/>
        </w:rPr>
        <w:t>.</w:t>
      </w:r>
      <w:r w:rsidRPr="00565259">
        <w:rPr>
          <w:rFonts w:ascii="Book Antiqua" w:eastAsia="Calibri" w:hAnsi="Book Antiqua" w:cs="Times New Roman"/>
          <w:sz w:val="24"/>
          <w:szCs w:val="24"/>
        </w:rPr>
        <w:t xml:space="preserve"> while Sirt1-/- female mice had reduce bone mass and increased marrow adipogenesis</w:t>
      </w:r>
      <w:r w:rsidR="00FE4360" w:rsidRPr="00565259">
        <w:rPr>
          <w:rFonts w:ascii="Book Antiqua" w:eastAsia="Calibri" w:hAnsi="Book Antiqua" w:cs="Times New Roman"/>
          <w:bCs/>
          <w:sz w:val="24"/>
          <w:szCs w:val="24"/>
          <w:vertAlign w:val="superscript"/>
        </w:rPr>
        <w:t>[69]</w:t>
      </w:r>
      <w:r w:rsidR="00A24197" w:rsidRPr="00565259">
        <w:rPr>
          <w:rFonts w:ascii="Book Antiqua" w:eastAsia="Calibri" w:hAnsi="Book Antiqua" w:cs="Times New Roman"/>
          <w:sz w:val="24"/>
          <w:szCs w:val="24"/>
        </w:rPr>
        <w:t>.</w:t>
      </w:r>
      <w:r w:rsidR="00C17406" w:rsidRPr="00565259">
        <w:rPr>
          <w:rFonts w:ascii="Book Antiqua" w:eastAsia="Calibri" w:hAnsi="Book Antiqua" w:cs="Times New Roman"/>
          <w:sz w:val="24"/>
          <w:szCs w:val="24"/>
        </w:rPr>
        <w:t xml:space="preserve"> </w:t>
      </w:r>
      <w:r w:rsidRPr="00565259">
        <w:rPr>
          <w:rFonts w:ascii="Book Antiqua" w:eastAsia="Calibri" w:hAnsi="Book Antiqua" w:cs="Times New Roman"/>
          <w:sz w:val="24"/>
          <w:szCs w:val="24"/>
        </w:rPr>
        <w:t xml:space="preserve">Differentiation to the chondrogenic lineages were also inhibited in </w:t>
      </w:r>
      <w:r w:rsidR="00A132BB" w:rsidRPr="00565259">
        <w:rPr>
          <w:rFonts w:ascii="Book Antiqua" w:eastAsia="Calibri" w:hAnsi="Book Antiqua" w:cs="Times New Roman"/>
          <w:sz w:val="24"/>
          <w:szCs w:val="24"/>
        </w:rPr>
        <w:t xml:space="preserve">MSCs isolated from </w:t>
      </w:r>
      <w:r w:rsidRPr="00565259">
        <w:rPr>
          <w:rFonts w:ascii="Book Antiqua" w:eastAsia="Calibri" w:hAnsi="Book Antiqua" w:cs="Times New Roman"/>
          <w:sz w:val="24"/>
          <w:szCs w:val="24"/>
        </w:rPr>
        <w:t>S</w:t>
      </w:r>
      <w:r w:rsidR="00A132BB" w:rsidRPr="00565259">
        <w:rPr>
          <w:rFonts w:ascii="Book Antiqua" w:eastAsia="Calibri" w:hAnsi="Book Antiqua" w:cs="Times New Roman"/>
          <w:sz w:val="24"/>
          <w:szCs w:val="24"/>
        </w:rPr>
        <w:t>irt</w:t>
      </w:r>
      <w:r w:rsidRPr="00565259">
        <w:rPr>
          <w:rFonts w:ascii="Book Antiqua" w:eastAsia="Calibri" w:hAnsi="Book Antiqua" w:cs="Times New Roman"/>
          <w:sz w:val="24"/>
          <w:szCs w:val="24"/>
        </w:rPr>
        <w:t>1 knockout mice</w:t>
      </w:r>
      <w:r w:rsidR="00FE4360" w:rsidRPr="00565259">
        <w:rPr>
          <w:rFonts w:ascii="Book Antiqua" w:eastAsia="Calibri" w:hAnsi="Book Antiqua" w:cs="Times New Roman"/>
          <w:bCs/>
          <w:sz w:val="24"/>
          <w:szCs w:val="24"/>
          <w:vertAlign w:val="superscript"/>
        </w:rPr>
        <w:t>[68]</w:t>
      </w:r>
      <w:r w:rsidRPr="00565259">
        <w:rPr>
          <w:rFonts w:ascii="Book Antiqua" w:eastAsia="Calibri" w:hAnsi="Book Antiqua" w:cs="Times New Roman"/>
          <w:sz w:val="24"/>
          <w:szCs w:val="24"/>
        </w:rPr>
        <w:t xml:space="preserve"> and with SIRT1 knockdown</w:t>
      </w:r>
      <w:r w:rsidR="00FE4360" w:rsidRPr="00565259">
        <w:rPr>
          <w:rFonts w:ascii="Book Antiqua" w:eastAsia="Calibri" w:hAnsi="Book Antiqua" w:cs="Times New Roman"/>
          <w:bCs/>
          <w:sz w:val="24"/>
          <w:szCs w:val="24"/>
          <w:vertAlign w:val="superscript"/>
        </w:rPr>
        <w:t>[70]</w:t>
      </w:r>
      <w:r w:rsidR="00A24197" w:rsidRPr="00565259">
        <w:rPr>
          <w:rFonts w:ascii="Book Antiqua" w:eastAsia="Calibri" w:hAnsi="Book Antiqua" w:cs="Times New Roman"/>
          <w:sz w:val="24"/>
          <w:szCs w:val="24"/>
        </w:rPr>
        <w:t>.</w:t>
      </w:r>
    </w:p>
    <w:p w14:paraId="004E8C5B" w14:textId="77777777" w:rsidR="00A45B26" w:rsidRPr="00565259" w:rsidRDefault="00A45B26" w:rsidP="00B83DB9">
      <w:pPr>
        <w:tabs>
          <w:tab w:val="left" w:pos="720"/>
        </w:tabs>
        <w:spacing w:after="0" w:line="360" w:lineRule="auto"/>
        <w:ind w:firstLineChars="100" w:firstLine="240"/>
        <w:jc w:val="both"/>
        <w:rPr>
          <w:rFonts w:ascii="Book Antiqua" w:eastAsia="Calibri" w:hAnsi="Book Antiqua" w:cs="Times New Roman"/>
          <w:sz w:val="24"/>
          <w:szCs w:val="24"/>
        </w:rPr>
      </w:pPr>
    </w:p>
    <w:p w14:paraId="71AD8E28" w14:textId="43BF8A9D" w:rsidR="005B4F14" w:rsidRPr="00565259" w:rsidRDefault="008C1C8F" w:rsidP="00B83DB9">
      <w:pPr>
        <w:pStyle w:val="1"/>
        <w:tabs>
          <w:tab w:val="left" w:pos="720"/>
        </w:tabs>
        <w:spacing w:before="0" w:line="360" w:lineRule="auto"/>
        <w:jc w:val="both"/>
        <w:rPr>
          <w:b/>
          <w:szCs w:val="24"/>
        </w:rPr>
      </w:pPr>
      <w:r w:rsidRPr="00565259">
        <w:rPr>
          <w:rFonts w:cs="Times New Roman"/>
          <w:b/>
          <w:szCs w:val="24"/>
        </w:rPr>
        <w:t xml:space="preserve">IMPAIRED </w:t>
      </w:r>
      <w:r w:rsidR="002A6CF9" w:rsidRPr="00565259">
        <w:rPr>
          <w:b/>
          <w:szCs w:val="24"/>
        </w:rPr>
        <w:t>EPC</w:t>
      </w:r>
      <w:r w:rsidR="004C5D30" w:rsidRPr="00565259">
        <w:rPr>
          <w:b/>
          <w:szCs w:val="24"/>
        </w:rPr>
        <w:t xml:space="preserve">S </w:t>
      </w:r>
      <w:r w:rsidRPr="00565259">
        <w:rPr>
          <w:b/>
          <w:szCs w:val="24"/>
        </w:rPr>
        <w:t>WITH</w:t>
      </w:r>
      <w:r w:rsidR="004C5D30" w:rsidRPr="00565259">
        <w:rPr>
          <w:b/>
          <w:szCs w:val="24"/>
        </w:rPr>
        <w:t xml:space="preserve"> AGING</w:t>
      </w:r>
    </w:p>
    <w:p w14:paraId="4B2DAD85" w14:textId="6323FB3F" w:rsidR="001C355D" w:rsidRPr="00565259" w:rsidRDefault="001C355D" w:rsidP="00B83DB9">
      <w:pPr>
        <w:tabs>
          <w:tab w:val="left" w:pos="720"/>
        </w:tabs>
        <w:spacing w:after="0" w:line="360" w:lineRule="auto"/>
        <w:jc w:val="both"/>
        <w:rPr>
          <w:rFonts w:ascii="Book Antiqua" w:hAnsi="Book Antiqua"/>
          <w:sz w:val="24"/>
          <w:szCs w:val="24"/>
        </w:rPr>
      </w:pPr>
      <w:r w:rsidRPr="00565259">
        <w:rPr>
          <w:rFonts w:ascii="Book Antiqua" w:hAnsi="Book Antiqua"/>
          <w:sz w:val="24"/>
          <w:szCs w:val="24"/>
        </w:rPr>
        <w:t xml:space="preserve">Blood supply is critical for fracture healing. Formation of sufficient vasculature at the fracture sites provides oxygen and nutrients for cell survival and proliferation. </w:t>
      </w:r>
      <w:r w:rsidRPr="00565259">
        <w:rPr>
          <w:rFonts w:ascii="Book Antiqua" w:hAnsi="Book Antiqua" w:cs="Arial"/>
          <w:sz w:val="24"/>
          <w:szCs w:val="24"/>
        </w:rPr>
        <w:t>A</w:t>
      </w:r>
      <w:r w:rsidRPr="00565259">
        <w:rPr>
          <w:rFonts w:ascii="Book Antiqua" w:hAnsi="Book Antiqua"/>
          <w:sz w:val="24"/>
          <w:szCs w:val="24"/>
        </w:rPr>
        <w:t>ging has negative effects on angiogenesis which can lead to delayed he</w:t>
      </w:r>
      <w:r w:rsidR="00A24197" w:rsidRPr="00565259">
        <w:rPr>
          <w:rFonts w:ascii="Book Antiqua" w:hAnsi="Book Antiqua"/>
          <w:sz w:val="24"/>
          <w:szCs w:val="24"/>
        </w:rPr>
        <w:t>aling or non-union of fractures</w:t>
      </w:r>
      <w:r w:rsidR="00FE4360" w:rsidRPr="00565259">
        <w:rPr>
          <w:rFonts w:ascii="Book Antiqua" w:hAnsi="Book Antiqua"/>
          <w:bCs/>
          <w:sz w:val="24"/>
          <w:szCs w:val="24"/>
          <w:vertAlign w:val="superscript"/>
        </w:rPr>
        <w:t>[36,71]</w:t>
      </w:r>
      <w:r w:rsidR="00A24197" w:rsidRPr="00565259">
        <w:rPr>
          <w:rFonts w:ascii="Book Antiqua" w:hAnsi="Book Antiqua"/>
          <w:sz w:val="24"/>
          <w:szCs w:val="24"/>
        </w:rPr>
        <w:t>.</w:t>
      </w:r>
      <w:r w:rsidR="00AE4389" w:rsidRPr="00565259">
        <w:rPr>
          <w:rFonts w:ascii="Book Antiqua" w:hAnsi="Book Antiqua"/>
          <w:sz w:val="24"/>
          <w:szCs w:val="24"/>
        </w:rPr>
        <w:t xml:space="preserve"> </w:t>
      </w:r>
      <w:r w:rsidRPr="00565259">
        <w:rPr>
          <w:rFonts w:ascii="Book Antiqua" w:hAnsi="Book Antiqua" w:cs="Arial"/>
          <w:sz w:val="24"/>
          <w:szCs w:val="24"/>
        </w:rPr>
        <w:t>Vascular changes such as the decline in endothelial function are reliable markers for aging</w:t>
      </w:r>
      <w:r w:rsidR="00FE4360" w:rsidRPr="00565259">
        <w:rPr>
          <w:rFonts w:ascii="Book Antiqua" w:hAnsi="Book Antiqua" w:cs="Arial"/>
          <w:bCs/>
          <w:sz w:val="24"/>
          <w:szCs w:val="24"/>
          <w:vertAlign w:val="superscript"/>
        </w:rPr>
        <w:t>[72-75]</w:t>
      </w:r>
      <w:r w:rsidR="00A24197" w:rsidRPr="00565259">
        <w:rPr>
          <w:rFonts w:ascii="Book Antiqua" w:hAnsi="Book Antiqua" w:cs="Arial"/>
          <w:sz w:val="24"/>
          <w:szCs w:val="24"/>
        </w:rPr>
        <w:t>.</w:t>
      </w:r>
      <w:r w:rsidR="008D0C19" w:rsidRPr="00565259">
        <w:rPr>
          <w:rFonts w:ascii="Book Antiqua" w:hAnsi="Book Antiqua" w:cs="Arial"/>
          <w:sz w:val="24"/>
          <w:szCs w:val="24"/>
        </w:rPr>
        <w:t xml:space="preserve"> </w:t>
      </w:r>
      <w:r w:rsidRPr="00565259">
        <w:rPr>
          <w:rFonts w:ascii="Book Antiqua" w:hAnsi="Book Antiqua" w:cs="Arial"/>
          <w:sz w:val="24"/>
          <w:szCs w:val="24"/>
        </w:rPr>
        <w:t xml:space="preserve">Highly proliferative </w:t>
      </w:r>
      <w:r w:rsidR="00E94BB9" w:rsidRPr="00565259">
        <w:rPr>
          <w:rFonts w:ascii="Book Antiqua" w:hAnsi="Book Antiqua" w:cs="Arial"/>
          <w:sz w:val="24"/>
          <w:szCs w:val="24"/>
        </w:rPr>
        <w:t>EPCs</w:t>
      </w:r>
      <w:r w:rsidRPr="00565259">
        <w:rPr>
          <w:rFonts w:ascii="Book Antiqua" w:hAnsi="Book Antiqua" w:cs="Arial"/>
          <w:sz w:val="24"/>
          <w:szCs w:val="24"/>
        </w:rPr>
        <w:t>, also described as late outgrowth EPCs or endothelial colony forming cells (ECFCs), are believed to play an important role in maintenance of the viable endothelial layer in the vascular system</w:t>
      </w:r>
      <w:r w:rsidR="00FE4360" w:rsidRPr="00565259">
        <w:rPr>
          <w:rFonts w:ascii="Book Antiqua" w:hAnsi="Book Antiqua" w:cs="Arial"/>
          <w:bCs/>
          <w:sz w:val="24"/>
          <w:szCs w:val="24"/>
          <w:vertAlign w:val="superscript"/>
        </w:rPr>
        <w:t>[76-78]</w:t>
      </w:r>
      <w:r w:rsidR="00A24197" w:rsidRPr="00565259">
        <w:rPr>
          <w:rFonts w:ascii="Book Antiqua" w:hAnsi="Book Antiqua" w:cs="Arial"/>
          <w:sz w:val="24"/>
          <w:szCs w:val="24"/>
        </w:rPr>
        <w:t>.</w:t>
      </w:r>
    </w:p>
    <w:p w14:paraId="2801B908" w14:textId="71085940" w:rsidR="001C355D" w:rsidRPr="00565259" w:rsidRDefault="001C355D" w:rsidP="00B83DB9">
      <w:pPr>
        <w:tabs>
          <w:tab w:val="left" w:pos="720"/>
        </w:tabs>
        <w:spacing w:after="0" w:line="360" w:lineRule="auto"/>
        <w:ind w:firstLineChars="100" w:firstLine="240"/>
        <w:jc w:val="both"/>
        <w:rPr>
          <w:rFonts w:ascii="Book Antiqua" w:hAnsi="Book Antiqua"/>
          <w:sz w:val="24"/>
          <w:szCs w:val="24"/>
        </w:rPr>
      </w:pPr>
      <w:r w:rsidRPr="00565259">
        <w:rPr>
          <w:rFonts w:ascii="Book Antiqua" w:hAnsi="Book Antiqua"/>
          <w:sz w:val="24"/>
          <w:szCs w:val="24"/>
        </w:rPr>
        <w:t>Aging decreases endothelial cell (EC) proliferation and migration, as well as the expression of EC growth facto</w:t>
      </w:r>
      <w:r w:rsidR="001078D4" w:rsidRPr="00565259">
        <w:rPr>
          <w:rFonts w:ascii="Book Antiqua" w:hAnsi="Book Antiqua"/>
          <w:sz w:val="24"/>
          <w:szCs w:val="24"/>
        </w:rPr>
        <w:t>rs</w:t>
      </w:r>
      <w:r w:rsidR="00A24197" w:rsidRPr="00565259">
        <w:rPr>
          <w:rFonts w:ascii="Book Antiqua" w:hAnsi="Book Antiqua"/>
          <w:sz w:val="24"/>
          <w:szCs w:val="24"/>
        </w:rPr>
        <w:t xml:space="preserve"> and their cognate receptors</w:t>
      </w:r>
      <w:r w:rsidR="00FE4360" w:rsidRPr="00565259">
        <w:rPr>
          <w:rFonts w:ascii="Book Antiqua" w:hAnsi="Book Antiqua"/>
          <w:bCs/>
          <w:sz w:val="24"/>
          <w:szCs w:val="24"/>
          <w:vertAlign w:val="superscript"/>
        </w:rPr>
        <w:t>[79-81]</w:t>
      </w:r>
      <w:r w:rsidR="00A24197" w:rsidRPr="00565259">
        <w:rPr>
          <w:rFonts w:ascii="Book Antiqua" w:hAnsi="Book Antiqua"/>
          <w:sz w:val="24"/>
          <w:szCs w:val="24"/>
        </w:rPr>
        <w:t>.</w:t>
      </w:r>
      <w:r w:rsidR="008D0C19" w:rsidRPr="00565259">
        <w:rPr>
          <w:rFonts w:ascii="Book Antiqua" w:hAnsi="Book Antiqua"/>
          <w:sz w:val="24"/>
          <w:szCs w:val="24"/>
        </w:rPr>
        <w:t xml:space="preserve"> </w:t>
      </w:r>
      <w:r w:rsidR="00D57E27" w:rsidRPr="00565259">
        <w:rPr>
          <w:rFonts w:ascii="Book Antiqua" w:hAnsi="Book Antiqua"/>
          <w:sz w:val="24"/>
          <w:szCs w:val="24"/>
        </w:rPr>
        <w:t xml:space="preserve">Aging </w:t>
      </w:r>
      <w:r w:rsidRPr="00565259">
        <w:rPr>
          <w:rFonts w:ascii="Book Antiqua" w:hAnsi="Book Antiqua"/>
          <w:sz w:val="24"/>
          <w:szCs w:val="24"/>
        </w:rPr>
        <w:t xml:space="preserve">is </w:t>
      </w:r>
      <w:r w:rsidR="00A375A2" w:rsidRPr="00565259">
        <w:rPr>
          <w:rFonts w:ascii="Book Antiqua" w:hAnsi="Book Antiqua"/>
          <w:sz w:val="24"/>
          <w:szCs w:val="24"/>
        </w:rPr>
        <w:t xml:space="preserve">also </w:t>
      </w:r>
      <w:r w:rsidRPr="00565259">
        <w:rPr>
          <w:rFonts w:ascii="Book Antiqua" w:hAnsi="Book Antiqua"/>
          <w:sz w:val="24"/>
          <w:szCs w:val="24"/>
        </w:rPr>
        <w:t>a major cause for endothelial dysfunction a</w:t>
      </w:r>
      <w:r w:rsidR="00A24197" w:rsidRPr="00565259">
        <w:rPr>
          <w:rFonts w:ascii="Book Antiqua" w:hAnsi="Book Antiqua"/>
          <w:sz w:val="24"/>
          <w:szCs w:val="24"/>
        </w:rPr>
        <w:t>nd microvascular hypermeability</w:t>
      </w:r>
      <w:r w:rsidR="00FE4360" w:rsidRPr="00565259">
        <w:rPr>
          <w:rFonts w:ascii="Book Antiqua" w:hAnsi="Book Antiqua"/>
          <w:bCs/>
          <w:sz w:val="24"/>
          <w:szCs w:val="24"/>
          <w:vertAlign w:val="superscript"/>
        </w:rPr>
        <w:t>[82,83]</w:t>
      </w:r>
      <w:r w:rsidR="00A24197" w:rsidRPr="00565259">
        <w:rPr>
          <w:rFonts w:ascii="Book Antiqua" w:hAnsi="Book Antiqua"/>
          <w:sz w:val="24"/>
          <w:szCs w:val="24"/>
        </w:rPr>
        <w:t>.</w:t>
      </w:r>
      <w:r w:rsidR="00D34A6B" w:rsidRPr="00565259">
        <w:rPr>
          <w:rFonts w:ascii="Book Antiqua" w:hAnsi="Book Antiqua"/>
          <w:sz w:val="24"/>
          <w:szCs w:val="24"/>
        </w:rPr>
        <w:t xml:space="preserve"> </w:t>
      </w:r>
      <w:r w:rsidRPr="00565259">
        <w:rPr>
          <w:rFonts w:ascii="Book Antiqua" w:hAnsi="Book Antiqua"/>
          <w:sz w:val="24"/>
          <w:szCs w:val="24"/>
        </w:rPr>
        <w:t>The mechanisms underlying age-related endothelial dysfunction likely involve increased oxidative stress and alterations in molecular pathways affecting common aging processes. Importantly, EPC dysfunction and senescence</w:t>
      </w:r>
      <w:r w:rsidR="00A24197" w:rsidRPr="00565259">
        <w:rPr>
          <w:rFonts w:ascii="Book Antiqua" w:hAnsi="Book Antiqua"/>
          <w:sz w:val="24"/>
          <w:szCs w:val="24"/>
        </w:rPr>
        <w:t xml:space="preserve"> contribute to oxidative stress</w:t>
      </w:r>
      <w:r w:rsidR="00FE4360" w:rsidRPr="00565259">
        <w:rPr>
          <w:rFonts w:ascii="Book Antiqua" w:hAnsi="Book Antiqua"/>
          <w:bCs/>
          <w:sz w:val="24"/>
          <w:szCs w:val="24"/>
          <w:vertAlign w:val="superscript"/>
        </w:rPr>
        <w:t>[84]</w:t>
      </w:r>
      <w:r w:rsidR="00A24197" w:rsidRPr="00565259">
        <w:rPr>
          <w:rFonts w:ascii="Book Antiqua" w:hAnsi="Book Antiqua"/>
          <w:sz w:val="24"/>
          <w:szCs w:val="24"/>
        </w:rPr>
        <w:t>.</w:t>
      </w:r>
    </w:p>
    <w:p w14:paraId="368E8104" w14:textId="5B52684F" w:rsidR="001C355D" w:rsidRPr="00565259" w:rsidRDefault="001C355D" w:rsidP="00B83DB9">
      <w:pPr>
        <w:tabs>
          <w:tab w:val="left" w:pos="720"/>
        </w:tabs>
        <w:spacing w:after="0" w:line="360" w:lineRule="auto"/>
        <w:ind w:firstLineChars="100" w:firstLine="240"/>
        <w:jc w:val="both"/>
        <w:rPr>
          <w:rFonts w:ascii="Book Antiqua" w:hAnsi="Book Antiqua"/>
          <w:sz w:val="24"/>
          <w:szCs w:val="24"/>
        </w:rPr>
      </w:pPr>
      <w:r w:rsidRPr="00565259">
        <w:rPr>
          <w:rFonts w:ascii="Book Antiqua" w:hAnsi="Book Antiqua"/>
          <w:sz w:val="24"/>
          <w:szCs w:val="24"/>
        </w:rPr>
        <w:t xml:space="preserve">Age related mitochondrial dysfunction is a likely candidate to explain this endothelial progenitor dysfunction. Mitochondria-derived production of ROS results in increased oxidative stress in </w:t>
      </w:r>
      <w:r w:rsidR="00804A7E" w:rsidRPr="00565259">
        <w:rPr>
          <w:rFonts w:ascii="Book Antiqua" w:hAnsi="Book Antiqua"/>
          <w:sz w:val="24"/>
          <w:szCs w:val="24"/>
        </w:rPr>
        <w:t>EC</w:t>
      </w:r>
      <w:r w:rsidRPr="00565259">
        <w:rPr>
          <w:rFonts w:ascii="Book Antiqua" w:hAnsi="Book Antiqua"/>
          <w:sz w:val="24"/>
          <w:szCs w:val="24"/>
        </w:rPr>
        <w:t>s. Attenuation of mitochondrial oxidative stress in a genetically modified mouse model of overexpression of human catalase in mitochondria improved endothelial function</w:t>
      </w:r>
      <w:r w:rsidR="00FE4360" w:rsidRPr="00565259">
        <w:rPr>
          <w:rFonts w:ascii="Book Antiqua" w:hAnsi="Book Antiqua"/>
          <w:bCs/>
          <w:sz w:val="24"/>
          <w:szCs w:val="24"/>
          <w:vertAlign w:val="superscript"/>
        </w:rPr>
        <w:t>[85]</w:t>
      </w:r>
      <w:r w:rsidR="00357CCC" w:rsidRPr="00565259">
        <w:rPr>
          <w:rFonts w:ascii="Book Antiqua" w:hAnsi="Book Antiqua"/>
          <w:sz w:val="24"/>
          <w:szCs w:val="24"/>
        </w:rPr>
        <w:t>.</w:t>
      </w:r>
      <w:r w:rsidR="00E4283A" w:rsidRPr="00565259">
        <w:rPr>
          <w:rFonts w:ascii="Book Antiqua" w:hAnsi="Book Antiqua"/>
          <w:sz w:val="24"/>
          <w:szCs w:val="24"/>
        </w:rPr>
        <w:t xml:space="preserve"> </w:t>
      </w:r>
      <w:r w:rsidRPr="00565259">
        <w:rPr>
          <w:rFonts w:ascii="Book Antiqua" w:hAnsi="Book Antiqua"/>
          <w:sz w:val="24"/>
          <w:szCs w:val="24"/>
        </w:rPr>
        <w:t>Conversely, genetic deletion of the mitochondrial antioxidant proteins</w:t>
      </w:r>
      <w:r w:rsidR="00804A7E" w:rsidRPr="00565259">
        <w:rPr>
          <w:rFonts w:ascii="Book Antiqua" w:hAnsi="Book Antiqua"/>
          <w:sz w:val="24"/>
          <w:szCs w:val="24"/>
        </w:rPr>
        <w:t>,</w:t>
      </w:r>
      <w:r w:rsidRPr="00565259">
        <w:rPr>
          <w:rFonts w:ascii="Book Antiqua" w:hAnsi="Book Antiqua"/>
          <w:sz w:val="24"/>
          <w:szCs w:val="24"/>
        </w:rPr>
        <w:t xml:space="preserve"> mitochondrial SOD and glutathione peroxidase 1</w:t>
      </w:r>
      <w:r w:rsidR="00804A7E" w:rsidRPr="00565259">
        <w:rPr>
          <w:rFonts w:ascii="Book Antiqua" w:hAnsi="Book Antiqua"/>
          <w:sz w:val="24"/>
          <w:szCs w:val="24"/>
        </w:rPr>
        <w:t>,</w:t>
      </w:r>
      <w:r w:rsidRPr="00565259">
        <w:rPr>
          <w:rFonts w:ascii="Book Antiqua" w:hAnsi="Book Antiqua"/>
          <w:sz w:val="24"/>
          <w:szCs w:val="24"/>
        </w:rPr>
        <w:t xml:space="preserve"> </w:t>
      </w:r>
      <w:r w:rsidR="00804A7E" w:rsidRPr="00565259">
        <w:rPr>
          <w:rFonts w:ascii="Book Antiqua" w:hAnsi="Book Antiqua"/>
          <w:sz w:val="24"/>
          <w:szCs w:val="24"/>
        </w:rPr>
        <w:t xml:space="preserve">exacerbated </w:t>
      </w:r>
      <w:r w:rsidRPr="00565259">
        <w:rPr>
          <w:rFonts w:ascii="Book Antiqua" w:hAnsi="Book Antiqua"/>
          <w:sz w:val="24"/>
          <w:szCs w:val="24"/>
        </w:rPr>
        <w:t>a</w:t>
      </w:r>
      <w:r w:rsidR="00A24197" w:rsidRPr="00565259">
        <w:rPr>
          <w:rFonts w:ascii="Book Antiqua" w:hAnsi="Book Antiqua"/>
          <w:sz w:val="24"/>
          <w:szCs w:val="24"/>
        </w:rPr>
        <w:t>ge-related vascular dysfunction</w:t>
      </w:r>
      <w:r w:rsidR="00FE4360" w:rsidRPr="00565259">
        <w:rPr>
          <w:rFonts w:ascii="Book Antiqua" w:hAnsi="Book Antiqua"/>
          <w:bCs/>
          <w:sz w:val="24"/>
          <w:szCs w:val="24"/>
          <w:vertAlign w:val="superscript"/>
        </w:rPr>
        <w:t>[86,87]</w:t>
      </w:r>
      <w:r w:rsidR="00A24197" w:rsidRPr="00565259">
        <w:rPr>
          <w:rFonts w:ascii="Book Antiqua" w:hAnsi="Book Antiqua"/>
          <w:sz w:val="24"/>
          <w:szCs w:val="24"/>
        </w:rPr>
        <w:t>.</w:t>
      </w:r>
      <w:r w:rsidR="00E4283A" w:rsidRPr="00565259">
        <w:rPr>
          <w:rFonts w:ascii="Book Antiqua" w:hAnsi="Book Antiqua"/>
          <w:sz w:val="24"/>
          <w:szCs w:val="24"/>
        </w:rPr>
        <w:t xml:space="preserve"> </w:t>
      </w:r>
      <w:r w:rsidRPr="00565259">
        <w:rPr>
          <w:rFonts w:ascii="Book Antiqua" w:hAnsi="Book Antiqua"/>
          <w:sz w:val="24"/>
          <w:szCs w:val="24"/>
        </w:rPr>
        <w:t xml:space="preserve">Age-related oxidative stress may also be caused by increased activity of NADPH oxidase in </w:t>
      </w:r>
      <w:r w:rsidR="00804A7E" w:rsidRPr="00565259">
        <w:rPr>
          <w:rFonts w:ascii="Book Antiqua" w:hAnsi="Book Antiqua"/>
          <w:sz w:val="24"/>
          <w:szCs w:val="24"/>
        </w:rPr>
        <w:t>EC</w:t>
      </w:r>
      <w:r w:rsidR="00A24197" w:rsidRPr="00565259">
        <w:rPr>
          <w:rFonts w:ascii="Book Antiqua" w:hAnsi="Book Antiqua"/>
          <w:sz w:val="24"/>
          <w:szCs w:val="24"/>
        </w:rPr>
        <w:t>s</w:t>
      </w:r>
      <w:r w:rsidR="00FE4360" w:rsidRPr="00565259">
        <w:rPr>
          <w:rFonts w:ascii="Book Antiqua" w:hAnsi="Book Antiqua"/>
          <w:bCs/>
          <w:sz w:val="24"/>
          <w:szCs w:val="24"/>
          <w:vertAlign w:val="superscript"/>
        </w:rPr>
        <w:t>[88]</w:t>
      </w:r>
      <w:r w:rsidR="00A24197" w:rsidRPr="00565259">
        <w:rPr>
          <w:rFonts w:ascii="Book Antiqua" w:hAnsi="Book Antiqua"/>
          <w:sz w:val="24"/>
          <w:szCs w:val="24"/>
        </w:rPr>
        <w:t>.</w:t>
      </w:r>
      <w:r w:rsidR="00C17406" w:rsidRPr="00565259">
        <w:rPr>
          <w:rFonts w:ascii="Book Antiqua" w:hAnsi="Book Antiqua"/>
          <w:sz w:val="24"/>
          <w:szCs w:val="24"/>
        </w:rPr>
        <w:t xml:space="preserve"> </w:t>
      </w:r>
      <w:r w:rsidRPr="00565259">
        <w:rPr>
          <w:rFonts w:ascii="Book Antiqua" w:hAnsi="Book Antiqua"/>
          <w:sz w:val="24"/>
          <w:szCs w:val="24"/>
        </w:rPr>
        <w:t xml:space="preserve">Increased oxidative stress in aged </w:t>
      </w:r>
      <w:r w:rsidR="00804A7E" w:rsidRPr="00565259">
        <w:rPr>
          <w:rFonts w:ascii="Book Antiqua" w:hAnsi="Book Antiqua"/>
          <w:sz w:val="24"/>
          <w:szCs w:val="24"/>
        </w:rPr>
        <w:t>EC</w:t>
      </w:r>
      <w:r w:rsidR="00A24197" w:rsidRPr="00565259">
        <w:rPr>
          <w:rFonts w:ascii="Book Antiqua" w:hAnsi="Book Antiqua"/>
          <w:sz w:val="24"/>
          <w:szCs w:val="24"/>
        </w:rPr>
        <w:t>s inactivates nitric oxide (NO)</w:t>
      </w:r>
      <w:r w:rsidR="00FE4360" w:rsidRPr="00565259">
        <w:rPr>
          <w:rFonts w:ascii="Book Antiqua" w:hAnsi="Book Antiqua"/>
          <w:bCs/>
          <w:sz w:val="24"/>
          <w:szCs w:val="24"/>
          <w:vertAlign w:val="superscript"/>
        </w:rPr>
        <w:t>[88,89]</w:t>
      </w:r>
      <w:r w:rsidR="00A24197" w:rsidRPr="00565259">
        <w:rPr>
          <w:rFonts w:ascii="Book Antiqua" w:hAnsi="Book Antiqua"/>
          <w:sz w:val="24"/>
          <w:szCs w:val="24"/>
        </w:rPr>
        <w:t>.</w:t>
      </w:r>
      <w:r w:rsidR="00E4283A" w:rsidRPr="00565259">
        <w:rPr>
          <w:rFonts w:ascii="Book Antiqua" w:hAnsi="Book Antiqua"/>
          <w:sz w:val="24"/>
          <w:szCs w:val="24"/>
        </w:rPr>
        <w:t xml:space="preserve"> </w:t>
      </w:r>
      <w:r w:rsidRPr="00565259">
        <w:rPr>
          <w:rFonts w:ascii="Book Antiqua" w:hAnsi="Book Antiqua"/>
          <w:sz w:val="24"/>
          <w:szCs w:val="24"/>
        </w:rPr>
        <w:t>Impaired bioavailability of NO negatively affects cell division and survival, mitochondrial function and cellular energy metabolism, a</w:t>
      </w:r>
      <w:r w:rsidR="00A24197" w:rsidRPr="00565259">
        <w:rPr>
          <w:rFonts w:ascii="Book Antiqua" w:hAnsi="Book Antiqua"/>
          <w:sz w:val="24"/>
          <w:szCs w:val="24"/>
        </w:rPr>
        <w:t xml:space="preserve">nd </w:t>
      </w:r>
      <w:r w:rsidR="00E94BB9" w:rsidRPr="00565259">
        <w:rPr>
          <w:rFonts w:ascii="Book Antiqua" w:hAnsi="Book Antiqua"/>
          <w:sz w:val="24"/>
          <w:szCs w:val="24"/>
        </w:rPr>
        <w:t>EPC</w:t>
      </w:r>
      <w:r w:rsidR="00A24197" w:rsidRPr="00565259">
        <w:rPr>
          <w:rFonts w:ascii="Book Antiqua" w:hAnsi="Book Antiqua"/>
          <w:sz w:val="24"/>
          <w:szCs w:val="24"/>
        </w:rPr>
        <w:t>s</w:t>
      </w:r>
      <w:r w:rsidR="00FE4360" w:rsidRPr="00565259">
        <w:rPr>
          <w:rFonts w:ascii="Book Antiqua" w:hAnsi="Book Antiqua"/>
          <w:bCs/>
          <w:sz w:val="24"/>
          <w:szCs w:val="24"/>
          <w:vertAlign w:val="superscript"/>
        </w:rPr>
        <w:t>[90]</w:t>
      </w:r>
      <w:r w:rsidR="00A24197" w:rsidRPr="00565259">
        <w:rPr>
          <w:rFonts w:ascii="Book Antiqua" w:hAnsi="Book Antiqua"/>
          <w:sz w:val="24"/>
          <w:szCs w:val="24"/>
        </w:rPr>
        <w:t>.</w:t>
      </w:r>
      <w:r w:rsidR="00E4283A" w:rsidRPr="00565259">
        <w:rPr>
          <w:rFonts w:ascii="Book Antiqua" w:hAnsi="Book Antiqua"/>
          <w:sz w:val="24"/>
          <w:szCs w:val="24"/>
        </w:rPr>
        <w:t xml:space="preserve"> </w:t>
      </w:r>
    </w:p>
    <w:p w14:paraId="34394C71" w14:textId="60C75144" w:rsidR="001C355D" w:rsidRPr="00565259" w:rsidRDefault="00357CCC" w:rsidP="00B83DB9">
      <w:pPr>
        <w:tabs>
          <w:tab w:val="left" w:pos="720"/>
        </w:tabs>
        <w:spacing w:after="0" w:line="360" w:lineRule="auto"/>
        <w:ind w:firstLineChars="100" w:firstLine="240"/>
        <w:jc w:val="both"/>
        <w:rPr>
          <w:rFonts w:ascii="Book Antiqua" w:hAnsi="Book Antiqua"/>
          <w:sz w:val="24"/>
          <w:szCs w:val="24"/>
        </w:rPr>
      </w:pPr>
      <w:r w:rsidRPr="00565259">
        <w:rPr>
          <w:rFonts w:ascii="Book Antiqua" w:hAnsi="Book Antiqua"/>
          <w:sz w:val="24"/>
          <w:szCs w:val="24"/>
        </w:rPr>
        <w:t>SIRT1 is</w:t>
      </w:r>
      <w:r w:rsidR="001C355D" w:rsidRPr="00565259">
        <w:rPr>
          <w:rFonts w:ascii="Book Antiqua" w:hAnsi="Book Antiqua"/>
          <w:sz w:val="24"/>
          <w:szCs w:val="24"/>
        </w:rPr>
        <w:t xml:space="preserve"> an important molecular regulator in </w:t>
      </w:r>
      <w:r w:rsidR="00804A7E" w:rsidRPr="00565259">
        <w:rPr>
          <w:rFonts w:ascii="Book Antiqua" w:hAnsi="Book Antiqua"/>
          <w:sz w:val="24"/>
          <w:szCs w:val="24"/>
        </w:rPr>
        <w:t>EC</w:t>
      </w:r>
      <w:r w:rsidR="001C355D" w:rsidRPr="00565259">
        <w:rPr>
          <w:rFonts w:ascii="Book Antiqua" w:hAnsi="Book Antiqua"/>
          <w:sz w:val="24"/>
          <w:szCs w:val="24"/>
        </w:rPr>
        <w:t>s</w:t>
      </w:r>
      <w:r w:rsidR="00FE4360" w:rsidRPr="00565259">
        <w:rPr>
          <w:rFonts w:ascii="Book Antiqua" w:hAnsi="Book Antiqua"/>
          <w:bCs/>
          <w:sz w:val="24"/>
          <w:szCs w:val="24"/>
          <w:vertAlign w:val="superscript"/>
        </w:rPr>
        <w:t>[91]</w:t>
      </w:r>
      <w:r w:rsidR="00E4283A" w:rsidRPr="00565259">
        <w:rPr>
          <w:rFonts w:ascii="Book Antiqua" w:hAnsi="Book Antiqua"/>
          <w:sz w:val="24"/>
          <w:szCs w:val="24"/>
        </w:rPr>
        <w:t xml:space="preserve"> </w:t>
      </w:r>
      <w:r w:rsidRPr="00565259">
        <w:rPr>
          <w:rFonts w:ascii="Book Antiqua" w:hAnsi="Book Antiqua"/>
          <w:sz w:val="24"/>
          <w:szCs w:val="24"/>
        </w:rPr>
        <w:t>in addition to its role in MSCs.</w:t>
      </w:r>
      <w:r w:rsidR="00C17406" w:rsidRPr="00565259">
        <w:rPr>
          <w:rFonts w:ascii="Book Antiqua" w:hAnsi="Book Antiqua"/>
          <w:sz w:val="24"/>
          <w:szCs w:val="24"/>
        </w:rPr>
        <w:t xml:space="preserve"> </w:t>
      </w:r>
      <w:r w:rsidR="001C355D" w:rsidRPr="00565259">
        <w:rPr>
          <w:rFonts w:ascii="Book Antiqua" w:hAnsi="Book Antiqua"/>
          <w:sz w:val="24"/>
          <w:szCs w:val="24"/>
        </w:rPr>
        <w:t>SIRT1 expression and activity decreases with aging in the vasculature. Accordingly, pharmacological activation of SIRT1 significantly improves endothelial function in aged mice</w:t>
      </w:r>
      <w:r w:rsidR="00FE4360" w:rsidRPr="00565259">
        <w:rPr>
          <w:rFonts w:ascii="Book Antiqua" w:hAnsi="Book Antiqua"/>
          <w:bCs/>
          <w:sz w:val="24"/>
          <w:szCs w:val="24"/>
          <w:vertAlign w:val="superscript"/>
        </w:rPr>
        <w:t>[92]</w:t>
      </w:r>
      <w:r w:rsidR="00A24197" w:rsidRPr="00565259">
        <w:rPr>
          <w:rFonts w:ascii="Book Antiqua" w:hAnsi="Book Antiqua"/>
          <w:sz w:val="24"/>
          <w:szCs w:val="24"/>
        </w:rPr>
        <w:t>.</w:t>
      </w:r>
      <w:r w:rsidR="00E4283A" w:rsidRPr="00565259">
        <w:rPr>
          <w:rFonts w:ascii="Book Antiqua" w:hAnsi="Book Antiqua"/>
          <w:sz w:val="24"/>
          <w:szCs w:val="24"/>
        </w:rPr>
        <w:t xml:space="preserve"> </w:t>
      </w:r>
      <w:r w:rsidR="001C355D" w:rsidRPr="00565259">
        <w:rPr>
          <w:rFonts w:ascii="Book Antiqua" w:hAnsi="Book Antiqua"/>
          <w:sz w:val="24"/>
          <w:szCs w:val="24"/>
        </w:rPr>
        <w:t>Similarly, cleavage of SIRT1 by cathepsin in EPCs mediates stress-induced premature senescence</w:t>
      </w:r>
      <w:r w:rsidR="00FE4360" w:rsidRPr="00565259">
        <w:rPr>
          <w:rFonts w:ascii="Book Antiqua" w:hAnsi="Book Antiqua"/>
          <w:bCs/>
          <w:sz w:val="24"/>
          <w:szCs w:val="24"/>
          <w:vertAlign w:val="superscript"/>
        </w:rPr>
        <w:t>[93]</w:t>
      </w:r>
      <w:r w:rsidR="00A24197" w:rsidRPr="00565259">
        <w:rPr>
          <w:rFonts w:ascii="Book Antiqua" w:hAnsi="Book Antiqua"/>
          <w:sz w:val="24"/>
          <w:szCs w:val="24"/>
        </w:rPr>
        <w:t>.</w:t>
      </w:r>
    </w:p>
    <w:p w14:paraId="61A41DB1" w14:textId="268EE7D5" w:rsidR="001C355D" w:rsidRPr="00565259" w:rsidRDefault="001C355D" w:rsidP="00B83DB9">
      <w:pPr>
        <w:tabs>
          <w:tab w:val="left" w:pos="720"/>
        </w:tabs>
        <w:spacing w:after="0" w:line="360" w:lineRule="auto"/>
        <w:ind w:firstLineChars="100" w:firstLine="240"/>
        <w:jc w:val="both"/>
        <w:rPr>
          <w:rFonts w:ascii="Book Antiqua" w:hAnsi="Book Antiqua"/>
          <w:sz w:val="24"/>
          <w:szCs w:val="24"/>
        </w:rPr>
      </w:pPr>
      <w:r w:rsidRPr="00565259">
        <w:rPr>
          <w:rFonts w:ascii="Book Antiqua" w:hAnsi="Book Antiqua"/>
          <w:sz w:val="24"/>
          <w:szCs w:val="24"/>
        </w:rPr>
        <w:t xml:space="preserve">Age is also a limiting factor for mobilization of EPCs including </w:t>
      </w:r>
      <w:r w:rsidR="00A24197" w:rsidRPr="00565259">
        <w:rPr>
          <w:rFonts w:ascii="Book Antiqua" w:hAnsi="Book Antiqua"/>
          <w:sz w:val="24"/>
          <w:szCs w:val="24"/>
        </w:rPr>
        <w:t>ECFCs</w:t>
      </w:r>
      <w:r w:rsidR="00FE4360" w:rsidRPr="00565259">
        <w:rPr>
          <w:rFonts w:ascii="Book Antiqua" w:hAnsi="Book Antiqua"/>
          <w:bCs/>
          <w:sz w:val="24"/>
          <w:szCs w:val="24"/>
          <w:vertAlign w:val="superscript"/>
        </w:rPr>
        <w:t>[94-96]</w:t>
      </w:r>
      <w:r w:rsidR="00A24197" w:rsidRPr="00565259">
        <w:rPr>
          <w:rFonts w:ascii="Book Antiqua" w:hAnsi="Book Antiqua"/>
          <w:sz w:val="24"/>
          <w:szCs w:val="24"/>
        </w:rPr>
        <w:t>.</w:t>
      </w:r>
      <w:r w:rsidR="00E4283A" w:rsidRPr="00565259">
        <w:rPr>
          <w:rFonts w:ascii="Book Antiqua" w:hAnsi="Book Antiqua"/>
          <w:sz w:val="24"/>
          <w:szCs w:val="24"/>
        </w:rPr>
        <w:t xml:space="preserve"> </w:t>
      </w:r>
      <w:r w:rsidR="00804A7E" w:rsidRPr="00565259">
        <w:rPr>
          <w:rFonts w:ascii="Book Antiqua" w:hAnsi="Book Antiqua" w:cs="Arial"/>
          <w:sz w:val="24"/>
          <w:szCs w:val="24"/>
        </w:rPr>
        <w:t>Thus, it appears that the</w:t>
      </w:r>
      <w:r w:rsidRPr="00565259">
        <w:rPr>
          <w:rFonts w:ascii="Book Antiqua" w:hAnsi="Book Antiqua" w:cs="Arial"/>
          <w:sz w:val="24"/>
          <w:szCs w:val="24"/>
        </w:rPr>
        <w:t xml:space="preserve"> decrease in number and/or function of ECFCs, a homogenous population of </w:t>
      </w:r>
      <w:r w:rsidR="00E94BB9" w:rsidRPr="00565259">
        <w:rPr>
          <w:rFonts w:ascii="Book Antiqua" w:hAnsi="Book Antiqua" w:cs="Arial"/>
          <w:sz w:val="24"/>
          <w:szCs w:val="24"/>
        </w:rPr>
        <w:t>EPC</w:t>
      </w:r>
      <w:r w:rsidRPr="00565259">
        <w:rPr>
          <w:rFonts w:ascii="Book Antiqua" w:hAnsi="Book Antiqua" w:cs="Arial"/>
          <w:sz w:val="24"/>
          <w:szCs w:val="24"/>
        </w:rPr>
        <w:t>s, may be a major driver for failed fracture repair in elderly patients.</w:t>
      </w:r>
      <w:r w:rsidRPr="00565259" w:rsidDel="006E108A">
        <w:rPr>
          <w:rFonts w:ascii="Book Antiqua" w:hAnsi="Book Antiqua" w:cs="Arial"/>
          <w:sz w:val="24"/>
          <w:szCs w:val="24"/>
        </w:rPr>
        <w:t xml:space="preserve"> </w:t>
      </w:r>
      <w:r w:rsidRPr="00565259">
        <w:rPr>
          <w:rFonts w:ascii="Book Antiqua" w:hAnsi="Book Antiqua" w:cs="Arial"/>
          <w:sz w:val="24"/>
          <w:szCs w:val="24"/>
        </w:rPr>
        <w:t>Previous stud</w:t>
      </w:r>
      <w:r w:rsidR="00804A7E" w:rsidRPr="00565259">
        <w:rPr>
          <w:rFonts w:ascii="Book Antiqua" w:hAnsi="Book Antiqua" w:cs="Arial"/>
          <w:sz w:val="24"/>
          <w:szCs w:val="24"/>
        </w:rPr>
        <w:t>ies</w:t>
      </w:r>
      <w:r w:rsidRPr="00565259">
        <w:rPr>
          <w:rFonts w:ascii="Book Antiqua" w:hAnsi="Book Antiqua" w:cs="Arial"/>
          <w:sz w:val="24"/>
          <w:szCs w:val="24"/>
        </w:rPr>
        <w:t xml:space="preserve"> </w:t>
      </w:r>
      <w:r w:rsidR="00D34A6B" w:rsidRPr="00565259">
        <w:rPr>
          <w:rFonts w:ascii="Book Antiqua" w:hAnsi="Book Antiqua" w:cs="Arial"/>
          <w:sz w:val="24"/>
          <w:szCs w:val="24"/>
        </w:rPr>
        <w:t>suggest</w:t>
      </w:r>
      <w:r w:rsidRPr="00565259">
        <w:rPr>
          <w:rFonts w:ascii="Book Antiqua" w:hAnsi="Book Antiqua" w:cs="Arial"/>
          <w:sz w:val="24"/>
          <w:szCs w:val="24"/>
        </w:rPr>
        <w:t xml:space="preserve"> age-related EPC dysfunction may be revers</w:t>
      </w:r>
      <w:r w:rsidR="00A24197" w:rsidRPr="00565259">
        <w:rPr>
          <w:rFonts w:ascii="Book Antiqua" w:hAnsi="Book Antiqua" w:cs="Arial"/>
          <w:sz w:val="24"/>
          <w:szCs w:val="24"/>
        </w:rPr>
        <w:t>ible by anti-aging intervention</w:t>
      </w:r>
      <w:r w:rsidR="00FE4360" w:rsidRPr="00565259">
        <w:rPr>
          <w:rFonts w:ascii="Book Antiqua" w:hAnsi="Book Antiqua" w:cs="Arial"/>
          <w:bCs/>
          <w:sz w:val="24"/>
          <w:szCs w:val="24"/>
          <w:vertAlign w:val="superscript"/>
        </w:rPr>
        <w:t>[97]</w:t>
      </w:r>
      <w:r w:rsidR="00A24197" w:rsidRPr="00565259">
        <w:rPr>
          <w:rFonts w:ascii="Book Antiqua" w:hAnsi="Book Antiqua" w:cs="Arial"/>
          <w:sz w:val="24"/>
          <w:szCs w:val="24"/>
        </w:rPr>
        <w:t>.</w:t>
      </w:r>
      <w:r w:rsidR="00E720B4" w:rsidRPr="00565259">
        <w:rPr>
          <w:rFonts w:ascii="Book Antiqua" w:hAnsi="Book Antiqua" w:cs="Arial"/>
          <w:sz w:val="24"/>
          <w:szCs w:val="24"/>
        </w:rPr>
        <w:t xml:space="preserve"> </w:t>
      </w:r>
      <w:r w:rsidRPr="00565259">
        <w:rPr>
          <w:rFonts w:ascii="Book Antiqua" w:hAnsi="Book Antiqua" w:cs="Arial"/>
          <w:sz w:val="24"/>
          <w:szCs w:val="24"/>
        </w:rPr>
        <w:t>Preclinical stud</w:t>
      </w:r>
      <w:r w:rsidR="00804A7E" w:rsidRPr="00565259">
        <w:rPr>
          <w:rFonts w:ascii="Book Antiqua" w:hAnsi="Book Antiqua" w:cs="Arial"/>
          <w:sz w:val="24"/>
          <w:szCs w:val="24"/>
        </w:rPr>
        <w:t>ies</w:t>
      </w:r>
      <w:r w:rsidRPr="00565259">
        <w:rPr>
          <w:rFonts w:ascii="Book Antiqua" w:hAnsi="Book Antiqua" w:cs="Arial"/>
          <w:sz w:val="24"/>
          <w:szCs w:val="24"/>
        </w:rPr>
        <w:t xml:space="preserve"> also showed that the serum factors derived from young rats have beneficial effects </w:t>
      </w:r>
      <w:r w:rsidR="00A24197" w:rsidRPr="00565259">
        <w:rPr>
          <w:rFonts w:ascii="Book Antiqua" w:hAnsi="Book Antiqua" w:cs="Arial"/>
          <w:sz w:val="24"/>
          <w:szCs w:val="24"/>
        </w:rPr>
        <w:t>on EPCs isolated from aged ones</w:t>
      </w:r>
      <w:r w:rsidR="00FE4360" w:rsidRPr="00565259">
        <w:rPr>
          <w:rFonts w:ascii="Book Antiqua" w:hAnsi="Book Antiqua" w:cs="Arial"/>
          <w:bCs/>
          <w:sz w:val="24"/>
          <w:szCs w:val="24"/>
          <w:vertAlign w:val="superscript"/>
        </w:rPr>
        <w:t>[98,99]</w:t>
      </w:r>
      <w:r w:rsidR="00A24197" w:rsidRPr="00565259">
        <w:rPr>
          <w:rFonts w:ascii="Book Antiqua" w:hAnsi="Book Antiqua" w:cs="Arial"/>
          <w:sz w:val="24"/>
          <w:szCs w:val="24"/>
        </w:rPr>
        <w:t>.</w:t>
      </w:r>
    </w:p>
    <w:p w14:paraId="46935F5F" w14:textId="2AE0810A" w:rsidR="001C355D" w:rsidRPr="00565259" w:rsidRDefault="001C355D" w:rsidP="00B83DB9">
      <w:pPr>
        <w:tabs>
          <w:tab w:val="left" w:pos="720"/>
        </w:tabs>
        <w:spacing w:after="0" w:line="360" w:lineRule="auto"/>
        <w:ind w:firstLineChars="100" w:firstLine="240"/>
        <w:jc w:val="both"/>
        <w:rPr>
          <w:rFonts w:ascii="Book Antiqua" w:hAnsi="Book Antiqua"/>
          <w:sz w:val="24"/>
          <w:szCs w:val="24"/>
        </w:rPr>
      </w:pPr>
      <w:r w:rsidRPr="00565259">
        <w:rPr>
          <w:rFonts w:ascii="Book Antiqua" w:hAnsi="Book Antiqua"/>
          <w:sz w:val="24"/>
          <w:szCs w:val="24"/>
        </w:rPr>
        <w:t>In addition to their role in fracture healing, MSCs share properties with pericytes and are important</w:t>
      </w:r>
      <w:r w:rsidR="00A24197" w:rsidRPr="00565259">
        <w:rPr>
          <w:rFonts w:ascii="Book Antiqua" w:hAnsi="Book Antiqua"/>
          <w:sz w:val="24"/>
          <w:szCs w:val="24"/>
        </w:rPr>
        <w:t xml:space="preserve"> for vascular network formation</w:t>
      </w:r>
      <w:r w:rsidR="00FE4360" w:rsidRPr="00565259">
        <w:rPr>
          <w:rFonts w:ascii="Book Antiqua" w:hAnsi="Book Antiqua"/>
          <w:bCs/>
          <w:sz w:val="24"/>
          <w:szCs w:val="24"/>
          <w:vertAlign w:val="superscript"/>
        </w:rPr>
        <w:t>[99]</w:t>
      </w:r>
      <w:r w:rsidR="00A24197" w:rsidRPr="00565259">
        <w:rPr>
          <w:rFonts w:ascii="Book Antiqua" w:hAnsi="Book Antiqua"/>
          <w:sz w:val="24"/>
          <w:szCs w:val="24"/>
        </w:rPr>
        <w:t>.</w:t>
      </w:r>
      <w:r w:rsidRPr="00565259">
        <w:rPr>
          <w:rFonts w:ascii="Book Antiqua" w:hAnsi="Book Antiqua"/>
          <w:sz w:val="24"/>
          <w:szCs w:val="24"/>
        </w:rPr>
        <w:t xml:space="preserve"> Pericytes have an important role in angiogenesis and could be a novel therapeutic target because of their involvement in regulation of capillary permeability,</w:t>
      </w:r>
      <w:r w:rsidR="00D34A6B" w:rsidRPr="00565259">
        <w:rPr>
          <w:rFonts w:ascii="Book Antiqua" w:hAnsi="Book Antiqua"/>
          <w:sz w:val="24"/>
          <w:szCs w:val="24"/>
        </w:rPr>
        <w:t xml:space="preserve"> </w:t>
      </w:r>
      <w:r w:rsidR="00804A7E" w:rsidRPr="00565259">
        <w:rPr>
          <w:rFonts w:ascii="Book Antiqua" w:hAnsi="Book Antiqua"/>
          <w:sz w:val="24"/>
          <w:szCs w:val="24"/>
        </w:rPr>
        <w:t>EC</w:t>
      </w:r>
      <w:r w:rsidRPr="00565259">
        <w:rPr>
          <w:rFonts w:ascii="Book Antiqua" w:hAnsi="Book Antiqua"/>
          <w:sz w:val="24"/>
          <w:szCs w:val="24"/>
        </w:rPr>
        <w:t xml:space="preserve"> proliferation and extracellular matrix generation</w:t>
      </w:r>
      <w:r w:rsidR="00FE4360" w:rsidRPr="00565259">
        <w:rPr>
          <w:rFonts w:ascii="Book Antiqua" w:hAnsi="Book Antiqua"/>
          <w:bCs/>
          <w:sz w:val="24"/>
          <w:szCs w:val="24"/>
          <w:vertAlign w:val="superscript"/>
        </w:rPr>
        <w:t>[100,101]</w:t>
      </w:r>
      <w:r w:rsidR="00A24197" w:rsidRPr="00565259">
        <w:rPr>
          <w:rFonts w:ascii="Book Antiqua" w:hAnsi="Book Antiqua"/>
          <w:sz w:val="24"/>
          <w:szCs w:val="24"/>
        </w:rPr>
        <w:t>.</w:t>
      </w:r>
      <w:r w:rsidR="00C17406" w:rsidRPr="00565259">
        <w:rPr>
          <w:rFonts w:ascii="Book Antiqua" w:hAnsi="Book Antiqua"/>
          <w:sz w:val="24"/>
          <w:szCs w:val="24"/>
        </w:rPr>
        <w:t xml:space="preserve"> </w:t>
      </w:r>
      <w:r w:rsidRPr="00565259">
        <w:rPr>
          <w:rFonts w:ascii="Book Antiqua" w:hAnsi="Book Antiqua"/>
          <w:sz w:val="24"/>
          <w:szCs w:val="24"/>
        </w:rPr>
        <w:t>In fact, age-related loss of pericyte coverage of microvessels contributes to function and structural impairm</w:t>
      </w:r>
      <w:r w:rsidR="00A24197" w:rsidRPr="00565259">
        <w:rPr>
          <w:rFonts w:ascii="Book Antiqua" w:hAnsi="Book Antiqua"/>
          <w:sz w:val="24"/>
          <w:szCs w:val="24"/>
        </w:rPr>
        <w:t>ent of microcirculatory network</w:t>
      </w:r>
      <w:r w:rsidR="00FE4360" w:rsidRPr="00565259">
        <w:rPr>
          <w:rFonts w:ascii="Book Antiqua" w:hAnsi="Book Antiqua"/>
          <w:bCs/>
          <w:sz w:val="24"/>
          <w:szCs w:val="24"/>
          <w:vertAlign w:val="superscript"/>
        </w:rPr>
        <w:t>[100]</w:t>
      </w:r>
      <w:r w:rsidR="00A24197" w:rsidRPr="00565259">
        <w:rPr>
          <w:rFonts w:ascii="Book Antiqua" w:hAnsi="Book Antiqua"/>
          <w:sz w:val="24"/>
          <w:szCs w:val="24"/>
        </w:rPr>
        <w:t>.</w:t>
      </w:r>
      <w:r w:rsidR="00D34A6B" w:rsidRPr="00565259">
        <w:rPr>
          <w:rFonts w:ascii="Book Antiqua" w:hAnsi="Book Antiqua"/>
          <w:sz w:val="24"/>
          <w:szCs w:val="24"/>
        </w:rPr>
        <w:t xml:space="preserve"> </w:t>
      </w:r>
      <w:r w:rsidRPr="00565259">
        <w:rPr>
          <w:rFonts w:ascii="Book Antiqua" w:hAnsi="Book Antiqua"/>
          <w:sz w:val="24"/>
          <w:szCs w:val="24"/>
        </w:rPr>
        <w:t>Interestingly, when adipose derived mesenchymal and endothelial stem cells a</w:t>
      </w:r>
      <w:r w:rsidR="009D5249" w:rsidRPr="00565259">
        <w:rPr>
          <w:rFonts w:ascii="Book Antiqua" w:hAnsi="Book Antiqua"/>
          <w:sz w:val="24"/>
          <w:szCs w:val="24"/>
        </w:rPr>
        <w:t>re brought in close contact, a W</w:t>
      </w:r>
      <w:r w:rsidRPr="00565259">
        <w:rPr>
          <w:rFonts w:ascii="Book Antiqua" w:hAnsi="Book Antiqua"/>
          <w:sz w:val="24"/>
          <w:szCs w:val="24"/>
        </w:rPr>
        <w:t>nt signaling specific mechanism favors osteogenic versus adipogenic differentiation</w:t>
      </w:r>
      <w:r w:rsidR="00FE4360" w:rsidRPr="00565259">
        <w:rPr>
          <w:rFonts w:ascii="Book Antiqua" w:hAnsi="Book Antiqua"/>
          <w:bCs/>
          <w:sz w:val="24"/>
          <w:szCs w:val="24"/>
          <w:vertAlign w:val="superscript"/>
        </w:rPr>
        <w:t>[102,103]</w:t>
      </w:r>
      <w:r w:rsidR="00A24197" w:rsidRPr="00565259">
        <w:rPr>
          <w:rFonts w:ascii="Book Antiqua" w:hAnsi="Book Antiqua"/>
          <w:sz w:val="24"/>
          <w:szCs w:val="24"/>
        </w:rPr>
        <w:t>.</w:t>
      </w:r>
      <w:r w:rsidR="00DA2B29" w:rsidRPr="00565259">
        <w:rPr>
          <w:rFonts w:ascii="Book Antiqua" w:hAnsi="Book Antiqua"/>
          <w:sz w:val="24"/>
          <w:szCs w:val="24"/>
        </w:rPr>
        <w:t xml:space="preserve"> </w:t>
      </w:r>
      <w:r w:rsidRPr="00565259">
        <w:rPr>
          <w:rFonts w:ascii="Book Antiqua" w:hAnsi="Book Antiqua"/>
          <w:sz w:val="24"/>
          <w:szCs w:val="24"/>
        </w:rPr>
        <w:t>It remains to be elucidated if treatment targeting pericytes could enhance bone healing in aging.</w:t>
      </w:r>
    </w:p>
    <w:p w14:paraId="7CF3001A" w14:textId="12BA40A0" w:rsidR="001C355D" w:rsidRPr="00565259" w:rsidRDefault="001C355D" w:rsidP="00B83DB9">
      <w:pPr>
        <w:tabs>
          <w:tab w:val="left" w:pos="720"/>
        </w:tabs>
        <w:spacing w:after="0" w:line="360" w:lineRule="auto"/>
        <w:ind w:firstLineChars="100" w:firstLine="240"/>
        <w:jc w:val="both"/>
        <w:rPr>
          <w:rFonts w:ascii="Book Antiqua" w:hAnsi="Book Antiqua"/>
          <w:sz w:val="24"/>
          <w:szCs w:val="24"/>
        </w:rPr>
      </w:pPr>
      <w:r w:rsidRPr="00565259">
        <w:rPr>
          <w:rFonts w:ascii="Book Antiqua" w:hAnsi="Book Antiqua"/>
          <w:sz w:val="24"/>
          <w:szCs w:val="24"/>
        </w:rPr>
        <w:t xml:space="preserve">Dysfunction of aged </w:t>
      </w:r>
      <w:r w:rsidR="00804A7E" w:rsidRPr="00565259">
        <w:rPr>
          <w:rFonts w:ascii="Book Antiqua" w:hAnsi="Book Antiqua"/>
          <w:sz w:val="24"/>
          <w:szCs w:val="24"/>
        </w:rPr>
        <w:t>EC</w:t>
      </w:r>
      <w:r w:rsidRPr="00565259">
        <w:rPr>
          <w:rFonts w:ascii="Book Antiqua" w:hAnsi="Book Antiqua"/>
          <w:sz w:val="24"/>
          <w:szCs w:val="24"/>
        </w:rPr>
        <w:t xml:space="preserve">s and </w:t>
      </w:r>
      <w:r w:rsidR="00804A7E" w:rsidRPr="00565259">
        <w:rPr>
          <w:rFonts w:ascii="Book Antiqua" w:hAnsi="Book Antiqua"/>
          <w:sz w:val="24"/>
          <w:szCs w:val="24"/>
        </w:rPr>
        <w:t>EPC</w:t>
      </w:r>
      <w:r w:rsidRPr="00565259">
        <w:rPr>
          <w:rFonts w:ascii="Book Antiqua" w:hAnsi="Book Antiqua"/>
          <w:sz w:val="24"/>
          <w:szCs w:val="24"/>
        </w:rPr>
        <w:t>s lead to endothelial senescence and apoptosis and directly interfere</w:t>
      </w:r>
      <w:r w:rsidR="00804A7E" w:rsidRPr="00565259">
        <w:rPr>
          <w:rFonts w:ascii="Book Antiqua" w:hAnsi="Book Antiqua"/>
          <w:sz w:val="24"/>
          <w:szCs w:val="24"/>
        </w:rPr>
        <w:t>d</w:t>
      </w:r>
      <w:r w:rsidR="00A24197" w:rsidRPr="00565259">
        <w:rPr>
          <w:rFonts w:ascii="Book Antiqua" w:hAnsi="Book Antiqua"/>
          <w:sz w:val="24"/>
          <w:szCs w:val="24"/>
        </w:rPr>
        <w:t xml:space="preserve"> with angiogenesis in aging</w:t>
      </w:r>
      <w:r w:rsidR="00FE4360" w:rsidRPr="00565259">
        <w:rPr>
          <w:rFonts w:ascii="Book Antiqua" w:hAnsi="Book Antiqua"/>
          <w:bCs/>
          <w:sz w:val="24"/>
          <w:szCs w:val="24"/>
          <w:vertAlign w:val="superscript"/>
        </w:rPr>
        <w:t>[82,104-106]</w:t>
      </w:r>
      <w:r w:rsidR="00A24197" w:rsidRPr="00565259">
        <w:rPr>
          <w:rFonts w:ascii="Book Antiqua" w:hAnsi="Book Antiqua"/>
          <w:sz w:val="24"/>
          <w:szCs w:val="24"/>
        </w:rPr>
        <w:t>.</w:t>
      </w:r>
      <w:r w:rsidR="00DA2B29" w:rsidRPr="00565259">
        <w:rPr>
          <w:rFonts w:ascii="Book Antiqua" w:hAnsi="Book Antiqua"/>
          <w:sz w:val="24"/>
          <w:szCs w:val="24"/>
        </w:rPr>
        <w:t xml:space="preserve"> </w:t>
      </w:r>
      <w:r w:rsidRPr="00565259">
        <w:rPr>
          <w:rFonts w:ascii="Book Antiqua" w:hAnsi="Book Antiqua"/>
          <w:sz w:val="24"/>
          <w:szCs w:val="24"/>
        </w:rPr>
        <w:t>Age-related changes in circulation factors might also contribute to impaired angiogenesis in aging.Pro-angiogenic endocrine factors, growth hormone, insulin like growth factor I</w:t>
      </w:r>
      <w:r w:rsidR="001078D4" w:rsidRPr="00565259">
        <w:rPr>
          <w:rFonts w:ascii="Book Antiqua" w:hAnsi="Book Antiqua"/>
          <w:sz w:val="24"/>
          <w:szCs w:val="24"/>
        </w:rPr>
        <w:t xml:space="preserve">, </w:t>
      </w:r>
      <w:r w:rsidRPr="00565259">
        <w:rPr>
          <w:rFonts w:ascii="Book Antiqua" w:hAnsi="Book Antiqua"/>
          <w:sz w:val="24"/>
          <w:szCs w:val="24"/>
        </w:rPr>
        <w:t>platelet derived growth factor (PDGF)</w:t>
      </w:r>
      <w:r w:rsidR="001078D4" w:rsidRPr="00565259">
        <w:rPr>
          <w:rFonts w:ascii="Book Antiqua" w:hAnsi="Book Antiqua"/>
          <w:sz w:val="24"/>
          <w:szCs w:val="24"/>
        </w:rPr>
        <w:t xml:space="preserve"> and VEGF, </w:t>
      </w:r>
      <w:r w:rsidRPr="00565259">
        <w:rPr>
          <w:rFonts w:ascii="Book Antiqua" w:hAnsi="Book Antiqua"/>
          <w:sz w:val="24"/>
          <w:szCs w:val="24"/>
        </w:rPr>
        <w:t>which regulate multiple aspects of angiogenic processes</w:t>
      </w:r>
      <w:r w:rsidR="00804A7E" w:rsidRPr="00565259">
        <w:rPr>
          <w:rFonts w:ascii="Book Antiqua" w:hAnsi="Book Antiqua"/>
          <w:sz w:val="24"/>
          <w:szCs w:val="24"/>
        </w:rPr>
        <w:t>,</w:t>
      </w:r>
      <w:r w:rsidR="00A24197" w:rsidRPr="00565259">
        <w:rPr>
          <w:rFonts w:ascii="Book Antiqua" w:hAnsi="Book Antiqua"/>
          <w:sz w:val="24"/>
          <w:szCs w:val="24"/>
        </w:rPr>
        <w:t xml:space="preserve"> decline with aging</w:t>
      </w:r>
      <w:r w:rsidR="00FE4360" w:rsidRPr="00565259">
        <w:rPr>
          <w:rFonts w:ascii="Book Antiqua" w:hAnsi="Book Antiqua"/>
          <w:bCs/>
          <w:sz w:val="24"/>
          <w:szCs w:val="24"/>
          <w:vertAlign w:val="superscript"/>
        </w:rPr>
        <w:t>[</w:t>
      </w:r>
      <w:r w:rsidR="001078D4" w:rsidRPr="00565259">
        <w:rPr>
          <w:rFonts w:ascii="Book Antiqua" w:hAnsi="Book Antiqua"/>
          <w:bCs/>
          <w:sz w:val="24"/>
          <w:szCs w:val="24"/>
          <w:vertAlign w:val="superscript"/>
        </w:rPr>
        <w:t xml:space="preserve">95, </w:t>
      </w:r>
      <w:r w:rsidR="00FE4360" w:rsidRPr="00565259">
        <w:rPr>
          <w:rFonts w:ascii="Book Antiqua" w:hAnsi="Book Antiqua"/>
          <w:bCs/>
          <w:sz w:val="24"/>
          <w:szCs w:val="24"/>
          <w:vertAlign w:val="superscript"/>
        </w:rPr>
        <w:t>107-109]</w:t>
      </w:r>
      <w:r w:rsidR="00A24197" w:rsidRPr="00565259">
        <w:rPr>
          <w:rFonts w:ascii="Book Antiqua" w:hAnsi="Book Antiqua"/>
          <w:sz w:val="24"/>
          <w:szCs w:val="24"/>
        </w:rPr>
        <w:t>.</w:t>
      </w:r>
      <w:r w:rsidR="00C17406" w:rsidRPr="00565259">
        <w:rPr>
          <w:rFonts w:ascii="Book Antiqua" w:hAnsi="Book Antiqua"/>
          <w:sz w:val="24"/>
          <w:szCs w:val="24"/>
        </w:rPr>
        <w:t xml:space="preserve"> </w:t>
      </w:r>
      <w:r w:rsidRPr="00565259">
        <w:rPr>
          <w:rFonts w:ascii="Book Antiqua" w:hAnsi="Book Antiqua"/>
          <w:sz w:val="24"/>
          <w:szCs w:val="24"/>
        </w:rPr>
        <w:t>This may be explained by reduced expression of</w:t>
      </w:r>
      <w:r w:rsidR="00804A7E" w:rsidRPr="00565259">
        <w:rPr>
          <w:rFonts w:ascii="Book Antiqua" w:hAnsi="Book Antiqua"/>
          <w:sz w:val="24"/>
          <w:szCs w:val="24"/>
        </w:rPr>
        <w:t>,</w:t>
      </w:r>
      <w:r w:rsidRPr="00565259">
        <w:rPr>
          <w:rFonts w:ascii="Book Antiqua" w:hAnsi="Book Antiqua"/>
          <w:sz w:val="24"/>
          <w:szCs w:val="24"/>
        </w:rPr>
        <w:t xml:space="preserve"> and responsiveness to</w:t>
      </w:r>
      <w:r w:rsidR="00804A7E" w:rsidRPr="00565259">
        <w:rPr>
          <w:rFonts w:ascii="Book Antiqua" w:hAnsi="Book Antiqua"/>
          <w:sz w:val="24"/>
          <w:szCs w:val="24"/>
        </w:rPr>
        <w:t>,</w:t>
      </w:r>
      <w:r w:rsidR="00A24197" w:rsidRPr="00565259">
        <w:rPr>
          <w:rFonts w:ascii="Book Antiqua" w:hAnsi="Book Antiqua"/>
          <w:sz w:val="24"/>
          <w:szCs w:val="24"/>
        </w:rPr>
        <w:t xml:space="preserve"> HIF-1alpha during aging</w:t>
      </w:r>
      <w:r w:rsidR="00FE4360" w:rsidRPr="00565259">
        <w:rPr>
          <w:rFonts w:ascii="Book Antiqua" w:hAnsi="Book Antiqua"/>
          <w:bCs/>
          <w:sz w:val="24"/>
          <w:szCs w:val="24"/>
          <w:vertAlign w:val="superscript"/>
        </w:rPr>
        <w:t>[110]</w:t>
      </w:r>
      <w:r w:rsidR="00A24197" w:rsidRPr="00565259">
        <w:rPr>
          <w:rFonts w:ascii="Book Antiqua" w:hAnsi="Book Antiqua"/>
          <w:sz w:val="24"/>
          <w:szCs w:val="24"/>
        </w:rPr>
        <w:t>.</w:t>
      </w:r>
      <w:r w:rsidR="00C17406" w:rsidRPr="00565259">
        <w:rPr>
          <w:rFonts w:ascii="Book Antiqua" w:hAnsi="Book Antiqua"/>
          <w:sz w:val="24"/>
          <w:szCs w:val="24"/>
        </w:rPr>
        <w:t xml:space="preserve"> </w:t>
      </w:r>
      <w:r w:rsidRPr="00565259">
        <w:rPr>
          <w:rFonts w:ascii="Book Antiqua" w:hAnsi="Book Antiqua"/>
          <w:sz w:val="24"/>
          <w:szCs w:val="24"/>
        </w:rPr>
        <w:t xml:space="preserve">Impaired angiogenesis </w:t>
      </w:r>
      <w:r w:rsidR="00804A7E" w:rsidRPr="00565259">
        <w:rPr>
          <w:rFonts w:ascii="Book Antiqua" w:hAnsi="Book Antiqua"/>
          <w:sz w:val="24"/>
          <w:szCs w:val="24"/>
        </w:rPr>
        <w:t xml:space="preserve">also </w:t>
      </w:r>
      <w:r w:rsidRPr="00565259">
        <w:rPr>
          <w:rFonts w:ascii="Book Antiqua" w:hAnsi="Book Antiqua"/>
          <w:sz w:val="24"/>
          <w:szCs w:val="24"/>
        </w:rPr>
        <w:t>results in age-related decline in vessel density, impaired adaptation to hypoxia</w:t>
      </w:r>
      <w:r w:rsidR="00804A7E" w:rsidRPr="00565259">
        <w:rPr>
          <w:rFonts w:ascii="Book Antiqua" w:hAnsi="Book Antiqua"/>
          <w:sz w:val="24"/>
          <w:szCs w:val="24"/>
        </w:rPr>
        <w:t>,</w:t>
      </w:r>
      <w:r w:rsidRPr="00565259">
        <w:rPr>
          <w:rFonts w:ascii="Book Antiqua" w:hAnsi="Book Antiqua"/>
          <w:sz w:val="24"/>
          <w:szCs w:val="24"/>
        </w:rPr>
        <w:t xml:space="preserve"> and ischemia</w:t>
      </w:r>
      <w:r w:rsidR="00FE4360" w:rsidRPr="00565259">
        <w:rPr>
          <w:rFonts w:ascii="Book Antiqua" w:hAnsi="Book Antiqua"/>
          <w:bCs/>
          <w:sz w:val="24"/>
          <w:szCs w:val="24"/>
          <w:vertAlign w:val="superscript"/>
        </w:rPr>
        <w:t>[111]</w:t>
      </w:r>
      <w:r w:rsidR="00A24197" w:rsidRPr="00565259">
        <w:rPr>
          <w:rFonts w:ascii="Book Antiqua" w:hAnsi="Book Antiqua"/>
          <w:sz w:val="24"/>
          <w:szCs w:val="24"/>
        </w:rPr>
        <w:t>.</w:t>
      </w:r>
      <w:r w:rsidR="005478AF" w:rsidRPr="00565259">
        <w:rPr>
          <w:rFonts w:ascii="Book Antiqua" w:hAnsi="Book Antiqua"/>
          <w:sz w:val="24"/>
          <w:szCs w:val="24"/>
        </w:rPr>
        <w:t xml:space="preserve"> </w:t>
      </w:r>
    </w:p>
    <w:p w14:paraId="1D21997A" w14:textId="253CAC97" w:rsidR="008E4078" w:rsidRPr="00565259" w:rsidRDefault="00107629" w:rsidP="00B83DB9">
      <w:pPr>
        <w:tabs>
          <w:tab w:val="left" w:pos="720"/>
        </w:tabs>
        <w:spacing w:after="0" w:line="360" w:lineRule="auto"/>
        <w:ind w:firstLineChars="100" w:firstLine="240"/>
        <w:jc w:val="both"/>
        <w:rPr>
          <w:rFonts w:ascii="Book Antiqua" w:hAnsi="Book Antiqua"/>
          <w:sz w:val="24"/>
          <w:szCs w:val="24"/>
          <w:shd w:val="clear" w:color="auto" w:fill="FFFFFF"/>
        </w:rPr>
      </w:pPr>
      <w:r w:rsidRPr="00565259">
        <w:rPr>
          <w:rFonts w:ascii="Book Antiqua" w:hAnsi="Book Antiqua" w:cs="Calibri"/>
          <w:sz w:val="24"/>
          <w:szCs w:val="24"/>
          <w:shd w:val="clear" w:color="auto" w:fill="FFFFFF"/>
        </w:rPr>
        <w:t>Impaired angiogenesis</w:t>
      </w:r>
      <w:r w:rsidR="008E4078" w:rsidRPr="00565259">
        <w:rPr>
          <w:rFonts w:ascii="Book Antiqua" w:hAnsi="Book Antiqua" w:cs="Calibri"/>
          <w:sz w:val="24"/>
          <w:szCs w:val="24"/>
          <w:shd w:val="clear" w:color="auto" w:fill="FFFFFF"/>
        </w:rPr>
        <w:t xml:space="preserve"> during fract</w:t>
      </w:r>
      <w:r w:rsidR="00A11BBA" w:rsidRPr="00565259">
        <w:rPr>
          <w:rFonts w:ascii="Book Antiqua" w:hAnsi="Book Antiqua" w:cs="Calibri"/>
          <w:sz w:val="24"/>
          <w:szCs w:val="24"/>
          <w:shd w:val="clear" w:color="auto" w:fill="FFFFFF"/>
        </w:rPr>
        <w:t>ure healing creates an ischemic</w:t>
      </w:r>
      <w:r w:rsidR="008E4078" w:rsidRPr="00565259">
        <w:rPr>
          <w:rFonts w:ascii="Book Antiqua" w:hAnsi="Book Antiqua" w:cs="Calibri"/>
          <w:sz w:val="24"/>
          <w:szCs w:val="24"/>
          <w:shd w:val="clear" w:color="auto" w:fill="FFFFFF"/>
        </w:rPr>
        <w:t xml:space="preserve"> environment at the fracture site and </w:t>
      </w:r>
      <w:r w:rsidR="00EB3558" w:rsidRPr="00565259">
        <w:rPr>
          <w:rFonts w:ascii="Book Antiqua" w:hAnsi="Book Antiqua" w:cs="Calibri"/>
          <w:sz w:val="24"/>
          <w:szCs w:val="24"/>
          <w:shd w:val="clear" w:color="auto" w:fill="FFFFFF"/>
        </w:rPr>
        <w:t>disrupts the interactions between t</w:t>
      </w:r>
      <w:r w:rsidR="00A11BBA" w:rsidRPr="00565259">
        <w:rPr>
          <w:rFonts w:ascii="Book Antiqua" w:hAnsi="Book Antiqua" w:cs="Calibri"/>
          <w:sz w:val="24"/>
          <w:szCs w:val="24"/>
          <w:shd w:val="clear" w:color="auto" w:fill="FFFFFF"/>
        </w:rPr>
        <w:t>he blood supply and MSCs that are</w:t>
      </w:r>
      <w:r w:rsidR="00EB3558" w:rsidRPr="00565259">
        <w:rPr>
          <w:rFonts w:ascii="Book Antiqua" w:hAnsi="Book Antiqua" w:cs="Calibri"/>
          <w:sz w:val="24"/>
          <w:szCs w:val="24"/>
          <w:shd w:val="clear" w:color="auto" w:fill="FFFFFF"/>
        </w:rPr>
        <w:t xml:space="preserve"> required </w:t>
      </w:r>
      <w:r w:rsidR="00A11BBA" w:rsidRPr="00565259">
        <w:rPr>
          <w:rFonts w:ascii="Book Antiqua" w:hAnsi="Book Antiqua" w:cs="Calibri"/>
          <w:sz w:val="24"/>
          <w:szCs w:val="24"/>
          <w:shd w:val="clear" w:color="auto" w:fill="FFFFFF"/>
        </w:rPr>
        <w:t>for bone healing. In a mouse model of fracture accompanied by vascular damage, ischemia significantly decreased the callus size, and the cartilage and bone formation</w:t>
      </w:r>
      <w:r w:rsidRPr="00565259">
        <w:rPr>
          <w:rFonts w:ascii="Book Antiqua" w:hAnsi="Book Antiqua" w:cs="Calibri"/>
          <w:sz w:val="24"/>
          <w:szCs w:val="24"/>
          <w:shd w:val="clear" w:color="auto" w:fill="FFFFFF"/>
        </w:rPr>
        <w:t>, leading to delayed union</w:t>
      </w:r>
      <w:r w:rsidR="00FE4360" w:rsidRPr="00565259">
        <w:rPr>
          <w:rFonts w:ascii="Book Antiqua" w:hAnsi="Book Antiqua" w:cs="Calibri"/>
          <w:bCs/>
          <w:sz w:val="24"/>
          <w:szCs w:val="24"/>
          <w:shd w:val="clear" w:color="auto" w:fill="FFFFFF"/>
          <w:vertAlign w:val="superscript"/>
        </w:rPr>
        <w:t>[112]</w:t>
      </w:r>
      <w:r w:rsidR="00A24197" w:rsidRPr="00565259">
        <w:rPr>
          <w:rFonts w:ascii="Book Antiqua" w:hAnsi="Book Antiqua" w:cs="Calibri"/>
          <w:sz w:val="24"/>
          <w:szCs w:val="24"/>
          <w:shd w:val="clear" w:color="auto" w:fill="FFFFFF"/>
        </w:rPr>
        <w:t>.</w:t>
      </w:r>
      <w:r w:rsidR="009B2D36" w:rsidRPr="00565259">
        <w:rPr>
          <w:rFonts w:ascii="Book Antiqua" w:hAnsi="Book Antiqua" w:cs="Calibri"/>
          <w:sz w:val="24"/>
          <w:szCs w:val="24"/>
          <w:shd w:val="clear" w:color="auto" w:fill="FFFFFF"/>
        </w:rPr>
        <w:t xml:space="preserve"> </w:t>
      </w:r>
      <w:r w:rsidRPr="00565259">
        <w:rPr>
          <w:rFonts w:ascii="Book Antiqua" w:hAnsi="Book Antiqua" w:cs="Calibri"/>
          <w:sz w:val="24"/>
          <w:szCs w:val="24"/>
          <w:shd w:val="clear" w:color="auto" w:fill="FFFFFF"/>
        </w:rPr>
        <w:t xml:space="preserve">Similar results have been seen in </w:t>
      </w:r>
      <w:r w:rsidRPr="00565259">
        <w:rPr>
          <w:rFonts w:ascii="Book Antiqua" w:hAnsi="Book Antiqua" w:cs="Calibri"/>
          <w:i/>
          <w:sz w:val="24"/>
          <w:szCs w:val="24"/>
          <w:shd w:val="clear" w:color="auto" w:fill="FFFFFF"/>
        </w:rPr>
        <w:t>in vitro</w:t>
      </w:r>
      <w:r w:rsidRPr="00565259">
        <w:rPr>
          <w:rFonts w:ascii="Book Antiqua" w:hAnsi="Book Antiqua" w:cs="Calibri"/>
          <w:sz w:val="24"/>
          <w:szCs w:val="24"/>
          <w:shd w:val="clear" w:color="auto" w:fill="FFFFFF"/>
        </w:rPr>
        <w:t xml:space="preserve"> culture of MSCs in hypoxic environments. </w:t>
      </w:r>
      <w:r w:rsidR="008E4078" w:rsidRPr="00565259">
        <w:rPr>
          <w:rFonts w:ascii="Book Antiqua" w:hAnsi="Book Antiqua"/>
          <w:sz w:val="24"/>
          <w:szCs w:val="24"/>
          <w:shd w:val="clear" w:color="auto" w:fill="FFFFFF"/>
        </w:rPr>
        <w:t>Hypoxia was found to be linked to reduced osteogenic potential of MSCs, evidenced by the down regulation of many osteogenic markers</w:t>
      </w:r>
      <w:r w:rsidR="00FE4360" w:rsidRPr="00565259">
        <w:rPr>
          <w:rFonts w:ascii="Book Antiqua" w:hAnsi="Book Antiqua"/>
          <w:bCs/>
          <w:sz w:val="24"/>
          <w:szCs w:val="24"/>
          <w:shd w:val="clear" w:color="auto" w:fill="FFFFFF"/>
          <w:vertAlign w:val="superscript"/>
        </w:rPr>
        <w:t>[113]</w:t>
      </w:r>
      <w:r w:rsidR="009B2D36" w:rsidRPr="00565259">
        <w:rPr>
          <w:rFonts w:ascii="Book Antiqua" w:hAnsi="Book Antiqua"/>
          <w:sz w:val="24"/>
          <w:szCs w:val="24"/>
          <w:shd w:val="clear" w:color="auto" w:fill="FFFFFF"/>
        </w:rPr>
        <w:t xml:space="preserve"> </w:t>
      </w:r>
      <w:r w:rsidR="008E4078" w:rsidRPr="00565259">
        <w:rPr>
          <w:rFonts w:ascii="Book Antiqua" w:hAnsi="Book Antiqua"/>
          <w:sz w:val="24"/>
          <w:szCs w:val="24"/>
          <w:shd w:val="clear" w:color="auto" w:fill="FFFFFF"/>
        </w:rPr>
        <w:t>and osteogenic pathways such as RUNX2</w:t>
      </w:r>
      <w:r w:rsidR="00FE4360" w:rsidRPr="00565259">
        <w:rPr>
          <w:rFonts w:ascii="Book Antiqua" w:hAnsi="Book Antiqua"/>
          <w:bCs/>
          <w:sz w:val="24"/>
          <w:szCs w:val="24"/>
          <w:shd w:val="clear" w:color="auto" w:fill="FFFFFF"/>
          <w:vertAlign w:val="superscript"/>
        </w:rPr>
        <w:t>[114]</w:t>
      </w:r>
      <w:r w:rsidR="00A24197" w:rsidRPr="00565259">
        <w:rPr>
          <w:rFonts w:ascii="Book Antiqua" w:hAnsi="Book Antiqua"/>
          <w:sz w:val="24"/>
          <w:szCs w:val="24"/>
          <w:shd w:val="clear" w:color="auto" w:fill="FFFFFF"/>
        </w:rPr>
        <w:t>.</w:t>
      </w:r>
      <w:r w:rsidR="00056350" w:rsidRPr="00565259">
        <w:rPr>
          <w:rFonts w:ascii="Book Antiqua" w:hAnsi="Book Antiqua"/>
          <w:sz w:val="24"/>
          <w:szCs w:val="24"/>
          <w:shd w:val="clear" w:color="auto" w:fill="FFFFFF"/>
        </w:rPr>
        <w:t xml:space="preserve"> </w:t>
      </w:r>
      <w:r w:rsidRPr="00565259">
        <w:rPr>
          <w:rFonts w:ascii="Book Antiqua" w:hAnsi="Book Antiqua"/>
          <w:sz w:val="24"/>
          <w:szCs w:val="24"/>
        </w:rPr>
        <w:t>Hy</w:t>
      </w:r>
      <w:r w:rsidR="008E4078" w:rsidRPr="00565259">
        <w:rPr>
          <w:rFonts w:ascii="Book Antiqua" w:hAnsi="Book Antiqua"/>
          <w:sz w:val="24"/>
          <w:szCs w:val="24"/>
          <w:shd w:val="clear" w:color="auto" w:fill="FFFFFF"/>
        </w:rPr>
        <w:t xml:space="preserve">poxia has </w:t>
      </w:r>
      <w:r w:rsidRPr="00565259">
        <w:rPr>
          <w:rFonts w:ascii="Book Antiqua" w:hAnsi="Book Antiqua"/>
          <w:sz w:val="24"/>
          <w:szCs w:val="24"/>
          <w:shd w:val="clear" w:color="auto" w:fill="FFFFFF"/>
        </w:rPr>
        <w:t xml:space="preserve">also </w:t>
      </w:r>
      <w:r w:rsidR="008E4078" w:rsidRPr="00565259">
        <w:rPr>
          <w:rFonts w:ascii="Book Antiqua" w:hAnsi="Book Antiqua"/>
          <w:sz w:val="24"/>
          <w:szCs w:val="24"/>
          <w:shd w:val="clear" w:color="auto" w:fill="FFFFFF"/>
        </w:rPr>
        <w:t>been found to inhibit hypertrophic differentiation of chondrocytes and endochondral ossification</w:t>
      </w:r>
      <w:r w:rsidR="00FE4360" w:rsidRPr="00565259">
        <w:rPr>
          <w:rFonts w:ascii="Book Antiqua" w:hAnsi="Book Antiqua"/>
          <w:bCs/>
          <w:sz w:val="24"/>
          <w:szCs w:val="24"/>
          <w:shd w:val="clear" w:color="auto" w:fill="FFFFFF"/>
          <w:vertAlign w:val="superscript"/>
        </w:rPr>
        <w:t>[115]</w:t>
      </w:r>
      <w:r w:rsidR="00A24197" w:rsidRPr="00565259">
        <w:rPr>
          <w:rFonts w:ascii="Book Antiqua" w:hAnsi="Book Antiqua"/>
          <w:sz w:val="24"/>
          <w:szCs w:val="24"/>
          <w:shd w:val="clear" w:color="auto" w:fill="FFFFFF"/>
        </w:rPr>
        <w:t>.</w:t>
      </w:r>
      <w:r w:rsidR="008E4078" w:rsidRPr="00565259">
        <w:rPr>
          <w:rFonts w:ascii="Book Antiqua" w:hAnsi="Book Antiqua"/>
          <w:sz w:val="24"/>
          <w:szCs w:val="24"/>
          <w:shd w:val="clear" w:color="auto" w:fill="FFFFFF"/>
        </w:rPr>
        <w:t xml:space="preserve"> </w:t>
      </w:r>
      <w:r w:rsidRPr="00565259">
        <w:rPr>
          <w:rFonts w:ascii="Book Antiqua" w:hAnsi="Book Antiqua"/>
          <w:sz w:val="24"/>
          <w:szCs w:val="24"/>
          <w:shd w:val="clear" w:color="auto" w:fill="FFFFFF"/>
        </w:rPr>
        <w:t xml:space="preserve">Thus, </w:t>
      </w:r>
      <w:r w:rsidR="00F00B67" w:rsidRPr="00565259">
        <w:rPr>
          <w:rFonts w:ascii="Book Antiqua" w:hAnsi="Book Antiqua"/>
          <w:sz w:val="24"/>
          <w:szCs w:val="24"/>
          <w:shd w:val="clear" w:color="auto" w:fill="FFFFFF"/>
        </w:rPr>
        <w:t>a disruption to the</w:t>
      </w:r>
      <w:r w:rsidRPr="00565259">
        <w:rPr>
          <w:rFonts w:ascii="Book Antiqua" w:hAnsi="Book Antiqua"/>
          <w:sz w:val="24"/>
          <w:szCs w:val="24"/>
          <w:shd w:val="clear" w:color="auto" w:fill="FFFFFF"/>
        </w:rPr>
        <w:t xml:space="preserve"> angiogenesis </w:t>
      </w:r>
      <w:r w:rsidR="00BC5D9C" w:rsidRPr="00565259">
        <w:rPr>
          <w:rFonts w:ascii="Book Antiqua" w:hAnsi="Book Antiqua"/>
          <w:sz w:val="24"/>
          <w:szCs w:val="24"/>
          <w:shd w:val="clear" w:color="auto" w:fill="FFFFFF"/>
        </w:rPr>
        <w:t>process d</w:t>
      </w:r>
      <w:r w:rsidRPr="00565259">
        <w:rPr>
          <w:rFonts w:ascii="Book Antiqua" w:hAnsi="Book Antiqua"/>
          <w:sz w:val="24"/>
          <w:szCs w:val="24"/>
          <w:shd w:val="clear" w:color="auto" w:fill="FFFFFF"/>
        </w:rPr>
        <w:t>ue to aging may have profound effect</w:t>
      </w:r>
      <w:r w:rsidR="007C50F1" w:rsidRPr="00565259">
        <w:rPr>
          <w:rFonts w:ascii="Book Antiqua" w:hAnsi="Book Antiqua"/>
          <w:sz w:val="24"/>
          <w:szCs w:val="24"/>
          <w:shd w:val="clear" w:color="auto" w:fill="FFFFFF"/>
        </w:rPr>
        <w:t>s</w:t>
      </w:r>
      <w:r w:rsidRPr="00565259">
        <w:rPr>
          <w:rFonts w:ascii="Book Antiqua" w:hAnsi="Book Antiqua"/>
          <w:sz w:val="24"/>
          <w:szCs w:val="24"/>
          <w:shd w:val="clear" w:color="auto" w:fill="FFFFFF"/>
        </w:rPr>
        <w:t xml:space="preserve"> on MSC behavior</w:t>
      </w:r>
      <w:r w:rsidR="00BC5D9C" w:rsidRPr="00565259">
        <w:rPr>
          <w:rFonts w:ascii="Book Antiqua" w:hAnsi="Book Antiqua"/>
          <w:sz w:val="24"/>
          <w:szCs w:val="24"/>
          <w:shd w:val="clear" w:color="auto" w:fill="FFFFFF"/>
        </w:rPr>
        <w:t xml:space="preserve"> at the fracture site, leading to delayed fracture healing</w:t>
      </w:r>
      <w:r w:rsidRPr="00565259">
        <w:rPr>
          <w:rFonts w:ascii="Book Antiqua" w:hAnsi="Book Antiqua"/>
          <w:sz w:val="24"/>
          <w:szCs w:val="24"/>
          <w:shd w:val="clear" w:color="auto" w:fill="FFFFFF"/>
        </w:rPr>
        <w:t>.</w:t>
      </w:r>
    </w:p>
    <w:p w14:paraId="753040A9" w14:textId="77777777" w:rsidR="005B4F14" w:rsidRPr="00565259" w:rsidRDefault="005B4F14" w:rsidP="00B83DB9">
      <w:pPr>
        <w:tabs>
          <w:tab w:val="left" w:pos="720"/>
        </w:tabs>
        <w:spacing w:after="0" w:line="360" w:lineRule="auto"/>
        <w:jc w:val="both"/>
        <w:rPr>
          <w:rFonts w:ascii="Book Antiqua" w:hAnsi="Book Antiqua"/>
          <w:sz w:val="24"/>
          <w:szCs w:val="24"/>
        </w:rPr>
      </w:pPr>
    </w:p>
    <w:p w14:paraId="28C4090C" w14:textId="12B5818B" w:rsidR="009D20B7" w:rsidRPr="00565259" w:rsidRDefault="001C355D" w:rsidP="00B83DB9">
      <w:pPr>
        <w:tabs>
          <w:tab w:val="left" w:pos="720"/>
        </w:tabs>
        <w:spacing w:after="0" w:line="360" w:lineRule="auto"/>
        <w:jc w:val="both"/>
        <w:rPr>
          <w:rFonts w:ascii="Book Antiqua" w:eastAsiaTheme="majorEastAsia" w:hAnsi="Book Antiqua" w:cstheme="majorBidi"/>
          <w:b/>
          <w:sz w:val="24"/>
          <w:szCs w:val="24"/>
        </w:rPr>
      </w:pPr>
      <w:r w:rsidRPr="00565259">
        <w:rPr>
          <w:rStyle w:val="10"/>
          <w:b/>
          <w:szCs w:val="24"/>
        </w:rPr>
        <w:t>POTENTIAL TREATMENT OPPORTUNITIES FOR IMPROVED FRACTURE HEALING IN AGING</w:t>
      </w:r>
    </w:p>
    <w:p w14:paraId="269AFC41" w14:textId="5150CD2E" w:rsidR="00023844" w:rsidRPr="00565259" w:rsidRDefault="00D34A6B" w:rsidP="00B83DB9">
      <w:pPr>
        <w:tabs>
          <w:tab w:val="left" w:pos="720"/>
        </w:tabs>
        <w:spacing w:after="0" w:line="360" w:lineRule="auto"/>
        <w:jc w:val="both"/>
        <w:rPr>
          <w:rFonts w:ascii="Book Antiqua" w:hAnsi="Book Antiqua"/>
          <w:b/>
          <w:i/>
          <w:sz w:val="24"/>
          <w:szCs w:val="24"/>
        </w:rPr>
      </w:pPr>
      <w:r w:rsidRPr="00565259">
        <w:rPr>
          <w:rFonts w:ascii="Book Antiqua" w:hAnsi="Book Antiqua"/>
          <w:b/>
          <w:i/>
          <w:sz w:val="24"/>
          <w:szCs w:val="24"/>
        </w:rPr>
        <w:t>Cell-based therapies</w:t>
      </w:r>
    </w:p>
    <w:p w14:paraId="26996946" w14:textId="13FE7B9A" w:rsidR="00CE1FB3" w:rsidRPr="00565259" w:rsidRDefault="00CE1FB3" w:rsidP="00B83DB9">
      <w:pPr>
        <w:tabs>
          <w:tab w:val="left" w:pos="720"/>
        </w:tabs>
        <w:spacing w:after="0" w:line="360" w:lineRule="auto"/>
        <w:jc w:val="both"/>
        <w:rPr>
          <w:rFonts w:ascii="Book Antiqua" w:hAnsi="Book Antiqua"/>
          <w:sz w:val="24"/>
          <w:szCs w:val="24"/>
        </w:rPr>
      </w:pPr>
      <w:r w:rsidRPr="00565259">
        <w:rPr>
          <w:rFonts w:ascii="Book Antiqua" w:hAnsi="Book Antiqua"/>
          <w:sz w:val="24"/>
          <w:szCs w:val="24"/>
        </w:rPr>
        <w:t xml:space="preserve">Successful management of bone fractures in the elderly may require special measures not commonly indicated in younger individuals. As </w:t>
      </w:r>
      <w:r w:rsidR="00686603" w:rsidRPr="00565259">
        <w:rPr>
          <w:rFonts w:ascii="Book Antiqua" w:hAnsi="Book Antiqua"/>
          <w:sz w:val="24"/>
          <w:szCs w:val="24"/>
        </w:rPr>
        <w:t>native</w:t>
      </w:r>
      <w:r w:rsidRPr="00565259">
        <w:rPr>
          <w:rFonts w:ascii="Book Antiqua" w:hAnsi="Book Antiqua"/>
          <w:sz w:val="24"/>
          <w:szCs w:val="24"/>
        </w:rPr>
        <w:t xml:space="preserve"> MSCs and EPCs may be compromised with respect to number and/or function with advanced age, delivering </w:t>
      </w:r>
      <w:r w:rsidR="00DB7D93" w:rsidRPr="00565259">
        <w:rPr>
          <w:rFonts w:ascii="Book Antiqua" w:hAnsi="Book Antiqua"/>
          <w:sz w:val="24"/>
          <w:szCs w:val="24"/>
        </w:rPr>
        <w:t xml:space="preserve">these </w:t>
      </w:r>
      <w:r w:rsidRPr="00565259">
        <w:rPr>
          <w:rFonts w:ascii="Book Antiqua" w:hAnsi="Book Antiqua"/>
          <w:sz w:val="24"/>
          <w:szCs w:val="24"/>
        </w:rPr>
        <w:t>cells to the fracture site is one potential avenue to accelerate fracture repair.</w:t>
      </w:r>
    </w:p>
    <w:p w14:paraId="62C1C928" w14:textId="05C88A76" w:rsidR="00A76FD3" w:rsidRPr="00565259" w:rsidRDefault="00023844" w:rsidP="00B83DB9">
      <w:pPr>
        <w:tabs>
          <w:tab w:val="left" w:pos="720"/>
        </w:tabs>
        <w:spacing w:after="0" w:line="360" w:lineRule="auto"/>
        <w:ind w:firstLineChars="100" w:firstLine="240"/>
        <w:jc w:val="both"/>
        <w:rPr>
          <w:rFonts w:ascii="Book Antiqua" w:hAnsi="Book Antiqua"/>
          <w:sz w:val="24"/>
          <w:szCs w:val="24"/>
        </w:rPr>
      </w:pPr>
      <w:r w:rsidRPr="00565259">
        <w:rPr>
          <w:rFonts w:ascii="Book Antiqua" w:hAnsi="Book Antiqua" w:cs="Calibri"/>
          <w:sz w:val="24"/>
          <w:szCs w:val="24"/>
          <w:shd w:val="clear" w:color="auto" w:fill="FFFFFF"/>
        </w:rPr>
        <w:t>Bone tissue engineering has been investigated intensively for three decades, but efforts to date have not yielded a cell-seeded implant which can be used clinically. Most tissue engineering approaches target intramembranous or direct bone formation, but this approach has had poor outcomes because the cells must initially survive in an avascular hypoxic environment before the invasion of vasculature.</w:t>
      </w:r>
      <w:r w:rsidRPr="00565259">
        <w:rPr>
          <w:rFonts w:ascii="Book Antiqua" w:hAnsi="Book Antiqua"/>
          <w:sz w:val="24"/>
          <w:szCs w:val="24"/>
        </w:rPr>
        <w:t xml:space="preserve"> Without vasculature, nutrient delivery and waste removal are severely compromised in the center of the implant, causing cell necrosis and failure of cell-seeded implants</w:t>
      </w:r>
      <w:r w:rsidR="00FE4360" w:rsidRPr="00565259">
        <w:rPr>
          <w:rFonts w:ascii="Book Antiqua" w:hAnsi="Book Antiqua"/>
          <w:bCs/>
          <w:sz w:val="24"/>
          <w:szCs w:val="24"/>
          <w:vertAlign w:val="superscript"/>
        </w:rPr>
        <w:t>[113,116]</w:t>
      </w:r>
      <w:r w:rsidR="00A24197" w:rsidRPr="00565259">
        <w:rPr>
          <w:rFonts w:ascii="Book Antiqua" w:hAnsi="Book Antiqua"/>
          <w:sz w:val="24"/>
          <w:szCs w:val="24"/>
        </w:rPr>
        <w:t>.</w:t>
      </w:r>
      <w:r w:rsidR="00784565" w:rsidRPr="00565259">
        <w:rPr>
          <w:rFonts w:ascii="Book Antiqua" w:hAnsi="Book Antiqua" w:cs="Calibri"/>
          <w:sz w:val="24"/>
          <w:szCs w:val="24"/>
          <w:shd w:val="clear" w:color="auto" w:fill="FFFFFF"/>
        </w:rPr>
        <w:t xml:space="preserve"> </w:t>
      </w:r>
      <w:r w:rsidRPr="00565259">
        <w:rPr>
          <w:rFonts w:ascii="Book Antiqua" w:hAnsi="Book Antiqua" w:cs="Calibri"/>
          <w:sz w:val="24"/>
          <w:szCs w:val="24"/>
          <w:shd w:val="clear" w:color="auto" w:fill="FFFFFF"/>
        </w:rPr>
        <w:t>A relatively new technique to address this issue exploits the tendency of MSCs to undergo a process resembling hypertrophy when cultured under standard chondrogenic differentiation conditions</w:t>
      </w:r>
      <w:r w:rsidR="00FE4360" w:rsidRPr="00565259">
        <w:rPr>
          <w:rFonts w:ascii="Book Antiqua" w:hAnsi="Book Antiqua" w:cs="Calibri"/>
          <w:bCs/>
          <w:sz w:val="24"/>
          <w:szCs w:val="24"/>
          <w:shd w:val="clear" w:color="auto" w:fill="FFFFFF"/>
          <w:vertAlign w:val="superscript"/>
        </w:rPr>
        <w:t>[117,118]</w:t>
      </w:r>
      <w:r w:rsidR="00F233E0" w:rsidRPr="00565259">
        <w:rPr>
          <w:rFonts w:ascii="Book Antiqua" w:hAnsi="Book Antiqua" w:cs="Calibri"/>
          <w:sz w:val="24"/>
          <w:szCs w:val="24"/>
          <w:shd w:val="clear" w:color="auto" w:fill="FFFFFF"/>
        </w:rPr>
        <w:t>.</w:t>
      </w:r>
      <w:r w:rsidRPr="00565259">
        <w:rPr>
          <w:rFonts w:ascii="Book Antiqua" w:hAnsi="Book Antiqua" w:cs="Calibri"/>
          <w:sz w:val="24"/>
          <w:szCs w:val="24"/>
          <w:shd w:val="clear" w:color="auto" w:fill="FFFFFF"/>
        </w:rPr>
        <w:t xml:space="preserve"> In this regenerative strategy, bone tissue is generated via the endochondral ossification pathway, where a cartilaginous template is first formed and later remodeled into mature bone. One advantage of endochondral bone tissue engineering is that the chondrogenic cells function much better than osteogenic cells in low-oxygen environments such as the avascular region of a bone defect</w:t>
      </w:r>
      <w:r w:rsidR="00FE4360" w:rsidRPr="00565259">
        <w:rPr>
          <w:rFonts w:ascii="Book Antiqua" w:hAnsi="Book Antiqua" w:cs="Calibri"/>
          <w:bCs/>
          <w:sz w:val="24"/>
          <w:szCs w:val="24"/>
          <w:shd w:val="clear" w:color="auto" w:fill="FFFFFF"/>
          <w:vertAlign w:val="superscript"/>
        </w:rPr>
        <w:t>[113,119]</w:t>
      </w:r>
      <w:r w:rsidR="00F233E0" w:rsidRPr="00565259">
        <w:rPr>
          <w:rFonts w:ascii="Book Antiqua" w:hAnsi="Book Antiqua" w:cs="Calibri"/>
          <w:sz w:val="24"/>
          <w:szCs w:val="24"/>
          <w:shd w:val="clear" w:color="auto" w:fill="FFFFFF"/>
        </w:rPr>
        <w:t>.</w:t>
      </w:r>
      <w:r w:rsidR="00A76FD3" w:rsidRPr="00565259">
        <w:rPr>
          <w:rFonts w:ascii="Book Antiqua" w:hAnsi="Book Antiqua" w:cs="Calibri"/>
          <w:sz w:val="24"/>
          <w:szCs w:val="24"/>
          <w:shd w:val="clear" w:color="auto" w:fill="FFFFFF"/>
        </w:rPr>
        <w:t xml:space="preserve"> </w:t>
      </w:r>
      <w:r w:rsidRPr="00565259">
        <w:rPr>
          <w:rFonts w:ascii="Book Antiqua" w:hAnsi="Book Antiqua" w:cs="Calibri"/>
          <w:sz w:val="24"/>
          <w:szCs w:val="24"/>
          <w:shd w:val="clear" w:color="auto" w:fill="FFFFFF"/>
        </w:rPr>
        <w:t xml:space="preserve">Therefore, the chondrogenic cells are maintained in the implant site until the vasculature invades, at which time the hypertrophic cells induce bone formation, as in </w:t>
      </w:r>
      <w:r w:rsidR="001078D4" w:rsidRPr="00565259">
        <w:rPr>
          <w:rFonts w:ascii="Book Antiqua" w:hAnsi="Book Antiqua" w:cs="Calibri"/>
          <w:sz w:val="24"/>
          <w:szCs w:val="24"/>
          <w:shd w:val="clear" w:color="auto" w:fill="FFFFFF"/>
        </w:rPr>
        <w:t xml:space="preserve">secondary </w:t>
      </w:r>
      <w:r w:rsidRPr="00565259">
        <w:rPr>
          <w:rFonts w:ascii="Book Antiqua" w:hAnsi="Book Antiqua" w:cs="Calibri"/>
          <w:sz w:val="24"/>
          <w:szCs w:val="24"/>
          <w:shd w:val="clear" w:color="auto" w:fill="FFFFFF"/>
        </w:rPr>
        <w:t xml:space="preserve">native fracture healing. Because the cells undergo a process that resembles hypertrophy, they release an array of growth factors for vascular and bone formation that are spatially and temporally controlled. </w:t>
      </w:r>
      <w:r w:rsidRPr="00565259">
        <w:rPr>
          <w:rFonts w:ascii="Book Antiqua" w:hAnsi="Book Antiqua"/>
          <w:sz w:val="24"/>
          <w:szCs w:val="24"/>
        </w:rPr>
        <w:t>The feasibility of this technique has been demonstrated</w:t>
      </w:r>
      <w:r w:rsidR="00F233E0" w:rsidRPr="00565259">
        <w:rPr>
          <w:rFonts w:ascii="Book Antiqua" w:hAnsi="Book Antiqua"/>
          <w:sz w:val="24"/>
          <w:szCs w:val="24"/>
        </w:rPr>
        <w:t xml:space="preserve"> using embryonic stem cell</w:t>
      </w:r>
      <w:r w:rsidR="00FE4360" w:rsidRPr="00565259">
        <w:rPr>
          <w:rFonts w:ascii="Book Antiqua" w:hAnsi="Book Antiqua"/>
          <w:bCs/>
          <w:sz w:val="24"/>
          <w:szCs w:val="24"/>
          <w:vertAlign w:val="superscript"/>
        </w:rPr>
        <w:t>[120]</w:t>
      </w:r>
      <w:r w:rsidR="00F233E0" w:rsidRPr="00565259">
        <w:rPr>
          <w:rFonts w:ascii="Book Antiqua" w:hAnsi="Book Antiqua"/>
          <w:sz w:val="24"/>
          <w:szCs w:val="24"/>
        </w:rPr>
        <w:t>,</w:t>
      </w:r>
      <w:r w:rsidR="00A76FD3" w:rsidRPr="00565259">
        <w:rPr>
          <w:rFonts w:ascii="Book Antiqua" w:hAnsi="Book Antiqua"/>
          <w:sz w:val="24"/>
          <w:szCs w:val="24"/>
        </w:rPr>
        <w:t xml:space="preserve"> </w:t>
      </w:r>
      <w:r w:rsidR="00374A7A" w:rsidRPr="00565259">
        <w:rPr>
          <w:rFonts w:ascii="Book Antiqua" w:hAnsi="Book Antiqua"/>
          <w:sz w:val="24"/>
          <w:szCs w:val="24"/>
        </w:rPr>
        <w:t xml:space="preserve">marrow- and adipose-derived </w:t>
      </w:r>
      <w:r w:rsidRPr="00565259">
        <w:rPr>
          <w:rFonts w:ascii="Book Antiqua" w:hAnsi="Book Antiqua"/>
          <w:sz w:val="24"/>
          <w:szCs w:val="24"/>
        </w:rPr>
        <w:t>MSCs</w:t>
      </w:r>
      <w:r w:rsidR="00FE4360" w:rsidRPr="00565259">
        <w:rPr>
          <w:rFonts w:ascii="Book Antiqua" w:hAnsi="Book Antiqua"/>
          <w:bCs/>
          <w:sz w:val="24"/>
          <w:szCs w:val="24"/>
          <w:vertAlign w:val="superscript"/>
        </w:rPr>
        <w:t>[121-129]</w:t>
      </w:r>
      <w:r w:rsidR="00F233E0" w:rsidRPr="00565259">
        <w:rPr>
          <w:rFonts w:ascii="Book Antiqua" w:hAnsi="Book Antiqua"/>
          <w:sz w:val="24"/>
          <w:szCs w:val="24"/>
        </w:rPr>
        <w:t>,</w:t>
      </w:r>
      <w:r w:rsidR="00A76FD3" w:rsidRPr="00565259">
        <w:rPr>
          <w:rFonts w:ascii="Book Antiqua" w:hAnsi="Book Antiqua"/>
          <w:sz w:val="24"/>
          <w:szCs w:val="24"/>
        </w:rPr>
        <w:t xml:space="preserve"> </w:t>
      </w:r>
      <w:r w:rsidRPr="00565259">
        <w:rPr>
          <w:rFonts w:ascii="Book Antiqua" w:hAnsi="Book Antiqua"/>
          <w:sz w:val="24"/>
          <w:szCs w:val="24"/>
        </w:rPr>
        <w:t>and the murine, chondrocytic cell line ATDC5</w:t>
      </w:r>
      <w:r w:rsidR="00FE4360" w:rsidRPr="00565259">
        <w:rPr>
          <w:rFonts w:ascii="Book Antiqua" w:hAnsi="Book Antiqua"/>
          <w:bCs/>
          <w:sz w:val="24"/>
          <w:szCs w:val="24"/>
          <w:vertAlign w:val="superscript"/>
        </w:rPr>
        <w:t>[130]</w:t>
      </w:r>
      <w:r w:rsidR="00887E10" w:rsidRPr="00565259">
        <w:rPr>
          <w:rFonts w:ascii="Book Antiqua" w:hAnsi="Book Antiqua"/>
          <w:sz w:val="24"/>
          <w:szCs w:val="24"/>
        </w:rPr>
        <w:t>.</w:t>
      </w:r>
      <w:r w:rsidR="007B3985" w:rsidRPr="00565259">
        <w:rPr>
          <w:rFonts w:ascii="Book Antiqua" w:hAnsi="Book Antiqua"/>
          <w:sz w:val="24"/>
          <w:szCs w:val="24"/>
        </w:rPr>
        <w:t xml:space="preserve"> </w:t>
      </w:r>
      <w:r w:rsidR="00284FE4" w:rsidRPr="00565259">
        <w:rPr>
          <w:rFonts w:ascii="Book Antiqua" w:hAnsi="Book Antiqua" w:cs="Calibri"/>
          <w:sz w:val="24"/>
          <w:szCs w:val="24"/>
          <w:shd w:val="clear" w:color="auto" w:fill="FFFFFF"/>
        </w:rPr>
        <w:t xml:space="preserve">Recently, fracture healing through endochondral ossification using hypertrophically primed MSCs in a collagen construct was demonstrated in </w:t>
      </w:r>
      <w:r w:rsidR="001078D4" w:rsidRPr="00565259">
        <w:rPr>
          <w:rFonts w:ascii="Book Antiqua" w:hAnsi="Book Antiqua" w:cs="Calibri"/>
          <w:sz w:val="24"/>
          <w:szCs w:val="24"/>
          <w:shd w:val="clear" w:color="auto" w:fill="FFFFFF"/>
        </w:rPr>
        <w:t xml:space="preserve">a </w:t>
      </w:r>
      <w:r w:rsidR="00284FE4" w:rsidRPr="00565259">
        <w:rPr>
          <w:rFonts w:ascii="Book Antiqua" w:hAnsi="Book Antiqua" w:cs="Calibri"/>
          <w:sz w:val="24"/>
          <w:szCs w:val="24"/>
          <w:shd w:val="clear" w:color="auto" w:fill="FFFFFF"/>
        </w:rPr>
        <w:t>weight bearing femoral defect model in rats</w:t>
      </w:r>
      <w:r w:rsidR="00FE4360" w:rsidRPr="00565259">
        <w:rPr>
          <w:rFonts w:ascii="Book Antiqua" w:hAnsi="Book Antiqua" w:cs="Calibri"/>
          <w:bCs/>
          <w:sz w:val="24"/>
          <w:szCs w:val="24"/>
          <w:shd w:val="clear" w:color="auto" w:fill="FFFFFF"/>
          <w:vertAlign w:val="superscript"/>
        </w:rPr>
        <w:t>[131]</w:t>
      </w:r>
      <w:r w:rsidR="00F233E0" w:rsidRPr="00565259">
        <w:rPr>
          <w:rFonts w:ascii="Book Antiqua" w:hAnsi="Book Antiqua" w:cs="Calibri"/>
          <w:sz w:val="24"/>
          <w:szCs w:val="24"/>
          <w:shd w:val="clear" w:color="auto" w:fill="FFFFFF"/>
        </w:rPr>
        <w:t>.</w:t>
      </w:r>
      <w:r w:rsidR="00284FE4" w:rsidRPr="00565259">
        <w:rPr>
          <w:rFonts w:ascii="Book Antiqua" w:hAnsi="Book Antiqua" w:cs="Calibri"/>
          <w:sz w:val="24"/>
          <w:szCs w:val="24"/>
          <w:shd w:val="clear" w:color="auto" w:fill="FFFFFF"/>
        </w:rPr>
        <w:t xml:space="preserve"> In fact, e</w:t>
      </w:r>
      <w:r w:rsidRPr="00565259">
        <w:rPr>
          <w:rFonts w:ascii="Book Antiqua" w:hAnsi="Book Antiqua" w:cs="Calibri"/>
          <w:sz w:val="24"/>
          <w:szCs w:val="24"/>
          <w:shd w:val="clear" w:color="auto" w:fill="FFFFFF"/>
        </w:rPr>
        <w:t xml:space="preserve">ndochondral ossification </w:t>
      </w:r>
      <w:r w:rsidR="00284FE4" w:rsidRPr="00565259">
        <w:rPr>
          <w:rFonts w:ascii="Book Antiqua" w:hAnsi="Book Antiqua" w:cs="Calibri"/>
          <w:sz w:val="24"/>
          <w:szCs w:val="24"/>
          <w:shd w:val="clear" w:color="auto" w:fill="FFFFFF"/>
        </w:rPr>
        <w:t>has been</w:t>
      </w:r>
      <w:r w:rsidRPr="00565259">
        <w:rPr>
          <w:rFonts w:ascii="Book Antiqua" w:hAnsi="Book Antiqua" w:cs="Calibri"/>
          <w:sz w:val="24"/>
          <w:szCs w:val="24"/>
          <w:shd w:val="clear" w:color="auto" w:fill="FFFFFF"/>
        </w:rPr>
        <w:t xml:space="preserve"> shown to be a better alternative than intramembranous bone regeneration by Thompson </w:t>
      </w:r>
      <w:r w:rsidRPr="00565259">
        <w:rPr>
          <w:rFonts w:ascii="Book Antiqua" w:hAnsi="Book Antiqua" w:cs="Calibri"/>
          <w:i/>
          <w:sz w:val="24"/>
          <w:szCs w:val="24"/>
          <w:shd w:val="clear" w:color="auto" w:fill="FFFFFF"/>
        </w:rPr>
        <w:t>et al</w:t>
      </w:r>
      <w:r w:rsidR="00AC4EC2" w:rsidRPr="00565259">
        <w:rPr>
          <w:rFonts w:ascii="Book Antiqua" w:hAnsi="Book Antiqua" w:cs="Calibri"/>
          <w:bCs/>
          <w:sz w:val="24"/>
          <w:szCs w:val="24"/>
          <w:shd w:val="clear" w:color="auto" w:fill="FFFFFF"/>
          <w:vertAlign w:val="superscript"/>
        </w:rPr>
        <w:t>[132]</w:t>
      </w:r>
      <w:r w:rsidRPr="00565259">
        <w:rPr>
          <w:rFonts w:ascii="Book Antiqua" w:hAnsi="Book Antiqua" w:cs="Calibri"/>
          <w:sz w:val="24"/>
          <w:szCs w:val="24"/>
          <w:shd w:val="clear" w:color="auto" w:fill="FFFFFF"/>
        </w:rPr>
        <w:t>, where the chondrogenically primed MSCs supported greater repair of a</w:t>
      </w:r>
      <w:r w:rsidR="007C50F1" w:rsidRPr="00565259">
        <w:rPr>
          <w:rFonts w:ascii="Book Antiqua" w:hAnsi="Book Antiqua" w:cs="Calibri"/>
          <w:sz w:val="24"/>
          <w:szCs w:val="24"/>
          <w:shd w:val="clear" w:color="auto" w:fill="FFFFFF"/>
        </w:rPr>
        <w:t xml:space="preserve"> cranial</w:t>
      </w:r>
      <w:r w:rsidR="007C50F1" w:rsidRPr="00565259" w:rsidDel="007C50F1">
        <w:rPr>
          <w:rFonts w:ascii="Book Antiqua" w:hAnsi="Book Antiqua" w:cs="Calibri"/>
          <w:sz w:val="24"/>
          <w:szCs w:val="24"/>
          <w:shd w:val="clear" w:color="auto" w:fill="FFFFFF"/>
        </w:rPr>
        <w:t xml:space="preserve"> </w:t>
      </w:r>
      <w:r w:rsidRPr="00565259">
        <w:rPr>
          <w:rFonts w:ascii="Book Antiqua" w:hAnsi="Book Antiqua" w:cs="Calibri"/>
          <w:sz w:val="24"/>
          <w:szCs w:val="24"/>
          <w:shd w:val="clear" w:color="auto" w:fill="FFFFFF"/>
        </w:rPr>
        <w:t>critical-size</w:t>
      </w:r>
      <w:r w:rsidR="007C50F1" w:rsidRPr="00565259">
        <w:rPr>
          <w:rFonts w:ascii="Book Antiqua" w:hAnsi="Book Antiqua" w:cs="Calibri"/>
          <w:sz w:val="24"/>
          <w:szCs w:val="24"/>
          <w:shd w:val="clear" w:color="auto" w:fill="FFFFFF"/>
        </w:rPr>
        <w:t>d</w:t>
      </w:r>
      <w:r w:rsidRPr="00565259">
        <w:rPr>
          <w:rFonts w:ascii="Book Antiqua" w:hAnsi="Book Antiqua" w:cs="Calibri"/>
          <w:sz w:val="24"/>
          <w:szCs w:val="24"/>
          <w:shd w:val="clear" w:color="auto" w:fill="FFFFFF"/>
        </w:rPr>
        <w:t xml:space="preserve"> defect</w:t>
      </w:r>
      <w:r w:rsidR="007C50F1" w:rsidRPr="00565259">
        <w:rPr>
          <w:rFonts w:ascii="Book Antiqua" w:hAnsi="Book Antiqua" w:cs="Calibri"/>
          <w:sz w:val="24"/>
          <w:szCs w:val="24"/>
          <w:shd w:val="clear" w:color="auto" w:fill="FFFFFF"/>
        </w:rPr>
        <w:t xml:space="preserve"> (CSD)</w:t>
      </w:r>
      <w:r w:rsidR="00FE4360" w:rsidRPr="00565259">
        <w:rPr>
          <w:rFonts w:ascii="Book Antiqua" w:hAnsi="Book Antiqua" w:cs="Calibri"/>
          <w:bCs/>
          <w:sz w:val="24"/>
          <w:szCs w:val="24"/>
          <w:shd w:val="clear" w:color="auto" w:fill="FFFFFF"/>
          <w:vertAlign w:val="superscript"/>
        </w:rPr>
        <w:t>[132]</w:t>
      </w:r>
      <w:r w:rsidR="00887E10" w:rsidRPr="00565259">
        <w:rPr>
          <w:rFonts w:ascii="Book Antiqua" w:hAnsi="Book Antiqua" w:cs="Calibri"/>
          <w:sz w:val="24"/>
          <w:szCs w:val="24"/>
          <w:shd w:val="clear" w:color="auto" w:fill="FFFFFF"/>
        </w:rPr>
        <w:t>.</w:t>
      </w:r>
    </w:p>
    <w:p w14:paraId="2DEF968A" w14:textId="0D875770" w:rsidR="00023844" w:rsidRPr="00565259" w:rsidRDefault="00A03F8A" w:rsidP="00B83DB9">
      <w:pPr>
        <w:tabs>
          <w:tab w:val="left" w:pos="720"/>
        </w:tabs>
        <w:spacing w:after="0" w:line="360" w:lineRule="auto"/>
        <w:ind w:firstLineChars="100" w:firstLine="240"/>
        <w:jc w:val="both"/>
        <w:rPr>
          <w:rFonts w:ascii="Book Antiqua" w:hAnsi="Book Antiqua" w:cs="Arial"/>
          <w:sz w:val="24"/>
          <w:szCs w:val="24"/>
        </w:rPr>
      </w:pPr>
      <w:r w:rsidRPr="00565259">
        <w:rPr>
          <w:rFonts w:ascii="Book Antiqua" w:hAnsi="Book Antiqua" w:cs="Arial"/>
          <w:sz w:val="24"/>
          <w:szCs w:val="24"/>
        </w:rPr>
        <w:t xml:space="preserve">Another cell-therapy approach </w:t>
      </w:r>
      <w:r w:rsidR="00693EA1" w:rsidRPr="00565259">
        <w:rPr>
          <w:rFonts w:ascii="Book Antiqua" w:hAnsi="Book Antiqua" w:cs="Arial"/>
          <w:sz w:val="24"/>
          <w:szCs w:val="24"/>
        </w:rPr>
        <w:t xml:space="preserve">to improve bone healing </w:t>
      </w:r>
      <w:r w:rsidRPr="00565259">
        <w:rPr>
          <w:rFonts w:ascii="Book Antiqua" w:hAnsi="Book Antiqua" w:cs="Arial"/>
          <w:sz w:val="24"/>
          <w:szCs w:val="24"/>
        </w:rPr>
        <w:t xml:space="preserve">is to enhance angiogenesis with ECFCs. </w:t>
      </w:r>
      <w:r w:rsidR="00935AD2" w:rsidRPr="00565259">
        <w:rPr>
          <w:rFonts w:ascii="Book Antiqua" w:hAnsi="Book Antiqua" w:cs="Arial"/>
          <w:sz w:val="24"/>
          <w:szCs w:val="24"/>
        </w:rPr>
        <w:t>Currently, implantation of</w:t>
      </w:r>
      <w:r w:rsidR="00693EA1" w:rsidRPr="00565259">
        <w:rPr>
          <w:rFonts w:ascii="Book Antiqua" w:hAnsi="Book Antiqua" w:cs="Arial"/>
          <w:sz w:val="24"/>
          <w:szCs w:val="24"/>
        </w:rPr>
        <w:t xml:space="preserve"> ECFCs has been tested in animals and is</w:t>
      </w:r>
      <w:r w:rsidR="00023844" w:rsidRPr="00565259">
        <w:rPr>
          <w:rFonts w:ascii="Book Antiqua" w:hAnsi="Book Antiqua" w:cs="Arial"/>
          <w:sz w:val="24"/>
          <w:szCs w:val="24"/>
        </w:rPr>
        <w:t xml:space="preserve"> currently being investigated in human clinical trials for other indications</w:t>
      </w:r>
      <w:r w:rsidR="00023844" w:rsidRPr="00565259">
        <w:rPr>
          <w:rFonts w:ascii="Book Antiqua" w:hAnsi="Book Antiqua"/>
          <w:sz w:val="24"/>
          <w:szCs w:val="24"/>
        </w:rPr>
        <w:t>, such as myocardial infarction, ischemic stroke, liver cirrhosis, and diabetic foot</w:t>
      </w:r>
      <w:r w:rsidR="00FE4360" w:rsidRPr="00565259">
        <w:rPr>
          <w:rFonts w:ascii="Book Antiqua" w:hAnsi="Book Antiqua" w:cs="Arial"/>
          <w:bCs/>
          <w:sz w:val="24"/>
          <w:szCs w:val="24"/>
          <w:vertAlign w:val="superscript"/>
        </w:rPr>
        <w:t>[133]</w:t>
      </w:r>
      <w:r w:rsidR="00F233E0" w:rsidRPr="00565259">
        <w:rPr>
          <w:rFonts w:ascii="Book Antiqua" w:hAnsi="Book Antiqua" w:cs="Arial"/>
          <w:sz w:val="24"/>
          <w:szCs w:val="24"/>
        </w:rPr>
        <w:t>.</w:t>
      </w:r>
      <w:r w:rsidR="00D8474D" w:rsidRPr="00565259">
        <w:rPr>
          <w:rFonts w:ascii="Book Antiqua" w:hAnsi="Book Antiqua" w:cs="Arial"/>
          <w:sz w:val="24"/>
          <w:szCs w:val="24"/>
        </w:rPr>
        <w:t xml:space="preserve"> </w:t>
      </w:r>
      <w:r w:rsidR="00023844" w:rsidRPr="00565259">
        <w:rPr>
          <w:rFonts w:ascii="Book Antiqua" w:hAnsi="Book Antiqua" w:cs="Arial"/>
          <w:sz w:val="24"/>
          <w:szCs w:val="24"/>
        </w:rPr>
        <w:t>Our group</w:t>
      </w:r>
      <w:r w:rsidR="00FE4360" w:rsidRPr="00565259">
        <w:rPr>
          <w:rFonts w:ascii="Book Antiqua" w:hAnsi="Book Antiqua" w:cs="Arial"/>
          <w:bCs/>
          <w:sz w:val="24"/>
          <w:szCs w:val="24"/>
          <w:vertAlign w:val="superscript"/>
        </w:rPr>
        <w:t>[134]</w:t>
      </w:r>
      <w:r w:rsidR="00D8474D" w:rsidRPr="00565259">
        <w:rPr>
          <w:rFonts w:ascii="Book Antiqua" w:hAnsi="Book Antiqua" w:cs="Arial"/>
          <w:sz w:val="24"/>
          <w:szCs w:val="24"/>
        </w:rPr>
        <w:t xml:space="preserve"> </w:t>
      </w:r>
      <w:r w:rsidR="00023844" w:rsidRPr="00565259">
        <w:rPr>
          <w:rFonts w:ascii="Book Antiqua" w:hAnsi="Book Antiqua" w:cs="Arial"/>
          <w:sz w:val="24"/>
          <w:szCs w:val="24"/>
        </w:rPr>
        <w:t>and others</w:t>
      </w:r>
      <w:r w:rsidR="00FE4360" w:rsidRPr="00565259">
        <w:rPr>
          <w:rFonts w:ascii="Book Antiqua" w:hAnsi="Book Antiqua" w:cs="Arial"/>
          <w:bCs/>
          <w:sz w:val="24"/>
          <w:szCs w:val="24"/>
          <w:vertAlign w:val="superscript"/>
        </w:rPr>
        <w:t>[135-140]</w:t>
      </w:r>
      <w:r w:rsidR="00497910" w:rsidRPr="00565259">
        <w:rPr>
          <w:rFonts w:ascii="Book Antiqua" w:hAnsi="Book Antiqua" w:cs="Arial"/>
          <w:sz w:val="24"/>
          <w:szCs w:val="24"/>
        </w:rPr>
        <w:t xml:space="preserve"> </w:t>
      </w:r>
      <w:r w:rsidR="00023844" w:rsidRPr="00565259">
        <w:rPr>
          <w:rFonts w:ascii="Book Antiqua" w:hAnsi="Book Antiqua" w:cs="Arial"/>
          <w:sz w:val="24"/>
          <w:szCs w:val="24"/>
        </w:rPr>
        <w:t xml:space="preserve">have recently shown the utility of using ECs for bone repair. </w:t>
      </w:r>
      <w:r w:rsidR="00023844" w:rsidRPr="00565259">
        <w:rPr>
          <w:rFonts w:ascii="Book Antiqua" w:hAnsi="Book Antiqua" w:cs="Arial"/>
          <w:color w:val="292526"/>
          <w:sz w:val="24"/>
          <w:szCs w:val="24"/>
        </w:rPr>
        <w:t>ECFCs were selected</w:t>
      </w:r>
      <w:r w:rsidR="00023844" w:rsidRPr="00565259">
        <w:rPr>
          <w:rFonts w:ascii="Book Antiqua" w:hAnsi="Book Antiqua" w:cs="Arial"/>
          <w:sz w:val="24"/>
          <w:szCs w:val="24"/>
        </w:rPr>
        <w:t xml:space="preserve"> based on their proliferative potential, expression of </w:t>
      </w:r>
      <w:r w:rsidR="00023844" w:rsidRPr="00565259">
        <w:rPr>
          <w:rFonts w:ascii="Book Antiqua" w:hAnsi="Book Antiqua" w:cs="Arial"/>
          <w:color w:val="292526"/>
          <w:sz w:val="24"/>
          <w:szCs w:val="24"/>
        </w:rPr>
        <w:t>CD31 and CD309, as well as their ability to take-up acetylated low-density lipoproteins</w:t>
      </w:r>
      <w:r w:rsidR="00FE4360" w:rsidRPr="00565259">
        <w:rPr>
          <w:rFonts w:ascii="Book Antiqua" w:hAnsi="Book Antiqua" w:cs="Arial"/>
          <w:bCs/>
          <w:sz w:val="24"/>
          <w:szCs w:val="24"/>
          <w:vertAlign w:val="superscript"/>
        </w:rPr>
        <w:t>[141]</w:t>
      </w:r>
      <w:r w:rsidR="00F233E0" w:rsidRPr="00565259">
        <w:rPr>
          <w:rFonts w:ascii="Book Antiqua" w:hAnsi="Book Antiqua" w:cs="Arial"/>
          <w:sz w:val="24"/>
          <w:szCs w:val="24"/>
        </w:rPr>
        <w:t>.</w:t>
      </w:r>
    </w:p>
    <w:p w14:paraId="4AE38E8C" w14:textId="1CB08CEB" w:rsidR="00023844" w:rsidRPr="00565259" w:rsidRDefault="00023844" w:rsidP="00B83DB9">
      <w:pPr>
        <w:tabs>
          <w:tab w:val="left" w:pos="720"/>
        </w:tabs>
        <w:spacing w:after="0" w:line="360" w:lineRule="auto"/>
        <w:ind w:firstLineChars="100" w:firstLine="240"/>
        <w:jc w:val="both"/>
        <w:rPr>
          <w:rFonts w:ascii="Book Antiqua" w:hAnsi="Book Antiqua" w:cs="Arial"/>
          <w:sz w:val="24"/>
          <w:szCs w:val="24"/>
        </w:rPr>
      </w:pPr>
      <w:r w:rsidRPr="00565259">
        <w:rPr>
          <w:rFonts w:ascii="Book Antiqua" w:hAnsi="Book Antiqua" w:cs="Arial"/>
          <w:sz w:val="24"/>
          <w:szCs w:val="24"/>
        </w:rPr>
        <w:t>ECFCs can induce neovascularization at the bone defect site, and stimulate fracture repair and bone regeneration in young rats</w:t>
      </w:r>
      <w:r w:rsidR="00FE4360" w:rsidRPr="00565259">
        <w:rPr>
          <w:rFonts w:ascii="Book Antiqua" w:hAnsi="Book Antiqua" w:cs="Arial"/>
          <w:bCs/>
          <w:sz w:val="24"/>
          <w:szCs w:val="24"/>
          <w:vertAlign w:val="superscript"/>
        </w:rPr>
        <w:t>[134]</w:t>
      </w:r>
      <w:r w:rsidR="00F233E0" w:rsidRPr="00565259">
        <w:rPr>
          <w:rFonts w:ascii="Book Antiqua" w:hAnsi="Book Antiqua" w:cs="Arial"/>
          <w:sz w:val="24"/>
          <w:szCs w:val="24"/>
        </w:rPr>
        <w:t>.</w:t>
      </w:r>
      <w:r w:rsidR="00C17406" w:rsidRPr="00565259">
        <w:rPr>
          <w:rFonts w:ascii="Book Antiqua" w:hAnsi="Book Antiqua" w:cs="Arial"/>
          <w:sz w:val="24"/>
          <w:szCs w:val="24"/>
        </w:rPr>
        <w:t xml:space="preserve"> </w:t>
      </w:r>
      <w:r w:rsidRPr="00565259">
        <w:rPr>
          <w:rFonts w:ascii="Book Antiqua" w:hAnsi="Book Antiqua" w:cs="Arial"/>
          <w:color w:val="292526"/>
          <w:sz w:val="24"/>
          <w:szCs w:val="24"/>
        </w:rPr>
        <w:t>ECFCs (10</w:t>
      </w:r>
      <w:r w:rsidRPr="00565259">
        <w:rPr>
          <w:rFonts w:ascii="Book Antiqua" w:hAnsi="Book Antiqua" w:cs="Arial"/>
          <w:color w:val="292526"/>
          <w:sz w:val="24"/>
          <w:szCs w:val="24"/>
          <w:vertAlign w:val="superscript"/>
        </w:rPr>
        <w:t>6</w:t>
      </w:r>
      <w:r w:rsidRPr="00565259">
        <w:rPr>
          <w:rFonts w:ascii="Book Antiqua" w:hAnsi="Book Antiqua" w:cs="Arial"/>
          <w:color w:val="292526"/>
          <w:sz w:val="24"/>
          <w:szCs w:val="24"/>
        </w:rPr>
        <w:t xml:space="preserve"> cells) were seeded into a type I collagen sponge and transplanted into the bone defect during fracture surgery. </w:t>
      </w:r>
      <w:r w:rsidRPr="00565259">
        <w:rPr>
          <w:rFonts w:ascii="Book Antiqua" w:hAnsi="Book Antiqua" w:cs="Arial"/>
          <w:sz w:val="24"/>
          <w:szCs w:val="24"/>
        </w:rPr>
        <w:t xml:space="preserve">The data showed that ECFCs induced more new blood vessels compared to the </w:t>
      </w:r>
      <w:r w:rsidRPr="00565259">
        <w:rPr>
          <w:rFonts w:ascii="Book Antiqua" w:hAnsi="Book Antiqua" w:cs="Arial"/>
          <w:color w:val="292526"/>
          <w:sz w:val="24"/>
          <w:szCs w:val="24"/>
        </w:rPr>
        <w:t xml:space="preserve">unseeded type I collagen </w:t>
      </w:r>
      <w:r w:rsidRPr="00565259">
        <w:rPr>
          <w:rFonts w:ascii="Book Antiqua" w:hAnsi="Book Antiqua" w:cs="Arial"/>
          <w:sz w:val="24"/>
          <w:szCs w:val="24"/>
        </w:rPr>
        <w:t>controls</w:t>
      </w:r>
      <w:r w:rsidR="00FE4360" w:rsidRPr="00565259">
        <w:rPr>
          <w:rFonts w:ascii="Book Antiqua" w:hAnsi="Book Antiqua" w:cs="Arial"/>
          <w:bCs/>
          <w:sz w:val="24"/>
          <w:szCs w:val="24"/>
          <w:vertAlign w:val="superscript"/>
        </w:rPr>
        <w:t>[134]</w:t>
      </w:r>
      <w:r w:rsidR="00F233E0" w:rsidRPr="00565259">
        <w:rPr>
          <w:rFonts w:ascii="Book Antiqua" w:hAnsi="Book Antiqua" w:cs="Arial"/>
          <w:sz w:val="24"/>
          <w:szCs w:val="24"/>
        </w:rPr>
        <w:t>.</w:t>
      </w:r>
      <w:r w:rsidR="00497910" w:rsidRPr="00565259">
        <w:rPr>
          <w:rFonts w:ascii="Book Antiqua" w:hAnsi="Book Antiqua" w:cs="Arial"/>
          <w:sz w:val="24"/>
          <w:szCs w:val="24"/>
        </w:rPr>
        <w:t xml:space="preserve"> </w:t>
      </w:r>
      <w:r w:rsidRPr="00565259">
        <w:rPr>
          <w:rFonts w:ascii="Book Antiqua" w:hAnsi="Book Antiqua" w:cs="Arial"/>
          <w:sz w:val="24"/>
          <w:szCs w:val="24"/>
        </w:rPr>
        <w:t xml:space="preserve">Furthermore, </w:t>
      </w:r>
      <w:r w:rsidRPr="00565259">
        <w:rPr>
          <w:rFonts w:ascii="Book Antiqua" w:hAnsi="Book Antiqua" w:cs="Arial"/>
          <w:color w:val="292526"/>
          <w:sz w:val="24"/>
          <w:szCs w:val="24"/>
        </w:rPr>
        <w:t>new bone was formed within the defect area when implanted with ECFCs, but no bone was observed in the controls</w:t>
      </w:r>
      <w:r w:rsidR="00FE4360" w:rsidRPr="00565259">
        <w:rPr>
          <w:rFonts w:ascii="Book Antiqua" w:hAnsi="Book Antiqua" w:cs="Arial"/>
          <w:bCs/>
          <w:color w:val="292526"/>
          <w:sz w:val="24"/>
          <w:szCs w:val="24"/>
          <w:vertAlign w:val="superscript"/>
        </w:rPr>
        <w:t>[134]</w:t>
      </w:r>
      <w:r w:rsidR="00F233E0" w:rsidRPr="00565259">
        <w:rPr>
          <w:rFonts w:ascii="Book Antiqua" w:hAnsi="Book Antiqua" w:cs="Arial"/>
          <w:color w:val="292526"/>
          <w:sz w:val="24"/>
          <w:szCs w:val="24"/>
        </w:rPr>
        <w:t>.</w:t>
      </w:r>
      <w:r w:rsidR="00497910" w:rsidRPr="00565259">
        <w:rPr>
          <w:rFonts w:ascii="Book Antiqua" w:hAnsi="Book Antiqua" w:cs="Arial"/>
          <w:color w:val="292526"/>
          <w:sz w:val="24"/>
          <w:szCs w:val="24"/>
        </w:rPr>
        <w:t xml:space="preserve"> </w:t>
      </w:r>
      <w:r w:rsidRPr="00565259">
        <w:rPr>
          <w:rFonts w:ascii="Book Antiqua" w:hAnsi="Book Antiqua" w:cs="Arial"/>
          <w:color w:val="292526"/>
          <w:sz w:val="24"/>
          <w:szCs w:val="24"/>
        </w:rPr>
        <w:t>Histological examination showed that osteocytes, osteoblasts, and osteoclasts were observed in newly formed bone tissues in ECFC treated animals at 6 weeks</w:t>
      </w:r>
      <w:r w:rsidR="00FE4360" w:rsidRPr="00565259">
        <w:rPr>
          <w:rFonts w:ascii="Book Antiqua" w:hAnsi="Book Antiqua" w:cs="Arial"/>
          <w:bCs/>
          <w:color w:val="292526"/>
          <w:sz w:val="24"/>
          <w:szCs w:val="24"/>
          <w:vertAlign w:val="superscript"/>
        </w:rPr>
        <w:t>[134]</w:t>
      </w:r>
      <w:r w:rsidR="00F233E0" w:rsidRPr="00565259">
        <w:rPr>
          <w:rFonts w:ascii="Book Antiqua" w:hAnsi="Book Antiqua" w:cs="Arial"/>
          <w:color w:val="292526"/>
          <w:sz w:val="24"/>
          <w:szCs w:val="24"/>
        </w:rPr>
        <w:t>.</w:t>
      </w:r>
      <w:r w:rsidR="00497910" w:rsidRPr="00565259">
        <w:rPr>
          <w:rFonts w:ascii="Book Antiqua" w:hAnsi="Book Antiqua" w:cs="Arial"/>
          <w:sz w:val="24"/>
          <w:szCs w:val="24"/>
        </w:rPr>
        <w:t xml:space="preserve"> </w:t>
      </w:r>
      <w:r w:rsidRPr="00565259">
        <w:rPr>
          <w:rFonts w:ascii="Book Antiqua" w:hAnsi="Book Antiqua" w:cs="Arial"/>
          <w:color w:val="292526"/>
          <w:sz w:val="24"/>
          <w:szCs w:val="24"/>
        </w:rPr>
        <w:t xml:space="preserve">These data suggest that ECFCs can increase neovascularization and stimulate new bone formation in the damaged bone area with a CSD that normally fails to </w:t>
      </w:r>
      <w:r w:rsidR="007C50F1" w:rsidRPr="00565259">
        <w:rPr>
          <w:rFonts w:ascii="Book Antiqua" w:hAnsi="Book Antiqua" w:cs="Arial"/>
          <w:color w:val="292526"/>
          <w:sz w:val="24"/>
          <w:szCs w:val="24"/>
        </w:rPr>
        <w:t>heal</w:t>
      </w:r>
      <w:r w:rsidRPr="00565259">
        <w:rPr>
          <w:rFonts w:ascii="Book Antiqua" w:hAnsi="Book Antiqua" w:cs="Arial"/>
          <w:color w:val="292526"/>
          <w:sz w:val="24"/>
          <w:szCs w:val="24"/>
        </w:rPr>
        <w:t>.</w:t>
      </w:r>
    </w:p>
    <w:p w14:paraId="1697CF98" w14:textId="033B7082" w:rsidR="00E367F9" w:rsidRPr="00565259" w:rsidRDefault="00023844" w:rsidP="00B83DB9">
      <w:pPr>
        <w:tabs>
          <w:tab w:val="left" w:pos="720"/>
        </w:tabs>
        <w:spacing w:after="0" w:line="360" w:lineRule="auto"/>
        <w:ind w:firstLineChars="100" w:firstLine="240"/>
        <w:jc w:val="both"/>
        <w:rPr>
          <w:rFonts w:ascii="Book Antiqua" w:hAnsi="Book Antiqua" w:cs="Arial"/>
          <w:color w:val="292526"/>
          <w:sz w:val="24"/>
          <w:szCs w:val="24"/>
        </w:rPr>
      </w:pPr>
      <w:r w:rsidRPr="00565259">
        <w:rPr>
          <w:rFonts w:ascii="Book Antiqua" w:hAnsi="Book Antiqua" w:cs="Arial"/>
          <w:color w:val="292526"/>
          <w:sz w:val="24"/>
          <w:szCs w:val="24"/>
        </w:rPr>
        <w:t>In another study</w:t>
      </w:r>
      <w:r w:rsidR="007C50F1" w:rsidRPr="00565259">
        <w:rPr>
          <w:rFonts w:ascii="Book Antiqua" w:hAnsi="Book Antiqua" w:cs="Arial"/>
          <w:color w:val="292526"/>
          <w:sz w:val="24"/>
          <w:szCs w:val="24"/>
        </w:rPr>
        <w:t xml:space="preserve"> by our group</w:t>
      </w:r>
      <w:r w:rsidRPr="00565259">
        <w:rPr>
          <w:rFonts w:ascii="Book Antiqua" w:hAnsi="Book Antiqua" w:cs="Arial"/>
          <w:color w:val="292526"/>
          <w:sz w:val="24"/>
          <w:szCs w:val="24"/>
        </w:rPr>
        <w:t>, hydroxyapatite and tri-calcium phosphate (HA/TCP) scaffolds loaded with ECFCs (10</w:t>
      </w:r>
      <w:r w:rsidRPr="00565259">
        <w:rPr>
          <w:rFonts w:ascii="Book Antiqua" w:hAnsi="Book Antiqua" w:cs="Arial"/>
          <w:color w:val="292526"/>
          <w:sz w:val="24"/>
          <w:szCs w:val="24"/>
          <w:vertAlign w:val="superscript"/>
        </w:rPr>
        <w:t>6</w:t>
      </w:r>
      <w:r w:rsidRPr="00565259">
        <w:rPr>
          <w:rFonts w:ascii="Book Antiqua" w:hAnsi="Book Antiqua" w:cs="Arial"/>
          <w:color w:val="292526"/>
          <w:sz w:val="24"/>
          <w:szCs w:val="24"/>
        </w:rPr>
        <w:t xml:space="preserve"> cells) were placed into the fibula defect. Histological examination showed significantly greater newly formed bone in HA/TCP scaffolds loaded with ECFCs than that observed in the HA/TCP scaffold only animals</w:t>
      </w:r>
      <w:r w:rsidR="00FE4360" w:rsidRPr="00565259">
        <w:rPr>
          <w:rFonts w:ascii="Book Antiqua" w:hAnsi="Book Antiqua" w:cs="Arial"/>
          <w:bCs/>
          <w:color w:val="292526"/>
          <w:sz w:val="24"/>
          <w:szCs w:val="24"/>
          <w:vertAlign w:val="superscript"/>
        </w:rPr>
        <w:t>[134]</w:t>
      </w:r>
      <w:r w:rsidR="00F233E0" w:rsidRPr="00565259">
        <w:rPr>
          <w:rFonts w:ascii="Book Antiqua" w:hAnsi="Book Antiqua" w:cs="Arial"/>
          <w:color w:val="292526"/>
          <w:sz w:val="24"/>
          <w:szCs w:val="24"/>
        </w:rPr>
        <w:t>,</w:t>
      </w:r>
      <w:r w:rsidR="00497910" w:rsidRPr="00565259">
        <w:rPr>
          <w:rFonts w:ascii="Book Antiqua" w:hAnsi="Book Antiqua" w:cs="Arial"/>
          <w:color w:val="292526"/>
          <w:sz w:val="24"/>
          <w:szCs w:val="24"/>
        </w:rPr>
        <w:t xml:space="preserve"> </w:t>
      </w:r>
      <w:r w:rsidRPr="00565259">
        <w:rPr>
          <w:rFonts w:ascii="Book Antiqua" w:hAnsi="Book Antiqua" w:cs="Arial"/>
          <w:color w:val="292526"/>
          <w:sz w:val="24"/>
          <w:szCs w:val="24"/>
        </w:rPr>
        <w:t>suggesting that ECFCs may migrate and further enhance bone regeneration inside the scaffold.</w:t>
      </w:r>
    </w:p>
    <w:p w14:paraId="1F778C17" w14:textId="77777777" w:rsidR="00AC4EC2" w:rsidRPr="00565259" w:rsidRDefault="00AC4EC2" w:rsidP="00B83DB9">
      <w:pPr>
        <w:tabs>
          <w:tab w:val="left" w:pos="720"/>
        </w:tabs>
        <w:spacing w:after="0" w:line="360" w:lineRule="auto"/>
        <w:ind w:firstLineChars="100" w:firstLine="240"/>
        <w:jc w:val="both"/>
        <w:rPr>
          <w:rFonts w:ascii="Book Antiqua" w:hAnsi="Book Antiqua" w:cs="Arial"/>
          <w:color w:val="292526"/>
          <w:sz w:val="24"/>
          <w:szCs w:val="24"/>
        </w:rPr>
      </w:pPr>
    </w:p>
    <w:p w14:paraId="1148C448" w14:textId="4FB47EE9" w:rsidR="00F71790" w:rsidRPr="00565259" w:rsidRDefault="00AC4EC2" w:rsidP="00B83DB9">
      <w:pPr>
        <w:tabs>
          <w:tab w:val="left" w:pos="720"/>
        </w:tabs>
        <w:spacing w:after="0" w:line="360" w:lineRule="auto"/>
        <w:jc w:val="both"/>
        <w:rPr>
          <w:rStyle w:val="10"/>
          <w:b/>
          <w:i/>
          <w:szCs w:val="24"/>
        </w:rPr>
      </w:pPr>
      <w:r w:rsidRPr="00565259">
        <w:rPr>
          <w:rStyle w:val="10"/>
          <w:b/>
          <w:i/>
          <w:szCs w:val="24"/>
        </w:rPr>
        <w:t>Pharmacological agents</w:t>
      </w:r>
    </w:p>
    <w:p w14:paraId="2F9EAA71" w14:textId="236F8CF7" w:rsidR="00F71790" w:rsidRPr="00565259" w:rsidRDefault="00F71790" w:rsidP="00B83DB9">
      <w:pPr>
        <w:tabs>
          <w:tab w:val="left" w:pos="720"/>
        </w:tabs>
        <w:spacing w:after="0" w:line="360" w:lineRule="auto"/>
        <w:jc w:val="both"/>
        <w:rPr>
          <w:rFonts w:ascii="Book Antiqua" w:hAnsi="Book Antiqua"/>
          <w:sz w:val="24"/>
          <w:szCs w:val="24"/>
        </w:rPr>
      </w:pPr>
      <w:r w:rsidRPr="00565259">
        <w:rPr>
          <w:rFonts w:ascii="Book Antiqua" w:hAnsi="Book Antiqua"/>
          <w:sz w:val="24"/>
          <w:szCs w:val="24"/>
        </w:rPr>
        <w:t>Because the endogenous concentrations of bone anabolic agents that facilitate fracture repair can be significantly reduced in the elderly, one obvious remedy hypothesized for enhancement of their healing process has been to supplement the patient’s natural levels of bone anabolic agents.</w:t>
      </w:r>
      <w:r w:rsidR="00C17406" w:rsidRPr="00565259">
        <w:rPr>
          <w:rFonts w:ascii="Book Antiqua" w:hAnsi="Book Antiqua"/>
          <w:sz w:val="24"/>
          <w:szCs w:val="24"/>
        </w:rPr>
        <w:t xml:space="preserve"> </w:t>
      </w:r>
      <w:r w:rsidRPr="00565259">
        <w:rPr>
          <w:rFonts w:ascii="Book Antiqua" w:hAnsi="Book Antiqua"/>
          <w:sz w:val="24"/>
          <w:szCs w:val="24"/>
        </w:rPr>
        <w:t xml:space="preserve">Recognizing that BMP-2 can potently augment the rate of bone fracture repair, Medtronic Inc. has explored the </w:t>
      </w:r>
      <w:r w:rsidR="00357241" w:rsidRPr="00565259">
        <w:rPr>
          <w:rFonts w:ascii="Book Antiqua" w:hAnsi="Book Antiqua"/>
          <w:sz w:val="24"/>
          <w:szCs w:val="24"/>
        </w:rPr>
        <w:t xml:space="preserve">local </w:t>
      </w:r>
      <w:r w:rsidRPr="00565259">
        <w:rPr>
          <w:rFonts w:ascii="Book Antiqua" w:hAnsi="Book Antiqua"/>
          <w:sz w:val="24"/>
          <w:szCs w:val="24"/>
        </w:rPr>
        <w:t>application of BMP-2 (Infuse) to a fracture surface to accelerate the healing process. While success has been documented for enhancement of recovery f</w:t>
      </w:r>
      <w:r w:rsidR="00F233E0" w:rsidRPr="00565259">
        <w:rPr>
          <w:rFonts w:ascii="Book Antiqua" w:hAnsi="Book Antiqua"/>
          <w:sz w:val="24"/>
          <w:szCs w:val="24"/>
        </w:rPr>
        <w:t>rom open tibial shaft fractures</w:t>
      </w:r>
      <w:r w:rsidR="00FE4360" w:rsidRPr="00565259">
        <w:rPr>
          <w:rFonts w:ascii="Book Antiqua" w:hAnsi="Book Antiqua"/>
          <w:bCs/>
          <w:sz w:val="24"/>
          <w:szCs w:val="24"/>
          <w:vertAlign w:val="superscript"/>
        </w:rPr>
        <w:t>[142,143]</w:t>
      </w:r>
      <w:r w:rsidR="00F233E0" w:rsidRPr="00565259">
        <w:rPr>
          <w:rFonts w:ascii="Book Antiqua" w:hAnsi="Book Antiqua"/>
          <w:sz w:val="24"/>
          <w:szCs w:val="24"/>
        </w:rPr>
        <w:t>,</w:t>
      </w:r>
      <w:r w:rsidRPr="00565259">
        <w:rPr>
          <w:rFonts w:ascii="Book Antiqua" w:hAnsi="Book Antiqua"/>
          <w:sz w:val="24"/>
          <w:szCs w:val="24"/>
        </w:rPr>
        <w:t xml:space="preserve"> dental and facial reconstruction surgeries</w:t>
      </w:r>
      <w:r w:rsidR="00FE4360" w:rsidRPr="00565259">
        <w:rPr>
          <w:rFonts w:ascii="Book Antiqua" w:hAnsi="Book Antiqua"/>
          <w:bCs/>
          <w:sz w:val="24"/>
          <w:szCs w:val="24"/>
          <w:vertAlign w:val="superscript"/>
        </w:rPr>
        <w:t>[144,145]</w:t>
      </w:r>
      <w:r w:rsidR="00F233E0" w:rsidRPr="00565259">
        <w:rPr>
          <w:rFonts w:ascii="Book Antiqua" w:hAnsi="Book Antiqua"/>
          <w:sz w:val="24"/>
          <w:szCs w:val="24"/>
        </w:rPr>
        <w:t>,</w:t>
      </w:r>
      <w:r w:rsidRPr="00565259">
        <w:rPr>
          <w:rFonts w:ascii="Book Antiqua" w:hAnsi="Book Antiqua"/>
          <w:sz w:val="24"/>
          <w:szCs w:val="24"/>
        </w:rPr>
        <w:t xml:space="preserve"> and spinal fusion procedures</w:t>
      </w:r>
      <w:r w:rsidR="00FE4360" w:rsidRPr="00565259">
        <w:rPr>
          <w:rFonts w:ascii="Book Antiqua" w:hAnsi="Book Antiqua"/>
          <w:bCs/>
          <w:sz w:val="24"/>
          <w:szCs w:val="24"/>
          <w:vertAlign w:val="superscript"/>
        </w:rPr>
        <w:t>[146,147]</w:t>
      </w:r>
      <w:r w:rsidR="00F233E0" w:rsidRPr="00565259">
        <w:rPr>
          <w:rFonts w:ascii="Book Antiqua" w:hAnsi="Book Antiqua"/>
          <w:sz w:val="24"/>
          <w:szCs w:val="24"/>
        </w:rPr>
        <w:t>,</w:t>
      </w:r>
      <w:r w:rsidRPr="00565259">
        <w:rPr>
          <w:rFonts w:ascii="Book Antiqua" w:hAnsi="Book Antiqua"/>
          <w:sz w:val="24"/>
          <w:szCs w:val="24"/>
        </w:rPr>
        <w:t xml:space="preserve"> the same methodology cannot be applied when fracture surfaces cannot be physically exposed.</w:t>
      </w:r>
      <w:r w:rsidR="00C17406" w:rsidRPr="00565259">
        <w:rPr>
          <w:rFonts w:ascii="Book Antiqua" w:hAnsi="Book Antiqua"/>
          <w:sz w:val="24"/>
          <w:szCs w:val="24"/>
        </w:rPr>
        <w:t xml:space="preserve"> </w:t>
      </w:r>
      <w:r w:rsidRPr="00565259">
        <w:rPr>
          <w:rFonts w:ascii="Book Antiqua" w:hAnsi="Book Antiqua"/>
          <w:sz w:val="24"/>
          <w:szCs w:val="24"/>
        </w:rPr>
        <w:t xml:space="preserve">Thus, those fractures that do not require surgical intervention cannot be treated with </w:t>
      </w:r>
      <w:r w:rsidR="00357241" w:rsidRPr="00565259">
        <w:rPr>
          <w:rFonts w:ascii="Book Antiqua" w:hAnsi="Book Antiqua"/>
          <w:sz w:val="24"/>
          <w:szCs w:val="24"/>
        </w:rPr>
        <w:t>BMP-2 dosing through local deliver</w:t>
      </w:r>
      <w:r w:rsidR="00141F74" w:rsidRPr="00565259">
        <w:rPr>
          <w:rFonts w:ascii="Book Antiqua" w:hAnsi="Book Antiqua"/>
          <w:sz w:val="24"/>
          <w:szCs w:val="24"/>
        </w:rPr>
        <w:t>y</w:t>
      </w:r>
      <w:r w:rsidRPr="00565259">
        <w:rPr>
          <w:rFonts w:ascii="Book Antiqua" w:hAnsi="Book Antiqua"/>
          <w:sz w:val="24"/>
          <w:szCs w:val="24"/>
        </w:rPr>
        <w:t>. Moreover, repeated administration of a bone anabolic agent is not possible with this strategy, since the fracture surface is usually only accessible during the initial reconstruction/stabilization surgery.</w:t>
      </w:r>
    </w:p>
    <w:p w14:paraId="74FD71F0" w14:textId="1654F84B" w:rsidR="00F71790" w:rsidRPr="00565259" w:rsidRDefault="00F71790" w:rsidP="00B83DB9">
      <w:pPr>
        <w:tabs>
          <w:tab w:val="left" w:pos="720"/>
        </w:tabs>
        <w:spacing w:after="0" w:line="360" w:lineRule="auto"/>
        <w:ind w:firstLineChars="100" w:firstLine="240"/>
        <w:jc w:val="both"/>
        <w:rPr>
          <w:rFonts w:ascii="Book Antiqua" w:hAnsi="Book Antiqua"/>
          <w:sz w:val="24"/>
          <w:szCs w:val="24"/>
        </w:rPr>
      </w:pPr>
      <w:r w:rsidRPr="00565259">
        <w:rPr>
          <w:rFonts w:ascii="Book Antiqua" w:hAnsi="Book Antiqua"/>
          <w:sz w:val="24"/>
          <w:szCs w:val="24"/>
        </w:rPr>
        <w:t>A second method to augment endogenous levels of osteogenic agents was explored by Eli Lilly and Co. when they examined the use of parathyroid hormone (Forteo) to accelerate the repair rate of tibial</w:t>
      </w:r>
      <w:r w:rsidR="00FE4360" w:rsidRPr="00565259">
        <w:rPr>
          <w:rFonts w:ascii="Book Antiqua" w:hAnsi="Book Antiqua"/>
          <w:bCs/>
          <w:sz w:val="24"/>
          <w:szCs w:val="24"/>
          <w:vertAlign w:val="superscript"/>
        </w:rPr>
        <w:t>[148-150]</w:t>
      </w:r>
      <w:r w:rsidRPr="00565259">
        <w:rPr>
          <w:rFonts w:ascii="Book Antiqua" w:hAnsi="Book Antiqua"/>
          <w:sz w:val="24"/>
          <w:szCs w:val="24"/>
        </w:rPr>
        <w:t xml:space="preserve"> and hip fractures</w:t>
      </w:r>
      <w:r w:rsidR="00FE4360" w:rsidRPr="00565259">
        <w:rPr>
          <w:rFonts w:ascii="Book Antiqua" w:hAnsi="Book Antiqua"/>
          <w:bCs/>
          <w:sz w:val="24"/>
          <w:szCs w:val="24"/>
          <w:vertAlign w:val="superscript"/>
        </w:rPr>
        <w:t>[151,152]</w:t>
      </w:r>
      <w:r w:rsidR="00F233E0" w:rsidRPr="00565259">
        <w:rPr>
          <w:rFonts w:ascii="Book Antiqua" w:hAnsi="Book Antiqua"/>
          <w:sz w:val="24"/>
          <w:szCs w:val="24"/>
        </w:rPr>
        <w:t>.</w:t>
      </w:r>
      <w:r w:rsidR="00AC4EC2" w:rsidRPr="00565259">
        <w:rPr>
          <w:rFonts w:ascii="Book Antiqua" w:hAnsi="Book Antiqua"/>
          <w:sz w:val="24"/>
          <w:szCs w:val="24"/>
        </w:rPr>
        <w:t xml:space="preserve"> </w:t>
      </w:r>
      <w:r w:rsidRPr="00565259">
        <w:rPr>
          <w:rFonts w:ascii="Book Antiqua" w:hAnsi="Book Antiqua"/>
          <w:sz w:val="24"/>
          <w:szCs w:val="24"/>
        </w:rPr>
        <w:t>While measurable improvement in the healing process was documented in many patients, the phase 3 trial failed to reach its clinical endpoint due to concerns over the induced hypercalcemia that was observed as therapeutically effective concentrations of drug were approached. Although the potentially deleterious consequences of the hypercalcemia forced discontinuation of the clinical trial, the results suggested that a more targeted form of parathyroid hormone might succeed if it could concentrate that drug at the site of the fracture and reduce its concentration in healthy tissues.</w:t>
      </w:r>
    </w:p>
    <w:p w14:paraId="228053F0" w14:textId="377306F6" w:rsidR="00497910" w:rsidRPr="00565259" w:rsidRDefault="00F71790" w:rsidP="00B83DB9">
      <w:pPr>
        <w:tabs>
          <w:tab w:val="left" w:pos="720"/>
        </w:tabs>
        <w:spacing w:after="0" w:line="360" w:lineRule="auto"/>
        <w:ind w:firstLineChars="100" w:firstLine="240"/>
        <w:jc w:val="both"/>
        <w:rPr>
          <w:rFonts w:ascii="Book Antiqua" w:hAnsi="Book Antiqua"/>
          <w:sz w:val="24"/>
          <w:szCs w:val="24"/>
        </w:rPr>
      </w:pPr>
      <w:r w:rsidRPr="00565259">
        <w:rPr>
          <w:rFonts w:ascii="Book Antiqua" w:hAnsi="Book Antiqua"/>
          <w:sz w:val="24"/>
          <w:szCs w:val="24"/>
        </w:rPr>
        <w:t>Looking to the future, a large number of peptide and protein hormones that are commonly released at the site of a wound have been reported to exhibit bone anabolic activity.</w:t>
      </w:r>
      <w:r w:rsidR="00C17406" w:rsidRPr="00565259">
        <w:rPr>
          <w:rFonts w:ascii="Book Antiqua" w:hAnsi="Book Antiqua"/>
          <w:sz w:val="24"/>
          <w:szCs w:val="24"/>
        </w:rPr>
        <w:t xml:space="preserve"> </w:t>
      </w:r>
      <w:r w:rsidRPr="00565259">
        <w:rPr>
          <w:rFonts w:ascii="Book Antiqua" w:hAnsi="Book Antiqua"/>
          <w:sz w:val="24"/>
          <w:szCs w:val="24"/>
        </w:rPr>
        <w:t>These include FGF2</w:t>
      </w:r>
      <w:r w:rsidR="00FE4360" w:rsidRPr="00565259">
        <w:rPr>
          <w:rFonts w:ascii="Book Antiqua" w:hAnsi="Book Antiqua"/>
          <w:bCs/>
          <w:sz w:val="24"/>
          <w:szCs w:val="24"/>
          <w:vertAlign w:val="superscript"/>
        </w:rPr>
        <w:t>[153-156]</w:t>
      </w:r>
      <w:r w:rsidR="00F233E0" w:rsidRPr="00565259">
        <w:rPr>
          <w:rFonts w:ascii="Book Antiqua" w:hAnsi="Book Antiqua"/>
          <w:sz w:val="24"/>
          <w:szCs w:val="24"/>
        </w:rPr>
        <w:t>,</w:t>
      </w:r>
      <w:r w:rsidRPr="00565259">
        <w:rPr>
          <w:rFonts w:ascii="Book Antiqua" w:hAnsi="Book Antiqua"/>
          <w:sz w:val="24"/>
          <w:szCs w:val="24"/>
        </w:rPr>
        <w:t xml:space="preserve"> PTHrP</w:t>
      </w:r>
      <w:r w:rsidR="00FE4360" w:rsidRPr="00565259">
        <w:rPr>
          <w:rFonts w:ascii="Book Antiqua" w:hAnsi="Book Antiqua"/>
          <w:bCs/>
          <w:sz w:val="24"/>
          <w:szCs w:val="24"/>
          <w:vertAlign w:val="superscript"/>
        </w:rPr>
        <w:t>[157-159]</w:t>
      </w:r>
      <w:r w:rsidR="00F233E0" w:rsidRPr="00565259">
        <w:rPr>
          <w:rFonts w:ascii="Book Antiqua" w:hAnsi="Book Antiqua"/>
          <w:sz w:val="24"/>
          <w:szCs w:val="24"/>
        </w:rPr>
        <w:t>,</w:t>
      </w:r>
      <w:r w:rsidRPr="00565259">
        <w:rPr>
          <w:rFonts w:ascii="Book Antiqua" w:hAnsi="Book Antiqua"/>
          <w:sz w:val="24"/>
          <w:szCs w:val="24"/>
        </w:rPr>
        <w:t xml:space="preserve"> PDGF</w:t>
      </w:r>
      <w:r w:rsidR="00FE4360" w:rsidRPr="00565259">
        <w:rPr>
          <w:rFonts w:ascii="Book Antiqua" w:hAnsi="Book Antiqua"/>
          <w:bCs/>
          <w:sz w:val="24"/>
          <w:szCs w:val="24"/>
          <w:vertAlign w:val="superscript"/>
        </w:rPr>
        <w:t>[160-162]</w:t>
      </w:r>
      <w:r w:rsidR="00F233E0" w:rsidRPr="00565259">
        <w:rPr>
          <w:rFonts w:ascii="Book Antiqua" w:hAnsi="Book Antiqua"/>
          <w:sz w:val="24"/>
          <w:szCs w:val="24"/>
        </w:rPr>
        <w:t>,</w:t>
      </w:r>
      <w:r w:rsidR="00C17406" w:rsidRPr="00565259">
        <w:rPr>
          <w:rFonts w:ascii="Book Antiqua" w:hAnsi="Book Antiqua"/>
          <w:sz w:val="24"/>
          <w:szCs w:val="24"/>
        </w:rPr>
        <w:t xml:space="preserve"> </w:t>
      </w:r>
      <w:r w:rsidR="00F233E0" w:rsidRPr="00565259">
        <w:rPr>
          <w:rFonts w:ascii="Book Antiqua" w:hAnsi="Book Antiqua"/>
          <w:sz w:val="24"/>
          <w:szCs w:val="24"/>
        </w:rPr>
        <w:t>Prostaglandins</w:t>
      </w:r>
      <w:r w:rsidR="00FE4360" w:rsidRPr="00565259">
        <w:rPr>
          <w:rFonts w:ascii="Book Antiqua" w:hAnsi="Book Antiqua"/>
          <w:bCs/>
          <w:sz w:val="24"/>
          <w:szCs w:val="24"/>
          <w:vertAlign w:val="superscript"/>
        </w:rPr>
        <w:t>[163-165]</w:t>
      </w:r>
      <w:r w:rsidR="00F233E0" w:rsidRPr="00565259">
        <w:rPr>
          <w:rFonts w:ascii="Book Antiqua" w:hAnsi="Book Antiqua"/>
          <w:sz w:val="24"/>
          <w:szCs w:val="24"/>
        </w:rPr>
        <w:t>,</w:t>
      </w:r>
      <w:r w:rsidRPr="00565259">
        <w:rPr>
          <w:rFonts w:ascii="Book Antiqua" w:hAnsi="Book Antiqua"/>
          <w:sz w:val="24"/>
          <w:szCs w:val="24"/>
        </w:rPr>
        <w:t xml:space="preserve"> IGF</w:t>
      </w:r>
      <w:r w:rsidR="00FE4360" w:rsidRPr="00565259">
        <w:rPr>
          <w:rFonts w:ascii="Book Antiqua" w:hAnsi="Book Antiqua"/>
          <w:bCs/>
          <w:sz w:val="24"/>
          <w:szCs w:val="24"/>
          <w:vertAlign w:val="superscript"/>
        </w:rPr>
        <w:t>[166]</w:t>
      </w:r>
      <w:r w:rsidRPr="00565259">
        <w:rPr>
          <w:rFonts w:ascii="Book Antiqua" w:hAnsi="Book Antiqua"/>
          <w:sz w:val="24"/>
          <w:szCs w:val="24"/>
        </w:rPr>
        <w:t>, VEGF</w:t>
      </w:r>
      <w:r w:rsidR="00FE4360" w:rsidRPr="00565259">
        <w:rPr>
          <w:rFonts w:ascii="Book Antiqua" w:hAnsi="Book Antiqua"/>
          <w:bCs/>
          <w:sz w:val="24"/>
          <w:szCs w:val="24"/>
          <w:vertAlign w:val="superscript"/>
        </w:rPr>
        <w:t>[167,168]</w:t>
      </w:r>
      <w:r w:rsidR="00D70650" w:rsidRPr="00565259">
        <w:rPr>
          <w:rFonts w:ascii="Book Antiqua" w:hAnsi="Book Antiqua"/>
          <w:sz w:val="24"/>
          <w:szCs w:val="24"/>
        </w:rPr>
        <w:t xml:space="preserve"> </w:t>
      </w:r>
      <w:r w:rsidRPr="00565259">
        <w:rPr>
          <w:rFonts w:ascii="Book Antiqua" w:hAnsi="Book Antiqua"/>
          <w:sz w:val="24"/>
          <w:szCs w:val="24"/>
        </w:rPr>
        <w:t xml:space="preserve">and others. Because virtually all of these stimulants are known to have multiple anabolic activities that can cause undesirable changes in healthy tissues, it is unlikely that any will prove useful as bone fracture repair drugs unless they can be applied </w:t>
      </w:r>
      <w:r w:rsidR="00357241" w:rsidRPr="00565259">
        <w:rPr>
          <w:rFonts w:ascii="Book Antiqua" w:hAnsi="Book Antiqua"/>
          <w:sz w:val="24"/>
          <w:szCs w:val="24"/>
        </w:rPr>
        <w:t xml:space="preserve">locally </w:t>
      </w:r>
      <w:r w:rsidRPr="00565259">
        <w:rPr>
          <w:rFonts w:ascii="Book Antiqua" w:hAnsi="Book Antiqua"/>
          <w:sz w:val="24"/>
          <w:szCs w:val="24"/>
        </w:rPr>
        <w:t>to the fracture surface or targeted to the same fracture surface following systemic administration.</w:t>
      </w:r>
      <w:r w:rsidR="00C17406" w:rsidRPr="00565259">
        <w:rPr>
          <w:rFonts w:ascii="Book Antiqua" w:hAnsi="Book Antiqua"/>
          <w:sz w:val="24"/>
          <w:szCs w:val="24"/>
        </w:rPr>
        <w:t xml:space="preserve"> </w:t>
      </w:r>
      <w:r w:rsidRPr="00565259">
        <w:rPr>
          <w:rFonts w:ascii="Book Antiqua" w:hAnsi="Book Antiqua"/>
          <w:sz w:val="24"/>
          <w:szCs w:val="24"/>
        </w:rPr>
        <w:t>Hopefully, with the design of new bone fracture homing ligands, such fracture targeted anabolic agents can be developed for less invasive therapies of fractures in the elderly.</w:t>
      </w:r>
    </w:p>
    <w:p w14:paraId="54BCAA77" w14:textId="77777777" w:rsidR="00AC4EC2" w:rsidRPr="00565259" w:rsidRDefault="00AC4EC2" w:rsidP="00B83DB9">
      <w:pPr>
        <w:tabs>
          <w:tab w:val="left" w:pos="720"/>
        </w:tabs>
        <w:spacing w:after="0" w:line="360" w:lineRule="auto"/>
        <w:ind w:firstLineChars="100" w:firstLine="240"/>
        <w:jc w:val="both"/>
        <w:rPr>
          <w:rFonts w:ascii="Book Antiqua" w:hAnsi="Book Antiqua"/>
          <w:sz w:val="24"/>
          <w:szCs w:val="24"/>
        </w:rPr>
      </w:pPr>
    </w:p>
    <w:p w14:paraId="103704FD" w14:textId="73E04637" w:rsidR="007A6F4E" w:rsidRPr="00565259" w:rsidRDefault="00AC4EC2" w:rsidP="00B83DB9">
      <w:pPr>
        <w:tabs>
          <w:tab w:val="left" w:pos="720"/>
        </w:tabs>
        <w:spacing w:after="0" w:line="360" w:lineRule="auto"/>
        <w:jc w:val="both"/>
        <w:rPr>
          <w:rFonts w:ascii="Book Antiqua" w:hAnsi="Book Antiqua"/>
          <w:b/>
          <w:i/>
          <w:sz w:val="24"/>
          <w:szCs w:val="24"/>
        </w:rPr>
      </w:pPr>
      <w:r w:rsidRPr="00565259">
        <w:rPr>
          <w:rFonts w:ascii="Book Antiqua" w:hAnsi="Book Antiqua"/>
          <w:b/>
          <w:i/>
          <w:sz w:val="24"/>
          <w:szCs w:val="24"/>
        </w:rPr>
        <w:t>Therapies targeting age-related molecular mechanisms</w:t>
      </w:r>
    </w:p>
    <w:p w14:paraId="70238806" w14:textId="0B4B3C05" w:rsidR="00EB13CF" w:rsidRPr="00565259" w:rsidRDefault="00EB13CF" w:rsidP="00B83DB9">
      <w:pPr>
        <w:tabs>
          <w:tab w:val="left" w:pos="720"/>
        </w:tabs>
        <w:spacing w:after="0" w:line="360" w:lineRule="auto"/>
        <w:jc w:val="both"/>
        <w:rPr>
          <w:rFonts w:ascii="Book Antiqua" w:hAnsi="Book Antiqua"/>
          <w:sz w:val="24"/>
          <w:szCs w:val="24"/>
        </w:rPr>
      </w:pPr>
      <w:r w:rsidRPr="00565259">
        <w:rPr>
          <w:rFonts w:ascii="Book Antiqua" w:hAnsi="Book Antiqua"/>
          <w:sz w:val="24"/>
          <w:szCs w:val="24"/>
        </w:rPr>
        <w:t>Aging at the cellular level is associate</w:t>
      </w:r>
      <w:r w:rsidR="0063642D" w:rsidRPr="00565259">
        <w:rPr>
          <w:rFonts w:ascii="Book Antiqua" w:hAnsi="Book Antiqua"/>
          <w:sz w:val="24"/>
          <w:szCs w:val="24"/>
        </w:rPr>
        <w:t xml:space="preserve">d with increased </w:t>
      </w:r>
      <w:r w:rsidRPr="00565259">
        <w:rPr>
          <w:rFonts w:ascii="Book Antiqua" w:hAnsi="Book Antiqua"/>
          <w:sz w:val="24"/>
          <w:szCs w:val="24"/>
        </w:rPr>
        <w:t>ROS production and decreased endogenous antioxidant</w:t>
      </w:r>
      <w:r w:rsidR="0063642D" w:rsidRPr="00565259">
        <w:rPr>
          <w:rFonts w:ascii="Book Antiqua" w:hAnsi="Book Antiqua"/>
          <w:sz w:val="24"/>
          <w:szCs w:val="24"/>
        </w:rPr>
        <w:t xml:space="preserve"> levels</w:t>
      </w:r>
      <w:r w:rsidRPr="00565259">
        <w:rPr>
          <w:rFonts w:ascii="Book Antiqua" w:hAnsi="Book Antiqua"/>
          <w:sz w:val="24"/>
          <w:szCs w:val="24"/>
        </w:rPr>
        <w:t>, leading to accumulation of oxidative damage and cellular sen</w:t>
      </w:r>
      <w:r w:rsidR="0063642D" w:rsidRPr="00565259">
        <w:rPr>
          <w:rFonts w:ascii="Book Antiqua" w:hAnsi="Book Antiqua"/>
          <w:sz w:val="24"/>
          <w:szCs w:val="24"/>
        </w:rPr>
        <w:t>e</w:t>
      </w:r>
      <w:r w:rsidR="00033C77" w:rsidRPr="00565259">
        <w:rPr>
          <w:rFonts w:ascii="Book Antiqua" w:hAnsi="Book Antiqua"/>
          <w:sz w:val="24"/>
          <w:szCs w:val="24"/>
        </w:rPr>
        <w:t>scence. Therefore, antioxidants</w:t>
      </w:r>
      <w:r w:rsidR="0063642D" w:rsidRPr="00565259">
        <w:rPr>
          <w:rFonts w:ascii="Book Antiqua" w:hAnsi="Book Antiqua"/>
          <w:sz w:val="24"/>
          <w:szCs w:val="24"/>
        </w:rPr>
        <w:t xml:space="preserve"> have been studied as a therapy to improve a variety of health outcomes, including fracture healing.</w:t>
      </w:r>
      <w:r w:rsidR="00AC4EC2" w:rsidRPr="00565259">
        <w:rPr>
          <w:rFonts w:ascii="Book Antiqua" w:hAnsi="Book Antiqua"/>
          <w:sz w:val="24"/>
          <w:szCs w:val="24"/>
        </w:rPr>
        <w:t xml:space="preserve"> </w:t>
      </w:r>
      <w:r w:rsidR="00033C77" w:rsidRPr="00565259">
        <w:rPr>
          <w:rFonts w:ascii="Book Antiqua" w:hAnsi="Book Antiqua"/>
          <w:sz w:val="24"/>
          <w:szCs w:val="24"/>
        </w:rPr>
        <w:t>Antioxidants vitamin E</w:t>
      </w:r>
      <w:r w:rsidR="00FE4360" w:rsidRPr="00565259">
        <w:rPr>
          <w:rFonts w:ascii="Book Antiqua" w:hAnsi="Book Antiqua"/>
          <w:bCs/>
          <w:sz w:val="24"/>
          <w:szCs w:val="24"/>
          <w:vertAlign w:val="superscript"/>
        </w:rPr>
        <w:t>[169,170]</w:t>
      </w:r>
      <w:r w:rsidR="00F233E0" w:rsidRPr="00565259">
        <w:rPr>
          <w:rFonts w:ascii="Book Antiqua" w:hAnsi="Book Antiqua"/>
          <w:sz w:val="24"/>
          <w:szCs w:val="24"/>
        </w:rPr>
        <w:t>,</w:t>
      </w:r>
      <w:r w:rsidR="00033C77" w:rsidRPr="00565259">
        <w:rPr>
          <w:rFonts w:ascii="Book Antiqua" w:hAnsi="Book Antiqua"/>
          <w:sz w:val="24"/>
          <w:szCs w:val="24"/>
        </w:rPr>
        <w:t xml:space="preserve"> melatonin</w:t>
      </w:r>
      <w:r w:rsidR="00FE4360" w:rsidRPr="00565259">
        <w:rPr>
          <w:rFonts w:ascii="Book Antiqua" w:hAnsi="Book Antiqua"/>
          <w:bCs/>
          <w:sz w:val="24"/>
          <w:szCs w:val="24"/>
          <w:vertAlign w:val="superscript"/>
        </w:rPr>
        <w:t>[171,172]</w:t>
      </w:r>
      <w:r w:rsidR="00F233E0" w:rsidRPr="00565259">
        <w:rPr>
          <w:rFonts w:ascii="Book Antiqua" w:hAnsi="Book Antiqua"/>
          <w:sz w:val="24"/>
          <w:szCs w:val="24"/>
        </w:rPr>
        <w:t>,</w:t>
      </w:r>
      <w:r w:rsidR="00033C77" w:rsidRPr="00565259">
        <w:rPr>
          <w:rFonts w:ascii="Book Antiqua" w:hAnsi="Book Antiqua"/>
          <w:sz w:val="24"/>
          <w:szCs w:val="24"/>
        </w:rPr>
        <w:t xml:space="preserve"> and N-acetylcysteine</w:t>
      </w:r>
      <w:r w:rsidR="00FE4360" w:rsidRPr="00565259">
        <w:rPr>
          <w:rFonts w:ascii="Book Antiqua" w:hAnsi="Book Antiqua"/>
          <w:bCs/>
          <w:sz w:val="24"/>
          <w:szCs w:val="24"/>
          <w:vertAlign w:val="superscript"/>
        </w:rPr>
        <w:t>[173]</w:t>
      </w:r>
      <w:r w:rsidR="00033C77" w:rsidRPr="00565259">
        <w:rPr>
          <w:rFonts w:ascii="Book Antiqua" w:hAnsi="Book Antiqua"/>
          <w:sz w:val="24"/>
          <w:szCs w:val="24"/>
        </w:rPr>
        <w:t xml:space="preserve"> have all been shown to promote fracture healing in animal models. </w:t>
      </w:r>
      <w:r w:rsidR="00033C77" w:rsidRPr="00565259">
        <w:rPr>
          <w:rFonts w:ascii="Book Antiqua" w:hAnsi="Book Antiqua" w:cs="Arial"/>
          <w:sz w:val="24"/>
          <w:szCs w:val="24"/>
        </w:rPr>
        <w:t>Cellular senescence itself can induce chronic inflammatory disease in mice</w:t>
      </w:r>
      <w:r w:rsidR="00E11FE2" w:rsidRPr="00565259">
        <w:rPr>
          <w:rFonts w:ascii="Book Antiqua" w:hAnsi="Book Antiqua" w:cs="Arial"/>
          <w:sz w:val="24"/>
          <w:szCs w:val="24"/>
        </w:rPr>
        <w:t>,</w:t>
      </w:r>
      <w:r w:rsidR="00033C77" w:rsidRPr="00565259">
        <w:rPr>
          <w:rFonts w:ascii="Book Antiqua" w:hAnsi="Book Antiqua" w:cs="Arial"/>
          <w:sz w:val="24"/>
          <w:szCs w:val="24"/>
        </w:rPr>
        <w:t xml:space="preserve"> and depletion of senescent cells by so called senolytic agents can reduce systemic inflammation and extend life span in small rodent by 37%</w:t>
      </w:r>
      <w:r w:rsidR="00FE4360" w:rsidRPr="00565259">
        <w:rPr>
          <w:rFonts w:ascii="Book Antiqua" w:hAnsi="Book Antiqua" w:cs="Arial"/>
          <w:bCs/>
          <w:sz w:val="24"/>
          <w:szCs w:val="24"/>
          <w:vertAlign w:val="superscript"/>
        </w:rPr>
        <w:t>[174-178]</w:t>
      </w:r>
      <w:r w:rsidR="00F233E0" w:rsidRPr="00565259">
        <w:rPr>
          <w:rFonts w:ascii="Book Antiqua" w:hAnsi="Book Antiqua" w:cs="Arial"/>
          <w:sz w:val="24"/>
          <w:szCs w:val="24"/>
        </w:rPr>
        <w:t>.</w:t>
      </w:r>
      <w:r w:rsidR="00033C77" w:rsidRPr="00565259">
        <w:rPr>
          <w:rFonts w:ascii="Book Antiqua" w:hAnsi="Book Antiqua" w:cs="Arial"/>
          <w:sz w:val="24"/>
          <w:szCs w:val="24"/>
        </w:rPr>
        <w:t xml:space="preserve"> Importantl</w:t>
      </w:r>
      <w:r w:rsidR="00046DEE" w:rsidRPr="00565259">
        <w:rPr>
          <w:rFonts w:ascii="Book Antiqua" w:hAnsi="Book Antiqua" w:cs="Arial"/>
          <w:sz w:val="24"/>
          <w:szCs w:val="24"/>
        </w:rPr>
        <w:t>y</w:t>
      </w:r>
      <w:r w:rsidR="00033C77" w:rsidRPr="00565259">
        <w:rPr>
          <w:rFonts w:ascii="Book Antiqua" w:hAnsi="Book Antiqua" w:cs="Arial"/>
          <w:sz w:val="24"/>
          <w:szCs w:val="24"/>
        </w:rPr>
        <w:t>, targeting cellular senescence prevents age-related bone loss in mice</w:t>
      </w:r>
      <w:r w:rsidR="00FE4360" w:rsidRPr="00565259">
        <w:rPr>
          <w:rFonts w:ascii="Book Antiqua" w:hAnsi="Book Antiqua" w:cs="Arial"/>
          <w:bCs/>
          <w:sz w:val="24"/>
          <w:szCs w:val="24"/>
          <w:vertAlign w:val="superscript"/>
        </w:rPr>
        <w:t>[179]</w:t>
      </w:r>
      <w:r w:rsidR="00F233E0" w:rsidRPr="00565259">
        <w:rPr>
          <w:rFonts w:ascii="Book Antiqua" w:hAnsi="Book Antiqua" w:cs="Arial"/>
          <w:sz w:val="24"/>
          <w:szCs w:val="24"/>
        </w:rPr>
        <w:t>.</w:t>
      </w:r>
      <w:r w:rsidR="00033C77" w:rsidRPr="00565259">
        <w:rPr>
          <w:rFonts w:ascii="Book Antiqua" w:hAnsi="Book Antiqua" w:cs="Arial"/>
          <w:sz w:val="24"/>
          <w:szCs w:val="24"/>
        </w:rPr>
        <w:t xml:space="preserve"> Therefore, it appears to be promising to identify ways to reduce the generation and maintenance of senescent progenitor cells. This widely overlooked aspect is of particular interest because a high number of senescent cells with detrimental functions are to be expected during aging and aging-associated inflammatory conditions.</w:t>
      </w:r>
    </w:p>
    <w:p w14:paraId="642B2A8C" w14:textId="5A158005" w:rsidR="000E5486" w:rsidRPr="00565259" w:rsidRDefault="00693EA1" w:rsidP="00B83DB9">
      <w:pPr>
        <w:tabs>
          <w:tab w:val="left" w:pos="720"/>
        </w:tabs>
        <w:spacing w:after="0" w:line="360" w:lineRule="auto"/>
        <w:ind w:firstLineChars="100" w:firstLine="240"/>
        <w:jc w:val="both"/>
        <w:rPr>
          <w:rFonts w:ascii="Book Antiqua" w:hAnsi="Book Antiqua"/>
          <w:sz w:val="24"/>
          <w:szCs w:val="24"/>
        </w:rPr>
      </w:pPr>
      <w:r w:rsidRPr="00565259">
        <w:rPr>
          <w:rFonts w:ascii="Book Antiqua" w:hAnsi="Book Antiqua"/>
          <w:sz w:val="24"/>
          <w:szCs w:val="24"/>
        </w:rPr>
        <w:t>Another</w:t>
      </w:r>
      <w:r w:rsidR="000E5486" w:rsidRPr="00565259">
        <w:rPr>
          <w:rFonts w:ascii="Book Antiqua" w:hAnsi="Book Antiqua"/>
          <w:sz w:val="24"/>
          <w:szCs w:val="24"/>
        </w:rPr>
        <w:t xml:space="preserve"> potential target for improving fracture healing in aging </w:t>
      </w:r>
      <w:r w:rsidRPr="00565259">
        <w:rPr>
          <w:rFonts w:ascii="Book Antiqua" w:hAnsi="Book Antiqua"/>
          <w:sz w:val="24"/>
          <w:szCs w:val="24"/>
        </w:rPr>
        <w:t>is S</w:t>
      </w:r>
      <w:r w:rsidR="00141F74" w:rsidRPr="00565259">
        <w:rPr>
          <w:rFonts w:ascii="Book Antiqua" w:hAnsi="Book Antiqua"/>
          <w:sz w:val="24"/>
          <w:szCs w:val="24"/>
        </w:rPr>
        <w:t>IRT</w:t>
      </w:r>
      <w:r w:rsidRPr="00565259">
        <w:rPr>
          <w:rFonts w:ascii="Book Antiqua" w:hAnsi="Book Antiqua"/>
          <w:sz w:val="24"/>
          <w:szCs w:val="24"/>
        </w:rPr>
        <w:t>1</w:t>
      </w:r>
      <w:r w:rsidR="00FE4360" w:rsidRPr="00565259">
        <w:rPr>
          <w:rFonts w:ascii="Book Antiqua" w:hAnsi="Book Antiqua"/>
          <w:bCs/>
          <w:sz w:val="24"/>
          <w:szCs w:val="24"/>
          <w:vertAlign w:val="superscript"/>
        </w:rPr>
        <w:t>[91]</w:t>
      </w:r>
      <w:r w:rsidR="001E362A" w:rsidRPr="00565259">
        <w:rPr>
          <w:rFonts w:ascii="Book Antiqua" w:hAnsi="Book Antiqua"/>
          <w:sz w:val="24"/>
          <w:szCs w:val="24"/>
        </w:rPr>
        <w:t>;</w:t>
      </w:r>
      <w:r w:rsidR="000E5486" w:rsidRPr="00565259">
        <w:rPr>
          <w:rFonts w:ascii="Book Antiqua" w:hAnsi="Book Antiqua"/>
          <w:sz w:val="24"/>
          <w:szCs w:val="24"/>
        </w:rPr>
        <w:t xml:space="preserve"> as described above, it appears to be involved in the age-related decline in both MSC and </w:t>
      </w:r>
      <w:r w:rsidR="00357241" w:rsidRPr="00565259">
        <w:rPr>
          <w:rFonts w:ascii="Book Antiqua" w:hAnsi="Book Antiqua"/>
          <w:sz w:val="24"/>
          <w:szCs w:val="24"/>
        </w:rPr>
        <w:t>EC</w:t>
      </w:r>
      <w:r w:rsidR="000E5486" w:rsidRPr="00565259">
        <w:rPr>
          <w:rFonts w:ascii="Book Antiqua" w:hAnsi="Book Antiqua"/>
          <w:sz w:val="24"/>
          <w:szCs w:val="24"/>
        </w:rPr>
        <w:t xml:space="preserve"> function.</w:t>
      </w:r>
      <w:r w:rsidR="00C17406" w:rsidRPr="00565259">
        <w:rPr>
          <w:rFonts w:ascii="Book Antiqua" w:hAnsi="Book Antiqua"/>
          <w:sz w:val="24"/>
          <w:szCs w:val="24"/>
        </w:rPr>
        <w:t xml:space="preserve"> </w:t>
      </w:r>
      <w:r w:rsidR="000E5486" w:rsidRPr="00565259">
        <w:rPr>
          <w:rFonts w:ascii="Book Antiqua" w:hAnsi="Book Antiqua"/>
          <w:sz w:val="24"/>
          <w:szCs w:val="24"/>
        </w:rPr>
        <w:t>Furthermore, crosstalk between SIRT1 activity and ROS production plays a crucial role in the aging process</w:t>
      </w:r>
      <w:r w:rsidR="00FE4360" w:rsidRPr="00565259">
        <w:rPr>
          <w:rFonts w:ascii="Book Antiqua" w:hAnsi="Book Antiqua"/>
          <w:bCs/>
          <w:sz w:val="24"/>
          <w:szCs w:val="24"/>
          <w:vertAlign w:val="superscript"/>
        </w:rPr>
        <w:t>[180]</w:t>
      </w:r>
      <w:r w:rsidR="001E362A" w:rsidRPr="00565259">
        <w:rPr>
          <w:rFonts w:ascii="Book Antiqua" w:hAnsi="Book Antiqua"/>
          <w:sz w:val="24"/>
          <w:szCs w:val="24"/>
        </w:rPr>
        <w:t>.</w:t>
      </w:r>
      <w:r w:rsidR="000E5486" w:rsidRPr="00565259">
        <w:rPr>
          <w:rFonts w:ascii="Book Antiqua" w:hAnsi="Book Antiqua"/>
          <w:sz w:val="24"/>
          <w:szCs w:val="24"/>
        </w:rPr>
        <w:t xml:space="preserve"> SIRT1 expression and activity decreases with aging.</w:t>
      </w:r>
      <w:r w:rsidR="00C17406" w:rsidRPr="00565259">
        <w:rPr>
          <w:rFonts w:ascii="Book Antiqua" w:hAnsi="Book Antiqua"/>
          <w:sz w:val="24"/>
          <w:szCs w:val="24"/>
        </w:rPr>
        <w:t xml:space="preserve"> </w:t>
      </w:r>
      <w:r w:rsidR="000E5486" w:rsidRPr="00565259">
        <w:rPr>
          <w:rFonts w:ascii="Book Antiqua" w:hAnsi="Book Antiqua"/>
          <w:sz w:val="24"/>
          <w:szCs w:val="24"/>
        </w:rPr>
        <w:t xml:space="preserve">Accordingly, </w:t>
      </w:r>
      <w:r w:rsidR="007014DF" w:rsidRPr="00565259">
        <w:rPr>
          <w:rFonts w:ascii="Book Antiqua" w:hAnsi="Book Antiqua"/>
          <w:sz w:val="24"/>
          <w:szCs w:val="24"/>
        </w:rPr>
        <w:t>p</w:t>
      </w:r>
      <w:r w:rsidRPr="00565259">
        <w:rPr>
          <w:rFonts w:ascii="Book Antiqua" w:hAnsi="Book Antiqua"/>
          <w:sz w:val="24"/>
          <w:szCs w:val="24"/>
        </w:rPr>
        <w:t>harmacological activation of SIRT1 improves the survival of aged MSCs upon transplantation</w:t>
      </w:r>
      <w:r w:rsidR="00FE4360" w:rsidRPr="00565259">
        <w:rPr>
          <w:rFonts w:ascii="Book Antiqua" w:hAnsi="Book Antiqua"/>
          <w:bCs/>
          <w:sz w:val="24"/>
          <w:szCs w:val="24"/>
          <w:vertAlign w:val="superscript"/>
        </w:rPr>
        <w:t>[21]</w:t>
      </w:r>
      <w:r w:rsidRPr="00565259">
        <w:rPr>
          <w:rFonts w:ascii="Book Antiqua" w:hAnsi="Book Antiqua"/>
          <w:sz w:val="24"/>
          <w:szCs w:val="24"/>
        </w:rPr>
        <w:t xml:space="preserve"> and also</w:t>
      </w:r>
      <w:r w:rsidR="000E5486" w:rsidRPr="00565259">
        <w:rPr>
          <w:rFonts w:ascii="Book Antiqua" w:hAnsi="Book Antiqua"/>
          <w:sz w:val="24"/>
          <w:szCs w:val="24"/>
        </w:rPr>
        <w:t xml:space="preserve"> significantly improves endothelial function in aged mice</w:t>
      </w:r>
      <w:r w:rsidR="00AC4EC2" w:rsidRPr="00565259">
        <w:rPr>
          <w:rFonts w:ascii="Book Antiqua" w:hAnsi="Book Antiqua"/>
          <w:bCs/>
          <w:sz w:val="24"/>
          <w:szCs w:val="24"/>
          <w:vertAlign w:val="superscript"/>
        </w:rPr>
        <w:t>[92]</w:t>
      </w:r>
      <w:r w:rsidR="000E5486" w:rsidRPr="00565259">
        <w:rPr>
          <w:rFonts w:ascii="Book Antiqua" w:hAnsi="Book Antiqua"/>
          <w:sz w:val="24"/>
          <w:szCs w:val="24"/>
        </w:rPr>
        <w:t>.</w:t>
      </w:r>
      <w:r w:rsidR="00134F31" w:rsidRPr="00565259">
        <w:rPr>
          <w:rFonts w:ascii="Book Antiqua" w:hAnsi="Book Antiqua"/>
          <w:sz w:val="24"/>
          <w:szCs w:val="24"/>
        </w:rPr>
        <w:t xml:space="preserve"> </w:t>
      </w:r>
      <w:r w:rsidR="000E5486" w:rsidRPr="00565259">
        <w:rPr>
          <w:rFonts w:ascii="Book Antiqua" w:hAnsi="Book Antiqua"/>
          <w:sz w:val="24"/>
          <w:szCs w:val="24"/>
        </w:rPr>
        <w:t>Similarly, cleavage of SIRT1 by cathepsin in EPCs mediates stre</w:t>
      </w:r>
      <w:r w:rsidR="001E362A" w:rsidRPr="00565259">
        <w:rPr>
          <w:rFonts w:ascii="Book Antiqua" w:hAnsi="Book Antiqua"/>
          <w:sz w:val="24"/>
          <w:szCs w:val="24"/>
        </w:rPr>
        <w:t>ss-induced premature senescence</w:t>
      </w:r>
      <w:r w:rsidR="00FE4360" w:rsidRPr="00565259">
        <w:rPr>
          <w:rFonts w:ascii="Book Antiqua" w:hAnsi="Book Antiqua"/>
          <w:bCs/>
          <w:sz w:val="24"/>
          <w:szCs w:val="24"/>
          <w:vertAlign w:val="superscript"/>
        </w:rPr>
        <w:t>[93]</w:t>
      </w:r>
      <w:r w:rsidR="001E362A" w:rsidRPr="00565259">
        <w:rPr>
          <w:rFonts w:ascii="Book Antiqua" w:hAnsi="Book Antiqua"/>
          <w:sz w:val="24"/>
          <w:szCs w:val="24"/>
        </w:rPr>
        <w:t xml:space="preserve">. </w:t>
      </w:r>
      <w:r w:rsidR="001D1491" w:rsidRPr="00565259">
        <w:rPr>
          <w:rFonts w:ascii="Book Antiqua" w:hAnsi="Book Antiqua"/>
          <w:sz w:val="24"/>
          <w:szCs w:val="24"/>
        </w:rPr>
        <w:t>Most notably</w:t>
      </w:r>
      <w:r w:rsidR="001E362A" w:rsidRPr="00565259">
        <w:rPr>
          <w:rFonts w:ascii="Book Antiqua" w:hAnsi="Book Antiqua"/>
          <w:sz w:val="24"/>
          <w:szCs w:val="24"/>
        </w:rPr>
        <w:t>, pharmacological activation of SIRT1 increased bone mass in mouse models of osteoporosis</w:t>
      </w:r>
      <w:r w:rsidR="00FE4360" w:rsidRPr="00565259">
        <w:rPr>
          <w:rFonts w:ascii="Book Antiqua" w:hAnsi="Book Antiqua"/>
          <w:bCs/>
          <w:sz w:val="24"/>
          <w:szCs w:val="24"/>
          <w:vertAlign w:val="superscript"/>
        </w:rPr>
        <w:t>[181]</w:t>
      </w:r>
      <w:r w:rsidR="00F233E0" w:rsidRPr="00565259">
        <w:rPr>
          <w:rFonts w:ascii="Book Antiqua" w:hAnsi="Book Antiqua"/>
          <w:sz w:val="24"/>
          <w:szCs w:val="24"/>
        </w:rPr>
        <w:t>.</w:t>
      </w:r>
    </w:p>
    <w:p w14:paraId="6092DA93" w14:textId="77777777" w:rsidR="00AC4EC2" w:rsidRPr="00565259" w:rsidRDefault="00AC4EC2" w:rsidP="00B83DB9">
      <w:pPr>
        <w:tabs>
          <w:tab w:val="left" w:pos="720"/>
        </w:tabs>
        <w:spacing w:after="0" w:line="360" w:lineRule="auto"/>
        <w:ind w:firstLineChars="100" w:firstLine="240"/>
        <w:jc w:val="both"/>
        <w:rPr>
          <w:rFonts w:ascii="Book Antiqua" w:hAnsi="Book Antiqua"/>
          <w:sz w:val="24"/>
          <w:szCs w:val="24"/>
        </w:rPr>
      </w:pPr>
    </w:p>
    <w:p w14:paraId="65C208B6" w14:textId="046AFE52" w:rsidR="001C31E1" w:rsidRPr="00565259" w:rsidRDefault="00AC4EC2" w:rsidP="00B83DB9">
      <w:pPr>
        <w:tabs>
          <w:tab w:val="left" w:pos="720"/>
        </w:tabs>
        <w:spacing w:after="0" w:line="360" w:lineRule="auto"/>
        <w:jc w:val="both"/>
        <w:rPr>
          <w:rFonts w:ascii="Book Antiqua" w:hAnsi="Book Antiqua"/>
          <w:b/>
          <w:i/>
          <w:sz w:val="24"/>
          <w:szCs w:val="24"/>
        </w:rPr>
      </w:pPr>
      <w:r w:rsidRPr="00565259">
        <w:rPr>
          <w:rFonts w:ascii="Book Antiqua" w:hAnsi="Book Antiqua"/>
          <w:b/>
          <w:i/>
          <w:sz w:val="24"/>
          <w:szCs w:val="24"/>
        </w:rPr>
        <w:t>Physical therapeutics</w:t>
      </w:r>
    </w:p>
    <w:p w14:paraId="628CB824" w14:textId="4F590555" w:rsidR="00E367F9" w:rsidRPr="00565259" w:rsidRDefault="00C05CB0" w:rsidP="00B83DB9">
      <w:pPr>
        <w:tabs>
          <w:tab w:val="left" w:pos="720"/>
        </w:tabs>
        <w:spacing w:after="0" w:line="360" w:lineRule="auto"/>
        <w:jc w:val="both"/>
        <w:rPr>
          <w:rFonts w:ascii="Book Antiqua" w:hAnsi="Book Antiqua"/>
          <w:color w:val="000000" w:themeColor="text1"/>
          <w:sz w:val="24"/>
          <w:szCs w:val="24"/>
        </w:rPr>
      </w:pPr>
      <w:r w:rsidRPr="00565259">
        <w:rPr>
          <w:rFonts w:ascii="Book Antiqua" w:hAnsi="Book Antiqua"/>
          <w:color w:val="000000" w:themeColor="text1"/>
          <w:sz w:val="24"/>
          <w:szCs w:val="24"/>
        </w:rPr>
        <w:t>Physical therapeutics are non-invasive and non-pharmacological treatments that cause physiologic cascades in the body to affect measurable change in molecular and tissue function, leading to improved functional outcomes</w:t>
      </w:r>
      <w:r w:rsidR="00FE4360" w:rsidRPr="00565259">
        <w:rPr>
          <w:rFonts w:ascii="Book Antiqua" w:hAnsi="Book Antiqua"/>
          <w:bCs/>
          <w:color w:val="000000" w:themeColor="text1"/>
          <w:sz w:val="24"/>
          <w:szCs w:val="24"/>
          <w:vertAlign w:val="superscript"/>
        </w:rPr>
        <w:t>[182-184]</w:t>
      </w:r>
      <w:r w:rsidR="00F233E0" w:rsidRPr="00565259">
        <w:rPr>
          <w:rFonts w:ascii="Book Antiqua" w:hAnsi="Book Antiqua"/>
          <w:color w:val="000000" w:themeColor="text1"/>
          <w:sz w:val="24"/>
          <w:szCs w:val="24"/>
        </w:rPr>
        <w:t>.</w:t>
      </w:r>
      <w:r w:rsidRPr="00565259">
        <w:rPr>
          <w:rFonts w:ascii="Book Antiqua" w:hAnsi="Book Antiqua"/>
          <w:color w:val="000000" w:themeColor="text1"/>
          <w:sz w:val="24"/>
          <w:szCs w:val="24"/>
        </w:rPr>
        <w:t xml:space="preserve"> Movement therapies and therapeutic modalities are two approaches frequently used in the clinic that should be considered within the context of fracture healing and aging.</w:t>
      </w:r>
    </w:p>
    <w:p w14:paraId="3E4B345E" w14:textId="38FBFEE7" w:rsidR="00E367F9" w:rsidRPr="00565259" w:rsidRDefault="00C05CB0" w:rsidP="00B83DB9">
      <w:pPr>
        <w:tabs>
          <w:tab w:val="left" w:pos="720"/>
        </w:tabs>
        <w:spacing w:after="0" w:line="360" w:lineRule="auto"/>
        <w:ind w:firstLineChars="100" w:firstLine="240"/>
        <w:jc w:val="both"/>
        <w:rPr>
          <w:rFonts w:ascii="Book Antiqua" w:hAnsi="Book Antiqua"/>
          <w:color w:val="000000" w:themeColor="text1"/>
          <w:sz w:val="24"/>
          <w:szCs w:val="24"/>
        </w:rPr>
      </w:pPr>
      <w:r w:rsidRPr="00565259">
        <w:rPr>
          <w:rFonts w:ascii="Book Antiqua" w:hAnsi="Book Antiqua"/>
          <w:color w:val="000000" w:themeColor="text1"/>
          <w:sz w:val="24"/>
          <w:szCs w:val="24"/>
        </w:rPr>
        <w:t xml:space="preserve">Movement approaches may include ambulation and therapeutic exercise, both of which mobilize physiological responses secondary to mechanical loading. While the effects of these treatments have not been fully explored in humans, it has been shown that mechanical loading of cells </w:t>
      </w:r>
      <w:r w:rsidRPr="00565259">
        <w:rPr>
          <w:rFonts w:ascii="Book Antiqua" w:hAnsi="Book Antiqua"/>
          <w:i/>
          <w:color w:val="000000" w:themeColor="text1"/>
          <w:sz w:val="24"/>
          <w:szCs w:val="24"/>
        </w:rPr>
        <w:t>in vitro</w:t>
      </w:r>
      <w:r w:rsidRPr="00565259">
        <w:rPr>
          <w:rFonts w:ascii="Book Antiqua" w:hAnsi="Book Antiqua"/>
          <w:color w:val="000000" w:themeColor="text1"/>
          <w:sz w:val="24"/>
          <w:szCs w:val="24"/>
        </w:rPr>
        <w:t xml:space="preserve"> can impact gene expression and bone-derived mesenchymal cell (MSC) differentiation into three types of tissue: fat, bone, and cartilage</w:t>
      </w:r>
      <w:r w:rsidR="00FE4360" w:rsidRPr="00565259">
        <w:rPr>
          <w:rFonts w:ascii="Book Antiqua" w:hAnsi="Book Antiqua"/>
          <w:bCs/>
          <w:color w:val="000000" w:themeColor="text1"/>
          <w:sz w:val="24"/>
          <w:szCs w:val="24"/>
          <w:vertAlign w:val="superscript"/>
        </w:rPr>
        <w:t>[185]</w:t>
      </w:r>
      <w:r w:rsidR="00F233E0" w:rsidRPr="00565259">
        <w:rPr>
          <w:rFonts w:ascii="Book Antiqua" w:hAnsi="Book Antiqua"/>
          <w:color w:val="000000" w:themeColor="text1"/>
          <w:sz w:val="24"/>
          <w:szCs w:val="24"/>
        </w:rPr>
        <w:t>.</w:t>
      </w:r>
      <w:r w:rsidR="00C17406" w:rsidRPr="00565259">
        <w:rPr>
          <w:rFonts w:ascii="Book Antiqua" w:hAnsi="Book Antiqua"/>
          <w:color w:val="000000" w:themeColor="text1"/>
          <w:sz w:val="24"/>
          <w:szCs w:val="24"/>
        </w:rPr>
        <w:t xml:space="preserve"> </w:t>
      </w:r>
      <w:r w:rsidRPr="00565259">
        <w:rPr>
          <w:rFonts w:ascii="Book Antiqua" w:hAnsi="Book Antiqua"/>
          <w:color w:val="000000" w:themeColor="text1"/>
          <w:sz w:val="24"/>
          <w:szCs w:val="24"/>
        </w:rPr>
        <w:t>Even short durations of compression can cause an increase in differentiation and calcium mineralization in certain cultures</w:t>
      </w:r>
      <w:r w:rsidR="00FE4360" w:rsidRPr="00565259">
        <w:rPr>
          <w:rFonts w:ascii="Book Antiqua" w:hAnsi="Book Antiqua"/>
          <w:bCs/>
          <w:color w:val="000000" w:themeColor="text1"/>
          <w:sz w:val="24"/>
          <w:szCs w:val="24"/>
          <w:vertAlign w:val="superscript"/>
        </w:rPr>
        <w:t>[186]</w:t>
      </w:r>
      <w:r w:rsidR="00F233E0" w:rsidRPr="00565259">
        <w:rPr>
          <w:rFonts w:ascii="Book Antiqua" w:hAnsi="Book Antiqua"/>
          <w:color w:val="000000" w:themeColor="text1"/>
          <w:sz w:val="24"/>
          <w:szCs w:val="24"/>
        </w:rPr>
        <w:t>.</w:t>
      </w:r>
      <w:r w:rsidR="00446DC5" w:rsidRPr="00565259">
        <w:rPr>
          <w:rFonts w:ascii="Book Antiqua" w:hAnsi="Book Antiqua"/>
          <w:color w:val="000000" w:themeColor="text1"/>
          <w:sz w:val="24"/>
          <w:szCs w:val="24"/>
        </w:rPr>
        <w:t xml:space="preserve"> </w:t>
      </w:r>
      <w:r w:rsidRPr="00565259">
        <w:rPr>
          <w:rFonts w:ascii="Book Antiqua" w:hAnsi="Book Antiqua"/>
          <w:color w:val="000000" w:themeColor="text1"/>
          <w:sz w:val="24"/>
          <w:szCs w:val="24"/>
        </w:rPr>
        <w:t>Another benefit of mechanical loading during cyclical compression, which mimics gait, of human MSCs is an improvement in oxygenation of the fracture’s hematoma that benefits cellular metabolism and the ability to heal</w:t>
      </w:r>
      <w:r w:rsidR="00FE4360" w:rsidRPr="00565259">
        <w:rPr>
          <w:rFonts w:ascii="Book Antiqua" w:hAnsi="Book Antiqua"/>
          <w:bCs/>
          <w:color w:val="000000" w:themeColor="text1"/>
          <w:sz w:val="24"/>
          <w:szCs w:val="24"/>
          <w:vertAlign w:val="superscript"/>
        </w:rPr>
        <w:t>[187]</w:t>
      </w:r>
      <w:r w:rsidR="00F233E0" w:rsidRPr="00565259">
        <w:rPr>
          <w:rFonts w:ascii="Book Antiqua" w:hAnsi="Book Antiqua"/>
          <w:color w:val="000000" w:themeColor="text1"/>
          <w:sz w:val="24"/>
          <w:szCs w:val="24"/>
        </w:rPr>
        <w:t>.</w:t>
      </w:r>
      <w:r w:rsidRPr="00565259">
        <w:rPr>
          <w:rFonts w:ascii="Book Antiqua" w:hAnsi="Book Antiqua"/>
          <w:color w:val="000000" w:themeColor="text1"/>
          <w:sz w:val="24"/>
          <w:szCs w:val="24"/>
        </w:rPr>
        <w:t xml:space="preserve"> One study investigated the effects of functional mechanical loading on large bone defect regeneration </w:t>
      </w:r>
      <w:r w:rsidRPr="00565259">
        <w:rPr>
          <w:rFonts w:ascii="Book Antiqua" w:hAnsi="Book Antiqua"/>
          <w:i/>
          <w:color w:val="000000" w:themeColor="text1"/>
          <w:sz w:val="24"/>
          <w:szCs w:val="24"/>
        </w:rPr>
        <w:t>in vivo</w:t>
      </w:r>
      <w:r w:rsidR="00FE35C0" w:rsidRPr="00565259">
        <w:rPr>
          <w:rFonts w:ascii="Book Antiqua" w:hAnsi="Book Antiqua"/>
          <w:color w:val="000000" w:themeColor="text1"/>
          <w:sz w:val="24"/>
          <w:szCs w:val="24"/>
        </w:rPr>
        <w:t>.</w:t>
      </w:r>
      <w:r w:rsidR="00AC4EC2" w:rsidRPr="00565259">
        <w:rPr>
          <w:rFonts w:ascii="Book Antiqua" w:hAnsi="Book Antiqua"/>
          <w:color w:val="000000" w:themeColor="text1"/>
          <w:sz w:val="24"/>
          <w:szCs w:val="24"/>
        </w:rPr>
        <w:t xml:space="preserve"> </w:t>
      </w:r>
      <w:r w:rsidR="00FE35C0" w:rsidRPr="00565259">
        <w:rPr>
          <w:rFonts w:ascii="Book Antiqua" w:hAnsi="Book Antiqua"/>
          <w:color w:val="000000" w:themeColor="text1"/>
          <w:sz w:val="24"/>
          <w:szCs w:val="24"/>
        </w:rPr>
        <w:t>B</w:t>
      </w:r>
      <w:r w:rsidRPr="00565259">
        <w:rPr>
          <w:rFonts w:ascii="Book Antiqua" w:hAnsi="Book Antiqua"/>
          <w:color w:val="000000" w:themeColor="text1"/>
          <w:sz w:val="24"/>
          <w:szCs w:val="24"/>
        </w:rPr>
        <w:t xml:space="preserve">one </w:t>
      </w:r>
      <w:r w:rsidR="00FE35C0" w:rsidRPr="00565259">
        <w:rPr>
          <w:rFonts w:ascii="Book Antiqua" w:hAnsi="Book Antiqua"/>
          <w:color w:val="000000" w:themeColor="text1"/>
          <w:sz w:val="24"/>
          <w:szCs w:val="24"/>
        </w:rPr>
        <w:t>CSDs</w:t>
      </w:r>
      <w:r w:rsidRPr="00565259">
        <w:rPr>
          <w:rFonts w:ascii="Book Antiqua" w:hAnsi="Book Antiqua"/>
          <w:color w:val="000000" w:themeColor="text1"/>
          <w:sz w:val="24"/>
          <w:szCs w:val="24"/>
        </w:rPr>
        <w:t xml:space="preserve"> in rat femora were stabilized using either stiff or compliant fixation plates that allowed compressive loading during ambulation. Findings demonstrated that functional transfer of axial loads during segmental bone repair enhanced bone formation and regeneration</w:t>
      </w:r>
      <w:r w:rsidR="00FE4360" w:rsidRPr="00565259">
        <w:rPr>
          <w:rFonts w:ascii="Book Antiqua" w:hAnsi="Book Antiqua"/>
          <w:bCs/>
          <w:color w:val="000000" w:themeColor="text1"/>
          <w:sz w:val="24"/>
          <w:szCs w:val="24"/>
          <w:vertAlign w:val="superscript"/>
        </w:rPr>
        <w:t>[188]</w:t>
      </w:r>
      <w:r w:rsidR="00F233E0" w:rsidRPr="00565259">
        <w:rPr>
          <w:rFonts w:ascii="Book Antiqua" w:hAnsi="Book Antiqua"/>
          <w:color w:val="000000" w:themeColor="text1"/>
          <w:sz w:val="24"/>
          <w:szCs w:val="24"/>
        </w:rPr>
        <w:t>.</w:t>
      </w:r>
      <w:r w:rsidRPr="00565259">
        <w:rPr>
          <w:rFonts w:ascii="Book Antiqua" w:hAnsi="Book Antiqua"/>
          <w:color w:val="000000" w:themeColor="text1"/>
          <w:sz w:val="24"/>
          <w:szCs w:val="24"/>
        </w:rPr>
        <w:t xml:space="preserve"> Meanwhile, a retrospective cohort study observed that early ambulation/mobilization of elderly patients with fractures improve outcomes faster than those who delay mobilization</w:t>
      </w:r>
      <w:r w:rsidR="00FE4360" w:rsidRPr="00565259">
        <w:rPr>
          <w:rFonts w:ascii="Book Antiqua" w:hAnsi="Book Antiqua"/>
          <w:bCs/>
          <w:color w:val="000000" w:themeColor="text1"/>
          <w:sz w:val="24"/>
          <w:szCs w:val="24"/>
          <w:vertAlign w:val="superscript"/>
        </w:rPr>
        <w:t>[189]</w:t>
      </w:r>
      <w:r w:rsidR="00AC4EC2" w:rsidRPr="00565259">
        <w:rPr>
          <w:rFonts w:ascii="Book Antiqua" w:hAnsi="Book Antiqua"/>
          <w:color w:val="000000" w:themeColor="text1"/>
          <w:sz w:val="24"/>
          <w:szCs w:val="24"/>
        </w:rPr>
        <w:t>.</w:t>
      </w:r>
      <w:r w:rsidR="00B149B2" w:rsidRPr="00565259">
        <w:rPr>
          <w:rFonts w:ascii="Book Antiqua" w:hAnsi="Book Antiqua"/>
          <w:color w:val="000000" w:themeColor="text1"/>
          <w:sz w:val="24"/>
          <w:szCs w:val="24"/>
        </w:rPr>
        <w:t xml:space="preserve"> </w:t>
      </w:r>
      <w:r w:rsidRPr="00565259">
        <w:rPr>
          <w:rFonts w:ascii="Book Antiqua" w:hAnsi="Book Antiqua"/>
          <w:color w:val="000000" w:themeColor="text1"/>
          <w:sz w:val="24"/>
          <w:szCs w:val="24"/>
        </w:rPr>
        <w:t>In contrast, immobility was associated with high</w:t>
      </w:r>
      <w:r w:rsidR="00F233E0" w:rsidRPr="00565259">
        <w:rPr>
          <w:rFonts w:ascii="Book Antiqua" w:hAnsi="Book Antiqua"/>
          <w:color w:val="000000" w:themeColor="text1"/>
          <w:sz w:val="24"/>
          <w:szCs w:val="24"/>
        </w:rPr>
        <w:t>er mortality and lower function</w:t>
      </w:r>
      <w:r w:rsidR="00FE4360" w:rsidRPr="00565259">
        <w:rPr>
          <w:rFonts w:ascii="Book Antiqua" w:hAnsi="Book Antiqua"/>
          <w:bCs/>
          <w:color w:val="000000" w:themeColor="text1"/>
          <w:sz w:val="24"/>
          <w:szCs w:val="24"/>
          <w:vertAlign w:val="superscript"/>
        </w:rPr>
        <w:t>[190]</w:t>
      </w:r>
      <w:r w:rsidR="00F233E0" w:rsidRPr="00565259">
        <w:rPr>
          <w:rFonts w:ascii="Book Antiqua" w:hAnsi="Book Antiqua"/>
          <w:color w:val="000000" w:themeColor="text1"/>
          <w:sz w:val="24"/>
          <w:szCs w:val="24"/>
        </w:rPr>
        <w:t>.</w:t>
      </w:r>
    </w:p>
    <w:p w14:paraId="690CBDD0" w14:textId="7095AC5E" w:rsidR="00E367F9" w:rsidRPr="00565259" w:rsidRDefault="00C05CB0" w:rsidP="00B83DB9">
      <w:pPr>
        <w:tabs>
          <w:tab w:val="left" w:pos="720"/>
        </w:tabs>
        <w:spacing w:after="0" w:line="360" w:lineRule="auto"/>
        <w:ind w:firstLineChars="100" w:firstLine="240"/>
        <w:jc w:val="both"/>
        <w:rPr>
          <w:rFonts w:ascii="Book Antiqua" w:hAnsi="Book Antiqua"/>
          <w:color w:val="000000" w:themeColor="text1"/>
          <w:sz w:val="24"/>
          <w:szCs w:val="24"/>
        </w:rPr>
      </w:pPr>
      <w:r w:rsidRPr="00565259">
        <w:rPr>
          <w:rFonts w:ascii="Book Antiqua" w:hAnsi="Book Antiqua"/>
          <w:color w:val="000000" w:themeColor="text1"/>
          <w:sz w:val="24"/>
          <w:szCs w:val="24"/>
        </w:rPr>
        <w:t xml:space="preserve">Several therapeutic modalities are used clinically to facilitate fracture healing, including whole-body vibration (WBV) and pulsed ultrasound. Recent systematic reviews suggest WBV is a safe and effective treatment. Pre-clinical </w:t>
      </w:r>
      <w:r w:rsidR="00E42674" w:rsidRPr="00565259">
        <w:rPr>
          <w:rFonts w:ascii="Book Antiqua" w:hAnsi="Book Antiqua"/>
          <w:color w:val="000000" w:themeColor="text1"/>
          <w:sz w:val="24"/>
          <w:szCs w:val="24"/>
        </w:rPr>
        <w:t>trials with ovariectomized rats</w:t>
      </w:r>
      <w:r w:rsidRPr="00565259">
        <w:rPr>
          <w:rFonts w:ascii="Book Antiqua" w:hAnsi="Book Antiqua"/>
          <w:color w:val="000000" w:themeColor="text1"/>
          <w:sz w:val="24"/>
          <w:szCs w:val="24"/>
        </w:rPr>
        <w:t xml:space="preserve"> have shown those with diminished estrogen respond better to WB</w:t>
      </w:r>
      <w:r w:rsidR="00F233E0" w:rsidRPr="00565259">
        <w:rPr>
          <w:rFonts w:ascii="Book Antiqua" w:hAnsi="Book Antiqua"/>
          <w:color w:val="000000" w:themeColor="text1"/>
          <w:sz w:val="24"/>
          <w:szCs w:val="24"/>
        </w:rPr>
        <w:t>V than those with normal levels</w:t>
      </w:r>
      <w:r w:rsidR="00FE4360" w:rsidRPr="00565259">
        <w:rPr>
          <w:rFonts w:ascii="Book Antiqua" w:hAnsi="Book Antiqua"/>
          <w:bCs/>
          <w:color w:val="000000" w:themeColor="text1"/>
          <w:sz w:val="24"/>
          <w:szCs w:val="24"/>
          <w:vertAlign w:val="superscript"/>
        </w:rPr>
        <w:t>[191-193]</w:t>
      </w:r>
      <w:r w:rsidR="00F233E0" w:rsidRPr="00565259">
        <w:rPr>
          <w:rFonts w:ascii="Book Antiqua" w:hAnsi="Book Antiqua"/>
          <w:color w:val="000000" w:themeColor="text1"/>
          <w:sz w:val="24"/>
          <w:szCs w:val="24"/>
        </w:rPr>
        <w:t>.</w:t>
      </w:r>
      <w:r w:rsidRPr="00565259">
        <w:rPr>
          <w:rFonts w:ascii="Book Antiqua" w:hAnsi="Book Antiqua"/>
          <w:color w:val="000000" w:themeColor="text1"/>
          <w:sz w:val="24"/>
          <w:szCs w:val="24"/>
        </w:rPr>
        <w:t xml:space="preserve"> Interestingly, a study observed an increase in osteogenic potential of bone marrow with WBV during a period of hindlimb unloading compared to those with no treatment; this increase was expounded upon later during r</w:t>
      </w:r>
      <w:r w:rsidR="00F233E0" w:rsidRPr="00565259">
        <w:rPr>
          <w:rFonts w:ascii="Book Antiqua" w:hAnsi="Book Antiqua"/>
          <w:color w:val="000000" w:themeColor="text1"/>
          <w:sz w:val="24"/>
          <w:szCs w:val="24"/>
        </w:rPr>
        <w:t>e-ambulation and concurrent WBV</w:t>
      </w:r>
      <w:r w:rsidR="00FE4360" w:rsidRPr="00565259">
        <w:rPr>
          <w:rFonts w:ascii="Book Antiqua" w:hAnsi="Book Antiqua"/>
          <w:bCs/>
          <w:color w:val="000000" w:themeColor="text1"/>
          <w:sz w:val="24"/>
          <w:szCs w:val="24"/>
          <w:vertAlign w:val="superscript"/>
        </w:rPr>
        <w:t>[194]</w:t>
      </w:r>
      <w:r w:rsidR="00F233E0" w:rsidRPr="00565259">
        <w:rPr>
          <w:rFonts w:ascii="Book Antiqua" w:hAnsi="Book Antiqua"/>
          <w:color w:val="000000" w:themeColor="text1"/>
          <w:sz w:val="24"/>
          <w:szCs w:val="24"/>
        </w:rPr>
        <w:t>.</w:t>
      </w:r>
      <w:r w:rsidRPr="00565259">
        <w:rPr>
          <w:rFonts w:ascii="Book Antiqua" w:hAnsi="Book Antiqua"/>
          <w:color w:val="000000" w:themeColor="text1"/>
          <w:sz w:val="24"/>
          <w:szCs w:val="24"/>
        </w:rPr>
        <w:t xml:space="preserve"> Pulsed ultrasound may offer another option for fracture healing in the elderly. Research has shown low-intensity pulsed ultrasound to decrease osteoclastic gene expression</w:t>
      </w:r>
      <w:r w:rsidR="00FE4360" w:rsidRPr="00565259">
        <w:rPr>
          <w:rFonts w:ascii="Book Antiqua" w:hAnsi="Book Antiqua"/>
          <w:bCs/>
          <w:color w:val="000000" w:themeColor="text1"/>
          <w:sz w:val="24"/>
          <w:szCs w:val="24"/>
          <w:vertAlign w:val="superscript"/>
        </w:rPr>
        <w:t>[195]</w:t>
      </w:r>
      <w:r w:rsidRPr="00565259">
        <w:rPr>
          <w:rFonts w:ascii="Book Antiqua" w:hAnsi="Book Antiqua"/>
          <w:color w:val="000000" w:themeColor="text1"/>
          <w:sz w:val="24"/>
          <w:szCs w:val="24"/>
        </w:rPr>
        <w:t xml:space="preserve"> decrease MSC adipocyte differentiation</w:t>
      </w:r>
      <w:r w:rsidR="00FE4360" w:rsidRPr="00565259">
        <w:rPr>
          <w:rFonts w:ascii="Book Antiqua" w:hAnsi="Book Antiqua"/>
          <w:bCs/>
          <w:color w:val="000000" w:themeColor="text1"/>
          <w:sz w:val="24"/>
          <w:szCs w:val="24"/>
          <w:vertAlign w:val="superscript"/>
        </w:rPr>
        <w:t>[195]</w:t>
      </w:r>
      <w:r w:rsidR="00F233E0" w:rsidRPr="00565259">
        <w:rPr>
          <w:rFonts w:ascii="Book Antiqua" w:hAnsi="Book Antiqua"/>
          <w:color w:val="000000" w:themeColor="text1"/>
          <w:sz w:val="24"/>
          <w:szCs w:val="24"/>
        </w:rPr>
        <w:t>,</w:t>
      </w:r>
      <w:r w:rsidRPr="00565259">
        <w:rPr>
          <w:rFonts w:ascii="Book Antiqua" w:hAnsi="Book Antiqua"/>
          <w:color w:val="000000" w:themeColor="text1"/>
          <w:sz w:val="24"/>
          <w:szCs w:val="24"/>
        </w:rPr>
        <w:t xml:space="preserve"> and foster M</w:t>
      </w:r>
      <w:r w:rsidR="00F233E0" w:rsidRPr="00565259">
        <w:rPr>
          <w:rFonts w:ascii="Book Antiqua" w:hAnsi="Book Antiqua"/>
          <w:color w:val="000000" w:themeColor="text1"/>
          <w:sz w:val="24"/>
          <w:szCs w:val="24"/>
        </w:rPr>
        <w:t>SC’s commitment to osteogenesis</w:t>
      </w:r>
      <w:r w:rsidR="00FE4360" w:rsidRPr="00565259">
        <w:rPr>
          <w:rFonts w:ascii="Book Antiqua" w:hAnsi="Book Antiqua"/>
          <w:bCs/>
          <w:color w:val="000000" w:themeColor="text1"/>
          <w:sz w:val="24"/>
          <w:szCs w:val="24"/>
          <w:vertAlign w:val="superscript"/>
        </w:rPr>
        <w:t>[196,197]</w:t>
      </w:r>
      <w:r w:rsidR="00F233E0" w:rsidRPr="00565259">
        <w:rPr>
          <w:rFonts w:ascii="Book Antiqua" w:hAnsi="Book Antiqua"/>
          <w:color w:val="000000" w:themeColor="text1"/>
          <w:sz w:val="24"/>
          <w:szCs w:val="24"/>
        </w:rPr>
        <w:t>.</w:t>
      </w:r>
      <w:r w:rsidRPr="00565259">
        <w:rPr>
          <w:rFonts w:ascii="Book Antiqua" w:hAnsi="Book Antiqua"/>
          <w:color w:val="000000" w:themeColor="text1"/>
          <w:sz w:val="24"/>
          <w:szCs w:val="24"/>
        </w:rPr>
        <w:t xml:space="preserve"> However, according to recent systematic reviews, there is a low level of evidence to support its use in the early phases of fra</w:t>
      </w:r>
      <w:r w:rsidR="00F233E0" w:rsidRPr="00565259">
        <w:rPr>
          <w:rFonts w:ascii="Book Antiqua" w:hAnsi="Book Antiqua"/>
          <w:color w:val="000000" w:themeColor="text1"/>
          <w:sz w:val="24"/>
          <w:szCs w:val="24"/>
        </w:rPr>
        <w:t>cture healing in elderly humans</w:t>
      </w:r>
      <w:r w:rsidR="00FE4360" w:rsidRPr="00565259">
        <w:rPr>
          <w:rFonts w:ascii="Book Antiqua" w:hAnsi="Book Antiqua"/>
          <w:bCs/>
          <w:color w:val="000000" w:themeColor="text1"/>
          <w:sz w:val="24"/>
          <w:szCs w:val="24"/>
          <w:vertAlign w:val="superscript"/>
        </w:rPr>
        <w:t>[198]</w:t>
      </w:r>
      <w:r w:rsidRPr="00565259">
        <w:rPr>
          <w:rFonts w:ascii="Book Antiqua" w:hAnsi="Book Antiqua"/>
          <w:color w:val="000000" w:themeColor="text1"/>
          <w:sz w:val="24"/>
          <w:szCs w:val="24"/>
        </w:rPr>
        <w:t xml:space="preserve"> and in those unde</w:t>
      </w:r>
      <w:r w:rsidR="00F233E0" w:rsidRPr="00565259">
        <w:rPr>
          <w:rFonts w:ascii="Book Antiqua" w:hAnsi="Book Antiqua"/>
          <w:color w:val="000000" w:themeColor="text1"/>
          <w:sz w:val="24"/>
          <w:szCs w:val="24"/>
        </w:rPr>
        <w:t>rgoing distraction osteogenesis</w:t>
      </w:r>
      <w:r w:rsidR="00FE4360" w:rsidRPr="00565259">
        <w:rPr>
          <w:rFonts w:ascii="Book Antiqua" w:hAnsi="Book Antiqua"/>
          <w:bCs/>
          <w:color w:val="000000" w:themeColor="text1"/>
          <w:sz w:val="24"/>
          <w:szCs w:val="24"/>
          <w:vertAlign w:val="superscript"/>
        </w:rPr>
        <w:t>[199]</w:t>
      </w:r>
      <w:r w:rsidR="00F233E0" w:rsidRPr="00565259">
        <w:rPr>
          <w:rFonts w:ascii="Book Antiqua" w:hAnsi="Book Antiqua"/>
          <w:color w:val="000000" w:themeColor="text1"/>
          <w:sz w:val="24"/>
          <w:szCs w:val="24"/>
        </w:rPr>
        <w:t>.</w:t>
      </w:r>
    </w:p>
    <w:p w14:paraId="6DF05712" w14:textId="77777777" w:rsidR="00E367F9" w:rsidRPr="00565259" w:rsidRDefault="00E367F9" w:rsidP="00B83DB9">
      <w:pPr>
        <w:tabs>
          <w:tab w:val="left" w:pos="720"/>
        </w:tabs>
        <w:spacing w:after="0" w:line="360" w:lineRule="auto"/>
        <w:jc w:val="both"/>
        <w:rPr>
          <w:rFonts w:ascii="Book Antiqua" w:hAnsi="Book Antiqua"/>
          <w:color w:val="000000" w:themeColor="text1"/>
          <w:sz w:val="24"/>
          <w:szCs w:val="24"/>
        </w:rPr>
      </w:pPr>
    </w:p>
    <w:p w14:paraId="76A06D32" w14:textId="77777777" w:rsidR="00E367F9" w:rsidRPr="00565259" w:rsidRDefault="00E367F9" w:rsidP="00B83DB9">
      <w:pPr>
        <w:tabs>
          <w:tab w:val="left" w:pos="720"/>
        </w:tabs>
        <w:spacing w:after="0" w:line="360" w:lineRule="auto"/>
        <w:jc w:val="both"/>
        <w:rPr>
          <w:rStyle w:val="10"/>
          <w:b/>
          <w:szCs w:val="24"/>
        </w:rPr>
      </w:pPr>
      <w:r w:rsidRPr="00565259">
        <w:rPr>
          <w:rStyle w:val="10"/>
          <w:b/>
          <w:szCs w:val="24"/>
        </w:rPr>
        <w:t>CONCLUSIONS</w:t>
      </w:r>
    </w:p>
    <w:p w14:paraId="62115584" w14:textId="4DE2DF10" w:rsidR="00E367F9" w:rsidRPr="00565259" w:rsidRDefault="007D4C94" w:rsidP="00B83DB9">
      <w:pPr>
        <w:tabs>
          <w:tab w:val="left" w:pos="720"/>
        </w:tabs>
        <w:spacing w:after="0" w:line="360" w:lineRule="auto"/>
        <w:jc w:val="both"/>
        <w:rPr>
          <w:rStyle w:val="10"/>
          <w:b/>
          <w:szCs w:val="24"/>
        </w:rPr>
      </w:pPr>
      <w:r w:rsidRPr="00565259">
        <w:rPr>
          <w:rStyle w:val="10"/>
          <w:szCs w:val="24"/>
        </w:rPr>
        <w:t>Bone fractures in the elderly are a significant issue</w:t>
      </w:r>
      <w:r w:rsidR="00C6679C" w:rsidRPr="00565259">
        <w:rPr>
          <w:rStyle w:val="10"/>
          <w:szCs w:val="24"/>
        </w:rPr>
        <w:t>, due to</w:t>
      </w:r>
      <w:r w:rsidRPr="00565259">
        <w:rPr>
          <w:rStyle w:val="10"/>
          <w:szCs w:val="24"/>
        </w:rPr>
        <w:t xml:space="preserve"> the prevalence of the problem</w:t>
      </w:r>
      <w:r w:rsidR="00FE35C0" w:rsidRPr="00565259">
        <w:rPr>
          <w:rStyle w:val="10"/>
          <w:szCs w:val="24"/>
        </w:rPr>
        <w:t>, the difficulty of treatment,</w:t>
      </w:r>
      <w:r w:rsidRPr="00565259">
        <w:rPr>
          <w:rStyle w:val="10"/>
          <w:szCs w:val="24"/>
        </w:rPr>
        <w:t xml:space="preserve"> and the severe consequences of the extended healing period.</w:t>
      </w:r>
      <w:r w:rsidR="00C17406" w:rsidRPr="00565259">
        <w:rPr>
          <w:rStyle w:val="10"/>
          <w:szCs w:val="24"/>
        </w:rPr>
        <w:t xml:space="preserve"> </w:t>
      </w:r>
      <w:r w:rsidRPr="00565259">
        <w:rPr>
          <w:rStyle w:val="10"/>
          <w:szCs w:val="24"/>
        </w:rPr>
        <w:t xml:space="preserve">The delay in fracture healing </w:t>
      </w:r>
      <w:r w:rsidR="000F2B01" w:rsidRPr="00565259">
        <w:rPr>
          <w:rStyle w:val="10"/>
          <w:szCs w:val="24"/>
        </w:rPr>
        <w:t xml:space="preserve">with advanced age </w:t>
      </w:r>
      <w:r w:rsidRPr="00565259">
        <w:rPr>
          <w:rStyle w:val="10"/>
          <w:szCs w:val="24"/>
        </w:rPr>
        <w:t xml:space="preserve">has been attributed to </w:t>
      </w:r>
      <w:r w:rsidR="000F2B01" w:rsidRPr="00565259">
        <w:rPr>
          <w:rStyle w:val="10"/>
          <w:szCs w:val="24"/>
        </w:rPr>
        <w:t xml:space="preserve">the </w:t>
      </w:r>
      <w:r w:rsidRPr="00565259">
        <w:rPr>
          <w:rStyle w:val="10"/>
          <w:szCs w:val="24"/>
        </w:rPr>
        <w:t>de</w:t>
      </w:r>
      <w:r w:rsidR="000F2B01" w:rsidRPr="00565259">
        <w:rPr>
          <w:rStyle w:val="10"/>
          <w:szCs w:val="24"/>
        </w:rPr>
        <w:t>creased number and function</w:t>
      </w:r>
      <w:r w:rsidRPr="00565259">
        <w:rPr>
          <w:rStyle w:val="10"/>
          <w:szCs w:val="24"/>
        </w:rPr>
        <w:t xml:space="preserve"> of MSCs that regenerate the bone and </w:t>
      </w:r>
      <w:r w:rsidR="000F2B01" w:rsidRPr="00565259">
        <w:rPr>
          <w:rStyle w:val="10"/>
          <w:szCs w:val="24"/>
        </w:rPr>
        <w:t xml:space="preserve">the </w:t>
      </w:r>
      <w:r w:rsidRPr="00565259">
        <w:rPr>
          <w:rStyle w:val="10"/>
          <w:szCs w:val="24"/>
        </w:rPr>
        <w:t>inferior performance of EPCs that participate in angiogenesis.</w:t>
      </w:r>
      <w:r w:rsidR="00C17406" w:rsidRPr="00565259">
        <w:rPr>
          <w:rStyle w:val="10"/>
          <w:szCs w:val="24"/>
        </w:rPr>
        <w:t xml:space="preserve"> </w:t>
      </w:r>
      <w:r w:rsidR="000F2B01" w:rsidRPr="00565259">
        <w:rPr>
          <w:rStyle w:val="10"/>
          <w:szCs w:val="24"/>
        </w:rPr>
        <w:t>The causes of cellular aging and the concomitant decline in functionality</w:t>
      </w:r>
      <w:r w:rsidR="0035187C" w:rsidRPr="00565259">
        <w:rPr>
          <w:rStyle w:val="10"/>
          <w:szCs w:val="24"/>
        </w:rPr>
        <w:t xml:space="preserve"> are wide-ranging, but </w:t>
      </w:r>
      <w:r w:rsidR="008C75C1" w:rsidRPr="00565259">
        <w:rPr>
          <w:rStyle w:val="10"/>
          <w:szCs w:val="24"/>
        </w:rPr>
        <w:t>provide some intriguing indications of</w:t>
      </w:r>
      <w:r w:rsidR="000F2B01" w:rsidRPr="00565259">
        <w:rPr>
          <w:rStyle w:val="10"/>
          <w:szCs w:val="24"/>
        </w:rPr>
        <w:t xml:space="preserve"> potential targets for speeding fracture healing in older individuals.</w:t>
      </w:r>
      <w:r w:rsidR="00C17406" w:rsidRPr="00565259">
        <w:rPr>
          <w:rStyle w:val="10"/>
          <w:szCs w:val="24"/>
        </w:rPr>
        <w:t xml:space="preserve"> </w:t>
      </w:r>
      <w:r w:rsidR="000F2B01" w:rsidRPr="00565259">
        <w:rPr>
          <w:rStyle w:val="10"/>
          <w:szCs w:val="24"/>
        </w:rPr>
        <w:t>In the future, cell therapies that supplement the inadequate native cellu</w:t>
      </w:r>
      <w:r w:rsidR="00BF1782" w:rsidRPr="00565259">
        <w:rPr>
          <w:rStyle w:val="10"/>
          <w:szCs w:val="24"/>
        </w:rPr>
        <w:t xml:space="preserve">lar response with MSCs or ECFCs; </w:t>
      </w:r>
      <w:r w:rsidR="00FD7805" w:rsidRPr="00565259">
        <w:rPr>
          <w:rStyle w:val="10"/>
          <w:szCs w:val="24"/>
        </w:rPr>
        <w:t xml:space="preserve">bone anabolic </w:t>
      </w:r>
      <w:r w:rsidR="00BF1782" w:rsidRPr="00565259">
        <w:rPr>
          <w:rStyle w:val="10"/>
          <w:szCs w:val="24"/>
        </w:rPr>
        <w:t>pharmacological agents</w:t>
      </w:r>
      <w:r w:rsidR="00A11377" w:rsidRPr="00565259">
        <w:rPr>
          <w:rStyle w:val="10"/>
          <w:szCs w:val="24"/>
        </w:rPr>
        <w:t>, particularly in combination with strategies to localize their delivery to the bone fracture</w:t>
      </w:r>
      <w:r w:rsidR="00BF1782" w:rsidRPr="00565259">
        <w:rPr>
          <w:rStyle w:val="10"/>
          <w:szCs w:val="24"/>
        </w:rPr>
        <w:t>;</w:t>
      </w:r>
      <w:r w:rsidR="000F2B01" w:rsidRPr="00565259">
        <w:rPr>
          <w:rStyle w:val="10"/>
          <w:szCs w:val="24"/>
        </w:rPr>
        <w:t xml:space="preserve"> </w:t>
      </w:r>
      <w:r w:rsidR="00BF1782" w:rsidRPr="00565259">
        <w:rPr>
          <w:rStyle w:val="10"/>
          <w:szCs w:val="24"/>
        </w:rPr>
        <w:t>d</w:t>
      </w:r>
      <w:r w:rsidR="00FD7805" w:rsidRPr="00565259">
        <w:rPr>
          <w:rStyle w:val="10"/>
          <w:szCs w:val="24"/>
        </w:rPr>
        <w:t>rugs that reduce oxidative stress, cellula</w:t>
      </w:r>
      <w:r w:rsidR="00BF1782" w:rsidRPr="00565259">
        <w:rPr>
          <w:rStyle w:val="10"/>
          <w:szCs w:val="24"/>
        </w:rPr>
        <w:t xml:space="preserve">r senescence, or activate SIRT1; and </w:t>
      </w:r>
      <w:r w:rsidR="00394A46" w:rsidRPr="00565259">
        <w:rPr>
          <w:rStyle w:val="10"/>
          <w:szCs w:val="24"/>
        </w:rPr>
        <w:t>physical therapeutics may</w:t>
      </w:r>
      <w:r w:rsidR="00A11377" w:rsidRPr="00565259">
        <w:rPr>
          <w:rStyle w:val="10"/>
          <w:szCs w:val="24"/>
        </w:rPr>
        <w:t xml:space="preserve"> prove effective in promoting fracture healing in the elderly</w:t>
      </w:r>
      <w:r w:rsidR="00FE35C0" w:rsidRPr="00565259">
        <w:rPr>
          <w:rStyle w:val="10"/>
          <w:szCs w:val="24"/>
        </w:rPr>
        <w:t>.</w:t>
      </w:r>
    </w:p>
    <w:p w14:paraId="1A5BD3DF" w14:textId="77777777" w:rsidR="00E367F9" w:rsidRPr="00565259" w:rsidRDefault="00E367F9" w:rsidP="00B83DB9">
      <w:pPr>
        <w:tabs>
          <w:tab w:val="left" w:pos="720"/>
        </w:tabs>
        <w:spacing w:after="0" w:line="360" w:lineRule="auto"/>
        <w:jc w:val="both"/>
        <w:rPr>
          <w:rStyle w:val="10"/>
          <w:b/>
          <w:szCs w:val="24"/>
        </w:rPr>
      </w:pPr>
    </w:p>
    <w:p w14:paraId="44173094" w14:textId="77777777" w:rsidR="00E367F9" w:rsidRPr="00565259" w:rsidRDefault="00E367F9" w:rsidP="00B83DB9">
      <w:pPr>
        <w:tabs>
          <w:tab w:val="left" w:pos="720"/>
        </w:tabs>
        <w:spacing w:after="0" w:line="360" w:lineRule="auto"/>
        <w:jc w:val="both"/>
        <w:rPr>
          <w:rStyle w:val="10"/>
          <w:b/>
          <w:szCs w:val="24"/>
        </w:rPr>
      </w:pPr>
      <w:r w:rsidRPr="00565259">
        <w:rPr>
          <w:rStyle w:val="10"/>
          <w:b/>
          <w:szCs w:val="24"/>
        </w:rPr>
        <w:t>ACKNOWLEDGEMENTS</w:t>
      </w:r>
    </w:p>
    <w:p w14:paraId="0C597016" w14:textId="40BD9558" w:rsidR="009309CD" w:rsidRPr="00565259" w:rsidRDefault="0022679B" w:rsidP="00B83DB9">
      <w:pPr>
        <w:tabs>
          <w:tab w:val="left" w:pos="720"/>
        </w:tabs>
        <w:spacing w:after="0" w:line="360" w:lineRule="auto"/>
        <w:jc w:val="both"/>
        <w:rPr>
          <w:rStyle w:val="10"/>
          <w:b/>
          <w:szCs w:val="24"/>
        </w:rPr>
      </w:pPr>
      <w:r w:rsidRPr="00565259">
        <w:rPr>
          <w:rStyle w:val="10"/>
          <w:szCs w:val="24"/>
        </w:rPr>
        <w:t>We would like to thank Sue Samson for her administrative support.</w:t>
      </w:r>
    </w:p>
    <w:p w14:paraId="60B7208B" w14:textId="77777777" w:rsidR="00394A46" w:rsidRPr="00565259" w:rsidRDefault="00394A46" w:rsidP="00B83DB9">
      <w:pPr>
        <w:spacing w:after="0" w:line="360" w:lineRule="auto"/>
        <w:jc w:val="both"/>
        <w:rPr>
          <w:rFonts w:ascii="Book Antiqua" w:hAnsi="Book Antiqua" w:cs="Times New Roman"/>
          <w:sz w:val="24"/>
          <w:szCs w:val="24"/>
        </w:rPr>
      </w:pPr>
      <w:r w:rsidRPr="00565259">
        <w:rPr>
          <w:rFonts w:ascii="Book Antiqua" w:hAnsi="Book Antiqua"/>
          <w:sz w:val="24"/>
          <w:szCs w:val="24"/>
        </w:rPr>
        <w:br w:type="page"/>
      </w:r>
    </w:p>
    <w:p w14:paraId="24218C0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lang w:eastAsia="zh-CN"/>
        </w:rPr>
        <w:t>REFERENCES</w:t>
      </w:r>
    </w:p>
    <w:p w14:paraId="7F31770E" w14:textId="7D89A23A"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 </w:t>
      </w:r>
      <w:r w:rsidRPr="00565259">
        <w:rPr>
          <w:rFonts w:ascii="Book Antiqua" w:hAnsi="Book Antiqua"/>
          <w:b/>
          <w:sz w:val="24"/>
          <w:szCs w:val="24"/>
        </w:rPr>
        <w:t>Hui SL</w:t>
      </w:r>
      <w:r w:rsidRPr="00565259">
        <w:rPr>
          <w:rFonts w:ascii="Book Antiqua" w:hAnsi="Book Antiqua"/>
          <w:sz w:val="24"/>
          <w:szCs w:val="24"/>
        </w:rPr>
        <w:t xml:space="preserve">, Slemenda CW, Johnston CC Jr. Age and bone mass as predictors of fracture in a prospective study. </w:t>
      </w:r>
      <w:r w:rsidRPr="00565259">
        <w:rPr>
          <w:rFonts w:ascii="Book Antiqua" w:hAnsi="Book Antiqua"/>
          <w:i/>
          <w:sz w:val="24"/>
          <w:szCs w:val="24"/>
        </w:rPr>
        <w:t>J Clin Invest</w:t>
      </w:r>
      <w:r w:rsidRPr="00565259">
        <w:rPr>
          <w:rFonts w:ascii="Book Antiqua" w:hAnsi="Book Antiqua"/>
          <w:sz w:val="24"/>
          <w:szCs w:val="24"/>
        </w:rPr>
        <w:t xml:space="preserve"> 1988; </w:t>
      </w:r>
      <w:r w:rsidRPr="00565259">
        <w:rPr>
          <w:rFonts w:ascii="Book Antiqua" w:hAnsi="Book Antiqua"/>
          <w:b/>
          <w:sz w:val="24"/>
          <w:szCs w:val="24"/>
        </w:rPr>
        <w:t>81</w:t>
      </w:r>
      <w:r w:rsidRPr="00565259">
        <w:rPr>
          <w:rFonts w:ascii="Book Antiqua" w:hAnsi="Book Antiqua"/>
          <w:sz w:val="24"/>
          <w:szCs w:val="24"/>
        </w:rPr>
        <w:t>: 1804-1809 [PMID: 3384952 DOI: 10.1172/JCI113523]</w:t>
      </w:r>
    </w:p>
    <w:p w14:paraId="27B1502B" w14:textId="7CD82AED"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2 </w:t>
      </w:r>
      <w:bookmarkStart w:id="21" w:name="OLE_LINK1"/>
      <w:bookmarkStart w:id="22" w:name="OLE_LINK2"/>
      <w:r w:rsidRPr="00565259">
        <w:rPr>
          <w:rFonts w:ascii="Book Antiqua" w:hAnsi="Book Antiqua"/>
          <w:b/>
          <w:sz w:val="24"/>
          <w:szCs w:val="24"/>
        </w:rPr>
        <w:t>US</w:t>
      </w:r>
      <w:r w:rsidR="00481F2A" w:rsidRPr="00565259">
        <w:rPr>
          <w:rFonts w:ascii="Book Antiqua" w:hAnsi="Book Antiqua"/>
          <w:b/>
          <w:sz w:val="24"/>
          <w:szCs w:val="24"/>
        </w:rPr>
        <w:t xml:space="preserve"> </w:t>
      </w:r>
      <w:r w:rsidRPr="00565259">
        <w:rPr>
          <w:rFonts w:ascii="Book Antiqua" w:hAnsi="Book Antiqua"/>
          <w:b/>
          <w:sz w:val="24"/>
          <w:szCs w:val="24"/>
        </w:rPr>
        <w:t>census.</w:t>
      </w:r>
      <w:r w:rsidRPr="00565259">
        <w:rPr>
          <w:rFonts w:ascii="Book Antiqua" w:hAnsi="Book Antiqua"/>
          <w:sz w:val="24"/>
          <w:szCs w:val="24"/>
        </w:rPr>
        <w:t xml:space="preserve"> The Older Population: 2010.</w:t>
      </w:r>
      <w:bookmarkEnd w:id="21"/>
      <w:bookmarkEnd w:id="22"/>
      <w:r w:rsidRPr="00565259">
        <w:rPr>
          <w:rFonts w:ascii="Book Antiqua" w:hAnsi="Book Antiqua"/>
          <w:sz w:val="24"/>
          <w:szCs w:val="24"/>
        </w:rPr>
        <w:t xml:space="preserve"> </w:t>
      </w:r>
      <w:r w:rsidR="00C17406" w:rsidRPr="00565259">
        <w:rPr>
          <w:rFonts w:ascii="Book Antiqua" w:hAnsi="Book Antiqua"/>
          <w:sz w:val="24"/>
          <w:szCs w:val="24"/>
        </w:rPr>
        <w:t>Available from</w:t>
      </w:r>
      <w:r w:rsidRPr="00565259">
        <w:rPr>
          <w:rFonts w:ascii="Book Antiqua" w:hAnsi="Book Antiqua"/>
          <w:sz w:val="24"/>
          <w:szCs w:val="24"/>
        </w:rPr>
        <w:t>: https://www.census.gov/prod/cen2010/briefs/c2010br-09.pdf</w:t>
      </w:r>
    </w:p>
    <w:p w14:paraId="585D53AB" w14:textId="2DF0289B"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3 </w:t>
      </w:r>
      <w:r w:rsidRPr="00565259">
        <w:rPr>
          <w:rFonts w:ascii="Book Antiqua" w:hAnsi="Book Antiqua"/>
          <w:b/>
          <w:sz w:val="24"/>
          <w:szCs w:val="24"/>
        </w:rPr>
        <w:t>USA BaJI.</w:t>
      </w:r>
      <w:r w:rsidRPr="00565259">
        <w:rPr>
          <w:rFonts w:ascii="Book Antiqua" w:hAnsi="Book Antiqua"/>
          <w:sz w:val="24"/>
          <w:szCs w:val="24"/>
        </w:rPr>
        <w:t xml:space="preserve"> The Burden of Musculoskeletal Diseases in the United States. 2015. </w:t>
      </w:r>
      <w:r w:rsidR="00253B19" w:rsidRPr="00565259">
        <w:rPr>
          <w:rFonts w:ascii="Book Antiqua" w:hAnsi="Book Antiqua"/>
          <w:sz w:val="24"/>
          <w:szCs w:val="24"/>
        </w:rPr>
        <w:t>Available from</w:t>
      </w:r>
      <w:r w:rsidRPr="00565259">
        <w:rPr>
          <w:rFonts w:ascii="Book Antiqua" w:hAnsi="Book Antiqua"/>
          <w:sz w:val="24"/>
          <w:szCs w:val="24"/>
        </w:rPr>
        <w:t>: http://www.boneandjointburden.org</w:t>
      </w:r>
    </w:p>
    <w:p w14:paraId="0F5F9CFE"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4 </w:t>
      </w:r>
      <w:r w:rsidRPr="00565259">
        <w:rPr>
          <w:rFonts w:ascii="Book Antiqua" w:hAnsi="Book Antiqua"/>
          <w:b/>
          <w:sz w:val="24"/>
          <w:szCs w:val="24"/>
        </w:rPr>
        <w:t>Chun YM</w:t>
      </w:r>
      <w:r w:rsidRPr="00565259">
        <w:rPr>
          <w:rFonts w:ascii="Book Antiqua" w:hAnsi="Book Antiqua"/>
          <w:sz w:val="24"/>
          <w:szCs w:val="24"/>
        </w:rPr>
        <w:t xml:space="preserve">, Kim DS, Lee DH, Shin SJ. Reverse shoulder arthroplasty for four-part proximal humerus fracture in elderly patients: can a healed tuberosity improve the functional outcomes? </w:t>
      </w:r>
      <w:r w:rsidRPr="00565259">
        <w:rPr>
          <w:rFonts w:ascii="Book Antiqua" w:hAnsi="Book Antiqua"/>
          <w:i/>
          <w:sz w:val="24"/>
          <w:szCs w:val="24"/>
        </w:rPr>
        <w:t>J Shoulder Elbow Surg</w:t>
      </w:r>
      <w:r w:rsidRPr="00565259">
        <w:rPr>
          <w:rFonts w:ascii="Book Antiqua" w:hAnsi="Book Antiqua"/>
          <w:sz w:val="24"/>
          <w:szCs w:val="24"/>
        </w:rPr>
        <w:t xml:space="preserve"> 2017; </w:t>
      </w:r>
      <w:r w:rsidRPr="00565259">
        <w:rPr>
          <w:rFonts w:ascii="Book Antiqua" w:hAnsi="Book Antiqua"/>
          <w:b/>
          <w:sz w:val="24"/>
          <w:szCs w:val="24"/>
        </w:rPr>
        <w:t>26</w:t>
      </w:r>
      <w:r w:rsidRPr="00565259">
        <w:rPr>
          <w:rFonts w:ascii="Book Antiqua" w:hAnsi="Book Antiqua"/>
          <w:sz w:val="24"/>
          <w:szCs w:val="24"/>
        </w:rPr>
        <w:t>: 1216-1221 [PMID: 28162882 DOI: 10.1016/j.jse.2016.11.034]</w:t>
      </w:r>
    </w:p>
    <w:p w14:paraId="621675E4"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5 </w:t>
      </w:r>
      <w:r w:rsidRPr="00565259">
        <w:rPr>
          <w:rFonts w:ascii="Book Antiqua" w:hAnsi="Book Antiqua"/>
          <w:b/>
          <w:sz w:val="24"/>
          <w:szCs w:val="24"/>
        </w:rPr>
        <w:t>Kurar L</w:t>
      </w:r>
      <w:r w:rsidRPr="00565259">
        <w:rPr>
          <w:rFonts w:ascii="Book Antiqua" w:hAnsi="Book Antiqua"/>
          <w:sz w:val="24"/>
          <w:szCs w:val="24"/>
        </w:rPr>
        <w:t xml:space="preserve">. Clinical audit of ankle fracture management in the elderly. </w:t>
      </w:r>
      <w:r w:rsidRPr="00565259">
        <w:rPr>
          <w:rFonts w:ascii="Book Antiqua" w:hAnsi="Book Antiqua"/>
          <w:i/>
          <w:sz w:val="24"/>
          <w:szCs w:val="24"/>
        </w:rPr>
        <w:t>Ann Med Surg (Lond)</w:t>
      </w:r>
      <w:r w:rsidRPr="00565259">
        <w:rPr>
          <w:rFonts w:ascii="Book Antiqua" w:hAnsi="Book Antiqua"/>
          <w:sz w:val="24"/>
          <w:szCs w:val="24"/>
        </w:rPr>
        <w:t xml:space="preserve"> 2016; </w:t>
      </w:r>
      <w:r w:rsidRPr="00565259">
        <w:rPr>
          <w:rFonts w:ascii="Book Antiqua" w:hAnsi="Book Antiqua"/>
          <w:b/>
          <w:sz w:val="24"/>
          <w:szCs w:val="24"/>
        </w:rPr>
        <w:t>6</w:t>
      </w:r>
      <w:r w:rsidRPr="00565259">
        <w:rPr>
          <w:rFonts w:ascii="Book Antiqua" w:hAnsi="Book Antiqua"/>
          <w:sz w:val="24"/>
          <w:szCs w:val="24"/>
        </w:rPr>
        <w:t>: 96-101 [PMID: 26981239 DOI: 10.1016/j.amsu.2015.12.061]</w:t>
      </w:r>
    </w:p>
    <w:p w14:paraId="12B59FD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6 </w:t>
      </w:r>
      <w:r w:rsidRPr="00565259">
        <w:rPr>
          <w:rFonts w:ascii="Book Antiqua" w:hAnsi="Book Antiqua"/>
          <w:b/>
          <w:sz w:val="24"/>
          <w:szCs w:val="24"/>
        </w:rPr>
        <w:t>Pidhorz L</w:t>
      </w:r>
      <w:r w:rsidRPr="00565259">
        <w:rPr>
          <w:rFonts w:ascii="Book Antiqua" w:hAnsi="Book Antiqua"/>
          <w:sz w:val="24"/>
          <w:szCs w:val="24"/>
        </w:rPr>
        <w:t xml:space="preserve">, Alligand-Perrin P, De Keating E, Fabre T, Mansat P; Société française de chirurgie orthopédique et traumatologie (SoFCOT). Distal humerus fracture in the elderly: does conservative treatment still have a role? </w:t>
      </w:r>
      <w:r w:rsidRPr="00565259">
        <w:rPr>
          <w:rFonts w:ascii="Book Antiqua" w:hAnsi="Book Antiqua"/>
          <w:i/>
          <w:sz w:val="24"/>
          <w:szCs w:val="24"/>
        </w:rPr>
        <w:t>Orthop Traumatol Surg Res</w:t>
      </w:r>
      <w:r w:rsidRPr="00565259">
        <w:rPr>
          <w:rFonts w:ascii="Book Antiqua" w:hAnsi="Book Antiqua"/>
          <w:sz w:val="24"/>
          <w:szCs w:val="24"/>
        </w:rPr>
        <w:t xml:space="preserve"> 2013; </w:t>
      </w:r>
      <w:r w:rsidRPr="00565259">
        <w:rPr>
          <w:rFonts w:ascii="Book Antiqua" w:hAnsi="Book Antiqua"/>
          <w:b/>
          <w:sz w:val="24"/>
          <w:szCs w:val="24"/>
        </w:rPr>
        <w:t>99</w:t>
      </w:r>
      <w:r w:rsidRPr="00565259">
        <w:rPr>
          <w:rFonts w:ascii="Book Antiqua" w:hAnsi="Book Antiqua"/>
          <w:sz w:val="24"/>
          <w:szCs w:val="24"/>
        </w:rPr>
        <w:t>: 903-907 [PMID: 24184203 DOI: 10.1016/j.otsr.2013.10.001]</w:t>
      </w:r>
    </w:p>
    <w:p w14:paraId="5CC0F5A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7 </w:t>
      </w:r>
      <w:r w:rsidRPr="00565259">
        <w:rPr>
          <w:rFonts w:ascii="Book Antiqua" w:hAnsi="Book Antiqua"/>
          <w:b/>
          <w:sz w:val="24"/>
          <w:szCs w:val="24"/>
        </w:rPr>
        <w:t>Crespo AM</w:t>
      </w:r>
      <w:r w:rsidRPr="00565259">
        <w:rPr>
          <w:rFonts w:ascii="Book Antiqua" w:hAnsi="Book Antiqua"/>
          <w:sz w:val="24"/>
          <w:szCs w:val="24"/>
        </w:rPr>
        <w:t xml:space="preserve">, Rautenberg AF, Siev N, Saadeh P, Egol KA. Fibulectomy, tibial shortening, and ankle arthrodesis as an alternative treatment of nonhealing wounds following open ankle fracture in compromised elderly adults. </w:t>
      </w:r>
      <w:r w:rsidRPr="00565259">
        <w:rPr>
          <w:rFonts w:ascii="Book Antiqua" w:hAnsi="Book Antiqua"/>
          <w:i/>
          <w:sz w:val="24"/>
          <w:szCs w:val="24"/>
        </w:rPr>
        <w:t>Foot Ankle Int</w:t>
      </w:r>
      <w:r w:rsidRPr="00565259">
        <w:rPr>
          <w:rFonts w:ascii="Book Antiqua" w:hAnsi="Book Antiqua"/>
          <w:sz w:val="24"/>
          <w:szCs w:val="24"/>
        </w:rPr>
        <w:t xml:space="preserve"> 2015; </w:t>
      </w:r>
      <w:r w:rsidRPr="00565259">
        <w:rPr>
          <w:rFonts w:ascii="Book Antiqua" w:hAnsi="Book Antiqua"/>
          <w:b/>
          <w:sz w:val="24"/>
          <w:szCs w:val="24"/>
        </w:rPr>
        <w:t>36</w:t>
      </w:r>
      <w:r w:rsidRPr="00565259">
        <w:rPr>
          <w:rFonts w:ascii="Book Antiqua" w:hAnsi="Book Antiqua"/>
          <w:sz w:val="24"/>
          <w:szCs w:val="24"/>
        </w:rPr>
        <w:t>: 103-107 [PMID: 25201329 DOI: 10.1177/1071100714550653]</w:t>
      </w:r>
    </w:p>
    <w:p w14:paraId="719D1AF9"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8 </w:t>
      </w:r>
      <w:r w:rsidRPr="00565259">
        <w:rPr>
          <w:rFonts w:ascii="Book Antiqua" w:hAnsi="Book Antiqua"/>
          <w:b/>
          <w:sz w:val="24"/>
          <w:szCs w:val="24"/>
        </w:rPr>
        <w:t>Hinds RM</w:t>
      </w:r>
      <w:r w:rsidRPr="00565259">
        <w:rPr>
          <w:rFonts w:ascii="Book Antiqua" w:hAnsi="Book Antiqua"/>
          <w:sz w:val="24"/>
          <w:szCs w:val="24"/>
        </w:rPr>
        <w:t xml:space="preserve">, Capo JT, Kakar S, Roberson J, Gottschalk MB. Early Complications Following Osteosynthesis of Distal Radius Fractures: A Comparison of Geriatric and Nongeriatric Cohorts. </w:t>
      </w:r>
      <w:r w:rsidRPr="00565259">
        <w:rPr>
          <w:rFonts w:ascii="Book Antiqua" w:hAnsi="Book Antiqua"/>
          <w:i/>
          <w:sz w:val="24"/>
          <w:szCs w:val="24"/>
        </w:rPr>
        <w:t>Geriatr Orthop Surg Rehabil</w:t>
      </w:r>
      <w:r w:rsidRPr="00565259">
        <w:rPr>
          <w:rFonts w:ascii="Book Antiqua" w:hAnsi="Book Antiqua"/>
          <w:sz w:val="24"/>
          <w:szCs w:val="24"/>
        </w:rPr>
        <w:t xml:space="preserve"> 2017; </w:t>
      </w:r>
      <w:r w:rsidRPr="00565259">
        <w:rPr>
          <w:rFonts w:ascii="Book Antiqua" w:hAnsi="Book Antiqua"/>
          <w:b/>
          <w:sz w:val="24"/>
          <w:szCs w:val="24"/>
        </w:rPr>
        <w:t>8</w:t>
      </w:r>
      <w:r w:rsidRPr="00565259">
        <w:rPr>
          <w:rFonts w:ascii="Book Antiqua" w:hAnsi="Book Antiqua"/>
          <w:sz w:val="24"/>
          <w:szCs w:val="24"/>
        </w:rPr>
        <w:t>: 30-33 [PMID: 28255508 DOI: 10.1177/2151458516681636]</w:t>
      </w:r>
    </w:p>
    <w:p w14:paraId="3320C6B5"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9 </w:t>
      </w:r>
      <w:r w:rsidRPr="00565259">
        <w:rPr>
          <w:rFonts w:ascii="Book Antiqua" w:hAnsi="Book Antiqua"/>
          <w:b/>
          <w:sz w:val="24"/>
          <w:szCs w:val="24"/>
        </w:rPr>
        <w:t>Kim GD</w:t>
      </w:r>
      <w:r w:rsidRPr="00565259">
        <w:rPr>
          <w:rFonts w:ascii="Book Antiqua" w:hAnsi="Book Antiqua"/>
          <w:sz w:val="24"/>
          <w:szCs w:val="24"/>
        </w:rPr>
        <w:t xml:space="preserve">, Chae SU, Cha MS. Medial malleolar insufficiency fracture of the ankle in an elderly patient with osteoporosis. </w:t>
      </w:r>
      <w:r w:rsidRPr="00565259">
        <w:rPr>
          <w:rFonts w:ascii="Book Antiqua" w:hAnsi="Book Antiqua"/>
          <w:i/>
          <w:sz w:val="24"/>
          <w:szCs w:val="24"/>
        </w:rPr>
        <w:t>J Bone Metab</w:t>
      </w:r>
      <w:r w:rsidRPr="00565259">
        <w:rPr>
          <w:rFonts w:ascii="Book Antiqua" w:hAnsi="Book Antiqua"/>
          <w:sz w:val="24"/>
          <w:szCs w:val="24"/>
        </w:rPr>
        <w:t xml:space="preserve"> 2013; </w:t>
      </w:r>
      <w:r w:rsidRPr="00565259">
        <w:rPr>
          <w:rFonts w:ascii="Book Antiqua" w:hAnsi="Book Antiqua"/>
          <w:b/>
          <w:sz w:val="24"/>
          <w:szCs w:val="24"/>
        </w:rPr>
        <w:t>20</w:t>
      </w:r>
      <w:r w:rsidRPr="00565259">
        <w:rPr>
          <w:rFonts w:ascii="Book Antiqua" w:hAnsi="Book Antiqua"/>
          <w:sz w:val="24"/>
          <w:szCs w:val="24"/>
        </w:rPr>
        <w:t>: 119-122 [PMID: 24524069 DOI: 10.11005/jbm.2013.20.2.119]</w:t>
      </w:r>
    </w:p>
    <w:p w14:paraId="0B73D829"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10 </w:t>
      </w:r>
      <w:r w:rsidRPr="00565259">
        <w:rPr>
          <w:rFonts w:ascii="Book Antiqua" w:hAnsi="Book Antiqua"/>
          <w:b/>
          <w:sz w:val="24"/>
          <w:szCs w:val="24"/>
        </w:rPr>
        <w:t>Tian W</w:t>
      </w:r>
      <w:r w:rsidRPr="00565259">
        <w:rPr>
          <w:rFonts w:ascii="Book Antiqua" w:hAnsi="Book Antiqua"/>
          <w:sz w:val="24"/>
          <w:szCs w:val="24"/>
        </w:rPr>
        <w:t xml:space="preserve">, He C, Jia J. Total elbow joint replacement for the treatment of distal humerus fracture of type c in eight elderly patients. </w:t>
      </w:r>
      <w:r w:rsidRPr="00565259">
        <w:rPr>
          <w:rFonts w:ascii="Book Antiqua" w:hAnsi="Book Antiqua"/>
          <w:i/>
          <w:sz w:val="24"/>
          <w:szCs w:val="24"/>
        </w:rPr>
        <w:t>Int J Clin Exp Med</w:t>
      </w:r>
      <w:r w:rsidRPr="00565259">
        <w:rPr>
          <w:rFonts w:ascii="Book Antiqua" w:hAnsi="Book Antiqua"/>
          <w:sz w:val="24"/>
          <w:szCs w:val="24"/>
        </w:rPr>
        <w:t xml:space="preserve"> 2015; </w:t>
      </w:r>
      <w:r w:rsidRPr="00565259">
        <w:rPr>
          <w:rFonts w:ascii="Book Antiqua" w:hAnsi="Book Antiqua"/>
          <w:b/>
          <w:sz w:val="24"/>
          <w:szCs w:val="24"/>
        </w:rPr>
        <w:t>8</w:t>
      </w:r>
      <w:r w:rsidRPr="00565259">
        <w:rPr>
          <w:rFonts w:ascii="Book Antiqua" w:hAnsi="Book Antiqua"/>
          <w:sz w:val="24"/>
          <w:szCs w:val="24"/>
        </w:rPr>
        <w:t>: 10066-10073 [PMID: 26309701]</w:t>
      </w:r>
    </w:p>
    <w:p w14:paraId="76385E87"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11 </w:t>
      </w:r>
      <w:r w:rsidRPr="00565259">
        <w:rPr>
          <w:rFonts w:ascii="Book Antiqua" w:hAnsi="Book Antiqua"/>
          <w:b/>
          <w:sz w:val="24"/>
          <w:szCs w:val="24"/>
        </w:rPr>
        <w:t>Iorio R</w:t>
      </w:r>
      <w:r w:rsidRPr="00565259">
        <w:rPr>
          <w:rFonts w:ascii="Book Antiqua" w:hAnsi="Book Antiqua"/>
          <w:sz w:val="24"/>
          <w:szCs w:val="24"/>
        </w:rPr>
        <w:t xml:space="preserve">, Healy WL, Lemos DW, Appleby D, Lucchesi CA, Saleh KJ. Displaced femoral neck fractures in the elderly: outcomes and cost effectiveness. </w:t>
      </w:r>
      <w:r w:rsidRPr="00565259">
        <w:rPr>
          <w:rFonts w:ascii="Book Antiqua" w:hAnsi="Book Antiqua"/>
          <w:i/>
          <w:sz w:val="24"/>
          <w:szCs w:val="24"/>
        </w:rPr>
        <w:t>Clin Orthop Relat Res</w:t>
      </w:r>
      <w:r w:rsidRPr="00565259">
        <w:rPr>
          <w:rFonts w:ascii="Book Antiqua" w:hAnsi="Book Antiqua"/>
          <w:sz w:val="24"/>
          <w:szCs w:val="24"/>
        </w:rPr>
        <w:t xml:space="preserve"> 2001; : 229-242 [PMID: 11210960 DOI: 10.1097/00003086-200102000-00027]</w:t>
      </w:r>
    </w:p>
    <w:p w14:paraId="6B8F65BD"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12 </w:t>
      </w:r>
      <w:r w:rsidRPr="00565259">
        <w:rPr>
          <w:rFonts w:ascii="Book Antiqua" w:hAnsi="Book Antiqua"/>
          <w:b/>
          <w:sz w:val="24"/>
          <w:szCs w:val="24"/>
        </w:rPr>
        <w:t>Kos N</w:t>
      </w:r>
      <w:r w:rsidRPr="00565259">
        <w:rPr>
          <w:rFonts w:ascii="Book Antiqua" w:hAnsi="Book Antiqua"/>
          <w:sz w:val="24"/>
          <w:szCs w:val="24"/>
        </w:rPr>
        <w:t xml:space="preserve">, Burger H, Vidmar G. Mobility and functional outcomes after femoral neck fracture surgery in elderly patients: a comparison between hemiarthroplasty and internal fixation. </w:t>
      </w:r>
      <w:r w:rsidRPr="00565259">
        <w:rPr>
          <w:rFonts w:ascii="Book Antiqua" w:hAnsi="Book Antiqua"/>
          <w:i/>
          <w:sz w:val="24"/>
          <w:szCs w:val="24"/>
        </w:rPr>
        <w:t>Disabil Rehabil</w:t>
      </w:r>
      <w:r w:rsidRPr="00565259">
        <w:rPr>
          <w:rFonts w:ascii="Book Antiqua" w:hAnsi="Book Antiqua"/>
          <w:sz w:val="24"/>
          <w:szCs w:val="24"/>
        </w:rPr>
        <w:t xml:space="preserve"> 2011; </w:t>
      </w:r>
      <w:r w:rsidRPr="00565259">
        <w:rPr>
          <w:rFonts w:ascii="Book Antiqua" w:hAnsi="Book Antiqua"/>
          <w:b/>
          <w:sz w:val="24"/>
          <w:szCs w:val="24"/>
        </w:rPr>
        <w:t>33</w:t>
      </w:r>
      <w:r w:rsidRPr="00565259">
        <w:rPr>
          <w:rFonts w:ascii="Book Antiqua" w:hAnsi="Book Antiqua"/>
          <w:sz w:val="24"/>
          <w:szCs w:val="24"/>
        </w:rPr>
        <w:t>: 2264-2271 [PMID: 21470049 DOI: 10.3109/09638288.2011.568665]</w:t>
      </w:r>
    </w:p>
    <w:p w14:paraId="773EF7D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13 </w:t>
      </w:r>
      <w:r w:rsidRPr="00565259">
        <w:rPr>
          <w:rFonts w:ascii="Book Antiqua" w:hAnsi="Book Antiqua"/>
          <w:b/>
          <w:sz w:val="24"/>
          <w:szCs w:val="24"/>
        </w:rPr>
        <w:t>Puvanesarajah V</w:t>
      </w:r>
      <w:r w:rsidRPr="00565259">
        <w:rPr>
          <w:rFonts w:ascii="Book Antiqua" w:hAnsi="Book Antiqua"/>
          <w:sz w:val="24"/>
          <w:szCs w:val="24"/>
        </w:rPr>
        <w:t xml:space="preserve">, Amin R, Qureshi R, Shafiq B, Stein B, Hassanzadeh H, Yarboro S. Outcomes following surgical management of femoral neck fractures in elderly dialysis-dependent patients. </w:t>
      </w:r>
      <w:r w:rsidRPr="00565259">
        <w:rPr>
          <w:rFonts w:ascii="Book Antiqua" w:hAnsi="Book Antiqua"/>
          <w:i/>
          <w:sz w:val="24"/>
          <w:szCs w:val="24"/>
        </w:rPr>
        <w:t>Arch Orthop Trauma Surg</w:t>
      </w:r>
      <w:r w:rsidRPr="00565259">
        <w:rPr>
          <w:rFonts w:ascii="Book Antiqua" w:hAnsi="Book Antiqua"/>
          <w:sz w:val="24"/>
          <w:szCs w:val="24"/>
        </w:rPr>
        <w:t xml:space="preserve"> 2018; </w:t>
      </w:r>
      <w:r w:rsidRPr="00565259">
        <w:rPr>
          <w:rFonts w:ascii="Book Antiqua" w:hAnsi="Book Antiqua"/>
          <w:b/>
          <w:sz w:val="24"/>
          <w:szCs w:val="24"/>
        </w:rPr>
        <w:t>138</w:t>
      </w:r>
      <w:r w:rsidRPr="00565259">
        <w:rPr>
          <w:rFonts w:ascii="Book Antiqua" w:hAnsi="Book Antiqua"/>
          <w:sz w:val="24"/>
          <w:szCs w:val="24"/>
        </w:rPr>
        <w:t>: 757-764 [PMID: 29429066 DOI: 10.1007/s00402-018-2898-9]</w:t>
      </w:r>
    </w:p>
    <w:p w14:paraId="45B81BB9"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14 </w:t>
      </w:r>
      <w:r w:rsidRPr="00565259">
        <w:rPr>
          <w:rFonts w:ascii="Book Antiqua" w:hAnsi="Book Antiqua"/>
          <w:b/>
          <w:sz w:val="24"/>
          <w:szCs w:val="24"/>
        </w:rPr>
        <w:t>Chitre A</w:t>
      </w:r>
      <w:r w:rsidRPr="00565259">
        <w:rPr>
          <w:rFonts w:ascii="Book Antiqua" w:hAnsi="Book Antiqua"/>
          <w:sz w:val="24"/>
          <w:szCs w:val="24"/>
        </w:rPr>
        <w:t xml:space="preserve">, Wynn Jones H, Shah N, Clayson A. Complications of total hip arthroplasty: periprosthetic fractures of the acetabulum. </w:t>
      </w:r>
      <w:r w:rsidRPr="00565259">
        <w:rPr>
          <w:rFonts w:ascii="Book Antiqua" w:hAnsi="Book Antiqua"/>
          <w:i/>
          <w:sz w:val="24"/>
          <w:szCs w:val="24"/>
        </w:rPr>
        <w:t>Curr Rev Musculoskelet Med</w:t>
      </w:r>
      <w:r w:rsidRPr="00565259">
        <w:rPr>
          <w:rFonts w:ascii="Book Antiqua" w:hAnsi="Book Antiqua"/>
          <w:sz w:val="24"/>
          <w:szCs w:val="24"/>
        </w:rPr>
        <w:t xml:space="preserve"> 2013; </w:t>
      </w:r>
      <w:r w:rsidRPr="00565259">
        <w:rPr>
          <w:rFonts w:ascii="Book Antiqua" w:hAnsi="Book Antiqua"/>
          <w:b/>
          <w:sz w:val="24"/>
          <w:szCs w:val="24"/>
        </w:rPr>
        <w:t>6</w:t>
      </w:r>
      <w:r w:rsidRPr="00565259">
        <w:rPr>
          <w:rFonts w:ascii="Book Antiqua" w:hAnsi="Book Antiqua"/>
          <w:sz w:val="24"/>
          <w:szCs w:val="24"/>
        </w:rPr>
        <w:t>: 357-363 [PMID: 24222553 DOI: 10.1007/s12178-013-9188-5]</w:t>
      </w:r>
    </w:p>
    <w:p w14:paraId="430C6FD5"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15 </w:t>
      </w:r>
      <w:r w:rsidRPr="00565259">
        <w:rPr>
          <w:rFonts w:ascii="Book Antiqua" w:hAnsi="Book Antiqua"/>
          <w:b/>
          <w:sz w:val="24"/>
          <w:szCs w:val="24"/>
        </w:rPr>
        <w:t>Gondalia V</w:t>
      </w:r>
      <w:r w:rsidRPr="00565259">
        <w:rPr>
          <w:rFonts w:ascii="Book Antiqua" w:hAnsi="Book Antiqua"/>
          <w:sz w:val="24"/>
          <w:szCs w:val="24"/>
        </w:rPr>
        <w:t xml:space="preserve">, Choi DH, Lee SC, Nam CH, Hwang BH, Ahn HS, Ong AC, Park HY, Jung KA. Periprosthetic supracondylar femoral fractures following total knee arthroplasty: clinical comparison and related complications of the femur plate system and retrograde-inserted supracondylar nail. </w:t>
      </w:r>
      <w:r w:rsidRPr="00565259">
        <w:rPr>
          <w:rFonts w:ascii="Book Antiqua" w:hAnsi="Book Antiqua"/>
          <w:i/>
          <w:sz w:val="24"/>
          <w:szCs w:val="24"/>
        </w:rPr>
        <w:t>J Orthop Traumatol</w:t>
      </w:r>
      <w:r w:rsidRPr="00565259">
        <w:rPr>
          <w:rFonts w:ascii="Book Antiqua" w:hAnsi="Book Antiqua"/>
          <w:sz w:val="24"/>
          <w:szCs w:val="24"/>
        </w:rPr>
        <w:t xml:space="preserve"> 2014; </w:t>
      </w:r>
      <w:r w:rsidRPr="00565259">
        <w:rPr>
          <w:rFonts w:ascii="Book Antiqua" w:hAnsi="Book Antiqua"/>
          <w:b/>
          <w:sz w:val="24"/>
          <w:szCs w:val="24"/>
        </w:rPr>
        <w:t>15</w:t>
      </w:r>
      <w:r w:rsidRPr="00565259">
        <w:rPr>
          <w:rFonts w:ascii="Book Antiqua" w:hAnsi="Book Antiqua"/>
          <w:sz w:val="24"/>
          <w:szCs w:val="24"/>
        </w:rPr>
        <w:t>: 201-207 [PMID: 24687558 DOI: 10.1007/s10195-014-0287-x]</w:t>
      </w:r>
    </w:p>
    <w:p w14:paraId="4F2B203C"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16 </w:t>
      </w:r>
      <w:r w:rsidRPr="00565259">
        <w:rPr>
          <w:rFonts w:ascii="Book Antiqua" w:hAnsi="Book Antiqua"/>
          <w:b/>
          <w:sz w:val="24"/>
          <w:szCs w:val="24"/>
        </w:rPr>
        <w:t>Zuurmond RG</w:t>
      </w:r>
      <w:r w:rsidRPr="00565259">
        <w:rPr>
          <w:rFonts w:ascii="Book Antiqua" w:hAnsi="Book Antiqua"/>
          <w:sz w:val="24"/>
          <w:szCs w:val="24"/>
        </w:rPr>
        <w:t xml:space="preserve">, van Wijhe W, van Raay JJ, Bulstra SK. High incidence of complications and poor clinical outcome in the operative treatment of periprosthetic femoral fractures: An analysis of 71 cases. </w:t>
      </w:r>
      <w:r w:rsidRPr="00565259">
        <w:rPr>
          <w:rFonts w:ascii="Book Antiqua" w:hAnsi="Book Antiqua"/>
          <w:i/>
          <w:sz w:val="24"/>
          <w:szCs w:val="24"/>
        </w:rPr>
        <w:t>Injury</w:t>
      </w:r>
      <w:r w:rsidRPr="00565259">
        <w:rPr>
          <w:rFonts w:ascii="Book Antiqua" w:hAnsi="Book Antiqua"/>
          <w:sz w:val="24"/>
          <w:szCs w:val="24"/>
        </w:rPr>
        <w:t xml:space="preserve"> 2010; </w:t>
      </w:r>
      <w:r w:rsidRPr="00565259">
        <w:rPr>
          <w:rFonts w:ascii="Book Antiqua" w:hAnsi="Book Antiqua"/>
          <w:b/>
          <w:sz w:val="24"/>
          <w:szCs w:val="24"/>
        </w:rPr>
        <w:t>41</w:t>
      </w:r>
      <w:r w:rsidRPr="00565259">
        <w:rPr>
          <w:rFonts w:ascii="Book Antiqua" w:hAnsi="Book Antiqua"/>
          <w:sz w:val="24"/>
          <w:szCs w:val="24"/>
        </w:rPr>
        <w:t>: 629-633 [PMID: 20236641 DOI: 10.1016/j.injury.2010.01.102]</w:t>
      </w:r>
    </w:p>
    <w:p w14:paraId="4480802E"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17 </w:t>
      </w:r>
      <w:r w:rsidRPr="00565259">
        <w:rPr>
          <w:rFonts w:ascii="Book Antiqua" w:hAnsi="Book Antiqua"/>
          <w:b/>
          <w:sz w:val="24"/>
          <w:szCs w:val="24"/>
        </w:rPr>
        <w:t>Wang X</w:t>
      </w:r>
      <w:r w:rsidRPr="00565259">
        <w:rPr>
          <w:rFonts w:ascii="Book Antiqua" w:hAnsi="Book Antiqua"/>
          <w:sz w:val="24"/>
          <w:szCs w:val="24"/>
        </w:rPr>
        <w:t xml:space="preserve">, Wang Y, Gou W, Lu Q, Peng J, Lu S. Role of mesenchymal stem cells in bone regeneration and fracture repair: a review. </w:t>
      </w:r>
      <w:r w:rsidRPr="00565259">
        <w:rPr>
          <w:rFonts w:ascii="Book Antiqua" w:hAnsi="Book Antiqua"/>
          <w:i/>
          <w:sz w:val="24"/>
          <w:szCs w:val="24"/>
        </w:rPr>
        <w:t>Int Orthop</w:t>
      </w:r>
      <w:r w:rsidRPr="00565259">
        <w:rPr>
          <w:rFonts w:ascii="Book Antiqua" w:hAnsi="Book Antiqua"/>
          <w:sz w:val="24"/>
          <w:szCs w:val="24"/>
        </w:rPr>
        <w:t xml:space="preserve"> 2013; </w:t>
      </w:r>
      <w:r w:rsidRPr="00565259">
        <w:rPr>
          <w:rFonts w:ascii="Book Antiqua" w:hAnsi="Book Antiqua"/>
          <w:b/>
          <w:sz w:val="24"/>
          <w:szCs w:val="24"/>
        </w:rPr>
        <w:t>37</w:t>
      </w:r>
      <w:r w:rsidRPr="00565259">
        <w:rPr>
          <w:rFonts w:ascii="Book Antiqua" w:hAnsi="Book Antiqua"/>
          <w:sz w:val="24"/>
          <w:szCs w:val="24"/>
        </w:rPr>
        <w:t>: 2491-2498 [PMID: 23948983 DOI: 10.1007/s00264-013-2059-2]</w:t>
      </w:r>
    </w:p>
    <w:p w14:paraId="10C22B2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18 </w:t>
      </w:r>
      <w:r w:rsidRPr="00565259">
        <w:rPr>
          <w:rFonts w:ascii="Book Antiqua" w:hAnsi="Book Antiqua"/>
          <w:b/>
          <w:sz w:val="24"/>
          <w:szCs w:val="24"/>
        </w:rPr>
        <w:t>Gibon E</w:t>
      </w:r>
      <w:r w:rsidRPr="00565259">
        <w:rPr>
          <w:rFonts w:ascii="Book Antiqua" w:hAnsi="Book Antiqua"/>
          <w:sz w:val="24"/>
          <w:szCs w:val="24"/>
        </w:rPr>
        <w:t xml:space="preserve">, Lu L, Goodman SB. Aging, inflammation, stem cells, and bone healing. </w:t>
      </w:r>
      <w:r w:rsidRPr="00565259">
        <w:rPr>
          <w:rFonts w:ascii="Book Antiqua" w:hAnsi="Book Antiqua"/>
          <w:i/>
          <w:sz w:val="24"/>
          <w:szCs w:val="24"/>
        </w:rPr>
        <w:t>Stem Cell Res Ther</w:t>
      </w:r>
      <w:r w:rsidRPr="00565259">
        <w:rPr>
          <w:rFonts w:ascii="Book Antiqua" w:hAnsi="Book Antiqua"/>
          <w:sz w:val="24"/>
          <w:szCs w:val="24"/>
        </w:rPr>
        <w:t xml:space="preserve"> 2016; </w:t>
      </w:r>
      <w:r w:rsidRPr="00565259">
        <w:rPr>
          <w:rFonts w:ascii="Book Antiqua" w:hAnsi="Book Antiqua"/>
          <w:b/>
          <w:sz w:val="24"/>
          <w:szCs w:val="24"/>
        </w:rPr>
        <w:t>7</w:t>
      </w:r>
      <w:r w:rsidRPr="00565259">
        <w:rPr>
          <w:rFonts w:ascii="Book Antiqua" w:hAnsi="Book Antiqua"/>
          <w:sz w:val="24"/>
          <w:szCs w:val="24"/>
        </w:rPr>
        <w:t>: 44 [PMID: 27006071 DOI: 10.1186/s13287-016-0300-9]</w:t>
      </w:r>
    </w:p>
    <w:p w14:paraId="03FDFA65"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19 </w:t>
      </w:r>
      <w:r w:rsidRPr="00565259">
        <w:rPr>
          <w:rFonts w:ascii="Book Antiqua" w:hAnsi="Book Antiqua"/>
          <w:b/>
          <w:sz w:val="24"/>
          <w:szCs w:val="24"/>
        </w:rPr>
        <w:t>Liu H</w:t>
      </w:r>
      <w:r w:rsidRPr="00565259">
        <w:rPr>
          <w:rFonts w:ascii="Book Antiqua" w:hAnsi="Book Antiqua"/>
          <w:sz w:val="24"/>
          <w:szCs w:val="24"/>
        </w:rPr>
        <w:t xml:space="preserve">, Xia X, Li B. Mesenchymal stem cell aging: Mechanisms and influences on skeletal and non-skeletal tissues. </w:t>
      </w:r>
      <w:r w:rsidRPr="00565259">
        <w:rPr>
          <w:rFonts w:ascii="Book Antiqua" w:hAnsi="Book Antiqua"/>
          <w:i/>
          <w:sz w:val="24"/>
          <w:szCs w:val="24"/>
        </w:rPr>
        <w:t>Exp Biol Med (Maywood)</w:t>
      </w:r>
      <w:r w:rsidRPr="00565259">
        <w:rPr>
          <w:rFonts w:ascii="Book Antiqua" w:hAnsi="Book Antiqua"/>
          <w:sz w:val="24"/>
          <w:szCs w:val="24"/>
        </w:rPr>
        <w:t xml:space="preserve"> 2015; </w:t>
      </w:r>
      <w:r w:rsidRPr="00565259">
        <w:rPr>
          <w:rFonts w:ascii="Book Antiqua" w:hAnsi="Book Antiqua"/>
          <w:b/>
          <w:sz w:val="24"/>
          <w:szCs w:val="24"/>
        </w:rPr>
        <w:t>240</w:t>
      </w:r>
      <w:r w:rsidRPr="00565259">
        <w:rPr>
          <w:rFonts w:ascii="Book Antiqua" w:hAnsi="Book Antiqua"/>
          <w:sz w:val="24"/>
          <w:szCs w:val="24"/>
        </w:rPr>
        <w:t>: 1099-1106 [PMID: 26088863 DOI: 10.1177/1535370215591828]</w:t>
      </w:r>
    </w:p>
    <w:p w14:paraId="417BA0E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20 </w:t>
      </w:r>
      <w:r w:rsidRPr="00565259">
        <w:rPr>
          <w:rFonts w:ascii="Book Antiqua" w:hAnsi="Book Antiqua"/>
          <w:b/>
          <w:sz w:val="24"/>
          <w:szCs w:val="24"/>
        </w:rPr>
        <w:t>Hadjiargyrou M</w:t>
      </w:r>
      <w:r w:rsidRPr="00565259">
        <w:rPr>
          <w:rFonts w:ascii="Book Antiqua" w:hAnsi="Book Antiqua"/>
          <w:sz w:val="24"/>
          <w:szCs w:val="24"/>
        </w:rPr>
        <w:t xml:space="preserve">, O'Keefe RJ. The convergence of fracture repair and stem cells: interplay of genes, aging, environmental factors and disease. </w:t>
      </w:r>
      <w:r w:rsidRPr="00565259">
        <w:rPr>
          <w:rFonts w:ascii="Book Antiqua" w:hAnsi="Book Antiqua"/>
          <w:i/>
          <w:sz w:val="24"/>
          <w:szCs w:val="24"/>
        </w:rPr>
        <w:t>J Bone Miner Res</w:t>
      </w:r>
      <w:r w:rsidRPr="00565259">
        <w:rPr>
          <w:rFonts w:ascii="Book Antiqua" w:hAnsi="Book Antiqua"/>
          <w:sz w:val="24"/>
          <w:szCs w:val="24"/>
        </w:rPr>
        <w:t xml:space="preserve"> 2014; </w:t>
      </w:r>
      <w:r w:rsidRPr="00565259">
        <w:rPr>
          <w:rFonts w:ascii="Book Antiqua" w:hAnsi="Book Antiqua"/>
          <w:b/>
          <w:sz w:val="24"/>
          <w:szCs w:val="24"/>
        </w:rPr>
        <w:t>29</w:t>
      </w:r>
      <w:r w:rsidRPr="00565259">
        <w:rPr>
          <w:rFonts w:ascii="Book Antiqua" w:hAnsi="Book Antiqua"/>
          <w:sz w:val="24"/>
          <w:szCs w:val="24"/>
        </w:rPr>
        <w:t>: 2307-2322 [PMID: 25264148 DOI: 10.1002/jbmr.2373]</w:t>
      </w:r>
    </w:p>
    <w:p w14:paraId="3ED877D7"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21 </w:t>
      </w:r>
      <w:r w:rsidRPr="00565259">
        <w:rPr>
          <w:rFonts w:ascii="Book Antiqua" w:hAnsi="Book Antiqua"/>
          <w:b/>
          <w:sz w:val="24"/>
          <w:szCs w:val="24"/>
        </w:rPr>
        <w:t>Wang T</w:t>
      </w:r>
      <w:r w:rsidRPr="00565259">
        <w:rPr>
          <w:rFonts w:ascii="Book Antiqua" w:hAnsi="Book Antiqua"/>
          <w:sz w:val="24"/>
          <w:szCs w:val="24"/>
        </w:rPr>
        <w:t xml:space="preserve">, Zhang X, Bikle DD. Osteogenic Differentiation of Periosteal Cells During Fracture Healing. </w:t>
      </w:r>
      <w:r w:rsidRPr="00565259">
        <w:rPr>
          <w:rFonts w:ascii="Book Antiqua" w:hAnsi="Book Antiqua"/>
          <w:i/>
          <w:sz w:val="24"/>
          <w:szCs w:val="24"/>
        </w:rPr>
        <w:t>J Cell Physiol</w:t>
      </w:r>
      <w:r w:rsidRPr="00565259">
        <w:rPr>
          <w:rFonts w:ascii="Book Antiqua" w:hAnsi="Book Antiqua"/>
          <w:sz w:val="24"/>
          <w:szCs w:val="24"/>
        </w:rPr>
        <w:t xml:space="preserve"> 2017; </w:t>
      </w:r>
      <w:r w:rsidRPr="00565259">
        <w:rPr>
          <w:rFonts w:ascii="Book Antiqua" w:hAnsi="Book Antiqua"/>
          <w:b/>
          <w:sz w:val="24"/>
          <w:szCs w:val="24"/>
        </w:rPr>
        <w:t>232</w:t>
      </w:r>
      <w:r w:rsidRPr="00565259">
        <w:rPr>
          <w:rFonts w:ascii="Book Antiqua" w:hAnsi="Book Antiqua"/>
          <w:sz w:val="24"/>
          <w:szCs w:val="24"/>
        </w:rPr>
        <w:t>: 913-921 [PMID: 27731505 DOI: 10.1002/jcp.25641]</w:t>
      </w:r>
    </w:p>
    <w:p w14:paraId="117A363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22 </w:t>
      </w:r>
      <w:r w:rsidRPr="00565259">
        <w:rPr>
          <w:rFonts w:ascii="Book Antiqua" w:hAnsi="Book Antiqua"/>
          <w:b/>
          <w:sz w:val="24"/>
          <w:szCs w:val="24"/>
        </w:rPr>
        <w:t>Street J</w:t>
      </w:r>
      <w:r w:rsidRPr="00565259">
        <w:rPr>
          <w:rFonts w:ascii="Book Antiqua" w:hAnsi="Book Antiqua"/>
          <w:sz w:val="24"/>
          <w:szCs w:val="24"/>
        </w:rPr>
        <w:t xml:space="preserve">, Bao M, deGuzman L, Bunting S, Peale FV Jr, Ferrara N, Steinmetz H, Hoeffel J, Cleland JL, Daugherty A, van Bruggen N, Redmond HP, Carano RA, Filvaroff EH. Vascular endothelial growth factor stimulates bone repair by promoting angiogenesis and bone turnover. </w:t>
      </w:r>
      <w:r w:rsidRPr="00565259">
        <w:rPr>
          <w:rFonts w:ascii="Book Antiqua" w:hAnsi="Book Antiqua"/>
          <w:i/>
          <w:sz w:val="24"/>
          <w:szCs w:val="24"/>
        </w:rPr>
        <w:t>Proc Natl Acad Sci U S A</w:t>
      </w:r>
      <w:r w:rsidRPr="00565259">
        <w:rPr>
          <w:rFonts w:ascii="Book Antiqua" w:hAnsi="Book Antiqua"/>
          <w:sz w:val="24"/>
          <w:szCs w:val="24"/>
        </w:rPr>
        <w:t xml:space="preserve"> 2002; </w:t>
      </w:r>
      <w:r w:rsidRPr="00565259">
        <w:rPr>
          <w:rFonts w:ascii="Book Antiqua" w:hAnsi="Book Antiqua"/>
          <w:b/>
          <w:sz w:val="24"/>
          <w:szCs w:val="24"/>
        </w:rPr>
        <w:t>99</w:t>
      </w:r>
      <w:r w:rsidRPr="00565259">
        <w:rPr>
          <w:rFonts w:ascii="Book Antiqua" w:hAnsi="Book Antiqua"/>
          <w:sz w:val="24"/>
          <w:szCs w:val="24"/>
        </w:rPr>
        <w:t>: 9656-9661 [PMID: 12118119 DOI: 10.1073/pnas.152324099]</w:t>
      </w:r>
    </w:p>
    <w:p w14:paraId="187FB8C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23 </w:t>
      </w:r>
      <w:r w:rsidRPr="00565259">
        <w:rPr>
          <w:rFonts w:ascii="Book Antiqua" w:hAnsi="Book Antiqua"/>
          <w:b/>
          <w:sz w:val="24"/>
          <w:szCs w:val="24"/>
        </w:rPr>
        <w:t>Hausman MR</w:t>
      </w:r>
      <w:r w:rsidRPr="00565259">
        <w:rPr>
          <w:rFonts w:ascii="Book Antiqua" w:hAnsi="Book Antiqua"/>
          <w:sz w:val="24"/>
          <w:szCs w:val="24"/>
        </w:rPr>
        <w:t xml:space="preserve">, Schaffler MB, Majeska RJ. Prevention of fracture healing in rats by an inhibitor of angiogenesis. </w:t>
      </w:r>
      <w:r w:rsidRPr="00565259">
        <w:rPr>
          <w:rFonts w:ascii="Book Antiqua" w:hAnsi="Book Antiqua"/>
          <w:i/>
          <w:sz w:val="24"/>
          <w:szCs w:val="24"/>
        </w:rPr>
        <w:t>Bone</w:t>
      </w:r>
      <w:r w:rsidRPr="00565259">
        <w:rPr>
          <w:rFonts w:ascii="Book Antiqua" w:hAnsi="Book Antiqua"/>
          <w:sz w:val="24"/>
          <w:szCs w:val="24"/>
        </w:rPr>
        <w:t xml:space="preserve"> 2001; </w:t>
      </w:r>
      <w:r w:rsidRPr="00565259">
        <w:rPr>
          <w:rFonts w:ascii="Book Antiqua" w:hAnsi="Book Antiqua"/>
          <w:b/>
          <w:sz w:val="24"/>
          <w:szCs w:val="24"/>
        </w:rPr>
        <w:t>29</w:t>
      </w:r>
      <w:r w:rsidRPr="00565259">
        <w:rPr>
          <w:rFonts w:ascii="Book Antiqua" w:hAnsi="Book Antiqua"/>
          <w:sz w:val="24"/>
          <w:szCs w:val="24"/>
        </w:rPr>
        <w:t>: 560-564 [PMID: 11728927 DOI: 10.1016/S8756-3282(01)00608-1]</w:t>
      </w:r>
    </w:p>
    <w:p w14:paraId="76E04C0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24 </w:t>
      </w:r>
      <w:r w:rsidRPr="00565259">
        <w:rPr>
          <w:rFonts w:ascii="Book Antiqua" w:hAnsi="Book Antiqua"/>
          <w:b/>
          <w:sz w:val="24"/>
          <w:szCs w:val="24"/>
        </w:rPr>
        <w:t>Foulke BA</w:t>
      </w:r>
      <w:r w:rsidRPr="00565259">
        <w:rPr>
          <w:rFonts w:ascii="Book Antiqua" w:hAnsi="Book Antiqua"/>
          <w:sz w:val="24"/>
          <w:szCs w:val="24"/>
        </w:rPr>
        <w:t xml:space="preserve">, Kendal AR, Murray DW, Pandit H. Fracture healing in the elderly: A review. </w:t>
      </w:r>
      <w:r w:rsidRPr="00565259">
        <w:rPr>
          <w:rFonts w:ascii="Book Antiqua" w:hAnsi="Book Antiqua"/>
          <w:i/>
          <w:sz w:val="24"/>
          <w:szCs w:val="24"/>
        </w:rPr>
        <w:t>Maturitas</w:t>
      </w:r>
      <w:r w:rsidRPr="00565259">
        <w:rPr>
          <w:rFonts w:ascii="Book Antiqua" w:hAnsi="Book Antiqua"/>
          <w:sz w:val="24"/>
          <w:szCs w:val="24"/>
        </w:rPr>
        <w:t xml:space="preserve"> 2016; </w:t>
      </w:r>
      <w:r w:rsidRPr="00565259">
        <w:rPr>
          <w:rFonts w:ascii="Book Antiqua" w:hAnsi="Book Antiqua"/>
          <w:b/>
          <w:sz w:val="24"/>
          <w:szCs w:val="24"/>
        </w:rPr>
        <w:t>92</w:t>
      </w:r>
      <w:r w:rsidRPr="00565259">
        <w:rPr>
          <w:rFonts w:ascii="Book Antiqua" w:hAnsi="Book Antiqua"/>
          <w:sz w:val="24"/>
          <w:szCs w:val="24"/>
        </w:rPr>
        <w:t>: 49-55 [PMID: 27621238 DOI: 10.1016/j.maturitas.2016.07.014]</w:t>
      </w:r>
    </w:p>
    <w:p w14:paraId="15D0DEE4"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25 </w:t>
      </w:r>
      <w:r w:rsidRPr="00565259">
        <w:rPr>
          <w:rFonts w:ascii="Book Antiqua" w:hAnsi="Book Antiqua"/>
          <w:b/>
          <w:sz w:val="24"/>
          <w:szCs w:val="24"/>
        </w:rPr>
        <w:t>Gruber R</w:t>
      </w:r>
      <w:r w:rsidRPr="00565259">
        <w:rPr>
          <w:rFonts w:ascii="Book Antiqua" w:hAnsi="Book Antiqua"/>
          <w:sz w:val="24"/>
          <w:szCs w:val="24"/>
        </w:rPr>
        <w:t xml:space="preserve">, Koch H, Doll BA, Tegtmeier F, Einhorn TA, Hollinger JO. Fracture healing in the elderly patient. </w:t>
      </w:r>
      <w:r w:rsidRPr="00565259">
        <w:rPr>
          <w:rFonts w:ascii="Book Antiqua" w:hAnsi="Book Antiqua"/>
          <w:i/>
          <w:sz w:val="24"/>
          <w:szCs w:val="24"/>
        </w:rPr>
        <w:t>Exp Gerontol</w:t>
      </w:r>
      <w:r w:rsidRPr="00565259">
        <w:rPr>
          <w:rFonts w:ascii="Book Antiqua" w:hAnsi="Book Antiqua"/>
          <w:sz w:val="24"/>
          <w:szCs w:val="24"/>
        </w:rPr>
        <w:t xml:space="preserve"> 2006; </w:t>
      </w:r>
      <w:r w:rsidRPr="00565259">
        <w:rPr>
          <w:rFonts w:ascii="Book Antiqua" w:hAnsi="Book Antiqua"/>
          <w:b/>
          <w:sz w:val="24"/>
          <w:szCs w:val="24"/>
        </w:rPr>
        <w:t>41</w:t>
      </w:r>
      <w:r w:rsidRPr="00565259">
        <w:rPr>
          <w:rFonts w:ascii="Book Antiqua" w:hAnsi="Book Antiqua"/>
          <w:sz w:val="24"/>
          <w:szCs w:val="24"/>
        </w:rPr>
        <w:t>: 1080-1093 [PMID: 17092679 DOI: 10.1016/j.exger.2006.09.008]</w:t>
      </w:r>
    </w:p>
    <w:p w14:paraId="0903958B"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26 </w:t>
      </w:r>
      <w:r w:rsidRPr="00565259">
        <w:rPr>
          <w:rFonts w:ascii="Book Antiqua" w:hAnsi="Book Antiqua"/>
          <w:b/>
          <w:sz w:val="24"/>
          <w:szCs w:val="24"/>
        </w:rPr>
        <w:t>Huntjens KM</w:t>
      </w:r>
      <w:r w:rsidRPr="00565259">
        <w:rPr>
          <w:rFonts w:ascii="Book Antiqua" w:hAnsi="Book Antiqua"/>
          <w:sz w:val="24"/>
          <w:szCs w:val="24"/>
        </w:rPr>
        <w:t xml:space="preserve">, Kosar S, van Geel TA, Geusens PP, Willems P, Kessels A, Winkens B, Brink P, van Helden S. Risk of subsequent fracture and mortality within 5 years after a non-vertebral fracture. </w:t>
      </w:r>
      <w:r w:rsidRPr="00565259">
        <w:rPr>
          <w:rFonts w:ascii="Book Antiqua" w:hAnsi="Book Antiqua"/>
          <w:i/>
          <w:sz w:val="24"/>
          <w:szCs w:val="24"/>
        </w:rPr>
        <w:t>Osteoporos Int</w:t>
      </w:r>
      <w:r w:rsidRPr="00565259">
        <w:rPr>
          <w:rFonts w:ascii="Book Antiqua" w:hAnsi="Book Antiqua"/>
          <w:sz w:val="24"/>
          <w:szCs w:val="24"/>
        </w:rPr>
        <w:t xml:space="preserve"> 2010; </w:t>
      </w:r>
      <w:r w:rsidRPr="00565259">
        <w:rPr>
          <w:rFonts w:ascii="Book Antiqua" w:hAnsi="Book Antiqua"/>
          <w:b/>
          <w:sz w:val="24"/>
          <w:szCs w:val="24"/>
        </w:rPr>
        <w:t>21</w:t>
      </w:r>
      <w:r w:rsidRPr="00565259">
        <w:rPr>
          <w:rFonts w:ascii="Book Antiqua" w:hAnsi="Book Antiqua"/>
          <w:sz w:val="24"/>
          <w:szCs w:val="24"/>
        </w:rPr>
        <w:t>: 2075-2082 [PMID: 20162259 DOI: 10.1007/s00198-010-1178-5]</w:t>
      </w:r>
    </w:p>
    <w:p w14:paraId="698C984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27 </w:t>
      </w:r>
      <w:r w:rsidRPr="00565259">
        <w:rPr>
          <w:rFonts w:ascii="Book Antiqua" w:hAnsi="Book Antiqua"/>
          <w:b/>
          <w:sz w:val="24"/>
          <w:szCs w:val="24"/>
        </w:rPr>
        <w:t>Kim DH</w:t>
      </w:r>
      <w:r w:rsidRPr="00565259">
        <w:rPr>
          <w:rFonts w:ascii="Book Antiqua" w:hAnsi="Book Antiqua"/>
          <w:sz w:val="24"/>
          <w:szCs w:val="24"/>
        </w:rPr>
        <w:t xml:space="preserve">, Vaccaro AR. Osteoporotic compression fractures of the spine; current options and considerations for treatment. </w:t>
      </w:r>
      <w:r w:rsidRPr="00565259">
        <w:rPr>
          <w:rFonts w:ascii="Book Antiqua" w:hAnsi="Book Antiqua"/>
          <w:i/>
          <w:sz w:val="24"/>
          <w:szCs w:val="24"/>
        </w:rPr>
        <w:t>Spine J</w:t>
      </w:r>
      <w:r w:rsidRPr="00565259">
        <w:rPr>
          <w:rFonts w:ascii="Book Antiqua" w:hAnsi="Book Antiqua"/>
          <w:sz w:val="24"/>
          <w:szCs w:val="24"/>
        </w:rPr>
        <w:t xml:space="preserve"> 2006; </w:t>
      </w:r>
      <w:r w:rsidRPr="00565259">
        <w:rPr>
          <w:rFonts w:ascii="Book Antiqua" w:hAnsi="Book Antiqua"/>
          <w:b/>
          <w:sz w:val="24"/>
          <w:szCs w:val="24"/>
        </w:rPr>
        <w:t>6</w:t>
      </w:r>
      <w:r w:rsidRPr="00565259">
        <w:rPr>
          <w:rFonts w:ascii="Book Antiqua" w:hAnsi="Book Antiqua"/>
          <w:sz w:val="24"/>
          <w:szCs w:val="24"/>
        </w:rPr>
        <w:t>: 479-487 [PMID: 16934715 DOI: 10.1016/j.spinee.2006.04.013]</w:t>
      </w:r>
    </w:p>
    <w:p w14:paraId="51BA26F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28 </w:t>
      </w:r>
      <w:r w:rsidRPr="00565259">
        <w:rPr>
          <w:rFonts w:ascii="Book Antiqua" w:hAnsi="Book Antiqua"/>
          <w:b/>
          <w:sz w:val="24"/>
          <w:szCs w:val="24"/>
        </w:rPr>
        <w:t>Lau E</w:t>
      </w:r>
      <w:r w:rsidRPr="00565259">
        <w:rPr>
          <w:rFonts w:ascii="Book Antiqua" w:hAnsi="Book Antiqua"/>
          <w:sz w:val="24"/>
          <w:szCs w:val="24"/>
        </w:rPr>
        <w:t xml:space="preserve">, Ong K, Kurtz S, Schmier J, Edidin A. Mortality following the diagnosis of a vertebral compression fracture in the Medicare population. </w:t>
      </w:r>
      <w:r w:rsidRPr="00565259">
        <w:rPr>
          <w:rFonts w:ascii="Book Antiqua" w:hAnsi="Book Antiqua"/>
          <w:i/>
          <w:sz w:val="24"/>
          <w:szCs w:val="24"/>
        </w:rPr>
        <w:t>J Bone Joint Surg Am</w:t>
      </w:r>
      <w:r w:rsidRPr="00565259">
        <w:rPr>
          <w:rFonts w:ascii="Book Antiqua" w:hAnsi="Book Antiqua"/>
          <w:sz w:val="24"/>
          <w:szCs w:val="24"/>
        </w:rPr>
        <w:t xml:space="preserve"> 2008; </w:t>
      </w:r>
      <w:r w:rsidRPr="00565259">
        <w:rPr>
          <w:rFonts w:ascii="Book Antiqua" w:hAnsi="Book Antiqua"/>
          <w:b/>
          <w:sz w:val="24"/>
          <w:szCs w:val="24"/>
        </w:rPr>
        <w:t>90</w:t>
      </w:r>
      <w:r w:rsidRPr="00565259">
        <w:rPr>
          <w:rFonts w:ascii="Book Antiqua" w:hAnsi="Book Antiqua"/>
          <w:sz w:val="24"/>
          <w:szCs w:val="24"/>
        </w:rPr>
        <w:t>: 1479-1486 [PMID: 18594096 DOI: 10.2106/JBJS.G.00675]</w:t>
      </w:r>
    </w:p>
    <w:p w14:paraId="6D75CFC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29 </w:t>
      </w:r>
      <w:r w:rsidRPr="00565259">
        <w:rPr>
          <w:rFonts w:ascii="Book Antiqua" w:hAnsi="Book Antiqua"/>
          <w:b/>
          <w:sz w:val="24"/>
          <w:szCs w:val="24"/>
        </w:rPr>
        <w:t>Claes L</w:t>
      </w:r>
      <w:r w:rsidRPr="00565259">
        <w:rPr>
          <w:rFonts w:ascii="Book Antiqua" w:hAnsi="Book Antiqua"/>
          <w:sz w:val="24"/>
          <w:szCs w:val="24"/>
        </w:rPr>
        <w:t xml:space="preserve">, Grass R, Schmickal T, Kisse B, Eggers C, Gerngross H, Mutschler W, Arand M, Wintermeyer T, Wentzensen A. Monitoring and healing analysis of 100 tibial shaft fractures. </w:t>
      </w:r>
      <w:r w:rsidRPr="00565259">
        <w:rPr>
          <w:rFonts w:ascii="Book Antiqua" w:hAnsi="Book Antiqua"/>
          <w:i/>
          <w:sz w:val="24"/>
          <w:szCs w:val="24"/>
        </w:rPr>
        <w:t>Langenbecks Arch Surg</w:t>
      </w:r>
      <w:r w:rsidRPr="00565259">
        <w:rPr>
          <w:rFonts w:ascii="Book Antiqua" w:hAnsi="Book Antiqua"/>
          <w:sz w:val="24"/>
          <w:szCs w:val="24"/>
        </w:rPr>
        <w:t xml:space="preserve"> 2002; </w:t>
      </w:r>
      <w:r w:rsidRPr="00565259">
        <w:rPr>
          <w:rFonts w:ascii="Book Antiqua" w:hAnsi="Book Antiqua"/>
          <w:b/>
          <w:sz w:val="24"/>
          <w:szCs w:val="24"/>
        </w:rPr>
        <w:t>387</w:t>
      </w:r>
      <w:r w:rsidRPr="00565259">
        <w:rPr>
          <w:rFonts w:ascii="Book Antiqua" w:hAnsi="Book Antiqua"/>
          <w:sz w:val="24"/>
          <w:szCs w:val="24"/>
        </w:rPr>
        <w:t>: 146-152 [PMID: 12172859 DOI: 10.1007/s00423-002-0306-x]</w:t>
      </w:r>
    </w:p>
    <w:p w14:paraId="5BB0333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30 </w:t>
      </w:r>
      <w:r w:rsidRPr="00565259">
        <w:rPr>
          <w:rFonts w:ascii="Book Antiqua" w:hAnsi="Book Antiqua"/>
          <w:b/>
          <w:sz w:val="24"/>
          <w:szCs w:val="24"/>
        </w:rPr>
        <w:t>Robinson CM</w:t>
      </w:r>
      <w:r w:rsidRPr="00565259">
        <w:rPr>
          <w:rFonts w:ascii="Book Antiqua" w:hAnsi="Book Antiqua"/>
          <w:sz w:val="24"/>
          <w:szCs w:val="24"/>
        </w:rPr>
        <w:t xml:space="preserve">, Court-Brown CM, McQueen MM, Wakefield AE. Estimating the risk of nonunion following nonoperative treatment of a clavicular fracture. </w:t>
      </w:r>
      <w:r w:rsidRPr="00565259">
        <w:rPr>
          <w:rFonts w:ascii="Book Antiqua" w:hAnsi="Book Antiqua"/>
          <w:i/>
          <w:sz w:val="24"/>
          <w:szCs w:val="24"/>
        </w:rPr>
        <w:t>J Bone Joint Surg Am</w:t>
      </w:r>
      <w:r w:rsidRPr="00565259">
        <w:rPr>
          <w:rFonts w:ascii="Book Antiqua" w:hAnsi="Book Antiqua"/>
          <w:sz w:val="24"/>
          <w:szCs w:val="24"/>
        </w:rPr>
        <w:t xml:space="preserve"> 2004; </w:t>
      </w:r>
      <w:r w:rsidRPr="00565259">
        <w:rPr>
          <w:rFonts w:ascii="Book Antiqua" w:hAnsi="Book Antiqua"/>
          <w:b/>
          <w:sz w:val="24"/>
          <w:szCs w:val="24"/>
        </w:rPr>
        <w:t>86</w:t>
      </w:r>
      <w:r w:rsidRPr="00565259">
        <w:rPr>
          <w:rFonts w:ascii="Book Antiqua" w:hAnsi="Book Antiqua"/>
          <w:sz w:val="24"/>
          <w:szCs w:val="24"/>
        </w:rPr>
        <w:t>: 1359-1365 [PMID: 15252081 DOI: 10.2106/00004623-200407000-00002]</w:t>
      </w:r>
    </w:p>
    <w:p w14:paraId="11AAD5C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31 </w:t>
      </w:r>
      <w:r w:rsidRPr="00565259">
        <w:rPr>
          <w:rFonts w:ascii="Book Antiqua" w:hAnsi="Book Antiqua"/>
          <w:b/>
          <w:sz w:val="24"/>
          <w:szCs w:val="24"/>
        </w:rPr>
        <w:t>Parker MJ</w:t>
      </w:r>
      <w:r w:rsidRPr="00565259">
        <w:rPr>
          <w:rFonts w:ascii="Book Antiqua" w:hAnsi="Book Antiqua"/>
          <w:sz w:val="24"/>
          <w:szCs w:val="24"/>
        </w:rPr>
        <w:t xml:space="preserve">, Raghavan R, Gurusamy K. Incidence of fracture-healing complications after femoral neck fractures. </w:t>
      </w:r>
      <w:r w:rsidRPr="00565259">
        <w:rPr>
          <w:rFonts w:ascii="Book Antiqua" w:hAnsi="Book Antiqua"/>
          <w:i/>
          <w:sz w:val="24"/>
          <w:szCs w:val="24"/>
        </w:rPr>
        <w:t>Clin Orthop Relat Res</w:t>
      </w:r>
      <w:r w:rsidRPr="00565259">
        <w:rPr>
          <w:rFonts w:ascii="Book Antiqua" w:hAnsi="Book Antiqua"/>
          <w:sz w:val="24"/>
          <w:szCs w:val="24"/>
        </w:rPr>
        <w:t xml:space="preserve"> 2007; </w:t>
      </w:r>
      <w:r w:rsidRPr="00565259">
        <w:rPr>
          <w:rFonts w:ascii="Book Antiqua" w:hAnsi="Book Antiqua"/>
          <w:b/>
          <w:sz w:val="24"/>
          <w:szCs w:val="24"/>
        </w:rPr>
        <w:t>458</w:t>
      </w:r>
      <w:r w:rsidRPr="00565259">
        <w:rPr>
          <w:rFonts w:ascii="Book Antiqua" w:hAnsi="Book Antiqua"/>
          <w:sz w:val="24"/>
          <w:szCs w:val="24"/>
        </w:rPr>
        <w:t>: 175-179 [PMID: 17224836 DOI: 10.1097/BLO.0b013e3180325a42]</w:t>
      </w:r>
    </w:p>
    <w:p w14:paraId="61D7D74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32 </w:t>
      </w:r>
      <w:r w:rsidRPr="00565259">
        <w:rPr>
          <w:rFonts w:ascii="Book Antiqua" w:hAnsi="Book Antiqua"/>
          <w:b/>
          <w:sz w:val="24"/>
          <w:szCs w:val="24"/>
        </w:rPr>
        <w:t>Hee HT</w:t>
      </w:r>
      <w:r w:rsidRPr="00565259">
        <w:rPr>
          <w:rFonts w:ascii="Book Antiqua" w:hAnsi="Book Antiqua"/>
          <w:sz w:val="24"/>
          <w:szCs w:val="24"/>
        </w:rPr>
        <w:t xml:space="preserve">, Wong HP, Low YP, Myers L. Predictors of outcome of floating knee injuries in adults: 89 patients followed for 2-12 years. </w:t>
      </w:r>
      <w:r w:rsidRPr="00565259">
        <w:rPr>
          <w:rFonts w:ascii="Book Antiqua" w:hAnsi="Book Antiqua"/>
          <w:i/>
          <w:sz w:val="24"/>
          <w:szCs w:val="24"/>
        </w:rPr>
        <w:t>Acta Orthop Scand</w:t>
      </w:r>
      <w:r w:rsidRPr="00565259">
        <w:rPr>
          <w:rFonts w:ascii="Book Antiqua" w:hAnsi="Book Antiqua"/>
          <w:sz w:val="24"/>
          <w:szCs w:val="24"/>
        </w:rPr>
        <w:t xml:space="preserve"> 2001; </w:t>
      </w:r>
      <w:r w:rsidRPr="00565259">
        <w:rPr>
          <w:rFonts w:ascii="Book Antiqua" w:hAnsi="Book Antiqua"/>
          <w:b/>
          <w:sz w:val="24"/>
          <w:szCs w:val="24"/>
        </w:rPr>
        <w:t>72</w:t>
      </w:r>
      <w:r w:rsidRPr="00565259">
        <w:rPr>
          <w:rFonts w:ascii="Book Antiqua" w:hAnsi="Book Antiqua"/>
          <w:sz w:val="24"/>
          <w:szCs w:val="24"/>
        </w:rPr>
        <w:t>: 385-394 [PMID: 11580128 DOI: 10.1080/000164701753542050]</w:t>
      </w:r>
    </w:p>
    <w:p w14:paraId="3069E00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33 </w:t>
      </w:r>
      <w:r w:rsidRPr="00565259">
        <w:rPr>
          <w:rFonts w:ascii="Book Antiqua" w:hAnsi="Book Antiqua"/>
          <w:b/>
          <w:sz w:val="24"/>
          <w:szCs w:val="24"/>
        </w:rPr>
        <w:t>Meyer RA Jr</w:t>
      </w:r>
      <w:r w:rsidRPr="00565259">
        <w:rPr>
          <w:rFonts w:ascii="Book Antiqua" w:hAnsi="Book Antiqua"/>
          <w:sz w:val="24"/>
          <w:szCs w:val="24"/>
        </w:rPr>
        <w:t xml:space="preserve">, Tsahakis PJ, Martin DF, Banks DM, Harrow ME, Kiebzak GM. Age and ovariectomy impair both the normalization of mechanical properties and the accretion of mineral by the fracture callus in rats. </w:t>
      </w:r>
      <w:r w:rsidRPr="00565259">
        <w:rPr>
          <w:rFonts w:ascii="Book Antiqua" w:hAnsi="Book Antiqua"/>
          <w:i/>
          <w:sz w:val="24"/>
          <w:szCs w:val="24"/>
        </w:rPr>
        <w:t>J Orthop Res</w:t>
      </w:r>
      <w:r w:rsidRPr="00565259">
        <w:rPr>
          <w:rFonts w:ascii="Book Antiqua" w:hAnsi="Book Antiqua"/>
          <w:sz w:val="24"/>
          <w:szCs w:val="24"/>
        </w:rPr>
        <w:t xml:space="preserve"> 2001; </w:t>
      </w:r>
      <w:r w:rsidRPr="00565259">
        <w:rPr>
          <w:rFonts w:ascii="Book Antiqua" w:hAnsi="Book Antiqua"/>
          <w:b/>
          <w:sz w:val="24"/>
          <w:szCs w:val="24"/>
        </w:rPr>
        <w:t>19</w:t>
      </w:r>
      <w:r w:rsidRPr="00565259">
        <w:rPr>
          <w:rFonts w:ascii="Book Antiqua" w:hAnsi="Book Antiqua"/>
          <w:sz w:val="24"/>
          <w:szCs w:val="24"/>
        </w:rPr>
        <w:t>: 428-435 [PMID: 11398856 DOI: 10.1016/S0736-0266(00)90034-2]</w:t>
      </w:r>
    </w:p>
    <w:p w14:paraId="68C38F2E"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34 </w:t>
      </w:r>
      <w:r w:rsidRPr="00565259">
        <w:rPr>
          <w:rFonts w:ascii="Book Antiqua" w:hAnsi="Book Antiqua"/>
          <w:b/>
          <w:sz w:val="24"/>
          <w:szCs w:val="24"/>
        </w:rPr>
        <w:t>Lopas LA</w:t>
      </w:r>
      <w:r w:rsidRPr="00565259">
        <w:rPr>
          <w:rFonts w:ascii="Book Antiqua" w:hAnsi="Book Antiqua"/>
          <w:sz w:val="24"/>
          <w:szCs w:val="24"/>
        </w:rPr>
        <w:t xml:space="preserve">, Belkin NS, Mutyaba PL, Gray CF, Hankenson KD, Ahn J. Fractures in geriatric mice show decreased callus expansion and bone volume. </w:t>
      </w:r>
      <w:r w:rsidRPr="00565259">
        <w:rPr>
          <w:rFonts w:ascii="Book Antiqua" w:hAnsi="Book Antiqua"/>
          <w:i/>
          <w:sz w:val="24"/>
          <w:szCs w:val="24"/>
        </w:rPr>
        <w:t>Clin Orthop Relat Res</w:t>
      </w:r>
      <w:r w:rsidRPr="00565259">
        <w:rPr>
          <w:rFonts w:ascii="Book Antiqua" w:hAnsi="Book Antiqua"/>
          <w:sz w:val="24"/>
          <w:szCs w:val="24"/>
        </w:rPr>
        <w:t xml:space="preserve"> 2014; </w:t>
      </w:r>
      <w:r w:rsidRPr="00565259">
        <w:rPr>
          <w:rFonts w:ascii="Book Antiqua" w:hAnsi="Book Antiqua"/>
          <w:b/>
          <w:sz w:val="24"/>
          <w:szCs w:val="24"/>
        </w:rPr>
        <w:t>472</w:t>
      </w:r>
      <w:r w:rsidRPr="00565259">
        <w:rPr>
          <w:rFonts w:ascii="Book Antiqua" w:hAnsi="Book Antiqua"/>
          <w:sz w:val="24"/>
          <w:szCs w:val="24"/>
        </w:rPr>
        <w:t>: 3523-3532 [PMID: 25106797 DOI: 10.1007/s11999-014-3829-x]</w:t>
      </w:r>
    </w:p>
    <w:p w14:paraId="3158CB7A"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35 </w:t>
      </w:r>
      <w:r w:rsidRPr="00565259">
        <w:rPr>
          <w:rFonts w:ascii="Book Antiqua" w:hAnsi="Book Antiqua"/>
          <w:b/>
          <w:sz w:val="24"/>
          <w:szCs w:val="24"/>
        </w:rPr>
        <w:t>Bak B</w:t>
      </w:r>
      <w:r w:rsidRPr="00565259">
        <w:rPr>
          <w:rFonts w:ascii="Book Antiqua" w:hAnsi="Book Antiqua"/>
          <w:sz w:val="24"/>
          <w:szCs w:val="24"/>
        </w:rPr>
        <w:t xml:space="preserve">, Andreassen TT. The effect of aging on fracture healing in the rat. </w:t>
      </w:r>
      <w:r w:rsidRPr="00565259">
        <w:rPr>
          <w:rFonts w:ascii="Book Antiqua" w:hAnsi="Book Antiqua"/>
          <w:i/>
          <w:sz w:val="24"/>
          <w:szCs w:val="24"/>
        </w:rPr>
        <w:t>Calcif Tissue Int</w:t>
      </w:r>
      <w:r w:rsidRPr="00565259">
        <w:rPr>
          <w:rFonts w:ascii="Book Antiqua" w:hAnsi="Book Antiqua"/>
          <w:sz w:val="24"/>
          <w:szCs w:val="24"/>
        </w:rPr>
        <w:t xml:space="preserve"> 1989; </w:t>
      </w:r>
      <w:r w:rsidRPr="00565259">
        <w:rPr>
          <w:rFonts w:ascii="Book Antiqua" w:hAnsi="Book Antiqua"/>
          <w:b/>
          <w:sz w:val="24"/>
          <w:szCs w:val="24"/>
        </w:rPr>
        <w:t>45</w:t>
      </w:r>
      <w:r w:rsidRPr="00565259">
        <w:rPr>
          <w:rFonts w:ascii="Book Antiqua" w:hAnsi="Book Antiqua"/>
          <w:sz w:val="24"/>
          <w:szCs w:val="24"/>
        </w:rPr>
        <w:t>: 292-297 [PMID: 2509018 DOI: 10.1007/BF02556022]</w:t>
      </w:r>
    </w:p>
    <w:p w14:paraId="3682D32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36 </w:t>
      </w:r>
      <w:r w:rsidRPr="00565259">
        <w:rPr>
          <w:rFonts w:ascii="Book Antiqua" w:hAnsi="Book Antiqua"/>
          <w:b/>
          <w:sz w:val="24"/>
          <w:szCs w:val="24"/>
        </w:rPr>
        <w:t>Lu C</w:t>
      </w:r>
      <w:r w:rsidRPr="00565259">
        <w:rPr>
          <w:rFonts w:ascii="Book Antiqua" w:hAnsi="Book Antiqua"/>
          <w:sz w:val="24"/>
          <w:szCs w:val="24"/>
        </w:rPr>
        <w:t xml:space="preserve">, Miclau T, Hu D, Hansen E, Tsui K, Puttlitz C, Marcucio RS. Cellular basis for age-related changes in fracture repair. </w:t>
      </w:r>
      <w:r w:rsidRPr="00565259">
        <w:rPr>
          <w:rFonts w:ascii="Book Antiqua" w:hAnsi="Book Antiqua"/>
          <w:i/>
          <w:sz w:val="24"/>
          <w:szCs w:val="24"/>
        </w:rPr>
        <w:t>J Orthop Res</w:t>
      </w:r>
      <w:r w:rsidRPr="00565259">
        <w:rPr>
          <w:rFonts w:ascii="Book Antiqua" w:hAnsi="Book Antiqua"/>
          <w:sz w:val="24"/>
          <w:szCs w:val="24"/>
        </w:rPr>
        <w:t xml:space="preserve"> 2005; </w:t>
      </w:r>
      <w:r w:rsidRPr="00565259">
        <w:rPr>
          <w:rFonts w:ascii="Book Antiqua" w:hAnsi="Book Antiqua"/>
          <w:b/>
          <w:sz w:val="24"/>
          <w:szCs w:val="24"/>
        </w:rPr>
        <w:t>23</w:t>
      </w:r>
      <w:r w:rsidRPr="00565259">
        <w:rPr>
          <w:rFonts w:ascii="Book Antiqua" w:hAnsi="Book Antiqua"/>
          <w:sz w:val="24"/>
          <w:szCs w:val="24"/>
        </w:rPr>
        <w:t>: 1300-1307 [PMID: 15936915 DOI: 10.1016/j.orthres.2005.04.003]</w:t>
      </w:r>
    </w:p>
    <w:p w14:paraId="53EB2BC0"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37 </w:t>
      </w:r>
      <w:r w:rsidRPr="00565259">
        <w:rPr>
          <w:rFonts w:ascii="Book Antiqua" w:hAnsi="Book Antiqua"/>
          <w:b/>
          <w:sz w:val="24"/>
          <w:szCs w:val="24"/>
        </w:rPr>
        <w:t>Roche JJ</w:t>
      </w:r>
      <w:r w:rsidRPr="00565259">
        <w:rPr>
          <w:rFonts w:ascii="Book Antiqua" w:hAnsi="Book Antiqua"/>
          <w:sz w:val="24"/>
          <w:szCs w:val="24"/>
        </w:rPr>
        <w:t xml:space="preserve">, Wenn RT, Sahota O, Moran CG. Effect of comorbidities and postoperative complications on mortality after hip fracture in elderly people: prospective observational cohort study. </w:t>
      </w:r>
      <w:r w:rsidRPr="00565259">
        <w:rPr>
          <w:rFonts w:ascii="Book Antiqua" w:hAnsi="Book Antiqua"/>
          <w:i/>
          <w:sz w:val="24"/>
          <w:szCs w:val="24"/>
        </w:rPr>
        <w:t>BMJ</w:t>
      </w:r>
      <w:r w:rsidRPr="00565259">
        <w:rPr>
          <w:rFonts w:ascii="Book Antiqua" w:hAnsi="Book Antiqua"/>
          <w:sz w:val="24"/>
          <w:szCs w:val="24"/>
        </w:rPr>
        <w:t xml:space="preserve"> 2005; </w:t>
      </w:r>
      <w:r w:rsidRPr="00565259">
        <w:rPr>
          <w:rFonts w:ascii="Book Antiqua" w:hAnsi="Book Antiqua"/>
          <w:b/>
          <w:sz w:val="24"/>
          <w:szCs w:val="24"/>
        </w:rPr>
        <w:t>331</w:t>
      </w:r>
      <w:r w:rsidRPr="00565259">
        <w:rPr>
          <w:rFonts w:ascii="Book Antiqua" w:hAnsi="Book Antiqua"/>
          <w:sz w:val="24"/>
          <w:szCs w:val="24"/>
        </w:rPr>
        <w:t>: 1374 [PMID: 16299013 DOI: 10.1136/bmj.38643.663843.55]</w:t>
      </w:r>
    </w:p>
    <w:p w14:paraId="7FFA418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38 </w:t>
      </w:r>
      <w:r w:rsidRPr="00565259">
        <w:rPr>
          <w:rFonts w:ascii="Book Antiqua" w:hAnsi="Book Antiqua"/>
          <w:b/>
          <w:sz w:val="24"/>
          <w:szCs w:val="24"/>
        </w:rPr>
        <w:t>Streubel PN</w:t>
      </w:r>
      <w:r w:rsidRPr="00565259">
        <w:rPr>
          <w:rFonts w:ascii="Book Antiqua" w:hAnsi="Book Antiqua"/>
          <w:sz w:val="24"/>
          <w:szCs w:val="24"/>
        </w:rPr>
        <w:t xml:space="preserve">, Ricci WM, Wong A, Gardner MJ. Mortality after distal femur fractures in elderly patients. </w:t>
      </w:r>
      <w:r w:rsidRPr="00565259">
        <w:rPr>
          <w:rFonts w:ascii="Book Antiqua" w:hAnsi="Book Antiqua"/>
          <w:i/>
          <w:sz w:val="24"/>
          <w:szCs w:val="24"/>
        </w:rPr>
        <w:t>Clin Orthop Relat Res</w:t>
      </w:r>
      <w:r w:rsidRPr="00565259">
        <w:rPr>
          <w:rFonts w:ascii="Book Antiqua" w:hAnsi="Book Antiqua"/>
          <w:sz w:val="24"/>
          <w:szCs w:val="24"/>
        </w:rPr>
        <w:t xml:space="preserve"> 2011; </w:t>
      </w:r>
      <w:r w:rsidRPr="00565259">
        <w:rPr>
          <w:rFonts w:ascii="Book Antiqua" w:hAnsi="Book Antiqua"/>
          <w:b/>
          <w:sz w:val="24"/>
          <w:szCs w:val="24"/>
        </w:rPr>
        <w:t>469</w:t>
      </w:r>
      <w:r w:rsidRPr="00565259">
        <w:rPr>
          <w:rFonts w:ascii="Book Antiqua" w:hAnsi="Book Antiqua"/>
          <w:sz w:val="24"/>
          <w:szCs w:val="24"/>
        </w:rPr>
        <w:t>: 1188-1196 [PMID: 20830542 DOI: 10.1007/s11999-010-1530-2]</w:t>
      </w:r>
    </w:p>
    <w:p w14:paraId="3EB0137C"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39 </w:t>
      </w:r>
      <w:r w:rsidRPr="00565259">
        <w:rPr>
          <w:rFonts w:ascii="Book Antiqua" w:hAnsi="Book Antiqua"/>
          <w:b/>
          <w:sz w:val="24"/>
          <w:szCs w:val="24"/>
        </w:rPr>
        <w:t>Yu JM</w:t>
      </w:r>
      <w:r w:rsidRPr="00565259">
        <w:rPr>
          <w:rFonts w:ascii="Book Antiqua" w:hAnsi="Book Antiqua"/>
          <w:sz w:val="24"/>
          <w:szCs w:val="24"/>
        </w:rPr>
        <w:t xml:space="preserve">, Wu X, Gimble JM, Guan X, Freitas MA, Bunnell BA. Age-related changes in mesenchymal stem cells derived from rhesus macaque bone marrow. </w:t>
      </w:r>
      <w:r w:rsidRPr="00565259">
        <w:rPr>
          <w:rFonts w:ascii="Book Antiqua" w:hAnsi="Book Antiqua"/>
          <w:i/>
          <w:sz w:val="24"/>
          <w:szCs w:val="24"/>
        </w:rPr>
        <w:t>Aging Cell</w:t>
      </w:r>
      <w:r w:rsidRPr="00565259">
        <w:rPr>
          <w:rFonts w:ascii="Book Antiqua" w:hAnsi="Book Antiqua"/>
          <w:sz w:val="24"/>
          <w:szCs w:val="24"/>
        </w:rPr>
        <w:t xml:space="preserve"> 2011; </w:t>
      </w:r>
      <w:r w:rsidRPr="00565259">
        <w:rPr>
          <w:rFonts w:ascii="Book Antiqua" w:hAnsi="Book Antiqua"/>
          <w:b/>
          <w:sz w:val="24"/>
          <w:szCs w:val="24"/>
        </w:rPr>
        <w:t>10</w:t>
      </w:r>
      <w:r w:rsidRPr="00565259">
        <w:rPr>
          <w:rFonts w:ascii="Book Antiqua" w:hAnsi="Book Antiqua"/>
          <w:sz w:val="24"/>
          <w:szCs w:val="24"/>
        </w:rPr>
        <w:t>: 66-79 [PMID: 20969724 DOI: 10.1111/j.1474-9726.2010.00646.x]</w:t>
      </w:r>
    </w:p>
    <w:p w14:paraId="03E84E3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40 </w:t>
      </w:r>
      <w:r w:rsidRPr="00565259">
        <w:rPr>
          <w:rFonts w:ascii="Book Antiqua" w:hAnsi="Book Antiqua"/>
          <w:b/>
          <w:sz w:val="24"/>
          <w:szCs w:val="24"/>
        </w:rPr>
        <w:t>Baxter MA</w:t>
      </w:r>
      <w:r w:rsidRPr="00565259">
        <w:rPr>
          <w:rFonts w:ascii="Book Antiqua" w:hAnsi="Book Antiqua"/>
          <w:sz w:val="24"/>
          <w:szCs w:val="24"/>
        </w:rPr>
        <w:t xml:space="preserve">, Wynn RF, Jowitt SN, Wraith JE, Fairbairn LJ, Bellantuono I. Study of telomere length reveals rapid aging of human marrow stromal cells following in vitro expansion. </w:t>
      </w:r>
      <w:r w:rsidRPr="00565259">
        <w:rPr>
          <w:rFonts w:ascii="Book Antiqua" w:hAnsi="Book Antiqua"/>
          <w:i/>
          <w:sz w:val="24"/>
          <w:szCs w:val="24"/>
        </w:rPr>
        <w:t>Stem Cells</w:t>
      </w:r>
      <w:r w:rsidRPr="00565259">
        <w:rPr>
          <w:rFonts w:ascii="Book Antiqua" w:hAnsi="Book Antiqua"/>
          <w:sz w:val="24"/>
          <w:szCs w:val="24"/>
        </w:rPr>
        <w:t xml:space="preserve"> 2004; </w:t>
      </w:r>
      <w:r w:rsidRPr="00565259">
        <w:rPr>
          <w:rFonts w:ascii="Book Antiqua" w:hAnsi="Book Antiqua"/>
          <w:b/>
          <w:sz w:val="24"/>
          <w:szCs w:val="24"/>
        </w:rPr>
        <w:t>22</w:t>
      </w:r>
      <w:r w:rsidRPr="00565259">
        <w:rPr>
          <w:rFonts w:ascii="Book Antiqua" w:hAnsi="Book Antiqua"/>
          <w:sz w:val="24"/>
          <w:szCs w:val="24"/>
        </w:rPr>
        <w:t>: 675-682 [PMID: 15342932 DOI: 10.1634/stemcells.22-5-675]</w:t>
      </w:r>
    </w:p>
    <w:p w14:paraId="020E8455"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41 </w:t>
      </w:r>
      <w:r w:rsidRPr="00565259">
        <w:rPr>
          <w:rFonts w:ascii="Book Antiqua" w:hAnsi="Book Antiqua"/>
          <w:b/>
          <w:sz w:val="24"/>
          <w:szCs w:val="24"/>
        </w:rPr>
        <w:t>Ye X</w:t>
      </w:r>
      <w:r w:rsidRPr="00565259">
        <w:rPr>
          <w:rFonts w:ascii="Book Antiqua" w:hAnsi="Book Antiqua"/>
          <w:sz w:val="24"/>
          <w:szCs w:val="24"/>
        </w:rPr>
        <w:t xml:space="preserve">, Liao C, Liu G, Xu Y, Tan J, Song Z. Age-Related Changes in the Regenerative Potential of Adipose-Derived Stem Cells Isolated from the Prominent Fat Pads in Human Lower Eyelids. </w:t>
      </w:r>
      <w:r w:rsidRPr="00565259">
        <w:rPr>
          <w:rFonts w:ascii="Book Antiqua" w:hAnsi="Book Antiqua"/>
          <w:i/>
          <w:sz w:val="24"/>
          <w:szCs w:val="24"/>
        </w:rPr>
        <w:t>PLoS One</w:t>
      </w:r>
      <w:r w:rsidRPr="00565259">
        <w:rPr>
          <w:rFonts w:ascii="Book Antiqua" w:hAnsi="Book Antiqua"/>
          <w:sz w:val="24"/>
          <w:szCs w:val="24"/>
        </w:rPr>
        <w:t xml:space="preserve"> 2016; </w:t>
      </w:r>
      <w:r w:rsidRPr="00565259">
        <w:rPr>
          <w:rFonts w:ascii="Book Antiqua" w:hAnsi="Book Antiqua"/>
          <w:b/>
          <w:sz w:val="24"/>
          <w:szCs w:val="24"/>
        </w:rPr>
        <w:t>11</w:t>
      </w:r>
      <w:r w:rsidRPr="00565259">
        <w:rPr>
          <w:rFonts w:ascii="Book Antiqua" w:hAnsi="Book Antiqua"/>
          <w:sz w:val="24"/>
          <w:szCs w:val="24"/>
        </w:rPr>
        <w:t>: e0166590 [PMID: 27855196 DOI: 10.1371/journal.pone.0166590]</w:t>
      </w:r>
    </w:p>
    <w:p w14:paraId="01F7624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42 </w:t>
      </w:r>
      <w:r w:rsidRPr="00565259">
        <w:rPr>
          <w:rFonts w:ascii="Book Antiqua" w:hAnsi="Book Antiqua"/>
          <w:b/>
          <w:sz w:val="24"/>
          <w:szCs w:val="24"/>
        </w:rPr>
        <w:t>Choudhery MS</w:t>
      </w:r>
      <w:r w:rsidRPr="00565259">
        <w:rPr>
          <w:rFonts w:ascii="Book Antiqua" w:hAnsi="Book Antiqua"/>
          <w:sz w:val="24"/>
          <w:szCs w:val="24"/>
        </w:rPr>
        <w:t xml:space="preserve">, Badowski M, Muise A, Pierce J, Harris DT. Donor age negatively impacts adipose tissue-derived mesenchymal stem cell expansion and differentiation. </w:t>
      </w:r>
      <w:r w:rsidRPr="00565259">
        <w:rPr>
          <w:rFonts w:ascii="Book Antiqua" w:hAnsi="Book Antiqua"/>
          <w:i/>
          <w:sz w:val="24"/>
          <w:szCs w:val="24"/>
        </w:rPr>
        <w:t>J Transl Med</w:t>
      </w:r>
      <w:r w:rsidRPr="00565259">
        <w:rPr>
          <w:rFonts w:ascii="Book Antiqua" w:hAnsi="Book Antiqua"/>
          <w:sz w:val="24"/>
          <w:szCs w:val="24"/>
        </w:rPr>
        <w:t xml:space="preserve"> 2014; </w:t>
      </w:r>
      <w:r w:rsidRPr="00565259">
        <w:rPr>
          <w:rFonts w:ascii="Book Antiqua" w:hAnsi="Book Antiqua"/>
          <w:b/>
          <w:sz w:val="24"/>
          <w:szCs w:val="24"/>
        </w:rPr>
        <w:t>12</w:t>
      </w:r>
      <w:r w:rsidRPr="00565259">
        <w:rPr>
          <w:rFonts w:ascii="Book Antiqua" w:hAnsi="Book Antiqua"/>
          <w:sz w:val="24"/>
          <w:szCs w:val="24"/>
        </w:rPr>
        <w:t>: 8 [PMID: 24397850 DOI: 10.1186/1479-5876-12-8]</w:t>
      </w:r>
    </w:p>
    <w:p w14:paraId="0A814C5C"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43 </w:t>
      </w:r>
      <w:r w:rsidRPr="00565259">
        <w:rPr>
          <w:rFonts w:ascii="Book Antiqua" w:hAnsi="Book Antiqua"/>
          <w:b/>
          <w:sz w:val="24"/>
          <w:szCs w:val="24"/>
        </w:rPr>
        <w:t>Zhang W</w:t>
      </w:r>
      <w:r w:rsidRPr="00565259">
        <w:rPr>
          <w:rFonts w:ascii="Book Antiqua" w:hAnsi="Book Antiqua"/>
          <w:sz w:val="24"/>
          <w:szCs w:val="24"/>
        </w:rPr>
        <w:t xml:space="preserve">, Ou G, Hamrick M, Hill W, Borke J, Wenger K, Chutkan N, Yu J, Mi QS, Isales CM, Shi XM. Age-related changes in the osteogenic differentiation potential of mouse bone marrow stromal cells. </w:t>
      </w:r>
      <w:r w:rsidRPr="00565259">
        <w:rPr>
          <w:rFonts w:ascii="Book Antiqua" w:hAnsi="Book Antiqua"/>
          <w:i/>
          <w:sz w:val="24"/>
          <w:szCs w:val="24"/>
        </w:rPr>
        <w:t>J Bone Miner Res</w:t>
      </w:r>
      <w:r w:rsidRPr="00565259">
        <w:rPr>
          <w:rFonts w:ascii="Book Antiqua" w:hAnsi="Book Antiqua"/>
          <w:sz w:val="24"/>
          <w:szCs w:val="24"/>
        </w:rPr>
        <w:t xml:space="preserve"> 2008; </w:t>
      </w:r>
      <w:r w:rsidRPr="00565259">
        <w:rPr>
          <w:rFonts w:ascii="Book Antiqua" w:hAnsi="Book Antiqua"/>
          <w:b/>
          <w:sz w:val="24"/>
          <w:szCs w:val="24"/>
        </w:rPr>
        <w:t>23</w:t>
      </w:r>
      <w:r w:rsidRPr="00565259">
        <w:rPr>
          <w:rFonts w:ascii="Book Antiqua" w:hAnsi="Book Antiqua"/>
          <w:sz w:val="24"/>
          <w:szCs w:val="24"/>
        </w:rPr>
        <w:t>: 1118-1128 [PMID: 18435580 DOI: 10.1359/jbmr.080304]</w:t>
      </w:r>
    </w:p>
    <w:p w14:paraId="1D5B096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44 </w:t>
      </w:r>
      <w:r w:rsidRPr="00565259">
        <w:rPr>
          <w:rFonts w:ascii="Book Antiqua" w:hAnsi="Book Antiqua"/>
          <w:b/>
          <w:sz w:val="24"/>
          <w:szCs w:val="24"/>
        </w:rPr>
        <w:t>Mutyaba PL</w:t>
      </w:r>
      <w:r w:rsidRPr="00565259">
        <w:rPr>
          <w:rFonts w:ascii="Book Antiqua" w:hAnsi="Book Antiqua"/>
          <w:sz w:val="24"/>
          <w:szCs w:val="24"/>
        </w:rPr>
        <w:t xml:space="preserve">, Belkin NS, Lopas L, Gray CF, Dopkin D, Hankenson KD, Ahn J. Notch signaling in mesenchymal stem cells harvested from geriatric mice. </w:t>
      </w:r>
      <w:r w:rsidRPr="00565259">
        <w:rPr>
          <w:rFonts w:ascii="Book Antiqua" w:hAnsi="Book Antiqua"/>
          <w:i/>
          <w:sz w:val="24"/>
          <w:szCs w:val="24"/>
        </w:rPr>
        <w:t>J Orthop Trauma</w:t>
      </w:r>
      <w:r w:rsidRPr="00565259">
        <w:rPr>
          <w:rFonts w:ascii="Book Antiqua" w:hAnsi="Book Antiqua"/>
          <w:sz w:val="24"/>
          <w:szCs w:val="24"/>
        </w:rPr>
        <w:t xml:space="preserve"> 2014; </w:t>
      </w:r>
      <w:r w:rsidRPr="00565259">
        <w:rPr>
          <w:rFonts w:ascii="Book Antiqua" w:hAnsi="Book Antiqua"/>
          <w:b/>
          <w:sz w:val="24"/>
          <w:szCs w:val="24"/>
        </w:rPr>
        <w:t>28 Suppl 1</w:t>
      </w:r>
      <w:r w:rsidRPr="00565259">
        <w:rPr>
          <w:rFonts w:ascii="Book Antiqua" w:hAnsi="Book Antiqua"/>
          <w:sz w:val="24"/>
          <w:szCs w:val="24"/>
        </w:rPr>
        <w:t>: S20-S23 [PMID: 24378431 DOI: 10.1097/BOT.0000000000000064]</w:t>
      </w:r>
    </w:p>
    <w:p w14:paraId="4883CE0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45 </w:t>
      </w:r>
      <w:r w:rsidRPr="00565259">
        <w:rPr>
          <w:rFonts w:ascii="Book Antiqua" w:hAnsi="Book Antiqua"/>
          <w:b/>
          <w:sz w:val="24"/>
          <w:szCs w:val="24"/>
        </w:rPr>
        <w:t>Stolzing A</w:t>
      </w:r>
      <w:r w:rsidRPr="00565259">
        <w:rPr>
          <w:rFonts w:ascii="Book Antiqua" w:hAnsi="Book Antiqua"/>
          <w:sz w:val="24"/>
          <w:szCs w:val="24"/>
        </w:rPr>
        <w:t xml:space="preserve">, Jones E, McGonagle D, Scutt A. Age-related changes in human bone marrow-derived mesenchymal stem cells: consequences for cell therapies. </w:t>
      </w:r>
      <w:r w:rsidRPr="00565259">
        <w:rPr>
          <w:rFonts w:ascii="Book Antiqua" w:hAnsi="Book Antiqua"/>
          <w:i/>
          <w:sz w:val="24"/>
          <w:szCs w:val="24"/>
        </w:rPr>
        <w:t>Mech Ageing Dev</w:t>
      </w:r>
      <w:r w:rsidRPr="00565259">
        <w:rPr>
          <w:rFonts w:ascii="Book Antiqua" w:hAnsi="Book Antiqua"/>
          <w:sz w:val="24"/>
          <w:szCs w:val="24"/>
        </w:rPr>
        <w:t xml:space="preserve"> 2008; </w:t>
      </w:r>
      <w:r w:rsidRPr="00565259">
        <w:rPr>
          <w:rFonts w:ascii="Book Antiqua" w:hAnsi="Book Antiqua"/>
          <w:b/>
          <w:sz w:val="24"/>
          <w:szCs w:val="24"/>
        </w:rPr>
        <w:t>129</w:t>
      </w:r>
      <w:r w:rsidRPr="00565259">
        <w:rPr>
          <w:rFonts w:ascii="Book Antiqua" w:hAnsi="Book Antiqua"/>
          <w:sz w:val="24"/>
          <w:szCs w:val="24"/>
        </w:rPr>
        <w:t>: 163-173 [PMID: 18241911 DOI: 10.1016/j.mad.2007.12.002]</w:t>
      </w:r>
    </w:p>
    <w:p w14:paraId="03830F74"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46 </w:t>
      </w:r>
      <w:r w:rsidRPr="00565259">
        <w:rPr>
          <w:rFonts w:ascii="Book Antiqua" w:hAnsi="Book Antiqua"/>
          <w:b/>
          <w:sz w:val="24"/>
          <w:szCs w:val="24"/>
        </w:rPr>
        <w:t>Stolzing A</w:t>
      </w:r>
      <w:r w:rsidRPr="00565259">
        <w:rPr>
          <w:rFonts w:ascii="Book Antiqua" w:hAnsi="Book Antiqua"/>
          <w:sz w:val="24"/>
          <w:szCs w:val="24"/>
        </w:rPr>
        <w:t xml:space="preserve">, Scutt A. Age-related impairment of mesenchymal progenitor cell function. </w:t>
      </w:r>
      <w:r w:rsidRPr="00565259">
        <w:rPr>
          <w:rFonts w:ascii="Book Antiqua" w:hAnsi="Book Antiqua"/>
          <w:i/>
          <w:sz w:val="24"/>
          <w:szCs w:val="24"/>
        </w:rPr>
        <w:t>Aging Cell</w:t>
      </w:r>
      <w:r w:rsidRPr="00565259">
        <w:rPr>
          <w:rFonts w:ascii="Book Antiqua" w:hAnsi="Book Antiqua"/>
          <w:sz w:val="24"/>
          <w:szCs w:val="24"/>
        </w:rPr>
        <w:t xml:space="preserve"> 2006; </w:t>
      </w:r>
      <w:r w:rsidRPr="00565259">
        <w:rPr>
          <w:rFonts w:ascii="Book Antiqua" w:hAnsi="Book Antiqua"/>
          <w:b/>
          <w:sz w:val="24"/>
          <w:szCs w:val="24"/>
        </w:rPr>
        <w:t>5</w:t>
      </w:r>
      <w:r w:rsidRPr="00565259">
        <w:rPr>
          <w:rFonts w:ascii="Book Antiqua" w:hAnsi="Book Antiqua"/>
          <w:sz w:val="24"/>
          <w:szCs w:val="24"/>
        </w:rPr>
        <w:t>: 213-224 [PMID: 16842494 DOI: 10.1111/j.1474-9726.2006.00213.x]</w:t>
      </w:r>
    </w:p>
    <w:p w14:paraId="55F477C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47 </w:t>
      </w:r>
      <w:r w:rsidRPr="00565259">
        <w:rPr>
          <w:rFonts w:ascii="Book Antiqua" w:hAnsi="Book Antiqua"/>
          <w:b/>
          <w:sz w:val="24"/>
          <w:szCs w:val="24"/>
        </w:rPr>
        <w:t>Kasper G</w:t>
      </w:r>
      <w:r w:rsidRPr="00565259">
        <w:rPr>
          <w:rFonts w:ascii="Book Antiqua" w:hAnsi="Book Antiqua"/>
          <w:sz w:val="24"/>
          <w:szCs w:val="24"/>
        </w:rPr>
        <w:t xml:space="preserve">, Mao L, Geissler S, Draycheva A, Trippens J, Kühnisch J, Tschirschmann M, Kaspar K, Perka C, Duda GN, Klose J. Insights into mesenchymal stem cell aging: involvement of antioxidant defense and actin cytoskeleton. </w:t>
      </w:r>
      <w:r w:rsidRPr="00565259">
        <w:rPr>
          <w:rFonts w:ascii="Book Antiqua" w:hAnsi="Book Antiqua"/>
          <w:i/>
          <w:sz w:val="24"/>
          <w:szCs w:val="24"/>
        </w:rPr>
        <w:t>Stem Cells</w:t>
      </w:r>
      <w:r w:rsidRPr="00565259">
        <w:rPr>
          <w:rFonts w:ascii="Book Antiqua" w:hAnsi="Book Antiqua"/>
          <w:sz w:val="24"/>
          <w:szCs w:val="24"/>
        </w:rPr>
        <w:t xml:space="preserve"> 2009; </w:t>
      </w:r>
      <w:r w:rsidRPr="00565259">
        <w:rPr>
          <w:rFonts w:ascii="Book Antiqua" w:hAnsi="Book Antiqua"/>
          <w:b/>
          <w:sz w:val="24"/>
          <w:szCs w:val="24"/>
        </w:rPr>
        <w:t>27</w:t>
      </w:r>
      <w:r w:rsidRPr="00565259">
        <w:rPr>
          <w:rFonts w:ascii="Book Antiqua" w:hAnsi="Book Antiqua"/>
          <w:sz w:val="24"/>
          <w:szCs w:val="24"/>
        </w:rPr>
        <w:t>: 1288-1297 [PMID: 19492299 DOI: 10.1002/stem.49]</w:t>
      </w:r>
    </w:p>
    <w:p w14:paraId="1EA3242C"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48 </w:t>
      </w:r>
      <w:r w:rsidRPr="00565259">
        <w:rPr>
          <w:rFonts w:ascii="Book Antiqua" w:hAnsi="Book Antiqua"/>
          <w:b/>
          <w:sz w:val="24"/>
          <w:szCs w:val="24"/>
        </w:rPr>
        <w:t>Sanghani-Kerai A</w:t>
      </w:r>
      <w:r w:rsidRPr="00565259">
        <w:rPr>
          <w:rFonts w:ascii="Book Antiqua" w:hAnsi="Book Antiqua"/>
          <w:sz w:val="24"/>
          <w:szCs w:val="24"/>
        </w:rPr>
        <w:t xml:space="preserve">, Osagie-Clouard L, Blunn G, Coathup M. The influence of age and osteoporosis on bone marrow stem cells from rats. </w:t>
      </w:r>
      <w:r w:rsidRPr="00565259">
        <w:rPr>
          <w:rFonts w:ascii="Book Antiqua" w:hAnsi="Book Antiqua"/>
          <w:i/>
          <w:sz w:val="24"/>
          <w:szCs w:val="24"/>
        </w:rPr>
        <w:t>Bone Joint Res</w:t>
      </w:r>
      <w:r w:rsidRPr="00565259">
        <w:rPr>
          <w:rFonts w:ascii="Book Antiqua" w:hAnsi="Book Antiqua"/>
          <w:sz w:val="24"/>
          <w:szCs w:val="24"/>
        </w:rPr>
        <w:t xml:space="preserve"> 2018; </w:t>
      </w:r>
      <w:r w:rsidRPr="00565259">
        <w:rPr>
          <w:rFonts w:ascii="Book Antiqua" w:hAnsi="Book Antiqua"/>
          <w:b/>
          <w:sz w:val="24"/>
          <w:szCs w:val="24"/>
        </w:rPr>
        <w:t>7</w:t>
      </w:r>
      <w:r w:rsidRPr="00565259">
        <w:rPr>
          <w:rFonts w:ascii="Book Antiqua" w:hAnsi="Book Antiqua"/>
          <w:sz w:val="24"/>
          <w:szCs w:val="24"/>
        </w:rPr>
        <w:t>: 289-297 [PMID: 29922447 DOI: 10.1302/2046-3758.74.BJR-2017-0302.R1]</w:t>
      </w:r>
    </w:p>
    <w:p w14:paraId="73AF6587"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49 </w:t>
      </w:r>
      <w:r w:rsidRPr="00565259">
        <w:rPr>
          <w:rFonts w:ascii="Book Antiqua" w:hAnsi="Book Antiqua"/>
          <w:b/>
          <w:sz w:val="24"/>
          <w:szCs w:val="24"/>
        </w:rPr>
        <w:t>Bustos ML</w:t>
      </w:r>
      <w:r w:rsidRPr="00565259">
        <w:rPr>
          <w:rFonts w:ascii="Book Antiqua" w:hAnsi="Book Antiqua"/>
          <w:sz w:val="24"/>
          <w:szCs w:val="24"/>
        </w:rPr>
        <w:t xml:space="preserve">, Huleihel L, Kapetanaki MG, Lino-Cardenas CL, Mroz L, Ellis BM, McVerry BJ, Richards TJ, Kaminski N, Cerdenes N, Mora AL, Rojas M. Aging mesenchymal stem cells fail to protect because of impaired migration and antiinflammatory response. </w:t>
      </w:r>
      <w:r w:rsidRPr="00565259">
        <w:rPr>
          <w:rFonts w:ascii="Book Antiqua" w:hAnsi="Book Antiqua"/>
          <w:i/>
          <w:sz w:val="24"/>
          <w:szCs w:val="24"/>
        </w:rPr>
        <w:t>Am J Respir Crit Care Med</w:t>
      </w:r>
      <w:r w:rsidRPr="00565259">
        <w:rPr>
          <w:rFonts w:ascii="Book Antiqua" w:hAnsi="Book Antiqua"/>
          <w:sz w:val="24"/>
          <w:szCs w:val="24"/>
        </w:rPr>
        <w:t xml:space="preserve"> 2014; </w:t>
      </w:r>
      <w:r w:rsidRPr="00565259">
        <w:rPr>
          <w:rFonts w:ascii="Book Antiqua" w:hAnsi="Book Antiqua"/>
          <w:b/>
          <w:sz w:val="24"/>
          <w:szCs w:val="24"/>
        </w:rPr>
        <w:t>189</w:t>
      </w:r>
      <w:r w:rsidRPr="00565259">
        <w:rPr>
          <w:rFonts w:ascii="Book Antiqua" w:hAnsi="Book Antiqua"/>
          <w:sz w:val="24"/>
          <w:szCs w:val="24"/>
        </w:rPr>
        <w:t>: 787-798 [PMID: 24559482 DOI: 10.1164/rccm.201306-1043OC]</w:t>
      </w:r>
    </w:p>
    <w:p w14:paraId="2AD6D911"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50 </w:t>
      </w:r>
      <w:r w:rsidRPr="00565259">
        <w:rPr>
          <w:rFonts w:ascii="Book Antiqua" w:hAnsi="Book Antiqua"/>
          <w:b/>
          <w:sz w:val="24"/>
          <w:szCs w:val="24"/>
        </w:rPr>
        <w:t>Yang YM</w:t>
      </w:r>
      <w:r w:rsidRPr="00565259">
        <w:rPr>
          <w:rFonts w:ascii="Book Antiqua" w:hAnsi="Book Antiqua"/>
          <w:sz w:val="24"/>
          <w:szCs w:val="24"/>
        </w:rPr>
        <w:t xml:space="preserve">, Li P, Cui DC, Dang RJ, Zhang L, Wen N, Jiang XX. Effect of aged bone marrow microenvironment on mesenchymal stem cell migration. </w:t>
      </w:r>
      <w:r w:rsidRPr="00565259">
        <w:rPr>
          <w:rFonts w:ascii="Book Antiqua" w:hAnsi="Book Antiqua"/>
          <w:i/>
          <w:sz w:val="24"/>
          <w:szCs w:val="24"/>
        </w:rPr>
        <w:t>Age (Dordr)</w:t>
      </w:r>
      <w:r w:rsidRPr="00565259">
        <w:rPr>
          <w:rFonts w:ascii="Book Antiqua" w:hAnsi="Book Antiqua"/>
          <w:sz w:val="24"/>
          <w:szCs w:val="24"/>
        </w:rPr>
        <w:t xml:space="preserve"> 2015; </w:t>
      </w:r>
      <w:r w:rsidRPr="00565259">
        <w:rPr>
          <w:rFonts w:ascii="Book Antiqua" w:hAnsi="Book Antiqua"/>
          <w:b/>
          <w:sz w:val="24"/>
          <w:szCs w:val="24"/>
        </w:rPr>
        <w:t>37</w:t>
      </w:r>
      <w:r w:rsidRPr="00565259">
        <w:rPr>
          <w:rFonts w:ascii="Book Antiqua" w:hAnsi="Book Antiqua"/>
          <w:sz w:val="24"/>
          <w:szCs w:val="24"/>
        </w:rPr>
        <w:t>: 16 [PMID: 25693923 DOI: 10.1007/s11357-014-9743-z]</w:t>
      </w:r>
    </w:p>
    <w:p w14:paraId="0F521FB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51 </w:t>
      </w:r>
      <w:r w:rsidRPr="00565259">
        <w:rPr>
          <w:rFonts w:ascii="Book Antiqua" w:hAnsi="Book Antiqua"/>
          <w:b/>
          <w:sz w:val="24"/>
          <w:szCs w:val="24"/>
        </w:rPr>
        <w:t>Zaim M</w:t>
      </w:r>
      <w:r w:rsidRPr="00565259">
        <w:rPr>
          <w:rFonts w:ascii="Book Antiqua" w:hAnsi="Book Antiqua"/>
          <w:sz w:val="24"/>
          <w:szCs w:val="24"/>
        </w:rPr>
        <w:t xml:space="preserve">, Karaman S, Cetin G, Isik S. Donor age and long-term culture affect differentiation and proliferation of human bone marrow mesenchymal stem cells. </w:t>
      </w:r>
      <w:r w:rsidRPr="00565259">
        <w:rPr>
          <w:rFonts w:ascii="Book Antiqua" w:hAnsi="Book Antiqua"/>
          <w:i/>
          <w:sz w:val="24"/>
          <w:szCs w:val="24"/>
        </w:rPr>
        <w:t>Ann Hematol</w:t>
      </w:r>
      <w:r w:rsidRPr="00565259">
        <w:rPr>
          <w:rFonts w:ascii="Book Antiqua" w:hAnsi="Book Antiqua"/>
          <w:sz w:val="24"/>
          <w:szCs w:val="24"/>
        </w:rPr>
        <w:t xml:space="preserve"> 2012; </w:t>
      </w:r>
      <w:r w:rsidRPr="00565259">
        <w:rPr>
          <w:rFonts w:ascii="Book Antiqua" w:hAnsi="Book Antiqua"/>
          <w:b/>
          <w:sz w:val="24"/>
          <w:szCs w:val="24"/>
        </w:rPr>
        <w:t>91</w:t>
      </w:r>
      <w:r w:rsidRPr="00565259">
        <w:rPr>
          <w:rFonts w:ascii="Book Antiqua" w:hAnsi="Book Antiqua"/>
          <w:sz w:val="24"/>
          <w:szCs w:val="24"/>
        </w:rPr>
        <w:t>: 1175-1186 [PMID: 22395436 DOI: 10.1007/s00277-012-1438-x]</w:t>
      </w:r>
    </w:p>
    <w:p w14:paraId="5C98893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52 </w:t>
      </w:r>
      <w:r w:rsidRPr="00565259">
        <w:rPr>
          <w:rFonts w:ascii="Book Antiqua" w:hAnsi="Book Antiqua"/>
          <w:b/>
          <w:sz w:val="24"/>
          <w:szCs w:val="24"/>
        </w:rPr>
        <w:t>Kretlow JD</w:t>
      </w:r>
      <w:r w:rsidRPr="00565259">
        <w:rPr>
          <w:rFonts w:ascii="Book Antiqua" w:hAnsi="Book Antiqua"/>
          <w:sz w:val="24"/>
          <w:szCs w:val="24"/>
        </w:rPr>
        <w:t xml:space="preserve">, Jin YQ, Liu W, Zhang WJ, Hong TH, Zhou G, Baggett LS, Mikos AG, Cao Y. Donor age and cell passage affects differentiation potential of murine bone marrow-derived stem cells. </w:t>
      </w:r>
      <w:r w:rsidRPr="00565259">
        <w:rPr>
          <w:rFonts w:ascii="Book Antiqua" w:hAnsi="Book Antiqua"/>
          <w:i/>
          <w:sz w:val="24"/>
          <w:szCs w:val="24"/>
        </w:rPr>
        <w:t>BMC Cell Biol</w:t>
      </w:r>
      <w:r w:rsidRPr="00565259">
        <w:rPr>
          <w:rFonts w:ascii="Book Antiqua" w:hAnsi="Book Antiqua"/>
          <w:sz w:val="24"/>
          <w:szCs w:val="24"/>
        </w:rPr>
        <w:t xml:space="preserve"> 2008; </w:t>
      </w:r>
      <w:r w:rsidRPr="00565259">
        <w:rPr>
          <w:rFonts w:ascii="Book Antiqua" w:hAnsi="Book Antiqua"/>
          <w:b/>
          <w:sz w:val="24"/>
          <w:szCs w:val="24"/>
        </w:rPr>
        <w:t>9</w:t>
      </w:r>
      <w:r w:rsidRPr="00565259">
        <w:rPr>
          <w:rFonts w:ascii="Book Antiqua" w:hAnsi="Book Antiqua"/>
          <w:sz w:val="24"/>
          <w:szCs w:val="24"/>
        </w:rPr>
        <w:t>: 60 [PMID: 18957087 DOI: 10.1186/1471-2121-9-60]</w:t>
      </w:r>
    </w:p>
    <w:p w14:paraId="62D446D0"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53 </w:t>
      </w:r>
      <w:r w:rsidRPr="00565259">
        <w:rPr>
          <w:rFonts w:ascii="Book Antiqua" w:hAnsi="Book Antiqua"/>
          <w:b/>
          <w:sz w:val="24"/>
          <w:szCs w:val="24"/>
        </w:rPr>
        <w:t>Justesen J</w:t>
      </w:r>
      <w:r w:rsidRPr="00565259">
        <w:rPr>
          <w:rFonts w:ascii="Book Antiqua" w:hAnsi="Book Antiqua"/>
          <w:sz w:val="24"/>
          <w:szCs w:val="24"/>
        </w:rPr>
        <w:t xml:space="preserve">, Stenderup K, Eriksen EF, Kassem M. Maintenance of osteoblastic and adipocytic differentiation potential with age and osteoporosis in human marrow stromal cell cultures. </w:t>
      </w:r>
      <w:r w:rsidRPr="00565259">
        <w:rPr>
          <w:rFonts w:ascii="Book Antiqua" w:hAnsi="Book Antiqua"/>
          <w:i/>
          <w:sz w:val="24"/>
          <w:szCs w:val="24"/>
        </w:rPr>
        <w:t>Calcif Tissue Int</w:t>
      </w:r>
      <w:r w:rsidRPr="00565259">
        <w:rPr>
          <w:rFonts w:ascii="Book Antiqua" w:hAnsi="Book Antiqua"/>
          <w:sz w:val="24"/>
          <w:szCs w:val="24"/>
        </w:rPr>
        <w:t xml:space="preserve"> 2002; </w:t>
      </w:r>
      <w:r w:rsidRPr="00565259">
        <w:rPr>
          <w:rFonts w:ascii="Book Antiqua" w:hAnsi="Book Antiqua"/>
          <w:b/>
          <w:sz w:val="24"/>
          <w:szCs w:val="24"/>
        </w:rPr>
        <w:t>71</w:t>
      </w:r>
      <w:r w:rsidRPr="00565259">
        <w:rPr>
          <w:rFonts w:ascii="Book Antiqua" w:hAnsi="Book Antiqua"/>
          <w:sz w:val="24"/>
          <w:szCs w:val="24"/>
        </w:rPr>
        <w:t>: 36-44 [PMID: 12200657 DOI: 10.1007/s00223-001-2059-x]</w:t>
      </w:r>
    </w:p>
    <w:p w14:paraId="04AD78E0"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54 </w:t>
      </w:r>
      <w:r w:rsidRPr="00565259">
        <w:rPr>
          <w:rFonts w:ascii="Book Antiqua" w:hAnsi="Book Antiqua"/>
          <w:b/>
          <w:sz w:val="24"/>
          <w:szCs w:val="24"/>
        </w:rPr>
        <w:t>Fickert S</w:t>
      </w:r>
      <w:r w:rsidRPr="00565259">
        <w:rPr>
          <w:rFonts w:ascii="Book Antiqua" w:hAnsi="Book Antiqua"/>
          <w:sz w:val="24"/>
          <w:szCs w:val="24"/>
        </w:rPr>
        <w:t xml:space="preserve">, Schröter-Bobsin U, Gross AF, Hempel U, Wojciechowski C, Rentsch C, Corbeil D, Günther KP. Human mesenchymal stem cell proliferation and osteogenic differentiation during long-term ex vivo cultivation is not age dependent. </w:t>
      </w:r>
      <w:r w:rsidRPr="00565259">
        <w:rPr>
          <w:rFonts w:ascii="Book Antiqua" w:hAnsi="Book Antiqua"/>
          <w:i/>
          <w:sz w:val="24"/>
          <w:szCs w:val="24"/>
        </w:rPr>
        <w:t>J Bone Miner Metab</w:t>
      </w:r>
      <w:r w:rsidRPr="00565259">
        <w:rPr>
          <w:rFonts w:ascii="Book Antiqua" w:hAnsi="Book Antiqua"/>
          <w:sz w:val="24"/>
          <w:szCs w:val="24"/>
        </w:rPr>
        <w:t xml:space="preserve"> 2011; </w:t>
      </w:r>
      <w:r w:rsidRPr="00565259">
        <w:rPr>
          <w:rFonts w:ascii="Book Antiqua" w:hAnsi="Book Antiqua"/>
          <w:b/>
          <w:sz w:val="24"/>
          <w:szCs w:val="24"/>
        </w:rPr>
        <w:t>29</w:t>
      </w:r>
      <w:r w:rsidRPr="00565259">
        <w:rPr>
          <w:rFonts w:ascii="Book Antiqua" w:hAnsi="Book Antiqua"/>
          <w:sz w:val="24"/>
          <w:szCs w:val="24"/>
        </w:rPr>
        <w:t>: 224-235 [PMID: 20811759 DOI: 10.1007/s00774-010-0215-y]</w:t>
      </w:r>
    </w:p>
    <w:p w14:paraId="0E02DEA7"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55 </w:t>
      </w:r>
      <w:r w:rsidRPr="00565259">
        <w:rPr>
          <w:rFonts w:ascii="Book Antiqua" w:hAnsi="Book Antiqua"/>
          <w:b/>
          <w:sz w:val="24"/>
          <w:szCs w:val="24"/>
        </w:rPr>
        <w:t>Scharstuhl A</w:t>
      </w:r>
      <w:r w:rsidRPr="00565259">
        <w:rPr>
          <w:rFonts w:ascii="Book Antiqua" w:hAnsi="Book Antiqua"/>
          <w:sz w:val="24"/>
          <w:szCs w:val="24"/>
        </w:rPr>
        <w:t xml:space="preserve">, Schewe B, Benz K, Gaissmaier C, Bühring HJ, Stoop R. Chondrogenic potential of human adult mesenchymal stem cells is independent of age or osteoarthritis etiology. </w:t>
      </w:r>
      <w:r w:rsidRPr="00565259">
        <w:rPr>
          <w:rFonts w:ascii="Book Antiqua" w:hAnsi="Book Antiqua"/>
          <w:i/>
          <w:sz w:val="24"/>
          <w:szCs w:val="24"/>
        </w:rPr>
        <w:t>Stem Cells</w:t>
      </w:r>
      <w:r w:rsidRPr="00565259">
        <w:rPr>
          <w:rFonts w:ascii="Book Antiqua" w:hAnsi="Book Antiqua"/>
          <w:sz w:val="24"/>
          <w:szCs w:val="24"/>
        </w:rPr>
        <w:t xml:space="preserve"> 2007; </w:t>
      </w:r>
      <w:r w:rsidRPr="00565259">
        <w:rPr>
          <w:rFonts w:ascii="Book Antiqua" w:hAnsi="Book Antiqua"/>
          <w:b/>
          <w:sz w:val="24"/>
          <w:szCs w:val="24"/>
        </w:rPr>
        <w:t>25</w:t>
      </w:r>
      <w:r w:rsidRPr="00565259">
        <w:rPr>
          <w:rFonts w:ascii="Book Antiqua" w:hAnsi="Book Antiqua"/>
          <w:sz w:val="24"/>
          <w:szCs w:val="24"/>
        </w:rPr>
        <w:t>: 3244-3251 [PMID: 17872501 DOI: 10.1634/stemcells.2007-0300]</w:t>
      </w:r>
    </w:p>
    <w:p w14:paraId="1F2465C4"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56 </w:t>
      </w:r>
      <w:r w:rsidRPr="00565259">
        <w:rPr>
          <w:rFonts w:ascii="Book Antiqua" w:hAnsi="Book Antiqua"/>
          <w:b/>
          <w:sz w:val="24"/>
          <w:szCs w:val="24"/>
        </w:rPr>
        <w:t>Meyer RA Jr</w:t>
      </w:r>
      <w:r w:rsidRPr="00565259">
        <w:rPr>
          <w:rFonts w:ascii="Book Antiqua" w:hAnsi="Book Antiqua"/>
          <w:sz w:val="24"/>
          <w:szCs w:val="24"/>
        </w:rPr>
        <w:t xml:space="preserve">, Meyer MH, Tenholder M, Wondracek S, Wasserman R, Garges P. Gene expression in older rats with delayed union of femoral fractures. </w:t>
      </w:r>
      <w:r w:rsidRPr="00565259">
        <w:rPr>
          <w:rFonts w:ascii="Book Antiqua" w:hAnsi="Book Antiqua"/>
          <w:i/>
          <w:sz w:val="24"/>
          <w:szCs w:val="24"/>
        </w:rPr>
        <w:t>J Bone Joint Surg Am</w:t>
      </w:r>
      <w:r w:rsidRPr="00565259">
        <w:rPr>
          <w:rFonts w:ascii="Book Antiqua" w:hAnsi="Book Antiqua"/>
          <w:sz w:val="24"/>
          <w:szCs w:val="24"/>
        </w:rPr>
        <w:t xml:space="preserve"> 2003; </w:t>
      </w:r>
      <w:r w:rsidRPr="00565259">
        <w:rPr>
          <w:rFonts w:ascii="Book Antiqua" w:hAnsi="Book Antiqua"/>
          <w:b/>
          <w:sz w:val="24"/>
          <w:szCs w:val="24"/>
        </w:rPr>
        <w:t>85</w:t>
      </w:r>
      <w:r w:rsidRPr="00565259">
        <w:rPr>
          <w:rFonts w:ascii="Book Antiqua" w:hAnsi="Book Antiqua"/>
          <w:sz w:val="24"/>
          <w:szCs w:val="24"/>
        </w:rPr>
        <w:t>: 1243-1254 [PMID: 12851349 DOI: 10.2106/00004623-200307000-00010]</w:t>
      </w:r>
    </w:p>
    <w:p w14:paraId="5260D36A"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57 </w:t>
      </w:r>
      <w:r w:rsidRPr="00565259">
        <w:rPr>
          <w:rFonts w:ascii="Book Antiqua" w:hAnsi="Book Antiqua"/>
          <w:b/>
          <w:sz w:val="24"/>
          <w:szCs w:val="24"/>
        </w:rPr>
        <w:t>Volk SW</w:t>
      </w:r>
      <w:r w:rsidRPr="00565259">
        <w:rPr>
          <w:rFonts w:ascii="Book Antiqua" w:hAnsi="Book Antiqua"/>
          <w:sz w:val="24"/>
          <w:szCs w:val="24"/>
        </w:rPr>
        <w:t xml:space="preserve">, Diefenderfer DL, Christopher SA, Haskins ME, Leboy PS. Effects of osteogenic inducers on cultures of canine mesenchymal stem cells. </w:t>
      </w:r>
      <w:r w:rsidRPr="00565259">
        <w:rPr>
          <w:rFonts w:ascii="Book Antiqua" w:hAnsi="Book Antiqua"/>
          <w:i/>
          <w:sz w:val="24"/>
          <w:szCs w:val="24"/>
        </w:rPr>
        <w:t>Am J Vet Res</w:t>
      </w:r>
      <w:r w:rsidRPr="00565259">
        <w:rPr>
          <w:rFonts w:ascii="Book Antiqua" w:hAnsi="Book Antiqua"/>
          <w:sz w:val="24"/>
          <w:szCs w:val="24"/>
        </w:rPr>
        <w:t xml:space="preserve"> 2005; </w:t>
      </w:r>
      <w:r w:rsidRPr="00565259">
        <w:rPr>
          <w:rFonts w:ascii="Book Antiqua" w:hAnsi="Book Antiqua"/>
          <w:b/>
          <w:sz w:val="24"/>
          <w:szCs w:val="24"/>
        </w:rPr>
        <w:t>66</w:t>
      </w:r>
      <w:r w:rsidRPr="00565259">
        <w:rPr>
          <w:rFonts w:ascii="Book Antiqua" w:hAnsi="Book Antiqua"/>
          <w:sz w:val="24"/>
          <w:szCs w:val="24"/>
        </w:rPr>
        <w:t>: 1729-1737 [PMID: 16273904 DOI: 10.2460/ajvr.2005.66.1729]</w:t>
      </w:r>
    </w:p>
    <w:p w14:paraId="679B60B9"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58 </w:t>
      </w:r>
      <w:r w:rsidRPr="00565259">
        <w:rPr>
          <w:rFonts w:ascii="Book Antiqua" w:hAnsi="Book Antiqua"/>
          <w:b/>
          <w:sz w:val="24"/>
          <w:szCs w:val="24"/>
        </w:rPr>
        <w:t>Osyczka AM</w:t>
      </w:r>
      <w:r w:rsidRPr="00565259">
        <w:rPr>
          <w:rFonts w:ascii="Book Antiqua" w:hAnsi="Book Antiqua"/>
          <w:sz w:val="24"/>
          <w:szCs w:val="24"/>
        </w:rPr>
        <w:t xml:space="preserve">, Damek-Poprawa M, Wojtowicz A, Akintoye SO. Age and skeletal sites affect BMP-2 responsiveness of human bone marrow stromal cells. </w:t>
      </w:r>
      <w:r w:rsidRPr="00565259">
        <w:rPr>
          <w:rFonts w:ascii="Book Antiqua" w:hAnsi="Book Antiqua"/>
          <w:i/>
          <w:sz w:val="24"/>
          <w:szCs w:val="24"/>
        </w:rPr>
        <w:t>Connect Tissue Res</w:t>
      </w:r>
      <w:r w:rsidRPr="00565259">
        <w:rPr>
          <w:rFonts w:ascii="Book Antiqua" w:hAnsi="Book Antiqua"/>
          <w:sz w:val="24"/>
          <w:szCs w:val="24"/>
        </w:rPr>
        <w:t xml:space="preserve"> 2009; </w:t>
      </w:r>
      <w:r w:rsidRPr="00565259">
        <w:rPr>
          <w:rFonts w:ascii="Book Antiqua" w:hAnsi="Book Antiqua"/>
          <w:b/>
          <w:sz w:val="24"/>
          <w:szCs w:val="24"/>
        </w:rPr>
        <w:t>50</w:t>
      </w:r>
      <w:r w:rsidRPr="00565259">
        <w:rPr>
          <w:rFonts w:ascii="Book Antiqua" w:hAnsi="Book Antiqua"/>
          <w:sz w:val="24"/>
          <w:szCs w:val="24"/>
        </w:rPr>
        <w:t>: 270-277 [PMID: 19637063 DOI: 10.1080/03008200902846262]</w:t>
      </w:r>
    </w:p>
    <w:p w14:paraId="4EDA838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59 </w:t>
      </w:r>
      <w:r w:rsidRPr="00565259">
        <w:rPr>
          <w:rFonts w:ascii="Book Antiqua" w:hAnsi="Book Antiqua"/>
          <w:b/>
          <w:sz w:val="24"/>
          <w:szCs w:val="24"/>
        </w:rPr>
        <w:t>Yeler H</w:t>
      </w:r>
      <w:r w:rsidRPr="00565259">
        <w:rPr>
          <w:rFonts w:ascii="Book Antiqua" w:hAnsi="Book Antiqua"/>
          <w:sz w:val="24"/>
          <w:szCs w:val="24"/>
        </w:rPr>
        <w:t xml:space="preserve">, Tahtabas F, Candan F. Investigation of oxidative stress during fracture healing in the rats. </w:t>
      </w:r>
      <w:r w:rsidRPr="00565259">
        <w:rPr>
          <w:rFonts w:ascii="Book Antiqua" w:hAnsi="Book Antiqua"/>
          <w:i/>
          <w:sz w:val="24"/>
          <w:szCs w:val="24"/>
        </w:rPr>
        <w:t>Cell Biochem Funct</w:t>
      </w:r>
      <w:r w:rsidRPr="00565259">
        <w:rPr>
          <w:rFonts w:ascii="Book Antiqua" w:hAnsi="Book Antiqua"/>
          <w:sz w:val="24"/>
          <w:szCs w:val="24"/>
        </w:rPr>
        <w:t xml:space="preserve"> 2005; </w:t>
      </w:r>
      <w:r w:rsidRPr="00565259">
        <w:rPr>
          <w:rFonts w:ascii="Book Antiqua" w:hAnsi="Book Antiqua"/>
          <w:b/>
          <w:sz w:val="24"/>
          <w:szCs w:val="24"/>
        </w:rPr>
        <w:t>23</w:t>
      </w:r>
      <w:r w:rsidRPr="00565259">
        <w:rPr>
          <w:rFonts w:ascii="Book Antiqua" w:hAnsi="Book Antiqua"/>
          <w:sz w:val="24"/>
          <w:szCs w:val="24"/>
        </w:rPr>
        <w:t>: 137-139 [PMID: 15651080 DOI: 10.1002/cbf.1199]</w:t>
      </w:r>
    </w:p>
    <w:p w14:paraId="2FF4C895"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60 </w:t>
      </w:r>
      <w:r w:rsidRPr="00565259">
        <w:rPr>
          <w:rFonts w:ascii="Book Antiqua" w:hAnsi="Book Antiqua"/>
          <w:b/>
          <w:sz w:val="24"/>
          <w:szCs w:val="24"/>
        </w:rPr>
        <w:t>Turgut A</w:t>
      </w:r>
      <w:r w:rsidRPr="00565259">
        <w:rPr>
          <w:rFonts w:ascii="Book Antiqua" w:hAnsi="Book Antiqua"/>
          <w:sz w:val="24"/>
          <w:szCs w:val="24"/>
        </w:rPr>
        <w:t xml:space="preserve">, Göktürk E, Köse N, Kaçmaz M, Oztürk HS, Seber S, Acar S. Oxidant status increased during fracture healing in rats. </w:t>
      </w:r>
      <w:r w:rsidRPr="00565259">
        <w:rPr>
          <w:rFonts w:ascii="Book Antiqua" w:hAnsi="Book Antiqua"/>
          <w:i/>
          <w:sz w:val="24"/>
          <w:szCs w:val="24"/>
        </w:rPr>
        <w:t>Acta Orthop Scand</w:t>
      </w:r>
      <w:r w:rsidRPr="00565259">
        <w:rPr>
          <w:rFonts w:ascii="Book Antiqua" w:hAnsi="Book Antiqua"/>
          <w:sz w:val="24"/>
          <w:szCs w:val="24"/>
        </w:rPr>
        <w:t xml:space="preserve"> 1999; </w:t>
      </w:r>
      <w:r w:rsidRPr="00565259">
        <w:rPr>
          <w:rFonts w:ascii="Book Antiqua" w:hAnsi="Book Antiqua"/>
          <w:b/>
          <w:sz w:val="24"/>
          <w:szCs w:val="24"/>
        </w:rPr>
        <w:t>70</w:t>
      </w:r>
      <w:r w:rsidRPr="00565259">
        <w:rPr>
          <w:rFonts w:ascii="Book Antiqua" w:hAnsi="Book Antiqua"/>
          <w:sz w:val="24"/>
          <w:szCs w:val="24"/>
        </w:rPr>
        <w:t>: 487-490 [PMID: 10622483 DOI: 10.3109/17453679909000986]</w:t>
      </w:r>
    </w:p>
    <w:p w14:paraId="5CBFBD3D"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61 </w:t>
      </w:r>
      <w:r w:rsidRPr="00565259">
        <w:rPr>
          <w:rFonts w:ascii="Book Antiqua" w:hAnsi="Book Antiqua"/>
          <w:b/>
          <w:sz w:val="24"/>
          <w:szCs w:val="24"/>
        </w:rPr>
        <w:t>Prasad G</w:t>
      </w:r>
      <w:r w:rsidRPr="00565259">
        <w:rPr>
          <w:rFonts w:ascii="Book Antiqua" w:hAnsi="Book Antiqua"/>
          <w:sz w:val="24"/>
          <w:szCs w:val="24"/>
        </w:rPr>
        <w:t xml:space="preserve">, Dhillon MS, Khullar M, Nagi ON. Evaluation of oxidative stress after fractures. A preliminary study. </w:t>
      </w:r>
      <w:r w:rsidRPr="00565259">
        <w:rPr>
          <w:rFonts w:ascii="Book Antiqua" w:hAnsi="Book Antiqua"/>
          <w:i/>
          <w:sz w:val="24"/>
          <w:szCs w:val="24"/>
        </w:rPr>
        <w:t>Acta Orthop Belg</w:t>
      </w:r>
      <w:r w:rsidRPr="00565259">
        <w:rPr>
          <w:rFonts w:ascii="Book Antiqua" w:hAnsi="Book Antiqua"/>
          <w:sz w:val="24"/>
          <w:szCs w:val="24"/>
        </w:rPr>
        <w:t xml:space="preserve"> 2003; </w:t>
      </w:r>
      <w:r w:rsidRPr="00565259">
        <w:rPr>
          <w:rFonts w:ascii="Book Antiqua" w:hAnsi="Book Antiqua"/>
          <w:b/>
          <w:sz w:val="24"/>
          <w:szCs w:val="24"/>
        </w:rPr>
        <w:t>69</w:t>
      </w:r>
      <w:r w:rsidRPr="00565259">
        <w:rPr>
          <w:rFonts w:ascii="Book Antiqua" w:hAnsi="Book Antiqua"/>
          <w:sz w:val="24"/>
          <w:szCs w:val="24"/>
        </w:rPr>
        <w:t>: 546-551 [PMID: 14748113]</w:t>
      </w:r>
    </w:p>
    <w:p w14:paraId="42CBC771"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62 </w:t>
      </w:r>
      <w:r w:rsidRPr="00565259">
        <w:rPr>
          <w:rFonts w:ascii="Book Antiqua" w:hAnsi="Book Antiqua"/>
          <w:b/>
          <w:sz w:val="24"/>
          <w:szCs w:val="24"/>
        </w:rPr>
        <w:t>Johnson CS</w:t>
      </w:r>
      <w:r w:rsidRPr="00565259">
        <w:rPr>
          <w:rFonts w:ascii="Book Antiqua" w:hAnsi="Book Antiqua"/>
          <w:sz w:val="24"/>
          <w:szCs w:val="24"/>
        </w:rPr>
        <w:t xml:space="preserve">, Blanton MR, Hunter ES 3rd. Effects of ethanol and hydrogen peroxide on mouse limb bud mesenchyme differentiation and cell death. </w:t>
      </w:r>
      <w:r w:rsidRPr="00565259">
        <w:rPr>
          <w:rFonts w:ascii="Book Antiqua" w:hAnsi="Book Antiqua"/>
          <w:i/>
          <w:sz w:val="24"/>
          <w:szCs w:val="24"/>
        </w:rPr>
        <w:t>In Vitro Cell Dev Biol Anim</w:t>
      </w:r>
      <w:r w:rsidRPr="00565259">
        <w:rPr>
          <w:rFonts w:ascii="Book Antiqua" w:hAnsi="Book Antiqua"/>
          <w:sz w:val="24"/>
          <w:szCs w:val="24"/>
        </w:rPr>
        <w:t xml:space="preserve"> 2004; </w:t>
      </w:r>
      <w:r w:rsidRPr="00565259">
        <w:rPr>
          <w:rFonts w:ascii="Book Antiqua" w:hAnsi="Book Antiqua"/>
          <w:b/>
          <w:sz w:val="24"/>
          <w:szCs w:val="24"/>
        </w:rPr>
        <w:t>40</w:t>
      </w:r>
      <w:r w:rsidRPr="00565259">
        <w:rPr>
          <w:rFonts w:ascii="Book Antiqua" w:hAnsi="Book Antiqua"/>
          <w:sz w:val="24"/>
          <w:szCs w:val="24"/>
        </w:rPr>
        <w:t>: 108-112 [PMID: 15311970 DOI: 10.1290/0312095]</w:t>
      </w:r>
    </w:p>
    <w:p w14:paraId="1EAF24AD"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63 </w:t>
      </w:r>
      <w:r w:rsidRPr="00565259">
        <w:rPr>
          <w:rFonts w:ascii="Book Antiqua" w:hAnsi="Book Antiqua"/>
          <w:b/>
          <w:sz w:val="24"/>
          <w:szCs w:val="24"/>
        </w:rPr>
        <w:t>Morita K</w:t>
      </w:r>
      <w:r w:rsidRPr="00565259">
        <w:rPr>
          <w:rFonts w:ascii="Book Antiqua" w:hAnsi="Book Antiqua"/>
          <w:sz w:val="24"/>
          <w:szCs w:val="24"/>
        </w:rPr>
        <w:t xml:space="preserve">, Miyamoto T, Fujita N, Kubota Y, Ito K, Takubo K, Miyamoto K, Ninomiya K, Suzuki T, Iwasaki R, Yagi M, Takaishi H, Toyama Y, Suda T. Reactive oxygen species induce chondrocyte hypertrophy in endochondral ossification. </w:t>
      </w:r>
      <w:r w:rsidRPr="00565259">
        <w:rPr>
          <w:rFonts w:ascii="Book Antiqua" w:hAnsi="Book Antiqua"/>
          <w:i/>
          <w:sz w:val="24"/>
          <w:szCs w:val="24"/>
        </w:rPr>
        <w:t>J Exp Med</w:t>
      </w:r>
      <w:r w:rsidRPr="00565259">
        <w:rPr>
          <w:rFonts w:ascii="Book Antiqua" w:hAnsi="Book Antiqua"/>
          <w:sz w:val="24"/>
          <w:szCs w:val="24"/>
        </w:rPr>
        <w:t xml:space="preserve"> 2007; </w:t>
      </w:r>
      <w:r w:rsidRPr="00565259">
        <w:rPr>
          <w:rFonts w:ascii="Book Antiqua" w:hAnsi="Book Antiqua"/>
          <w:b/>
          <w:sz w:val="24"/>
          <w:szCs w:val="24"/>
        </w:rPr>
        <w:t>204</w:t>
      </w:r>
      <w:r w:rsidRPr="00565259">
        <w:rPr>
          <w:rFonts w:ascii="Book Antiqua" w:hAnsi="Book Antiqua"/>
          <w:sz w:val="24"/>
          <w:szCs w:val="24"/>
        </w:rPr>
        <w:t>: 1613-1623 [PMID: 17576777 DOI: 10.1084/jem.20062525]</w:t>
      </w:r>
    </w:p>
    <w:p w14:paraId="401EC68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64 </w:t>
      </w:r>
      <w:r w:rsidRPr="00565259">
        <w:rPr>
          <w:rFonts w:ascii="Book Antiqua" w:hAnsi="Book Antiqua"/>
          <w:b/>
          <w:sz w:val="24"/>
          <w:szCs w:val="24"/>
        </w:rPr>
        <w:t>Tahara EB</w:t>
      </w:r>
      <w:r w:rsidRPr="00565259">
        <w:rPr>
          <w:rFonts w:ascii="Book Antiqua" w:hAnsi="Book Antiqua"/>
          <w:sz w:val="24"/>
          <w:szCs w:val="24"/>
        </w:rPr>
        <w:t xml:space="preserve">, Navarete FD, Kowaltowski AJ. Tissue-, substrate-, and site-specific characteristics of mitochondrial reactive oxygen species generation. </w:t>
      </w:r>
      <w:r w:rsidRPr="00565259">
        <w:rPr>
          <w:rFonts w:ascii="Book Antiqua" w:hAnsi="Book Antiqua"/>
          <w:i/>
          <w:sz w:val="24"/>
          <w:szCs w:val="24"/>
        </w:rPr>
        <w:t>Free Radic Biol Med</w:t>
      </w:r>
      <w:r w:rsidRPr="00565259">
        <w:rPr>
          <w:rFonts w:ascii="Book Antiqua" w:hAnsi="Book Antiqua"/>
          <w:sz w:val="24"/>
          <w:szCs w:val="24"/>
        </w:rPr>
        <w:t xml:space="preserve"> 2009; </w:t>
      </w:r>
      <w:r w:rsidRPr="00565259">
        <w:rPr>
          <w:rFonts w:ascii="Book Antiqua" w:hAnsi="Book Antiqua"/>
          <w:b/>
          <w:sz w:val="24"/>
          <w:szCs w:val="24"/>
        </w:rPr>
        <w:t>46</w:t>
      </w:r>
      <w:r w:rsidRPr="00565259">
        <w:rPr>
          <w:rFonts w:ascii="Book Antiqua" w:hAnsi="Book Antiqua"/>
          <w:sz w:val="24"/>
          <w:szCs w:val="24"/>
        </w:rPr>
        <w:t>: 1283-1297 [PMID: 19245829 DOI: 10.1016/j.freeradbiomed.2009.02.008]</w:t>
      </w:r>
    </w:p>
    <w:p w14:paraId="77B32665"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65 </w:t>
      </w:r>
      <w:r w:rsidRPr="00565259">
        <w:rPr>
          <w:rFonts w:ascii="Book Antiqua" w:hAnsi="Book Antiqua"/>
          <w:b/>
          <w:sz w:val="24"/>
          <w:szCs w:val="24"/>
        </w:rPr>
        <w:t>Lee DH</w:t>
      </w:r>
      <w:r w:rsidRPr="00565259">
        <w:rPr>
          <w:rFonts w:ascii="Book Antiqua" w:hAnsi="Book Antiqua"/>
          <w:sz w:val="24"/>
          <w:szCs w:val="24"/>
        </w:rPr>
        <w:t xml:space="preserve">, Lim BS, Lee YK, Yang HC. Effects of hydrogen peroxide (H2O2) on alkaline phosphatase activity and matrix mineralization of odontoblast and osteoblast cell lines. </w:t>
      </w:r>
      <w:r w:rsidRPr="00565259">
        <w:rPr>
          <w:rFonts w:ascii="Book Antiqua" w:hAnsi="Book Antiqua"/>
          <w:i/>
          <w:sz w:val="24"/>
          <w:szCs w:val="24"/>
        </w:rPr>
        <w:t>Cell Biol Toxicol</w:t>
      </w:r>
      <w:r w:rsidRPr="00565259">
        <w:rPr>
          <w:rFonts w:ascii="Book Antiqua" w:hAnsi="Book Antiqua"/>
          <w:sz w:val="24"/>
          <w:szCs w:val="24"/>
        </w:rPr>
        <w:t xml:space="preserve"> 2006; </w:t>
      </w:r>
      <w:r w:rsidRPr="00565259">
        <w:rPr>
          <w:rFonts w:ascii="Book Antiqua" w:hAnsi="Book Antiqua"/>
          <w:b/>
          <w:sz w:val="24"/>
          <w:szCs w:val="24"/>
        </w:rPr>
        <w:t>22</w:t>
      </w:r>
      <w:r w:rsidRPr="00565259">
        <w:rPr>
          <w:rFonts w:ascii="Book Antiqua" w:hAnsi="Book Antiqua"/>
          <w:sz w:val="24"/>
          <w:szCs w:val="24"/>
        </w:rPr>
        <w:t>: 39-46 [PMID: 16463018 DOI: 10.1007/s10565-006-0018-z]</w:t>
      </w:r>
    </w:p>
    <w:p w14:paraId="2ED4EC79"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66 </w:t>
      </w:r>
      <w:r w:rsidRPr="00565259">
        <w:rPr>
          <w:rFonts w:ascii="Book Antiqua" w:hAnsi="Book Antiqua"/>
          <w:b/>
          <w:sz w:val="24"/>
          <w:szCs w:val="24"/>
        </w:rPr>
        <w:t>Chen CT</w:t>
      </w:r>
      <w:r w:rsidRPr="00565259">
        <w:rPr>
          <w:rFonts w:ascii="Book Antiqua" w:hAnsi="Book Antiqua"/>
          <w:sz w:val="24"/>
          <w:szCs w:val="24"/>
        </w:rPr>
        <w:t xml:space="preserve">, Shih YR, Kuo TK, Lee OK, Wei YH. Coordinated changes of mitochondrial biogenesis and antioxidant enzymes during osteogenic differentiation of human mesenchymal stem cells. </w:t>
      </w:r>
      <w:r w:rsidRPr="00565259">
        <w:rPr>
          <w:rFonts w:ascii="Book Antiqua" w:hAnsi="Book Antiqua"/>
          <w:i/>
          <w:sz w:val="24"/>
          <w:szCs w:val="24"/>
        </w:rPr>
        <w:t>Stem Cells</w:t>
      </w:r>
      <w:r w:rsidRPr="00565259">
        <w:rPr>
          <w:rFonts w:ascii="Book Antiqua" w:hAnsi="Book Antiqua"/>
          <w:sz w:val="24"/>
          <w:szCs w:val="24"/>
        </w:rPr>
        <w:t xml:space="preserve"> 2008; </w:t>
      </w:r>
      <w:r w:rsidRPr="00565259">
        <w:rPr>
          <w:rFonts w:ascii="Book Antiqua" w:hAnsi="Book Antiqua"/>
          <w:b/>
          <w:sz w:val="24"/>
          <w:szCs w:val="24"/>
        </w:rPr>
        <w:t>26</w:t>
      </w:r>
      <w:r w:rsidRPr="00565259">
        <w:rPr>
          <w:rFonts w:ascii="Book Antiqua" w:hAnsi="Book Antiqua"/>
          <w:sz w:val="24"/>
          <w:szCs w:val="24"/>
        </w:rPr>
        <w:t>: 960-968 [PMID: 18218821 DOI: 10.1634/stemcells.2007-0509]</w:t>
      </w:r>
    </w:p>
    <w:p w14:paraId="3980BA7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67 </w:t>
      </w:r>
      <w:r w:rsidRPr="00565259">
        <w:rPr>
          <w:rFonts w:ascii="Book Antiqua" w:hAnsi="Book Antiqua"/>
          <w:b/>
          <w:sz w:val="24"/>
          <w:szCs w:val="24"/>
        </w:rPr>
        <w:t>Yuan HF</w:t>
      </w:r>
      <w:r w:rsidRPr="00565259">
        <w:rPr>
          <w:rFonts w:ascii="Book Antiqua" w:hAnsi="Book Antiqua"/>
          <w:sz w:val="24"/>
          <w:szCs w:val="24"/>
        </w:rPr>
        <w:t xml:space="preserve">, Zhai C, Yan XL, Zhao DD, Wang JX, Zeng Q, Chen L, Nan X, He LJ, Li ST, Yue W, Pei XT. SIRT1 is required for long-term growth of human mesenchymal stem cells. </w:t>
      </w:r>
      <w:r w:rsidRPr="00565259">
        <w:rPr>
          <w:rFonts w:ascii="Book Antiqua" w:hAnsi="Book Antiqua"/>
          <w:i/>
          <w:sz w:val="24"/>
          <w:szCs w:val="24"/>
        </w:rPr>
        <w:t>J Mol Med (Berl)</w:t>
      </w:r>
      <w:r w:rsidRPr="00565259">
        <w:rPr>
          <w:rFonts w:ascii="Book Antiqua" w:hAnsi="Book Antiqua"/>
          <w:sz w:val="24"/>
          <w:szCs w:val="24"/>
        </w:rPr>
        <w:t xml:space="preserve"> 2012; </w:t>
      </w:r>
      <w:r w:rsidRPr="00565259">
        <w:rPr>
          <w:rFonts w:ascii="Book Antiqua" w:hAnsi="Book Antiqua"/>
          <w:b/>
          <w:sz w:val="24"/>
          <w:szCs w:val="24"/>
        </w:rPr>
        <w:t>90</w:t>
      </w:r>
      <w:r w:rsidRPr="00565259">
        <w:rPr>
          <w:rFonts w:ascii="Book Antiqua" w:hAnsi="Book Antiqua"/>
          <w:sz w:val="24"/>
          <w:szCs w:val="24"/>
        </w:rPr>
        <w:t>: 389-400 [PMID: 22038097 DOI: 10.1007/s00109-011-0825-4]</w:t>
      </w:r>
    </w:p>
    <w:p w14:paraId="1A7F5A21"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68 </w:t>
      </w:r>
      <w:r w:rsidRPr="00565259">
        <w:rPr>
          <w:rFonts w:ascii="Book Antiqua" w:hAnsi="Book Antiqua"/>
          <w:b/>
          <w:sz w:val="24"/>
          <w:szCs w:val="24"/>
        </w:rPr>
        <w:t>Simic P</w:t>
      </w:r>
      <w:r w:rsidRPr="00565259">
        <w:rPr>
          <w:rFonts w:ascii="Book Antiqua" w:hAnsi="Book Antiqua"/>
          <w:sz w:val="24"/>
          <w:szCs w:val="24"/>
        </w:rPr>
        <w:t xml:space="preserve">, Zainabadi K, Bell E, Sykes DB, Saez B, Lotinun S, Baron R, Scadden D, Schipani E, Guarente L. SIRT1 regulates differentiation of mesenchymal stem cells by deacetylating β-catenin. </w:t>
      </w:r>
      <w:r w:rsidRPr="00565259">
        <w:rPr>
          <w:rFonts w:ascii="Book Antiqua" w:hAnsi="Book Antiqua"/>
          <w:i/>
          <w:sz w:val="24"/>
          <w:szCs w:val="24"/>
        </w:rPr>
        <w:t>EMBO Mol Med</w:t>
      </w:r>
      <w:r w:rsidRPr="00565259">
        <w:rPr>
          <w:rFonts w:ascii="Book Antiqua" w:hAnsi="Book Antiqua"/>
          <w:sz w:val="24"/>
          <w:szCs w:val="24"/>
        </w:rPr>
        <w:t xml:space="preserve"> 2013; </w:t>
      </w:r>
      <w:r w:rsidRPr="00565259">
        <w:rPr>
          <w:rFonts w:ascii="Book Antiqua" w:hAnsi="Book Antiqua"/>
          <w:b/>
          <w:sz w:val="24"/>
          <w:szCs w:val="24"/>
        </w:rPr>
        <w:t>5</w:t>
      </w:r>
      <w:r w:rsidRPr="00565259">
        <w:rPr>
          <w:rFonts w:ascii="Book Antiqua" w:hAnsi="Book Antiqua"/>
          <w:sz w:val="24"/>
          <w:szCs w:val="24"/>
        </w:rPr>
        <w:t>: 430-440 [PMID: 23364955 DOI: 10.1002/emmm.201201606]</w:t>
      </w:r>
    </w:p>
    <w:p w14:paraId="22B15C1D"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69 </w:t>
      </w:r>
      <w:r w:rsidRPr="00565259">
        <w:rPr>
          <w:rFonts w:ascii="Book Antiqua" w:hAnsi="Book Antiqua"/>
          <w:b/>
          <w:sz w:val="24"/>
          <w:szCs w:val="24"/>
        </w:rPr>
        <w:t>Cohen-Kfir E</w:t>
      </w:r>
      <w:r w:rsidRPr="00565259">
        <w:rPr>
          <w:rFonts w:ascii="Book Antiqua" w:hAnsi="Book Antiqua"/>
          <w:sz w:val="24"/>
          <w:szCs w:val="24"/>
        </w:rPr>
        <w:t xml:space="preserve">, Artsi H, Levin A, Abramowitz E, Bajayo A, Gurt I, Zhong L, D'Urso A, Toiber D, Mostoslavsky R, Dresner-Pollak R. Sirt1 is a regulator of bone mass and a repressor of Sost encoding for sclerostin, a bone formation inhibitor. </w:t>
      </w:r>
      <w:r w:rsidRPr="00565259">
        <w:rPr>
          <w:rFonts w:ascii="Book Antiqua" w:hAnsi="Book Antiqua"/>
          <w:i/>
          <w:sz w:val="24"/>
          <w:szCs w:val="24"/>
        </w:rPr>
        <w:t>Endocrinology</w:t>
      </w:r>
      <w:r w:rsidRPr="00565259">
        <w:rPr>
          <w:rFonts w:ascii="Book Antiqua" w:hAnsi="Book Antiqua"/>
          <w:sz w:val="24"/>
          <w:szCs w:val="24"/>
        </w:rPr>
        <w:t xml:space="preserve"> 2011; </w:t>
      </w:r>
      <w:r w:rsidRPr="00565259">
        <w:rPr>
          <w:rFonts w:ascii="Book Antiqua" w:hAnsi="Book Antiqua"/>
          <w:b/>
          <w:sz w:val="24"/>
          <w:szCs w:val="24"/>
        </w:rPr>
        <w:t>152</w:t>
      </w:r>
      <w:r w:rsidRPr="00565259">
        <w:rPr>
          <w:rFonts w:ascii="Book Antiqua" w:hAnsi="Book Antiqua"/>
          <w:sz w:val="24"/>
          <w:szCs w:val="24"/>
        </w:rPr>
        <w:t>: 4514-4524 [PMID: 21952235 DOI: 10.1210/en.2011-1128]</w:t>
      </w:r>
    </w:p>
    <w:p w14:paraId="092779E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70 </w:t>
      </w:r>
      <w:r w:rsidRPr="00565259">
        <w:rPr>
          <w:rFonts w:ascii="Book Antiqua" w:hAnsi="Book Antiqua"/>
          <w:b/>
          <w:sz w:val="24"/>
          <w:szCs w:val="24"/>
        </w:rPr>
        <w:t>Buhrmann C</w:t>
      </w:r>
      <w:r w:rsidRPr="00565259">
        <w:rPr>
          <w:rFonts w:ascii="Book Antiqua" w:hAnsi="Book Antiqua"/>
          <w:sz w:val="24"/>
          <w:szCs w:val="24"/>
        </w:rPr>
        <w:t xml:space="preserve">, Busch F, Shayan P, Shakibaei M. Sirtuin-1 (SIRT1) is required for promoting chondrogenic differentiation of mesenchymal stem cells. </w:t>
      </w:r>
      <w:r w:rsidRPr="00565259">
        <w:rPr>
          <w:rFonts w:ascii="Book Antiqua" w:hAnsi="Book Antiqua"/>
          <w:i/>
          <w:sz w:val="24"/>
          <w:szCs w:val="24"/>
        </w:rPr>
        <w:t>J Biol Chem</w:t>
      </w:r>
      <w:r w:rsidRPr="00565259">
        <w:rPr>
          <w:rFonts w:ascii="Book Antiqua" w:hAnsi="Book Antiqua"/>
          <w:sz w:val="24"/>
          <w:szCs w:val="24"/>
        </w:rPr>
        <w:t xml:space="preserve"> 2014; </w:t>
      </w:r>
      <w:r w:rsidRPr="00565259">
        <w:rPr>
          <w:rFonts w:ascii="Book Antiqua" w:hAnsi="Book Antiqua"/>
          <w:b/>
          <w:sz w:val="24"/>
          <w:szCs w:val="24"/>
        </w:rPr>
        <w:t>289</w:t>
      </w:r>
      <w:r w:rsidRPr="00565259">
        <w:rPr>
          <w:rFonts w:ascii="Book Antiqua" w:hAnsi="Book Antiqua"/>
          <w:sz w:val="24"/>
          <w:szCs w:val="24"/>
        </w:rPr>
        <w:t>: 22048-22062 [PMID: 24962570 DOI: 10.1074/jbc.M114.568790]</w:t>
      </w:r>
    </w:p>
    <w:p w14:paraId="4A7BB987"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71 </w:t>
      </w:r>
      <w:r w:rsidRPr="00565259">
        <w:rPr>
          <w:rFonts w:ascii="Book Antiqua" w:hAnsi="Book Antiqua"/>
          <w:b/>
          <w:sz w:val="24"/>
          <w:szCs w:val="24"/>
        </w:rPr>
        <w:t>Lu C</w:t>
      </w:r>
      <w:r w:rsidRPr="00565259">
        <w:rPr>
          <w:rFonts w:ascii="Book Antiqua" w:hAnsi="Book Antiqua"/>
          <w:sz w:val="24"/>
          <w:szCs w:val="24"/>
        </w:rPr>
        <w:t xml:space="preserve">, Hansen E, Sapozhnikova A, Hu D, Miclau T, Marcucio RS. Effect of age on vascularization during fracture repair. </w:t>
      </w:r>
      <w:r w:rsidRPr="00565259">
        <w:rPr>
          <w:rFonts w:ascii="Book Antiqua" w:hAnsi="Book Antiqua"/>
          <w:i/>
          <w:sz w:val="24"/>
          <w:szCs w:val="24"/>
        </w:rPr>
        <w:t>J Orthop Res</w:t>
      </w:r>
      <w:r w:rsidRPr="00565259">
        <w:rPr>
          <w:rFonts w:ascii="Book Antiqua" w:hAnsi="Book Antiqua"/>
          <w:sz w:val="24"/>
          <w:szCs w:val="24"/>
        </w:rPr>
        <w:t xml:space="preserve"> 2008; </w:t>
      </w:r>
      <w:r w:rsidRPr="00565259">
        <w:rPr>
          <w:rFonts w:ascii="Book Antiqua" w:hAnsi="Book Antiqua"/>
          <w:b/>
          <w:sz w:val="24"/>
          <w:szCs w:val="24"/>
        </w:rPr>
        <w:t>26</w:t>
      </w:r>
      <w:r w:rsidRPr="00565259">
        <w:rPr>
          <w:rFonts w:ascii="Book Antiqua" w:hAnsi="Book Antiqua"/>
          <w:sz w:val="24"/>
          <w:szCs w:val="24"/>
        </w:rPr>
        <w:t>: 1384-1389 [PMID: 18464248 DOI: 10.1002/jor.20667]</w:t>
      </w:r>
    </w:p>
    <w:p w14:paraId="07895580"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72 </w:t>
      </w:r>
      <w:r w:rsidRPr="00565259">
        <w:rPr>
          <w:rFonts w:ascii="Book Antiqua" w:hAnsi="Book Antiqua"/>
          <w:b/>
          <w:sz w:val="24"/>
          <w:szCs w:val="24"/>
        </w:rPr>
        <w:t>Treitinger A</w:t>
      </w:r>
      <w:r w:rsidRPr="00565259">
        <w:rPr>
          <w:rFonts w:ascii="Book Antiqua" w:hAnsi="Book Antiqua"/>
          <w:sz w:val="24"/>
          <w:szCs w:val="24"/>
        </w:rPr>
        <w:t xml:space="preserve">, Spada C, da Silva LM, Hermes EM, Amaral JA, Abdalla DS. Lipid and acute-phase protein alterations in HIV-1 infected patients in the early stages of infection: correlation with CD4+ lymphocytes. </w:t>
      </w:r>
      <w:r w:rsidRPr="00565259">
        <w:rPr>
          <w:rFonts w:ascii="Book Antiqua" w:hAnsi="Book Antiqua"/>
          <w:i/>
          <w:sz w:val="24"/>
          <w:szCs w:val="24"/>
        </w:rPr>
        <w:t>Braz J Infect Dis</w:t>
      </w:r>
      <w:r w:rsidRPr="00565259">
        <w:rPr>
          <w:rFonts w:ascii="Book Antiqua" w:hAnsi="Book Antiqua"/>
          <w:sz w:val="24"/>
          <w:szCs w:val="24"/>
        </w:rPr>
        <w:t xml:space="preserve"> 2001; </w:t>
      </w:r>
      <w:r w:rsidRPr="00565259">
        <w:rPr>
          <w:rFonts w:ascii="Book Antiqua" w:hAnsi="Book Antiqua"/>
          <w:b/>
          <w:sz w:val="24"/>
          <w:szCs w:val="24"/>
        </w:rPr>
        <w:t>5</w:t>
      </w:r>
      <w:r w:rsidRPr="00565259">
        <w:rPr>
          <w:rFonts w:ascii="Book Antiqua" w:hAnsi="Book Antiqua"/>
          <w:sz w:val="24"/>
          <w:szCs w:val="24"/>
        </w:rPr>
        <w:t>: 192-199 [PMID: 11712964 DOI: 10.1590/S1413-86702001000400005]</w:t>
      </w:r>
    </w:p>
    <w:p w14:paraId="3AA1C0BB"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73 </w:t>
      </w:r>
      <w:r w:rsidRPr="00565259">
        <w:rPr>
          <w:rFonts w:ascii="Book Antiqua" w:hAnsi="Book Antiqua"/>
          <w:b/>
          <w:sz w:val="24"/>
          <w:szCs w:val="24"/>
        </w:rPr>
        <w:t>Savarino A</w:t>
      </w:r>
      <w:r w:rsidRPr="00565259">
        <w:rPr>
          <w:rFonts w:ascii="Book Antiqua" w:hAnsi="Book Antiqua"/>
          <w:sz w:val="24"/>
          <w:szCs w:val="24"/>
        </w:rPr>
        <w:t xml:space="preserve">, Bottarel F, Calosso L, Feito MJ, Bensi T, Bragardo M, Rojo JM, Pugliese A, Abbate I, Capobianchi MR, Dianzani F, Malavasi F, Dianzani U. Effects of the human CD38 glycoprotein on the early stages of the HIV-1 replication cycle. </w:t>
      </w:r>
      <w:r w:rsidRPr="00565259">
        <w:rPr>
          <w:rFonts w:ascii="Book Antiqua" w:hAnsi="Book Antiqua"/>
          <w:i/>
          <w:sz w:val="24"/>
          <w:szCs w:val="24"/>
        </w:rPr>
        <w:t>FASEB J</w:t>
      </w:r>
      <w:r w:rsidRPr="00565259">
        <w:rPr>
          <w:rFonts w:ascii="Book Antiqua" w:hAnsi="Book Antiqua"/>
          <w:sz w:val="24"/>
          <w:szCs w:val="24"/>
        </w:rPr>
        <w:t xml:space="preserve"> 1999; </w:t>
      </w:r>
      <w:r w:rsidRPr="00565259">
        <w:rPr>
          <w:rFonts w:ascii="Book Antiqua" w:hAnsi="Book Antiqua"/>
          <w:b/>
          <w:sz w:val="24"/>
          <w:szCs w:val="24"/>
        </w:rPr>
        <w:t>13</w:t>
      </w:r>
      <w:r w:rsidRPr="00565259">
        <w:rPr>
          <w:rFonts w:ascii="Book Antiqua" w:hAnsi="Book Antiqua"/>
          <w:sz w:val="24"/>
          <w:szCs w:val="24"/>
        </w:rPr>
        <w:t>: 2265-2276 [PMID: 10593874 DOI: 10.1096/fasebj.13.15.2265]</w:t>
      </w:r>
    </w:p>
    <w:p w14:paraId="6A6B865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74 </w:t>
      </w:r>
      <w:r w:rsidRPr="00565259">
        <w:rPr>
          <w:rFonts w:ascii="Book Antiqua" w:hAnsi="Book Antiqua"/>
          <w:b/>
          <w:sz w:val="24"/>
          <w:szCs w:val="24"/>
        </w:rPr>
        <w:t>Simm M</w:t>
      </w:r>
      <w:r w:rsidRPr="00565259">
        <w:rPr>
          <w:rFonts w:ascii="Book Antiqua" w:hAnsi="Book Antiqua"/>
          <w:sz w:val="24"/>
          <w:szCs w:val="24"/>
        </w:rPr>
        <w:t xml:space="preserve">, Pekarskaya O, Volsky DJ. Synthesis of full-length viral DNA in CD4-positive membrane vesicles exposed to HIV-1. A model for studies of early stages of the hiv-1 life cycle. </w:t>
      </w:r>
      <w:r w:rsidRPr="00565259">
        <w:rPr>
          <w:rFonts w:ascii="Book Antiqua" w:hAnsi="Book Antiqua"/>
          <w:i/>
          <w:sz w:val="24"/>
          <w:szCs w:val="24"/>
        </w:rPr>
        <w:t>J Biol Chem</w:t>
      </w:r>
      <w:r w:rsidRPr="00565259">
        <w:rPr>
          <w:rFonts w:ascii="Book Antiqua" w:hAnsi="Book Antiqua"/>
          <w:sz w:val="24"/>
          <w:szCs w:val="24"/>
        </w:rPr>
        <w:t xml:space="preserve"> 1996; </w:t>
      </w:r>
      <w:r w:rsidRPr="00565259">
        <w:rPr>
          <w:rFonts w:ascii="Book Antiqua" w:hAnsi="Book Antiqua"/>
          <w:b/>
          <w:sz w:val="24"/>
          <w:szCs w:val="24"/>
        </w:rPr>
        <w:t>271</w:t>
      </w:r>
      <w:r w:rsidRPr="00565259">
        <w:rPr>
          <w:rFonts w:ascii="Book Antiqua" w:hAnsi="Book Antiqua"/>
          <w:sz w:val="24"/>
          <w:szCs w:val="24"/>
        </w:rPr>
        <w:t>: 28266-28270 [PMID: 8910445 DOI: 10.1074/jbc.271.45.28266]</w:t>
      </w:r>
    </w:p>
    <w:p w14:paraId="3A0ECC7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75 </w:t>
      </w:r>
      <w:r w:rsidRPr="00565259">
        <w:rPr>
          <w:rFonts w:ascii="Book Antiqua" w:hAnsi="Book Antiqua"/>
          <w:b/>
          <w:sz w:val="24"/>
          <w:szCs w:val="24"/>
        </w:rPr>
        <w:t>Gisslén M</w:t>
      </w:r>
      <w:r w:rsidRPr="00565259">
        <w:rPr>
          <w:rFonts w:ascii="Book Antiqua" w:hAnsi="Book Antiqua"/>
          <w:sz w:val="24"/>
          <w:szCs w:val="24"/>
        </w:rPr>
        <w:t xml:space="preserve">, Hagberg L, Norkrans G, Lekman A, Fredman P. Increased cerebrospinal fluid ganglioside GM1 concentrations indicating neuronal involvement in all stages of HIV-1 infection. </w:t>
      </w:r>
      <w:r w:rsidRPr="00565259">
        <w:rPr>
          <w:rFonts w:ascii="Book Antiqua" w:hAnsi="Book Antiqua"/>
          <w:i/>
          <w:sz w:val="24"/>
          <w:szCs w:val="24"/>
        </w:rPr>
        <w:t>J Neurovirol</w:t>
      </w:r>
      <w:r w:rsidRPr="00565259">
        <w:rPr>
          <w:rFonts w:ascii="Book Antiqua" w:hAnsi="Book Antiqua"/>
          <w:sz w:val="24"/>
          <w:szCs w:val="24"/>
        </w:rPr>
        <w:t xml:space="preserve"> 1997; </w:t>
      </w:r>
      <w:r w:rsidRPr="00565259">
        <w:rPr>
          <w:rFonts w:ascii="Book Antiqua" w:hAnsi="Book Antiqua"/>
          <w:b/>
          <w:sz w:val="24"/>
          <w:szCs w:val="24"/>
        </w:rPr>
        <w:t>3</w:t>
      </w:r>
      <w:r w:rsidRPr="00565259">
        <w:rPr>
          <w:rFonts w:ascii="Book Antiqua" w:hAnsi="Book Antiqua"/>
          <w:sz w:val="24"/>
          <w:szCs w:val="24"/>
        </w:rPr>
        <w:t>: 148-152 [PMID: 9111177 DOI: 10.3109/13550289709015804]</w:t>
      </w:r>
    </w:p>
    <w:p w14:paraId="64C5F46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76 </w:t>
      </w:r>
      <w:r w:rsidRPr="00565259">
        <w:rPr>
          <w:rFonts w:ascii="Book Antiqua" w:hAnsi="Book Antiqua"/>
          <w:b/>
          <w:sz w:val="24"/>
          <w:szCs w:val="24"/>
        </w:rPr>
        <w:t>Ingram DA</w:t>
      </w:r>
      <w:r w:rsidRPr="00565259">
        <w:rPr>
          <w:rFonts w:ascii="Book Antiqua" w:hAnsi="Book Antiqua"/>
          <w:sz w:val="24"/>
          <w:szCs w:val="24"/>
        </w:rPr>
        <w:t xml:space="preserve">, Mead LE, Tanaka H, Meade V, Fenoglio A, Mortell K, Pollok K, Ferkowicz MJ, Gilley D, Yoder MC. Identification of a novel hierarchy of endothelial progenitor cells using human peripheral and umbilical cord blood. </w:t>
      </w:r>
      <w:r w:rsidRPr="00565259">
        <w:rPr>
          <w:rFonts w:ascii="Book Antiqua" w:hAnsi="Book Antiqua"/>
          <w:i/>
          <w:sz w:val="24"/>
          <w:szCs w:val="24"/>
        </w:rPr>
        <w:t>Blood</w:t>
      </w:r>
      <w:r w:rsidRPr="00565259">
        <w:rPr>
          <w:rFonts w:ascii="Book Antiqua" w:hAnsi="Book Antiqua"/>
          <w:sz w:val="24"/>
          <w:szCs w:val="24"/>
        </w:rPr>
        <w:t xml:space="preserve"> 2004; </w:t>
      </w:r>
      <w:r w:rsidRPr="00565259">
        <w:rPr>
          <w:rFonts w:ascii="Book Antiqua" w:hAnsi="Book Antiqua"/>
          <w:b/>
          <w:sz w:val="24"/>
          <w:szCs w:val="24"/>
        </w:rPr>
        <w:t>104</w:t>
      </w:r>
      <w:r w:rsidRPr="00565259">
        <w:rPr>
          <w:rFonts w:ascii="Book Antiqua" w:hAnsi="Book Antiqua"/>
          <w:sz w:val="24"/>
          <w:szCs w:val="24"/>
        </w:rPr>
        <w:t>: 2752-2760 [PMID: 15226175 DOI: 10.1182/blood-2004-04-1396]</w:t>
      </w:r>
    </w:p>
    <w:p w14:paraId="193DD5BB"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77 </w:t>
      </w:r>
      <w:r w:rsidRPr="00565259">
        <w:rPr>
          <w:rFonts w:ascii="Book Antiqua" w:hAnsi="Book Antiqua"/>
          <w:b/>
          <w:sz w:val="24"/>
          <w:szCs w:val="24"/>
        </w:rPr>
        <w:t>Op den Buijs J</w:t>
      </w:r>
      <w:r w:rsidRPr="00565259">
        <w:rPr>
          <w:rFonts w:ascii="Book Antiqua" w:hAnsi="Book Antiqua"/>
          <w:sz w:val="24"/>
          <w:szCs w:val="24"/>
        </w:rPr>
        <w:t xml:space="preserve">, Musters M, Verrips T, Post JA, Braam B, van Riel N. Mathematical modeling of vascular endothelial layer maintenance: the role of endothelial cell division, progenitor cell homing, and telomere shortening. </w:t>
      </w:r>
      <w:r w:rsidRPr="00565259">
        <w:rPr>
          <w:rFonts w:ascii="Book Antiqua" w:hAnsi="Book Antiqua"/>
          <w:i/>
          <w:sz w:val="24"/>
          <w:szCs w:val="24"/>
        </w:rPr>
        <w:t>Am J Physiol Heart Circ Physiol</w:t>
      </w:r>
      <w:r w:rsidRPr="00565259">
        <w:rPr>
          <w:rFonts w:ascii="Book Antiqua" w:hAnsi="Book Antiqua"/>
          <w:sz w:val="24"/>
          <w:szCs w:val="24"/>
        </w:rPr>
        <w:t xml:space="preserve"> 2004; </w:t>
      </w:r>
      <w:r w:rsidRPr="00565259">
        <w:rPr>
          <w:rFonts w:ascii="Book Antiqua" w:hAnsi="Book Antiqua"/>
          <w:b/>
          <w:sz w:val="24"/>
          <w:szCs w:val="24"/>
        </w:rPr>
        <w:t>287</w:t>
      </w:r>
      <w:r w:rsidRPr="00565259">
        <w:rPr>
          <w:rFonts w:ascii="Book Antiqua" w:hAnsi="Book Antiqua"/>
          <w:sz w:val="24"/>
          <w:szCs w:val="24"/>
        </w:rPr>
        <w:t>: H2651-H2658 [PMID: 15284068 DOI: 10.1152/ajpheart.00332.2004]</w:t>
      </w:r>
    </w:p>
    <w:p w14:paraId="743D3741"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78 </w:t>
      </w:r>
      <w:r w:rsidRPr="00565259">
        <w:rPr>
          <w:rFonts w:ascii="Book Antiqua" w:hAnsi="Book Antiqua"/>
          <w:b/>
          <w:sz w:val="24"/>
          <w:szCs w:val="24"/>
        </w:rPr>
        <w:t>Yoder MC</w:t>
      </w:r>
      <w:r w:rsidRPr="00565259">
        <w:rPr>
          <w:rFonts w:ascii="Book Antiqua" w:hAnsi="Book Antiqua"/>
          <w:sz w:val="24"/>
          <w:szCs w:val="24"/>
        </w:rPr>
        <w:t xml:space="preserve">, Mead LE, Prater D, Krier TR, Mroueh KN, Li F, Krasich R, Temm CJ, Prchal JT, Ingram DA. Redefining endothelial progenitor cells via clonal analysis and hematopoietic stem/progenitor cell principals. </w:t>
      </w:r>
      <w:r w:rsidRPr="00565259">
        <w:rPr>
          <w:rFonts w:ascii="Book Antiqua" w:hAnsi="Book Antiqua"/>
          <w:i/>
          <w:sz w:val="24"/>
          <w:szCs w:val="24"/>
        </w:rPr>
        <w:t>Blood</w:t>
      </w:r>
      <w:r w:rsidRPr="00565259">
        <w:rPr>
          <w:rFonts w:ascii="Book Antiqua" w:hAnsi="Book Antiqua"/>
          <w:sz w:val="24"/>
          <w:szCs w:val="24"/>
        </w:rPr>
        <w:t xml:space="preserve"> 2007; </w:t>
      </w:r>
      <w:r w:rsidRPr="00565259">
        <w:rPr>
          <w:rFonts w:ascii="Book Antiqua" w:hAnsi="Book Antiqua"/>
          <w:b/>
          <w:sz w:val="24"/>
          <w:szCs w:val="24"/>
        </w:rPr>
        <w:t>109</w:t>
      </w:r>
      <w:r w:rsidRPr="00565259">
        <w:rPr>
          <w:rFonts w:ascii="Book Antiqua" w:hAnsi="Book Antiqua"/>
          <w:sz w:val="24"/>
          <w:szCs w:val="24"/>
        </w:rPr>
        <w:t>: 1801-1809 [PMID: 17053059 DOI: 10.1182/blood-2006-08-043471]</w:t>
      </w:r>
    </w:p>
    <w:p w14:paraId="6B7DAE0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79 </w:t>
      </w:r>
      <w:r w:rsidRPr="00565259">
        <w:rPr>
          <w:rFonts w:ascii="Book Antiqua" w:hAnsi="Book Antiqua"/>
          <w:b/>
          <w:sz w:val="24"/>
          <w:szCs w:val="24"/>
        </w:rPr>
        <w:t>Brandes RP</w:t>
      </w:r>
      <w:r w:rsidRPr="00565259">
        <w:rPr>
          <w:rFonts w:ascii="Book Antiqua" w:hAnsi="Book Antiqua"/>
          <w:sz w:val="24"/>
          <w:szCs w:val="24"/>
        </w:rPr>
        <w:t xml:space="preserve">, Fleming I, Busse R. Endothelial aging. </w:t>
      </w:r>
      <w:r w:rsidRPr="00565259">
        <w:rPr>
          <w:rFonts w:ascii="Book Antiqua" w:hAnsi="Book Antiqua"/>
          <w:i/>
          <w:sz w:val="24"/>
          <w:szCs w:val="24"/>
        </w:rPr>
        <w:t>Cardiovasc Res</w:t>
      </w:r>
      <w:r w:rsidRPr="00565259">
        <w:rPr>
          <w:rFonts w:ascii="Book Antiqua" w:hAnsi="Book Antiqua"/>
          <w:sz w:val="24"/>
          <w:szCs w:val="24"/>
        </w:rPr>
        <w:t xml:space="preserve"> 2005; </w:t>
      </w:r>
      <w:r w:rsidRPr="00565259">
        <w:rPr>
          <w:rFonts w:ascii="Book Antiqua" w:hAnsi="Book Antiqua"/>
          <w:b/>
          <w:sz w:val="24"/>
          <w:szCs w:val="24"/>
        </w:rPr>
        <w:t>66</w:t>
      </w:r>
      <w:r w:rsidRPr="00565259">
        <w:rPr>
          <w:rFonts w:ascii="Book Antiqua" w:hAnsi="Book Antiqua"/>
          <w:sz w:val="24"/>
          <w:szCs w:val="24"/>
        </w:rPr>
        <w:t>: 286-294 [PMID: 15820197 DOI: 10.1016/j.cardiores.2004.12.027]</w:t>
      </w:r>
    </w:p>
    <w:p w14:paraId="4F8A0E4B"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80 </w:t>
      </w:r>
      <w:r w:rsidRPr="00565259">
        <w:rPr>
          <w:rFonts w:ascii="Book Antiqua" w:hAnsi="Book Antiqua"/>
          <w:b/>
          <w:sz w:val="24"/>
          <w:szCs w:val="24"/>
        </w:rPr>
        <w:t>Edelberg JM</w:t>
      </w:r>
      <w:r w:rsidRPr="00565259">
        <w:rPr>
          <w:rFonts w:ascii="Book Antiqua" w:hAnsi="Book Antiqua"/>
          <w:sz w:val="24"/>
          <w:szCs w:val="24"/>
        </w:rPr>
        <w:t xml:space="preserve">, Reed MJ. Aging and angiogenesis. </w:t>
      </w:r>
      <w:r w:rsidRPr="00565259">
        <w:rPr>
          <w:rFonts w:ascii="Book Antiqua" w:hAnsi="Book Antiqua"/>
          <w:i/>
          <w:sz w:val="24"/>
          <w:szCs w:val="24"/>
        </w:rPr>
        <w:t>Front Biosci</w:t>
      </w:r>
      <w:r w:rsidRPr="00565259">
        <w:rPr>
          <w:rFonts w:ascii="Book Antiqua" w:hAnsi="Book Antiqua"/>
          <w:sz w:val="24"/>
          <w:szCs w:val="24"/>
        </w:rPr>
        <w:t xml:space="preserve"> 2003; </w:t>
      </w:r>
      <w:r w:rsidRPr="00565259">
        <w:rPr>
          <w:rFonts w:ascii="Book Antiqua" w:hAnsi="Book Antiqua"/>
          <w:b/>
          <w:sz w:val="24"/>
          <w:szCs w:val="24"/>
        </w:rPr>
        <w:t>8</w:t>
      </w:r>
      <w:r w:rsidRPr="00565259">
        <w:rPr>
          <w:rFonts w:ascii="Book Antiqua" w:hAnsi="Book Antiqua"/>
          <w:sz w:val="24"/>
          <w:szCs w:val="24"/>
        </w:rPr>
        <w:t>: s1199-s1209 [PMID: 12957863 DOI: 10.2741/1166]</w:t>
      </w:r>
    </w:p>
    <w:p w14:paraId="7E5345A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81 </w:t>
      </w:r>
      <w:r w:rsidRPr="00565259">
        <w:rPr>
          <w:rFonts w:ascii="Book Antiqua" w:hAnsi="Book Antiqua"/>
          <w:b/>
          <w:sz w:val="24"/>
          <w:szCs w:val="24"/>
        </w:rPr>
        <w:t>Moriya J</w:t>
      </w:r>
      <w:r w:rsidRPr="00565259">
        <w:rPr>
          <w:rFonts w:ascii="Book Antiqua" w:hAnsi="Book Antiqua"/>
          <w:sz w:val="24"/>
          <w:szCs w:val="24"/>
        </w:rPr>
        <w:t xml:space="preserve">, Minamino T. Angiogenesis, Cancer, and Vascular Aging. </w:t>
      </w:r>
      <w:r w:rsidRPr="00565259">
        <w:rPr>
          <w:rFonts w:ascii="Book Antiqua" w:hAnsi="Book Antiqua"/>
          <w:i/>
          <w:sz w:val="24"/>
          <w:szCs w:val="24"/>
        </w:rPr>
        <w:t>Front Cardiovasc Med</w:t>
      </w:r>
      <w:r w:rsidRPr="00565259">
        <w:rPr>
          <w:rFonts w:ascii="Book Antiqua" w:hAnsi="Book Antiqua"/>
          <w:sz w:val="24"/>
          <w:szCs w:val="24"/>
        </w:rPr>
        <w:t xml:space="preserve"> 2017; </w:t>
      </w:r>
      <w:r w:rsidRPr="00565259">
        <w:rPr>
          <w:rFonts w:ascii="Book Antiqua" w:hAnsi="Book Antiqua"/>
          <w:b/>
          <w:sz w:val="24"/>
          <w:szCs w:val="24"/>
        </w:rPr>
        <w:t>4</w:t>
      </w:r>
      <w:r w:rsidRPr="00565259">
        <w:rPr>
          <w:rFonts w:ascii="Book Antiqua" w:hAnsi="Book Antiqua"/>
          <w:sz w:val="24"/>
          <w:szCs w:val="24"/>
        </w:rPr>
        <w:t>: 65 [PMID: 29114540 DOI: 10.3389/fcvm.2017.00065]</w:t>
      </w:r>
    </w:p>
    <w:p w14:paraId="5BA44C3E"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82 </w:t>
      </w:r>
      <w:r w:rsidRPr="00565259">
        <w:rPr>
          <w:rFonts w:ascii="Book Antiqua" w:hAnsi="Book Antiqua"/>
          <w:b/>
          <w:sz w:val="24"/>
          <w:szCs w:val="24"/>
        </w:rPr>
        <w:t>Asai K</w:t>
      </w:r>
      <w:r w:rsidRPr="00565259">
        <w:rPr>
          <w:rFonts w:ascii="Book Antiqua" w:hAnsi="Book Antiqua"/>
          <w:sz w:val="24"/>
          <w:szCs w:val="24"/>
        </w:rPr>
        <w:t xml:space="preserve">, Kudej RK, Shen YT, Yang GP, Takagi G, Kudej AB, Geng YJ, Sato N, Nazareno JB, Vatner DE, Natividad F, Bishop SP, Vatner SF. Peripheral vascular endothelial dysfunction and apoptosis in old monkeys. </w:t>
      </w:r>
      <w:r w:rsidRPr="00565259">
        <w:rPr>
          <w:rFonts w:ascii="Book Antiqua" w:hAnsi="Book Antiqua"/>
          <w:i/>
          <w:sz w:val="24"/>
          <w:szCs w:val="24"/>
        </w:rPr>
        <w:t>Arterioscler Thromb Vasc Biol</w:t>
      </w:r>
      <w:r w:rsidRPr="00565259">
        <w:rPr>
          <w:rFonts w:ascii="Book Antiqua" w:hAnsi="Book Antiqua"/>
          <w:sz w:val="24"/>
          <w:szCs w:val="24"/>
        </w:rPr>
        <w:t xml:space="preserve"> 2000; </w:t>
      </w:r>
      <w:r w:rsidRPr="00565259">
        <w:rPr>
          <w:rFonts w:ascii="Book Antiqua" w:hAnsi="Book Antiqua"/>
          <w:b/>
          <w:sz w:val="24"/>
          <w:szCs w:val="24"/>
        </w:rPr>
        <w:t>20</w:t>
      </w:r>
      <w:r w:rsidRPr="00565259">
        <w:rPr>
          <w:rFonts w:ascii="Book Antiqua" w:hAnsi="Book Antiqua"/>
          <w:sz w:val="24"/>
          <w:szCs w:val="24"/>
        </w:rPr>
        <w:t>: 1493-1499 [PMID: 10845863 DOI: 10.1161/01.ATV.20.6.1493]</w:t>
      </w:r>
    </w:p>
    <w:p w14:paraId="490DDD6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83 </w:t>
      </w:r>
      <w:r w:rsidRPr="00565259">
        <w:rPr>
          <w:rFonts w:ascii="Book Antiqua" w:hAnsi="Book Antiqua"/>
          <w:b/>
          <w:sz w:val="24"/>
          <w:szCs w:val="24"/>
        </w:rPr>
        <w:t>Donato AJ</w:t>
      </w:r>
      <w:r w:rsidRPr="00565259">
        <w:rPr>
          <w:rFonts w:ascii="Book Antiqua" w:hAnsi="Book Antiqua"/>
          <w:sz w:val="24"/>
          <w:szCs w:val="24"/>
        </w:rPr>
        <w:t xml:space="preserve">, Magerko KA, Lawson BR, Durrant JR, Lesniewski LA, Seals DR. SIRT-1 and vascular endothelial dysfunction with ageing in mice and humans. </w:t>
      </w:r>
      <w:r w:rsidRPr="00565259">
        <w:rPr>
          <w:rFonts w:ascii="Book Antiqua" w:hAnsi="Book Antiqua"/>
          <w:i/>
          <w:sz w:val="24"/>
          <w:szCs w:val="24"/>
        </w:rPr>
        <w:t>J Physiol</w:t>
      </w:r>
      <w:r w:rsidRPr="00565259">
        <w:rPr>
          <w:rFonts w:ascii="Book Antiqua" w:hAnsi="Book Antiqua"/>
          <w:sz w:val="24"/>
          <w:szCs w:val="24"/>
        </w:rPr>
        <w:t xml:space="preserve"> 2011; </w:t>
      </w:r>
      <w:r w:rsidRPr="00565259">
        <w:rPr>
          <w:rFonts w:ascii="Book Antiqua" w:hAnsi="Book Antiqua"/>
          <w:b/>
          <w:sz w:val="24"/>
          <w:szCs w:val="24"/>
        </w:rPr>
        <w:t>589</w:t>
      </w:r>
      <w:r w:rsidRPr="00565259">
        <w:rPr>
          <w:rFonts w:ascii="Book Antiqua" w:hAnsi="Book Antiqua"/>
          <w:sz w:val="24"/>
          <w:szCs w:val="24"/>
        </w:rPr>
        <w:t>: 4545-4554 [PMID: 21746786 DOI: 10.1113/jphysiol.2011.211219]</w:t>
      </w:r>
    </w:p>
    <w:p w14:paraId="33F4CF4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84 </w:t>
      </w:r>
      <w:r w:rsidRPr="00565259">
        <w:rPr>
          <w:rFonts w:ascii="Book Antiqua" w:hAnsi="Book Antiqua"/>
          <w:b/>
          <w:sz w:val="24"/>
          <w:szCs w:val="24"/>
        </w:rPr>
        <w:t>Imanishi T</w:t>
      </w:r>
      <w:r w:rsidRPr="00565259">
        <w:rPr>
          <w:rFonts w:ascii="Book Antiqua" w:hAnsi="Book Antiqua"/>
          <w:sz w:val="24"/>
          <w:szCs w:val="24"/>
        </w:rPr>
        <w:t xml:space="preserve">, Tsujioka H, Akasaka T. Endothelial progenitor cells dysfunction and senescence: contribution to oxidative stress. </w:t>
      </w:r>
      <w:r w:rsidRPr="00565259">
        <w:rPr>
          <w:rFonts w:ascii="Book Antiqua" w:hAnsi="Book Antiqua"/>
          <w:i/>
          <w:sz w:val="24"/>
          <w:szCs w:val="24"/>
        </w:rPr>
        <w:t>Curr Cardiol Rev</w:t>
      </w:r>
      <w:r w:rsidRPr="00565259">
        <w:rPr>
          <w:rFonts w:ascii="Book Antiqua" w:hAnsi="Book Antiqua"/>
          <w:sz w:val="24"/>
          <w:szCs w:val="24"/>
        </w:rPr>
        <w:t xml:space="preserve"> 2008; </w:t>
      </w:r>
      <w:r w:rsidRPr="00565259">
        <w:rPr>
          <w:rFonts w:ascii="Book Antiqua" w:hAnsi="Book Antiqua"/>
          <w:b/>
          <w:sz w:val="24"/>
          <w:szCs w:val="24"/>
        </w:rPr>
        <w:t>4</w:t>
      </w:r>
      <w:r w:rsidRPr="00565259">
        <w:rPr>
          <w:rFonts w:ascii="Book Antiqua" w:hAnsi="Book Antiqua"/>
          <w:sz w:val="24"/>
          <w:szCs w:val="24"/>
        </w:rPr>
        <w:t>: 275-286 [PMID: 20066135 DOI: 10.2174/157340308786349435]</w:t>
      </w:r>
    </w:p>
    <w:p w14:paraId="51C0BC7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85 </w:t>
      </w:r>
      <w:r w:rsidRPr="00565259">
        <w:rPr>
          <w:rFonts w:ascii="Book Antiqua" w:hAnsi="Book Antiqua"/>
          <w:b/>
          <w:sz w:val="24"/>
          <w:szCs w:val="24"/>
        </w:rPr>
        <w:t>Schriner SE</w:t>
      </w:r>
      <w:r w:rsidRPr="00565259">
        <w:rPr>
          <w:rFonts w:ascii="Book Antiqua" w:hAnsi="Book Antiqua"/>
          <w:sz w:val="24"/>
          <w:szCs w:val="24"/>
        </w:rPr>
        <w:t xml:space="preserve">, Linford NJ, Martin GM, Treuting P, Ogburn CE, Emond M, Coskun PE, Ladiges W, Wolf N, Van Remmen H, Wallace DC, Rabinovitch PS. Extension of murine life span by overexpression of catalase targeted to mitochondria. </w:t>
      </w:r>
      <w:r w:rsidRPr="00565259">
        <w:rPr>
          <w:rFonts w:ascii="Book Antiqua" w:hAnsi="Book Antiqua"/>
          <w:i/>
          <w:sz w:val="24"/>
          <w:szCs w:val="24"/>
        </w:rPr>
        <w:t>Science</w:t>
      </w:r>
      <w:r w:rsidRPr="00565259">
        <w:rPr>
          <w:rFonts w:ascii="Book Antiqua" w:hAnsi="Book Antiqua"/>
          <w:sz w:val="24"/>
          <w:szCs w:val="24"/>
        </w:rPr>
        <w:t xml:space="preserve"> 2005; </w:t>
      </w:r>
      <w:r w:rsidRPr="00565259">
        <w:rPr>
          <w:rFonts w:ascii="Book Antiqua" w:hAnsi="Book Antiqua"/>
          <w:b/>
          <w:sz w:val="24"/>
          <w:szCs w:val="24"/>
        </w:rPr>
        <w:t>308</w:t>
      </w:r>
      <w:r w:rsidRPr="00565259">
        <w:rPr>
          <w:rFonts w:ascii="Book Antiqua" w:hAnsi="Book Antiqua"/>
          <w:sz w:val="24"/>
          <w:szCs w:val="24"/>
        </w:rPr>
        <w:t>: 1909-1911 [PMID: 15879174 DOI: 10.1126/science.1106653]</w:t>
      </w:r>
    </w:p>
    <w:p w14:paraId="6A0B341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86 </w:t>
      </w:r>
      <w:r w:rsidRPr="00565259">
        <w:rPr>
          <w:rFonts w:ascii="Book Antiqua" w:hAnsi="Book Antiqua"/>
          <w:b/>
          <w:sz w:val="24"/>
          <w:szCs w:val="24"/>
        </w:rPr>
        <w:t>Wenzel P</w:t>
      </w:r>
      <w:r w:rsidRPr="00565259">
        <w:rPr>
          <w:rFonts w:ascii="Book Antiqua" w:hAnsi="Book Antiqua"/>
          <w:sz w:val="24"/>
          <w:szCs w:val="24"/>
        </w:rPr>
        <w:t xml:space="preserve">, Schuhmacher S, Kienhöfer J, Müller J, Hortmann M, Oelze M, Schulz E, Treiber N, Kawamoto T, Scharffetter-Kochanek K, Münzel T, Bürkle A, Bachschmid MM, Daiber A. Manganese superoxide dismutase and aldehyde dehydrogenase deficiency increase mitochondrial oxidative stress and aggravate age-dependent vascular dysfunction. </w:t>
      </w:r>
      <w:r w:rsidRPr="00565259">
        <w:rPr>
          <w:rFonts w:ascii="Book Antiqua" w:hAnsi="Book Antiqua"/>
          <w:i/>
          <w:sz w:val="24"/>
          <w:szCs w:val="24"/>
        </w:rPr>
        <w:t>Cardiovasc Res</w:t>
      </w:r>
      <w:r w:rsidRPr="00565259">
        <w:rPr>
          <w:rFonts w:ascii="Book Antiqua" w:hAnsi="Book Antiqua"/>
          <w:sz w:val="24"/>
          <w:szCs w:val="24"/>
        </w:rPr>
        <w:t xml:space="preserve"> 2008; </w:t>
      </w:r>
      <w:r w:rsidRPr="00565259">
        <w:rPr>
          <w:rFonts w:ascii="Book Antiqua" w:hAnsi="Book Antiqua"/>
          <w:b/>
          <w:sz w:val="24"/>
          <w:szCs w:val="24"/>
        </w:rPr>
        <w:t>80</w:t>
      </w:r>
      <w:r w:rsidRPr="00565259">
        <w:rPr>
          <w:rFonts w:ascii="Book Antiqua" w:hAnsi="Book Antiqua"/>
          <w:sz w:val="24"/>
          <w:szCs w:val="24"/>
        </w:rPr>
        <w:t>: 280-289 [PMID: 18596060 DOI: 10.1093/cvr/cvn182]</w:t>
      </w:r>
    </w:p>
    <w:p w14:paraId="4ADA30CB"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87 </w:t>
      </w:r>
      <w:r w:rsidRPr="00565259">
        <w:rPr>
          <w:rFonts w:ascii="Book Antiqua" w:hAnsi="Book Antiqua"/>
          <w:b/>
          <w:sz w:val="24"/>
          <w:szCs w:val="24"/>
        </w:rPr>
        <w:t>Oelze M</w:t>
      </w:r>
      <w:r w:rsidRPr="00565259">
        <w:rPr>
          <w:rFonts w:ascii="Book Antiqua" w:hAnsi="Book Antiqua"/>
          <w:sz w:val="24"/>
          <w:szCs w:val="24"/>
        </w:rPr>
        <w:t xml:space="preserve">, Kröller-Schön S, Steven S, Lubos E, Doppler C, Hausding M, Tobias S, Brochhausen C, Li H, Torzewski M, Wenzel P, Bachschmid M, Lackner KJ, Schulz E, Münzel T, Daiber A. Glutathione peroxidase-1 deficiency potentiates dysregulatory modifications of endothelial nitric oxide synthase and vascular dysfunction in aging. </w:t>
      </w:r>
      <w:r w:rsidRPr="00565259">
        <w:rPr>
          <w:rFonts w:ascii="Book Antiqua" w:hAnsi="Book Antiqua"/>
          <w:i/>
          <w:sz w:val="24"/>
          <w:szCs w:val="24"/>
        </w:rPr>
        <w:t>Hypertension</w:t>
      </w:r>
      <w:r w:rsidRPr="00565259">
        <w:rPr>
          <w:rFonts w:ascii="Book Antiqua" w:hAnsi="Book Antiqua"/>
          <w:sz w:val="24"/>
          <w:szCs w:val="24"/>
        </w:rPr>
        <w:t xml:space="preserve"> 2014; </w:t>
      </w:r>
      <w:r w:rsidRPr="00565259">
        <w:rPr>
          <w:rFonts w:ascii="Book Antiqua" w:hAnsi="Book Antiqua"/>
          <w:b/>
          <w:sz w:val="24"/>
          <w:szCs w:val="24"/>
        </w:rPr>
        <w:t>63</w:t>
      </w:r>
      <w:r w:rsidRPr="00565259">
        <w:rPr>
          <w:rFonts w:ascii="Book Antiqua" w:hAnsi="Book Antiqua"/>
          <w:sz w:val="24"/>
          <w:szCs w:val="24"/>
        </w:rPr>
        <w:t>: 390-396 [PMID: 24296279 DOI: 10.1161/HYPERTENSIONAHA.113.01602]</w:t>
      </w:r>
    </w:p>
    <w:p w14:paraId="2F8EBECD"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88 </w:t>
      </w:r>
      <w:r w:rsidRPr="00565259">
        <w:rPr>
          <w:rFonts w:ascii="Book Antiqua" w:hAnsi="Book Antiqua"/>
          <w:b/>
          <w:sz w:val="24"/>
          <w:szCs w:val="24"/>
        </w:rPr>
        <w:t>Adler A</w:t>
      </w:r>
      <w:r w:rsidRPr="00565259">
        <w:rPr>
          <w:rFonts w:ascii="Book Antiqua" w:hAnsi="Book Antiqua"/>
          <w:sz w:val="24"/>
          <w:szCs w:val="24"/>
        </w:rPr>
        <w:t xml:space="preserve">, Messina E, Sherman B, Wang Z, Huang H, Linke A, Hintze TH. NAD(P)H oxidase-generated superoxide anion accounts for reduced control of myocardial O2 consumption by NO in old Fischer 344 rats. </w:t>
      </w:r>
      <w:r w:rsidRPr="00565259">
        <w:rPr>
          <w:rFonts w:ascii="Book Antiqua" w:hAnsi="Book Antiqua"/>
          <w:i/>
          <w:sz w:val="24"/>
          <w:szCs w:val="24"/>
        </w:rPr>
        <w:t>Am J Physiol Heart Circ Physiol</w:t>
      </w:r>
      <w:r w:rsidRPr="00565259">
        <w:rPr>
          <w:rFonts w:ascii="Book Antiqua" w:hAnsi="Book Antiqua"/>
          <w:sz w:val="24"/>
          <w:szCs w:val="24"/>
        </w:rPr>
        <w:t xml:space="preserve"> 2003; </w:t>
      </w:r>
      <w:r w:rsidRPr="00565259">
        <w:rPr>
          <w:rFonts w:ascii="Book Antiqua" w:hAnsi="Book Antiqua"/>
          <w:b/>
          <w:sz w:val="24"/>
          <w:szCs w:val="24"/>
        </w:rPr>
        <w:t>285</w:t>
      </w:r>
      <w:r w:rsidRPr="00565259">
        <w:rPr>
          <w:rFonts w:ascii="Book Antiqua" w:hAnsi="Book Antiqua"/>
          <w:sz w:val="24"/>
          <w:szCs w:val="24"/>
        </w:rPr>
        <w:t>: H1015-H1022 [PMID: 12915388 DOI: 10.1152/ajpheart.01047.2002]</w:t>
      </w:r>
    </w:p>
    <w:p w14:paraId="123A9D4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89 </w:t>
      </w:r>
      <w:r w:rsidRPr="00565259">
        <w:rPr>
          <w:rFonts w:ascii="Book Antiqua" w:hAnsi="Book Antiqua"/>
          <w:b/>
          <w:sz w:val="24"/>
          <w:szCs w:val="24"/>
        </w:rPr>
        <w:t>Sun D</w:t>
      </w:r>
      <w:r w:rsidRPr="00565259">
        <w:rPr>
          <w:rFonts w:ascii="Book Antiqua" w:hAnsi="Book Antiqua"/>
          <w:sz w:val="24"/>
          <w:szCs w:val="24"/>
        </w:rPr>
        <w:t xml:space="preserve">, Huang A, Yan EH, Wu Z, Yan C, Kaminski PM, Oury TD, Wolin MS, Kaley G. Reduced release of nitric oxide to shear stress in mesenteric arteries of aged rats. </w:t>
      </w:r>
      <w:r w:rsidRPr="00565259">
        <w:rPr>
          <w:rFonts w:ascii="Book Antiqua" w:hAnsi="Book Antiqua"/>
          <w:i/>
          <w:sz w:val="24"/>
          <w:szCs w:val="24"/>
        </w:rPr>
        <w:t>Am J Physiol Heart Circ Physiol</w:t>
      </w:r>
      <w:r w:rsidRPr="00565259">
        <w:rPr>
          <w:rFonts w:ascii="Book Antiqua" w:hAnsi="Book Antiqua"/>
          <w:sz w:val="24"/>
          <w:szCs w:val="24"/>
        </w:rPr>
        <w:t xml:space="preserve"> 2004; </w:t>
      </w:r>
      <w:r w:rsidRPr="00565259">
        <w:rPr>
          <w:rFonts w:ascii="Book Antiqua" w:hAnsi="Book Antiqua"/>
          <w:b/>
          <w:sz w:val="24"/>
          <w:szCs w:val="24"/>
        </w:rPr>
        <w:t>286</w:t>
      </w:r>
      <w:r w:rsidRPr="00565259">
        <w:rPr>
          <w:rFonts w:ascii="Book Antiqua" w:hAnsi="Book Antiqua"/>
          <w:sz w:val="24"/>
          <w:szCs w:val="24"/>
        </w:rPr>
        <w:t>: H2249-H2256 [PMID: 14751861 DOI: 10.1152/ajpheart.00854.2003]</w:t>
      </w:r>
    </w:p>
    <w:p w14:paraId="6DAFBE3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90 </w:t>
      </w:r>
      <w:r w:rsidRPr="00565259">
        <w:rPr>
          <w:rFonts w:ascii="Book Antiqua" w:hAnsi="Book Antiqua"/>
          <w:b/>
          <w:sz w:val="24"/>
          <w:szCs w:val="24"/>
        </w:rPr>
        <w:t>Ungvari Z</w:t>
      </w:r>
      <w:r w:rsidRPr="00565259">
        <w:rPr>
          <w:rFonts w:ascii="Book Antiqua" w:hAnsi="Book Antiqua"/>
          <w:sz w:val="24"/>
          <w:szCs w:val="24"/>
        </w:rPr>
        <w:t xml:space="preserve">, Tarantini S, Kiss T, Wren JD, Giles CB, Griffin CT, Murfee WL, Pacher P, Csiszar A. Endothelial dysfunction and angiogenesis impairment in the ageing vasculature. </w:t>
      </w:r>
      <w:r w:rsidRPr="00565259">
        <w:rPr>
          <w:rFonts w:ascii="Book Antiqua" w:hAnsi="Book Antiqua"/>
          <w:i/>
          <w:sz w:val="24"/>
          <w:szCs w:val="24"/>
        </w:rPr>
        <w:t>Nat Rev Cardiol</w:t>
      </w:r>
      <w:r w:rsidRPr="00565259">
        <w:rPr>
          <w:rFonts w:ascii="Book Antiqua" w:hAnsi="Book Antiqua"/>
          <w:sz w:val="24"/>
          <w:szCs w:val="24"/>
        </w:rPr>
        <w:t xml:space="preserve"> 2018; </w:t>
      </w:r>
      <w:r w:rsidRPr="00565259">
        <w:rPr>
          <w:rFonts w:ascii="Book Antiqua" w:hAnsi="Book Antiqua"/>
          <w:b/>
          <w:sz w:val="24"/>
          <w:szCs w:val="24"/>
        </w:rPr>
        <w:t>15</w:t>
      </w:r>
      <w:r w:rsidRPr="00565259">
        <w:rPr>
          <w:rFonts w:ascii="Book Antiqua" w:hAnsi="Book Antiqua"/>
          <w:sz w:val="24"/>
          <w:szCs w:val="24"/>
        </w:rPr>
        <w:t>: 555-565 [PMID: 29795441 DOI: 10.1038/s41569-018-0030-z]</w:t>
      </w:r>
    </w:p>
    <w:p w14:paraId="0A208079"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91 </w:t>
      </w:r>
      <w:r w:rsidRPr="00565259">
        <w:rPr>
          <w:rFonts w:ascii="Book Antiqua" w:hAnsi="Book Antiqua"/>
          <w:b/>
          <w:sz w:val="24"/>
          <w:szCs w:val="24"/>
        </w:rPr>
        <w:t>Baur JA</w:t>
      </w:r>
      <w:r w:rsidRPr="00565259">
        <w:rPr>
          <w:rFonts w:ascii="Book Antiqua" w:hAnsi="Book Antiqua"/>
          <w:sz w:val="24"/>
          <w:szCs w:val="24"/>
        </w:rPr>
        <w:t xml:space="preserve">, Ungvari Z, Minor RK, Le Couteur DG, de Cabo R. Are sirtuins viable targets for improving healthspan and lifespan? </w:t>
      </w:r>
      <w:r w:rsidRPr="00565259">
        <w:rPr>
          <w:rFonts w:ascii="Book Antiqua" w:hAnsi="Book Antiqua"/>
          <w:i/>
          <w:sz w:val="24"/>
          <w:szCs w:val="24"/>
        </w:rPr>
        <w:t>Nat Rev Drug Discov</w:t>
      </w:r>
      <w:r w:rsidRPr="00565259">
        <w:rPr>
          <w:rFonts w:ascii="Book Antiqua" w:hAnsi="Book Antiqua"/>
          <w:sz w:val="24"/>
          <w:szCs w:val="24"/>
        </w:rPr>
        <w:t xml:space="preserve"> 2012; </w:t>
      </w:r>
      <w:r w:rsidRPr="00565259">
        <w:rPr>
          <w:rFonts w:ascii="Book Antiqua" w:hAnsi="Book Antiqua"/>
          <w:b/>
          <w:sz w:val="24"/>
          <w:szCs w:val="24"/>
        </w:rPr>
        <w:t>11</w:t>
      </w:r>
      <w:r w:rsidRPr="00565259">
        <w:rPr>
          <w:rFonts w:ascii="Book Antiqua" w:hAnsi="Book Antiqua"/>
          <w:sz w:val="24"/>
          <w:szCs w:val="24"/>
        </w:rPr>
        <w:t>: 443-461 [PMID: 22653216 DOI: 10.1038/nrd3738]</w:t>
      </w:r>
    </w:p>
    <w:p w14:paraId="1BED629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92 </w:t>
      </w:r>
      <w:r w:rsidRPr="00565259">
        <w:rPr>
          <w:rFonts w:ascii="Book Antiqua" w:hAnsi="Book Antiqua"/>
          <w:b/>
          <w:sz w:val="24"/>
          <w:szCs w:val="24"/>
        </w:rPr>
        <w:t>Gano LB</w:t>
      </w:r>
      <w:r w:rsidRPr="00565259">
        <w:rPr>
          <w:rFonts w:ascii="Book Antiqua" w:hAnsi="Book Antiqua"/>
          <w:sz w:val="24"/>
          <w:szCs w:val="24"/>
        </w:rPr>
        <w:t xml:space="preserve">, Donato AJ, Pasha HM, Hearon CM Jr, Sindler AL, Seals DR. The SIRT1 activator SRT1720 reverses vascular endothelial dysfunction, excessive superoxide production, and inflammation with aging in mice. </w:t>
      </w:r>
      <w:r w:rsidRPr="00565259">
        <w:rPr>
          <w:rFonts w:ascii="Book Antiqua" w:hAnsi="Book Antiqua"/>
          <w:i/>
          <w:sz w:val="24"/>
          <w:szCs w:val="24"/>
        </w:rPr>
        <w:t>Am J Physiol Heart Circ Physiol</w:t>
      </w:r>
      <w:r w:rsidRPr="00565259">
        <w:rPr>
          <w:rFonts w:ascii="Book Antiqua" w:hAnsi="Book Antiqua"/>
          <w:sz w:val="24"/>
          <w:szCs w:val="24"/>
        </w:rPr>
        <w:t xml:space="preserve"> 2014; </w:t>
      </w:r>
      <w:r w:rsidRPr="00565259">
        <w:rPr>
          <w:rFonts w:ascii="Book Antiqua" w:hAnsi="Book Antiqua"/>
          <w:b/>
          <w:sz w:val="24"/>
          <w:szCs w:val="24"/>
        </w:rPr>
        <w:t>307</w:t>
      </w:r>
      <w:r w:rsidRPr="00565259">
        <w:rPr>
          <w:rFonts w:ascii="Book Antiqua" w:hAnsi="Book Antiqua"/>
          <w:sz w:val="24"/>
          <w:szCs w:val="24"/>
        </w:rPr>
        <w:t>: H1754-H1763 [PMID: 25326534 DOI: 10.1152/ajpheart.00377.2014]</w:t>
      </w:r>
    </w:p>
    <w:p w14:paraId="7CED3E3B"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93 </w:t>
      </w:r>
      <w:r w:rsidRPr="00565259">
        <w:rPr>
          <w:rFonts w:ascii="Book Antiqua" w:hAnsi="Book Antiqua"/>
          <w:b/>
          <w:sz w:val="24"/>
          <w:szCs w:val="24"/>
        </w:rPr>
        <w:t>Chen J</w:t>
      </w:r>
      <w:r w:rsidRPr="00565259">
        <w:rPr>
          <w:rFonts w:ascii="Book Antiqua" w:hAnsi="Book Antiqua"/>
          <w:sz w:val="24"/>
          <w:szCs w:val="24"/>
        </w:rPr>
        <w:t xml:space="preserve">, Xavier S, Moskowitz-Kassai E, Chen R, Lu CY, Sanduski K, Špes A, Turk B, Goligorsky MS. Cathepsin cleavage of sirtuin 1 in endothelial progenitor cells mediates stress-induced premature senescence. </w:t>
      </w:r>
      <w:r w:rsidRPr="00565259">
        <w:rPr>
          <w:rFonts w:ascii="Book Antiqua" w:hAnsi="Book Antiqua"/>
          <w:i/>
          <w:sz w:val="24"/>
          <w:szCs w:val="24"/>
        </w:rPr>
        <w:t>Am J Pathol</w:t>
      </w:r>
      <w:r w:rsidRPr="00565259">
        <w:rPr>
          <w:rFonts w:ascii="Book Antiqua" w:hAnsi="Book Antiqua"/>
          <w:sz w:val="24"/>
          <w:szCs w:val="24"/>
        </w:rPr>
        <w:t xml:space="preserve"> 2012; </w:t>
      </w:r>
      <w:r w:rsidRPr="00565259">
        <w:rPr>
          <w:rFonts w:ascii="Book Antiqua" w:hAnsi="Book Antiqua"/>
          <w:b/>
          <w:sz w:val="24"/>
          <w:szCs w:val="24"/>
        </w:rPr>
        <w:t>180</w:t>
      </w:r>
      <w:r w:rsidRPr="00565259">
        <w:rPr>
          <w:rFonts w:ascii="Book Antiqua" w:hAnsi="Book Antiqua"/>
          <w:sz w:val="24"/>
          <w:szCs w:val="24"/>
        </w:rPr>
        <w:t>: 973-983 [PMID: 22234173 DOI: 10.1016/j.ajpath.2011.11.033]</w:t>
      </w:r>
    </w:p>
    <w:p w14:paraId="347960C9"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94 </w:t>
      </w:r>
      <w:r w:rsidRPr="00565259">
        <w:rPr>
          <w:rFonts w:ascii="Book Antiqua" w:hAnsi="Book Antiqua"/>
          <w:b/>
          <w:sz w:val="24"/>
          <w:szCs w:val="24"/>
        </w:rPr>
        <w:t>Hoetzer GL</w:t>
      </w:r>
      <w:r w:rsidRPr="00565259">
        <w:rPr>
          <w:rFonts w:ascii="Book Antiqua" w:hAnsi="Book Antiqua"/>
          <w:sz w:val="24"/>
          <w:szCs w:val="24"/>
        </w:rPr>
        <w:t xml:space="preserve">, Van Guilder GP, Irmiger HM, Keith RS, Stauffer BL, DeSouza CA. Aging, exercise, and endothelial progenitor cell clonogenic and migratory capacity in men. </w:t>
      </w:r>
      <w:r w:rsidRPr="00565259">
        <w:rPr>
          <w:rFonts w:ascii="Book Antiqua" w:hAnsi="Book Antiqua"/>
          <w:i/>
          <w:sz w:val="24"/>
          <w:szCs w:val="24"/>
        </w:rPr>
        <w:t>J Appl Physiol (1985)</w:t>
      </w:r>
      <w:r w:rsidRPr="00565259">
        <w:rPr>
          <w:rFonts w:ascii="Book Antiqua" w:hAnsi="Book Antiqua"/>
          <w:sz w:val="24"/>
          <w:szCs w:val="24"/>
        </w:rPr>
        <w:t xml:space="preserve"> 2007; </w:t>
      </w:r>
      <w:r w:rsidRPr="00565259">
        <w:rPr>
          <w:rFonts w:ascii="Book Antiqua" w:hAnsi="Book Antiqua"/>
          <w:b/>
          <w:sz w:val="24"/>
          <w:szCs w:val="24"/>
        </w:rPr>
        <w:t>102</w:t>
      </w:r>
      <w:r w:rsidRPr="00565259">
        <w:rPr>
          <w:rFonts w:ascii="Book Antiqua" w:hAnsi="Book Antiqua"/>
          <w:sz w:val="24"/>
          <w:szCs w:val="24"/>
        </w:rPr>
        <w:t>: 847-852 [PMID: 17158243 DOI: 10.1152/japplphysiol.01183.2006]</w:t>
      </w:r>
    </w:p>
    <w:p w14:paraId="2F82C28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95 </w:t>
      </w:r>
      <w:r w:rsidRPr="00565259">
        <w:rPr>
          <w:rFonts w:ascii="Book Antiqua" w:hAnsi="Book Antiqua"/>
          <w:b/>
          <w:sz w:val="24"/>
          <w:szCs w:val="24"/>
        </w:rPr>
        <w:t>Scheubel RJ</w:t>
      </w:r>
      <w:r w:rsidRPr="00565259">
        <w:rPr>
          <w:rFonts w:ascii="Book Antiqua" w:hAnsi="Book Antiqua"/>
          <w:sz w:val="24"/>
          <w:szCs w:val="24"/>
        </w:rPr>
        <w:t xml:space="preserve">, Zorn H, Silber RE, Kuss O, Morawietz H, Holtz J, Simm A. Age-dependent depression in circulating endothelial progenitor cells in patients undergoing coronary artery bypass grafting. </w:t>
      </w:r>
      <w:r w:rsidRPr="00565259">
        <w:rPr>
          <w:rFonts w:ascii="Book Antiqua" w:hAnsi="Book Antiqua"/>
          <w:i/>
          <w:sz w:val="24"/>
          <w:szCs w:val="24"/>
        </w:rPr>
        <w:t>J Am Coll Cardiol</w:t>
      </w:r>
      <w:r w:rsidRPr="00565259">
        <w:rPr>
          <w:rFonts w:ascii="Book Antiqua" w:hAnsi="Book Antiqua"/>
          <w:sz w:val="24"/>
          <w:szCs w:val="24"/>
        </w:rPr>
        <w:t xml:space="preserve"> 2003; </w:t>
      </w:r>
      <w:r w:rsidRPr="00565259">
        <w:rPr>
          <w:rFonts w:ascii="Book Antiqua" w:hAnsi="Book Antiqua"/>
          <w:b/>
          <w:sz w:val="24"/>
          <w:szCs w:val="24"/>
        </w:rPr>
        <w:t>42</w:t>
      </w:r>
      <w:r w:rsidRPr="00565259">
        <w:rPr>
          <w:rFonts w:ascii="Book Antiqua" w:hAnsi="Book Antiqua"/>
          <w:sz w:val="24"/>
          <w:szCs w:val="24"/>
        </w:rPr>
        <w:t>: 2073-2080 [PMID: 14680729 DOI: 10.1016/j.jacc.2003.07.025]</w:t>
      </w:r>
    </w:p>
    <w:p w14:paraId="466DA82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96 </w:t>
      </w:r>
      <w:r w:rsidRPr="00565259">
        <w:rPr>
          <w:rFonts w:ascii="Book Antiqua" w:hAnsi="Book Antiqua"/>
          <w:b/>
          <w:sz w:val="24"/>
          <w:szCs w:val="24"/>
        </w:rPr>
        <w:t>Williamson KA</w:t>
      </w:r>
      <w:r w:rsidRPr="00565259">
        <w:rPr>
          <w:rFonts w:ascii="Book Antiqua" w:hAnsi="Book Antiqua"/>
          <w:sz w:val="24"/>
          <w:szCs w:val="24"/>
        </w:rPr>
        <w:t xml:space="preserve">, Hamilton A, Reynolds JA, Sipos P, Crocker I, Stringer SE, Alexander YM. Age-related impairment of endothelial progenitor cell migration correlates with structural alterations of heparan sulfate proteoglycans. </w:t>
      </w:r>
      <w:r w:rsidRPr="00565259">
        <w:rPr>
          <w:rFonts w:ascii="Book Antiqua" w:hAnsi="Book Antiqua"/>
          <w:i/>
          <w:sz w:val="24"/>
          <w:szCs w:val="24"/>
        </w:rPr>
        <w:t>Aging Cell</w:t>
      </w:r>
      <w:r w:rsidRPr="00565259">
        <w:rPr>
          <w:rFonts w:ascii="Book Antiqua" w:hAnsi="Book Antiqua"/>
          <w:sz w:val="24"/>
          <w:szCs w:val="24"/>
        </w:rPr>
        <w:t xml:space="preserve"> 2013; </w:t>
      </w:r>
      <w:r w:rsidRPr="00565259">
        <w:rPr>
          <w:rFonts w:ascii="Book Antiqua" w:hAnsi="Book Antiqua"/>
          <w:b/>
          <w:sz w:val="24"/>
          <w:szCs w:val="24"/>
        </w:rPr>
        <w:t>12</w:t>
      </w:r>
      <w:r w:rsidRPr="00565259">
        <w:rPr>
          <w:rFonts w:ascii="Book Antiqua" w:hAnsi="Book Antiqua"/>
          <w:sz w:val="24"/>
          <w:szCs w:val="24"/>
        </w:rPr>
        <w:t>: 139-147 [PMID: 23190312 DOI: 10.1111/acel.12031]</w:t>
      </w:r>
    </w:p>
    <w:p w14:paraId="77D7FA30"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97 </w:t>
      </w:r>
      <w:r w:rsidRPr="00565259">
        <w:rPr>
          <w:rFonts w:ascii="Book Antiqua" w:hAnsi="Book Antiqua"/>
          <w:b/>
          <w:sz w:val="24"/>
          <w:szCs w:val="24"/>
        </w:rPr>
        <w:t>Thum T</w:t>
      </w:r>
      <w:r w:rsidRPr="00565259">
        <w:rPr>
          <w:rFonts w:ascii="Book Antiqua" w:hAnsi="Book Antiqua"/>
          <w:sz w:val="24"/>
          <w:szCs w:val="24"/>
        </w:rPr>
        <w:t xml:space="preserve">, Hoeber S, Froese S, Klink I, Stichtenoth DO, Galuppo P, Jakob M, Tsikas D, Anker SD, Poole-Wilson PA, Borlak J, Ertl G, Bauersachs J. Age-dependent impairment of endothelial progenitor cells is corrected by growth-hormone-mediated increase of insulin-like growth-factor-1. </w:t>
      </w:r>
      <w:r w:rsidRPr="00565259">
        <w:rPr>
          <w:rFonts w:ascii="Book Antiqua" w:hAnsi="Book Antiqua"/>
          <w:i/>
          <w:sz w:val="24"/>
          <w:szCs w:val="24"/>
        </w:rPr>
        <w:t>Circ Res</w:t>
      </w:r>
      <w:r w:rsidRPr="00565259">
        <w:rPr>
          <w:rFonts w:ascii="Book Antiqua" w:hAnsi="Book Antiqua"/>
          <w:sz w:val="24"/>
          <w:szCs w:val="24"/>
        </w:rPr>
        <w:t xml:space="preserve"> 2007; </w:t>
      </w:r>
      <w:r w:rsidRPr="00565259">
        <w:rPr>
          <w:rFonts w:ascii="Book Antiqua" w:hAnsi="Book Antiqua"/>
          <w:b/>
          <w:sz w:val="24"/>
          <w:szCs w:val="24"/>
        </w:rPr>
        <w:t>100</w:t>
      </w:r>
      <w:r w:rsidRPr="00565259">
        <w:rPr>
          <w:rFonts w:ascii="Book Antiqua" w:hAnsi="Book Antiqua"/>
          <w:sz w:val="24"/>
          <w:szCs w:val="24"/>
        </w:rPr>
        <w:t>: 434-443 [PMID: 17234973 DOI: 10.1161/01.RES.0000257912.78915.af]</w:t>
      </w:r>
    </w:p>
    <w:p w14:paraId="33A5FB79"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98 </w:t>
      </w:r>
      <w:r w:rsidRPr="00565259">
        <w:rPr>
          <w:rFonts w:ascii="Book Antiqua" w:hAnsi="Book Antiqua"/>
          <w:b/>
          <w:sz w:val="24"/>
          <w:szCs w:val="24"/>
        </w:rPr>
        <w:t>Zhu G</w:t>
      </w:r>
      <w:r w:rsidRPr="00565259">
        <w:rPr>
          <w:rFonts w:ascii="Book Antiqua" w:hAnsi="Book Antiqua"/>
          <w:sz w:val="24"/>
          <w:szCs w:val="24"/>
        </w:rPr>
        <w:t xml:space="preserve">, Song M, Wang H, Zhao G, Yu Z, Yin Y, Zhao X, Huang L. Young environment reverses the declined activity of aged rat-derived endothelial progenitor cells: involvement of the phosphatidylinositol 3-kinase/Akt signaling pathway. </w:t>
      </w:r>
      <w:r w:rsidRPr="00565259">
        <w:rPr>
          <w:rFonts w:ascii="Book Antiqua" w:hAnsi="Book Antiqua"/>
          <w:i/>
          <w:sz w:val="24"/>
          <w:szCs w:val="24"/>
        </w:rPr>
        <w:t>Ann Vasc Surg</w:t>
      </w:r>
      <w:r w:rsidRPr="00565259">
        <w:rPr>
          <w:rFonts w:ascii="Book Antiqua" w:hAnsi="Book Antiqua"/>
          <w:sz w:val="24"/>
          <w:szCs w:val="24"/>
        </w:rPr>
        <w:t xml:space="preserve"> 2009; </w:t>
      </w:r>
      <w:r w:rsidRPr="00565259">
        <w:rPr>
          <w:rFonts w:ascii="Book Antiqua" w:hAnsi="Book Antiqua"/>
          <w:b/>
          <w:sz w:val="24"/>
          <w:szCs w:val="24"/>
        </w:rPr>
        <w:t>23</w:t>
      </w:r>
      <w:r w:rsidRPr="00565259">
        <w:rPr>
          <w:rFonts w:ascii="Book Antiqua" w:hAnsi="Book Antiqua"/>
          <w:sz w:val="24"/>
          <w:szCs w:val="24"/>
        </w:rPr>
        <w:t>: 519-534 [PMID: 19540437 DOI: 10.1016/j.avsg.2008.11.013]</w:t>
      </w:r>
    </w:p>
    <w:p w14:paraId="01AD2A80"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99 </w:t>
      </w:r>
      <w:r w:rsidRPr="00565259">
        <w:rPr>
          <w:rFonts w:ascii="Book Antiqua" w:hAnsi="Book Antiqua"/>
          <w:b/>
          <w:sz w:val="24"/>
          <w:szCs w:val="24"/>
        </w:rPr>
        <w:t>Traktuev DO</w:t>
      </w:r>
      <w:r w:rsidRPr="00565259">
        <w:rPr>
          <w:rFonts w:ascii="Book Antiqua" w:hAnsi="Book Antiqua"/>
          <w:sz w:val="24"/>
          <w:szCs w:val="24"/>
        </w:rPr>
        <w:t xml:space="preserve">, Merfeld-Clauss S, Li J, Kolonin M, Arap W, Pasqualini R, Johnstone BH, March KL. A population of multipotent CD34-positive adipose stromal cells share pericyte and mesenchymal surface markers, reside in a periendothelial location, and stabilize endothelial networks. </w:t>
      </w:r>
      <w:r w:rsidRPr="00565259">
        <w:rPr>
          <w:rFonts w:ascii="Book Antiqua" w:hAnsi="Book Antiqua"/>
          <w:i/>
          <w:sz w:val="24"/>
          <w:szCs w:val="24"/>
        </w:rPr>
        <w:t>Circ Res</w:t>
      </w:r>
      <w:r w:rsidRPr="00565259">
        <w:rPr>
          <w:rFonts w:ascii="Book Antiqua" w:hAnsi="Book Antiqua"/>
          <w:sz w:val="24"/>
          <w:szCs w:val="24"/>
        </w:rPr>
        <w:t xml:space="preserve"> 2008; </w:t>
      </w:r>
      <w:r w:rsidRPr="00565259">
        <w:rPr>
          <w:rFonts w:ascii="Book Antiqua" w:hAnsi="Book Antiqua"/>
          <w:b/>
          <w:sz w:val="24"/>
          <w:szCs w:val="24"/>
        </w:rPr>
        <w:t>102</w:t>
      </w:r>
      <w:r w:rsidRPr="00565259">
        <w:rPr>
          <w:rFonts w:ascii="Book Antiqua" w:hAnsi="Book Antiqua"/>
          <w:sz w:val="24"/>
          <w:szCs w:val="24"/>
        </w:rPr>
        <w:t>: 77-85 [PMID: 17967785 DOI: 10.1161/CIRCRESAHA.107.159475]</w:t>
      </w:r>
    </w:p>
    <w:p w14:paraId="6B44264C"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100 </w:t>
      </w:r>
      <w:r w:rsidRPr="00565259">
        <w:rPr>
          <w:rFonts w:ascii="Book Antiqua" w:hAnsi="Book Antiqua"/>
          <w:b/>
          <w:sz w:val="24"/>
          <w:szCs w:val="24"/>
        </w:rPr>
        <w:t>Bell RD</w:t>
      </w:r>
      <w:r w:rsidRPr="00565259">
        <w:rPr>
          <w:rFonts w:ascii="Book Antiqua" w:hAnsi="Book Antiqua"/>
          <w:sz w:val="24"/>
          <w:szCs w:val="24"/>
        </w:rPr>
        <w:t xml:space="preserve">, Winkler EA, Sagare AP, Singh I, LaRue B, Deane R, Zlokovic BV. Pericytes control key neurovascular functions and neuronal phenotype in the adult brain and during brain aging. </w:t>
      </w:r>
      <w:r w:rsidRPr="00565259">
        <w:rPr>
          <w:rFonts w:ascii="Book Antiqua" w:hAnsi="Book Antiqua"/>
          <w:i/>
          <w:sz w:val="24"/>
          <w:szCs w:val="24"/>
        </w:rPr>
        <w:t>Neuron</w:t>
      </w:r>
      <w:r w:rsidRPr="00565259">
        <w:rPr>
          <w:rFonts w:ascii="Book Antiqua" w:hAnsi="Book Antiqua"/>
          <w:sz w:val="24"/>
          <w:szCs w:val="24"/>
        </w:rPr>
        <w:t xml:space="preserve"> 2010; </w:t>
      </w:r>
      <w:r w:rsidRPr="00565259">
        <w:rPr>
          <w:rFonts w:ascii="Book Antiqua" w:hAnsi="Book Antiqua"/>
          <w:b/>
          <w:sz w:val="24"/>
          <w:szCs w:val="24"/>
        </w:rPr>
        <w:t>68</w:t>
      </w:r>
      <w:r w:rsidRPr="00565259">
        <w:rPr>
          <w:rFonts w:ascii="Book Antiqua" w:hAnsi="Book Antiqua"/>
          <w:sz w:val="24"/>
          <w:szCs w:val="24"/>
        </w:rPr>
        <w:t>: 409-427 [PMID: 21040844 DOI: 10.1016/j.neuron.2010.09.043]</w:t>
      </w:r>
    </w:p>
    <w:p w14:paraId="307E1B7D"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101 </w:t>
      </w:r>
      <w:r w:rsidRPr="00565259">
        <w:rPr>
          <w:rFonts w:ascii="Book Antiqua" w:hAnsi="Book Antiqua"/>
          <w:b/>
          <w:sz w:val="24"/>
          <w:szCs w:val="24"/>
        </w:rPr>
        <w:t>Kelly-Goss MR</w:t>
      </w:r>
      <w:r w:rsidRPr="00565259">
        <w:rPr>
          <w:rFonts w:ascii="Book Antiqua" w:hAnsi="Book Antiqua"/>
          <w:sz w:val="24"/>
          <w:szCs w:val="24"/>
        </w:rPr>
        <w:t xml:space="preserve">, Sweat RS, Stapor PC, Peirce SM, Murfee WL. Targeting pericytes for angiogenic therapies. </w:t>
      </w:r>
      <w:r w:rsidRPr="00565259">
        <w:rPr>
          <w:rFonts w:ascii="Book Antiqua" w:hAnsi="Book Antiqua"/>
          <w:i/>
          <w:sz w:val="24"/>
          <w:szCs w:val="24"/>
        </w:rPr>
        <w:t>Microcirculation</w:t>
      </w:r>
      <w:r w:rsidRPr="00565259">
        <w:rPr>
          <w:rFonts w:ascii="Book Antiqua" w:hAnsi="Book Antiqua"/>
          <w:sz w:val="24"/>
          <w:szCs w:val="24"/>
        </w:rPr>
        <w:t xml:space="preserve"> 2014; </w:t>
      </w:r>
      <w:r w:rsidRPr="00565259">
        <w:rPr>
          <w:rFonts w:ascii="Book Antiqua" w:hAnsi="Book Antiqua"/>
          <w:b/>
          <w:sz w:val="24"/>
          <w:szCs w:val="24"/>
        </w:rPr>
        <w:t>21</w:t>
      </w:r>
      <w:r w:rsidRPr="00565259">
        <w:rPr>
          <w:rFonts w:ascii="Book Antiqua" w:hAnsi="Book Antiqua"/>
          <w:sz w:val="24"/>
          <w:szCs w:val="24"/>
        </w:rPr>
        <w:t>: 345-357 [PMID: 24267154 DOI: 10.1111/micc.12107]</w:t>
      </w:r>
    </w:p>
    <w:p w14:paraId="70F147C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102 </w:t>
      </w:r>
      <w:r w:rsidRPr="00565259">
        <w:rPr>
          <w:rFonts w:ascii="Book Antiqua" w:hAnsi="Book Antiqua"/>
          <w:b/>
          <w:sz w:val="24"/>
          <w:szCs w:val="24"/>
        </w:rPr>
        <w:t>Taipaleenmäki H</w:t>
      </w:r>
      <w:r w:rsidRPr="00565259">
        <w:rPr>
          <w:rFonts w:ascii="Book Antiqua" w:hAnsi="Book Antiqua"/>
          <w:sz w:val="24"/>
          <w:szCs w:val="24"/>
        </w:rPr>
        <w:t xml:space="preserve">, Abdallah BM, AlDahmash A, Säämänen AM, Kassem M. Wnt signalling mediates the cross-talk between bone marrow derived pre-adipocytic and pre-osteoblastic cell populations. </w:t>
      </w:r>
      <w:r w:rsidRPr="00565259">
        <w:rPr>
          <w:rFonts w:ascii="Book Antiqua" w:hAnsi="Book Antiqua"/>
          <w:i/>
          <w:sz w:val="24"/>
          <w:szCs w:val="24"/>
        </w:rPr>
        <w:t>Exp Cell Res</w:t>
      </w:r>
      <w:r w:rsidRPr="00565259">
        <w:rPr>
          <w:rFonts w:ascii="Book Antiqua" w:hAnsi="Book Antiqua"/>
          <w:sz w:val="24"/>
          <w:szCs w:val="24"/>
        </w:rPr>
        <w:t xml:space="preserve"> 2011; </w:t>
      </w:r>
      <w:r w:rsidRPr="00565259">
        <w:rPr>
          <w:rFonts w:ascii="Book Antiqua" w:hAnsi="Book Antiqua"/>
          <w:b/>
          <w:sz w:val="24"/>
          <w:szCs w:val="24"/>
        </w:rPr>
        <w:t>317</w:t>
      </w:r>
      <w:r w:rsidRPr="00565259">
        <w:rPr>
          <w:rFonts w:ascii="Book Antiqua" w:hAnsi="Book Antiqua"/>
          <w:sz w:val="24"/>
          <w:szCs w:val="24"/>
        </w:rPr>
        <w:t>: 745-756 [PMID: 21211534 DOI: 10.1016/j.yexcr.2010.12.015]</w:t>
      </w:r>
    </w:p>
    <w:p w14:paraId="735B6E10"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103 </w:t>
      </w:r>
      <w:r w:rsidRPr="00565259">
        <w:rPr>
          <w:rFonts w:ascii="Book Antiqua" w:hAnsi="Book Antiqua"/>
          <w:b/>
          <w:sz w:val="24"/>
          <w:szCs w:val="24"/>
        </w:rPr>
        <w:t>Rajashekhar G</w:t>
      </w:r>
      <w:r w:rsidRPr="00565259">
        <w:rPr>
          <w:rFonts w:ascii="Book Antiqua" w:hAnsi="Book Antiqua"/>
          <w:sz w:val="24"/>
          <w:szCs w:val="24"/>
        </w:rPr>
        <w:t xml:space="preserve">, Traktuev DO, Roell WC, Johnstone BH, Merfeld-Clauss S, Van Natta B, Rosen ED, March KL, Clauss M. IFATS collection: Adipose stromal cell differentiation is reduced by endothelial cell contact and paracrine communication: role of canonical Wnt signaling. </w:t>
      </w:r>
      <w:r w:rsidRPr="00565259">
        <w:rPr>
          <w:rFonts w:ascii="Book Antiqua" w:hAnsi="Book Antiqua"/>
          <w:i/>
          <w:sz w:val="24"/>
          <w:szCs w:val="24"/>
        </w:rPr>
        <w:t>Stem Cells</w:t>
      </w:r>
      <w:r w:rsidRPr="00565259">
        <w:rPr>
          <w:rFonts w:ascii="Book Antiqua" w:hAnsi="Book Antiqua"/>
          <w:sz w:val="24"/>
          <w:szCs w:val="24"/>
        </w:rPr>
        <w:t xml:space="preserve"> 2008; </w:t>
      </w:r>
      <w:r w:rsidRPr="00565259">
        <w:rPr>
          <w:rFonts w:ascii="Book Antiqua" w:hAnsi="Book Antiqua"/>
          <w:b/>
          <w:sz w:val="24"/>
          <w:szCs w:val="24"/>
        </w:rPr>
        <w:t>26</w:t>
      </w:r>
      <w:r w:rsidRPr="00565259">
        <w:rPr>
          <w:rFonts w:ascii="Book Antiqua" w:hAnsi="Book Antiqua"/>
          <w:sz w:val="24"/>
          <w:szCs w:val="24"/>
        </w:rPr>
        <w:t>: 2674-2681 [PMID: 18669909 DOI: 10.1634/stemcells.2008-0277]</w:t>
      </w:r>
    </w:p>
    <w:p w14:paraId="159A54D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104 </w:t>
      </w:r>
      <w:r w:rsidRPr="00565259">
        <w:rPr>
          <w:rFonts w:ascii="Book Antiqua" w:hAnsi="Book Antiqua"/>
          <w:b/>
          <w:sz w:val="24"/>
          <w:szCs w:val="24"/>
        </w:rPr>
        <w:t>Ungvari Z</w:t>
      </w:r>
      <w:r w:rsidRPr="00565259">
        <w:rPr>
          <w:rFonts w:ascii="Book Antiqua" w:hAnsi="Book Antiqua"/>
          <w:sz w:val="24"/>
          <w:szCs w:val="24"/>
        </w:rPr>
        <w:t xml:space="preserve">, Podlutsky A, Sosnowska D, Tucsek Z, Toth P, Deak F, Gautam T, Csiszar A, Sonntag WE. Ionizing radiation promotes the acquisition of a senescence-associated secretory phenotype and impairs angiogenic capacity in cerebromicrovascular endothelial cells: role of increased DNA damage and decreased DNA repair capacity in microvascular radiosensitivity. </w:t>
      </w:r>
      <w:r w:rsidRPr="00565259">
        <w:rPr>
          <w:rFonts w:ascii="Book Antiqua" w:hAnsi="Book Antiqua"/>
          <w:i/>
          <w:sz w:val="24"/>
          <w:szCs w:val="24"/>
        </w:rPr>
        <w:t>J Gerontol A Biol Sci Med Sci</w:t>
      </w:r>
      <w:r w:rsidRPr="00565259">
        <w:rPr>
          <w:rFonts w:ascii="Book Antiqua" w:hAnsi="Book Antiqua"/>
          <w:sz w:val="24"/>
          <w:szCs w:val="24"/>
        </w:rPr>
        <w:t xml:space="preserve"> 2013; </w:t>
      </w:r>
      <w:r w:rsidRPr="00565259">
        <w:rPr>
          <w:rFonts w:ascii="Book Antiqua" w:hAnsi="Book Antiqua"/>
          <w:b/>
          <w:sz w:val="24"/>
          <w:szCs w:val="24"/>
        </w:rPr>
        <w:t>68</w:t>
      </w:r>
      <w:r w:rsidRPr="00565259">
        <w:rPr>
          <w:rFonts w:ascii="Book Antiqua" w:hAnsi="Book Antiqua"/>
          <w:sz w:val="24"/>
          <w:szCs w:val="24"/>
        </w:rPr>
        <w:t>: 1443-1457 [PMID: 23689827 DOI: 10.1093/gerona/glt057]</w:t>
      </w:r>
    </w:p>
    <w:p w14:paraId="5CB4E39D"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105 </w:t>
      </w:r>
      <w:r w:rsidRPr="00565259">
        <w:rPr>
          <w:rFonts w:ascii="Book Antiqua" w:hAnsi="Book Antiqua"/>
          <w:b/>
          <w:sz w:val="24"/>
          <w:szCs w:val="24"/>
        </w:rPr>
        <w:t>Green LA</w:t>
      </w:r>
      <w:r w:rsidRPr="00565259">
        <w:rPr>
          <w:rFonts w:ascii="Book Antiqua" w:hAnsi="Book Antiqua"/>
          <w:sz w:val="24"/>
          <w:szCs w:val="24"/>
        </w:rPr>
        <w:t xml:space="preserve">, Njoku V, Mund J, Case J, Yoder M, Murphy MP, Clauss M. Endogenous Transmembrane TNF-Alpha Protects Against Premature Senescence in Endothelial Colony Forming Cells. </w:t>
      </w:r>
      <w:r w:rsidRPr="00565259">
        <w:rPr>
          <w:rFonts w:ascii="Book Antiqua" w:hAnsi="Book Antiqua"/>
          <w:i/>
          <w:sz w:val="24"/>
          <w:szCs w:val="24"/>
        </w:rPr>
        <w:t>Circ Res</w:t>
      </w:r>
      <w:r w:rsidRPr="00565259">
        <w:rPr>
          <w:rFonts w:ascii="Book Antiqua" w:hAnsi="Book Antiqua"/>
          <w:sz w:val="24"/>
          <w:szCs w:val="24"/>
        </w:rPr>
        <w:t xml:space="preserve"> 2016; </w:t>
      </w:r>
      <w:r w:rsidRPr="00565259">
        <w:rPr>
          <w:rFonts w:ascii="Book Antiqua" w:hAnsi="Book Antiqua"/>
          <w:b/>
          <w:sz w:val="24"/>
          <w:szCs w:val="24"/>
        </w:rPr>
        <w:t>118</w:t>
      </w:r>
      <w:r w:rsidRPr="00565259">
        <w:rPr>
          <w:rFonts w:ascii="Book Antiqua" w:hAnsi="Book Antiqua"/>
          <w:sz w:val="24"/>
          <w:szCs w:val="24"/>
        </w:rPr>
        <w:t>: 1512-1524 [PMID: 27076598 DOI: 10.1161/CIRCRESAHA.116.308332]</w:t>
      </w:r>
    </w:p>
    <w:p w14:paraId="228CEA6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106 </w:t>
      </w:r>
      <w:r w:rsidRPr="00565259">
        <w:rPr>
          <w:rFonts w:ascii="Book Antiqua" w:hAnsi="Book Antiqua"/>
          <w:b/>
          <w:sz w:val="24"/>
          <w:szCs w:val="24"/>
        </w:rPr>
        <w:t>Zhang Y</w:t>
      </w:r>
      <w:r w:rsidRPr="00565259">
        <w:rPr>
          <w:rFonts w:ascii="Book Antiqua" w:hAnsi="Book Antiqua"/>
          <w:sz w:val="24"/>
          <w:szCs w:val="24"/>
        </w:rPr>
        <w:t xml:space="preserve">, Herbert BS, Rajashekhar G, Ingram DA, Yoder MC, Clauss M, Rehman J. Premature senescence of highly proliferative endothelial progenitor cells is induced by tumor necrosis factor-alpha via the p38 mitogen-activated protein kinase pathway. </w:t>
      </w:r>
      <w:r w:rsidRPr="00565259">
        <w:rPr>
          <w:rFonts w:ascii="Book Antiqua" w:hAnsi="Book Antiqua"/>
          <w:i/>
          <w:sz w:val="24"/>
          <w:szCs w:val="24"/>
        </w:rPr>
        <w:t>FASEB J</w:t>
      </w:r>
      <w:r w:rsidRPr="00565259">
        <w:rPr>
          <w:rFonts w:ascii="Book Antiqua" w:hAnsi="Book Antiqua"/>
          <w:sz w:val="24"/>
          <w:szCs w:val="24"/>
        </w:rPr>
        <w:t xml:space="preserve"> 2009; </w:t>
      </w:r>
      <w:r w:rsidRPr="00565259">
        <w:rPr>
          <w:rFonts w:ascii="Book Antiqua" w:hAnsi="Book Antiqua"/>
          <w:b/>
          <w:sz w:val="24"/>
          <w:szCs w:val="24"/>
        </w:rPr>
        <w:t>23</w:t>
      </w:r>
      <w:r w:rsidRPr="00565259">
        <w:rPr>
          <w:rFonts w:ascii="Book Antiqua" w:hAnsi="Book Antiqua"/>
          <w:sz w:val="24"/>
          <w:szCs w:val="24"/>
        </w:rPr>
        <w:t>: 1358-1365 [PMID: 19124561 DOI: 10.1096/fj.08-110296]</w:t>
      </w:r>
    </w:p>
    <w:p w14:paraId="13087E1B"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107 </w:t>
      </w:r>
      <w:r w:rsidRPr="00565259">
        <w:rPr>
          <w:rFonts w:ascii="Book Antiqua" w:hAnsi="Book Antiqua"/>
          <w:b/>
          <w:sz w:val="24"/>
          <w:szCs w:val="24"/>
        </w:rPr>
        <w:t>Khan AS</w:t>
      </w:r>
      <w:r w:rsidRPr="00565259">
        <w:rPr>
          <w:rFonts w:ascii="Book Antiqua" w:hAnsi="Book Antiqua"/>
          <w:sz w:val="24"/>
          <w:szCs w:val="24"/>
        </w:rPr>
        <w:t xml:space="preserve">, Lynch CD, Sane DC, Willingham MC, Sonntag WE. Growth hormone increases regional coronary blood flow and capillary density in aged rats. </w:t>
      </w:r>
      <w:r w:rsidRPr="00565259">
        <w:rPr>
          <w:rFonts w:ascii="Book Antiqua" w:hAnsi="Book Antiqua"/>
          <w:i/>
          <w:sz w:val="24"/>
          <w:szCs w:val="24"/>
        </w:rPr>
        <w:t>J Gerontol A Biol Sci Med Sci</w:t>
      </w:r>
      <w:r w:rsidRPr="00565259">
        <w:rPr>
          <w:rFonts w:ascii="Book Antiqua" w:hAnsi="Book Antiqua"/>
          <w:sz w:val="24"/>
          <w:szCs w:val="24"/>
        </w:rPr>
        <w:t xml:space="preserve"> 2001; </w:t>
      </w:r>
      <w:r w:rsidRPr="00565259">
        <w:rPr>
          <w:rFonts w:ascii="Book Antiqua" w:hAnsi="Book Antiqua"/>
          <w:b/>
          <w:sz w:val="24"/>
          <w:szCs w:val="24"/>
        </w:rPr>
        <w:t>56</w:t>
      </w:r>
      <w:r w:rsidRPr="00565259">
        <w:rPr>
          <w:rFonts w:ascii="Book Antiqua" w:hAnsi="Book Antiqua"/>
          <w:sz w:val="24"/>
          <w:szCs w:val="24"/>
        </w:rPr>
        <w:t>: B364-B371 [PMID: 11487595 DOI: 10.1093/gerona/56.8.B364]</w:t>
      </w:r>
    </w:p>
    <w:p w14:paraId="47DA96BE"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108 </w:t>
      </w:r>
      <w:r w:rsidRPr="00565259">
        <w:rPr>
          <w:rFonts w:ascii="Book Antiqua" w:hAnsi="Book Antiqua"/>
          <w:b/>
          <w:sz w:val="24"/>
          <w:szCs w:val="24"/>
        </w:rPr>
        <w:t>Tarantini S</w:t>
      </w:r>
      <w:r w:rsidRPr="00565259">
        <w:rPr>
          <w:rFonts w:ascii="Book Antiqua" w:hAnsi="Book Antiqua"/>
          <w:sz w:val="24"/>
          <w:szCs w:val="24"/>
        </w:rPr>
        <w:t xml:space="preserve">, Tucsek Z, Valcarcel-Ares MN, Toth P, Gautam T, Giles CB, Ballabh P, Wei JY, Wren JD, Ashpole NM, Sonntag WE, Ungvari Z, Csiszar A. Circulating IGF-1 deficiency exacerbates hypertension-induced microvascular rarefaction in the mouse hippocampus and retrosplenial cortex: implications for cerebromicrovascular and brain aging. </w:t>
      </w:r>
      <w:r w:rsidRPr="00565259">
        <w:rPr>
          <w:rFonts w:ascii="Book Antiqua" w:hAnsi="Book Antiqua"/>
          <w:i/>
          <w:sz w:val="24"/>
          <w:szCs w:val="24"/>
        </w:rPr>
        <w:t>Age (Dordr)</w:t>
      </w:r>
      <w:r w:rsidRPr="00565259">
        <w:rPr>
          <w:rFonts w:ascii="Book Antiqua" w:hAnsi="Book Antiqua"/>
          <w:sz w:val="24"/>
          <w:szCs w:val="24"/>
        </w:rPr>
        <w:t xml:space="preserve"> 2016; </w:t>
      </w:r>
      <w:r w:rsidRPr="00565259">
        <w:rPr>
          <w:rFonts w:ascii="Book Antiqua" w:hAnsi="Book Antiqua"/>
          <w:b/>
          <w:sz w:val="24"/>
          <w:szCs w:val="24"/>
        </w:rPr>
        <w:t>38</w:t>
      </w:r>
      <w:r w:rsidRPr="00565259">
        <w:rPr>
          <w:rFonts w:ascii="Book Antiqua" w:hAnsi="Book Antiqua"/>
          <w:sz w:val="24"/>
          <w:szCs w:val="24"/>
        </w:rPr>
        <w:t>: 273-289 [PMID: 27613724 DOI: 10.1007/s11357-016-9931-0]</w:t>
      </w:r>
    </w:p>
    <w:p w14:paraId="27D5D50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109 </w:t>
      </w:r>
      <w:r w:rsidRPr="00565259">
        <w:rPr>
          <w:rFonts w:ascii="Book Antiqua" w:hAnsi="Book Antiqua"/>
          <w:b/>
          <w:sz w:val="24"/>
          <w:szCs w:val="24"/>
        </w:rPr>
        <w:t>Sonntag WE</w:t>
      </w:r>
      <w:r w:rsidRPr="00565259">
        <w:rPr>
          <w:rFonts w:ascii="Book Antiqua" w:hAnsi="Book Antiqua"/>
          <w:sz w:val="24"/>
          <w:szCs w:val="24"/>
        </w:rPr>
        <w:t xml:space="preserve">, Lynch CD, Cooney PT, Hutchins PM. Decreases in cerebral microvasculature with age are associated with the decline in growth hormone and insulin-like growth factor 1. </w:t>
      </w:r>
      <w:r w:rsidRPr="00565259">
        <w:rPr>
          <w:rFonts w:ascii="Book Antiqua" w:hAnsi="Book Antiqua"/>
          <w:i/>
          <w:sz w:val="24"/>
          <w:szCs w:val="24"/>
        </w:rPr>
        <w:t>Endocrinology</w:t>
      </w:r>
      <w:r w:rsidRPr="00565259">
        <w:rPr>
          <w:rFonts w:ascii="Book Antiqua" w:hAnsi="Book Antiqua"/>
          <w:sz w:val="24"/>
          <w:szCs w:val="24"/>
        </w:rPr>
        <w:t xml:space="preserve"> 1997; </w:t>
      </w:r>
      <w:r w:rsidRPr="00565259">
        <w:rPr>
          <w:rFonts w:ascii="Book Antiqua" w:hAnsi="Book Antiqua"/>
          <w:b/>
          <w:sz w:val="24"/>
          <w:szCs w:val="24"/>
        </w:rPr>
        <w:t>138</w:t>
      </w:r>
      <w:r w:rsidRPr="00565259">
        <w:rPr>
          <w:rFonts w:ascii="Book Antiqua" w:hAnsi="Book Antiqua"/>
          <w:sz w:val="24"/>
          <w:szCs w:val="24"/>
        </w:rPr>
        <w:t>: 3515-3520 [PMID: 9231806 DOI: 10.1210/endo.138.8.5330]</w:t>
      </w:r>
    </w:p>
    <w:p w14:paraId="515B78B7"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110 </w:t>
      </w:r>
      <w:r w:rsidRPr="00565259">
        <w:rPr>
          <w:rFonts w:ascii="Book Antiqua" w:hAnsi="Book Antiqua"/>
          <w:b/>
          <w:sz w:val="24"/>
          <w:szCs w:val="24"/>
        </w:rPr>
        <w:t>Hoenig MR</w:t>
      </w:r>
      <w:r w:rsidRPr="00565259">
        <w:rPr>
          <w:rFonts w:ascii="Book Antiqua" w:hAnsi="Book Antiqua"/>
          <w:sz w:val="24"/>
          <w:szCs w:val="24"/>
        </w:rPr>
        <w:t xml:space="preserve">, Bianchi C, Rosenzweig A, Sellke FW. Decreased vascular repair and neovascularization with ageing: mechanisms and clinical relevance with an emphasis on hypoxia-inducible factor-1. </w:t>
      </w:r>
      <w:r w:rsidRPr="00565259">
        <w:rPr>
          <w:rFonts w:ascii="Book Antiqua" w:hAnsi="Book Antiqua"/>
          <w:i/>
          <w:sz w:val="24"/>
          <w:szCs w:val="24"/>
        </w:rPr>
        <w:t>Curr Mol Med</w:t>
      </w:r>
      <w:r w:rsidRPr="00565259">
        <w:rPr>
          <w:rFonts w:ascii="Book Antiqua" w:hAnsi="Book Antiqua"/>
          <w:sz w:val="24"/>
          <w:szCs w:val="24"/>
        </w:rPr>
        <w:t xml:space="preserve"> 2008; </w:t>
      </w:r>
      <w:r w:rsidRPr="00565259">
        <w:rPr>
          <w:rFonts w:ascii="Book Antiqua" w:hAnsi="Book Antiqua"/>
          <w:b/>
          <w:sz w:val="24"/>
          <w:szCs w:val="24"/>
        </w:rPr>
        <w:t>8</w:t>
      </w:r>
      <w:r w:rsidRPr="00565259">
        <w:rPr>
          <w:rFonts w:ascii="Book Antiqua" w:hAnsi="Book Antiqua"/>
          <w:sz w:val="24"/>
          <w:szCs w:val="24"/>
        </w:rPr>
        <w:t>: 754-767 [PMID: 19075673 DOI: 10.2174/156652408786733685]</w:t>
      </w:r>
    </w:p>
    <w:p w14:paraId="3D32DD45"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111 </w:t>
      </w:r>
      <w:r w:rsidRPr="00565259">
        <w:rPr>
          <w:rFonts w:ascii="Book Antiqua" w:hAnsi="Book Antiqua"/>
          <w:b/>
          <w:sz w:val="24"/>
          <w:szCs w:val="24"/>
        </w:rPr>
        <w:t>Sadoun E</w:t>
      </w:r>
      <w:r w:rsidRPr="00565259">
        <w:rPr>
          <w:rFonts w:ascii="Book Antiqua" w:hAnsi="Book Antiqua"/>
          <w:sz w:val="24"/>
          <w:szCs w:val="24"/>
        </w:rPr>
        <w:t xml:space="preserve">, Reed MJ. Impaired angiogenesis in aging is associated with alterations in vessel density, matrix composition, inflammatory response, and growth factor expression. </w:t>
      </w:r>
      <w:r w:rsidRPr="00565259">
        <w:rPr>
          <w:rFonts w:ascii="Book Antiqua" w:hAnsi="Book Antiqua"/>
          <w:i/>
          <w:sz w:val="24"/>
          <w:szCs w:val="24"/>
        </w:rPr>
        <w:t>J Histochem Cytochem</w:t>
      </w:r>
      <w:r w:rsidRPr="00565259">
        <w:rPr>
          <w:rFonts w:ascii="Book Antiqua" w:hAnsi="Book Antiqua"/>
          <w:sz w:val="24"/>
          <w:szCs w:val="24"/>
        </w:rPr>
        <w:t xml:space="preserve"> 2003; </w:t>
      </w:r>
      <w:r w:rsidRPr="00565259">
        <w:rPr>
          <w:rFonts w:ascii="Book Antiqua" w:hAnsi="Book Antiqua"/>
          <w:b/>
          <w:sz w:val="24"/>
          <w:szCs w:val="24"/>
        </w:rPr>
        <w:t>51</w:t>
      </w:r>
      <w:r w:rsidRPr="00565259">
        <w:rPr>
          <w:rFonts w:ascii="Book Antiqua" w:hAnsi="Book Antiqua"/>
          <w:sz w:val="24"/>
          <w:szCs w:val="24"/>
        </w:rPr>
        <w:t>: 1119-1130 [PMID: 12923237 DOI: 10.1177/002215540305100902]</w:t>
      </w:r>
    </w:p>
    <w:p w14:paraId="635F8345"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112 </w:t>
      </w:r>
      <w:r w:rsidRPr="00565259">
        <w:rPr>
          <w:rFonts w:ascii="Book Antiqua" w:hAnsi="Book Antiqua"/>
          <w:b/>
          <w:sz w:val="24"/>
          <w:szCs w:val="24"/>
        </w:rPr>
        <w:t>Lu C</w:t>
      </w:r>
      <w:r w:rsidRPr="00565259">
        <w:rPr>
          <w:rFonts w:ascii="Book Antiqua" w:hAnsi="Book Antiqua"/>
          <w:sz w:val="24"/>
          <w:szCs w:val="24"/>
        </w:rPr>
        <w:t xml:space="preserve">, Miclau T, Hu D, Marcucio RS. Ischemia leads to delayed union during fracture healing: a mouse model. </w:t>
      </w:r>
      <w:r w:rsidRPr="00565259">
        <w:rPr>
          <w:rFonts w:ascii="Book Antiqua" w:hAnsi="Book Antiqua"/>
          <w:i/>
          <w:sz w:val="24"/>
          <w:szCs w:val="24"/>
        </w:rPr>
        <w:t>J Orthop Res</w:t>
      </w:r>
      <w:r w:rsidRPr="00565259">
        <w:rPr>
          <w:rFonts w:ascii="Book Antiqua" w:hAnsi="Book Antiqua"/>
          <w:sz w:val="24"/>
          <w:szCs w:val="24"/>
        </w:rPr>
        <w:t xml:space="preserve"> 2007; </w:t>
      </w:r>
      <w:r w:rsidRPr="00565259">
        <w:rPr>
          <w:rFonts w:ascii="Book Antiqua" w:hAnsi="Book Antiqua"/>
          <w:b/>
          <w:sz w:val="24"/>
          <w:szCs w:val="24"/>
        </w:rPr>
        <w:t>25</w:t>
      </w:r>
      <w:r w:rsidRPr="00565259">
        <w:rPr>
          <w:rFonts w:ascii="Book Antiqua" w:hAnsi="Book Antiqua"/>
          <w:sz w:val="24"/>
          <w:szCs w:val="24"/>
        </w:rPr>
        <w:t>: 51-61 [PMID: 17019699 DOI: 10.1002/jor.20264]</w:t>
      </w:r>
    </w:p>
    <w:p w14:paraId="623BDAC9"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113 </w:t>
      </w:r>
      <w:r w:rsidRPr="00565259">
        <w:rPr>
          <w:rFonts w:ascii="Book Antiqua" w:hAnsi="Book Antiqua"/>
          <w:b/>
          <w:sz w:val="24"/>
          <w:szCs w:val="24"/>
        </w:rPr>
        <w:t>Potier E</w:t>
      </w:r>
      <w:r w:rsidRPr="00565259">
        <w:rPr>
          <w:rFonts w:ascii="Book Antiqua" w:hAnsi="Book Antiqua"/>
          <w:sz w:val="24"/>
          <w:szCs w:val="24"/>
        </w:rPr>
        <w:t xml:space="preserve">, Ferreira E, Andriamanalijaona R, Pujol JP, Oudina K, Logeart-Avramoglou D, Petite H. Hypoxia affects mesenchymal stromal cell osteogenic differentiation and angiogenic factor expression. </w:t>
      </w:r>
      <w:r w:rsidRPr="00565259">
        <w:rPr>
          <w:rFonts w:ascii="Book Antiqua" w:hAnsi="Book Antiqua"/>
          <w:i/>
          <w:sz w:val="24"/>
          <w:szCs w:val="24"/>
        </w:rPr>
        <w:t>Bone</w:t>
      </w:r>
      <w:r w:rsidRPr="00565259">
        <w:rPr>
          <w:rFonts w:ascii="Book Antiqua" w:hAnsi="Book Antiqua"/>
          <w:sz w:val="24"/>
          <w:szCs w:val="24"/>
        </w:rPr>
        <w:t xml:space="preserve"> 2007; </w:t>
      </w:r>
      <w:r w:rsidRPr="00565259">
        <w:rPr>
          <w:rFonts w:ascii="Book Antiqua" w:hAnsi="Book Antiqua"/>
          <w:b/>
          <w:sz w:val="24"/>
          <w:szCs w:val="24"/>
        </w:rPr>
        <w:t>40</w:t>
      </w:r>
      <w:r w:rsidRPr="00565259">
        <w:rPr>
          <w:rFonts w:ascii="Book Antiqua" w:hAnsi="Book Antiqua"/>
          <w:sz w:val="24"/>
          <w:szCs w:val="24"/>
        </w:rPr>
        <w:t>: 1078-1087 [PMID: 17276151 DOI: 10.1016/j.bone.2006.11.024]</w:t>
      </w:r>
    </w:p>
    <w:p w14:paraId="2D45405D"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114 </w:t>
      </w:r>
      <w:r w:rsidRPr="00565259">
        <w:rPr>
          <w:rFonts w:ascii="Book Antiqua" w:hAnsi="Book Antiqua"/>
          <w:b/>
          <w:sz w:val="24"/>
          <w:szCs w:val="24"/>
        </w:rPr>
        <w:t>Yang DC</w:t>
      </w:r>
      <w:r w:rsidRPr="00565259">
        <w:rPr>
          <w:rFonts w:ascii="Book Antiqua" w:hAnsi="Book Antiqua"/>
          <w:sz w:val="24"/>
          <w:szCs w:val="24"/>
        </w:rPr>
        <w:t xml:space="preserve">, Yang MH, Tsai CC, Huang TF, Chen YH, Hung SC. Hypoxia inhibits osteogenesis in human mesenchymal stem cells through direct regulation of RUNX2 by TWIST. </w:t>
      </w:r>
      <w:r w:rsidRPr="00565259">
        <w:rPr>
          <w:rFonts w:ascii="Book Antiqua" w:hAnsi="Book Antiqua"/>
          <w:i/>
          <w:sz w:val="24"/>
          <w:szCs w:val="24"/>
        </w:rPr>
        <w:t>PLoS One</w:t>
      </w:r>
      <w:r w:rsidRPr="00565259">
        <w:rPr>
          <w:rFonts w:ascii="Book Antiqua" w:hAnsi="Book Antiqua"/>
          <w:sz w:val="24"/>
          <w:szCs w:val="24"/>
        </w:rPr>
        <w:t xml:space="preserve"> 2011; </w:t>
      </w:r>
      <w:r w:rsidRPr="00565259">
        <w:rPr>
          <w:rFonts w:ascii="Book Antiqua" w:hAnsi="Book Antiqua"/>
          <w:b/>
          <w:sz w:val="24"/>
          <w:szCs w:val="24"/>
        </w:rPr>
        <w:t>6</w:t>
      </w:r>
      <w:r w:rsidRPr="00565259">
        <w:rPr>
          <w:rFonts w:ascii="Book Antiqua" w:hAnsi="Book Antiqua"/>
          <w:sz w:val="24"/>
          <w:szCs w:val="24"/>
        </w:rPr>
        <w:t>: e23965 [PMID: 21931630 DOI: 10.1371/journal.pone.0023965]</w:t>
      </w:r>
    </w:p>
    <w:p w14:paraId="54C3067A"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115 </w:t>
      </w:r>
      <w:r w:rsidRPr="00565259">
        <w:rPr>
          <w:rFonts w:ascii="Book Antiqua" w:hAnsi="Book Antiqua"/>
          <w:b/>
          <w:sz w:val="24"/>
          <w:szCs w:val="24"/>
        </w:rPr>
        <w:t>Leijten JC</w:t>
      </w:r>
      <w:r w:rsidRPr="00565259">
        <w:rPr>
          <w:rFonts w:ascii="Book Antiqua" w:hAnsi="Book Antiqua"/>
          <w:sz w:val="24"/>
          <w:szCs w:val="24"/>
        </w:rPr>
        <w:t xml:space="preserve">, Moreira Teixeira LS, Landman EB, van Blitterswijk CA, Karperien M. Hypoxia inhibits hypertrophic differentiation and endochondral ossification in explanted tibiae. </w:t>
      </w:r>
      <w:r w:rsidRPr="00565259">
        <w:rPr>
          <w:rFonts w:ascii="Book Antiqua" w:hAnsi="Book Antiqua"/>
          <w:i/>
          <w:sz w:val="24"/>
          <w:szCs w:val="24"/>
        </w:rPr>
        <w:t>PLoS One</w:t>
      </w:r>
      <w:r w:rsidRPr="00565259">
        <w:rPr>
          <w:rFonts w:ascii="Book Antiqua" w:hAnsi="Book Antiqua"/>
          <w:sz w:val="24"/>
          <w:szCs w:val="24"/>
        </w:rPr>
        <w:t xml:space="preserve"> 2012; </w:t>
      </w:r>
      <w:r w:rsidRPr="00565259">
        <w:rPr>
          <w:rFonts w:ascii="Book Antiqua" w:hAnsi="Book Antiqua"/>
          <w:b/>
          <w:sz w:val="24"/>
          <w:szCs w:val="24"/>
        </w:rPr>
        <w:t>7</w:t>
      </w:r>
      <w:r w:rsidRPr="00565259">
        <w:rPr>
          <w:rFonts w:ascii="Book Antiqua" w:hAnsi="Book Antiqua"/>
          <w:sz w:val="24"/>
          <w:szCs w:val="24"/>
        </w:rPr>
        <w:t>: e49896 [PMID: 23185479 DOI: 10.1371/journal.pone.0049896]</w:t>
      </w:r>
    </w:p>
    <w:p w14:paraId="58DC563A"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116 </w:t>
      </w:r>
      <w:r w:rsidRPr="00565259">
        <w:rPr>
          <w:rFonts w:ascii="Book Antiqua" w:hAnsi="Book Antiqua"/>
          <w:b/>
          <w:sz w:val="24"/>
          <w:szCs w:val="24"/>
        </w:rPr>
        <w:t>Potier E</w:t>
      </w:r>
      <w:r w:rsidRPr="00565259">
        <w:rPr>
          <w:rFonts w:ascii="Book Antiqua" w:hAnsi="Book Antiqua"/>
          <w:sz w:val="24"/>
          <w:szCs w:val="24"/>
        </w:rPr>
        <w:t xml:space="preserve">, Ferreira E, Meunier A, Sedel L, Logeart-Avramoglou D, Petite H. Prolonged hypoxia concomitant with serum deprivation induces massive human mesenchymal stem cell death. </w:t>
      </w:r>
      <w:r w:rsidRPr="00565259">
        <w:rPr>
          <w:rFonts w:ascii="Book Antiqua" w:hAnsi="Book Antiqua"/>
          <w:i/>
          <w:sz w:val="24"/>
          <w:szCs w:val="24"/>
        </w:rPr>
        <w:t>Tissue Eng</w:t>
      </w:r>
      <w:r w:rsidRPr="00565259">
        <w:rPr>
          <w:rFonts w:ascii="Book Antiqua" w:hAnsi="Book Antiqua"/>
          <w:sz w:val="24"/>
          <w:szCs w:val="24"/>
        </w:rPr>
        <w:t xml:space="preserve"> 2007; </w:t>
      </w:r>
      <w:r w:rsidRPr="00565259">
        <w:rPr>
          <w:rFonts w:ascii="Book Antiqua" w:hAnsi="Book Antiqua"/>
          <w:b/>
          <w:sz w:val="24"/>
          <w:szCs w:val="24"/>
        </w:rPr>
        <w:t>13</w:t>
      </w:r>
      <w:r w:rsidRPr="00565259">
        <w:rPr>
          <w:rFonts w:ascii="Book Antiqua" w:hAnsi="Book Antiqua"/>
          <w:sz w:val="24"/>
          <w:szCs w:val="24"/>
        </w:rPr>
        <w:t>: 1325-1331 [PMID: 17518749 DOI: 10.1089/ten.2006.0325]</w:t>
      </w:r>
    </w:p>
    <w:p w14:paraId="17E4DC1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117 </w:t>
      </w:r>
      <w:r w:rsidRPr="00565259">
        <w:rPr>
          <w:rFonts w:ascii="Book Antiqua" w:hAnsi="Book Antiqua"/>
          <w:b/>
          <w:sz w:val="24"/>
          <w:szCs w:val="24"/>
        </w:rPr>
        <w:t>Mueller MB</w:t>
      </w:r>
      <w:r w:rsidRPr="00565259">
        <w:rPr>
          <w:rFonts w:ascii="Book Antiqua" w:hAnsi="Book Antiqua"/>
          <w:sz w:val="24"/>
          <w:szCs w:val="24"/>
        </w:rPr>
        <w:t xml:space="preserve">, Tuan RS. Functional characterization of hypertrophy in chondrogenesis of human mesenchymal stem cells. </w:t>
      </w:r>
      <w:r w:rsidRPr="00565259">
        <w:rPr>
          <w:rFonts w:ascii="Book Antiqua" w:hAnsi="Book Antiqua"/>
          <w:i/>
          <w:sz w:val="24"/>
          <w:szCs w:val="24"/>
        </w:rPr>
        <w:t>Arthritis Rheum</w:t>
      </w:r>
      <w:r w:rsidRPr="00565259">
        <w:rPr>
          <w:rFonts w:ascii="Book Antiqua" w:hAnsi="Book Antiqua"/>
          <w:sz w:val="24"/>
          <w:szCs w:val="24"/>
        </w:rPr>
        <w:t xml:space="preserve"> 2008; </w:t>
      </w:r>
      <w:r w:rsidRPr="00565259">
        <w:rPr>
          <w:rFonts w:ascii="Book Antiqua" w:hAnsi="Book Antiqua"/>
          <w:b/>
          <w:sz w:val="24"/>
          <w:szCs w:val="24"/>
        </w:rPr>
        <w:t>58</w:t>
      </w:r>
      <w:r w:rsidRPr="00565259">
        <w:rPr>
          <w:rFonts w:ascii="Book Antiqua" w:hAnsi="Book Antiqua"/>
          <w:sz w:val="24"/>
          <w:szCs w:val="24"/>
        </w:rPr>
        <w:t>: 1377-1388 [PMID: 18438858 DOI: 10.1002/art.23370]</w:t>
      </w:r>
    </w:p>
    <w:p w14:paraId="41DC433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118 </w:t>
      </w:r>
      <w:r w:rsidRPr="00565259">
        <w:rPr>
          <w:rFonts w:ascii="Book Antiqua" w:hAnsi="Book Antiqua"/>
          <w:b/>
          <w:sz w:val="24"/>
          <w:szCs w:val="24"/>
        </w:rPr>
        <w:t>Zhong L</w:t>
      </w:r>
      <w:r w:rsidRPr="00565259">
        <w:rPr>
          <w:rFonts w:ascii="Book Antiqua" w:hAnsi="Book Antiqua"/>
          <w:sz w:val="24"/>
          <w:szCs w:val="24"/>
        </w:rPr>
        <w:t xml:space="preserve">, Huang X, Karperien M, Post JN. The Regulatory Role of Signaling Crosstalk in Hypertrophy of MSCs and Human Articular Chondrocytes. </w:t>
      </w:r>
      <w:r w:rsidRPr="00565259">
        <w:rPr>
          <w:rFonts w:ascii="Book Antiqua" w:hAnsi="Book Antiqua"/>
          <w:i/>
          <w:sz w:val="24"/>
          <w:szCs w:val="24"/>
        </w:rPr>
        <w:t>Int J Mol Sci</w:t>
      </w:r>
      <w:r w:rsidRPr="00565259">
        <w:rPr>
          <w:rFonts w:ascii="Book Antiqua" w:hAnsi="Book Antiqua"/>
          <w:sz w:val="24"/>
          <w:szCs w:val="24"/>
        </w:rPr>
        <w:t xml:space="preserve"> 2015; </w:t>
      </w:r>
      <w:r w:rsidRPr="00565259">
        <w:rPr>
          <w:rFonts w:ascii="Book Antiqua" w:hAnsi="Book Antiqua"/>
          <w:b/>
          <w:sz w:val="24"/>
          <w:szCs w:val="24"/>
        </w:rPr>
        <w:t>16</w:t>
      </w:r>
      <w:r w:rsidRPr="00565259">
        <w:rPr>
          <w:rFonts w:ascii="Book Antiqua" w:hAnsi="Book Antiqua"/>
          <w:sz w:val="24"/>
          <w:szCs w:val="24"/>
        </w:rPr>
        <w:t>: 19225-19247 [PMID: 26287176 DOI: 10.3390/ijms160819225]</w:t>
      </w:r>
    </w:p>
    <w:p w14:paraId="3A0B34D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119 </w:t>
      </w:r>
      <w:r w:rsidRPr="00565259">
        <w:rPr>
          <w:rFonts w:ascii="Book Antiqua" w:hAnsi="Book Antiqua"/>
          <w:b/>
          <w:sz w:val="24"/>
          <w:szCs w:val="24"/>
        </w:rPr>
        <w:t>Khan WS</w:t>
      </w:r>
      <w:r w:rsidRPr="00565259">
        <w:rPr>
          <w:rFonts w:ascii="Book Antiqua" w:hAnsi="Book Antiqua"/>
          <w:sz w:val="24"/>
          <w:szCs w:val="24"/>
        </w:rPr>
        <w:t xml:space="preserve">, Adesida AB, Hardingham TE. Hypoxic conditions increase hypoxia-inducible transcription factor 2alpha and enhance chondrogenesis in stem cells from the infrapatellar fat pad of osteoarthritis patients. </w:t>
      </w:r>
      <w:r w:rsidRPr="00565259">
        <w:rPr>
          <w:rFonts w:ascii="Book Antiqua" w:hAnsi="Book Antiqua"/>
          <w:i/>
          <w:sz w:val="24"/>
          <w:szCs w:val="24"/>
        </w:rPr>
        <w:t>Arthritis Res Ther</w:t>
      </w:r>
      <w:r w:rsidRPr="00565259">
        <w:rPr>
          <w:rFonts w:ascii="Book Antiqua" w:hAnsi="Book Antiqua"/>
          <w:sz w:val="24"/>
          <w:szCs w:val="24"/>
        </w:rPr>
        <w:t xml:space="preserve"> 2007; </w:t>
      </w:r>
      <w:r w:rsidRPr="00565259">
        <w:rPr>
          <w:rFonts w:ascii="Book Antiqua" w:hAnsi="Book Antiqua"/>
          <w:b/>
          <w:sz w:val="24"/>
          <w:szCs w:val="24"/>
        </w:rPr>
        <w:t>9</w:t>
      </w:r>
      <w:r w:rsidRPr="00565259">
        <w:rPr>
          <w:rFonts w:ascii="Book Antiqua" w:hAnsi="Book Antiqua"/>
          <w:sz w:val="24"/>
          <w:szCs w:val="24"/>
        </w:rPr>
        <w:t>: R55 [PMID: 17537234 DOI: 10.1186/ar2211]</w:t>
      </w:r>
    </w:p>
    <w:p w14:paraId="5AF6640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120 </w:t>
      </w:r>
      <w:r w:rsidRPr="00565259">
        <w:rPr>
          <w:rFonts w:ascii="Book Antiqua" w:hAnsi="Book Antiqua"/>
          <w:b/>
          <w:sz w:val="24"/>
          <w:szCs w:val="24"/>
        </w:rPr>
        <w:t>Jukes JM</w:t>
      </w:r>
      <w:r w:rsidRPr="00565259">
        <w:rPr>
          <w:rFonts w:ascii="Book Antiqua" w:hAnsi="Book Antiqua"/>
          <w:sz w:val="24"/>
          <w:szCs w:val="24"/>
        </w:rPr>
        <w:t xml:space="preserve">, Both SK, Leusink A, Sterk LM, van Blitterswijk CA, de Boer J. Endochondral bone tissue engineering using embryonic stem cells. </w:t>
      </w:r>
      <w:r w:rsidRPr="00565259">
        <w:rPr>
          <w:rFonts w:ascii="Book Antiqua" w:hAnsi="Book Antiqua"/>
          <w:i/>
          <w:sz w:val="24"/>
          <w:szCs w:val="24"/>
        </w:rPr>
        <w:t>Proc Natl Acad Sci U S A</w:t>
      </w:r>
      <w:r w:rsidRPr="00565259">
        <w:rPr>
          <w:rFonts w:ascii="Book Antiqua" w:hAnsi="Book Antiqua"/>
          <w:sz w:val="24"/>
          <w:szCs w:val="24"/>
        </w:rPr>
        <w:t xml:space="preserve"> 2008; </w:t>
      </w:r>
      <w:r w:rsidRPr="00565259">
        <w:rPr>
          <w:rFonts w:ascii="Book Antiqua" w:hAnsi="Book Antiqua"/>
          <w:b/>
          <w:sz w:val="24"/>
          <w:szCs w:val="24"/>
        </w:rPr>
        <w:t>105</w:t>
      </w:r>
      <w:r w:rsidRPr="00565259">
        <w:rPr>
          <w:rFonts w:ascii="Book Antiqua" w:hAnsi="Book Antiqua"/>
          <w:sz w:val="24"/>
          <w:szCs w:val="24"/>
        </w:rPr>
        <w:t>: 6840-6845 [PMID: 18467492 DOI: 10.1073/pnas.0711662105]</w:t>
      </w:r>
    </w:p>
    <w:p w14:paraId="3969726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121 </w:t>
      </w:r>
      <w:r w:rsidRPr="00565259">
        <w:rPr>
          <w:rFonts w:ascii="Book Antiqua" w:hAnsi="Book Antiqua"/>
          <w:b/>
          <w:sz w:val="24"/>
          <w:szCs w:val="24"/>
        </w:rPr>
        <w:t>Pelttari K</w:t>
      </w:r>
      <w:r w:rsidRPr="00565259">
        <w:rPr>
          <w:rFonts w:ascii="Book Antiqua" w:hAnsi="Book Antiqua"/>
          <w:sz w:val="24"/>
          <w:szCs w:val="24"/>
        </w:rPr>
        <w:t xml:space="preserve">, Winter A, Steck E, Goetzke K, Hennig T, Ochs BG, Aigner T, Richter W. Premature induction of hypertrophy during in vitro chondrogenesis of human mesenchymal stem cells correlates with calcification and vascular invasion after ectopic transplantation in SCID mice. </w:t>
      </w:r>
      <w:r w:rsidRPr="00565259">
        <w:rPr>
          <w:rFonts w:ascii="Book Antiqua" w:hAnsi="Book Antiqua"/>
          <w:i/>
          <w:sz w:val="24"/>
          <w:szCs w:val="24"/>
        </w:rPr>
        <w:t>Arthritis Rheum</w:t>
      </w:r>
      <w:r w:rsidRPr="00565259">
        <w:rPr>
          <w:rFonts w:ascii="Book Antiqua" w:hAnsi="Book Antiqua"/>
          <w:sz w:val="24"/>
          <w:szCs w:val="24"/>
        </w:rPr>
        <w:t xml:space="preserve"> 2006; </w:t>
      </w:r>
      <w:r w:rsidRPr="00565259">
        <w:rPr>
          <w:rFonts w:ascii="Book Antiqua" w:hAnsi="Book Antiqua"/>
          <w:b/>
          <w:sz w:val="24"/>
          <w:szCs w:val="24"/>
        </w:rPr>
        <w:t>54</w:t>
      </w:r>
      <w:r w:rsidRPr="00565259">
        <w:rPr>
          <w:rFonts w:ascii="Book Antiqua" w:hAnsi="Book Antiqua"/>
          <w:sz w:val="24"/>
          <w:szCs w:val="24"/>
        </w:rPr>
        <w:t>: 3254-3266 [PMID: 17009260 DOI: 10.1002/art.22136]</w:t>
      </w:r>
    </w:p>
    <w:p w14:paraId="1D55F8C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122 </w:t>
      </w:r>
      <w:r w:rsidRPr="00565259">
        <w:rPr>
          <w:rFonts w:ascii="Book Antiqua" w:hAnsi="Book Antiqua"/>
          <w:b/>
          <w:sz w:val="24"/>
          <w:szCs w:val="24"/>
        </w:rPr>
        <w:t>Scotti C</w:t>
      </w:r>
      <w:r w:rsidRPr="00565259">
        <w:rPr>
          <w:rFonts w:ascii="Book Antiqua" w:hAnsi="Book Antiqua"/>
          <w:sz w:val="24"/>
          <w:szCs w:val="24"/>
        </w:rPr>
        <w:t xml:space="preserve">, Piccinini E, Takizawa H, Todorov A, Bourgine P, Papadimitropoulos A, Barbero A, Manz MG, Martin I. Engineering of a functional bone organ through endochondral ossification. </w:t>
      </w:r>
      <w:r w:rsidRPr="00565259">
        <w:rPr>
          <w:rFonts w:ascii="Book Antiqua" w:hAnsi="Book Antiqua"/>
          <w:i/>
          <w:sz w:val="24"/>
          <w:szCs w:val="24"/>
        </w:rPr>
        <w:t>Proc Natl Acad Sci U S A</w:t>
      </w:r>
      <w:r w:rsidRPr="00565259">
        <w:rPr>
          <w:rFonts w:ascii="Book Antiqua" w:hAnsi="Book Antiqua"/>
          <w:sz w:val="24"/>
          <w:szCs w:val="24"/>
        </w:rPr>
        <w:t xml:space="preserve"> 2013; </w:t>
      </w:r>
      <w:r w:rsidRPr="00565259">
        <w:rPr>
          <w:rFonts w:ascii="Book Antiqua" w:hAnsi="Book Antiqua"/>
          <w:b/>
          <w:sz w:val="24"/>
          <w:szCs w:val="24"/>
        </w:rPr>
        <w:t>110</w:t>
      </w:r>
      <w:r w:rsidRPr="00565259">
        <w:rPr>
          <w:rFonts w:ascii="Book Antiqua" w:hAnsi="Book Antiqua"/>
          <w:sz w:val="24"/>
          <w:szCs w:val="24"/>
        </w:rPr>
        <w:t>: 3997-4002 [PMID: 23401508 DOI: 10.1073/pnas.1220108110]</w:t>
      </w:r>
    </w:p>
    <w:p w14:paraId="06351E8B"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123 </w:t>
      </w:r>
      <w:r w:rsidRPr="00565259">
        <w:rPr>
          <w:rFonts w:ascii="Book Antiqua" w:hAnsi="Book Antiqua"/>
          <w:b/>
          <w:sz w:val="24"/>
          <w:szCs w:val="24"/>
        </w:rPr>
        <w:t>Scotti C</w:t>
      </w:r>
      <w:r w:rsidRPr="00565259">
        <w:rPr>
          <w:rFonts w:ascii="Book Antiqua" w:hAnsi="Book Antiqua"/>
          <w:sz w:val="24"/>
          <w:szCs w:val="24"/>
        </w:rPr>
        <w:t xml:space="preserve">, Tonnarelli B, Papadimitropoulos A, Scherberich A, Schaeren S, Schauerte A, Lopez-Rios J, Zeller R, Barbero A, Martin I. Recapitulation of endochondral bone formation using human adult mesenchymal stem cells as a paradigm for developmental engineering. </w:t>
      </w:r>
      <w:r w:rsidRPr="00565259">
        <w:rPr>
          <w:rFonts w:ascii="Book Antiqua" w:hAnsi="Book Antiqua"/>
          <w:i/>
          <w:sz w:val="24"/>
          <w:szCs w:val="24"/>
        </w:rPr>
        <w:t>Proc Natl Acad Sci U S A</w:t>
      </w:r>
      <w:r w:rsidRPr="00565259">
        <w:rPr>
          <w:rFonts w:ascii="Book Antiqua" w:hAnsi="Book Antiqua"/>
          <w:sz w:val="24"/>
          <w:szCs w:val="24"/>
        </w:rPr>
        <w:t xml:space="preserve"> 2010; </w:t>
      </w:r>
      <w:r w:rsidRPr="00565259">
        <w:rPr>
          <w:rFonts w:ascii="Book Antiqua" w:hAnsi="Book Antiqua"/>
          <w:b/>
          <w:sz w:val="24"/>
          <w:szCs w:val="24"/>
        </w:rPr>
        <w:t>107</w:t>
      </w:r>
      <w:r w:rsidRPr="00565259">
        <w:rPr>
          <w:rFonts w:ascii="Book Antiqua" w:hAnsi="Book Antiqua"/>
          <w:sz w:val="24"/>
          <w:szCs w:val="24"/>
        </w:rPr>
        <w:t>: 7251-7256 [PMID: 20406908 DOI: 10.1073/pnas.1000302107]</w:t>
      </w:r>
    </w:p>
    <w:p w14:paraId="3EE17BD5"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124 </w:t>
      </w:r>
      <w:r w:rsidRPr="00565259">
        <w:rPr>
          <w:rFonts w:ascii="Book Antiqua" w:hAnsi="Book Antiqua"/>
          <w:b/>
          <w:sz w:val="24"/>
          <w:szCs w:val="24"/>
        </w:rPr>
        <w:t>Farrell E</w:t>
      </w:r>
      <w:r w:rsidRPr="00565259">
        <w:rPr>
          <w:rFonts w:ascii="Book Antiqua" w:hAnsi="Book Antiqua"/>
          <w:sz w:val="24"/>
          <w:szCs w:val="24"/>
        </w:rPr>
        <w:t xml:space="preserve">, Both SK, Odörfer KI, Koevoet W, Kops N, O'Brien FJ, Baatenburg de Jong RJ, Verhaar JA, Cuijpers V, Jansen J, Erben RG, van Osch GJ. In-vivo generation of bone via endochondral ossification by in-vitro chondrogenic priming of adult human and rat mesenchymal stem cells. </w:t>
      </w:r>
      <w:r w:rsidRPr="00565259">
        <w:rPr>
          <w:rFonts w:ascii="Book Antiqua" w:hAnsi="Book Antiqua"/>
          <w:i/>
          <w:sz w:val="24"/>
          <w:szCs w:val="24"/>
        </w:rPr>
        <w:t>BMC Musculoskelet Disord</w:t>
      </w:r>
      <w:r w:rsidRPr="00565259">
        <w:rPr>
          <w:rFonts w:ascii="Book Antiqua" w:hAnsi="Book Antiqua"/>
          <w:sz w:val="24"/>
          <w:szCs w:val="24"/>
        </w:rPr>
        <w:t xml:space="preserve"> 2011; </w:t>
      </w:r>
      <w:r w:rsidRPr="00565259">
        <w:rPr>
          <w:rFonts w:ascii="Book Antiqua" w:hAnsi="Book Antiqua"/>
          <w:b/>
          <w:sz w:val="24"/>
          <w:szCs w:val="24"/>
        </w:rPr>
        <w:t>12</w:t>
      </w:r>
      <w:r w:rsidRPr="00565259">
        <w:rPr>
          <w:rFonts w:ascii="Book Antiqua" w:hAnsi="Book Antiqua"/>
          <w:sz w:val="24"/>
          <w:szCs w:val="24"/>
        </w:rPr>
        <w:t>: 31 [PMID: 21281488 DOI: 10.1186/1471-2474-12-31]</w:t>
      </w:r>
    </w:p>
    <w:p w14:paraId="6B588334"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125 </w:t>
      </w:r>
      <w:r w:rsidRPr="00565259">
        <w:rPr>
          <w:rFonts w:ascii="Book Antiqua" w:hAnsi="Book Antiqua"/>
          <w:b/>
          <w:sz w:val="24"/>
          <w:szCs w:val="24"/>
        </w:rPr>
        <w:t>Sheehy EJ</w:t>
      </w:r>
      <w:r w:rsidRPr="00565259">
        <w:rPr>
          <w:rFonts w:ascii="Book Antiqua" w:hAnsi="Book Antiqua"/>
          <w:sz w:val="24"/>
          <w:szCs w:val="24"/>
        </w:rPr>
        <w:t xml:space="preserve">, Vinardell T, Buckley CT, Kelly DJ. Engineering osteochondral constructs through spatial regulation of endochondral ossification. </w:t>
      </w:r>
      <w:r w:rsidRPr="00565259">
        <w:rPr>
          <w:rFonts w:ascii="Book Antiqua" w:hAnsi="Book Antiqua"/>
          <w:i/>
          <w:sz w:val="24"/>
          <w:szCs w:val="24"/>
        </w:rPr>
        <w:t>Acta Biomater</w:t>
      </w:r>
      <w:r w:rsidRPr="00565259">
        <w:rPr>
          <w:rFonts w:ascii="Book Antiqua" w:hAnsi="Book Antiqua"/>
          <w:sz w:val="24"/>
          <w:szCs w:val="24"/>
        </w:rPr>
        <w:t xml:space="preserve"> 2013; </w:t>
      </w:r>
      <w:r w:rsidRPr="00565259">
        <w:rPr>
          <w:rFonts w:ascii="Book Antiqua" w:hAnsi="Book Antiqua"/>
          <w:b/>
          <w:sz w:val="24"/>
          <w:szCs w:val="24"/>
        </w:rPr>
        <w:t>9</w:t>
      </w:r>
      <w:r w:rsidRPr="00565259">
        <w:rPr>
          <w:rFonts w:ascii="Book Antiqua" w:hAnsi="Book Antiqua"/>
          <w:sz w:val="24"/>
          <w:szCs w:val="24"/>
        </w:rPr>
        <w:t>: 5484-5492 [PMID: 23159563 DOI: 10.1016/j.actbio.2012.11.008]</w:t>
      </w:r>
    </w:p>
    <w:p w14:paraId="3DAE4027"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126 </w:t>
      </w:r>
      <w:r w:rsidRPr="00565259">
        <w:rPr>
          <w:rFonts w:ascii="Book Antiqua" w:hAnsi="Book Antiqua"/>
          <w:b/>
          <w:sz w:val="24"/>
          <w:szCs w:val="24"/>
        </w:rPr>
        <w:t>Harada N</w:t>
      </w:r>
      <w:r w:rsidRPr="00565259">
        <w:rPr>
          <w:rFonts w:ascii="Book Antiqua" w:hAnsi="Book Antiqua"/>
          <w:sz w:val="24"/>
          <w:szCs w:val="24"/>
        </w:rPr>
        <w:t xml:space="preserve">, Watanabe Y, Sato K, Abe S, Yamanaka K, Sakai Y, Kaneko T, Matsushita T. Bone regeneration in a massive rat femur defect through endochondral ossification achieved with chondrogenically differentiated MSCs in a degradable scaffold. </w:t>
      </w:r>
      <w:r w:rsidRPr="00565259">
        <w:rPr>
          <w:rFonts w:ascii="Book Antiqua" w:hAnsi="Book Antiqua"/>
          <w:i/>
          <w:sz w:val="24"/>
          <w:szCs w:val="24"/>
        </w:rPr>
        <w:t>Biomaterials</w:t>
      </w:r>
      <w:r w:rsidRPr="00565259">
        <w:rPr>
          <w:rFonts w:ascii="Book Antiqua" w:hAnsi="Book Antiqua"/>
          <w:sz w:val="24"/>
          <w:szCs w:val="24"/>
        </w:rPr>
        <w:t xml:space="preserve"> 2014; </w:t>
      </w:r>
      <w:r w:rsidRPr="00565259">
        <w:rPr>
          <w:rFonts w:ascii="Book Antiqua" w:hAnsi="Book Antiqua"/>
          <w:b/>
          <w:sz w:val="24"/>
          <w:szCs w:val="24"/>
        </w:rPr>
        <w:t>35</w:t>
      </w:r>
      <w:r w:rsidRPr="00565259">
        <w:rPr>
          <w:rFonts w:ascii="Book Antiqua" w:hAnsi="Book Antiqua"/>
          <w:sz w:val="24"/>
          <w:szCs w:val="24"/>
        </w:rPr>
        <w:t>: 7800-7810 [PMID: 24952976 DOI: 10.1016/j.biomaterials.2014.05.052]</w:t>
      </w:r>
    </w:p>
    <w:p w14:paraId="60DFDF20"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127 </w:t>
      </w:r>
      <w:r w:rsidRPr="00565259">
        <w:rPr>
          <w:rFonts w:ascii="Book Antiqua" w:hAnsi="Book Antiqua"/>
          <w:b/>
          <w:sz w:val="24"/>
          <w:szCs w:val="24"/>
        </w:rPr>
        <w:t>Weiss-Bilka HE</w:t>
      </w:r>
      <w:r w:rsidRPr="00565259">
        <w:rPr>
          <w:rFonts w:ascii="Book Antiqua" w:hAnsi="Book Antiqua"/>
          <w:sz w:val="24"/>
          <w:szCs w:val="24"/>
        </w:rPr>
        <w:t xml:space="preserve">, McGann ME, Meagher MJ, Roeder RK, Wagner DR. Ectopic models for endochondral ossification: comparing pellet and alginate bead culture methods. </w:t>
      </w:r>
      <w:r w:rsidRPr="00565259">
        <w:rPr>
          <w:rFonts w:ascii="Book Antiqua" w:hAnsi="Book Antiqua"/>
          <w:i/>
          <w:sz w:val="24"/>
          <w:szCs w:val="24"/>
        </w:rPr>
        <w:t>J Tissue Eng Regen Med</w:t>
      </w:r>
      <w:r w:rsidRPr="00565259">
        <w:rPr>
          <w:rFonts w:ascii="Book Antiqua" w:hAnsi="Book Antiqua"/>
          <w:sz w:val="24"/>
          <w:szCs w:val="24"/>
        </w:rPr>
        <w:t xml:space="preserve"> 2018; </w:t>
      </w:r>
      <w:r w:rsidRPr="00565259">
        <w:rPr>
          <w:rFonts w:ascii="Book Antiqua" w:hAnsi="Book Antiqua"/>
          <w:b/>
          <w:sz w:val="24"/>
          <w:szCs w:val="24"/>
        </w:rPr>
        <w:t>12</w:t>
      </w:r>
      <w:r w:rsidRPr="00565259">
        <w:rPr>
          <w:rFonts w:ascii="Book Antiqua" w:hAnsi="Book Antiqua"/>
          <w:sz w:val="24"/>
          <w:szCs w:val="24"/>
        </w:rPr>
        <w:t>: e541-e549 [PMID: 27690279 DOI: 10.1002/term.2324]</w:t>
      </w:r>
    </w:p>
    <w:p w14:paraId="077FA8FE"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128 </w:t>
      </w:r>
      <w:r w:rsidRPr="00565259">
        <w:rPr>
          <w:rFonts w:ascii="Book Antiqua" w:hAnsi="Book Antiqua"/>
          <w:b/>
          <w:sz w:val="24"/>
          <w:szCs w:val="24"/>
        </w:rPr>
        <w:t>Dang PN</w:t>
      </w:r>
      <w:r w:rsidRPr="00565259">
        <w:rPr>
          <w:rFonts w:ascii="Book Antiqua" w:hAnsi="Book Antiqua"/>
          <w:sz w:val="24"/>
          <w:szCs w:val="24"/>
        </w:rPr>
        <w:t xml:space="preserve">, Herberg S, Varghai D, Riazi H, Varghai D, McMillan A, Awadallah A, Phillips LM, Jeon O, Nguyen MK, Dwivedi N, Yu X, Murphy WL, Alsberg E. Endochondral Ossification in Critical-Sized Bone Defects via Readily Implantable Scaffold-Free Stem Cell Constructs. </w:t>
      </w:r>
      <w:r w:rsidRPr="00565259">
        <w:rPr>
          <w:rFonts w:ascii="Book Antiqua" w:hAnsi="Book Antiqua"/>
          <w:i/>
          <w:sz w:val="24"/>
          <w:szCs w:val="24"/>
        </w:rPr>
        <w:t>Stem Cells Transl Med</w:t>
      </w:r>
      <w:r w:rsidRPr="00565259">
        <w:rPr>
          <w:rFonts w:ascii="Book Antiqua" w:hAnsi="Book Antiqua"/>
          <w:sz w:val="24"/>
          <w:szCs w:val="24"/>
        </w:rPr>
        <w:t xml:space="preserve"> 2017; </w:t>
      </w:r>
      <w:r w:rsidRPr="00565259">
        <w:rPr>
          <w:rFonts w:ascii="Book Antiqua" w:hAnsi="Book Antiqua"/>
          <w:b/>
          <w:sz w:val="24"/>
          <w:szCs w:val="24"/>
        </w:rPr>
        <w:t>6</w:t>
      </w:r>
      <w:r w:rsidRPr="00565259">
        <w:rPr>
          <w:rFonts w:ascii="Book Antiqua" w:hAnsi="Book Antiqua"/>
          <w:sz w:val="24"/>
          <w:szCs w:val="24"/>
        </w:rPr>
        <w:t>: 1644-1659 [PMID: 28661587 DOI: 10.1002/sctm.16-0222]</w:t>
      </w:r>
    </w:p>
    <w:p w14:paraId="4782CDF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129 </w:t>
      </w:r>
      <w:r w:rsidRPr="00565259">
        <w:rPr>
          <w:rFonts w:ascii="Book Antiqua" w:hAnsi="Book Antiqua"/>
          <w:b/>
          <w:sz w:val="24"/>
          <w:szCs w:val="24"/>
        </w:rPr>
        <w:t>Osinga R</w:t>
      </w:r>
      <w:r w:rsidRPr="00565259">
        <w:rPr>
          <w:rFonts w:ascii="Book Antiqua" w:hAnsi="Book Antiqua"/>
          <w:sz w:val="24"/>
          <w:szCs w:val="24"/>
        </w:rPr>
        <w:t xml:space="preserve">, Di Maggio N, Todorov A, Allafi N, Barbero A, Laurent F, Schaefer DJ, Martin I, Scherberich A. Generation of a Bone Organ by Human Adipose-Derived Stromal Cells Through Endochondral Ossification. </w:t>
      </w:r>
      <w:r w:rsidRPr="00565259">
        <w:rPr>
          <w:rFonts w:ascii="Book Antiqua" w:hAnsi="Book Antiqua"/>
          <w:i/>
          <w:sz w:val="24"/>
          <w:szCs w:val="24"/>
        </w:rPr>
        <w:t>Stem Cells Transl Med</w:t>
      </w:r>
      <w:r w:rsidRPr="00565259">
        <w:rPr>
          <w:rFonts w:ascii="Book Antiqua" w:hAnsi="Book Antiqua"/>
          <w:sz w:val="24"/>
          <w:szCs w:val="24"/>
        </w:rPr>
        <w:t xml:space="preserve"> 2016; </w:t>
      </w:r>
      <w:r w:rsidRPr="00565259">
        <w:rPr>
          <w:rFonts w:ascii="Book Antiqua" w:hAnsi="Book Antiqua"/>
          <w:b/>
          <w:sz w:val="24"/>
          <w:szCs w:val="24"/>
        </w:rPr>
        <w:t>5</w:t>
      </w:r>
      <w:r w:rsidRPr="00565259">
        <w:rPr>
          <w:rFonts w:ascii="Book Antiqua" w:hAnsi="Book Antiqua"/>
          <w:sz w:val="24"/>
          <w:szCs w:val="24"/>
        </w:rPr>
        <w:t>: 1090-1097 [PMID: 27334490 DOI: 10.5966/sctm.2015-0256]</w:t>
      </w:r>
    </w:p>
    <w:p w14:paraId="0025928C"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130 </w:t>
      </w:r>
      <w:r w:rsidRPr="00565259">
        <w:rPr>
          <w:rFonts w:ascii="Book Antiqua" w:hAnsi="Book Antiqua"/>
          <w:b/>
          <w:sz w:val="24"/>
          <w:szCs w:val="24"/>
        </w:rPr>
        <w:t>Weiss HE</w:t>
      </w:r>
      <w:r w:rsidRPr="00565259">
        <w:rPr>
          <w:rFonts w:ascii="Book Antiqua" w:hAnsi="Book Antiqua"/>
          <w:sz w:val="24"/>
          <w:szCs w:val="24"/>
        </w:rPr>
        <w:t xml:space="preserve">, Roberts SJ, Schrooten J, Luyten FP. A semi-autonomous model of endochondral ossification for developmental tissue engineering. </w:t>
      </w:r>
      <w:r w:rsidRPr="00565259">
        <w:rPr>
          <w:rFonts w:ascii="Book Antiqua" w:hAnsi="Book Antiqua"/>
          <w:i/>
          <w:sz w:val="24"/>
          <w:szCs w:val="24"/>
        </w:rPr>
        <w:t>Tissue Eng Part A</w:t>
      </w:r>
      <w:r w:rsidRPr="00565259">
        <w:rPr>
          <w:rFonts w:ascii="Book Antiqua" w:hAnsi="Book Antiqua"/>
          <w:sz w:val="24"/>
          <w:szCs w:val="24"/>
        </w:rPr>
        <w:t xml:space="preserve"> 2012; </w:t>
      </w:r>
      <w:r w:rsidRPr="00565259">
        <w:rPr>
          <w:rFonts w:ascii="Book Antiqua" w:hAnsi="Book Antiqua"/>
          <w:b/>
          <w:sz w:val="24"/>
          <w:szCs w:val="24"/>
        </w:rPr>
        <w:t>18</w:t>
      </w:r>
      <w:r w:rsidRPr="00565259">
        <w:rPr>
          <w:rFonts w:ascii="Book Antiqua" w:hAnsi="Book Antiqua"/>
          <w:sz w:val="24"/>
          <w:szCs w:val="24"/>
        </w:rPr>
        <w:t>: 1334-1343 [PMID: 22394057 DOI: 10.1089/ten.TEA.2011.0602]</w:t>
      </w:r>
    </w:p>
    <w:p w14:paraId="3C73AF5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131 </w:t>
      </w:r>
      <w:r w:rsidRPr="00565259">
        <w:rPr>
          <w:rFonts w:ascii="Book Antiqua" w:hAnsi="Book Antiqua"/>
          <w:b/>
          <w:sz w:val="24"/>
          <w:szCs w:val="24"/>
        </w:rPr>
        <w:t>Matsiko A</w:t>
      </w:r>
      <w:r w:rsidRPr="00565259">
        <w:rPr>
          <w:rFonts w:ascii="Book Antiqua" w:hAnsi="Book Antiqua"/>
          <w:sz w:val="24"/>
          <w:szCs w:val="24"/>
        </w:rPr>
        <w:t xml:space="preserve">, Thompson EM, Lloyd-Griffith C, Cunniffe GM, Vinardell T, Gleeson JP, Kelly DJ, O'Brien FJ. An endochondral ossification approach to early stage bone repair: Use of tissue-engineered hypertrophic cartilage constructs as primordial templates for weight-bearing bone repair. </w:t>
      </w:r>
      <w:r w:rsidRPr="00565259">
        <w:rPr>
          <w:rFonts w:ascii="Book Antiqua" w:hAnsi="Book Antiqua"/>
          <w:i/>
          <w:sz w:val="24"/>
          <w:szCs w:val="24"/>
        </w:rPr>
        <w:t>J Tissue Eng Regen Med</w:t>
      </w:r>
      <w:r w:rsidRPr="00565259">
        <w:rPr>
          <w:rFonts w:ascii="Book Antiqua" w:hAnsi="Book Antiqua"/>
          <w:sz w:val="24"/>
          <w:szCs w:val="24"/>
        </w:rPr>
        <w:t xml:space="preserve"> 2018; </w:t>
      </w:r>
      <w:r w:rsidRPr="00565259">
        <w:rPr>
          <w:rFonts w:ascii="Book Antiqua" w:hAnsi="Book Antiqua"/>
          <w:b/>
          <w:sz w:val="24"/>
          <w:szCs w:val="24"/>
        </w:rPr>
        <w:t>12</w:t>
      </w:r>
      <w:r w:rsidRPr="00565259">
        <w:rPr>
          <w:rFonts w:ascii="Book Antiqua" w:hAnsi="Book Antiqua"/>
          <w:sz w:val="24"/>
          <w:szCs w:val="24"/>
        </w:rPr>
        <w:t>: e2147-e2150 [PMID: 29327428 DOI: 10.1002/term.2638]</w:t>
      </w:r>
    </w:p>
    <w:p w14:paraId="3D1A9C6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132 </w:t>
      </w:r>
      <w:r w:rsidRPr="00565259">
        <w:rPr>
          <w:rFonts w:ascii="Book Antiqua" w:hAnsi="Book Antiqua"/>
          <w:b/>
          <w:sz w:val="24"/>
          <w:szCs w:val="24"/>
        </w:rPr>
        <w:t>Thompson EM</w:t>
      </w:r>
      <w:r w:rsidRPr="00565259">
        <w:rPr>
          <w:rFonts w:ascii="Book Antiqua" w:hAnsi="Book Antiqua"/>
          <w:sz w:val="24"/>
          <w:szCs w:val="24"/>
        </w:rPr>
        <w:t xml:space="preserve">, Matsiko A, Kelly DJ, Gleeson JP, O'Brien FJ. An Endochondral Ossification-Based Approach to Bone Repair: Chondrogenically Primed Mesenchymal Stem Cell-Laden Scaffolds Support Greater Repair of Critical-Sized Cranial Defects Than Osteogenically Stimulated Constructs In Vivo. </w:t>
      </w:r>
      <w:r w:rsidRPr="00565259">
        <w:rPr>
          <w:rFonts w:ascii="Book Antiqua" w:hAnsi="Book Antiqua"/>
          <w:i/>
          <w:sz w:val="24"/>
          <w:szCs w:val="24"/>
        </w:rPr>
        <w:t>Tissue Eng Part A</w:t>
      </w:r>
      <w:r w:rsidRPr="00565259">
        <w:rPr>
          <w:rFonts w:ascii="Book Antiqua" w:hAnsi="Book Antiqua"/>
          <w:sz w:val="24"/>
          <w:szCs w:val="24"/>
        </w:rPr>
        <w:t xml:space="preserve"> 2016; </w:t>
      </w:r>
      <w:r w:rsidRPr="00565259">
        <w:rPr>
          <w:rFonts w:ascii="Book Antiqua" w:hAnsi="Book Antiqua"/>
          <w:b/>
          <w:sz w:val="24"/>
          <w:szCs w:val="24"/>
        </w:rPr>
        <w:t>22</w:t>
      </w:r>
      <w:r w:rsidRPr="00565259">
        <w:rPr>
          <w:rFonts w:ascii="Book Antiqua" w:hAnsi="Book Antiqua"/>
          <w:sz w:val="24"/>
          <w:szCs w:val="24"/>
        </w:rPr>
        <w:t>: 556-567 [PMID: 26896424 DOI: 10.1089/ten.TEA.2015.0457]</w:t>
      </w:r>
    </w:p>
    <w:p w14:paraId="40F031E7"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133 All Clinical Trials Related to Endothelial Progenitor Cells [Internet]. Available from: www.clinicaltrials.gov</w:t>
      </w:r>
    </w:p>
    <w:p w14:paraId="59B7541E"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134 </w:t>
      </w:r>
      <w:r w:rsidRPr="00565259">
        <w:rPr>
          <w:rFonts w:ascii="Book Antiqua" w:hAnsi="Book Antiqua"/>
          <w:b/>
          <w:sz w:val="24"/>
          <w:szCs w:val="24"/>
        </w:rPr>
        <w:t>Chandrasekhar KS</w:t>
      </w:r>
      <w:r w:rsidRPr="00565259">
        <w:rPr>
          <w:rFonts w:ascii="Book Antiqua" w:hAnsi="Book Antiqua"/>
          <w:sz w:val="24"/>
          <w:szCs w:val="24"/>
        </w:rPr>
        <w:t xml:space="preserve">, Zhou H, Zeng P, Alge D, Li W, Finney BA, Yoder MC, Li J. Blood vessel wall-derived endothelial colony-forming cells enhance fracture repair and bone regeneration. </w:t>
      </w:r>
      <w:r w:rsidRPr="00565259">
        <w:rPr>
          <w:rFonts w:ascii="Book Antiqua" w:hAnsi="Book Antiqua"/>
          <w:i/>
          <w:sz w:val="24"/>
          <w:szCs w:val="24"/>
        </w:rPr>
        <w:t>Calcif Tissue Int</w:t>
      </w:r>
      <w:r w:rsidRPr="00565259">
        <w:rPr>
          <w:rFonts w:ascii="Book Antiqua" w:hAnsi="Book Antiqua"/>
          <w:sz w:val="24"/>
          <w:szCs w:val="24"/>
        </w:rPr>
        <w:t xml:space="preserve"> 2011; </w:t>
      </w:r>
      <w:r w:rsidRPr="00565259">
        <w:rPr>
          <w:rFonts w:ascii="Book Antiqua" w:hAnsi="Book Antiqua"/>
          <w:b/>
          <w:sz w:val="24"/>
          <w:szCs w:val="24"/>
        </w:rPr>
        <w:t>89</w:t>
      </w:r>
      <w:r w:rsidRPr="00565259">
        <w:rPr>
          <w:rFonts w:ascii="Book Antiqua" w:hAnsi="Book Antiqua"/>
          <w:sz w:val="24"/>
          <w:szCs w:val="24"/>
        </w:rPr>
        <w:t>: 347-357 [PMID: 21882012 DOI: 10.1007/s00223-011-9524-y]</w:t>
      </w:r>
    </w:p>
    <w:p w14:paraId="6922DDA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135 </w:t>
      </w:r>
      <w:r w:rsidRPr="00565259">
        <w:rPr>
          <w:rFonts w:ascii="Book Antiqua" w:hAnsi="Book Antiqua"/>
          <w:b/>
          <w:sz w:val="24"/>
          <w:szCs w:val="24"/>
        </w:rPr>
        <w:t>Atesok K</w:t>
      </w:r>
      <w:r w:rsidRPr="00565259">
        <w:rPr>
          <w:rFonts w:ascii="Book Antiqua" w:hAnsi="Book Antiqua"/>
          <w:sz w:val="24"/>
          <w:szCs w:val="24"/>
        </w:rPr>
        <w:t xml:space="preserve">, Li R, Stewart DJ, Schemitsch EH. Endothelial progenitor cells promote fracture healing in a segmental bone defect model. </w:t>
      </w:r>
      <w:r w:rsidRPr="00565259">
        <w:rPr>
          <w:rFonts w:ascii="Book Antiqua" w:hAnsi="Book Antiqua"/>
          <w:i/>
          <w:sz w:val="24"/>
          <w:szCs w:val="24"/>
        </w:rPr>
        <w:t>J Orthop Res</w:t>
      </w:r>
      <w:r w:rsidRPr="00565259">
        <w:rPr>
          <w:rFonts w:ascii="Book Antiqua" w:hAnsi="Book Antiqua"/>
          <w:sz w:val="24"/>
          <w:szCs w:val="24"/>
        </w:rPr>
        <w:t xml:space="preserve"> 2010; </w:t>
      </w:r>
      <w:r w:rsidRPr="00565259">
        <w:rPr>
          <w:rFonts w:ascii="Book Antiqua" w:hAnsi="Book Antiqua"/>
          <w:b/>
          <w:sz w:val="24"/>
          <w:szCs w:val="24"/>
        </w:rPr>
        <w:t>28</w:t>
      </w:r>
      <w:r w:rsidRPr="00565259">
        <w:rPr>
          <w:rFonts w:ascii="Book Antiqua" w:hAnsi="Book Antiqua"/>
          <w:sz w:val="24"/>
          <w:szCs w:val="24"/>
        </w:rPr>
        <w:t>: 1007-1014 [PMID: 20135674 DOI: 10.1002/jor.21083]</w:t>
      </w:r>
    </w:p>
    <w:p w14:paraId="799D8EC7"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136 </w:t>
      </w:r>
      <w:r w:rsidRPr="00565259">
        <w:rPr>
          <w:rFonts w:ascii="Book Antiqua" w:hAnsi="Book Antiqua"/>
          <w:b/>
          <w:sz w:val="24"/>
          <w:szCs w:val="24"/>
        </w:rPr>
        <w:t>Matsumoto T</w:t>
      </w:r>
      <w:r w:rsidRPr="00565259">
        <w:rPr>
          <w:rFonts w:ascii="Book Antiqua" w:hAnsi="Book Antiqua"/>
          <w:sz w:val="24"/>
          <w:szCs w:val="24"/>
        </w:rPr>
        <w:t xml:space="preserve">, Kawamoto A, Kuroda R, Ishikawa M, Mifune Y, Iwasaki H, Miwa M, Horii M, Hayashi S, Oyamada A, Nishimura H, Murasawa S, Doita M, Kurosaka M, Asahara T. Therapeutic potential of vasculogenesis and osteogenesis promoted by peripheral blood CD34-positive cells for functional bone healing. </w:t>
      </w:r>
      <w:r w:rsidRPr="00565259">
        <w:rPr>
          <w:rFonts w:ascii="Book Antiqua" w:hAnsi="Book Antiqua"/>
          <w:i/>
          <w:sz w:val="24"/>
          <w:szCs w:val="24"/>
        </w:rPr>
        <w:t>Am J Pathol</w:t>
      </w:r>
      <w:r w:rsidRPr="00565259">
        <w:rPr>
          <w:rFonts w:ascii="Book Antiqua" w:hAnsi="Book Antiqua"/>
          <w:sz w:val="24"/>
          <w:szCs w:val="24"/>
        </w:rPr>
        <w:t xml:space="preserve"> 2006; </w:t>
      </w:r>
      <w:r w:rsidRPr="00565259">
        <w:rPr>
          <w:rFonts w:ascii="Book Antiqua" w:hAnsi="Book Antiqua"/>
          <w:b/>
          <w:sz w:val="24"/>
          <w:szCs w:val="24"/>
        </w:rPr>
        <w:t>169</w:t>
      </w:r>
      <w:r w:rsidRPr="00565259">
        <w:rPr>
          <w:rFonts w:ascii="Book Antiqua" w:hAnsi="Book Antiqua"/>
          <w:sz w:val="24"/>
          <w:szCs w:val="24"/>
        </w:rPr>
        <w:t>: 1440-1457 [PMID: 17003498 DOI: 10.2353/ajpath.2006.060064]</w:t>
      </w:r>
    </w:p>
    <w:p w14:paraId="2C7B5CF5"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137 </w:t>
      </w:r>
      <w:r w:rsidRPr="00565259">
        <w:rPr>
          <w:rFonts w:ascii="Book Antiqua" w:hAnsi="Book Antiqua"/>
          <w:b/>
          <w:sz w:val="24"/>
          <w:szCs w:val="24"/>
        </w:rPr>
        <w:t>Kawakami Y</w:t>
      </w:r>
      <w:r w:rsidRPr="00565259">
        <w:rPr>
          <w:rFonts w:ascii="Book Antiqua" w:hAnsi="Book Antiqua"/>
          <w:sz w:val="24"/>
          <w:szCs w:val="24"/>
        </w:rPr>
        <w:t xml:space="preserve">, Ii M, Matsumoto T, Kuroda R, Kuroda T, Kwon SM, Kawamoto A, Akimaru H, Mifune Y, Shoji T, Fukui T, Kurosaka M, Asahara T. SDF-1/CXCR4 axis in Tie2-lineage cells including endothelial progenitor cells contributes to bone fracture healing. </w:t>
      </w:r>
      <w:r w:rsidRPr="00565259">
        <w:rPr>
          <w:rFonts w:ascii="Book Antiqua" w:hAnsi="Book Antiqua"/>
          <w:i/>
          <w:sz w:val="24"/>
          <w:szCs w:val="24"/>
        </w:rPr>
        <w:t>J Bone Miner Res</w:t>
      </w:r>
      <w:r w:rsidRPr="00565259">
        <w:rPr>
          <w:rFonts w:ascii="Book Antiqua" w:hAnsi="Book Antiqua"/>
          <w:sz w:val="24"/>
          <w:szCs w:val="24"/>
        </w:rPr>
        <w:t xml:space="preserve"> 2015; </w:t>
      </w:r>
      <w:r w:rsidRPr="00565259">
        <w:rPr>
          <w:rFonts w:ascii="Book Antiqua" w:hAnsi="Book Antiqua"/>
          <w:b/>
          <w:sz w:val="24"/>
          <w:szCs w:val="24"/>
        </w:rPr>
        <w:t>30</w:t>
      </w:r>
      <w:r w:rsidRPr="00565259">
        <w:rPr>
          <w:rFonts w:ascii="Book Antiqua" w:hAnsi="Book Antiqua"/>
          <w:sz w:val="24"/>
          <w:szCs w:val="24"/>
        </w:rPr>
        <w:t>: 95-105 [PMID: 25130304 DOI: 10.1002/jbmr.2318]</w:t>
      </w:r>
    </w:p>
    <w:p w14:paraId="13A9F5CD"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138 </w:t>
      </w:r>
      <w:r w:rsidRPr="00565259">
        <w:rPr>
          <w:rFonts w:ascii="Book Antiqua" w:hAnsi="Book Antiqua"/>
          <w:b/>
          <w:sz w:val="24"/>
          <w:szCs w:val="24"/>
        </w:rPr>
        <w:t>Lee DY</w:t>
      </w:r>
      <w:r w:rsidRPr="00565259">
        <w:rPr>
          <w:rFonts w:ascii="Book Antiqua" w:hAnsi="Book Antiqua"/>
          <w:sz w:val="24"/>
          <w:szCs w:val="24"/>
        </w:rPr>
        <w:t xml:space="preserve">, Cho TJ, Kim JA, Lee HR, Yoo WJ, Chung CY, Choi IH. Mobilization of endothelial progenitor cells in fracture healing and distraction osteogenesis. </w:t>
      </w:r>
      <w:r w:rsidRPr="00565259">
        <w:rPr>
          <w:rFonts w:ascii="Book Antiqua" w:hAnsi="Book Antiqua"/>
          <w:i/>
          <w:sz w:val="24"/>
          <w:szCs w:val="24"/>
        </w:rPr>
        <w:t>Bone</w:t>
      </w:r>
      <w:r w:rsidRPr="00565259">
        <w:rPr>
          <w:rFonts w:ascii="Book Antiqua" w:hAnsi="Book Antiqua"/>
          <w:sz w:val="24"/>
          <w:szCs w:val="24"/>
        </w:rPr>
        <w:t xml:space="preserve"> 2008; </w:t>
      </w:r>
      <w:r w:rsidRPr="00565259">
        <w:rPr>
          <w:rFonts w:ascii="Book Antiqua" w:hAnsi="Book Antiqua"/>
          <w:b/>
          <w:sz w:val="24"/>
          <w:szCs w:val="24"/>
        </w:rPr>
        <w:t>42</w:t>
      </w:r>
      <w:r w:rsidRPr="00565259">
        <w:rPr>
          <w:rFonts w:ascii="Book Antiqua" w:hAnsi="Book Antiqua"/>
          <w:sz w:val="24"/>
          <w:szCs w:val="24"/>
        </w:rPr>
        <w:t>: 932-941 [PMID: 18326482 DOI: 10.1016/j.bone.2008.01.007]</w:t>
      </w:r>
    </w:p>
    <w:p w14:paraId="7A47884B"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139 </w:t>
      </w:r>
      <w:r w:rsidRPr="00565259">
        <w:rPr>
          <w:rFonts w:ascii="Book Antiqua" w:hAnsi="Book Antiqua"/>
          <w:b/>
          <w:sz w:val="24"/>
          <w:szCs w:val="24"/>
        </w:rPr>
        <w:t>Li R</w:t>
      </w:r>
      <w:r w:rsidRPr="00565259">
        <w:rPr>
          <w:rFonts w:ascii="Book Antiqua" w:hAnsi="Book Antiqua"/>
          <w:sz w:val="24"/>
          <w:szCs w:val="24"/>
        </w:rPr>
        <w:t xml:space="preserve">, Nauth A, Gandhi R, Syed K, Schemitsch EH. BMP-2 mRNA expression after endothelial progenitor cell therapy for fracture healing. </w:t>
      </w:r>
      <w:r w:rsidRPr="00565259">
        <w:rPr>
          <w:rFonts w:ascii="Book Antiqua" w:hAnsi="Book Antiqua"/>
          <w:i/>
          <w:sz w:val="24"/>
          <w:szCs w:val="24"/>
        </w:rPr>
        <w:t>J Orthop Trauma</w:t>
      </w:r>
      <w:r w:rsidRPr="00565259">
        <w:rPr>
          <w:rFonts w:ascii="Book Antiqua" w:hAnsi="Book Antiqua"/>
          <w:sz w:val="24"/>
          <w:szCs w:val="24"/>
        </w:rPr>
        <w:t xml:space="preserve"> 2014; </w:t>
      </w:r>
      <w:r w:rsidRPr="00565259">
        <w:rPr>
          <w:rFonts w:ascii="Book Antiqua" w:hAnsi="Book Antiqua"/>
          <w:b/>
          <w:sz w:val="24"/>
          <w:szCs w:val="24"/>
        </w:rPr>
        <w:t>28 Suppl 1</w:t>
      </w:r>
      <w:r w:rsidRPr="00565259">
        <w:rPr>
          <w:rFonts w:ascii="Book Antiqua" w:hAnsi="Book Antiqua"/>
          <w:sz w:val="24"/>
          <w:szCs w:val="24"/>
        </w:rPr>
        <w:t>: S24-S27 [PMID: 24464097 DOI: 10.1097/BOT.0000000000000071]</w:t>
      </w:r>
    </w:p>
    <w:p w14:paraId="2544A8B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140 </w:t>
      </w:r>
      <w:r w:rsidRPr="00565259">
        <w:rPr>
          <w:rFonts w:ascii="Book Antiqua" w:hAnsi="Book Antiqua"/>
          <w:b/>
          <w:sz w:val="24"/>
          <w:szCs w:val="24"/>
        </w:rPr>
        <w:t>Matsumoto T</w:t>
      </w:r>
      <w:r w:rsidRPr="00565259">
        <w:rPr>
          <w:rFonts w:ascii="Book Antiqua" w:hAnsi="Book Antiqua"/>
          <w:sz w:val="24"/>
          <w:szCs w:val="24"/>
        </w:rPr>
        <w:t xml:space="preserve">, Mifune Y, Kawamoto A, Kuroda R, Shoji T, Iwasaki H, Suzuki T, Oyamada A, Horii M, Yokoyama A, Nishimura H, Lee SY, Miwa M, Doita M, Kurosaka M, Asahara T. Fracture induced mobilization and incorporation of bone marrow-derived endothelial progenitor cells for bone healing. </w:t>
      </w:r>
      <w:r w:rsidRPr="00565259">
        <w:rPr>
          <w:rFonts w:ascii="Book Antiqua" w:hAnsi="Book Antiqua"/>
          <w:i/>
          <w:sz w:val="24"/>
          <w:szCs w:val="24"/>
        </w:rPr>
        <w:t>J Cell Physiol</w:t>
      </w:r>
      <w:r w:rsidRPr="00565259">
        <w:rPr>
          <w:rFonts w:ascii="Book Antiqua" w:hAnsi="Book Antiqua"/>
          <w:sz w:val="24"/>
          <w:szCs w:val="24"/>
        </w:rPr>
        <w:t xml:space="preserve"> 2008; </w:t>
      </w:r>
      <w:r w:rsidRPr="00565259">
        <w:rPr>
          <w:rFonts w:ascii="Book Antiqua" w:hAnsi="Book Antiqua"/>
          <w:b/>
          <w:sz w:val="24"/>
          <w:szCs w:val="24"/>
        </w:rPr>
        <w:t>215</w:t>
      </w:r>
      <w:r w:rsidRPr="00565259">
        <w:rPr>
          <w:rFonts w:ascii="Book Antiqua" w:hAnsi="Book Antiqua"/>
          <w:sz w:val="24"/>
          <w:szCs w:val="24"/>
        </w:rPr>
        <w:t>: 234-242 [PMID: 18205179 DOI: 10.1002/jcp.21309]</w:t>
      </w:r>
    </w:p>
    <w:p w14:paraId="560A78D5"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141 </w:t>
      </w:r>
      <w:r w:rsidRPr="00565259">
        <w:rPr>
          <w:rFonts w:ascii="Book Antiqua" w:hAnsi="Book Antiqua"/>
          <w:b/>
          <w:sz w:val="24"/>
          <w:szCs w:val="24"/>
        </w:rPr>
        <w:t>King J</w:t>
      </w:r>
      <w:r w:rsidRPr="00565259">
        <w:rPr>
          <w:rFonts w:ascii="Book Antiqua" w:hAnsi="Book Antiqua"/>
          <w:sz w:val="24"/>
          <w:szCs w:val="24"/>
        </w:rPr>
        <w:t xml:space="preserve">, Hamil T, Creighton J, Wu S, Bhat P, McDonald F, Stevens T. Structural and functional characteristics of lung macro- and microvascular endothelial cell phenotypes. </w:t>
      </w:r>
      <w:r w:rsidRPr="00565259">
        <w:rPr>
          <w:rFonts w:ascii="Book Antiqua" w:hAnsi="Book Antiqua"/>
          <w:i/>
          <w:sz w:val="24"/>
          <w:szCs w:val="24"/>
        </w:rPr>
        <w:t>Microvasc Res</w:t>
      </w:r>
      <w:r w:rsidRPr="00565259">
        <w:rPr>
          <w:rFonts w:ascii="Book Antiqua" w:hAnsi="Book Antiqua"/>
          <w:sz w:val="24"/>
          <w:szCs w:val="24"/>
        </w:rPr>
        <w:t xml:space="preserve"> 2004; </w:t>
      </w:r>
      <w:r w:rsidRPr="00565259">
        <w:rPr>
          <w:rFonts w:ascii="Book Antiqua" w:hAnsi="Book Antiqua"/>
          <w:b/>
          <w:sz w:val="24"/>
          <w:szCs w:val="24"/>
        </w:rPr>
        <w:t>67</w:t>
      </w:r>
      <w:r w:rsidRPr="00565259">
        <w:rPr>
          <w:rFonts w:ascii="Book Antiqua" w:hAnsi="Book Antiqua"/>
          <w:sz w:val="24"/>
          <w:szCs w:val="24"/>
        </w:rPr>
        <w:t>: 139-151 [PMID: 15020205 DOI: 10.1016/j.mvr.2003.11.006]</w:t>
      </w:r>
    </w:p>
    <w:p w14:paraId="6ACA6E39"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142 </w:t>
      </w:r>
      <w:r w:rsidRPr="00565259">
        <w:rPr>
          <w:rFonts w:ascii="Book Antiqua" w:hAnsi="Book Antiqua"/>
          <w:b/>
          <w:sz w:val="24"/>
          <w:szCs w:val="24"/>
        </w:rPr>
        <w:t>Swiontkowski MF</w:t>
      </w:r>
      <w:r w:rsidRPr="00565259">
        <w:rPr>
          <w:rFonts w:ascii="Book Antiqua" w:hAnsi="Book Antiqua"/>
          <w:sz w:val="24"/>
          <w:szCs w:val="24"/>
        </w:rPr>
        <w:t xml:space="preserve">, Aro HT, Donell S, Esterhai JL, Goulet J, Jones A, Kregor PJ, Nordsletten L, Paiement G, Patel A. Recombinant human bone morphogenetic protein-2 in open tibial fractures. A subgroup analysis of data combined from two prospective randomized studies. </w:t>
      </w:r>
      <w:r w:rsidRPr="00565259">
        <w:rPr>
          <w:rFonts w:ascii="Book Antiqua" w:hAnsi="Book Antiqua"/>
          <w:i/>
          <w:sz w:val="24"/>
          <w:szCs w:val="24"/>
        </w:rPr>
        <w:t>J Bone Joint Surg Am</w:t>
      </w:r>
      <w:r w:rsidRPr="00565259">
        <w:rPr>
          <w:rFonts w:ascii="Book Antiqua" w:hAnsi="Book Antiqua"/>
          <w:sz w:val="24"/>
          <w:szCs w:val="24"/>
        </w:rPr>
        <w:t xml:space="preserve"> 2006; </w:t>
      </w:r>
      <w:r w:rsidRPr="00565259">
        <w:rPr>
          <w:rFonts w:ascii="Book Antiqua" w:hAnsi="Book Antiqua"/>
          <w:b/>
          <w:sz w:val="24"/>
          <w:szCs w:val="24"/>
        </w:rPr>
        <w:t>88</w:t>
      </w:r>
      <w:r w:rsidRPr="00565259">
        <w:rPr>
          <w:rFonts w:ascii="Book Antiqua" w:hAnsi="Book Antiqua"/>
          <w:sz w:val="24"/>
          <w:szCs w:val="24"/>
        </w:rPr>
        <w:t>: 1258-1265 [PMID: 16757759 DOI: 10.2106/00004623-200606000-00013]</w:t>
      </w:r>
    </w:p>
    <w:p w14:paraId="72F381A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143 </w:t>
      </w:r>
      <w:r w:rsidRPr="00565259">
        <w:rPr>
          <w:rFonts w:ascii="Book Antiqua" w:hAnsi="Book Antiqua"/>
          <w:b/>
          <w:sz w:val="24"/>
          <w:szCs w:val="24"/>
        </w:rPr>
        <w:t>Jones AL</w:t>
      </w:r>
      <w:r w:rsidRPr="00565259">
        <w:rPr>
          <w:rFonts w:ascii="Book Antiqua" w:hAnsi="Book Antiqua"/>
          <w:sz w:val="24"/>
          <w:szCs w:val="24"/>
        </w:rPr>
        <w:t xml:space="preserve">, Bucholz RW, Bosse MJ, Mirza SK, Lyon TR, Webb LX, Pollak AN, Golden JD, Valentin-Opran A; BMP-2 Evaluation in Surgery for Tibial Trauma-Allgraft (BESTT-ALL) Study Group. Recombinant human BMP-2 and allograft compared with autogenous bone graft for reconstruction of diaphyseal tibial fractures with cortical defects. A randomized, controlled trial. </w:t>
      </w:r>
      <w:r w:rsidRPr="00565259">
        <w:rPr>
          <w:rFonts w:ascii="Book Antiqua" w:hAnsi="Book Antiqua"/>
          <w:i/>
          <w:sz w:val="24"/>
          <w:szCs w:val="24"/>
        </w:rPr>
        <w:t>J Bone Joint Surg Am</w:t>
      </w:r>
      <w:r w:rsidRPr="00565259">
        <w:rPr>
          <w:rFonts w:ascii="Book Antiqua" w:hAnsi="Book Antiqua"/>
          <w:sz w:val="24"/>
          <w:szCs w:val="24"/>
        </w:rPr>
        <w:t xml:space="preserve"> 2006; </w:t>
      </w:r>
      <w:r w:rsidRPr="00565259">
        <w:rPr>
          <w:rFonts w:ascii="Book Antiqua" w:hAnsi="Book Antiqua"/>
          <w:b/>
          <w:sz w:val="24"/>
          <w:szCs w:val="24"/>
        </w:rPr>
        <w:t>88</w:t>
      </w:r>
      <w:r w:rsidRPr="00565259">
        <w:rPr>
          <w:rFonts w:ascii="Book Antiqua" w:hAnsi="Book Antiqua"/>
          <w:sz w:val="24"/>
          <w:szCs w:val="24"/>
        </w:rPr>
        <w:t>: 1431-1441 [PMID: 16818967 DOI: 10.2106/00004623-200607000-00002]</w:t>
      </w:r>
    </w:p>
    <w:p w14:paraId="02C1FB1A"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144 </w:t>
      </w:r>
      <w:r w:rsidRPr="00565259">
        <w:rPr>
          <w:rFonts w:ascii="Book Antiqua" w:hAnsi="Book Antiqua"/>
          <w:b/>
          <w:sz w:val="24"/>
          <w:szCs w:val="24"/>
        </w:rPr>
        <w:t>Fiorellini JP</w:t>
      </w:r>
      <w:r w:rsidRPr="00565259">
        <w:rPr>
          <w:rFonts w:ascii="Book Antiqua" w:hAnsi="Book Antiqua"/>
          <w:sz w:val="24"/>
          <w:szCs w:val="24"/>
        </w:rPr>
        <w:t xml:space="preserve">, Howell TH, Cochran D, Malmquist J, Lilly LC, Spagnoli D, Toljanic J, Jones A, Nevins M. Randomized study evaluating recombinant human bone morphogenetic protein-2 for extraction socket augmentation. </w:t>
      </w:r>
      <w:r w:rsidRPr="00565259">
        <w:rPr>
          <w:rFonts w:ascii="Book Antiqua" w:hAnsi="Book Antiqua"/>
          <w:i/>
          <w:sz w:val="24"/>
          <w:szCs w:val="24"/>
        </w:rPr>
        <w:t>J Periodontol</w:t>
      </w:r>
      <w:r w:rsidRPr="00565259">
        <w:rPr>
          <w:rFonts w:ascii="Book Antiqua" w:hAnsi="Book Antiqua"/>
          <w:sz w:val="24"/>
          <w:szCs w:val="24"/>
        </w:rPr>
        <w:t xml:space="preserve"> 2005; </w:t>
      </w:r>
      <w:r w:rsidRPr="00565259">
        <w:rPr>
          <w:rFonts w:ascii="Book Antiqua" w:hAnsi="Book Antiqua"/>
          <w:b/>
          <w:sz w:val="24"/>
          <w:szCs w:val="24"/>
        </w:rPr>
        <w:t>76</w:t>
      </w:r>
      <w:r w:rsidRPr="00565259">
        <w:rPr>
          <w:rFonts w:ascii="Book Antiqua" w:hAnsi="Book Antiqua"/>
          <w:sz w:val="24"/>
          <w:szCs w:val="24"/>
        </w:rPr>
        <w:t>: 605-613 [PMID: 15857102 DOI: 10.1902/jop.2005.76.4.605]</w:t>
      </w:r>
    </w:p>
    <w:p w14:paraId="66CACBAA"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145 </w:t>
      </w:r>
      <w:r w:rsidRPr="00565259">
        <w:rPr>
          <w:rFonts w:ascii="Book Antiqua" w:hAnsi="Book Antiqua"/>
          <w:b/>
          <w:sz w:val="24"/>
          <w:szCs w:val="24"/>
        </w:rPr>
        <w:t>McKay WF</w:t>
      </w:r>
      <w:r w:rsidRPr="00565259">
        <w:rPr>
          <w:rFonts w:ascii="Book Antiqua" w:hAnsi="Book Antiqua"/>
          <w:sz w:val="24"/>
          <w:szCs w:val="24"/>
        </w:rPr>
        <w:t xml:space="preserve">, Peckham SM, Badura JM. A comprehensive clinical review of recombinant human bone morphogenetic protein-2 (INFUSE Bone Graft). </w:t>
      </w:r>
      <w:r w:rsidRPr="00565259">
        <w:rPr>
          <w:rFonts w:ascii="Book Antiqua" w:hAnsi="Book Antiqua"/>
          <w:i/>
          <w:sz w:val="24"/>
          <w:szCs w:val="24"/>
        </w:rPr>
        <w:t>Int Orthop</w:t>
      </w:r>
      <w:r w:rsidRPr="00565259">
        <w:rPr>
          <w:rFonts w:ascii="Book Antiqua" w:hAnsi="Book Antiqua"/>
          <w:sz w:val="24"/>
          <w:szCs w:val="24"/>
        </w:rPr>
        <w:t xml:space="preserve"> 2007; </w:t>
      </w:r>
      <w:r w:rsidRPr="00565259">
        <w:rPr>
          <w:rFonts w:ascii="Book Antiqua" w:hAnsi="Book Antiqua"/>
          <w:b/>
          <w:sz w:val="24"/>
          <w:szCs w:val="24"/>
        </w:rPr>
        <w:t>31</w:t>
      </w:r>
      <w:r w:rsidRPr="00565259">
        <w:rPr>
          <w:rFonts w:ascii="Book Antiqua" w:hAnsi="Book Antiqua"/>
          <w:sz w:val="24"/>
          <w:szCs w:val="24"/>
        </w:rPr>
        <w:t>: 729-734 [PMID: 17639384 DOI: 10.1007/s00264-007-0418-6]</w:t>
      </w:r>
    </w:p>
    <w:p w14:paraId="0CF433F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146 </w:t>
      </w:r>
      <w:r w:rsidRPr="00565259">
        <w:rPr>
          <w:rFonts w:ascii="Book Antiqua" w:hAnsi="Book Antiqua"/>
          <w:b/>
          <w:sz w:val="24"/>
          <w:szCs w:val="24"/>
        </w:rPr>
        <w:t>Burkus JK</w:t>
      </w:r>
      <w:r w:rsidRPr="00565259">
        <w:rPr>
          <w:rFonts w:ascii="Book Antiqua" w:hAnsi="Book Antiqua"/>
          <w:sz w:val="24"/>
          <w:szCs w:val="24"/>
        </w:rPr>
        <w:t xml:space="preserve">, Sandhu HS, Gornet MF, Longley MC. Use of rhBMP-2 in combination with structural cortical allografts: clinical and radiographic outcomes in anterior lumbar spinal surgery. </w:t>
      </w:r>
      <w:r w:rsidRPr="00565259">
        <w:rPr>
          <w:rFonts w:ascii="Book Antiqua" w:hAnsi="Book Antiqua"/>
          <w:i/>
          <w:sz w:val="24"/>
          <w:szCs w:val="24"/>
        </w:rPr>
        <w:t>J Bone Joint Surg Am</w:t>
      </w:r>
      <w:r w:rsidRPr="00565259">
        <w:rPr>
          <w:rFonts w:ascii="Book Antiqua" w:hAnsi="Book Antiqua"/>
          <w:sz w:val="24"/>
          <w:szCs w:val="24"/>
        </w:rPr>
        <w:t xml:space="preserve"> 2005; </w:t>
      </w:r>
      <w:r w:rsidRPr="00565259">
        <w:rPr>
          <w:rFonts w:ascii="Book Antiqua" w:hAnsi="Book Antiqua"/>
          <w:b/>
          <w:sz w:val="24"/>
          <w:szCs w:val="24"/>
        </w:rPr>
        <w:t>87</w:t>
      </w:r>
      <w:r w:rsidRPr="00565259">
        <w:rPr>
          <w:rFonts w:ascii="Book Antiqua" w:hAnsi="Book Antiqua"/>
          <w:sz w:val="24"/>
          <w:szCs w:val="24"/>
        </w:rPr>
        <w:t>: 1205-1212 [PMID: 15930528 DOI: 10.2106/00004623-200506000-00004]</w:t>
      </w:r>
    </w:p>
    <w:p w14:paraId="0F7986B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147 </w:t>
      </w:r>
      <w:r w:rsidRPr="00565259">
        <w:rPr>
          <w:rFonts w:ascii="Book Antiqua" w:hAnsi="Book Antiqua"/>
          <w:b/>
          <w:sz w:val="24"/>
          <w:szCs w:val="24"/>
        </w:rPr>
        <w:t>Burkus JK</w:t>
      </w:r>
      <w:r w:rsidRPr="00565259">
        <w:rPr>
          <w:rFonts w:ascii="Book Antiqua" w:hAnsi="Book Antiqua"/>
          <w:sz w:val="24"/>
          <w:szCs w:val="24"/>
        </w:rPr>
        <w:t xml:space="preserve">, Heim SE, Gornet MF, Zdeblick TA. Is INFUSE bone graft superior to autograft bone? An integrated analysis of clinical trials using the LT-CAGE lumbar tapered fusion device. </w:t>
      </w:r>
      <w:r w:rsidRPr="00565259">
        <w:rPr>
          <w:rFonts w:ascii="Book Antiqua" w:hAnsi="Book Antiqua"/>
          <w:i/>
          <w:sz w:val="24"/>
          <w:szCs w:val="24"/>
        </w:rPr>
        <w:t>J Spinal Disord Tech</w:t>
      </w:r>
      <w:r w:rsidRPr="00565259">
        <w:rPr>
          <w:rFonts w:ascii="Book Antiqua" w:hAnsi="Book Antiqua"/>
          <w:sz w:val="24"/>
          <w:szCs w:val="24"/>
        </w:rPr>
        <w:t xml:space="preserve"> 2003; </w:t>
      </w:r>
      <w:r w:rsidRPr="00565259">
        <w:rPr>
          <w:rFonts w:ascii="Book Antiqua" w:hAnsi="Book Antiqua"/>
          <w:b/>
          <w:sz w:val="24"/>
          <w:szCs w:val="24"/>
        </w:rPr>
        <w:t>16</w:t>
      </w:r>
      <w:r w:rsidRPr="00565259">
        <w:rPr>
          <w:rFonts w:ascii="Book Antiqua" w:hAnsi="Book Antiqua"/>
          <w:sz w:val="24"/>
          <w:szCs w:val="24"/>
        </w:rPr>
        <w:t>: 113-122 [PMID: 12679664 DOI: 10.1097/00024720-200304000-00001]</w:t>
      </w:r>
    </w:p>
    <w:p w14:paraId="4431A5A5"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148 </w:t>
      </w:r>
      <w:r w:rsidRPr="00565259">
        <w:rPr>
          <w:rFonts w:ascii="Book Antiqua" w:hAnsi="Book Antiqua"/>
          <w:b/>
          <w:sz w:val="24"/>
          <w:szCs w:val="24"/>
        </w:rPr>
        <w:t>Aspenberg P</w:t>
      </w:r>
      <w:r w:rsidRPr="00565259">
        <w:rPr>
          <w:rFonts w:ascii="Book Antiqua" w:hAnsi="Book Antiqua"/>
          <w:sz w:val="24"/>
          <w:szCs w:val="24"/>
        </w:rPr>
        <w:t xml:space="preserve">, Johansson T. Teriparatide improves early callus formation in distal radial fractures. </w:t>
      </w:r>
      <w:r w:rsidRPr="00565259">
        <w:rPr>
          <w:rFonts w:ascii="Book Antiqua" w:hAnsi="Book Antiqua"/>
          <w:i/>
          <w:sz w:val="24"/>
          <w:szCs w:val="24"/>
        </w:rPr>
        <w:t>Acta Orthop</w:t>
      </w:r>
      <w:r w:rsidRPr="00565259">
        <w:rPr>
          <w:rFonts w:ascii="Book Antiqua" w:hAnsi="Book Antiqua"/>
          <w:sz w:val="24"/>
          <w:szCs w:val="24"/>
        </w:rPr>
        <w:t xml:space="preserve"> 2010; </w:t>
      </w:r>
      <w:r w:rsidRPr="00565259">
        <w:rPr>
          <w:rFonts w:ascii="Book Antiqua" w:hAnsi="Book Antiqua"/>
          <w:b/>
          <w:sz w:val="24"/>
          <w:szCs w:val="24"/>
        </w:rPr>
        <w:t>81</w:t>
      </w:r>
      <w:r w:rsidRPr="00565259">
        <w:rPr>
          <w:rFonts w:ascii="Book Antiqua" w:hAnsi="Book Antiqua"/>
          <w:sz w:val="24"/>
          <w:szCs w:val="24"/>
        </w:rPr>
        <w:t>: 234-236 [PMID: 20367417 DOI: 10.3109/17453671003761946]</w:t>
      </w:r>
    </w:p>
    <w:p w14:paraId="3FAC8741"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149 </w:t>
      </w:r>
      <w:r w:rsidRPr="00565259">
        <w:rPr>
          <w:rFonts w:ascii="Book Antiqua" w:hAnsi="Book Antiqua"/>
          <w:b/>
          <w:sz w:val="24"/>
          <w:szCs w:val="24"/>
        </w:rPr>
        <w:t>Kim SM</w:t>
      </w:r>
      <w:r w:rsidRPr="00565259">
        <w:rPr>
          <w:rFonts w:ascii="Book Antiqua" w:hAnsi="Book Antiqua"/>
          <w:sz w:val="24"/>
          <w:szCs w:val="24"/>
        </w:rPr>
        <w:t xml:space="preserve">, Kang KC, Kim JW, Lim SJ, Hahn MH. Current Role and Application of Teriparatide in Fracture Healing of Osteoporotic Patients: A Systematic Review. </w:t>
      </w:r>
      <w:r w:rsidRPr="00565259">
        <w:rPr>
          <w:rFonts w:ascii="Book Antiqua" w:hAnsi="Book Antiqua"/>
          <w:i/>
          <w:sz w:val="24"/>
          <w:szCs w:val="24"/>
        </w:rPr>
        <w:t>J Bone Metab</w:t>
      </w:r>
      <w:r w:rsidRPr="00565259">
        <w:rPr>
          <w:rFonts w:ascii="Book Antiqua" w:hAnsi="Book Antiqua"/>
          <w:sz w:val="24"/>
          <w:szCs w:val="24"/>
        </w:rPr>
        <w:t xml:space="preserve"> 2017; </w:t>
      </w:r>
      <w:r w:rsidRPr="00565259">
        <w:rPr>
          <w:rFonts w:ascii="Book Antiqua" w:hAnsi="Book Antiqua"/>
          <w:b/>
          <w:sz w:val="24"/>
          <w:szCs w:val="24"/>
        </w:rPr>
        <w:t>24</w:t>
      </w:r>
      <w:r w:rsidRPr="00565259">
        <w:rPr>
          <w:rFonts w:ascii="Book Antiqua" w:hAnsi="Book Antiqua"/>
          <w:sz w:val="24"/>
          <w:szCs w:val="24"/>
        </w:rPr>
        <w:t>: 65-73 [PMID: 28326303 DOI: 10.11005/jbm.2017.24.1.65]</w:t>
      </w:r>
    </w:p>
    <w:p w14:paraId="58CD9A0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150 </w:t>
      </w:r>
      <w:r w:rsidRPr="00565259">
        <w:rPr>
          <w:rFonts w:ascii="Book Antiqua" w:hAnsi="Book Antiqua"/>
          <w:b/>
          <w:sz w:val="24"/>
          <w:szCs w:val="24"/>
        </w:rPr>
        <w:t>Aspenberg P</w:t>
      </w:r>
      <w:r w:rsidRPr="00565259">
        <w:rPr>
          <w:rFonts w:ascii="Book Antiqua" w:hAnsi="Book Antiqua"/>
          <w:sz w:val="24"/>
          <w:szCs w:val="24"/>
        </w:rPr>
        <w:t xml:space="preserve">, Genant HK, Johansson T, Nino AJ, See K, Krohn K, García-Hernández PA, Recknor CP, Einhorn TA, Dalsky GP, Mitlak BH, Fierlinger A, Lakshmanan MC. Teriparatide for acceleration of fracture repair in humans: a prospective, randomized, double-blind study of 102 postmenopausal women with distal radial fractures. </w:t>
      </w:r>
      <w:r w:rsidRPr="00565259">
        <w:rPr>
          <w:rFonts w:ascii="Book Antiqua" w:hAnsi="Book Antiqua"/>
          <w:i/>
          <w:sz w:val="24"/>
          <w:szCs w:val="24"/>
        </w:rPr>
        <w:t>J Bone Miner Res</w:t>
      </w:r>
      <w:r w:rsidRPr="00565259">
        <w:rPr>
          <w:rFonts w:ascii="Book Antiqua" w:hAnsi="Book Antiqua"/>
          <w:sz w:val="24"/>
          <w:szCs w:val="24"/>
        </w:rPr>
        <w:t xml:space="preserve"> 2010; </w:t>
      </w:r>
      <w:r w:rsidRPr="00565259">
        <w:rPr>
          <w:rFonts w:ascii="Book Antiqua" w:hAnsi="Book Antiqua"/>
          <w:b/>
          <w:sz w:val="24"/>
          <w:szCs w:val="24"/>
        </w:rPr>
        <w:t>25</w:t>
      </w:r>
      <w:r w:rsidRPr="00565259">
        <w:rPr>
          <w:rFonts w:ascii="Book Antiqua" w:hAnsi="Book Antiqua"/>
          <w:sz w:val="24"/>
          <w:szCs w:val="24"/>
        </w:rPr>
        <w:t>: 404-414 [PMID: 19594305 DOI: 10.1359/jbmr.090731]</w:t>
      </w:r>
    </w:p>
    <w:p w14:paraId="629C1C4C"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151 </w:t>
      </w:r>
      <w:r w:rsidRPr="00565259">
        <w:rPr>
          <w:rFonts w:ascii="Book Antiqua" w:hAnsi="Book Antiqua"/>
          <w:b/>
          <w:sz w:val="24"/>
          <w:szCs w:val="24"/>
        </w:rPr>
        <w:t>Bhandari M</w:t>
      </w:r>
      <w:r w:rsidRPr="00565259">
        <w:rPr>
          <w:rFonts w:ascii="Book Antiqua" w:hAnsi="Book Antiqua"/>
          <w:sz w:val="24"/>
          <w:szCs w:val="24"/>
        </w:rPr>
        <w:t xml:space="preserve">, Jin L, See K, Burge R, Gilchrist N, Witvrouw R, Krohn KD, Warner MR, Ahmad QI, Mitlak B. Does Teriparatide Improve Femoral Neck Fracture Healing: Results From A Randomized Placebo-controlled Trial. </w:t>
      </w:r>
      <w:r w:rsidRPr="00565259">
        <w:rPr>
          <w:rFonts w:ascii="Book Antiqua" w:hAnsi="Book Antiqua"/>
          <w:i/>
          <w:sz w:val="24"/>
          <w:szCs w:val="24"/>
        </w:rPr>
        <w:t>Clin Orthop Relat Res</w:t>
      </w:r>
      <w:r w:rsidRPr="00565259">
        <w:rPr>
          <w:rFonts w:ascii="Book Antiqua" w:hAnsi="Book Antiqua"/>
          <w:sz w:val="24"/>
          <w:szCs w:val="24"/>
        </w:rPr>
        <w:t xml:space="preserve"> 2016; </w:t>
      </w:r>
      <w:r w:rsidRPr="00565259">
        <w:rPr>
          <w:rFonts w:ascii="Book Antiqua" w:hAnsi="Book Antiqua"/>
          <w:b/>
          <w:sz w:val="24"/>
          <w:szCs w:val="24"/>
        </w:rPr>
        <w:t>474</w:t>
      </w:r>
      <w:r w:rsidRPr="00565259">
        <w:rPr>
          <w:rFonts w:ascii="Book Antiqua" w:hAnsi="Book Antiqua"/>
          <w:sz w:val="24"/>
          <w:szCs w:val="24"/>
        </w:rPr>
        <w:t>: 1234-1244 [PMID: 26932738 DOI: 10.1007/s11999-015-4669-z]</w:t>
      </w:r>
    </w:p>
    <w:p w14:paraId="19F66A3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152 </w:t>
      </w:r>
      <w:r w:rsidRPr="00565259">
        <w:rPr>
          <w:rFonts w:ascii="Book Antiqua" w:hAnsi="Book Antiqua"/>
          <w:b/>
          <w:sz w:val="24"/>
          <w:szCs w:val="24"/>
        </w:rPr>
        <w:t>Peichl P</w:t>
      </w:r>
      <w:r w:rsidRPr="00565259">
        <w:rPr>
          <w:rFonts w:ascii="Book Antiqua" w:hAnsi="Book Antiqua"/>
          <w:sz w:val="24"/>
          <w:szCs w:val="24"/>
        </w:rPr>
        <w:t xml:space="preserve">, Holzer LA, Maier R, Holzer G. Parathyroid hormone 1-84 accelerates fracture-healing in pubic bones of elderly osteoporotic women. </w:t>
      </w:r>
      <w:r w:rsidRPr="00565259">
        <w:rPr>
          <w:rFonts w:ascii="Book Antiqua" w:hAnsi="Book Antiqua"/>
          <w:i/>
          <w:sz w:val="24"/>
          <w:szCs w:val="24"/>
        </w:rPr>
        <w:t>J Bone Joint Surg Am</w:t>
      </w:r>
      <w:r w:rsidRPr="00565259">
        <w:rPr>
          <w:rFonts w:ascii="Book Antiqua" w:hAnsi="Book Antiqua"/>
          <w:sz w:val="24"/>
          <w:szCs w:val="24"/>
        </w:rPr>
        <w:t xml:space="preserve"> 2011; </w:t>
      </w:r>
      <w:r w:rsidRPr="00565259">
        <w:rPr>
          <w:rFonts w:ascii="Book Antiqua" w:hAnsi="Book Antiqua"/>
          <w:b/>
          <w:sz w:val="24"/>
          <w:szCs w:val="24"/>
        </w:rPr>
        <w:t>93</w:t>
      </w:r>
      <w:r w:rsidRPr="00565259">
        <w:rPr>
          <w:rFonts w:ascii="Book Antiqua" w:hAnsi="Book Antiqua"/>
          <w:sz w:val="24"/>
          <w:szCs w:val="24"/>
        </w:rPr>
        <w:t>: 1583-1587 [PMID: 21915572 DOI: 10.2106/JBJS.J.01379]</w:t>
      </w:r>
    </w:p>
    <w:p w14:paraId="1D54F129"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153 </w:t>
      </w:r>
      <w:r w:rsidRPr="00565259">
        <w:rPr>
          <w:rFonts w:ascii="Book Antiqua" w:hAnsi="Book Antiqua"/>
          <w:b/>
          <w:sz w:val="24"/>
          <w:szCs w:val="24"/>
        </w:rPr>
        <w:t>Kawaguchi H</w:t>
      </w:r>
      <w:r w:rsidRPr="00565259">
        <w:rPr>
          <w:rFonts w:ascii="Book Antiqua" w:hAnsi="Book Antiqua"/>
          <w:sz w:val="24"/>
          <w:szCs w:val="24"/>
        </w:rPr>
        <w:t xml:space="preserve">, Oka H, Jingushi S, Izumi T, Fukunaga M, Sato K, Matsushita T, Nakamura K; TESK Group. A local application of recombinant human fibroblast growth factor 2 for tibial shaft fractures: A randomized, placebo-controlled trial. </w:t>
      </w:r>
      <w:r w:rsidRPr="00565259">
        <w:rPr>
          <w:rFonts w:ascii="Book Antiqua" w:hAnsi="Book Antiqua"/>
          <w:i/>
          <w:sz w:val="24"/>
          <w:szCs w:val="24"/>
        </w:rPr>
        <w:t>J Bone Miner Res</w:t>
      </w:r>
      <w:r w:rsidRPr="00565259">
        <w:rPr>
          <w:rFonts w:ascii="Book Antiqua" w:hAnsi="Book Antiqua"/>
          <w:sz w:val="24"/>
          <w:szCs w:val="24"/>
        </w:rPr>
        <w:t xml:space="preserve"> 2010; </w:t>
      </w:r>
      <w:r w:rsidRPr="00565259">
        <w:rPr>
          <w:rFonts w:ascii="Book Antiqua" w:hAnsi="Book Antiqua"/>
          <w:b/>
          <w:sz w:val="24"/>
          <w:szCs w:val="24"/>
        </w:rPr>
        <w:t>25</w:t>
      </w:r>
      <w:r w:rsidRPr="00565259">
        <w:rPr>
          <w:rFonts w:ascii="Book Antiqua" w:hAnsi="Book Antiqua"/>
          <w:sz w:val="24"/>
          <w:szCs w:val="24"/>
        </w:rPr>
        <w:t>: 2735-2743 [PMID: 20533373 DOI: 10.1002/jbmr.146]</w:t>
      </w:r>
    </w:p>
    <w:p w14:paraId="5EB4621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154 </w:t>
      </w:r>
      <w:r w:rsidRPr="00565259">
        <w:rPr>
          <w:rFonts w:ascii="Book Antiqua" w:hAnsi="Book Antiqua"/>
          <w:b/>
          <w:sz w:val="24"/>
          <w:szCs w:val="24"/>
        </w:rPr>
        <w:t>Kawaguchi H</w:t>
      </w:r>
      <w:r w:rsidRPr="00565259">
        <w:rPr>
          <w:rFonts w:ascii="Book Antiqua" w:hAnsi="Book Antiqua"/>
          <w:sz w:val="24"/>
          <w:szCs w:val="24"/>
        </w:rPr>
        <w:t xml:space="preserve">, Nakamura K, Tabata Y, Ikada Y, Aoyama I, Anzai J, Nakamura T, Hiyama Y, Tamura M. Acceleration of fracture healing in nonhuman primates by fibroblast growth factor-2. </w:t>
      </w:r>
      <w:r w:rsidRPr="00565259">
        <w:rPr>
          <w:rFonts w:ascii="Book Antiqua" w:hAnsi="Book Antiqua"/>
          <w:i/>
          <w:sz w:val="24"/>
          <w:szCs w:val="24"/>
        </w:rPr>
        <w:t>J Clin Endocrinol Metab</w:t>
      </w:r>
      <w:r w:rsidRPr="00565259">
        <w:rPr>
          <w:rFonts w:ascii="Book Antiqua" w:hAnsi="Book Antiqua"/>
          <w:sz w:val="24"/>
          <w:szCs w:val="24"/>
        </w:rPr>
        <w:t xml:space="preserve"> 2001; </w:t>
      </w:r>
      <w:r w:rsidRPr="00565259">
        <w:rPr>
          <w:rFonts w:ascii="Book Antiqua" w:hAnsi="Book Antiqua"/>
          <w:b/>
          <w:sz w:val="24"/>
          <w:szCs w:val="24"/>
        </w:rPr>
        <w:t>86</w:t>
      </w:r>
      <w:r w:rsidRPr="00565259">
        <w:rPr>
          <w:rFonts w:ascii="Book Antiqua" w:hAnsi="Book Antiqua"/>
          <w:sz w:val="24"/>
          <w:szCs w:val="24"/>
        </w:rPr>
        <w:t>: 875-880 [PMID: 11158060 DOI: 10.1210/jcem.86.2.7199]</w:t>
      </w:r>
    </w:p>
    <w:p w14:paraId="492344E0"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155 </w:t>
      </w:r>
      <w:r w:rsidRPr="00565259">
        <w:rPr>
          <w:rFonts w:ascii="Book Antiqua" w:hAnsi="Book Antiqua"/>
          <w:b/>
          <w:sz w:val="24"/>
          <w:szCs w:val="24"/>
        </w:rPr>
        <w:t>Kitamura M</w:t>
      </w:r>
      <w:r w:rsidRPr="00565259">
        <w:rPr>
          <w:rFonts w:ascii="Book Antiqua" w:hAnsi="Book Antiqua"/>
          <w:sz w:val="24"/>
          <w:szCs w:val="24"/>
        </w:rPr>
        <w:t xml:space="preserve">, Akamatsu M, Machigashira M, Hara Y, Sakagami R, Hirofuji T, Hamachi T, Maeda K, Yokota M, Kido J, Nagata T, Kurihara H, Takashiba S, Sibutani T, Fukuda M, Noguchi T, Yamazaki K, Yoshie H, Ioroi K, Arai T, Nakagawa T, Ito K, Oda S, Izumi Y, Ogata Y, Yamada S, Shimauchi H, Kunimatsu K, Kawanami M, Fujii T, Furuichi Y, Furuuchi T, Sasano T, Imai E, Omae M, Yamada S, Watanuki M, Murakami S. FGF-2 stimulates periodontal regeneration: results of a multi-center randomized clinical trial. </w:t>
      </w:r>
      <w:r w:rsidRPr="00565259">
        <w:rPr>
          <w:rFonts w:ascii="Book Antiqua" w:hAnsi="Book Antiqua"/>
          <w:i/>
          <w:sz w:val="24"/>
          <w:szCs w:val="24"/>
        </w:rPr>
        <w:t>J Dent Res</w:t>
      </w:r>
      <w:r w:rsidRPr="00565259">
        <w:rPr>
          <w:rFonts w:ascii="Book Antiqua" w:hAnsi="Book Antiqua"/>
          <w:sz w:val="24"/>
          <w:szCs w:val="24"/>
        </w:rPr>
        <w:t xml:space="preserve"> 2011; </w:t>
      </w:r>
      <w:r w:rsidRPr="00565259">
        <w:rPr>
          <w:rFonts w:ascii="Book Antiqua" w:hAnsi="Book Antiqua"/>
          <w:b/>
          <w:sz w:val="24"/>
          <w:szCs w:val="24"/>
        </w:rPr>
        <w:t>90</w:t>
      </w:r>
      <w:r w:rsidRPr="00565259">
        <w:rPr>
          <w:rFonts w:ascii="Book Antiqua" w:hAnsi="Book Antiqua"/>
          <w:sz w:val="24"/>
          <w:szCs w:val="24"/>
        </w:rPr>
        <w:t>: 35-40 [PMID: 21059869 DOI: 10.1177/0022034510384616]</w:t>
      </w:r>
    </w:p>
    <w:p w14:paraId="6916144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156 </w:t>
      </w:r>
      <w:r w:rsidRPr="00565259">
        <w:rPr>
          <w:rFonts w:ascii="Book Antiqua" w:hAnsi="Book Antiqua"/>
          <w:b/>
          <w:sz w:val="24"/>
          <w:szCs w:val="24"/>
        </w:rPr>
        <w:t>Chen WJ</w:t>
      </w:r>
      <w:r w:rsidRPr="00565259">
        <w:rPr>
          <w:rFonts w:ascii="Book Antiqua" w:hAnsi="Book Antiqua"/>
          <w:sz w:val="24"/>
          <w:szCs w:val="24"/>
        </w:rPr>
        <w:t xml:space="preserve">, Jingushi S, Aoyama I, Anzai J, Hirata G, Tamura M, Iwamoto Y. Effects of FGF-2 on metaphyseal fracture repair in rabbit tibiae. </w:t>
      </w:r>
      <w:r w:rsidRPr="00565259">
        <w:rPr>
          <w:rFonts w:ascii="Book Antiqua" w:hAnsi="Book Antiqua"/>
          <w:i/>
          <w:sz w:val="24"/>
          <w:szCs w:val="24"/>
        </w:rPr>
        <w:t>J Bone Miner Metab</w:t>
      </w:r>
      <w:r w:rsidRPr="00565259">
        <w:rPr>
          <w:rFonts w:ascii="Book Antiqua" w:hAnsi="Book Antiqua"/>
          <w:sz w:val="24"/>
          <w:szCs w:val="24"/>
        </w:rPr>
        <w:t xml:space="preserve"> 2004; </w:t>
      </w:r>
      <w:r w:rsidRPr="00565259">
        <w:rPr>
          <w:rFonts w:ascii="Book Antiqua" w:hAnsi="Book Antiqua"/>
          <w:b/>
          <w:sz w:val="24"/>
          <w:szCs w:val="24"/>
        </w:rPr>
        <w:t>22</w:t>
      </w:r>
      <w:r w:rsidRPr="00565259">
        <w:rPr>
          <w:rFonts w:ascii="Book Antiqua" w:hAnsi="Book Antiqua"/>
          <w:sz w:val="24"/>
          <w:szCs w:val="24"/>
        </w:rPr>
        <w:t>: 303-309 [PMID: 15221487 DOI: 10.1007/s00774-003-0487-6]</w:t>
      </w:r>
    </w:p>
    <w:p w14:paraId="0F14A58A"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157 </w:t>
      </w:r>
      <w:r w:rsidRPr="00565259">
        <w:rPr>
          <w:rFonts w:ascii="Book Antiqua" w:hAnsi="Book Antiqua"/>
          <w:b/>
          <w:sz w:val="24"/>
          <w:szCs w:val="24"/>
        </w:rPr>
        <w:t>Campbell EJ</w:t>
      </w:r>
      <w:r w:rsidRPr="00565259">
        <w:rPr>
          <w:rFonts w:ascii="Book Antiqua" w:hAnsi="Book Antiqua"/>
          <w:sz w:val="24"/>
          <w:szCs w:val="24"/>
        </w:rPr>
        <w:t xml:space="preserve">, Campbell GM, Hanley DA. The effect of parathyroid hormone and teriparatide on fracture healing. </w:t>
      </w:r>
      <w:r w:rsidRPr="00565259">
        <w:rPr>
          <w:rFonts w:ascii="Book Antiqua" w:hAnsi="Book Antiqua"/>
          <w:i/>
          <w:sz w:val="24"/>
          <w:szCs w:val="24"/>
        </w:rPr>
        <w:t>Expert Opin Biol Ther</w:t>
      </w:r>
      <w:r w:rsidRPr="00565259">
        <w:rPr>
          <w:rFonts w:ascii="Book Antiqua" w:hAnsi="Book Antiqua"/>
          <w:sz w:val="24"/>
          <w:szCs w:val="24"/>
        </w:rPr>
        <w:t xml:space="preserve"> 2015; </w:t>
      </w:r>
      <w:r w:rsidRPr="00565259">
        <w:rPr>
          <w:rFonts w:ascii="Book Antiqua" w:hAnsi="Book Antiqua"/>
          <w:b/>
          <w:sz w:val="24"/>
          <w:szCs w:val="24"/>
        </w:rPr>
        <w:t>15</w:t>
      </w:r>
      <w:r w:rsidRPr="00565259">
        <w:rPr>
          <w:rFonts w:ascii="Book Antiqua" w:hAnsi="Book Antiqua"/>
          <w:sz w:val="24"/>
          <w:szCs w:val="24"/>
        </w:rPr>
        <w:t>: 119-129 [PMID: 25363308 DOI: 10.1517/14712598.2015.977249]</w:t>
      </w:r>
    </w:p>
    <w:p w14:paraId="261F460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158 </w:t>
      </w:r>
      <w:r w:rsidRPr="00565259">
        <w:rPr>
          <w:rFonts w:ascii="Book Antiqua" w:hAnsi="Book Antiqua"/>
          <w:b/>
          <w:sz w:val="24"/>
          <w:szCs w:val="24"/>
        </w:rPr>
        <w:t>Babu S</w:t>
      </w:r>
      <w:r w:rsidRPr="00565259">
        <w:rPr>
          <w:rFonts w:ascii="Book Antiqua" w:hAnsi="Book Antiqua"/>
          <w:sz w:val="24"/>
          <w:szCs w:val="24"/>
        </w:rPr>
        <w:t xml:space="preserve">, Sandiford NA, Vrahas M. Use of Teriparatide to improve fracture healing: What is the evidence? </w:t>
      </w:r>
      <w:r w:rsidRPr="00565259">
        <w:rPr>
          <w:rFonts w:ascii="Book Antiqua" w:hAnsi="Book Antiqua"/>
          <w:i/>
          <w:sz w:val="24"/>
          <w:szCs w:val="24"/>
        </w:rPr>
        <w:t>World J Orthop</w:t>
      </w:r>
      <w:r w:rsidRPr="00565259">
        <w:rPr>
          <w:rFonts w:ascii="Book Antiqua" w:hAnsi="Book Antiqua"/>
          <w:sz w:val="24"/>
          <w:szCs w:val="24"/>
        </w:rPr>
        <w:t xml:space="preserve"> 2015; </w:t>
      </w:r>
      <w:r w:rsidRPr="00565259">
        <w:rPr>
          <w:rFonts w:ascii="Book Antiqua" w:hAnsi="Book Antiqua"/>
          <w:b/>
          <w:sz w:val="24"/>
          <w:szCs w:val="24"/>
        </w:rPr>
        <w:t>6</w:t>
      </w:r>
      <w:r w:rsidRPr="00565259">
        <w:rPr>
          <w:rFonts w:ascii="Book Antiqua" w:hAnsi="Book Antiqua"/>
          <w:sz w:val="24"/>
          <w:szCs w:val="24"/>
        </w:rPr>
        <w:t>: 457-461 [PMID: 26191492 DOI: 10.5312/wjo.v6.i6.457]</w:t>
      </w:r>
    </w:p>
    <w:p w14:paraId="18CE121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159 </w:t>
      </w:r>
      <w:r w:rsidRPr="00565259">
        <w:rPr>
          <w:rFonts w:ascii="Book Antiqua" w:hAnsi="Book Antiqua"/>
          <w:b/>
          <w:sz w:val="24"/>
          <w:szCs w:val="24"/>
        </w:rPr>
        <w:t>Miao D</w:t>
      </w:r>
      <w:r w:rsidRPr="00565259">
        <w:rPr>
          <w:rFonts w:ascii="Book Antiqua" w:hAnsi="Book Antiqua"/>
          <w:sz w:val="24"/>
          <w:szCs w:val="24"/>
        </w:rPr>
        <w:t xml:space="preserve">, He B, Jiang Y, Kobayashi T, Sorocéanu MA, Zhao J, Su H, Tong X, Amizuka N, Gupta A, Genant HK, Kronenberg HM, Goltzman D, Karaplis AC. Osteoblast-derived PTHrP is a potent endogenous bone anabolic agent that modifies the therapeutic efficacy of administered PTH 1-34. </w:t>
      </w:r>
      <w:r w:rsidRPr="00565259">
        <w:rPr>
          <w:rFonts w:ascii="Book Antiqua" w:hAnsi="Book Antiqua"/>
          <w:i/>
          <w:sz w:val="24"/>
          <w:szCs w:val="24"/>
        </w:rPr>
        <w:t>J Clin Invest</w:t>
      </w:r>
      <w:r w:rsidRPr="00565259">
        <w:rPr>
          <w:rFonts w:ascii="Book Antiqua" w:hAnsi="Book Antiqua"/>
          <w:sz w:val="24"/>
          <w:szCs w:val="24"/>
        </w:rPr>
        <w:t xml:space="preserve"> 2005; </w:t>
      </w:r>
      <w:r w:rsidRPr="00565259">
        <w:rPr>
          <w:rFonts w:ascii="Book Antiqua" w:hAnsi="Book Antiqua"/>
          <w:b/>
          <w:sz w:val="24"/>
          <w:szCs w:val="24"/>
        </w:rPr>
        <w:t>115</w:t>
      </w:r>
      <w:r w:rsidRPr="00565259">
        <w:rPr>
          <w:rFonts w:ascii="Book Antiqua" w:hAnsi="Book Antiqua"/>
          <w:sz w:val="24"/>
          <w:szCs w:val="24"/>
        </w:rPr>
        <w:t>: 2402-2411 [PMID: 16138191 DOI: 10.1172/JCI24918]</w:t>
      </w:r>
    </w:p>
    <w:p w14:paraId="349817BA"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160 </w:t>
      </w:r>
      <w:r w:rsidRPr="00565259">
        <w:rPr>
          <w:rFonts w:ascii="Book Antiqua" w:hAnsi="Book Antiqua"/>
          <w:b/>
          <w:sz w:val="24"/>
          <w:szCs w:val="24"/>
        </w:rPr>
        <w:t>Solheim E</w:t>
      </w:r>
      <w:r w:rsidRPr="00565259">
        <w:rPr>
          <w:rFonts w:ascii="Book Antiqua" w:hAnsi="Book Antiqua"/>
          <w:sz w:val="24"/>
          <w:szCs w:val="24"/>
        </w:rPr>
        <w:t xml:space="preserve">. Growth factors in bone. </w:t>
      </w:r>
      <w:r w:rsidRPr="00565259">
        <w:rPr>
          <w:rFonts w:ascii="Book Antiqua" w:hAnsi="Book Antiqua"/>
          <w:i/>
          <w:sz w:val="24"/>
          <w:szCs w:val="24"/>
        </w:rPr>
        <w:t>Int Orthop</w:t>
      </w:r>
      <w:r w:rsidRPr="00565259">
        <w:rPr>
          <w:rFonts w:ascii="Book Antiqua" w:hAnsi="Book Antiqua"/>
          <w:sz w:val="24"/>
          <w:szCs w:val="24"/>
        </w:rPr>
        <w:t xml:space="preserve"> 1998; </w:t>
      </w:r>
      <w:r w:rsidRPr="00565259">
        <w:rPr>
          <w:rFonts w:ascii="Book Antiqua" w:hAnsi="Book Antiqua"/>
          <w:b/>
          <w:sz w:val="24"/>
          <w:szCs w:val="24"/>
        </w:rPr>
        <w:t>22</w:t>
      </w:r>
      <w:r w:rsidRPr="00565259">
        <w:rPr>
          <w:rFonts w:ascii="Book Antiqua" w:hAnsi="Book Antiqua"/>
          <w:sz w:val="24"/>
          <w:szCs w:val="24"/>
        </w:rPr>
        <w:t>: 410-416 [PMID: 10093814 DOI: 10.1007/s002640050290]</w:t>
      </w:r>
    </w:p>
    <w:p w14:paraId="49D31695"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161 </w:t>
      </w:r>
      <w:r w:rsidRPr="00565259">
        <w:rPr>
          <w:rFonts w:ascii="Book Antiqua" w:hAnsi="Book Antiqua"/>
          <w:b/>
          <w:sz w:val="24"/>
          <w:szCs w:val="24"/>
        </w:rPr>
        <w:t>Tyndall WA</w:t>
      </w:r>
      <w:r w:rsidRPr="00565259">
        <w:rPr>
          <w:rFonts w:ascii="Book Antiqua" w:hAnsi="Book Antiqua"/>
          <w:sz w:val="24"/>
          <w:szCs w:val="24"/>
        </w:rPr>
        <w:t xml:space="preserve">, Beam HA, Zarro C, O'Connor JP, Lin SS. Decreased platelet derived growth factor expression during fracture healing in diabetic animals. </w:t>
      </w:r>
      <w:r w:rsidRPr="00565259">
        <w:rPr>
          <w:rFonts w:ascii="Book Antiqua" w:hAnsi="Book Antiqua"/>
          <w:i/>
          <w:sz w:val="24"/>
          <w:szCs w:val="24"/>
        </w:rPr>
        <w:t>Clin Orthop Relat Res</w:t>
      </w:r>
      <w:r w:rsidRPr="00565259">
        <w:rPr>
          <w:rFonts w:ascii="Book Antiqua" w:hAnsi="Book Antiqua"/>
          <w:sz w:val="24"/>
          <w:szCs w:val="24"/>
        </w:rPr>
        <w:t xml:space="preserve"> 2003; : 319-330 [PMID: 12616077 DOI: 10.1097/00003086-200303000-00043]</w:t>
      </w:r>
    </w:p>
    <w:p w14:paraId="42162E11"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162 </w:t>
      </w:r>
      <w:r w:rsidRPr="00565259">
        <w:rPr>
          <w:rFonts w:ascii="Book Antiqua" w:hAnsi="Book Antiqua"/>
          <w:b/>
          <w:sz w:val="24"/>
          <w:szCs w:val="24"/>
        </w:rPr>
        <w:t>Hollinger JO</w:t>
      </w:r>
      <w:r w:rsidRPr="00565259">
        <w:rPr>
          <w:rFonts w:ascii="Book Antiqua" w:hAnsi="Book Antiqua"/>
          <w:sz w:val="24"/>
          <w:szCs w:val="24"/>
        </w:rPr>
        <w:t xml:space="preserve">, Onikepe AO, MacKrell J, Einhorn T, Bradica G, Lynch S, Hart CE. Accelerated fracture healing in the geriatric, osteoporotic rat with recombinant human platelet-derived growth factor-BB and an injectable beta-tricalcium phosphate/collagen matrix. </w:t>
      </w:r>
      <w:r w:rsidRPr="00565259">
        <w:rPr>
          <w:rFonts w:ascii="Book Antiqua" w:hAnsi="Book Antiqua"/>
          <w:i/>
          <w:sz w:val="24"/>
          <w:szCs w:val="24"/>
        </w:rPr>
        <w:t>J Orthop Res</w:t>
      </w:r>
      <w:r w:rsidRPr="00565259">
        <w:rPr>
          <w:rFonts w:ascii="Book Antiqua" w:hAnsi="Book Antiqua"/>
          <w:sz w:val="24"/>
          <w:szCs w:val="24"/>
        </w:rPr>
        <w:t xml:space="preserve"> 2008; </w:t>
      </w:r>
      <w:r w:rsidRPr="00565259">
        <w:rPr>
          <w:rFonts w:ascii="Book Antiqua" w:hAnsi="Book Antiqua"/>
          <w:b/>
          <w:sz w:val="24"/>
          <w:szCs w:val="24"/>
        </w:rPr>
        <w:t>26</w:t>
      </w:r>
      <w:r w:rsidRPr="00565259">
        <w:rPr>
          <w:rFonts w:ascii="Book Antiqua" w:hAnsi="Book Antiqua"/>
          <w:sz w:val="24"/>
          <w:szCs w:val="24"/>
        </w:rPr>
        <w:t>: 83-90 [PMID: 17676626 DOI: 10.1002/jor.20453]</w:t>
      </w:r>
    </w:p>
    <w:p w14:paraId="67F21724"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163 </w:t>
      </w:r>
      <w:r w:rsidRPr="00565259">
        <w:rPr>
          <w:rFonts w:ascii="Book Antiqua" w:hAnsi="Book Antiqua"/>
          <w:b/>
          <w:sz w:val="24"/>
          <w:szCs w:val="24"/>
        </w:rPr>
        <w:t>Weinreb M</w:t>
      </w:r>
      <w:r w:rsidRPr="00565259">
        <w:rPr>
          <w:rFonts w:ascii="Book Antiqua" w:hAnsi="Book Antiqua"/>
          <w:sz w:val="24"/>
          <w:szCs w:val="24"/>
        </w:rPr>
        <w:t xml:space="preserve">, Suponitzky I, Keila S. Systemic administration of an anabolic dose of PGE2 in young rats increases the osteogenic capacity of bone marrow. </w:t>
      </w:r>
      <w:r w:rsidRPr="00565259">
        <w:rPr>
          <w:rFonts w:ascii="Book Antiqua" w:hAnsi="Book Antiqua"/>
          <w:i/>
          <w:sz w:val="24"/>
          <w:szCs w:val="24"/>
        </w:rPr>
        <w:t>Bone</w:t>
      </w:r>
      <w:r w:rsidRPr="00565259">
        <w:rPr>
          <w:rFonts w:ascii="Book Antiqua" w:hAnsi="Book Antiqua"/>
          <w:sz w:val="24"/>
          <w:szCs w:val="24"/>
        </w:rPr>
        <w:t xml:space="preserve"> 1997; </w:t>
      </w:r>
      <w:r w:rsidRPr="00565259">
        <w:rPr>
          <w:rFonts w:ascii="Book Antiqua" w:hAnsi="Book Antiqua"/>
          <w:b/>
          <w:sz w:val="24"/>
          <w:szCs w:val="24"/>
        </w:rPr>
        <w:t>20</w:t>
      </w:r>
      <w:r w:rsidRPr="00565259">
        <w:rPr>
          <w:rFonts w:ascii="Book Antiqua" w:hAnsi="Book Antiqua"/>
          <w:sz w:val="24"/>
          <w:szCs w:val="24"/>
        </w:rPr>
        <w:t>: 521-526 [PMID: 9177865 DOI: 10.1016/S8756-3282(97)00033-1]</w:t>
      </w:r>
    </w:p>
    <w:p w14:paraId="4D6EBF8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164 </w:t>
      </w:r>
      <w:r w:rsidRPr="00565259">
        <w:rPr>
          <w:rFonts w:ascii="Book Antiqua" w:hAnsi="Book Antiqua"/>
          <w:b/>
          <w:sz w:val="24"/>
          <w:szCs w:val="24"/>
        </w:rPr>
        <w:t>Jee WS</w:t>
      </w:r>
      <w:r w:rsidRPr="00565259">
        <w:rPr>
          <w:rFonts w:ascii="Book Antiqua" w:hAnsi="Book Antiqua"/>
          <w:sz w:val="24"/>
          <w:szCs w:val="24"/>
        </w:rPr>
        <w:t xml:space="preserve">, Mori S, Li XJ, Chan S. Prostaglandin E2 enhances cortical bone mass and activates intracortical bone remodeling in intact and ovariectomized female rats. </w:t>
      </w:r>
      <w:r w:rsidRPr="00565259">
        <w:rPr>
          <w:rFonts w:ascii="Book Antiqua" w:hAnsi="Book Antiqua"/>
          <w:i/>
          <w:sz w:val="24"/>
          <w:szCs w:val="24"/>
        </w:rPr>
        <w:t>Bone</w:t>
      </w:r>
      <w:r w:rsidRPr="00565259">
        <w:rPr>
          <w:rFonts w:ascii="Book Antiqua" w:hAnsi="Book Antiqua"/>
          <w:sz w:val="24"/>
          <w:szCs w:val="24"/>
        </w:rPr>
        <w:t xml:space="preserve"> 1990; </w:t>
      </w:r>
      <w:r w:rsidRPr="00565259">
        <w:rPr>
          <w:rFonts w:ascii="Book Antiqua" w:hAnsi="Book Antiqua"/>
          <w:b/>
          <w:sz w:val="24"/>
          <w:szCs w:val="24"/>
        </w:rPr>
        <w:t>11</w:t>
      </w:r>
      <w:r w:rsidRPr="00565259">
        <w:rPr>
          <w:rFonts w:ascii="Book Antiqua" w:hAnsi="Book Antiqua"/>
          <w:sz w:val="24"/>
          <w:szCs w:val="24"/>
        </w:rPr>
        <w:t>: 253-266 [PMID: 2242291 DOI: 10.1016/8756-3282(90)90078-D]</w:t>
      </w:r>
    </w:p>
    <w:p w14:paraId="2CB69D1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165 </w:t>
      </w:r>
      <w:r w:rsidRPr="00565259">
        <w:rPr>
          <w:rFonts w:ascii="Book Antiqua" w:hAnsi="Book Antiqua"/>
          <w:b/>
          <w:sz w:val="24"/>
          <w:szCs w:val="24"/>
        </w:rPr>
        <w:t>Xie C</w:t>
      </w:r>
      <w:r w:rsidRPr="00565259">
        <w:rPr>
          <w:rFonts w:ascii="Book Antiqua" w:hAnsi="Book Antiqua"/>
          <w:sz w:val="24"/>
          <w:szCs w:val="24"/>
        </w:rPr>
        <w:t xml:space="preserve">, Liang B, Xue M, Lin AS, Loiselle A, Schwarz EM, Guldberg RE, O'Keefe RJ, Zhang X. Rescue of impaired fracture healing in COX-2-/- mice via activation of prostaglandin E2 receptor subtype 4. </w:t>
      </w:r>
      <w:r w:rsidRPr="00565259">
        <w:rPr>
          <w:rFonts w:ascii="Book Antiqua" w:hAnsi="Book Antiqua"/>
          <w:i/>
          <w:sz w:val="24"/>
          <w:szCs w:val="24"/>
        </w:rPr>
        <w:t>Am J Pathol</w:t>
      </w:r>
      <w:r w:rsidRPr="00565259">
        <w:rPr>
          <w:rFonts w:ascii="Book Antiqua" w:hAnsi="Book Antiqua"/>
          <w:sz w:val="24"/>
          <w:szCs w:val="24"/>
        </w:rPr>
        <w:t xml:space="preserve"> 2009; </w:t>
      </w:r>
      <w:r w:rsidRPr="00565259">
        <w:rPr>
          <w:rFonts w:ascii="Book Antiqua" w:hAnsi="Book Antiqua"/>
          <w:b/>
          <w:sz w:val="24"/>
          <w:szCs w:val="24"/>
        </w:rPr>
        <w:t>175</w:t>
      </w:r>
      <w:r w:rsidRPr="00565259">
        <w:rPr>
          <w:rFonts w:ascii="Book Antiqua" w:hAnsi="Book Antiqua"/>
          <w:sz w:val="24"/>
          <w:szCs w:val="24"/>
        </w:rPr>
        <w:t>: 772-785 [PMID: 19628768 DOI: 10.2353/ajpath.2009.081099]</w:t>
      </w:r>
    </w:p>
    <w:p w14:paraId="74B68A7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166 </w:t>
      </w:r>
      <w:r w:rsidRPr="00565259">
        <w:rPr>
          <w:rFonts w:ascii="Book Antiqua" w:hAnsi="Book Antiqua"/>
          <w:b/>
          <w:sz w:val="24"/>
          <w:szCs w:val="24"/>
        </w:rPr>
        <w:t>Tahimic CG</w:t>
      </w:r>
      <w:r w:rsidRPr="00565259">
        <w:rPr>
          <w:rFonts w:ascii="Book Antiqua" w:hAnsi="Book Antiqua"/>
          <w:sz w:val="24"/>
          <w:szCs w:val="24"/>
        </w:rPr>
        <w:t xml:space="preserve">, Wang Y, Bikle DD. Anabolic effects of IGF-1 signaling on the skeleton. </w:t>
      </w:r>
      <w:r w:rsidRPr="00565259">
        <w:rPr>
          <w:rFonts w:ascii="Book Antiqua" w:hAnsi="Book Antiqua"/>
          <w:i/>
          <w:sz w:val="24"/>
          <w:szCs w:val="24"/>
        </w:rPr>
        <w:t>Front Endocrinol (Lausanne)</w:t>
      </w:r>
      <w:r w:rsidRPr="00565259">
        <w:rPr>
          <w:rFonts w:ascii="Book Antiqua" w:hAnsi="Book Antiqua"/>
          <w:sz w:val="24"/>
          <w:szCs w:val="24"/>
        </w:rPr>
        <w:t xml:space="preserve"> 2013; </w:t>
      </w:r>
      <w:r w:rsidRPr="00565259">
        <w:rPr>
          <w:rFonts w:ascii="Book Antiqua" w:hAnsi="Book Antiqua"/>
          <w:b/>
          <w:sz w:val="24"/>
          <w:szCs w:val="24"/>
        </w:rPr>
        <w:t>4</w:t>
      </w:r>
      <w:r w:rsidRPr="00565259">
        <w:rPr>
          <w:rFonts w:ascii="Book Antiqua" w:hAnsi="Book Antiqua"/>
          <w:sz w:val="24"/>
          <w:szCs w:val="24"/>
        </w:rPr>
        <w:t>: 6 [PMID: 23382729 DOI: 10.3389/fendo.2013.00006]</w:t>
      </w:r>
    </w:p>
    <w:p w14:paraId="19EC1AFB"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167 </w:t>
      </w:r>
      <w:r w:rsidRPr="00565259">
        <w:rPr>
          <w:rFonts w:ascii="Book Antiqua" w:hAnsi="Book Antiqua"/>
          <w:b/>
          <w:sz w:val="24"/>
          <w:szCs w:val="24"/>
        </w:rPr>
        <w:t>Tarkka T</w:t>
      </w:r>
      <w:r w:rsidRPr="00565259">
        <w:rPr>
          <w:rFonts w:ascii="Book Antiqua" w:hAnsi="Book Antiqua"/>
          <w:sz w:val="24"/>
          <w:szCs w:val="24"/>
        </w:rPr>
        <w:t xml:space="preserve">, Sipola A, Jämsä T, Soini Y, Ylä-Herttuala S, Tuukkanen J, Hautala T. Adenoviral VEGF-A gene transfer induces angiogenesis and promotes bone formation in healing osseous tissues. </w:t>
      </w:r>
      <w:r w:rsidRPr="00565259">
        <w:rPr>
          <w:rFonts w:ascii="Book Antiqua" w:hAnsi="Book Antiqua"/>
          <w:i/>
          <w:sz w:val="24"/>
          <w:szCs w:val="24"/>
        </w:rPr>
        <w:t>J Gene Med</w:t>
      </w:r>
      <w:r w:rsidRPr="00565259">
        <w:rPr>
          <w:rFonts w:ascii="Book Antiqua" w:hAnsi="Book Antiqua"/>
          <w:sz w:val="24"/>
          <w:szCs w:val="24"/>
        </w:rPr>
        <w:t xml:space="preserve"> 2003; </w:t>
      </w:r>
      <w:r w:rsidRPr="00565259">
        <w:rPr>
          <w:rFonts w:ascii="Book Antiqua" w:hAnsi="Book Antiqua"/>
          <w:b/>
          <w:sz w:val="24"/>
          <w:szCs w:val="24"/>
        </w:rPr>
        <w:t>5</w:t>
      </w:r>
      <w:r w:rsidRPr="00565259">
        <w:rPr>
          <w:rFonts w:ascii="Book Antiqua" w:hAnsi="Book Antiqua"/>
          <w:sz w:val="24"/>
          <w:szCs w:val="24"/>
        </w:rPr>
        <w:t>: 560-566 [PMID: 12825195 DOI: 10.1002/jgm.392]</w:t>
      </w:r>
    </w:p>
    <w:p w14:paraId="11D3D7F1"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168 </w:t>
      </w:r>
      <w:r w:rsidRPr="00565259">
        <w:rPr>
          <w:rFonts w:ascii="Book Antiqua" w:hAnsi="Book Antiqua"/>
          <w:b/>
          <w:sz w:val="24"/>
          <w:szCs w:val="24"/>
        </w:rPr>
        <w:t>Li R</w:t>
      </w:r>
      <w:r w:rsidRPr="00565259">
        <w:rPr>
          <w:rFonts w:ascii="Book Antiqua" w:hAnsi="Book Antiqua"/>
          <w:sz w:val="24"/>
          <w:szCs w:val="24"/>
        </w:rPr>
        <w:t xml:space="preserve">, Stewart DJ, von Schroeder HP, Mackinnon ES, Schemitsch EH. Effect of cell-based VEGF gene therapy on healing of a segmental bone defect. </w:t>
      </w:r>
      <w:r w:rsidRPr="00565259">
        <w:rPr>
          <w:rFonts w:ascii="Book Antiqua" w:hAnsi="Book Antiqua"/>
          <w:i/>
          <w:sz w:val="24"/>
          <w:szCs w:val="24"/>
        </w:rPr>
        <w:t>J Orthop Res</w:t>
      </w:r>
      <w:r w:rsidRPr="00565259">
        <w:rPr>
          <w:rFonts w:ascii="Book Antiqua" w:hAnsi="Book Antiqua"/>
          <w:sz w:val="24"/>
          <w:szCs w:val="24"/>
        </w:rPr>
        <w:t xml:space="preserve"> 2009; </w:t>
      </w:r>
      <w:r w:rsidRPr="00565259">
        <w:rPr>
          <w:rFonts w:ascii="Book Antiqua" w:hAnsi="Book Antiqua"/>
          <w:b/>
          <w:sz w:val="24"/>
          <w:szCs w:val="24"/>
        </w:rPr>
        <w:t>27</w:t>
      </w:r>
      <w:r w:rsidRPr="00565259">
        <w:rPr>
          <w:rFonts w:ascii="Book Antiqua" w:hAnsi="Book Antiqua"/>
          <w:sz w:val="24"/>
          <w:szCs w:val="24"/>
        </w:rPr>
        <w:t>: 8-14 [PMID: 18634016 DOI: 10.1002/jor.20658]</w:t>
      </w:r>
    </w:p>
    <w:p w14:paraId="070FFA57"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169 </w:t>
      </w:r>
      <w:r w:rsidRPr="00565259">
        <w:rPr>
          <w:rFonts w:ascii="Book Antiqua" w:hAnsi="Book Antiqua"/>
          <w:b/>
          <w:sz w:val="24"/>
          <w:szCs w:val="24"/>
        </w:rPr>
        <w:t>Turk C</w:t>
      </w:r>
      <w:r w:rsidRPr="00565259">
        <w:rPr>
          <w:rFonts w:ascii="Book Antiqua" w:hAnsi="Book Antiqua"/>
          <w:sz w:val="24"/>
          <w:szCs w:val="24"/>
        </w:rPr>
        <w:t xml:space="preserve">, Halici M, Guney A, Akgun H, Sahin V, Muhtaroglu S. Promotion of fracture healing by vitamin E in rats. </w:t>
      </w:r>
      <w:r w:rsidRPr="00565259">
        <w:rPr>
          <w:rFonts w:ascii="Book Antiqua" w:hAnsi="Book Antiqua"/>
          <w:i/>
          <w:sz w:val="24"/>
          <w:szCs w:val="24"/>
        </w:rPr>
        <w:t>J Int Med Res</w:t>
      </w:r>
      <w:r w:rsidRPr="00565259">
        <w:rPr>
          <w:rFonts w:ascii="Book Antiqua" w:hAnsi="Book Antiqua"/>
          <w:sz w:val="24"/>
          <w:szCs w:val="24"/>
        </w:rPr>
        <w:t xml:space="preserve"> 2004; </w:t>
      </w:r>
      <w:r w:rsidRPr="00565259">
        <w:rPr>
          <w:rFonts w:ascii="Book Antiqua" w:hAnsi="Book Antiqua"/>
          <w:b/>
          <w:sz w:val="24"/>
          <w:szCs w:val="24"/>
        </w:rPr>
        <w:t>32</w:t>
      </w:r>
      <w:r w:rsidRPr="00565259">
        <w:rPr>
          <w:rFonts w:ascii="Book Antiqua" w:hAnsi="Book Antiqua"/>
          <w:sz w:val="24"/>
          <w:szCs w:val="24"/>
        </w:rPr>
        <w:t>: 507-512 [PMID: 15458283 DOI: 10.1177/147323000403200508]</w:t>
      </w:r>
    </w:p>
    <w:p w14:paraId="0B03A184"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170 </w:t>
      </w:r>
      <w:r w:rsidRPr="00565259">
        <w:rPr>
          <w:rFonts w:ascii="Book Antiqua" w:hAnsi="Book Antiqua"/>
          <w:b/>
          <w:sz w:val="24"/>
          <w:szCs w:val="24"/>
        </w:rPr>
        <w:t>Durak K</w:t>
      </w:r>
      <w:r w:rsidRPr="00565259">
        <w:rPr>
          <w:rFonts w:ascii="Book Antiqua" w:hAnsi="Book Antiqua"/>
          <w:sz w:val="24"/>
          <w:szCs w:val="24"/>
        </w:rPr>
        <w:t xml:space="preserve">, Sonmez G, Sarisozen B, Ozkan S, Kaya M, Ozturk C. Histological assessment of the effect of alpha-tocopherol on fracture healing in rabbits. </w:t>
      </w:r>
      <w:r w:rsidRPr="00565259">
        <w:rPr>
          <w:rFonts w:ascii="Book Antiqua" w:hAnsi="Book Antiqua"/>
          <w:i/>
          <w:sz w:val="24"/>
          <w:szCs w:val="24"/>
        </w:rPr>
        <w:t>J Int Med Res</w:t>
      </w:r>
      <w:r w:rsidRPr="00565259">
        <w:rPr>
          <w:rFonts w:ascii="Book Antiqua" w:hAnsi="Book Antiqua"/>
          <w:sz w:val="24"/>
          <w:szCs w:val="24"/>
        </w:rPr>
        <w:t xml:space="preserve"> 2003; </w:t>
      </w:r>
      <w:r w:rsidRPr="00565259">
        <w:rPr>
          <w:rFonts w:ascii="Book Antiqua" w:hAnsi="Book Antiqua"/>
          <w:b/>
          <w:sz w:val="24"/>
          <w:szCs w:val="24"/>
        </w:rPr>
        <w:t>31</w:t>
      </w:r>
      <w:r w:rsidRPr="00565259">
        <w:rPr>
          <w:rFonts w:ascii="Book Antiqua" w:hAnsi="Book Antiqua"/>
          <w:sz w:val="24"/>
          <w:szCs w:val="24"/>
        </w:rPr>
        <w:t>: 26-30 [PMID: 12635530 DOI: 10.1177/147323000303100104]</w:t>
      </w:r>
    </w:p>
    <w:p w14:paraId="25580A7D"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171 </w:t>
      </w:r>
      <w:r w:rsidRPr="00565259">
        <w:rPr>
          <w:rFonts w:ascii="Book Antiqua" w:hAnsi="Book Antiqua"/>
          <w:b/>
          <w:sz w:val="24"/>
          <w:szCs w:val="24"/>
        </w:rPr>
        <w:t>Hal</w:t>
      </w:r>
      <w:r w:rsidRPr="00565259">
        <w:rPr>
          <w:rFonts w:ascii="Book Antiqua" w:hAnsi="Book Antiqua" w:cs="Cambria"/>
          <w:b/>
          <w:sz w:val="24"/>
          <w:szCs w:val="24"/>
        </w:rPr>
        <w:t>ı</w:t>
      </w:r>
      <w:r w:rsidRPr="00565259">
        <w:rPr>
          <w:rFonts w:ascii="Book Antiqua" w:hAnsi="Book Antiqua"/>
          <w:b/>
          <w:sz w:val="24"/>
          <w:szCs w:val="24"/>
        </w:rPr>
        <w:t>c</w:t>
      </w:r>
      <w:r w:rsidRPr="00565259">
        <w:rPr>
          <w:rFonts w:ascii="Book Antiqua" w:hAnsi="Book Antiqua" w:cs="Cambria"/>
          <w:b/>
          <w:sz w:val="24"/>
          <w:szCs w:val="24"/>
        </w:rPr>
        <w:t>ı</w:t>
      </w:r>
      <w:r w:rsidRPr="00565259">
        <w:rPr>
          <w:rFonts w:ascii="Book Antiqua" w:hAnsi="Book Antiqua"/>
          <w:b/>
          <w:sz w:val="24"/>
          <w:szCs w:val="24"/>
        </w:rPr>
        <w:t xml:space="preserve"> M</w:t>
      </w:r>
      <w:r w:rsidRPr="00565259">
        <w:rPr>
          <w:rFonts w:ascii="Book Antiqua" w:hAnsi="Book Antiqua"/>
          <w:sz w:val="24"/>
          <w:szCs w:val="24"/>
        </w:rPr>
        <w:t>, Öner M, Güney A, Canöz Ö, Narin F, Hal</w:t>
      </w:r>
      <w:r w:rsidRPr="00565259">
        <w:rPr>
          <w:rFonts w:ascii="Book Antiqua" w:hAnsi="Book Antiqua" w:cs="Cambria"/>
          <w:sz w:val="24"/>
          <w:szCs w:val="24"/>
        </w:rPr>
        <w:t>ı</w:t>
      </w:r>
      <w:r w:rsidRPr="00565259">
        <w:rPr>
          <w:rFonts w:ascii="Book Antiqua" w:hAnsi="Book Antiqua"/>
          <w:sz w:val="24"/>
          <w:szCs w:val="24"/>
        </w:rPr>
        <w:t>c</w:t>
      </w:r>
      <w:r w:rsidRPr="00565259">
        <w:rPr>
          <w:rFonts w:ascii="Book Antiqua" w:hAnsi="Book Antiqua" w:cs="Cambria"/>
          <w:sz w:val="24"/>
          <w:szCs w:val="24"/>
        </w:rPr>
        <w:t>ı</w:t>
      </w:r>
      <w:r w:rsidRPr="00565259">
        <w:rPr>
          <w:rFonts w:ascii="Book Antiqua" w:hAnsi="Book Antiqua"/>
          <w:sz w:val="24"/>
          <w:szCs w:val="24"/>
        </w:rPr>
        <w:t xml:space="preserve"> C. Melatonin promotes fracture healing in the rat model. </w:t>
      </w:r>
      <w:r w:rsidRPr="00565259">
        <w:rPr>
          <w:rFonts w:ascii="Book Antiqua" w:hAnsi="Book Antiqua"/>
          <w:i/>
          <w:sz w:val="24"/>
          <w:szCs w:val="24"/>
        </w:rPr>
        <w:t>Eklem Hastalik Cerrahisi</w:t>
      </w:r>
      <w:r w:rsidRPr="00565259">
        <w:rPr>
          <w:rFonts w:ascii="Book Antiqua" w:hAnsi="Book Antiqua"/>
          <w:sz w:val="24"/>
          <w:szCs w:val="24"/>
        </w:rPr>
        <w:t xml:space="preserve"> 2010; </w:t>
      </w:r>
      <w:r w:rsidRPr="00565259">
        <w:rPr>
          <w:rFonts w:ascii="Book Antiqua" w:hAnsi="Book Antiqua"/>
          <w:b/>
          <w:sz w:val="24"/>
          <w:szCs w:val="24"/>
        </w:rPr>
        <w:t>21</w:t>
      </w:r>
      <w:r w:rsidRPr="00565259">
        <w:rPr>
          <w:rFonts w:ascii="Book Antiqua" w:hAnsi="Book Antiqua"/>
          <w:sz w:val="24"/>
          <w:szCs w:val="24"/>
        </w:rPr>
        <w:t>: 172-177 [PMID: 21067500]</w:t>
      </w:r>
    </w:p>
    <w:p w14:paraId="3D972677"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172 </w:t>
      </w:r>
      <w:r w:rsidRPr="00565259">
        <w:rPr>
          <w:rFonts w:ascii="Book Antiqua" w:hAnsi="Book Antiqua"/>
          <w:b/>
          <w:sz w:val="24"/>
          <w:szCs w:val="24"/>
        </w:rPr>
        <w:t>Dong P</w:t>
      </w:r>
      <w:r w:rsidRPr="00565259">
        <w:rPr>
          <w:rFonts w:ascii="Book Antiqua" w:hAnsi="Book Antiqua"/>
          <w:sz w:val="24"/>
          <w:szCs w:val="24"/>
        </w:rPr>
        <w:t xml:space="preserve">, Gu X, Zhu G, Li M, Ma B, Zi Y. Melatonin Induces Osteoblastic Differentiation of Mesenchymal Stem Cells and Promotes Fracture Healing in a Rat Model of Femoral Fracture via Neuropeptide Y/Neuropeptide Y Receptor Y1 Signaling. </w:t>
      </w:r>
      <w:r w:rsidRPr="00565259">
        <w:rPr>
          <w:rFonts w:ascii="Book Antiqua" w:hAnsi="Book Antiqua"/>
          <w:i/>
          <w:sz w:val="24"/>
          <w:szCs w:val="24"/>
        </w:rPr>
        <w:t>Pharmacology</w:t>
      </w:r>
      <w:r w:rsidRPr="00565259">
        <w:rPr>
          <w:rFonts w:ascii="Book Antiqua" w:hAnsi="Book Antiqua"/>
          <w:sz w:val="24"/>
          <w:szCs w:val="24"/>
        </w:rPr>
        <w:t xml:space="preserve"> 2018; </w:t>
      </w:r>
      <w:r w:rsidRPr="00565259">
        <w:rPr>
          <w:rFonts w:ascii="Book Antiqua" w:hAnsi="Book Antiqua"/>
          <w:b/>
          <w:sz w:val="24"/>
          <w:szCs w:val="24"/>
        </w:rPr>
        <w:t>102</w:t>
      </w:r>
      <w:r w:rsidRPr="00565259">
        <w:rPr>
          <w:rFonts w:ascii="Book Antiqua" w:hAnsi="Book Antiqua"/>
          <w:sz w:val="24"/>
          <w:szCs w:val="24"/>
        </w:rPr>
        <w:t>: 272-280 [PMID: 30227410 DOI: 10.1159/000492576]</w:t>
      </w:r>
    </w:p>
    <w:p w14:paraId="6AAB80E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173 </w:t>
      </w:r>
      <w:r w:rsidRPr="00565259">
        <w:rPr>
          <w:rFonts w:ascii="Book Antiqua" w:hAnsi="Book Antiqua"/>
          <w:b/>
          <w:sz w:val="24"/>
          <w:szCs w:val="24"/>
        </w:rPr>
        <w:t>Volkmer DL</w:t>
      </w:r>
      <w:r w:rsidRPr="00565259">
        <w:rPr>
          <w:rFonts w:ascii="Book Antiqua" w:hAnsi="Book Antiqua"/>
          <w:sz w:val="24"/>
          <w:szCs w:val="24"/>
        </w:rPr>
        <w:t xml:space="preserve">, Sears B, Lauing KL, Nauer RK, Roper PM, Yong S, Stover M, Callaci JJ. Antioxidant therapy attenuates deficient bone fracture repair associated with binge alcohol exposure. </w:t>
      </w:r>
      <w:r w:rsidRPr="00565259">
        <w:rPr>
          <w:rFonts w:ascii="Book Antiqua" w:hAnsi="Book Antiqua"/>
          <w:i/>
          <w:sz w:val="24"/>
          <w:szCs w:val="24"/>
        </w:rPr>
        <w:t>J Orthop Trauma</w:t>
      </w:r>
      <w:r w:rsidRPr="00565259">
        <w:rPr>
          <w:rFonts w:ascii="Book Antiqua" w:hAnsi="Book Antiqua"/>
          <w:sz w:val="24"/>
          <w:szCs w:val="24"/>
        </w:rPr>
        <w:t xml:space="preserve"> 2011; </w:t>
      </w:r>
      <w:r w:rsidRPr="00565259">
        <w:rPr>
          <w:rFonts w:ascii="Book Antiqua" w:hAnsi="Book Antiqua"/>
          <w:b/>
          <w:sz w:val="24"/>
          <w:szCs w:val="24"/>
        </w:rPr>
        <w:t>25</w:t>
      </w:r>
      <w:r w:rsidRPr="00565259">
        <w:rPr>
          <w:rFonts w:ascii="Book Antiqua" w:hAnsi="Book Antiqua"/>
          <w:sz w:val="24"/>
          <w:szCs w:val="24"/>
        </w:rPr>
        <w:t>: 516-521 [PMID: 21738068 DOI: 10.1097/BOT.0b013e31821f65cc]</w:t>
      </w:r>
    </w:p>
    <w:p w14:paraId="507C869D"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174 </w:t>
      </w:r>
      <w:r w:rsidRPr="00565259">
        <w:rPr>
          <w:rFonts w:ascii="Book Antiqua" w:hAnsi="Book Antiqua"/>
          <w:b/>
          <w:sz w:val="24"/>
          <w:szCs w:val="24"/>
        </w:rPr>
        <w:t>Schmitt R</w:t>
      </w:r>
      <w:r w:rsidRPr="00565259">
        <w:rPr>
          <w:rFonts w:ascii="Book Antiqua" w:hAnsi="Book Antiqua"/>
          <w:sz w:val="24"/>
          <w:szCs w:val="24"/>
        </w:rPr>
        <w:t xml:space="preserve">. Senotherapy: growing old and staying young? </w:t>
      </w:r>
      <w:r w:rsidRPr="00565259">
        <w:rPr>
          <w:rFonts w:ascii="Book Antiqua" w:hAnsi="Book Antiqua"/>
          <w:i/>
          <w:sz w:val="24"/>
          <w:szCs w:val="24"/>
        </w:rPr>
        <w:t>Pflugers Arch</w:t>
      </w:r>
      <w:r w:rsidRPr="00565259">
        <w:rPr>
          <w:rFonts w:ascii="Book Antiqua" w:hAnsi="Book Antiqua"/>
          <w:sz w:val="24"/>
          <w:szCs w:val="24"/>
        </w:rPr>
        <w:t xml:space="preserve"> 2017; </w:t>
      </w:r>
      <w:r w:rsidRPr="00565259">
        <w:rPr>
          <w:rFonts w:ascii="Book Antiqua" w:hAnsi="Book Antiqua"/>
          <w:b/>
          <w:sz w:val="24"/>
          <w:szCs w:val="24"/>
        </w:rPr>
        <w:t>469</w:t>
      </w:r>
      <w:r w:rsidRPr="00565259">
        <w:rPr>
          <w:rFonts w:ascii="Book Antiqua" w:hAnsi="Book Antiqua"/>
          <w:sz w:val="24"/>
          <w:szCs w:val="24"/>
        </w:rPr>
        <w:t>: 1051-1059 [PMID: 28389776 DOI: 10.1007/s00424-017-1972-4]</w:t>
      </w:r>
    </w:p>
    <w:p w14:paraId="5445226E"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175 </w:t>
      </w:r>
      <w:r w:rsidRPr="00565259">
        <w:rPr>
          <w:rFonts w:ascii="Book Antiqua" w:hAnsi="Book Antiqua"/>
          <w:b/>
          <w:sz w:val="24"/>
          <w:szCs w:val="24"/>
        </w:rPr>
        <w:t>Kirkland JL</w:t>
      </w:r>
      <w:r w:rsidRPr="00565259">
        <w:rPr>
          <w:rFonts w:ascii="Book Antiqua" w:hAnsi="Book Antiqua"/>
          <w:sz w:val="24"/>
          <w:szCs w:val="24"/>
        </w:rPr>
        <w:t xml:space="preserve">, Tchkonia T. Cellular Senescence: A Translational Perspective. </w:t>
      </w:r>
      <w:r w:rsidRPr="00565259">
        <w:rPr>
          <w:rFonts w:ascii="Book Antiqua" w:hAnsi="Book Antiqua"/>
          <w:i/>
          <w:sz w:val="24"/>
          <w:szCs w:val="24"/>
        </w:rPr>
        <w:t>EBioMedicine</w:t>
      </w:r>
      <w:r w:rsidRPr="00565259">
        <w:rPr>
          <w:rFonts w:ascii="Book Antiqua" w:hAnsi="Book Antiqua"/>
          <w:sz w:val="24"/>
          <w:szCs w:val="24"/>
        </w:rPr>
        <w:t xml:space="preserve"> 2017; </w:t>
      </w:r>
      <w:r w:rsidRPr="00565259">
        <w:rPr>
          <w:rFonts w:ascii="Book Antiqua" w:hAnsi="Book Antiqua"/>
          <w:b/>
          <w:sz w:val="24"/>
          <w:szCs w:val="24"/>
        </w:rPr>
        <w:t>21</w:t>
      </w:r>
      <w:r w:rsidRPr="00565259">
        <w:rPr>
          <w:rFonts w:ascii="Book Antiqua" w:hAnsi="Book Antiqua"/>
          <w:sz w:val="24"/>
          <w:szCs w:val="24"/>
        </w:rPr>
        <w:t>: 21-28 [PMID: 28416161 DOI: 10.1016/j.ebiom.2017.04.013]</w:t>
      </w:r>
    </w:p>
    <w:p w14:paraId="7B46B74A"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176 </w:t>
      </w:r>
      <w:r w:rsidRPr="00565259">
        <w:rPr>
          <w:rFonts w:ascii="Book Antiqua" w:hAnsi="Book Antiqua"/>
          <w:b/>
          <w:sz w:val="24"/>
          <w:szCs w:val="24"/>
        </w:rPr>
        <w:t>Demaria M</w:t>
      </w:r>
      <w:r w:rsidRPr="00565259">
        <w:rPr>
          <w:rFonts w:ascii="Book Antiqua" w:hAnsi="Book Antiqua"/>
          <w:sz w:val="24"/>
          <w:szCs w:val="24"/>
        </w:rPr>
        <w:t xml:space="preserve">. Senescent cells: New target for an old treatment? </w:t>
      </w:r>
      <w:r w:rsidRPr="00565259">
        <w:rPr>
          <w:rFonts w:ascii="Book Antiqua" w:hAnsi="Book Antiqua"/>
          <w:i/>
          <w:sz w:val="24"/>
          <w:szCs w:val="24"/>
        </w:rPr>
        <w:t>Mol Cell Oncol</w:t>
      </w:r>
      <w:r w:rsidRPr="00565259">
        <w:rPr>
          <w:rFonts w:ascii="Book Antiqua" w:hAnsi="Book Antiqua"/>
          <w:sz w:val="24"/>
          <w:szCs w:val="24"/>
        </w:rPr>
        <w:t xml:space="preserve"> 2017; </w:t>
      </w:r>
      <w:r w:rsidRPr="00565259">
        <w:rPr>
          <w:rFonts w:ascii="Book Antiqua" w:hAnsi="Book Antiqua"/>
          <w:b/>
          <w:sz w:val="24"/>
          <w:szCs w:val="24"/>
        </w:rPr>
        <w:t>4</w:t>
      </w:r>
      <w:r w:rsidRPr="00565259">
        <w:rPr>
          <w:rFonts w:ascii="Book Antiqua" w:hAnsi="Book Antiqua"/>
          <w:sz w:val="24"/>
          <w:szCs w:val="24"/>
        </w:rPr>
        <w:t>: e1299666 [PMID: 28616578 DOI: 10.1080/23723556.2017.1299666]</w:t>
      </w:r>
    </w:p>
    <w:p w14:paraId="62F29036" w14:textId="6D29E849"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177 </w:t>
      </w:r>
      <w:r w:rsidRPr="00565259">
        <w:rPr>
          <w:rFonts w:ascii="Book Antiqua" w:hAnsi="Book Antiqua"/>
          <w:b/>
          <w:sz w:val="24"/>
          <w:szCs w:val="24"/>
        </w:rPr>
        <w:t>Del Pinto R</w:t>
      </w:r>
      <w:r w:rsidRPr="00565259">
        <w:rPr>
          <w:rFonts w:ascii="Book Antiqua" w:hAnsi="Book Antiqua"/>
          <w:sz w:val="24"/>
          <w:szCs w:val="24"/>
        </w:rPr>
        <w:t xml:space="preserve">, Ferri C. Inflammation-Accelerated Senescence and the Cardiovascular System: Mechanisms and Perspectives. </w:t>
      </w:r>
      <w:r w:rsidRPr="00565259">
        <w:rPr>
          <w:rFonts w:ascii="Book Antiqua" w:hAnsi="Book Antiqua"/>
          <w:i/>
          <w:sz w:val="24"/>
          <w:szCs w:val="24"/>
        </w:rPr>
        <w:t>Int J Mol Sci</w:t>
      </w:r>
      <w:r w:rsidRPr="00565259">
        <w:rPr>
          <w:rFonts w:ascii="Book Antiqua" w:hAnsi="Book Antiqua"/>
          <w:sz w:val="24"/>
          <w:szCs w:val="24"/>
        </w:rPr>
        <w:t xml:space="preserve"> 2018; </w:t>
      </w:r>
      <w:r w:rsidRPr="00565259">
        <w:rPr>
          <w:rFonts w:ascii="Book Antiqua" w:hAnsi="Book Antiqua"/>
          <w:b/>
          <w:sz w:val="24"/>
          <w:szCs w:val="24"/>
        </w:rPr>
        <w:t>19</w:t>
      </w:r>
      <w:r w:rsidRPr="00565259">
        <w:rPr>
          <w:rFonts w:ascii="Book Antiqua" w:hAnsi="Book Antiqua"/>
          <w:sz w:val="24"/>
          <w:szCs w:val="24"/>
        </w:rPr>
        <w:t xml:space="preserve"> [PMID: 30469478 DOI: 10.3390/ijms19123701]</w:t>
      </w:r>
    </w:p>
    <w:p w14:paraId="0E934B0D"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178 </w:t>
      </w:r>
      <w:r w:rsidRPr="00565259">
        <w:rPr>
          <w:rFonts w:ascii="Book Antiqua" w:hAnsi="Book Antiqua"/>
          <w:b/>
          <w:sz w:val="24"/>
          <w:szCs w:val="24"/>
        </w:rPr>
        <w:t>Xu M</w:t>
      </w:r>
      <w:r w:rsidRPr="00565259">
        <w:rPr>
          <w:rFonts w:ascii="Book Antiqua" w:hAnsi="Book Antiqua"/>
          <w:sz w:val="24"/>
          <w:szCs w:val="24"/>
        </w:rPr>
        <w:t xml:space="preserve">, Pirtskhalava T, Farr JN, Weigand BM, Palmer AK, Weivoda MM, Inman CL, Ogrodnik MB, Hachfeld CM, Fraser DG, Onken JL, Johnson KO, Verzosa GC, Langhi LGP, Weigl M, Giorgadze N, LeBrasseur NK, Miller JD, Jurk D, Singh RJ, Allison DB, Ejima K, Hubbard GB, Ikeno Y, Cubro H, Garovic VD, Hou X, Weroha SJ, Robbins PD, Niedernhofer LJ, Khosla S, Tchkonia T, Kirkland JL. Senolytics improve physical function and increase lifespan in old age. </w:t>
      </w:r>
      <w:r w:rsidRPr="00565259">
        <w:rPr>
          <w:rFonts w:ascii="Book Antiqua" w:hAnsi="Book Antiqua"/>
          <w:i/>
          <w:sz w:val="24"/>
          <w:szCs w:val="24"/>
        </w:rPr>
        <w:t>Nat Med</w:t>
      </w:r>
      <w:r w:rsidRPr="00565259">
        <w:rPr>
          <w:rFonts w:ascii="Book Antiqua" w:hAnsi="Book Antiqua"/>
          <w:sz w:val="24"/>
          <w:szCs w:val="24"/>
        </w:rPr>
        <w:t xml:space="preserve"> 2018; </w:t>
      </w:r>
      <w:r w:rsidRPr="00565259">
        <w:rPr>
          <w:rFonts w:ascii="Book Antiqua" w:hAnsi="Book Antiqua"/>
          <w:b/>
          <w:sz w:val="24"/>
          <w:szCs w:val="24"/>
        </w:rPr>
        <w:t>24</w:t>
      </w:r>
      <w:r w:rsidRPr="00565259">
        <w:rPr>
          <w:rFonts w:ascii="Book Antiqua" w:hAnsi="Book Antiqua"/>
          <w:sz w:val="24"/>
          <w:szCs w:val="24"/>
        </w:rPr>
        <w:t>: 1246-1256 [PMID: 29988130 DOI: 10.1038/s41591-018-0092-9]</w:t>
      </w:r>
    </w:p>
    <w:p w14:paraId="43B2E69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179 </w:t>
      </w:r>
      <w:r w:rsidRPr="00565259">
        <w:rPr>
          <w:rFonts w:ascii="Book Antiqua" w:hAnsi="Book Antiqua"/>
          <w:b/>
          <w:sz w:val="24"/>
          <w:szCs w:val="24"/>
        </w:rPr>
        <w:t>Farr JN</w:t>
      </w:r>
      <w:r w:rsidRPr="00565259">
        <w:rPr>
          <w:rFonts w:ascii="Book Antiqua" w:hAnsi="Book Antiqua"/>
          <w:sz w:val="24"/>
          <w:szCs w:val="24"/>
        </w:rPr>
        <w:t xml:space="preserve">, Xu M, Weivoda MM, Monroe DG, Fraser DG, Onken JL, Negley BA, Sfeir JG, Ogrodnik MB, Hachfeld CM, LeBrasseur NK, Drake MT, Pignolo RJ, Pirtskhalava T, Tchkonia T, Oursler MJ, Kirkland JL, Khosla S. Targeting cellular senescence prevents age-related bone loss in mice. </w:t>
      </w:r>
      <w:r w:rsidRPr="00565259">
        <w:rPr>
          <w:rFonts w:ascii="Book Antiqua" w:hAnsi="Book Antiqua"/>
          <w:i/>
          <w:sz w:val="24"/>
          <w:szCs w:val="24"/>
        </w:rPr>
        <w:t>Nat Med</w:t>
      </w:r>
      <w:r w:rsidRPr="00565259">
        <w:rPr>
          <w:rFonts w:ascii="Book Antiqua" w:hAnsi="Book Antiqua"/>
          <w:sz w:val="24"/>
          <w:szCs w:val="24"/>
        </w:rPr>
        <w:t xml:space="preserve"> 2017; </w:t>
      </w:r>
      <w:r w:rsidRPr="00565259">
        <w:rPr>
          <w:rFonts w:ascii="Book Antiqua" w:hAnsi="Book Antiqua"/>
          <w:b/>
          <w:sz w:val="24"/>
          <w:szCs w:val="24"/>
        </w:rPr>
        <w:t>23</w:t>
      </w:r>
      <w:r w:rsidRPr="00565259">
        <w:rPr>
          <w:rFonts w:ascii="Book Antiqua" w:hAnsi="Book Antiqua"/>
          <w:sz w:val="24"/>
          <w:szCs w:val="24"/>
        </w:rPr>
        <w:t>: 1072-1079 [PMID: 28825716 DOI: 10.1038/nm.4385]</w:t>
      </w:r>
    </w:p>
    <w:p w14:paraId="414644BE" w14:textId="7BC124F0"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180 </w:t>
      </w:r>
      <w:r w:rsidRPr="00565259">
        <w:rPr>
          <w:rFonts w:ascii="Book Antiqua" w:hAnsi="Book Antiqua"/>
          <w:b/>
          <w:sz w:val="24"/>
          <w:szCs w:val="24"/>
        </w:rPr>
        <w:t>Salminen A</w:t>
      </w:r>
      <w:r w:rsidRPr="00565259">
        <w:rPr>
          <w:rFonts w:ascii="Book Antiqua" w:hAnsi="Book Antiqua"/>
          <w:sz w:val="24"/>
          <w:szCs w:val="24"/>
        </w:rPr>
        <w:t xml:space="preserve">, Kaarniranta K, Kauppinen A. Crosstalk between Oxidative Stress and SIRT1: Impact on the Aging Process. </w:t>
      </w:r>
      <w:r w:rsidRPr="00565259">
        <w:rPr>
          <w:rFonts w:ascii="Book Antiqua" w:hAnsi="Book Antiqua"/>
          <w:i/>
          <w:sz w:val="24"/>
          <w:szCs w:val="24"/>
        </w:rPr>
        <w:t>Int J Mol Sci</w:t>
      </w:r>
      <w:r w:rsidRPr="00565259">
        <w:rPr>
          <w:rFonts w:ascii="Book Antiqua" w:hAnsi="Book Antiqua"/>
          <w:sz w:val="24"/>
          <w:szCs w:val="24"/>
        </w:rPr>
        <w:t xml:space="preserve"> 2013; </w:t>
      </w:r>
      <w:r w:rsidRPr="00565259">
        <w:rPr>
          <w:rFonts w:ascii="Book Antiqua" w:hAnsi="Book Antiqua"/>
          <w:b/>
          <w:sz w:val="24"/>
          <w:szCs w:val="24"/>
        </w:rPr>
        <w:t>14</w:t>
      </w:r>
      <w:r w:rsidRPr="00565259">
        <w:rPr>
          <w:rFonts w:ascii="Book Antiqua" w:hAnsi="Book Antiqua"/>
          <w:sz w:val="24"/>
          <w:szCs w:val="24"/>
        </w:rPr>
        <w:t>: 3834-3859 [PMID: 23434668 DOI: 10.3390/ijms14023834]</w:t>
      </w:r>
    </w:p>
    <w:p w14:paraId="3FC804D7"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181 </w:t>
      </w:r>
      <w:r w:rsidRPr="00565259">
        <w:rPr>
          <w:rFonts w:ascii="Book Antiqua" w:hAnsi="Book Antiqua"/>
          <w:b/>
          <w:sz w:val="24"/>
          <w:szCs w:val="24"/>
        </w:rPr>
        <w:t>Zainabadi K</w:t>
      </w:r>
      <w:r w:rsidRPr="00565259">
        <w:rPr>
          <w:rFonts w:ascii="Book Antiqua" w:hAnsi="Book Antiqua"/>
          <w:sz w:val="24"/>
          <w:szCs w:val="24"/>
        </w:rPr>
        <w:t xml:space="preserve">, Liu CJ, Caldwell ALM, Guarente L. SIRT1 is a positive regulator of in vivo bone mass and a therapeutic target for osteoporosis. </w:t>
      </w:r>
      <w:r w:rsidRPr="00565259">
        <w:rPr>
          <w:rFonts w:ascii="Book Antiqua" w:hAnsi="Book Antiqua"/>
          <w:i/>
          <w:sz w:val="24"/>
          <w:szCs w:val="24"/>
        </w:rPr>
        <w:t>PLoS One</w:t>
      </w:r>
      <w:r w:rsidRPr="00565259">
        <w:rPr>
          <w:rFonts w:ascii="Book Antiqua" w:hAnsi="Book Antiqua"/>
          <w:sz w:val="24"/>
          <w:szCs w:val="24"/>
        </w:rPr>
        <w:t xml:space="preserve"> 2017; </w:t>
      </w:r>
      <w:r w:rsidRPr="00565259">
        <w:rPr>
          <w:rFonts w:ascii="Book Antiqua" w:hAnsi="Book Antiqua"/>
          <w:b/>
          <w:sz w:val="24"/>
          <w:szCs w:val="24"/>
        </w:rPr>
        <w:t>12</w:t>
      </w:r>
      <w:r w:rsidRPr="00565259">
        <w:rPr>
          <w:rFonts w:ascii="Book Antiqua" w:hAnsi="Book Antiqua"/>
          <w:sz w:val="24"/>
          <w:szCs w:val="24"/>
        </w:rPr>
        <w:t>: e0185236 [PMID: 28937996 DOI: 10.1371/journal.pone.0185236]</w:t>
      </w:r>
    </w:p>
    <w:p w14:paraId="776E817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182 </w:t>
      </w:r>
      <w:r w:rsidRPr="00565259">
        <w:rPr>
          <w:rFonts w:ascii="Book Antiqua" w:hAnsi="Book Antiqua"/>
          <w:b/>
          <w:sz w:val="24"/>
          <w:szCs w:val="24"/>
        </w:rPr>
        <w:t>Rando TA</w:t>
      </w:r>
      <w:r w:rsidRPr="00565259">
        <w:rPr>
          <w:rFonts w:ascii="Book Antiqua" w:hAnsi="Book Antiqua"/>
          <w:sz w:val="24"/>
          <w:szCs w:val="24"/>
        </w:rPr>
        <w:t xml:space="preserve">, Ambrosio F. Regenerative Rehabilitation: Applied Biophysics Meets Stem Cell Therapeutics. </w:t>
      </w:r>
      <w:r w:rsidRPr="00565259">
        <w:rPr>
          <w:rFonts w:ascii="Book Antiqua" w:hAnsi="Book Antiqua"/>
          <w:i/>
          <w:sz w:val="24"/>
          <w:szCs w:val="24"/>
        </w:rPr>
        <w:t>Cell Stem Cell</w:t>
      </w:r>
      <w:r w:rsidRPr="00565259">
        <w:rPr>
          <w:rFonts w:ascii="Book Antiqua" w:hAnsi="Book Antiqua"/>
          <w:sz w:val="24"/>
          <w:szCs w:val="24"/>
        </w:rPr>
        <w:t xml:space="preserve"> 2018; </w:t>
      </w:r>
      <w:r w:rsidRPr="00565259">
        <w:rPr>
          <w:rFonts w:ascii="Book Antiqua" w:hAnsi="Book Antiqua"/>
          <w:b/>
          <w:sz w:val="24"/>
          <w:szCs w:val="24"/>
        </w:rPr>
        <w:t>22</w:t>
      </w:r>
      <w:r w:rsidRPr="00565259">
        <w:rPr>
          <w:rFonts w:ascii="Book Antiqua" w:hAnsi="Book Antiqua"/>
          <w:sz w:val="24"/>
          <w:szCs w:val="24"/>
        </w:rPr>
        <w:t>: 306-309 [PMID: 29499150 DOI: 10.1016/j.stem.2018.02.003]</w:t>
      </w:r>
    </w:p>
    <w:p w14:paraId="6568EE5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183 </w:t>
      </w:r>
      <w:r w:rsidRPr="00565259">
        <w:rPr>
          <w:rFonts w:ascii="Book Antiqua" w:hAnsi="Book Antiqua"/>
          <w:b/>
          <w:sz w:val="24"/>
          <w:szCs w:val="24"/>
        </w:rPr>
        <w:t>Thompson WR</w:t>
      </w:r>
      <w:r w:rsidRPr="00565259">
        <w:rPr>
          <w:rFonts w:ascii="Book Antiqua" w:hAnsi="Book Antiqua"/>
          <w:sz w:val="24"/>
          <w:szCs w:val="24"/>
        </w:rPr>
        <w:t xml:space="preserve">, Scott A, Loghmani MT, Ward SR, Warden SJ. Understanding Mechanobiology: Physical Therapists as a Force in Mechanotherapy and Musculoskeletal Regenerative Rehabilitation. </w:t>
      </w:r>
      <w:r w:rsidRPr="00565259">
        <w:rPr>
          <w:rFonts w:ascii="Book Antiqua" w:hAnsi="Book Antiqua"/>
          <w:i/>
          <w:sz w:val="24"/>
          <w:szCs w:val="24"/>
        </w:rPr>
        <w:t>Phys Ther</w:t>
      </w:r>
      <w:r w:rsidRPr="00565259">
        <w:rPr>
          <w:rFonts w:ascii="Book Antiqua" w:hAnsi="Book Antiqua"/>
          <w:sz w:val="24"/>
          <w:szCs w:val="24"/>
        </w:rPr>
        <w:t xml:space="preserve"> 2016; </w:t>
      </w:r>
      <w:r w:rsidRPr="00565259">
        <w:rPr>
          <w:rFonts w:ascii="Book Antiqua" w:hAnsi="Book Antiqua"/>
          <w:b/>
          <w:sz w:val="24"/>
          <w:szCs w:val="24"/>
        </w:rPr>
        <w:t>96</w:t>
      </w:r>
      <w:r w:rsidRPr="00565259">
        <w:rPr>
          <w:rFonts w:ascii="Book Antiqua" w:hAnsi="Book Antiqua"/>
          <w:sz w:val="24"/>
          <w:szCs w:val="24"/>
        </w:rPr>
        <w:t>: 560-569 [PMID: 26637643 DOI: 10.2522/ptj.20150224]</w:t>
      </w:r>
    </w:p>
    <w:p w14:paraId="058C909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184 </w:t>
      </w:r>
      <w:r w:rsidRPr="00565259">
        <w:rPr>
          <w:rFonts w:ascii="Book Antiqua" w:hAnsi="Book Antiqua"/>
          <w:b/>
          <w:sz w:val="24"/>
          <w:szCs w:val="24"/>
        </w:rPr>
        <w:t>Rose LF</w:t>
      </w:r>
      <w:r w:rsidRPr="00565259">
        <w:rPr>
          <w:rFonts w:ascii="Book Antiqua" w:hAnsi="Book Antiqua"/>
          <w:sz w:val="24"/>
          <w:szCs w:val="24"/>
        </w:rPr>
        <w:t xml:space="preserve">, Wolf EJ, Brindle T, Cernich A, Dean WK, Dearth CL, Grimm M, Kusiak A, Nitkin R, Potter K, Randolph BJ, Wang F, Yamaguchi D. The convergence of regenerative medicine and rehabilitation: federal perspectives. </w:t>
      </w:r>
      <w:r w:rsidRPr="00565259">
        <w:rPr>
          <w:rFonts w:ascii="Book Antiqua" w:hAnsi="Book Antiqua"/>
          <w:i/>
          <w:sz w:val="24"/>
          <w:szCs w:val="24"/>
        </w:rPr>
        <w:t>NPJ Regen Med</w:t>
      </w:r>
      <w:r w:rsidRPr="00565259">
        <w:rPr>
          <w:rFonts w:ascii="Book Antiqua" w:hAnsi="Book Antiqua"/>
          <w:sz w:val="24"/>
          <w:szCs w:val="24"/>
        </w:rPr>
        <w:t xml:space="preserve"> 2018; </w:t>
      </w:r>
      <w:r w:rsidRPr="00565259">
        <w:rPr>
          <w:rFonts w:ascii="Book Antiqua" w:hAnsi="Book Antiqua"/>
          <w:b/>
          <w:sz w:val="24"/>
          <w:szCs w:val="24"/>
        </w:rPr>
        <w:t>3</w:t>
      </w:r>
      <w:r w:rsidRPr="00565259">
        <w:rPr>
          <w:rFonts w:ascii="Book Antiqua" w:hAnsi="Book Antiqua"/>
          <w:sz w:val="24"/>
          <w:szCs w:val="24"/>
        </w:rPr>
        <w:t>: 19 [PMID: 30323950 DOI: 10.1038/s41536-018-0056-1]</w:t>
      </w:r>
    </w:p>
    <w:p w14:paraId="7C93DCE6"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185 </w:t>
      </w:r>
      <w:r w:rsidRPr="00565259">
        <w:rPr>
          <w:rFonts w:ascii="Book Antiqua" w:hAnsi="Book Antiqua"/>
          <w:b/>
          <w:sz w:val="24"/>
          <w:szCs w:val="24"/>
        </w:rPr>
        <w:t>Sarraf CE</w:t>
      </w:r>
      <w:r w:rsidRPr="00565259">
        <w:rPr>
          <w:rFonts w:ascii="Book Antiqua" w:hAnsi="Book Antiqua"/>
          <w:sz w:val="24"/>
          <w:szCs w:val="24"/>
        </w:rPr>
        <w:t xml:space="preserve">, Otto WR, Eastwood M. In vitro mesenchymal stem cell differentiation after mechanical stimulation. </w:t>
      </w:r>
      <w:r w:rsidRPr="00565259">
        <w:rPr>
          <w:rFonts w:ascii="Book Antiqua" w:hAnsi="Book Antiqua"/>
          <w:i/>
          <w:sz w:val="24"/>
          <w:szCs w:val="24"/>
        </w:rPr>
        <w:t>Cell Prolif</w:t>
      </w:r>
      <w:r w:rsidRPr="00565259">
        <w:rPr>
          <w:rFonts w:ascii="Book Antiqua" w:hAnsi="Book Antiqua"/>
          <w:sz w:val="24"/>
          <w:szCs w:val="24"/>
        </w:rPr>
        <w:t xml:space="preserve"> 2011; </w:t>
      </w:r>
      <w:r w:rsidRPr="00565259">
        <w:rPr>
          <w:rFonts w:ascii="Book Antiqua" w:hAnsi="Book Antiqua"/>
          <w:b/>
          <w:sz w:val="24"/>
          <w:szCs w:val="24"/>
        </w:rPr>
        <w:t>44</w:t>
      </w:r>
      <w:r w:rsidRPr="00565259">
        <w:rPr>
          <w:rFonts w:ascii="Book Antiqua" w:hAnsi="Book Antiqua"/>
          <w:sz w:val="24"/>
          <w:szCs w:val="24"/>
        </w:rPr>
        <w:t>: 99-108 [PMID: 21199014 DOI: 10.1111/j.1365-2184.2010.00740.x]</w:t>
      </w:r>
    </w:p>
    <w:p w14:paraId="4F8E60E9"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186 </w:t>
      </w:r>
      <w:r w:rsidRPr="00565259">
        <w:rPr>
          <w:rFonts w:ascii="Book Antiqua" w:hAnsi="Book Antiqua"/>
          <w:b/>
          <w:sz w:val="24"/>
          <w:szCs w:val="24"/>
        </w:rPr>
        <w:t>Sittichokechaiwut A</w:t>
      </w:r>
      <w:r w:rsidRPr="00565259">
        <w:rPr>
          <w:rFonts w:ascii="Book Antiqua" w:hAnsi="Book Antiqua"/>
          <w:sz w:val="24"/>
          <w:szCs w:val="24"/>
        </w:rPr>
        <w:t xml:space="preserve">, Edwards JH, Scutt AM, Reilly GC. Short bouts of mechanical loading are as effective as dexamethasone at inducing matrix production by human bone marrow mesenchymal stem cell. </w:t>
      </w:r>
      <w:r w:rsidRPr="00565259">
        <w:rPr>
          <w:rFonts w:ascii="Book Antiqua" w:hAnsi="Book Antiqua"/>
          <w:i/>
          <w:sz w:val="24"/>
          <w:szCs w:val="24"/>
        </w:rPr>
        <w:t>Eur Cell Mater</w:t>
      </w:r>
      <w:r w:rsidRPr="00565259">
        <w:rPr>
          <w:rFonts w:ascii="Book Antiqua" w:hAnsi="Book Antiqua"/>
          <w:sz w:val="24"/>
          <w:szCs w:val="24"/>
        </w:rPr>
        <w:t xml:space="preserve"> 2010; </w:t>
      </w:r>
      <w:r w:rsidRPr="00565259">
        <w:rPr>
          <w:rFonts w:ascii="Book Antiqua" w:hAnsi="Book Antiqua"/>
          <w:b/>
          <w:sz w:val="24"/>
          <w:szCs w:val="24"/>
        </w:rPr>
        <w:t>20</w:t>
      </w:r>
      <w:r w:rsidRPr="00565259">
        <w:rPr>
          <w:rFonts w:ascii="Book Antiqua" w:hAnsi="Book Antiqua"/>
          <w:sz w:val="24"/>
          <w:szCs w:val="24"/>
        </w:rPr>
        <w:t>: 45-57 [PMID: 20648425 DOI: 10.22203/eCM.v020a05]</w:t>
      </w:r>
    </w:p>
    <w:p w14:paraId="2428A024"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187 </w:t>
      </w:r>
      <w:r w:rsidRPr="00565259">
        <w:rPr>
          <w:rFonts w:ascii="Book Antiqua" w:hAnsi="Book Antiqua"/>
          <w:b/>
          <w:sz w:val="24"/>
          <w:szCs w:val="24"/>
        </w:rPr>
        <w:t>Witt F</w:t>
      </w:r>
      <w:r w:rsidRPr="00565259">
        <w:rPr>
          <w:rFonts w:ascii="Book Antiqua" w:hAnsi="Book Antiqua"/>
          <w:sz w:val="24"/>
          <w:szCs w:val="24"/>
        </w:rPr>
        <w:t xml:space="preserve">, Duda GN, Bergmann C, Petersen A. Cyclic mechanical loading enables solute transport and oxygen supply in bone healing: an in vitro investigation. </w:t>
      </w:r>
      <w:r w:rsidRPr="00565259">
        <w:rPr>
          <w:rFonts w:ascii="Book Antiqua" w:hAnsi="Book Antiqua"/>
          <w:i/>
          <w:sz w:val="24"/>
          <w:szCs w:val="24"/>
        </w:rPr>
        <w:t>Tissue Eng Part A</w:t>
      </w:r>
      <w:r w:rsidRPr="00565259">
        <w:rPr>
          <w:rFonts w:ascii="Book Antiqua" w:hAnsi="Book Antiqua"/>
          <w:sz w:val="24"/>
          <w:szCs w:val="24"/>
        </w:rPr>
        <w:t xml:space="preserve"> 2014; </w:t>
      </w:r>
      <w:r w:rsidRPr="00565259">
        <w:rPr>
          <w:rFonts w:ascii="Book Antiqua" w:hAnsi="Book Antiqua"/>
          <w:b/>
          <w:sz w:val="24"/>
          <w:szCs w:val="24"/>
        </w:rPr>
        <w:t>20</w:t>
      </w:r>
      <w:r w:rsidRPr="00565259">
        <w:rPr>
          <w:rFonts w:ascii="Book Antiqua" w:hAnsi="Book Antiqua"/>
          <w:sz w:val="24"/>
          <w:szCs w:val="24"/>
        </w:rPr>
        <w:t>: 486-493 [PMID: 24125527 DOI: 10.1089/ten.TEA.2012.0678]</w:t>
      </w:r>
    </w:p>
    <w:p w14:paraId="4594423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188 </w:t>
      </w:r>
      <w:r w:rsidRPr="00565259">
        <w:rPr>
          <w:rFonts w:ascii="Book Antiqua" w:hAnsi="Book Antiqua"/>
          <w:b/>
          <w:sz w:val="24"/>
          <w:szCs w:val="24"/>
        </w:rPr>
        <w:t>Boerckel JD</w:t>
      </w:r>
      <w:r w:rsidRPr="00565259">
        <w:rPr>
          <w:rFonts w:ascii="Book Antiqua" w:hAnsi="Book Antiqua"/>
          <w:sz w:val="24"/>
          <w:szCs w:val="24"/>
        </w:rPr>
        <w:t xml:space="preserve">, Kolambkar YM, Stevens HY, Lin AS, Dupont KM, Guldberg RE. Effects of in vivo mechanical loading on large bone defect regeneration. </w:t>
      </w:r>
      <w:r w:rsidRPr="00565259">
        <w:rPr>
          <w:rFonts w:ascii="Book Antiqua" w:hAnsi="Book Antiqua"/>
          <w:i/>
          <w:sz w:val="24"/>
          <w:szCs w:val="24"/>
        </w:rPr>
        <w:t>J Orthop Res</w:t>
      </w:r>
      <w:r w:rsidRPr="00565259">
        <w:rPr>
          <w:rFonts w:ascii="Book Antiqua" w:hAnsi="Book Antiqua"/>
          <w:sz w:val="24"/>
          <w:szCs w:val="24"/>
        </w:rPr>
        <w:t xml:space="preserve"> 2012; </w:t>
      </w:r>
      <w:r w:rsidRPr="00565259">
        <w:rPr>
          <w:rFonts w:ascii="Book Antiqua" w:hAnsi="Book Antiqua"/>
          <w:b/>
          <w:sz w:val="24"/>
          <w:szCs w:val="24"/>
        </w:rPr>
        <w:t>30</w:t>
      </w:r>
      <w:r w:rsidRPr="00565259">
        <w:rPr>
          <w:rFonts w:ascii="Book Antiqua" w:hAnsi="Book Antiqua"/>
          <w:sz w:val="24"/>
          <w:szCs w:val="24"/>
        </w:rPr>
        <w:t>: 1067-1075 [PMID: 22170172 DOI: 10.1002/jor.22042]</w:t>
      </w:r>
    </w:p>
    <w:p w14:paraId="63BD4093"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189 </w:t>
      </w:r>
      <w:r w:rsidRPr="00565259">
        <w:rPr>
          <w:rFonts w:ascii="Book Antiqua" w:hAnsi="Book Antiqua"/>
          <w:b/>
          <w:sz w:val="24"/>
          <w:szCs w:val="24"/>
        </w:rPr>
        <w:t>Wang Y</w:t>
      </w:r>
      <w:r w:rsidRPr="00565259">
        <w:rPr>
          <w:rFonts w:ascii="Book Antiqua" w:hAnsi="Book Antiqua"/>
          <w:sz w:val="24"/>
          <w:szCs w:val="24"/>
        </w:rPr>
        <w:t xml:space="preserve">, Wang M, Chen H, Li G, Li W, Luo J, Li H. Early Out-of-Bed Functional Exercise Benefits Elderly Patients Following Hip Fracture: A Retrospective Cohort Study. </w:t>
      </w:r>
      <w:r w:rsidRPr="00565259">
        <w:rPr>
          <w:rFonts w:ascii="Book Antiqua" w:hAnsi="Book Antiqua"/>
          <w:i/>
          <w:sz w:val="24"/>
          <w:szCs w:val="24"/>
        </w:rPr>
        <w:t>Tohoku J Exp Med</w:t>
      </w:r>
      <w:r w:rsidRPr="00565259">
        <w:rPr>
          <w:rFonts w:ascii="Book Antiqua" w:hAnsi="Book Antiqua"/>
          <w:sz w:val="24"/>
          <w:szCs w:val="24"/>
        </w:rPr>
        <w:t xml:space="preserve"> 2018; </w:t>
      </w:r>
      <w:r w:rsidRPr="00565259">
        <w:rPr>
          <w:rFonts w:ascii="Book Antiqua" w:hAnsi="Book Antiqua"/>
          <w:b/>
          <w:sz w:val="24"/>
          <w:szCs w:val="24"/>
        </w:rPr>
        <w:t>246</w:t>
      </w:r>
      <w:r w:rsidRPr="00565259">
        <w:rPr>
          <w:rFonts w:ascii="Book Antiqua" w:hAnsi="Book Antiqua"/>
          <w:sz w:val="24"/>
          <w:szCs w:val="24"/>
        </w:rPr>
        <w:t>: 205-212 [PMID: 30518730 DOI: 10.1620/tjem.246.205]</w:t>
      </w:r>
    </w:p>
    <w:p w14:paraId="6E632642"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190 </w:t>
      </w:r>
      <w:r w:rsidRPr="00565259">
        <w:rPr>
          <w:rFonts w:ascii="Book Antiqua" w:hAnsi="Book Antiqua"/>
          <w:b/>
          <w:sz w:val="24"/>
          <w:szCs w:val="24"/>
        </w:rPr>
        <w:t>Siu AL</w:t>
      </w:r>
      <w:r w:rsidRPr="00565259">
        <w:rPr>
          <w:rFonts w:ascii="Book Antiqua" w:hAnsi="Book Antiqua"/>
          <w:sz w:val="24"/>
          <w:szCs w:val="24"/>
        </w:rPr>
        <w:t xml:space="preserve">, Penrod JD, Boockvar KS, Koval K, Strauss E, Morrison RS. Early ambulation after hip fracture: effects on function and mortality. </w:t>
      </w:r>
      <w:r w:rsidRPr="00565259">
        <w:rPr>
          <w:rFonts w:ascii="Book Antiqua" w:hAnsi="Book Antiqua"/>
          <w:i/>
          <w:sz w:val="24"/>
          <w:szCs w:val="24"/>
        </w:rPr>
        <w:t>Arch Intern Med</w:t>
      </w:r>
      <w:r w:rsidRPr="00565259">
        <w:rPr>
          <w:rFonts w:ascii="Book Antiqua" w:hAnsi="Book Antiqua"/>
          <w:sz w:val="24"/>
          <w:szCs w:val="24"/>
        </w:rPr>
        <w:t xml:space="preserve"> 2006; </w:t>
      </w:r>
      <w:r w:rsidRPr="00565259">
        <w:rPr>
          <w:rFonts w:ascii="Book Antiqua" w:hAnsi="Book Antiqua"/>
          <w:b/>
          <w:sz w:val="24"/>
          <w:szCs w:val="24"/>
        </w:rPr>
        <w:t>166</w:t>
      </w:r>
      <w:r w:rsidRPr="00565259">
        <w:rPr>
          <w:rFonts w:ascii="Book Antiqua" w:hAnsi="Book Antiqua"/>
          <w:sz w:val="24"/>
          <w:szCs w:val="24"/>
        </w:rPr>
        <w:t>: 766-771 [PMID: 16606814 DOI: 10.1001/archinte.166.7.766]</w:t>
      </w:r>
    </w:p>
    <w:p w14:paraId="6CBFB087" w14:textId="4E3AAD69"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191 </w:t>
      </w:r>
      <w:r w:rsidRPr="00565259">
        <w:rPr>
          <w:rFonts w:ascii="Book Antiqua" w:hAnsi="Book Antiqua"/>
          <w:b/>
          <w:sz w:val="24"/>
          <w:szCs w:val="24"/>
        </w:rPr>
        <w:t>Chen J</w:t>
      </w:r>
      <w:r w:rsidRPr="00565259">
        <w:rPr>
          <w:rFonts w:ascii="Book Antiqua" w:hAnsi="Book Antiqua"/>
          <w:sz w:val="24"/>
          <w:szCs w:val="24"/>
        </w:rPr>
        <w:t xml:space="preserve">, Ruan H, Liu Y, Bao J, Xu H, Yao M, Cui X, Liang Q, Wang Y. Therapeutic effects of whole-body vibration on fracture healing in ovariectomized rats: a systematic review and meta-analysis. </w:t>
      </w:r>
      <w:r w:rsidRPr="00565259">
        <w:rPr>
          <w:rFonts w:ascii="Book Antiqua" w:hAnsi="Book Antiqua"/>
          <w:i/>
          <w:sz w:val="24"/>
          <w:szCs w:val="24"/>
        </w:rPr>
        <w:t>Menopause</w:t>
      </w:r>
      <w:r w:rsidRPr="00565259">
        <w:rPr>
          <w:rFonts w:ascii="Book Antiqua" w:hAnsi="Book Antiqua"/>
          <w:sz w:val="24"/>
          <w:szCs w:val="24"/>
        </w:rPr>
        <w:t xml:space="preserve"> 2018 [PMID: 30562321 DOI: 10.1097/GME.0000000000001285]</w:t>
      </w:r>
    </w:p>
    <w:p w14:paraId="10E4234E"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192 </w:t>
      </w:r>
      <w:r w:rsidRPr="00565259">
        <w:rPr>
          <w:rFonts w:ascii="Book Antiqua" w:hAnsi="Book Antiqua"/>
          <w:b/>
          <w:sz w:val="24"/>
          <w:szCs w:val="24"/>
        </w:rPr>
        <w:t>Wang J</w:t>
      </w:r>
      <w:r w:rsidRPr="00565259">
        <w:rPr>
          <w:rFonts w:ascii="Book Antiqua" w:hAnsi="Book Antiqua"/>
          <w:sz w:val="24"/>
          <w:szCs w:val="24"/>
        </w:rPr>
        <w:t xml:space="preserve">, Leung KS, Chow SK, Cheung WH. The effect of whole body vibration on fracture healing - a systematic review. </w:t>
      </w:r>
      <w:r w:rsidRPr="00565259">
        <w:rPr>
          <w:rFonts w:ascii="Book Antiqua" w:hAnsi="Book Antiqua"/>
          <w:i/>
          <w:sz w:val="24"/>
          <w:szCs w:val="24"/>
        </w:rPr>
        <w:t>Eur Cell Mater</w:t>
      </w:r>
      <w:r w:rsidRPr="00565259">
        <w:rPr>
          <w:rFonts w:ascii="Book Antiqua" w:hAnsi="Book Antiqua"/>
          <w:sz w:val="24"/>
          <w:szCs w:val="24"/>
        </w:rPr>
        <w:t xml:space="preserve"> 2017; </w:t>
      </w:r>
      <w:r w:rsidRPr="00565259">
        <w:rPr>
          <w:rFonts w:ascii="Book Antiqua" w:hAnsi="Book Antiqua"/>
          <w:b/>
          <w:sz w:val="24"/>
          <w:szCs w:val="24"/>
        </w:rPr>
        <w:t>34</w:t>
      </w:r>
      <w:r w:rsidRPr="00565259">
        <w:rPr>
          <w:rFonts w:ascii="Book Antiqua" w:hAnsi="Book Antiqua"/>
          <w:sz w:val="24"/>
          <w:szCs w:val="24"/>
        </w:rPr>
        <w:t>: 108-127 [PMID: 28880360 DOI: 10.22203/eCM.v034a08]</w:t>
      </w:r>
    </w:p>
    <w:p w14:paraId="1B2B2F5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193 </w:t>
      </w:r>
      <w:r w:rsidRPr="00565259">
        <w:rPr>
          <w:rFonts w:ascii="Book Antiqua" w:hAnsi="Book Antiqua"/>
          <w:b/>
          <w:sz w:val="24"/>
          <w:szCs w:val="24"/>
        </w:rPr>
        <w:t>Haffner-Luntzer M</w:t>
      </w:r>
      <w:r w:rsidRPr="00565259">
        <w:rPr>
          <w:rFonts w:ascii="Book Antiqua" w:hAnsi="Book Antiqua"/>
          <w:sz w:val="24"/>
          <w:szCs w:val="24"/>
        </w:rPr>
        <w:t xml:space="preserve">, Kovtun A, Lackner I, Mödinger Y, Hacker S, Liedert A, Tuckermann J, Ignatius A. Estrogen receptor α- (ERα), but not ERβ-signaling, is crucially involved in mechanostimulation of bone fracture healing by whole-body vibration. </w:t>
      </w:r>
      <w:r w:rsidRPr="00565259">
        <w:rPr>
          <w:rFonts w:ascii="Book Antiqua" w:hAnsi="Book Antiqua"/>
          <w:i/>
          <w:sz w:val="24"/>
          <w:szCs w:val="24"/>
        </w:rPr>
        <w:t>Bone</w:t>
      </w:r>
      <w:r w:rsidRPr="00565259">
        <w:rPr>
          <w:rFonts w:ascii="Book Antiqua" w:hAnsi="Book Antiqua"/>
          <w:sz w:val="24"/>
          <w:szCs w:val="24"/>
        </w:rPr>
        <w:t xml:space="preserve"> 2018; </w:t>
      </w:r>
      <w:r w:rsidRPr="00565259">
        <w:rPr>
          <w:rFonts w:ascii="Book Antiqua" w:hAnsi="Book Antiqua"/>
          <w:b/>
          <w:sz w:val="24"/>
          <w:szCs w:val="24"/>
        </w:rPr>
        <w:t>110</w:t>
      </w:r>
      <w:r w:rsidRPr="00565259">
        <w:rPr>
          <w:rFonts w:ascii="Book Antiqua" w:hAnsi="Book Antiqua"/>
          <w:sz w:val="24"/>
          <w:szCs w:val="24"/>
        </w:rPr>
        <w:t>: 11-20 [PMID: 29367057 DOI: 10.1016/j.bone.2018.01.017]</w:t>
      </w:r>
    </w:p>
    <w:p w14:paraId="62C40BCC"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194 </w:t>
      </w:r>
      <w:r w:rsidRPr="00565259">
        <w:rPr>
          <w:rFonts w:ascii="Book Antiqua" w:hAnsi="Book Antiqua"/>
          <w:b/>
          <w:sz w:val="24"/>
          <w:szCs w:val="24"/>
        </w:rPr>
        <w:t>Ozcivici E</w:t>
      </w:r>
      <w:r w:rsidRPr="00565259">
        <w:rPr>
          <w:rFonts w:ascii="Book Antiqua" w:hAnsi="Book Antiqua"/>
          <w:sz w:val="24"/>
          <w:szCs w:val="24"/>
        </w:rPr>
        <w:t xml:space="preserve">, Luu YK, Rubin CT, Judex S. Low-level vibrations retain bone marrow's osteogenic potential and augment recovery of trabecular bone during reambulation. </w:t>
      </w:r>
      <w:r w:rsidRPr="00565259">
        <w:rPr>
          <w:rFonts w:ascii="Book Antiqua" w:hAnsi="Book Antiqua"/>
          <w:i/>
          <w:sz w:val="24"/>
          <w:szCs w:val="24"/>
        </w:rPr>
        <w:t>PLoS One</w:t>
      </w:r>
      <w:r w:rsidRPr="00565259">
        <w:rPr>
          <w:rFonts w:ascii="Book Antiqua" w:hAnsi="Book Antiqua"/>
          <w:sz w:val="24"/>
          <w:szCs w:val="24"/>
        </w:rPr>
        <w:t xml:space="preserve"> 2010; </w:t>
      </w:r>
      <w:r w:rsidRPr="00565259">
        <w:rPr>
          <w:rFonts w:ascii="Book Antiqua" w:hAnsi="Book Antiqua"/>
          <w:b/>
          <w:sz w:val="24"/>
          <w:szCs w:val="24"/>
        </w:rPr>
        <w:t>5</w:t>
      </w:r>
      <w:r w:rsidRPr="00565259">
        <w:rPr>
          <w:rFonts w:ascii="Book Antiqua" w:hAnsi="Book Antiqua"/>
          <w:sz w:val="24"/>
          <w:szCs w:val="24"/>
        </w:rPr>
        <w:t>: e11178 [PMID: 20567514 DOI: 10.1371/journal.pone.0011178]</w:t>
      </w:r>
    </w:p>
    <w:p w14:paraId="1605803B"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195 </w:t>
      </w:r>
      <w:r w:rsidRPr="00565259">
        <w:rPr>
          <w:rFonts w:ascii="Book Antiqua" w:hAnsi="Book Antiqua"/>
          <w:b/>
          <w:sz w:val="24"/>
          <w:szCs w:val="24"/>
        </w:rPr>
        <w:t>Meng J</w:t>
      </w:r>
      <w:r w:rsidRPr="00565259">
        <w:rPr>
          <w:rFonts w:ascii="Book Antiqua" w:hAnsi="Book Antiqua"/>
          <w:sz w:val="24"/>
          <w:szCs w:val="24"/>
        </w:rPr>
        <w:t xml:space="preserve">, Hong J, Zhao C, Zhou C, Hu B, Yang Y, Jiang G, Li S, Shi Z, Cai X, Yan S. Low-intensity pulsed ultrasound inhibits RANKL-induced osteoclast formation via modulating ERK-c-Fos-NFATc1 signaling cascades. </w:t>
      </w:r>
      <w:r w:rsidRPr="00565259">
        <w:rPr>
          <w:rFonts w:ascii="Book Antiqua" w:hAnsi="Book Antiqua"/>
          <w:i/>
          <w:sz w:val="24"/>
          <w:szCs w:val="24"/>
        </w:rPr>
        <w:t>Am J Transl Res</w:t>
      </w:r>
      <w:r w:rsidRPr="00565259">
        <w:rPr>
          <w:rFonts w:ascii="Book Antiqua" w:hAnsi="Book Antiqua"/>
          <w:sz w:val="24"/>
          <w:szCs w:val="24"/>
        </w:rPr>
        <w:t xml:space="preserve"> 2018; </w:t>
      </w:r>
      <w:r w:rsidRPr="00565259">
        <w:rPr>
          <w:rFonts w:ascii="Book Antiqua" w:hAnsi="Book Antiqua"/>
          <w:b/>
          <w:sz w:val="24"/>
          <w:szCs w:val="24"/>
        </w:rPr>
        <w:t>10</w:t>
      </w:r>
      <w:r w:rsidRPr="00565259">
        <w:rPr>
          <w:rFonts w:ascii="Book Antiqua" w:hAnsi="Book Antiqua"/>
          <w:sz w:val="24"/>
          <w:szCs w:val="24"/>
        </w:rPr>
        <w:t>: 2901-2910 [PMID: 30323876]</w:t>
      </w:r>
    </w:p>
    <w:p w14:paraId="6C151938"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196 </w:t>
      </w:r>
      <w:r w:rsidRPr="00565259">
        <w:rPr>
          <w:rFonts w:ascii="Book Antiqua" w:hAnsi="Book Antiqua"/>
          <w:b/>
          <w:sz w:val="24"/>
          <w:szCs w:val="24"/>
        </w:rPr>
        <w:t>Kusuyama J</w:t>
      </w:r>
      <w:r w:rsidRPr="00565259">
        <w:rPr>
          <w:rFonts w:ascii="Book Antiqua" w:hAnsi="Book Antiqua"/>
          <w:sz w:val="24"/>
          <w:szCs w:val="24"/>
        </w:rPr>
        <w:t xml:space="preserve">, Bandow K, Shamoto M, Kakimoto K, Ohnishi T, Matsuguchi T. Low intensity pulsed ultrasound (LIPUS) influences the multilineage differentiation of mesenchymal stem and progenitor cell lines through ROCK-Cot/Tpl2-MEK-ERK signaling pathway. </w:t>
      </w:r>
      <w:r w:rsidRPr="00565259">
        <w:rPr>
          <w:rFonts w:ascii="Book Antiqua" w:hAnsi="Book Antiqua"/>
          <w:i/>
          <w:sz w:val="24"/>
          <w:szCs w:val="24"/>
        </w:rPr>
        <w:t>J Biol Chem</w:t>
      </w:r>
      <w:r w:rsidRPr="00565259">
        <w:rPr>
          <w:rFonts w:ascii="Book Antiqua" w:hAnsi="Book Antiqua"/>
          <w:sz w:val="24"/>
          <w:szCs w:val="24"/>
        </w:rPr>
        <w:t xml:space="preserve"> 2014; </w:t>
      </w:r>
      <w:r w:rsidRPr="00565259">
        <w:rPr>
          <w:rFonts w:ascii="Book Antiqua" w:hAnsi="Book Antiqua"/>
          <w:b/>
          <w:sz w:val="24"/>
          <w:szCs w:val="24"/>
        </w:rPr>
        <w:t>289</w:t>
      </w:r>
      <w:r w:rsidRPr="00565259">
        <w:rPr>
          <w:rFonts w:ascii="Book Antiqua" w:hAnsi="Book Antiqua"/>
          <w:sz w:val="24"/>
          <w:szCs w:val="24"/>
        </w:rPr>
        <w:t>: 10330-10344 [PMID: 24550383 DOI: 10.1074/jbc.M113.546382]</w:t>
      </w:r>
    </w:p>
    <w:p w14:paraId="0075659F" w14:textId="77777777"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197 </w:t>
      </w:r>
      <w:r w:rsidRPr="00565259">
        <w:rPr>
          <w:rFonts w:ascii="Book Antiqua" w:hAnsi="Book Antiqua"/>
          <w:b/>
          <w:sz w:val="24"/>
          <w:szCs w:val="24"/>
        </w:rPr>
        <w:t>Costa V</w:t>
      </w:r>
      <w:r w:rsidRPr="00565259">
        <w:rPr>
          <w:rFonts w:ascii="Book Antiqua" w:hAnsi="Book Antiqua"/>
          <w:sz w:val="24"/>
          <w:szCs w:val="24"/>
        </w:rPr>
        <w:t xml:space="preserve">, Carina V, Fontana S, De Luca A, Monteleone F, Pagani S, Sartori M, Setti S, Faldini C, Alessandro R, Fini M, Giavaresi G. Osteogenic commitment and differentiation of human mesenchymal stem cells by low-intensity pulsed ultrasound stimulation. </w:t>
      </w:r>
      <w:r w:rsidRPr="00565259">
        <w:rPr>
          <w:rFonts w:ascii="Book Antiqua" w:hAnsi="Book Antiqua"/>
          <w:i/>
          <w:sz w:val="24"/>
          <w:szCs w:val="24"/>
        </w:rPr>
        <w:t>J Cell Physiol</w:t>
      </w:r>
      <w:r w:rsidRPr="00565259">
        <w:rPr>
          <w:rFonts w:ascii="Book Antiqua" w:hAnsi="Book Antiqua"/>
          <w:sz w:val="24"/>
          <w:szCs w:val="24"/>
        </w:rPr>
        <w:t xml:space="preserve"> 2018; </w:t>
      </w:r>
      <w:r w:rsidRPr="00565259">
        <w:rPr>
          <w:rFonts w:ascii="Book Antiqua" w:hAnsi="Book Antiqua"/>
          <w:b/>
          <w:sz w:val="24"/>
          <w:szCs w:val="24"/>
        </w:rPr>
        <w:t>233</w:t>
      </w:r>
      <w:r w:rsidRPr="00565259">
        <w:rPr>
          <w:rFonts w:ascii="Book Antiqua" w:hAnsi="Book Antiqua"/>
          <w:sz w:val="24"/>
          <w:szCs w:val="24"/>
        </w:rPr>
        <w:t>: 1558-1573 [PMID: 28621452 DOI: 10.1002/jcp.26058]</w:t>
      </w:r>
    </w:p>
    <w:p w14:paraId="32C82402" w14:textId="1013FB3A"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198 </w:t>
      </w:r>
      <w:r w:rsidRPr="00565259">
        <w:rPr>
          <w:rFonts w:ascii="Book Antiqua" w:hAnsi="Book Antiqua"/>
          <w:b/>
          <w:sz w:val="24"/>
          <w:szCs w:val="24"/>
        </w:rPr>
        <w:t>Rutten S</w:t>
      </w:r>
      <w:r w:rsidRPr="00565259">
        <w:rPr>
          <w:rFonts w:ascii="Book Antiqua" w:hAnsi="Book Antiqua"/>
          <w:sz w:val="24"/>
          <w:szCs w:val="24"/>
        </w:rPr>
        <w:t xml:space="preserve">, van den Bekerom MP, Sierevelt IN, Nolte PA. Enhancement of Bone-Healing by Low-Intensity Pulsed Ultrasound: A Systematic Review. </w:t>
      </w:r>
      <w:r w:rsidRPr="00565259">
        <w:rPr>
          <w:rFonts w:ascii="Book Antiqua" w:hAnsi="Book Antiqua"/>
          <w:i/>
          <w:sz w:val="24"/>
          <w:szCs w:val="24"/>
        </w:rPr>
        <w:t>JBJS Rev</w:t>
      </w:r>
      <w:r w:rsidRPr="00565259">
        <w:rPr>
          <w:rFonts w:ascii="Book Antiqua" w:hAnsi="Book Antiqua"/>
          <w:sz w:val="24"/>
          <w:szCs w:val="24"/>
        </w:rPr>
        <w:t xml:space="preserve"> 2016; </w:t>
      </w:r>
      <w:r w:rsidRPr="00565259">
        <w:rPr>
          <w:rFonts w:ascii="Book Antiqua" w:hAnsi="Book Antiqua"/>
          <w:b/>
          <w:sz w:val="24"/>
          <w:szCs w:val="24"/>
        </w:rPr>
        <w:t>4</w:t>
      </w:r>
      <w:r w:rsidR="00C17406" w:rsidRPr="00565259">
        <w:rPr>
          <w:rFonts w:ascii="Book Antiqua" w:hAnsi="Book Antiqua"/>
          <w:sz w:val="24"/>
          <w:szCs w:val="24"/>
        </w:rPr>
        <w:t xml:space="preserve"> </w:t>
      </w:r>
      <w:r w:rsidRPr="00565259">
        <w:rPr>
          <w:rFonts w:ascii="Book Antiqua" w:hAnsi="Book Antiqua"/>
          <w:sz w:val="24"/>
          <w:szCs w:val="24"/>
        </w:rPr>
        <w:t>[PMID: 27500435 DOI: 10.2106/JBJS.RVW.O.00027]</w:t>
      </w:r>
    </w:p>
    <w:p w14:paraId="431A30C0" w14:textId="2CEE1D28" w:rsidR="00E94BB9" w:rsidRPr="00565259" w:rsidRDefault="00E94BB9" w:rsidP="00B83DB9">
      <w:pPr>
        <w:spacing w:after="0" w:line="360" w:lineRule="auto"/>
        <w:jc w:val="both"/>
        <w:rPr>
          <w:rFonts w:ascii="Book Antiqua" w:hAnsi="Book Antiqua"/>
          <w:sz w:val="24"/>
          <w:szCs w:val="24"/>
        </w:rPr>
      </w:pPr>
      <w:r w:rsidRPr="00565259">
        <w:rPr>
          <w:rFonts w:ascii="Book Antiqua" w:hAnsi="Book Antiqua"/>
          <w:sz w:val="24"/>
          <w:szCs w:val="24"/>
        </w:rPr>
        <w:t xml:space="preserve">199 </w:t>
      </w:r>
      <w:r w:rsidRPr="00565259">
        <w:rPr>
          <w:rFonts w:ascii="Book Antiqua" w:hAnsi="Book Antiqua"/>
          <w:b/>
          <w:sz w:val="24"/>
          <w:szCs w:val="24"/>
        </w:rPr>
        <w:t>Raza H</w:t>
      </w:r>
      <w:r w:rsidRPr="00565259">
        <w:rPr>
          <w:rFonts w:ascii="Book Antiqua" w:hAnsi="Book Antiqua"/>
          <w:sz w:val="24"/>
          <w:szCs w:val="24"/>
        </w:rPr>
        <w:t xml:space="preserve">, Saltaji H, Kaur H, Flores-Mir C, El-Bialy T. Effect of Low-Intensity Pulsed Ultrasound on Distraction Osteogenesis Treatment Time: A Meta-analysis of Randomized Clinical Trials. </w:t>
      </w:r>
      <w:r w:rsidRPr="00565259">
        <w:rPr>
          <w:rFonts w:ascii="Book Antiqua" w:hAnsi="Book Antiqua"/>
          <w:i/>
          <w:sz w:val="24"/>
          <w:szCs w:val="24"/>
        </w:rPr>
        <w:t>J Ultrasound Med</w:t>
      </w:r>
      <w:r w:rsidRPr="00565259">
        <w:rPr>
          <w:rFonts w:ascii="Book Antiqua" w:hAnsi="Book Antiqua"/>
          <w:sz w:val="24"/>
          <w:szCs w:val="24"/>
        </w:rPr>
        <w:t xml:space="preserve"> 2016; </w:t>
      </w:r>
      <w:r w:rsidRPr="00565259">
        <w:rPr>
          <w:rFonts w:ascii="Book Antiqua" w:hAnsi="Book Antiqua"/>
          <w:b/>
          <w:sz w:val="24"/>
          <w:szCs w:val="24"/>
        </w:rPr>
        <w:t>35</w:t>
      </w:r>
      <w:r w:rsidRPr="00565259">
        <w:rPr>
          <w:rFonts w:ascii="Book Antiqua" w:hAnsi="Book Antiqua"/>
          <w:sz w:val="24"/>
          <w:szCs w:val="24"/>
        </w:rPr>
        <w:t>: 349-358 [PMID: 26782167 DOI: 10.7863/ultra.15.02043]</w:t>
      </w:r>
    </w:p>
    <w:p w14:paraId="45E14366" w14:textId="6DE37EE9" w:rsidR="00482040" w:rsidRPr="00565259" w:rsidRDefault="00482040" w:rsidP="00B83DB9">
      <w:pPr>
        <w:spacing w:after="0" w:line="360" w:lineRule="auto"/>
        <w:jc w:val="both"/>
        <w:rPr>
          <w:rFonts w:ascii="Book Antiqua" w:hAnsi="Book Antiqua"/>
          <w:sz w:val="24"/>
          <w:szCs w:val="24"/>
        </w:rPr>
      </w:pPr>
    </w:p>
    <w:p w14:paraId="55B6096C" w14:textId="0E5E0C66" w:rsidR="00482040" w:rsidRPr="00565259" w:rsidRDefault="00482040" w:rsidP="00B83DB9">
      <w:pPr>
        <w:pStyle w:val="ac"/>
        <w:suppressAutoHyphens/>
        <w:spacing w:before="0" w:beforeAutospacing="0" w:after="0" w:afterAutospacing="0" w:line="360" w:lineRule="auto"/>
        <w:ind w:left="360" w:right="230"/>
        <w:contextualSpacing/>
        <w:jc w:val="both"/>
        <w:rPr>
          <w:rFonts w:ascii="Book Antiqua" w:hAnsi="Book Antiqua" w:cs="Mangal"/>
          <w:lang w:bidi="hi-IN"/>
        </w:rPr>
      </w:pPr>
      <w:bookmarkStart w:id="23" w:name="_Hlk9845489"/>
      <w:r w:rsidRPr="00565259">
        <w:rPr>
          <w:rFonts w:ascii="Book Antiqua" w:hAnsi="Book Antiqua" w:cs="Arial"/>
          <w:b/>
          <w:noProof/>
          <w:lang w:eastAsia="hi-IN" w:bidi="hi-IN"/>
        </w:rPr>
        <w:t>P-Reviewer</w:t>
      </w:r>
      <w:r w:rsidRPr="00565259">
        <w:rPr>
          <w:rFonts w:ascii="Book Antiqua" w:hAnsi="Book Antiqua" w:cs="Arial"/>
          <w:b/>
          <w:noProof/>
          <w:lang w:bidi="hi-IN"/>
        </w:rPr>
        <w:t>:</w:t>
      </w:r>
      <w:r w:rsidRPr="00565259">
        <w:rPr>
          <w:rFonts w:ascii="Book Antiqua" w:hAnsi="Book Antiqua"/>
        </w:rPr>
        <w:t xml:space="preserve"> </w:t>
      </w:r>
      <w:r w:rsidR="00B83DB9" w:rsidRPr="00565259">
        <w:rPr>
          <w:rFonts w:ascii="Book Antiqua" w:hAnsi="Book Antiqua"/>
        </w:rPr>
        <w:t>Kahveci R, Yukata K, Wang YH</w:t>
      </w:r>
      <w:r w:rsidRPr="00565259">
        <w:rPr>
          <w:rFonts w:ascii="Book Antiqua" w:hAnsi="Book Antiqua"/>
        </w:rPr>
        <w:t xml:space="preserve"> </w:t>
      </w:r>
      <w:r w:rsidRPr="00565259">
        <w:rPr>
          <w:rFonts w:ascii="Book Antiqua" w:hAnsi="Book Antiqua" w:cs="Mangal"/>
          <w:b/>
          <w:bCs/>
          <w:lang w:eastAsia="hi-IN" w:bidi="hi-IN"/>
        </w:rPr>
        <w:t>S-Editor</w:t>
      </w:r>
      <w:r w:rsidRPr="00565259">
        <w:rPr>
          <w:rFonts w:ascii="Book Antiqua" w:hAnsi="Book Antiqua" w:cs="Mangal"/>
          <w:b/>
          <w:bCs/>
          <w:lang w:bidi="hi-IN"/>
        </w:rPr>
        <w:t>:</w:t>
      </w:r>
      <w:r w:rsidRPr="00565259">
        <w:rPr>
          <w:rFonts w:ascii="Book Antiqua" w:hAnsi="Book Antiqua" w:cs="Mangal"/>
          <w:bCs/>
          <w:lang w:eastAsia="hi-IN" w:bidi="hi-IN"/>
        </w:rPr>
        <w:t xml:space="preserve"> </w:t>
      </w:r>
      <w:r w:rsidRPr="00565259">
        <w:rPr>
          <w:rFonts w:ascii="Book Antiqua" w:hAnsi="Book Antiqua" w:cs="Mangal"/>
          <w:bCs/>
          <w:lang w:bidi="hi-IN"/>
        </w:rPr>
        <w:t>Dou Y</w:t>
      </w:r>
      <w:r w:rsidRPr="00565259">
        <w:rPr>
          <w:rFonts w:ascii="Book Antiqua" w:hAnsi="Book Antiqua" w:cs="Mangal"/>
          <w:b/>
          <w:bCs/>
          <w:lang w:eastAsia="hi-IN" w:bidi="hi-IN"/>
        </w:rPr>
        <w:t xml:space="preserve"> L-Editor</w:t>
      </w:r>
      <w:r w:rsidRPr="00565259">
        <w:rPr>
          <w:rFonts w:ascii="Book Antiqua" w:hAnsi="Book Antiqua" w:cs="Mangal"/>
          <w:b/>
          <w:bCs/>
          <w:lang w:bidi="hi-IN"/>
        </w:rPr>
        <w:t>:</w:t>
      </w:r>
      <w:r w:rsidRPr="00565259">
        <w:rPr>
          <w:rFonts w:ascii="Book Antiqua" w:hAnsi="Book Antiqua" w:cs="Mangal"/>
          <w:b/>
          <w:bCs/>
          <w:lang w:eastAsia="hi-IN" w:bidi="hi-IN"/>
        </w:rPr>
        <w:t xml:space="preserve"> </w:t>
      </w:r>
      <w:r w:rsidR="00565259">
        <w:rPr>
          <w:rFonts w:ascii="Book Antiqua" w:hAnsi="Book Antiqua" w:cs="Mangal"/>
          <w:lang w:eastAsia="hi-IN" w:bidi="hi-IN"/>
        </w:rPr>
        <w:t xml:space="preserve">A </w:t>
      </w:r>
      <w:r w:rsidRPr="00565259">
        <w:rPr>
          <w:rFonts w:ascii="Book Antiqua" w:hAnsi="Book Antiqua" w:cs="Mangal"/>
          <w:b/>
          <w:bCs/>
          <w:lang w:eastAsia="hi-IN" w:bidi="hi-IN"/>
        </w:rPr>
        <w:t>E-Editor</w:t>
      </w:r>
      <w:r w:rsidRPr="00565259">
        <w:rPr>
          <w:rFonts w:ascii="Book Antiqua" w:hAnsi="Book Antiqua" w:cs="Mangal"/>
          <w:b/>
          <w:bCs/>
          <w:lang w:bidi="hi-IN"/>
        </w:rPr>
        <w:t>:</w:t>
      </w:r>
      <w:r w:rsidR="00565259">
        <w:rPr>
          <w:rFonts w:ascii="Book Antiqua" w:hAnsi="Book Antiqua" w:cs="Mangal"/>
          <w:b/>
          <w:bCs/>
          <w:lang w:bidi="hi-IN"/>
        </w:rPr>
        <w:t xml:space="preserve"> </w:t>
      </w:r>
      <w:r w:rsidR="00565259">
        <w:rPr>
          <w:rFonts w:ascii="Book Antiqua" w:hAnsi="Book Antiqua" w:cs="Mangal"/>
          <w:lang w:bidi="hi-IN"/>
        </w:rPr>
        <w:t>W</w:t>
      </w:r>
      <w:r w:rsidR="00565259">
        <w:rPr>
          <w:rFonts w:ascii="Book Antiqua" w:hAnsi="Book Antiqua" w:cs="Mangal" w:hint="eastAsia"/>
          <w:lang w:eastAsia="zh-CN" w:bidi="hi-IN"/>
        </w:rPr>
        <w:t>u</w:t>
      </w:r>
      <w:r w:rsidR="00536E0F">
        <w:rPr>
          <w:rFonts w:ascii="Book Antiqua" w:hAnsi="Book Antiqua" w:cs="Mangal"/>
          <w:lang w:eastAsia="zh-CN" w:bidi="hi-IN"/>
        </w:rPr>
        <w:t xml:space="preserve"> </w:t>
      </w:r>
      <w:bookmarkStart w:id="24" w:name="_GoBack"/>
      <w:bookmarkEnd w:id="24"/>
      <w:r w:rsidR="00565259">
        <w:rPr>
          <w:rFonts w:ascii="Book Antiqua" w:hAnsi="Book Antiqua" w:cs="Mangal"/>
          <w:lang w:bidi="hi-IN"/>
        </w:rPr>
        <w:t>YXJ</w:t>
      </w:r>
    </w:p>
    <w:p w14:paraId="43946287" w14:textId="77777777" w:rsidR="00482040" w:rsidRPr="00565259" w:rsidRDefault="00482040" w:rsidP="00B83DB9">
      <w:pPr>
        <w:pStyle w:val="ac"/>
        <w:suppressAutoHyphens/>
        <w:spacing w:before="0" w:beforeAutospacing="0" w:after="0" w:afterAutospacing="0" w:line="360" w:lineRule="auto"/>
        <w:ind w:left="360" w:right="120"/>
        <w:contextualSpacing/>
        <w:jc w:val="both"/>
        <w:rPr>
          <w:rFonts w:ascii="Book Antiqua" w:hAnsi="Book Antiqua" w:cs="Mangal"/>
          <w:b/>
          <w:bCs/>
          <w:lang w:bidi="hi-IN"/>
        </w:rPr>
      </w:pPr>
    </w:p>
    <w:p w14:paraId="2E94BD45" w14:textId="77777777" w:rsidR="00482040" w:rsidRPr="00565259" w:rsidRDefault="00482040" w:rsidP="00B83DB9">
      <w:pPr>
        <w:shd w:val="clear" w:color="auto" w:fill="FFFFFF"/>
        <w:snapToGrid w:val="0"/>
        <w:spacing w:after="0" w:line="360" w:lineRule="auto"/>
        <w:jc w:val="both"/>
        <w:rPr>
          <w:rFonts w:ascii="Book Antiqua" w:hAnsi="Book Antiqua" w:cs="Helvetica"/>
          <w:b/>
          <w:sz w:val="24"/>
          <w:szCs w:val="24"/>
        </w:rPr>
      </w:pPr>
      <w:r w:rsidRPr="00565259">
        <w:rPr>
          <w:rFonts w:ascii="Book Antiqua" w:hAnsi="Book Antiqua" w:cs="Helvetica"/>
          <w:b/>
          <w:sz w:val="24"/>
          <w:szCs w:val="24"/>
        </w:rPr>
        <w:t xml:space="preserve">Specialty type: </w:t>
      </w:r>
      <w:r w:rsidRPr="00565259">
        <w:rPr>
          <w:rFonts w:ascii="Book Antiqua" w:eastAsia="微软雅黑" w:hAnsi="Book Antiqua" w:cs="宋体"/>
          <w:sz w:val="24"/>
          <w:szCs w:val="24"/>
        </w:rPr>
        <w:t>Cell and tissue engineering</w:t>
      </w:r>
    </w:p>
    <w:p w14:paraId="1B2DCCF2" w14:textId="200697F6" w:rsidR="00482040" w:rsidRPr="00565259" w:rsidRDefault="00482040" w:rsidP="00B83DB9">
      <w:pPr>
        <w:shd w:val="clear" w:color="auto" w:fill="FFFFFF"/>
        <w:snapToGrid w:val="0"/>
        <w:spacing w:after="0" w:line="360" w:lineRule="auto"/>
        <w:jc w:val="both"/>
        <w:rPr>
          <w:rFonts w:ascii="Book Antiqua" w:hAnsi="Book Antiqua" w:cs="Helvetica"/>
          <w:b/>
          <w:sz w:val="24"/>
          <w:szCs w:val="24"/>
        </w:rPr>
      </w:pPr>
      <w:r w:rsidRPr="00565259">
        <w:rPr>
          <w:rFonts w:ascii="Book Antiqua" w:hAnsi="Book Antiqua" w:cs="Helvetica"/>
          <w:b/>
          <w:sz w:val="24"/>
          <w:szCs w:val="24"/>
        </w:rPr>
        <w:t xml:space="preserve">Country of origin: </w:t>
      </w:r>
      <w:r w:rsidR="00B83DB9" w:rsidRPr="00565259">
        <w:rPr>
          <w:rFonts w:ascii="Book Antiqua" w:hAnsi="Book Antiqua"/>
          <w:sz w:val="24"/>
          <w:szCs w:val="24"/>
        </w:rPr>
        <w:t>United States</w:t>
      </w:r>
    </w:p>
    <w:p w14:paraId="471C2154" w14:textId="77777777" w:rsidR="00482040" w:rsidRPr="00565259" w:rsidRDefault="00482040" w:rsidP="00B83DB9">
      <w:pPr>
        <w:shd w:val="clear" w:color="auto" w:fill="FFFFFF"/>
        <w:snapToGrid w:val="0"/>
        <w:spacing w:after="0" w:line="360" w:lineRule="auto"/>
        <w:jc w:val="both"/>
        <w:rPr>
          <w:rFonts w:ascii="Book Antiqua" w:hAnsi="Book Antiqua" w:cs="Helvetica"/>
          <w:b/>
          <w:sz w:val="24"/>
          <w:szCs w:val="24"/>
        </w:rPr>
      </w:pPr>
      <w:r w:rsidRPr="00565259">
        <w:rPr>
          <w:rFonts w:ascii="Book Antiqua" w:hAnsi="Book Antiqua" w:cs="Helvetica"/>
          <w:b/>
          <w:sz w:val="24"/>
          <w:szCs w:val="24"/>
        </w:rPr>
        <w:t>Peer-review report classification</w:t>
      </w:r>
    </w:p>
    <w:p w14:paraId="1D375CF3" w14:textId="1D8F9FF2" w:rsidR="00482040" w:rsidRPr="00565259" w:rsidRDefault="00482040" w:rsidP="00B83DB9">
      <w:pPr>
        <w:shd w:val="clear" w:color="auto" w:fill="FFFFFF"/>
        <w:snapToGrid w:val="0"/>
        <w:spacing w:after="0" w:line="360" w:lineRule="auto"/>
        <w:jc w:val="both"/>
        <w:rPr>
          <w:rFonts w:ascii="Book Antiqua" w:hAnsi="Book Antiqua" w:cs="Helvetica"/>
          <w:sz w:val="24"/>
          <w:szCs w:val="24"/>
        </w:rPr>
      </w:pPr>
      <w:r w:rsidRPr="00565259">
        <w:rPr>
          <w:rFonts w:ascii="Book Antiqua" w:hAnsi="Book Antiqua" w:cs="Helvetica"/>
          <w:sz w:val="24"/>
          <w:szCs w:val="24"/>
        </w:rPr>
        <w:t xml:space="preserve">Grade A (Excellent): </w:t>
      </w:r>
      <w:r w:rsidR="00B83DB9" w:rsidRPr="00565259">
        <w:rPr>
          <w:rFonts w:ascii="Book Antiqua" w:hAnsi="Book Antiqua" w:cs="Helvetica"/>
          <w:sz w:val="24"/>
          <w:szCs w:val="24"/>
        </w:rPr>
        <w:t>A, A</w:t>
      </w:r>
    </w:p>
    <w:p w14:paraId="6FF58A0D" w14:textId="77777777" w:rsidR="00482040" w:rsidRPr="00565259" w:rsidRDefault="00482040" w:rsidP="00B83DB9">
      <w:pPr>
        <w:shd w:val="clear" w:color="auto" w:fill="FFFFFF"/>
        <w:snapToGrid w:val="0"/>
        <w:spacing w:after="0" w:line="360" w:lineRule="auto"/>
        <w:jc w:val="both"/>
        <w:rPr>
          <w:rFonts w:ascii="Book Antiqua" w:hAnsi="Book Antiqua" w:cs="Helvetica"/>
          <w:sz w:val="24"/>
          <w:szCs w:val="24"/>
        </w:rPr>
      </w:pPr>
      <w:r w:rsidRPr="00565259">
        <w:rPr>
          <w:rFonts w:ascii="Book Antiqua" w:hAnsi="Book Antiqua" w:cs="Helvetica"/>
          <w:sz w:val="24"/>
          <w:szCs w:val="24"/>
        </w:rPr>
        <w:t>Grade B (Very good): B</w:t>
      </w:r>
    </w:p>
    <w:p w14:paraId="39BE0245" w14:textId="134AAB11" w:rsidR="00482040" w:rsidRPr="00565259" w:rsidRDefault="00482040" w:rsidP="00B83DB9">
      <w:pPr>
        <w:shd w:val="clear" w:color="auto" w:fill="FFFFFF"/>
        <w:snapToGrid w:val="0"/>
        <w:spacing w:after="0" w:line="360" w:lineRule="auto"/>
        <w:jc w:val="both"/>
        <w:rPr>
          <w:rFonts w:ascii="Book Antiqua" w:hAnsi="Book Antiqua" w:cs="Helvetica"/>
          <w:sz w:val="24"/>
          <w:szCs w:val="24"/>
        </w:rPr>
      </w:pPr>
      <w:r w:rsidRPr="00565259">
        <w:rPr>
          <w:rFonts w:ascii="Book Antiqua" w:hAnsi="Book Antiqua" w:cs="Helvetica"/>
          <w:sz w:val="24"/>
          <w:szCs w:val="24"/>
        </w:rPr>
        <w:t xml:space="preserve">Grade C (Good): </w:t>
      </w:r>
    </w:p>
    <w:p w14:paraId="4969DA1F" w14:textId="77777777" w:rsidR="00482040" w:rsidRPr="00565259" w:rsidRDefault="00482040" w:rsidP="00B83DB9">
      <w:pPr>
        <w:shd w:val="clear" w:color="auto" w:fill="FFFFFF"/>
        <w:snapToGrid w:val="0"/>
        <w:spacing w:after="0" w:line="360" w:lineRule="auto"/>
        <w:jc w:val="both"/>
        <w:rPr>
          <w:rFonts w:ascii="Book Antiqua" w:hAnsi="Book Antiqua" w:cs="Helvetica"/>
          <w:sz w:val="24"/>
          <w:szCs w:val="24"/>
        </w:rPr>
      </w:pPr>
      <w:r w:rsidRPr="00565259">
        <w:rPr>
          <w:rFonts w:ascii="Book Antiqua" w:hAnsi="Book Antiqua" w:cs="Helvetica"/>
          <w:sz w:val="24"/>
          <w:szCs w:val="24"/>
        </w:rPr>
        <w:t>Grade D (Fair): 0</w:t>
      </w:r>
    </w:p>
    <w:p w14:paraId="7CE1B4EB" w14:textId="77777777" w:rsidR="00482040" w:rsidRPr="00565259" w:rsidRDefault="00482040" w:rsidP="00B83DB9">
      <w:pPr>
        <w:shd w:val="clear" w:color="auto" w:fill="FFFFFF"/>
        <w:snapToGrid w:val="0"/>
        <w:spacing w:after="0" w:line="360" w:lineRule="auto"/>
        <w:jc w:val="both"/>
        <w:rPr>
          <w:rFonts w:ascii="Book Antiqua" w:hAnsi="Book Antiqua" w:cs="Helvetica"/>
          <w:sz w:val="24"/>
          <w:szCs w:val="24"/>
        </w:rPr>
      </w:pPr>
      <w:r w:rsidRPr="00565259">
        <w:rPr>
          <w:rFonts w:ascii="Book Antiqua" w:hAnsi="Book Antiqua" w:cs="Helvetica"/>
          <w:sz w:val="24"/>
          <w:szCs w:val="24"/>
        </w:rPr>
        <w:t>Grade E (Poor): 0</w:t>
      </w:r>
    </w:p>
    <w:bookmarkEnd w:id="23"/>
    <w:p w14:paraId="4B88AF33" w14:textId="77777777" w:rsidR="00482040" w:rsidRPr="00565259" w:rsidRDefault="00482040" w:rsidP="00B83DB9">
      <w:pPr>
        <w:spacing w:after="0" w:line="360" w:lineRule="auto"/>
        <w:jc w:val="both"/>
        <w:rPr>
          <w:rFonts w:ascii="Book Antiqua" w:hAnsi="Book Antiqua"/>
          <w:sz w:val="24"/>
          <w:szCs w:val="24"/>
        </w:rPr>
      </w:pPr>
    </w:p>
    <w:p w14:paraId="19137D86" w14:textId="0EC0E514" w:rsidR="003E2553" w:rsidRPr="00565259" w:rsidRDefault="003E2553" w:rsidP="00B83DB9">
      <w:pPr>
        <w:spacing w:after="0" w:line="360" w:lineRule="auto"/>
        <w:jc w:val="both"/>
        <w:rPr>
          <w:rFonts w:ascii="Book Antiqua" w:hAnsi="Book Antiqua"/>
          <w:sz w:val="24"/>
          <w:szCs w:val="24"/>
        </w:rPr>
      </w:pPr>
      <w:r w:rsidRPr="00565259">
        <w:rPr>
          <w:rFonts w:ascii="Book Antiqua" w:hAnsi="Book Antiqua"/>
          <w:sz w:val="24"/>
          <w:szCs w:val="24"/>
        </w:rPr>
        <w:br w:type="page"/>
      </w:r>
    </w:p>
    <w:p w14:paraId="1BC33F65" w14:textId="77777777" w:rsidR="003E2553" w:rsidRPr="00565259" w:rsidRDefault="003E2553" w:rsidP="00B83DB9">
      <w:pPr>
        <w:pStyle w:val="ac"/>
        <w:tabs>
          <w:tab w:val="left" w:pos="720"/>
        </w:tabs>
        <w:spacing w:before="0" w:beforeAutospacing="0" w:after="0" w:afterAutospacing="0" w:line="360" w:lineRule="auto"/>
        <w:jc w:val="both"/>
        <w:rPr>
          <w:rFonts w:ascii="Book Antiqua" w:hAnsi="Book Antiqua" w:cs="Calibri"/>
          <w:color w:val="212121"/>
        </w:rPr>
      </w:pPr>
      <w:r w:rsidRPr="00565259">
        <w:rPr>
          <w:rFonts w:ascii="Book Antiqua" w:hAnsi="Book Antiqua" w:cs="Calibri"/>
          <w:noProof/>
          <w:color w:val="000000"/>
        </w:rPr>
        <w:drawing>
          <wp:inline distT="0" distB="0" distL="0" distR="0" wp14:anchorId="0A7B4482" wp14:editId="35FFF7E8">
            <wp:extent cx="5943600" cy="219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Figure final.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92655"/>
                    </a:xfrm>
                    <a:prstGeom prst="rect">
                      <a:avLst/>
                    </a:prstGeom>
                  </pic:spPr>
                </pic:pic>
              </a:graphicData>
            </a:graphic>
          </wp:inline>
        </w:drawing>
      </w:r>
    </w:p>
    <w:p w14:paraId="7F224379" w14:textId="34DD8C12" w:rsidR="00E367F9" w:rsidRPr="00B83DB9" w:rsidRDefault="003E2553" w:rsidP="00B83DB9">
      <w:pPr>
        <w:spacing w:after="0" w:line="360" w:lineRule="auto"/>
        <w:jc w:val="both"/>
        <w:rPr>
          <w:rFonts w:ascii="Book Antiqua" w:hAnsi="Book Antiqua"/>
          <w:sz w:val="24"/>
          <w:szCs w:val="24"/>
        </w:rPr>
      </w:pPr>
      <w:r w:rsidRPr="00565259">
        <w:rPr>
          <w:rFonts w:ascii="Book Antiqua" w:hAnsi="Book Antiqua" w:cs="Calibri"/>
          <w:b/>
          <w:color w:val="000000"/>
          <w:sz w:val="24"/>
          <w:szCs w:val="24"/>
        </w:rPr>
        <w:t xml:space="preserve">Figure 1 Fracture healing is impaired with advanced age, including delays in both bone and vascular regeneration due to dysfunction of </w:t>
      </w:r>
      <w:r w:rsidR="00E94BB9" w:rsidRPr="00565259">
        <w:rPr>
          <w:rFonts w:ascii="Book Antiqua" w:hAnsi="Book Antiqua" w:cs="Times New Roman"/>
          <w:b/>
          <w:sz w:val="24"/>
          <w:szCs w:val="24"/>
        </w:rPr>
        <w:t>mesenchymal stem cells</w:t>
      </w:r>
      <w:r w:rsidRPr="00565259">
        <w:rPr>
          <w:rFonts w:ascii="Book Antiqua" w:hAnsi="Book Antiqua" w:cs="Calibri"/>
          <w:b/>
          <w:color w:val="000000"/>
          <w:sz w:val="24"/>
          <w:szCs w:val="24"/>
        </w:rPr>
        <w:t xml:space="preserve"> and endothelial cells.</w:t>
      </w:r>
      <w:r w:rsidR="00E94BB9" w:rsidRPr="00565259">
        <w:rPr>
          <w:rFonts w:ascii="Book Antiqua" w:hAnsi="Book Antiqua" w:cs="Calibri"/>
          <w:b/>
          <w:color w:val="000000"/>
          <w:sz w:val="24"/>
          <w:szCs w:val="24"/>
        </w:rPr>
        <w:t xml:space="preserve"> </w:t>
      </w:r>
      <w:r w:rsidR="00E94BB9" w:rsidRPr="00565259">
        <w:rPr>
          <w:rFonts w:ascii="Book Antiqua" w:hAnsi="Book Antiqua" w:cs="Calibri"/>
          <w:color w:val="000000"/>
          <w:sz w:val="24"/>
          <w:szCs w:val="24"/>
          <w:lang w:eastAsia="zh-CN"/>
        </w:rPr>
        <w:t xml:space="preserve">MSC: </w:t>
      </w:r>
      <w:r w:rsidR="00E94BB9" w:rsidRPr="00565259">
        <w:rPr>
          <w:rFonts w:ascii="Book Antiqua" w:hAnsi="Book Antiqua" w:cs="Times New Roman"/>
          <w:sz w:val="24"/>
          <w:szCs w:val="24"/>
        </w:rPr>
        <w:t>Mesenchymal stem cell.</w:t>
      </w:r>
    </w:p>
    <w:sectPr w:rsidR="00E367F9" w:rsidRPr="00B83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6EDF"/>
    <w:multiLevelType w:val="hybridMultilevel"/>
    <w:tmpl w:val="8744C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C9"/>
    <w:rsid w:val="00005C57"/>
    <w:rsid w:val="00016F3C"/>
    <w:rsid w:val="00023844"/>
    <w:rsid w:val="00024CD3"/>
    <w:rsid w:val="00033C77"/>
    <w:rsid w:val="00045413"/>
    <w:rsid w:val="00046DEE"/>
    <w:rsid w:val="00056350"/>
    <w:rsid w:val="000707A8"/>
    <w:rsid w:val="0007340A"/>
    <w:rsid w:val="00073BE7"/>
    <w:rsid w:val="00074A40"/>
    <w:rsid w:val="00080852"/>
    <w:rsid w:val="00087664"/>
    <w:rsid w:val="000C19E6"/>
    <w:rsid w:val="000C63E9"/>
    <w:rsid w:val="000C65B8"/>
    <w:rsid w:val="000D2D46"/>
    <w:rsid w:val="000D32A7"/>
    <w:rsid w:val="000E5486"/>
    <w:rsid w:val="000E7E7D"/>
    <w:rsid w:val="000F2B01"/>
    <w:rsid w:val="000F6530"/>
    <w:rsid w:val="000F79FB"/>
    <w:rsid w:val="00107629"/>
    <w:rsid w:val="001078D4"/>
    <w:rsid w:val="00107B5E"/>
    <w:rsid w:val="001157B5"/>
    <w:rsid w:val="00123ABF"/>
    <w:rsid w:val="00130E72"/>
    <w:rsid w:val="00134F31"/>
    <w:rsid w:val="00141F74"/>
    <w:rsid w:val="0014597F"/>
    <w:rsid w:val="001639DA"/>
    <w:rsid w:val="00164C6C"/>
    <w:rsid w:val="0018762D"/>
    <w:rsid w:val="001A6D3B"/>
    <w:rsid w:val="001C3195"/>
    <w:rsid w:val="001C31E1"/>
    <w:rsid w:val="001C355D"/>
    <w:rsid w:val="001D1491"/>
    <w:rsid w:val="001E362A"/>
    <w:rsid w:val="001E613B"/>
    <w:rsid w:val="001F1F8F"/>
    <w:rsid w:val="001F5198"/>
    <w:rsid w:val="00200225"/>
    <w:rsid w:val="00204754"/>
    <w:rsid w:val="00206366"/>
    <w:rsid w:val="00220565"/>
    <w:rsid w:val="00222EE1"/>
    <w:rsid w:val="00223CCB"/>
    <w:rsid w:val="0022679B"/>
    <w:rsid w:val="00244350"/>
    <w:rsid w:val="00246D41"/>
    <w:rsid w:val="00253B19"/>
    <w:rsid w:val="002658D1"/>
    <w:rsid w:val="00270051"/>
    <w:rsid w:val="00271BFD"/>
    <w:rsid w:val="00284FE4"/>
    <w:rsid w:val="00287DB1"/>
    <w:rsid w:val="002A6CF9"/>
    <w:rsid w:val="002B0950"/>
    <w:rsid w:val="002C4575"/>
    <w:rsid w:val="002D28C1"/>
    <w:rsid w:val="002D6E44"/>
    <w:rsid w:val="002F2FEE"/>
    <w:rsid w:val="0030228C"/>
    <w:rsid w:val="003111EB"/>
    <w:rsid w:val="00312738"/>
    <w:rsid w:val="00312A68"/>
    <w:rsid w:val="00325FBD"/>
    <w:rsid w:val="003270F7"/>
    <w:rsid w:val="00340483"/>
    <w:rsid w:val="00347B78"/>
    <w:rsid w:val="0035187C"/>
    <w:rsid w:val="00352A71"/>
    <w:rsid w:val="003543E3"/>
    <w:rsid w:val="00357241"/>
    <w:rsid w:val="00357CCC"/>
    <w:rsid w:val="00361D32"/>
    <w:rsid w:val="0037407F"/>
    <w:rsid w:val="00374A7A"/>
    <w:rsid w:val="00377D61"/>
    <w:rsid w:val="00382DFC"/>
    <w:rsid w:val="00393B27"/>
    <w:rsid w:val="00394A46"/>
    <w:rsid w:val="003B3972"/>
    <w:rsid w:val="003D61A3"/>
    <w:rsid w:val="003E2553"/>
    <w:rsid w:val="00400FCA"/>
    <w:rsid w:val="00403E52"/>
    <w:rsid w:val="0041477D"/>
    <w:rsid w:val="00416404"/>
    <w:rsid w:val="0041758C"/>
    <w:rsid w:val="00421846"/>
    <w:rsid w:val="00423A1B"/>
    <w:rsid w:val="00432671"/>
    <w:rsid w:val="00440938"/>
    <w:rsid w:val="0044463C"/>
    <w:rsid w:val="00445C6E"/>
    <w:rsid w:val="00446DC5"/>
    <w:rsid w:val="00462A67"/>
    <w:rsid w:val="00466968"/>
    <w:rsid w:val="00481F2A"/>
    <w:rsid w:val="00482040"/>
    <w:rsid w:val="00486CE3"/>
    <w:rsid w:val="00497910"/>
    <w:rsid w:val="004A541F"/>
    <w:rsid w:val="004B14BF"/>
    <w:rsid w:val="004C3249"/>
    <w:rsid w:val="004C3D2C"/>
    <w:rsid w:val="004C5D30"/>
    <w:rsid w:val="004C6015"/>
    <w:rsid w:val="004C7E6C"/>
    <w:rsid w:val="004D2752"/>
    <w:rsid w:val="004D2E60"/>
    <w:rsid w:val="004E457B"/>
    <w:rsid w:val="004F2D5D"/>
    <w:rsid w:val="004F4C94"/>
    <w:rsid w:val="004F5233"/>
    <w:rsid w:val="00501FA1"/>
    <w:rsid w:val="00502A51"/>
    <w:rsid w:val="00512505"/>
    <w:rsid w:val="005151B9"/>
    <w:rsid w:val="0051520E"/>
    <w:rsid w:val="005162DD"/>
    <w:rsid w:val="00525BD6"/>
    <w:rsid w:val="005362B5"/>
    <w:rsid w:val="00536E0F"/>
    <w:rsid w:val="005478AF"/>
    <w:rsid w:val="005511F7"/>
    <w:rsid w:val="00565259"/>
    <w:rsid w:val="005664BB"/>
    <w:rsid w:val="00581E0A"/>
    <w:rsid w:val="0059119B"/>
    <w:rsid w:val="005B2075"/>
    <w:rsid w:val="005B432C"/>
    <w:rsid w:val="005B4F14"/>
    <w:rsid w:val="005B51A6"/>
    <w:rsid w:val="005E489C"/>
    <w:rsid w:val="005F51DF"/>
    <w:rsid w:val="006011A7"/>
    <w:rsid w:val="00606CDD"/>
    <w:rsid w:val="006120F8"/>
    <w:rsid w:val="00624BF4"/>
    <w:rsid w:val="00625163"/>
    <w:rsid w:val="0063642D"/>
    <w:rsid w:val="00677486"/>
    <w:rsid w:val="00683DDA"/>
    <w:rsid w:val="006844BE"/>
    <w:rsid w:val="006863D7"/>
    <w:rsid w:val="00686603"/>
    <w:rsid w:val="00693054"/>
    <w:rsid w:val="00693EA1"/>
    <w:rsid w:val="006A3D47"/>
    <w:rsid w:val="006B20D5"/>
    <w:rsid w:val="006B2D1E"/>
    <w:rsid w:val="006F439A"/>
    <w:rsid w:val="006F45DE"/>
    <w:rsid w:val="007014DF"/>
    <w:rsid w:val="00720F0C"/>
    <w:rsid w:val="00721F3B"/>
    <w:rsid w:val="00735A5C"/>
    <w:rsid w:val="0074125B"/>
    <w:rsid w:val="007457AF"/>
    <w:rsid w:val="00745A17"/>
    <w:rsid w:val="00784565"/>
    <w:rsid w:val="007864C1"/>
    <w:rsid w:val="00786BFB"/>
    <w:rsid w:val="00797370"/>
    <w:rsid w:val="007A6F4E"/>
    <w:rsid w:val="007B3985"/>
    <w:rsid w:val="007B787B"/>
    <w:rsid w:val="007C50F1"/>
    <w:rsid w:val="007D4C94"/>
    <w:rsid w:val="007E1A44"/>
    <w:rsid w:val="007E615F"/>
    <w:rsid w:val="007E7D8B"/>
    <w:rsid w:val="00804A7E"/>
    <w:rsid w:val="00807EB4"/>
    <w:rsid w:val="00817915"/>
    <w:rsid w:val="008206D5"/>
    <w:rsid w:val="00820F73"/>
    <w:rsid w:val="00826155"/>
    <w:rsid w:val="008308A5"/>
    <w:rsid w:val="008407C2"/>
    <w:rsid w:val="00846039"/>
    <w:rsid w:val="00850C44"/>
    <w:rsid w:val="00856292"/>
    <w:rsid w:val="00864375"/>
    <w:rsid w:val="008663CD"/>
    <w:rsid w:val="008668AD"/>
    <w:rsid w:val="008709BE"/>
    <w:rsid w:val="00875CB5"/>
    <w:rsid w:val="00887E10"/>
    <w:rsid w:val="008B3328"/>
    <w:rsid w:val="008C1C8F"/>
    <w:rsid w:val="008C53A6"/>
    <w:rsid w:val="008C6B29"/>
    <w:rsid w:val="008C6DDA"/>
    <w:rsid w:val="008C75C1"/>
    <w:rsid w:val="008C7CA7"/>
    <w:rsid w:val="008D0C19"/>
    <w:rsid w:val="008D27E6"/>
    <w:rsid w:val="008E4078"/>
    <w:rsid w:val="008E5C07"/>
    <w:rsid w:val="00902D89"/>
    <w:rsid w:val="00903A2D"/>
    <w:rsid w:val="009127E9"/>
    <w:rsid w:val="009158BD"/>
    <w:rsid w:val="009171FA"/>
    <w:rsid w:val="0092355A"/>
    <w:rsid w:val="009309CD"/>
    <w:rsid w:val="00935AD2"/>
    <w:rsid w:val="00940669"/>
    <w:rsid w:val="00940730"/>
    <w:rsid w:val="00991394"/>
    <w:rsid w:val="0099149E"/>
    <w:rsid w:val="00991BD1"/>
    <w:rsid w:val="009A1953"/>
    <w:rsid w:val="009A2587"/>
    <w:rsid w:val="009A76A3"/>
    <w:rsid w:val="009B2D36"/>
    <w:rsid w:val="009B4575"/>
    <w:rsid w:val="009B4982"/>
    <w:rsid w:val="009B6D71"/>
    <w:rsid w:val="009C3C3B"/>
    <w:rsid w:val="009D20B7"/>
    <w:rsid w:val="009D391B"/>
    <w:rsid w:val="009D5249"/>
    <w:rsid w:val="009D7B86"/>
    <w:rsid w:val="009E70D2"/>
    <w:rsid w:val="009F0B53"/>
    <w:rsid w:val="00A00313"/>
    <w:rsid w:val="00A03F8A"/>
    <w:rsid w:val="00A11377"/>
    <w:rsid w:val="00A11BBA"/>
    <w:rsid w:val="00A12C86"/>
    <w:rsid w:val="00A132BB"/>
    <w:rsid w:val="00A13640"/>
    <w:rsid w:val="00A161B2"/>
    <w:rsid w:val="00A21ACC"/>
    <w:rsid w:val="00A24197"/>
    <w:rsid w:val="00A30F4D"/>
    <w:rsid w:val="00A33137"/>
    <w:rsid w:val="00A375A2"/>
    <w:rsid w:val="00A45B26"/>
    <w:rsid w:val="00A52232"/>
    <w:rsid w:val="00A76FD3"/>
    <w:rsid w:val="00A83CC0"/>
    <w:rsid w:val="00AB3AFC"/>
    <w:rsid w:val="00AB58B2"/>
    <w:rsid w:val="00AB77A5"/>
    <w:rsid w:val="00AC22C2"/>
    <w:rsid w:val="00AC26B3"/>
    <w:rsid w:val="00AC4EC2"/>
    <w:rsid w:val="00AD559F"/>
    <w:rsid w:val="00AE2129"/>
    <w:rsid w:val="00AE4389"/>
    <w:rsid w:val="00AF2A36"/>
    <w:rsid w:val="00AF3C81"/>
    <w:rsid w:val="00B1295B"/>
    <w:rsid w:val="00B149B2"/>
    <w:rsid w:val="00B1722A"/>
    <w:rsid w:val="00B2378A"/>
    <w:rsid w:val="00B36725"/>
    <w:rsid w:val="00B43606"/>
    <w:rsid w:val="00B47DB1"/>
    <w:rsid w:val="00B51C05"/>
    <w:rsid w:val="00B52403"/>
    <w:rsid w:val="00B571F1"/>
    <w:rsid w:val="00B707BB"/>
    <w:rsid w:val="00B75D52"/>
    <w:rsid w:val="00B83DB9"/>
    <w:rsid w:val="00B94BA7"/>
    <w:rsid w:val="00BA0933"/>
    <w:rsid w:val="00BC5D9C"/>
    <w:rsid w:val="00BD4C31"/>
    <w:rsid w:val="00BE15EE"/>
    <w:rsid w:val="00BE7914"/>
    <w:rsid w:val="00BF1782"/>
    <w:rsid w:val="00BF284A"/>
    <w:rsid w:val="00C00D15"/>
    <w:rsid w:val="00C03827"/>
    <w:rsid w:val="00C05CB0"/>
    <w:rsid w:val="00C06AE7"/>
    <w:rsid w:val="00C17406"/>
    <w:rsid w:val="00C23F6C"/>
    <w:rsid w:val="00C6598E"/>
    <w:rsid w:val="00C666FD"/>
    <w:rsid w:val="00C6679C"/>
    <w:rsid w:val="00C81FFE"/>
    <w:rsid w:val="00C87480"/>
    <w:rsid w:val="00C930D7"/>
    <w:rsid w:val="00C96DC9"/>
    <w:rsid w:val="00CC6D0E"/>
    <w:rsid w:val="00CD2D9E"/>
    <w:rsid w:val="00CD454E"/>
    <w:rsid w:val="00CE1FB3"/>
    <w:rsid w:val="00CF5909"/>
    <w:rsid w:val="00D03227"/>
    <w:rsid w:val="00D137B3"/>
    <w:rsid w:val="00D17E28"/>
    <w:rsid w:val="00D34A6B"/>
    <w:rsid w:val="00D34CAA"/>
    <w:rsid w:val="00D41551"/>
    <w:rsid w:val="00D57E27"/>
    <w:rsid w:val="00D65D25"/>
    <w:rsid w:val="00D70650"/>
    <w:rsid w:val="00D72F05"/>
    <w:rsid w:val="00D80FC6"/>
    <w:rsid w:val="00D8474D"/>
    <w:rsid w:val="00D91B95"/>
    <w:rsid w:val="00D93C86"/>
    <w:rsid w:val="00DA2B29"/>
    <w:rsid w:val="00DB0528"/>
    <w:rsid w:val="00DB59F8"/>
    <w:rsid w:val="00DB7D93"/>
    <w:rsid w:val="00DE058B"/>
    <w:rsid w:val="00DE6D48"/>
    <w:rsid w:val="00E051C5"/>
    <w:rsid w:val="00E07C80"/>
    <w:rsid w:val="00E11FE2"/>
    <w:rsid w:val="00E152E9"/>
    <w:rsid w:val="00E17366"/>
    <w:rsid w:val="00E1765C"/>
    <w:rsid w:val="00E20DB9"/>
    <w:rsid w:val="00E21655"/>
    <w:rsid w:val="00E23E3B"/>
    <w:rsid w:val="00E25078"/>
    <w:rsid w:val="00E25F95"/>
    <w:rsid w:val="00E30ED7"/>
    <w:rsid w:val="00E367F9"/>
    <w:rsid w:val="00E406FF"/>
    <w:rsid w:val="00E42674"/>
    <w:rsid w:val="00E4283A"/>
    <w:rsid w:val="00E65E26"/>
    <w:rsid w:val="00E720B4"/>
    <w:rsid w:val="00E7322D"/>
    <w:rsid w:val="00E81D9C"/>
    <w:rsid w:val="00E81DC5"/>
    <w:rsid w:val="00E9065B"/>
    <w:rsid w:val="00E93C52"/>
    <w:rsid w:val="00E94BB9"/>
    <w:rsid w:val="00EA0AC2"/>
    <w:rsid w:val="00EA140B"/>
    <w:rsid w:val="00EB13CF"/>
    <w:rsid w:val="00EB3558"/>
    <w:rsid w:val="00EB443F"/>
    <w:rsid w:val="00EB4C51"/>
    <w:rsid w:val="00EC4C11"/>
    <w:rsid w:val="00EC575B"/>
    <w:rsid w:val="00EC7951"/>
    <w:rsid w:val="00ED03C6"/>
    <w:rsid w:val="00ED73DA"/>
    <w:rsid w:val="00EE195A"/>
    <w:rsid w:val="00F00B67"/>
    <w:rsid w:val="00F03CE4"/>
    <w:rsid w:val="00F152C6"/>
    <w:rsid w:val="00F233E0"/>
    <w:rsid w:val="00F3234E"/>
    <w:rsid w:val="00F33921"/>
    <w:rsid w:val="00F45381"/>
    <w:rsid w:val="00F531F3"/>
    <w:rsid w:val="00F71790"/>
    <w:rsid w:val="00F76336"/>
    <w:rsid w:val="00F9607E"/>
    <w:rsid w:val="00FA0C0A"/>
    <w:rsid w:val="00FB52FF"/>
    <w:rsid w:val="00FC286D"/>
    <w:rsid w:val="00FD7805"/>
    <w:rsid w:val="00FE35C0"/>
    <w:rsid w:val="00FE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AFE7"/>
  <w15:chartTrackingRefBased/>
  <w15:docId w15:val="{DA14406D-1DE4-48B3-BAC0-0A75EB07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00D15"/>
    <w:pPr>
      <w:keepNext/>
      <w:keepLines/>
      <w:spacing w:before="240" w:after="0"/>
      <w:outlineLvl w:val="0"/>
    </w:pPr>
    <w:rPr>
      <w:rFonts w:ascii="Book Antiqua" w:eastAsiaTheme="majorEastAsia" w:hAnsi="Book Antiqua" w:cstheme="majorBid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00D15"/>
    <w:rPr>
      <w:rFonts w:ascii="Book Antiqua" w:eastAsiaTheme="majorEastAsia" w:hAnsi="Book Antiqua" w:cstheme="majorBidi"/>
      <w:sz w:val="24"/>
      <w:szCs w:val="32"/>
    </w:rPr>
  </w:style>
  <w:style w:type="character" w:styleId="a3">
    <w:name w:val="Hyperlink"/>
    <w:basedOn w:val="a0"/>
    <w:uiPriority w:val="99"/>
    <w:unhideWhenUsed/>
    <w:rsid w:val="00940669"/>
    <w:rPr>
      <w:color w:val="0563C1"/>
      <w:u w:val="single"/>
    </w:rPr>
  </w:style>
  <w:style w:type="paragraph" w:customStyle="1" w:styleId="EndNoteBibliography">
    <w:name w:val="EndNote Bibliography"/>
    <w:basedOn w:val="a"/>
    <w:link w:val="EndNoteBibliographyChar"/>
    <w:rsid w:val="00940669"/>
    <w:pPr>
      <w:spacing w:line="240" w:lineRule="auto"/>
    </w:pPr>
    <w:rPr>
      <w:rFonts w:ascii="Arial" w:eastAsia="宋体" w:hAnsi="Arial" w:cs="Arial"/>
      <w:lang w:eastAsia="zh-CN"/>
    </w:rPr>
  </w:style>
  <w:style w:type="character" w:customStyle="1" w:styleId="EndNoteBibliographyChar">
    <w:name w:val="EndNote Bibliography Char"/>
    <w:basedOn w:val="a0"/>
    <w:link w:val="EndNoteBibliography"/>
    <w:rsid w:val="001C355D"/>
    <w:rPr>
      <w:rFonts w:ascii="Arial" w:eastAsia="宋体" w:hAnsi="Arial" w:cs="Arial"/>
      <w:lang w:eastAsia="zh-CN"/>
    </w:rPr>
  </w:style>
  <w:style w:type="paragraph" w:styleId="a4">
    <w:name w:val="Balloon Text"/>
    <w:basedOn w:val="a"/>
    <w:link w:val="a5"/>
    <w:uiPriority w:val="99"/>
    <w:semiHidden/>
    <w:unhideWhenUsed/>
    <w:rsid w:val="00940669"/>
    <w:pPr>
      <w:spacing w:after="0" w:line="240" w:lineRule="auto"/>
    </w:pPr>
    <w:rPr>
      <w:rFonts w:ascii="Segoe UI" w:hAnsi="Segoe UI" w:cs="Segoe UI"/>
      <w:sz w:val="18"/>
      <w:szCs w:val="18"/>
    </w:rPr>
  </w:style>
  <w:style w:type="character" w:customStyle="1" w:styleId="a5">
    <w:name w:val="批注框文本 字符"/>
    <w:basedOn w:val="a0"/>
    <w:link w:val="a4"/>
    <w:uiPriority w:val="99"/>
    <w:semiHidden/>
    <w:rsid w:val="00940669"/>
    <w:rPr>
      <w:rFonts w:ascii="Segoe UI" w:hAnsi="Segoe UI" w:cs="Segoe UI"/>
      <w:sz w:val="18"/>
      <w:szCs w:val="18"/>
    </w:rPr>
  </w:style>
  <w:style w:type="character" w:styleId="a6">
    <w:name w:val="annotation reference"/>
    <w:basedOn w:val="a0"/>
    <w:uiPriority w:val="99"/>
    <w:semiHidden/>
    <w:unhideWhenUsed/>
    <w:rsid w:val="0030228C"/>
    <w:rPr>
      <w:sz w:val="16"/>
      <w:szCs w:val="16"/>
    </w:rPr>
  </w:style>
  <w:style w:type="paragraph" w:styleId="a7">
    <w:name w:val="annotation text"/>
    <w:basedOn w:val="a"/>
    <w:link w:val="a8"/>
    <w:uiPriority w:val="99"/>
    <w:unhideWhenUsed/>
    <w:rsid w:val="0030228C"/>
    <w:pPr>
      <w:spacing w:line="240" w:lineRule="auto"/>
    </w:pPr>
    <w:rPr>
      <w:sz w:val="20"/>
      <w:szCs w:val="20"/>
    </w:rPr>
  </w:style>
  <w:style w:type="character" w:customStyle="1" w:styleId="a8">
    <w:name w:val="批注文字 字符"/>
    <w:basedOn w:val="a0"/>
    <w:link w:val="a7"/>
    <w:uiPriority w:val="99"/>
    <w:rsid w:val="0030228C"/>
    <w:rPr>
      <w:sz w:val="20"/>
      <w:szCs w:val="20"/>
    </w:rPr>
  </w:style>
  <w:style w:type="paragraph" w:styleId="a9">
    <w:name w:val="annotation subject"/>
    <w:basedOn w:val="a7"/>
    <w:next w:val="a7"/>
    <w:link w:val="aa"/>
    <w:uiPriority w:val="99"/>
    <w:semiHidden/>
    <w:unhideWhenUsed/>
    <w:rsid w:val="0030228C"/>
    <w:rPr>
      <w:b/>
      <w:bCs/>
    </w:rPr>
  </w:style>
  <w:style w:type="character" w:customStyle="1" w:styleId="aa">
    <w:name w:val="批注主题 字符"/>
    <w:basedOn w:val="a8"/>
    <w:link w:val="a9"/>
    <w:uiPriority w:val="99"/>
    <w:semiHidden/>
    <w:rsid w:val="0030228C"/>
    <w:rPr>
      <w:b/>
      <w:bCs/>
      <w:sz w:val="20"/>
      <w:szCs w:val="20"/>
    </w:rPr>
  </w:style>
  <w:style w:type="character" w:styleId="ab">
    <w:name w:val="FollowedHyperlink"/>
    <w:basedOn w:val="a0"/>
    <w:uiPriority w:val="99"/>
    <w:semiHidden/>
    <w:unhideWhenUsed/>
    <w:rsid w:val="00C00D15"/>
    <w:rPr>
      <w:color w:val="954F72" w:themeColor="followedHyperlink"/>
      <w:u w:val="single"/>
    </w:rPr>
  </w:style>
  <w:style w:type="paragraph" w:styleId="ac">
    <w:name w:val="Normal (Web)"/>
    <w:basedOn w:val="a"/>
    <w:link w:val="ad"/>
    <w:uiPriority w:val="99"/>
    <w:unhideWhenUsed/>
    <w:rsid w:val="00023844"/>
    <w:pPr>
      <w:spacing w:before="100" w:beforeAutospacing="1" w:after="100" w:afterAutospacing="1" w:line="240" w:lineRule="auto"/>
    </w:pPr>
    <w:rPr>
      <w:rFonts w:ascii="Times New Roman" w:hAnsi="Times New Roman" w:cs="Times New Roman"/>
      <w:sz w:val="24"/>
      <w:szCs w:val="24"/>
    </w:rPr>
  </w:style>
  <w:style w:type="character" w:customStyle="1" w:styleId="ad">
    <w:name w:val="普通(网站) 字符"/>
    <w:basedOn w:val="a0"/>
    <w:link w:val="ac"/>
    <w:uiPriority w:val="99"/>
    <w:rsid w:val="00720F0C"/>
    <w:rPr>
      <w:rFonts w:ascii="Times New Roman" w:eastAsiaTheme="minorEastAsia" w:hAnsi="Times New Roman" w:cs="Times New Roman"/>
      <w:sz w:val="24"/>
      <w:szCs w:val="24"/>
    </w:rPr>
  </w:style>
  <w:style w:type="paragraph" w:styleId="ae">
    <w:name w:val="Revision"/>
    <w:hidden/>
    <w:uiPriority w:val="99"/>
    <w:semiHidden/>
    <w:rsid w:val="00BE15EE"/>
    <w:pPr>
      <w:spacing w:after="0" w:line="240" w:lineRule="auto"/>
    </w:pPr>
  </w:style>
  <w:style w:type="character" w:customStyle="1" w:styleId="citationref">
    <w:name w:val="citationref"/>
    <w:basedOn w:val="a0"/>
    <w:rsid w:val="001639DA"/>
  </w:style>
  <w:style w:type="paragraph" w:styleId="af">
    <w:name w:val="List Paragraph"/>
    <w:basedOn w:val="a"/>
    <w:uiPriority w:val="34"/>
    <w:qFormat/>
    <w:rsid w:val="00B571F1"/>
    <w:pPr>
      <w:spacing w:after="0" w:line="240" w:lineRule="auto"/>
      <w:ind w:left="720"/>
      <w:contextualSpacing/>
    </w:pPr>
    <w:rPr>
      <w:sz w:val="24"/>
      <w:szCs w:val="24"/>
    </w:rPr>
  </w:style>
  <w:style w:type="paragraph" w:customStyle="1" w:styleId="11">
    <w:name w:val="正文1"/>
    <w:uiPriority w:val="99"/>
    <w:rsid w:val="00253B19"/>
    <w:pPr>
      <w:spacing w:after="0"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40">
      <w:bodyDiv w:val="1"/>
      <w:marLeft w:val="0"/>
      <w:marRight w:val="0"/>
      <w:marTop w:val="0"/>
      <w:marBottom w:val="0"/>
      <w:divBdr>
        <w:top w:val="none" w:sz="0" w:space="0" w:color="auto"/>
        <w:left w:val="none" w:sz="0" w:space="0" w:color="auto"/>
        <w:bottom w:val="none" w:sz="0" w:space="0" w:color="auto"/>
        <w:right w:val="none" w:sz="0" w:space="0" w:color="auto"/>
      </w:divBdr>
    </w:div>
    <w:div w:id="7757292">
      <w:bodyDiv w:val="1"/>
      <w:marLeft w:val="0"/>
      <w:marRight w:val="0"/>
      <w:marTop w:val="0"/>
      <w:marBottom w:val="0"/>
      <w:divBdr>
        <w:top w:val="none" w:sz="0" w:space="0" w:color="auto"/>
        <w:left w:val="none" w:sz="0" w:space="0" w:color="auto"/>
        <w:bottom w:val="none" w:sz="0" w:space="0" w:color="auto"/>
        <w:right w:val="none" w:sz="0" w:space="0" w:color="auto"/>
      </w:divBdr>
    </w:div>
    <w:div w:id="11734818">
      <w:bodyDiv w:val="1"/>
      <w:marLeft w:val="0"/>
      <w:marRight w:val="0"/>
      <w:marTop w:val="0"/>
      <w:marBottom w:val="0"/>
      <w:divBdr>
        <w:top w:val="none" w:sz="0" w:space="0" w:color="auto"/>
        <w:left w:val="none" w:sz="0" w:space="0" w:color="auto"/>
        <w:bottom w:val="none" w:sz="0" w:space="0" w:color="auto"/>
        <w:right w:val="none" w:sz="0" w:space="0" w:color="auto"/>
      </w:divBdr>
    </w:div>
    <w:div w:id="60522474">
      <w:bodyDiv w:val="1"/>
      <w:marLeft w:val="0"/>
      <w:marRight w:val="0"/>
      <w:marTop w:val="0"/>
      <w:marBottom w:val="0"/>
      <w:divBdr>
        <w:top w:val="none" w:sz="0" w:space="0" w:color="auto"/>
        <w:left w:val="none" w:sz="0" w:space="0" w:color="auto"/>
        <w:bottom w:val="none" w:sz="0" w:space="0" w:color="auto"/>
        <w:right w:val="none" w:sz="0" w:space="0" w:color="auto"/>
      </w:divBdr>
    </w:div>
    <w:div w:id="65617370">
      <w:bodyDiv w:val="1"/>
      <w:marLeft w:val="0"/>
      <w:marRight w:val="0"/>
      <w:marTop w:val="0"/>
      <w:marBottom w:val="0"/>
      <w:divBdr>
        <w:top w:val="none" w:sz="0" w:space="0" w:color="auto"/>
        <w:left w:val="none" w:sz="0" w:space="0" w:color="auto"/>
        <w:bottom w:val="none" w:sz="0" w:space="0" w:color="auto"/>
        <w:right w:val="none" w:sz="0" w:space="0" w:color="auto"/>
      </w:divBdr>
    </w:div>
    <w:div w:id="74712871">
      <w:bodyDiv w:val="1"/>
      <w:marLeft w:val="0"/>
      <w:marRight w:val="0"/>
      <w:marTop w:val="0"/>
      <w:marBottom w:val="0"/>
      <w:divBdr>
        <w:top w:val="none" w:sz="0" w:space="0" w:color="auto"/>
        <w:left w:val="none" w:sz="0" w:space="0" w:color="auto"/>
        <w:bottom w:val="none" w:sz="0" w:space="0" w:color="auto"/>
        <w:right w:val="none" w:sz="0" w:space="0" w:color="auto"/>
      </w:divBdr>
    </w:div>
    <w:div w:id="91360033">
      <w:bodyDiv w:val="1"/>
      <w:marLeft w:val="0"/>
      <w:marRight w:val="0"/>
      <w:marTop w:val="0"/>
      <w:marBottom w:val="0"/>
      <w:divBdr>
        <w:top w:val="none" w:sz="0" w:space="0" w:color="auto"/>
        <w:left w:val="none" w:sz="0" w:space="0" w:color="auto"/>
        <w:bottom w:val="none" w:sz="0" w:space="0" w:color="auto"/>
        <w:right w:val="none" w:sz="0" w:space="0" w:color="auto"/>
      </w:divBdr>
    </w:div>
    <w:div w:id="101652816">
      <w:bodyDiv w:val="1"/>
      <w:marLeft w:val="0"/>
      <w:marRight w:val="0"/>
      <w:marTop w:val="0"/>
      <w:marBottom w:val="0"/>
      <w:divBdr>
        <w:top w:val="none" w:sz="0" w:space="0" w:color="auto"/>
        <w:left w:val="none" w:sz="0" w:space="0" w:color="auto"/>
        <w:bottom w:val="none" w:sz="0" w:space="0" w:color="auto"/>
        <w:right w:val="none" w:sz="0" w:space="0" w:color="auto"/>
      </w:divBdr>
    </w:div>
    <w:div w:id="107090409">
      <w:bodyDiv w:val="1"/>
      <w:marLeft w:val="0"/>
      <w:marRight w:val="0"/>
      <w:marTop w:val="0"/>
      <w:marBottom w:val="0"/>
      <w:divBdr>
        <w:top w:val="none" w:sz="0" w:space="0" w:color="auto"/>
        <w:left w:val="none" w:sz="0" w:space="0" w:color="auto"/>
        <w:bottom w:val="none" w:sz="0" w:space="0" w:color="auto"/>
        <w:right w:val="none" w:sz="0" w:space="0" w:color="auto"/>
      </w:divBdr>
    </w:div>
    <w:div w:id="117724642">
      <w:bodyDiv w:val="1"/>
      <w:marLeft w:val="0"/>
      <w:marRight w:val="0"/>
      <w:marTop w:val="0"/>
      <w:marBottom w:val="0"/>
      <w:divBdr>
        <w:top w:val="none" w:sz="0" w:space="0" w:color="auto"/>
        <w:left w:val="none" w:sz="0" w:space="0" w:color="auto"/>
        <w:bottom w:val="none" w:sz="0" w:space="0" w:color="auto"/>
        <w:right w:val="none" w:sz="0" w:space="0" w:color="auto"/>
      </w:divBdr>
    </w:div>
    <w:div w:id="122695791">
      <w:bodyDiv w:val="1"/>
      <w:marLeft w:val="0"/>
      <w:marRight w:val="0"/>
      <w:marTop w:val="0"/>
      <w:marBottom w:val="0"/>
      <w:divBdr>
        <w:top w:val="none" w:sz="0" w:space="0" w:color="auto"/>
        <w:left w:val="none" w:sz="0" w:space="0" w:color="auto"/>
        <w:bottom w:val="none" w:sz="0" w:space="0" w:color="auto"/>
        <w:right w:val="none" w:sz="0" w:space="0" w:color="auto"/>
      </w:divBdr>
    </w:div>
    <w:div w:id="123080447">
      <w:bodyDiv w:val="1"/>
      <w:marLeft w:val="0"/>
      <w:marRight w:val="0"/>
      <w:marTop w:val="0"/>
      <w:marBottom w:val="0"/>
      <w:divBdr>
        <w:top w:val="none" w:sz="0" w:space="0" w:color="auto"/>
        <w:left w:val="none" w:sz="0" w:space="0" w:color="auto"/>
        <w:bottom w:val="none" w:sz="0" w:space="0" w:color="auto"/>
        <w:right w:val="none" w:sz="0" w:space="0" w:color="auto"/>
      </w:divBdr>
    </w:div>
    <w:div w:id="123230455">
      <w:bodyDiv w:val="1"/>
      <w:marLeft w:val="0"/>
      <w:marRight w:val="0"/>
      <w:marTop w:val="0"/>
      <w:marBottom w:val="0"/>
      <w:divBdr>
        <w:top w:val="none" w:sz="0" w:space="0" w:color="auto"/>
        <w:left w:val="none" w:sz="0" w:space="0" w:color="auto"/>
        <w:bottom w:val="none" w:sz="0" w:space="0" w:color="auto"/>
        <w:right w:val="none" w:sz="0" w:space="0" w:color="auto"/>
      </w:divBdr>
    </w:div>
    <w:div w:id="134834744">
      <w:bodyDiv w:val="1"/>
      <w:marLeft w:val="0"/>
      <w:marRight w:val="0"/>
      <w:marTop w:val="0"/>
      <w:marBottom w:val="0"/>
      <w:divBdr>
        <w:top w:val="none" w:sz="0" w:space="0" w:color="auto"/>
        <w:left w:val="none" w:sz="0" w:space="0" w:color="auto"/>
        <w:bottom w:val="none" w:sz="0" w:space="0" w:color="auto"/>
        <w:right w:val="none" w:sz="0" w:space="0" w:color="auto"/>
      </w:divBdr>
    </w:div>
    <w:div w:id="156190442">
      <w:bodyDiv w:val="1"/>
      <w:marLeft w:val="0"/>
      <w:marRight w:val="0"/>
      <w:marTop w:val="0"/>
      <w:marBottom w:val="0"/>
      <w:divBdr>
        <w:top w:val="none" w:sz="0" w:space="0" w:color="auto"/>
        <w:left w:val="none" w:sz="0" w:space="0" w:color="auto"/>
        <w:bottom w:val="none" w:sz="0" w:space="0" w:color="auto"/>
        <w:right w:val="none" w:sz="0" w:space="0" w:color="auto"/>
      </w:divBdr>
    </w:div>
    <w:div w:id="159741557">
      <w:bodyDiv w:val="1"/>
      <w:marLeft w:val="0"/>
      <w:marRight w:val="0"/>
      <w:marTop w:val="0"/>
      <w:marBottom w:val="0"/>
      <w:divBdr>
        <w:top w:val="none" w:sz="0" w:space="0" w:color="auto"/>
        <w:left w:val="none" w:sz="0" w:space="0" w:color="auto"/>
        <w:bottom w:val="none" w:sz="0" w:space="0" w:color="auto"/>
        <w:right w:val="none" w:sz="0" w:space="0" w:color="auto"/>
      </w:divBdr>
    </w:div>
    <w:div w:id="159926325">
      <w:bodyDiv w:val="1"/>
      <w:marLeft w:val="0"/>
      <w:marRight w:val="0"/>
      <w:marTop w:val="0"/>
      <w:marBottom w:val="0"/>
      <w:divBdr>
        <w:top w:val="none" w:sz="0" w:space="0" w:color="auto"/>
        <w:left w:val="none" w:sz="0" w:space="0" w:color="auto"/>
        <w:bottom w:val="none" w:sz="0" w:space="0" w:color="auto"/>
        <w:right w:val="none" w:sz="0" w:space="0" w:color="auto"/>
      </w:divBdr>
    </w:div>
    <w:div w:id="169028803">
      <w:bodyDiv w:val="1"/>
      <w:marLeft w:val="0"/>
      <w:marRight w:val="0"/>
      <w:marTop w:val="0"/>
      <w:marBottom w:val="0"/>
      <w:divBdr>
        <w:top w:val="none" w:sz="0" w:space="0" w:color="auto"/>
        <w:left w:val="none" w:sz="0" w:space="0" w:color="auto"/>
        <w:bottom w:val="none" w:sz="0" w:space="0" w:color="auto"/>
        <w:right w:val="none" w:sz="0" w:space="0" w:color="auto"/>
      </w:divBdr>
    </w:div>
    <w:div w:id="171844776">
      <w:bodyDiv w:val="1"/>
      <w:marLeft w:val="0"/>
      <w:marRight w:val="0"/>
      <w:marTop w:val="0"/>
      <w:marBottom w:val="0"/>
      <w:divBdr>
        <w:top w:val="none" w:sz="0" w:space="0" w:color="auto"/>
        <w:left w:val="none" w:sz="0" w:space="0" w:color="auto"/>
        <w:bottom w:val="none" w:sz="0" w:space="0" w:color="auto"/>
        <w:right w:val="none" w:sz="0" w:space="0" w:color="auto"/>
      </w:divBdr>
    </w:div>
    <w:div w:id="175964630">
      <w:bodyDiv w:val="1"/>
      <w:marLeft w:val="0"/>
      <w:marRight w:val="0"/>
      <w:marTop w:val="0"/>
      <w:marBottom w:val="0"/>
      <w:divBdr>
        <w:top w:val="none" w:sz="0" w:space="0" w:color="auto"/>
        <w:left w:val="none" w:sz="0" w:space="0" w:color="auto"/>
        <w:bottom w:val="none" w:sz="0" w:space="0" w:color="auto"/>
        <w:right w:val="none" w:sz="0" w:space="0" w:color="auto"/>
      </w:divBdr>
    </w:div>
    <w:div w:id="177164902">
      <w:bodyDiv w:val="1"/>
      <w:marLeft w:val="0"/>
      <w:marRight w:val="0"/>
      <w:marTop w:val="0"/>
      <w:marBottom w:val="0"/>
      <w:divBdr>
        <w:top w:val="none" w:sz="0" w:space="0" w:color="auto"/>
        <w:left w:val="none" w:sz="0" w:space="0" w:color="auto"/>
        <w:bottom w:val="none" w:sz="0" w:space="0" w:color="auto"/>
        <w:right w:val="none" w:sz="0" w:space="0" w:color="auto"/>
      </w:divBdr>
    </w:div>
    <w:div w:id="177425974">
      <w:bodyDiv w:val="1"/>
      <w:marLeft w:val="0"/>
      <w:marRight w:val="0"/>
      <w:marTop w:val="0"/>
      <w:marBottom w:val="0"/>
      <w:divBdr>
        <w:top w:val="none" w:sz="0" w:space="0" w:color="auto"/>
        <w:left w:val="none" w:sz="0" w:space="0" w:color="auto"/>
        <w:bottom w:val="none" w:sz="0" w:space="0" w:color="auto"/>
        <w:right w:val="none" w:sz="0" w:space="0" w:color="auto"/>
      </w:divBdr>
    </w:div>
    <w:div w:id="199513599">
      <w:bodyDiv w:val="1"/>
      <w:marLeft w:val="0"/>
      <w:marRight w:val="0"/>
      <w:marTop w:val="0"/>
      <w:marBottom w:val="0"/>
      <w:divBdr>
        <w:top w:val="none" w:sz="0" w:space="0" w:color="auto"/>
        <w:left w:val="none" w:sz="0" w:space="0" w:color="auto"/>
        <w:bottom w:val="none" w:sz="0" w:space="0" w:color="auto"/>
        <w:right w:val="none" w:sz="0" w:space="0" w:color="auto"/>
      </w:divBdr>
    </w:div>
    <w:div w:id="204173191">
      <w:bodyDiv w:val="1"/>
      <w:marLeft w:val="0"/>
      <w:marRight w:val="0"/>
      <w:marTop w:val="0"/>
      <w:marBottom w:val="0"/>
      <w:divBdr>
        <w:top w:val="none" w:sz="0" w:space="0" w:color="auto"/>
        <w:left w:val="none" w:sz="0" w:space="0" w:color="auto"/>
        <w:bottom w:val="none" w:sz="0" w:space="0" w:color="auto"/>
        <w:right w:val="none" w:sz="0" w:space="0" w:color="auto"/>
      </w:divBdr>
    </w:div>
    <w:div w:id="217711136">
      <w:bodyDiv w:val="1"/>
      <w:marLeft w:val="0"/>
      <w:marRight w:val="0"/>
      <w:marTop w:val="0"/>
      <w:marBottom w:val="0"/>
      <w:divBdr>
        <w:top w:val="none" w:sz="0" w:space="0" w:color="auto"/>
        <w:left w:val="none" w:sz="0" w:space="0" w:color="auto"/>
        <w:bottom w:val="none" w:sz="0" w:space="0" w:color="auto"/>
        <w:right w:val="none" w:sz="0" w:space="0" w:color="auto"/>
      </w:divBdr>
    </w:div>
    <w:div w:id="218711086">
      <w:bodyDiv w:val="1"/>
      <w:marLeft w:val="0"/>
      <w:marRight w:val="0"/>
      <w:marTop w:val="0"/>
      <w:marBottom w:val="0"/>
      <w:divBdr>
        <w:top w:val="none" w:sz="0" w:space="0" w:color="auto"/>
        <w:left w:val="none" w:sz="0" w:space="0" w:color="auto"/>
        <w:bottom w:val="none" w:sz="0" w:space="0" w:color="auto"/>
        <w:right w:val="none" w:sz="0" w:space="0" w:color="auto"/>
      </w:divBdr>
    </w:div>
    <w:div w:id="228200249">
      <w:bodyDiv w:val="1"/>
      <w:marLeft w:val="0"/>
      <w:marRight w:val="0"/>
      <w:marTop w:val="0"/>
      <w:marBottom w:val="0"/>
      <w:divBdr>
        <w:top w:val="none" w:sz="0" w:space="0" w:color="auto"/>
        <w:left w:val="none" w:sz="0" w:space="0" w:color="auto"/>
        <w:bottom w:val="none" w:sz="0" w:space="0" w:color="auto"/>
        <w:right w:val="none" w:sz="0" w:space="0" w:color="auto"/>
      </w:divBdr>
    </w:div>
    <w:div w:id="240406607">
      <w:bodyDiv w:val="1"/>
      <w:marLeft w:val="0"/>
      <w:marRight w:val="0"/>
      <w:marTop w:val="0"/>
      <w:marBottom w:val="0"/>
      <w:divBdr>
        <w:top w:val="none" w:sz="0" w:space="0" w:color="auto"/>
        <w:left w:val="none" w:sz="0" w:space="0" w:color="auto"/>
        <w:bottom w:val="none" w:sz="0" w:space="0" w:color="auto"/>
        <w:right w:val="none" w:sz="0" w:space="0" w:color="auto"/>
      </w:divBdr>
    </w:div>
    <w:div w:id="251664481">
      <w:bodyDiv w:val="1"/>
      <w:marLeft w:val="0"/>
      <w:marRight w:val="0"/>
      <w:marTop w:val="0"/>
      <w:marBottom w:val="0"/>
      <w:divBdr>
        <w:top w:val="none" w:sz="0" w:space="0" w:color="auto"/>
        <w:left w:val="none" w:sz="0" w:space="0" w:color="auto"/>
        <w:bottom w:val="none" w:sz="0" w:space="0" w:color="auto"/>
        <w:right w:val="none" w:sz="0" w:space="0" w:color="auto"/>
      </w:divBdr>
    </w:div>
    <w:div w:id="259917494">
      <w:bodyDiv w:val="1"/>
      <w:marLeft w:val="0"/>
      <w:marRight w:val="0"/>
      <w:marTop w:val="0"/>
      <w:marBottom w:val="0"/>
      <w:divBdr>
        <w:top w:val="none" w:sz="0" w:space="0" w:color="auto"/>
        <w:left w:val="none" w:sz="0" w:space="0" w:color="auto"/>
        <w:bottom w:val="none" w:sz="0" w:space="0" w:color="auto"/>
        <w:right w:val="none" w:sz="0" w:space="0" w:color="auto"/>
      </w:divBdr>
    </w:div>
    <w:div w:id="261646135">
      <w:bodyDiv w:val="1"/>
      <w:marLeft w:val="0"/>
      <w:marRight w:val="0"/>
      <w:marTop w:val="0"/>
      <w:marBottom w:val="0"/>
      <w:divBdr>
        <w:top w:val="none" w:sz="0" w:space="0" w:color="auto"/>
        <w:left w:val="none" w:sz="0" w:space="0" w:color="auto"/>
        <w:bottom w:val="none" w:sz="0" w:space="0" w:color="auto"/>
        <w:right w:val="none" w:sz="0" w:space="0" w:color="auto"/>
      </w:divBdr>
    </w:div>
    <w:div w:id="265310093">
      <w:bodyDiv w:val="1"/>
      <w:marLeft w:val="0"/>
      <w:marRight w:val="0"/>
      <w:marTop w:val="0"/>
      <w:marBottom w:val="0"/>
      <w:divBdr>
        <w:top w:val="none" w:sz="0" w:space="0" w:color="auto"/>
        <w:left w:val="none" w:sz="0" w:space="0" w:color="auto"/>
        <w:bottom w:val="none" w:sz="0" w:space="0" w:color="auto"/>
        <w:right w:val="none" w:sz="0" w:space="0" w:color="auto"/>
      </w:divBdr>
    </w:div>
    <w:div w:id="271254992">
      <w:bodyDiv w:val="1"/>
      <w:marLeft w:val="0"/>
      <w:marRight w:val="0"/>
      <w:marTop w:val="0"/>
      <w:marBottom w:val="0"/>
      <w:divBdr>
        <w:top w:val="none" w:sz="0" w:space="0" w:color="auto"/>
        <w:left w:val="none" w:sz="0" w:space="0" w:color="auto"/>
        <w:bottom w:val="none" w:sz="0" w:space="0" w:color="auto"/>
        <w:right w:val="none" w:sz="0" w:space="0" w:color="auto"/>
      </w:divBdr>
    </w:div>
    <w:div w:id="285940062">
      <w:bodyDiv w:val="1"/>
      <w:marLeft w:val="0"/>
      <w:marRight w:val="0"/>
      <w:marTop w:val="0"/>
      <w:marBottom w:val="0"/>
      <w:divBdr>
        <w:top w:val="none" w:sz="0" w:space="0" w:color="auto"/>
        <w:left w:val="none" w:sz="0" w:space="0" w:color="auto"/>
        <w:bottom w:val="none" w:sz="0" w:space="0" w:color="auto"/>
        <w:right w:val="none" w:sz="0" w:space="0" w:color="auto"/>
      </w:divBdr>
    </w:div>
    <w:div w:id="288365621">
      <w:bodyDiv w:val="1"/>
      <w:marLeft w:val="0"/>
      <w:marRight w:val="0"/>
      <w:marTop w:val="0"/>
      <w:marBottom w:val="0"/>
      <w:divBdr>
        <w:top w:val="none" w:sz="0" w:space="0" w:color="auto"/>
        <w:left w:val="none" w:sz="0" w:space="0" w:color="auto"/>
        <w:bottom w:val="none" w:sz="0" w:space="0" w:color="auto"/>
        <w:right w:val="none" w:sz="0" w:space="0" w:color="auto"/>
      </w:divBdr>
    </w:div>
    <w:div w:id="302783003">
      <w:bodyDiv w:val="1"/>
      <w:marLeft w:val="0"/>
      <w:marRight w:val="0"/>
      <w:marTop w:val="0"/>
      <w:marBottom w:val="0"/>
      <w:divBdr>
        <w:top w:val="none" w:sz="0" w:space="0" w:color="auto"/>
        <w:left w:val="none" w:sz="0" w:space="0" w:color="auto"/>
        <w:bottom w:val="none" w:sz="0" w:space="0" w:color="auto"/>
        <w:right w:val="none" w:sz="0" w:space="0" w:color="auto"/>
      </w:divBdr>
    </w:div>
    <w:div w:id="310445952">
      <w:bodyDiv w:val="1"/>
      <w:marLeft w:val="0"/>
      <w:marRight w:val="0"/>
      <w:marTop w:val="0"/>
      <w:marBottom w:val="0"/>
      <w:divBdr>
        <w:top w:val="none" w:sz="0" w:space="0" w:color="auto"/>
        <w:left w:val="none" w:sz="0" w:space="0" w:color="auto"/>
        <w:bottom w:val="none" w:sz="0" w:space="0" w:color="auto"/>
        <w:right w:val="none" w:sz="0" w:space="0" w:color="auto"/>
      </w:divBdr>
    </w:div>
    <w:div w:id="313604455">
      <w:bodyDiv w:val="1"/>
      <w:marLeft w:val="0"/>
      <w:marRight w:val="0"/>
      <w:marTop w:val="0"/>
      <w:marBottom w:val="0"/>
      <w:divBdr>
        <w:top w:val="none" w:sz="0" w:space="0" w:color="auto"/>
        <w:left w:val="none" w:sz="0" w:space="0" w:color="auto"/>
        <w:bottom w:val="none" w:sz="0" w:space="0" w:color="auto"/>
        <w:right w:val="none" w:sz="0" w:space="0" w:color="auto"/>
      </w:divBdr>
    </w:div>
    <w:div w:id="322857753">
      <w:bodyDiv w:val="1"/>
      <w:marLeft w:val="0"/>
      <w:marRight w:val="0"/>
      <w:marTop w:val="0"/>
      <w:marBottom w:val="0"/>
      <w:divBdr>
        <w:top w:val="none" w:sz="0" w:space="0" w:color="auto"/>
        <w:left w:val="none" w:sz="0" w:space="0" w:color="auto"/>
        <w:bottom w:val="none" w:sz="0" w:space="0" w:color="auto"/>
        <w:right w:val="none" w:sz="0" w:space="0" w:color="auto"/>
      </w:divBdr>
    </w:div>
    <w:div w:id="357850652">
      <w:bodyDiv w:val="1"/>
      <w:marLeft w:val="0"/>
      <w:marRight w:val="0"/>
      <w:marTop w:val="0"/>
      <w:marBottom w:val="0"/>
      <w:divBdr>
        <w:top w:val="none" w:sz="0" w:space="0" w:color="auto"/>
        <w:left w:val="none" w:sz="0" w:space="0" w:color="auto"/>
        <w:bottom w:val="none" w:sz="0" w:space="0" w:color="auto"/>
        <w:right w:val="none" w:sz="0" w:space="0" w:color="auto"/>
      </w:divBdr>
    </w:div>
    <w:div w:id="372852373">
      <w:bodyDiv w:val="1"/>
      <w:marLeft w:val="0"/>
      <w:marRight w:val="0"/>
      <w:marTop w:val="0"/>
      <w:marBottom w:val="0"/>
      <w:divBdr>
        <w:top w:val="none" w:sz="0" w:space="0" w:color="auto"/>
        <w:left w:val="none" w:sz="0" w:space="0" w:color="auto"/>
        <w:bottom w:val="none" w:sz="0" w:space="0" w:color="auto"/>
        <w:right w:val="none" w:sz="0" w:space="0" w:color="auto"/>
      </w:divBdr>
    </w:div>
    <w:div w:id="393940926">
      <w:bodyDiv w:val="1"/>
      <w:marLeft w:val="0"/>
      <w:marRight w:val="0"/>
      <w:marTop w:val="0"/>
      <w:marBottom w:val="0"/>
      <w:divBdr>
        <w:top w:val="none" w:sz="0" w:space="0" w:color="auto"/>
        <w:left w:val="none" w:sz="0" w:space="0" w:color="auto"/>
        <w:bottom w:val="none" w:sz="0" w:space="0" w:color="auto"/>
        <w:right w:val="none" w:sz="0" w:space="0" w:color="auto"/>
      </w:divBdr>
    </w:div>
    <w:div w:id="395931787">
      <w:bodyDiv w:val="1"/>
      <w:marLeft w:val="0"/>
      <w:marRight w:val="0"/>
      <w:marTop w:val="0"/>
      <w:marBottom w:val="0"/>
      <w:divBdr>
        <w:top w:val="none" w:sz="0" w:space="0" w:color="auto"/>
        <w:left w:val="none" w:sz="0" w:space="0" w:color="auto"/>
        <w:bottom w:val="none" w:sz="0" w:space="0" w:color="auto"/>
        <w:right w:val="none" w:sz="0" w:space="0" w:color="auto"/>
      </w:divBdr>
    </w:div>
    <w:div w:id="399061112">
      <w:bodyDiv w:val="1"/>
      <w:marLeft w:val="0"/>
      <w:marRight w:val="0"/>
      <w:marTop w:val="0"/>
      <w:marBottom w:val="0"/>
      <w:divBdr>
        <w:top w:val="none" w:sz="0" w:space="0" w:color="auto"/>
        <w:left w:val="none" w:sz="0" w:space="0" w:color="auto"/>
        <w:bottom w:val="none" w:sz="0" w:space="0" w:color="auto"/>
        <w:right w:val="none" w:sz="0" w:space="0" w:color="auto"/>
      </w:divBdr>
    </w:div>
    <w:div w:id="407464961">
      <w:bodyDiv w:val="1"/>
      <w:marLeft w:val="0"/>
      <w:marRight w:val="0"/>
      <w:marTop w:val="0"/>
      <w:marBottom w:val="0"/>
      <w:divBdr>
        <w:top w:val="none" w:sz="0" w:space="0" w:color="auto"/>
        <w:left w:val="none" w:sz="0" w:space="0" w:color="auto"/>
        <w:bottom w:val="none" w:sz="0" w:space="0" w:color="auto"/>
        <w:right w:val="none" w:sz="0" w:space="0" w:color="auto"/>
      </w:divBdr>
    </w:div>
    <w:div w:id="411391818">
      <w:bodyDiv w:val="1"/>
      <w:marLeft w:val="0"/>
      <w:marRight w:val="0"/>
      <w:marTop w:val="0"/>
      <w:marBottom w:val="0"/>
      <w:divBdr>
        <w:top w:val="none" w:sz="0" w:space="0" w:color="auto"/>
        <w:left w:val="none" w:sz="0" w:space="0" w:color="auto"/>
        <w:bottom w:val="none" w:sz="0" w:space="0" w:color="auto"/>
        <w:right w:val="none" w:sz="0" w:space="0" w:color="auto"/>
      </w:divBdr>
    </w:div>
    <w:div w:id="413281444">
      <w:bodyDiv w:val="1"/>
      <w:marLeft w:val="0"/>
      <w:marRight w:val="0"/>
      <w:marTop w:val="0"/>
      <w:marBottom w:val="0"/>
      <w:divBdr>
        <w:top w:val="none" w:sz="0" w:space="0" w:color="auto"/>
        <w:left w:val="none" w:sz="0" w:space="0" w:color="auto"/>
        <w:bottom w:val="none" w:sz="0" w:space="0" w:color="auto"/>
        <w:right w:val="none" w:sz="0" w:space="0" w:color="auto"/>
      </w:divBdr>
    </w:div>
    <w:div w:id="429082546">
      <w:bodyDiv w:val="1"/>
      <w:marLeft w:val="0"/>
      <w:marRight w:val="0"/>
      <w:marTop w:val="0"/>
      <w:marBottom w:val="0"/>
      <w:divBdr>
        <w:top w:val="none" w:sz="0" w:space="0" w:color="auto"/>
        <w:left w:val="none" w:sz="0" w:space="0" w:color="auto"/>
        <w:bottom w:val="none" w:sz="0" w:space="0" w:color="auto"/>
        <w:right w:val="none" w:sz="0" w:space="0" w:color="auto"/>
      </w:divBdr>
    </w:div>
    <w:div w:id="437875060">
      <w:bodyDiv w:val="1"/>
      <w:marLeft w:val="0"/>
      <w:marRight w:val="0"/>
      <w:marTop w:val="0"/>
      <w:marBottom w:val="0"/>
      <w:divBdr>
        <w:top w:val="none" w:sz="0" w:space="0" w:color="auto"/>
        <w:left w:val="none" w:sz="0" w:space="0" w:color="auto"/>
        <w:bottom w:val="none" w:sz="0" w:space="0" w:color="auto"/>
        <w:right w:val="none" w:sz="0" w:space="0" w:color="auto"/>
      </w:divBdr>
    </w:div>
    <w:div w:id="439380297">
      <w:bodyDiv w:val="1"/>
      <w:marLeft w:val="0"/>
      <w:marRight w:val="0"/>
      <w:marTop w:val="0"/>
      <w:marBottom w:val="0"/>
      <w:divBdr>
        <w:top w:val="none" w:sz="0" w:space="0" w:color="auto"/>
        <w:left w:val="none" w:sz="0" w:space="0" w:color="auto"/>
        <w:bottom w:val="none" w:sz="0" w:space="0" w:color="auto"/>
        <w:right w:val="none" w:sz="0" w:space="0" w:color="auto"/>
      </w:divBdr>
    </w:div>
    <w:div w:id="449519073">
      <w:bodyDiv w:val="1"/>
      <w:marLeft w:val="0"/>
      <w:marRight w:val="0"/>
      <w:marTop w:val="0"/>
      <w:marBottom w:val="0"/>
      <w:divBdr>
        <w:top w:val="none" w:sz="0" w:space="0" w:color="auto"/>
        <w:left w:val="none" w:sz="0" w:space="0" w:color="auto"/>
        <w:bottom w:val="none" w:sz="0" w:space="0" w:color="auto"/>
        <w:right w:val="none" w:sz="0" w:space="0" w:color="auto"/>
      </w:divBdr>
    </w:div>
    <w:div w:id="449786375">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52134783">
      <w:bodyDiv w:val="1"/>
      <w:marLeft w:val="0"/>
      <w:marRight w:val="0"/>
      <w:marTop w:val="0"/>
      <w:marBottom w:val="0"/>
      <w:divBdr>
        <w:top w:val="none" w:sz="0" w:space="0" w:color="auto"/>
        <w:left w:val="none" w:sz="0" w:space="0" w:color="auto"/>
        <w:bottom w:val="none" w:sz="0" w:space="0" w:color="auto"/>
        <w:right w:val="none" w:sz="0" w:space="0" w:color="auto"/>
      </w:divBdr>
    </w:div>
    <w:div w:id="468406138">
      <w:bodyDiv w:val="1"/>
      <w:marLeft w:val="0"/>
      <w:marRight w:val="0"/>
      <w:marTop w:val="0"/>
      <w:marBottom w:val="0"/>
      <w:divBdr>
        <w:top w:val="none" w:sz="0" w:space="0" w:color="auto"/>
        <w:left w:val="none" w:sz="0" w:space="0" w:color="auto"/>
        <w:bottom w:val="none" w:sz="0" w:space="0" w:color="auto"/>
        <w:right w:val="none" w:sz="0" w:space="0" w:color="auto"/>
      </w:divBdr>
    </w:div>
    <w:div w:id="472674649">
      <w:bodyDiv w:val="1"/>
      <w:marLeft w:val="0"/>
      <w:marRight w:val="0"/>
      <w:marTop w:val="0"/>
      <w:marBottom w:val="0"/>
      <w:divBdr>
        <w:top w:val="none" w:sz="0" w:space="0" w:color="auto"/>
        <w:left w:val="none" w:sz="0" w:space="0" w:color="auto"/>
        <w:bottom w:val="none" w:sz="0" w:space="0" w:color="auto"/>
        <w:right w:val="none" w:sz="0" w:space="0" w:color="auto"/>
      </w:divBdr>
    </w:div>
    <w:div w:id="492112194">
      <w:bodyDiv w:val="1"/>
      <w:marLeft w:val="0"/>
      <w:marRight w:val="0"/>
      <w:marTop w:val="0"/>
      <w:marBottom w:val="0"/>
      <w:divBdr>
        <w:top w:val="none" w:sz="0" w:space="0" w:color="auto"/>
        <w:left w:val="none" w:sz="0" w:space="0" w:color="auto"/>
        <w:bottom w:val="none" w:sz="0" w:space="0" w:color="auto"/>
        <w:right w:val="none" w:sz="0" w:space="0" w:color="auto"/>
      </w:divBdr>
    </w:div>
    <w:div w:id="495731904">
      <w:bodyDiv w:val="1"/>
      <w:marLeft w:val="0"/>
      <w:marRight w:val="0"/>
      <w:marTop w:val="0"/>
      <w:marBottom w:val="0"/>
      <w:divBdr>
        <w:top w:val="none" w:sz="0" w:space="0" w:color="auto"/>
        <w:left w:val="none" w:sz="0" w:space="0" w:color="auto"/>
        <w:bottom w:val="none" w:sz="0" w:space="0" w:color="auto"/>
        <w:right w:val="none" w:sz="0" w:space="0" w:color="auto"/>
      </w:divBdr>
    </w:div>
    <w:div w:id="501244996">
      <w:bodyDiv w:val="1"/>
      <w:marLeft w:val="0"/>
      <w:marRight w:val="0"/>
      <w:marTop w:val="0"/>
      <w:marBottom w:val="0"/>
      <w:divBdr>
        <w:top w:val="none" w:sz="0" w:space="0" w:color="auto"/>
        <w:left w:val="none" w:sz="0" w:space="0" w:color="auto"/>
        <w:bottom w:val="none" w:sz="0" w:space="0" w:color="auto"/>
        <w:right w:val="none" w:sz="0" w:space="0" w:color="auto"/>
      </w:divBdr>
    </w:div>
    <w:div w:id="502167671">
      <w:bodyDiv w:val="1"/>
      <w:marLeft w:val="0"/>
      <w:marRight w:val="0"/>
      <w:marTop w:val="0"/>
      <w:marBottom w:val="0"/>
      <w:divBdr>
        <w:top w:val="none" w:sz="0" w:space="0" w:color="auto"/>
        <w:left w:val="none" w:sz="0" w:space="0" w:color="auto"/>
        <w:bottom w:val="none" w:sz="0" w:space="0" w:color="auto"/>
        <w:right w:val="none" w:sz="0" w:space="0" w:color="auto"/>
      </w:divBdr>
    </w:div>
    <w:div w:id="503281383">
      <w:bodyDiv w:val="1"/>
      <w:marLeft w:val="0"/>
      <w:marRight w:val="0"/>
      <w:marTop w:val="0"/>
      <w:marBottom w:val="0"/>
      <w:divBdr>
        <w:top w:val="none" w:sz="0" w:space="0" w:color="auto"/>
        <w:left w:val="none" w:sz="0" w:space="0" w:color="auto"/>
        <w:bottom w:val="none" w:sz="0" w:space="0" w:color="auto"/>
        <w:right w:val="none" w:sz="0" w:space="0" w:color="auto"/>
      </w:divBdr>
    </w:div>
    <w:div w:id="512306182">
      <w:bodyDiv w:val="1"/>
      <w:marLeft w:val="0"/>
      <w:marRight w:val="0"/>
      <w:marTop w:val="0"/>
      <w:marBottom w:val="0"/>
      <w:divBdr>
        <w:top w:val="none" w:sz="0" w:space="0" w:color="auto"/>
        <w:left w:val="none" w:sz="0" w:space="0" w:color="auto"/>
        <w:bottom w:val="none" w:sz="0" w:space="0" w:color="auto"/>
        <w:right w:val="none" w:sz="0" w:space="0" w:color="auto"/>
      </w:divBdr>
    </w:div>
    <w:div w:id="514077336">
      <w:bodyDiv w:val="1"/>
      <w:marLeft w:val="0"/>
      <w:marRight w:val="0"/>
      <w:marTop w:val="0"/>
      <w:marBottom w:val="0"/>
      <w:divBdr>
        <w:top w:val="none" w:sz="0" w:space="0" w:color="auto"/>
        <w:left w:val="none" w:sz="0" w:space="0" w:color="auto"/>
        <w:bottom w:val="none" w:sz="0" w:space="0" w:color="auto"/>
        <w:right w:val="none" w:sz="0" w:space="0" w:color="auto"/>
      </w:divBdr>
    </w:div>
    <w:div w:id="517501024">
      <w:bodyDiv w:val="1"/>
      <w:marLeft w:val="0"/>
      <w:marRight w:val="0"/>
      <w:marTop w:val="0"/>
      <w:marBottom w:val="0"/>
      <w:divBdr>
        <w:top w:val="none" w:sz="0" w:space="0" w:color="auto"/>
        <w:left w:val="none" w:sz="0" w:space="0" w:color="auto"/>
        <w:bottom w:val="none" w:sz="0" w:space="0" w:color="auto"/>
        <w:right w:val="none" w:sz="0" w:space="0" w:color="auto"/>
      </w:divBdr>
    </w:div>
    <w:div w:id="531576110">
      <w:bodyDiv w:val="1"/>
      <w:marLeft w:val="0"/>
      <w:marRight w:val="0"/>
      <w:marTop w:val="0"/>
      <w:marBottom w:val="0"/>
      <w:divBdr>
        <w:top w:val="none" w:sz="0" w:space="0" w:color="auto"/>
        <w:left w:val="none" w:sz="0" w:space="0" w:color="auto"/>
        <w:bottom w:val="none" w:sz="0" w:space="0" w:color="auto"/>
        <w:right w:val="none" w:sz="0" w:space="0" w:color="auto"/>
      </w:divBdr>
    </w:div>
    <w:div w:id="537007520">
      <w:bodyDiv w:val="1"/>
      <w:marLeft w:val="0"/>
      <w:marRight w:val="0"/>
      <w:marTop w:val="0"/>
      <w:marBottom w:val="0"/>
      <w:divBdr>
        <w:top w:val="none" w:sz="0" w:space="0" w:color="auto"/>
        <w:left w:val="none" w:sz="0" w:space="0" w:color="auto"/>
        <w:bottom w:val="none" w:sz="0" w:space="0" w:color="auto"/>
        <w:right w:val="none" w:sz="0" w:space="0" w:color="auto"/>
      </w:divBdr>
    </w:div>
    <w:div w:id="544145453">
      <w:bodyDiv w:val="1"/>
      <w:marLeft w:val="0"/>
      <w:marRight w:val="0"/>
      <w:marTop w:val="0"/>
      <w:marBottom w:val="0"/>
      <w:divBdr>
        <w:top w:val="none" w:sz="0" w:space="0" w:color="auto"/>
        <w:left w:val="none" w:sz="0" w:space="0" w:color="auto"/>
        <w:bottom w:val="none" w:sz="0" w:space="0" w:color="auto"/>
        <w:right w:val="none" w:sz="0" w:space="0" w:color="auto"/>
      </w:divBdr>
    </w:div>
    <w:div w:id="548078992">
      <w:bodyDiv w:val="1"/>
      <w:marLeft w:val="0"/>
      <w:marRight w:val="0"/>
      <w:marTop w:val="0"/>
      <w:marBottom w:val="0"/>
      <w:divBdr>
        <w:top w:val="none" w:sz="0" w:space="0" w:color="auto"/>
        <w:left w:val="none" w:sz="0" w:space="0" w:color="auto"/>
        <w:bottom w:val="none" w:sz="0" w:space="0" w:color="auto"/>
        <w:right w:val="none" w:sz="0" w:space="0" w:color="auto"/>
      </w:divBdr>
    </w:div>
    <w:div w:id="550112650">
      <w:bodyDiv w:val="1"/>
      <w:marLeft w:val="0"/>
      <w:marRight w:val="0"/>
      <w:marTop w:val="0"/>
      <w:marBottom w:val="0"/>
      <w:divBdr>
        <w:top w:val="none" w:sz="0" w:space="0" w:color="auto"/>
        <w:left w:val="none" w:sz="0" w:space="0" w:color="auto"/>
        <w:bottom w:val="none" w:sz="0" w:space="0" w:color="auto"/>
        <w:right w:val="none" w:sz="0" w:space="0" w:color="auto"/>
      </w:divBdr>
    </w:div>
    <w:div w:id="560093510">
      <w:bodyDiv w:val="1"/>
      <w:marLeft w:val="0"/>
      <w:marRight w:val="0"/>
      <w:marTop w:val="0"/>
      <w:marBottom w:val="0"/>
      <w:divBdr>
        <w:top w:val="none" w:sz="0" w:space="0" w:color="auto"/>
        <w:left w:val="none" w:sz="0" w:space="0" w:color="auto"/>
        <w:bottom w:val="none" w:sz="0" w:space="0" w:color="auto"/>
        <w:right w:val="none" w:sz="0" w:space="0" w:color="auto"/>
      </w:divBdr>
    </w:div>
    <w:div w:id="563027322">
      <w:bodyDiv w:val="1"/>
      <w:marLeft w:val="0"/>
      <w:marRight w:val="0"/>
      <w:marTop w:val="0"/>
      <w:marBottom w:val="0"/>
      <w:divBdr>
        <w:top w:val="none" w:sz="0" w:space="0" w:color="auto"/>
        <w:left w:val="none" w:sz="0" w:space="0" w:color="auto"/>
        <w:bottom w:val="none" w:sz="0" w:space="0" w:color="auto"/>
        <w:right w:val="none" w:sz="0" w:space="0" w:color="auto"/>
      </w:divBdr>
    </w:div>
    <w:div w:id="563302332">
      <w:bodyDiv w:val="1"/>
      <w:marLeft w:val="0"/>
      <w:marRight w:val="0"/>
      <w:marTop w:val="0"/>
      <w:marBottom w:val="0"/>
      <w:divBdr>
        <w:top w:val="none" w:sz="0" w:space="0" w:color="auto"/>
        <w:left w:val="none" w:sz="0" w:space="0" w:color="auto"/>
        <w:bottom w:val="none" w:sz="0" w:space="0" w:color="auto"/>
        <w:right w:val="none" w:sz="0" w:space="0" w:color="auto"/>
      </w:divBdr>
    </w:div>
    <w:div w:id="569853943">
      <w:bodyDiv w:val="1"/>
      <w:marLeft w:val="0"/>
      <w:marRight w:val="0"/>
      <w:marTop w:val="0"/>
      <w:marBottom w:val="0"/>
      <w:divBdr>
        <w:top w:val="none" w:sz="0" w:space="0" w:color="auto"/>
        <w:left w:val="none" w:sz="0" w:space="0" w:color="auto"/>
        <w:bottom w:val="none" w:sz="0" w:space="0" w:color="auto"/>
        <w:right w:val="none" w:sz="0" w:space="0" w:color="auto"/>
      </w:divBdr>
    </w:div>
    <w:div w:id="575013327">
      <w:bodyDiv w:val="1"/>
      <w:marLeft w:val="0"/>
      <w:marRight w:val="0"/>
      <w:marTop w:val="0"/>
      <w:marBottom w:val="0"/>
      <w:divBdr>
        <w:top w:val="none" w:sz="0" w:space="0" w:color="auto"/>
        <w:left w:val="none" w:sz="0" w:space="0" w:color="auto"/>
        <w:bottom w:val="none" w:sz="0" w:space="0" w:color="auto"/>
        <w:right w:val="none" w:sz="0" w:space="0" w:color="auto"/>
      </w:divBdr>
    </w:div>
    <w:div w:id="590158723">
      <w:bodyDiv w:val="1"/>
      <w:marLeft w:val="0"/>
      <w:marRight w:val="0"/>
      <w:marTop w:val="0"/>
      <w:marBottom w:val="0"/>
      <w:divBdr>
        <w:top w:val="none" w:sz="0" w:space="0" w:color="auto"/>
        <w:left w:val="none" w:sz="0" w:space="0" w:color="auto"/>
        <w:bottom w:val="none" w:sz="0" w:space="0" w:color="auto"/>
        <w:right w:val="none" w:sz="0" w:space="0" w:color="auto"/>
      </w:divBdr>
    </w:div>
    <w:div w:id="591865508">
      <w:bodyDiv w:val="1"/>
      <w:marLeft w:val="0"/>
      <w:marRight w:val="0"/>
      <w:marTop w:val="0"/>
      <w:marBottom w:val="0"/>
      <w:divBdr>
        <w:top w:val="none" w:sz="0" w:space="0" w:color="auto"/>
        <w:left w:val="none" w:sz="0" w:space="0" w:color="auto"/>
        <w:bottom w:val="none" w:sz="0" w:space="0" w:color="auto"/>
        <w:right w:val="none" w:sz="0" w:space="0" w:color="auto"/>
      </w:divBdr>
    </w:div>
    <w:div w:id="596904653">
      <w:bodyDiv w:val="1"/>
      <w:marLeft w:val="0"/>
      <w:marRight w:val="0"/>
      <w:marTop w:val="0"/>
      <w:marBottom w:val="0"/>
      <w:divBdr>
        <w:top w:val="none" w:sz="0" w:space="0" w:color="auto"/>
        <w:left w:val="none" w:sz="0" w:space="0" w:color="auto"/>
        <w:bottom w:val="none" w:sz="0" w:space="0" w:color="auto"/>
        <w:right w:val="none" w:sz="0" w:space="0" w:color="auto"/>
      </w:divBdr>
    </w:div>
    <w:div w:id="600840928">
      <w:bodyDiv w:val="1"/>
      <w:marLeft w:val="0"/>
      <w:marRight w:val="0"/>
      <w:marTop w:val="0"/>
      <w:marBottom w:val="0"/>
      <w:divBdr>
        <w:top w:val="none" w:sz="0" w:space="0" w:color="auto"/>
        <w:left w:val="none" w:sz="0" w:space="0" w:color="auto"/>
        <w:bottom w:val="none" w:sz="0" w:space="0" w:color="auto"/>
        <w:right w:val="none" w:sz="0" w:space="0" w:color="auto"/>
      </w:divBdr>
    </w:div>
    <w:div w:id="604466133">
      <w:bodyDiv w:val="1"/>
      <w:marLeft w:val="0"/>
      <w:marRight w:val="0"/>
      <w:marTop w:val="0"/>
      <w:marBottom w:val="0"/>
      <w:divBdr>
        <w:top w:val="none" w:sz="0" w:space="0" w:color="auto"/>
        <w:left w:val="none" w:sz="0" w:space="0" w:color="auto"/>
        <w:bottom w:val="none" w:sz="0" w:space="0" w:color="auto"/>
        <w:right w:val="none" w:sz="0" w:space="0" w:color="auto"/>
      </w:divBdr>
    </w:div>
    <w:div w:id="608120369">
      <w:bodyDiv w:val="1"/>
      <w:marLeft w:val="0"/>
      <w:marRight w:val="0"/>
      <w:marTop w:val="0"/>
      <w:marBottom w:val="0"/>
      <w:divBdr>
        <w:top w:val="none" w:sz="0" w:space="0" w:color="auto"/>
        <w:left w:val="none" w:sz="0" w:space="0" w:color="auto"/>
        <w:bottom w:val="none" w:sz="0" w:space="0" w:color="auto"/>
        <w:right w:val="none" w:sz="0" w:space="0" w:color="auto"/>
      </w:divBdr>
    </w:div>
    <w:div w:id="624237082">
      <w:bodyDiv w:val="1"/>
      <w:marLeft w:val="0"/>
      <w:marRight w:val="0"/>
      <w:marTop w:val="0"/>
      <w:marBottom w:val="0"/>
      <w:divBdr>
        <w:top w:val="none" w:sz="0" w:space="0" w:color="auto"/>
        <w:left w:val="none" w:sz="0" w:space="0" w:color="auto"/>
        <w:bottom w:val="none" w:sz="0" w:space="0" w:color="auto"/>
        <w:right w:val="none" w:sz="0" w:space="0" w:color="auto"/>
      </w:divBdr>
    </w:div>
    <w:div w:id="633103478">
      <w:bodyDiv w:val="1"/>
      <w:marLeft w:val="0"/>
      <w:marRight w:val="0"/>
      <w:marTop w:val="0"/>
      <w:marBottom w:val="0"/>
      <w:divBdr>
        <w:top w:val="none" w:sz="0" w:space="0" w:color="auto"/>
        <w:left w:val="none" w:sz="0" w:space="0" w:color="auto"/>
        <w:bottom w:val="none" w:sz="0" w:space="0" w:color="auto"/>
        <w:right w:val="none" w:sz="0" w:space="0" w:color="auto"/>
      </w:divBdr>
    </w:div>
    <w:div w:id="653488120">
      <w:bodyDiv w:val="1"/>
      <w:marLeft w:val="0"/>
      <w:marRight w:val="0"/>
      <w:marTop w:val="0"/>
      <w:marBottom w:val="0"/>
      <w:divBdr>
        <w:top w:val="none" w:sz="0" w:space="0" w:color="auto"/>
        <w:left w:val="none" w:sz="0" w:space="0" w:color="auto"/>
        <w:bottom w:val="none" w:sz="0" w:space="0" w:color="auto"/>
        <w:right w:val="none" w:sz="0" w:space="0" w:color="auto"/>
      </w:divBdr>
    </w:div>
    <w:div w:id="669794935">
      <w:bodyDiv w:val="1"/>
      <w:marLeft w:val="0"/>
      <w:marRight w:val="0"/>
      <w:marTop w:val="0"/>
      <w:marBottom w:val="0"/>
      <w:divBdr>
        <w:top w:val="none" w:sz="0" w:space="0" w:color="auto"/>
        <w:left w:val="none" w:sz="0" w:space="0" w:color="auto"/>
        <w:bottom w:val="none" w:sz="0" w:space="0" w:color="auto"/>
        <w:right w:val="none" w:sz="0" w:space="0" w:color="auto"/>
      </w:divBdr>
    </w:div>
    <w:div w:id="683434146">
      <w:bodyDiv w:val="1"/>
      <w:marLeft w:val="0"/>
      <w:marRight w:val="0"/>
      <w:marTop w:val="0"/>
      <w:marBottom w:val="0"/>
      <w:divBdr>
        <w:top w:val="none" w:sz="0" w:space="0" w:color="auto"/>
        <w:left w:val="none" w:sz="0" w:space="0" w:color="auto"/>
        <w:bottom w:val="none" w:sz="0" w:space="0" w:color="auto"/>
        <w:right w:val="none" w:sz="0" w:space="0" w:color="auto"/>
      </w:divBdr>
    </w:div>
    <w:div w:id="687828077">
      <w:bodyDiv w:val="1"/>
      <w:marLeft w:val="0"/>
      <w:marRight w:val="0"/>
      <w:marTop w:val="0"/>
      <w:marBottom w:val="0"/>
      <w:divBdr>
        <w:top w:val="none" w:sz="0" w:space="0" w:color="auto"/>
        <w:left w:val="none" w:sz="0" w:space="0" w:color="auto"/>
        <w:bottom w:val="none" w:sz="0" w:space="0" w:color="auto"/>
        <w:right w:val="none" w:sz="0" w:space="0" w:color="auto"/>
      </w:divBdr>
    </w:div>
    <w:div w:id="694893142">
      <w:bodyDiv w:val="1"/>
      <w:marLeft w:val="0"/>
      <w:marRight w:val="0"/>
      <w:marTop w:val="0"/>
      <w:marBottom w:val="0"/>
      <w:divBdr>
        <w:top w:val="none" w:sz="0" w:space="0" w:color="auto"/>
        <w:left w:val="none" w:sz="0" w:space="0" w:color="auto"/>
        <w:bottom w:val="none" w:sz="0" w:space="0" w:color="auto"/>
        <w:right w:val="none" w:sz="0" w:space="0" w:color="auto"/>
      </w:divBdr>
    </w:div>
    <w:div w:id="697388507">
      <w:bodyDiv w:val="1"/>
      <w:marLeft w:val="0"/>
      <w:marRight w:val="0"/>
      <w:marTop w:val="0"/>
      <w:marBottom w:val="0"/>
      <w:divBdr>
        <w:top w:val="none" w:sz="0" w:space="0" w:color="auto"/>
        <w:left w:val="none" w:sz="0" w:space="0" w:color="auto"/>
        <w:bottom w:val="none" w:sz="0" w:space="0" w:color="auto"/>
        <w:right w:val="none" w:sz="0" w:space="0" w:color="auto"/>
      </w:divBdr>
    </w:div>
    <w:div w:id="698243166">
      <w:bodyDiv w:val="1"/>
      <w:marLeft w:val="0"/>
      <w:marRight w:val="0"/>
      <w:marTop w:val="0"/>
      <w:marBottom w:val="0"/>
      <w:divBdr>
        <w:top w:val="none" w:sz="0" w:space="0" w:color="auto"/>
        <w:left w:val="none" w:sz="0" w:space="0" w:color="auto"/>
        <w:bottom w:val="none" w:sz="0" w:space="0" w:color="auto"/>
        <w:right w:val="none" w:sz="0" w:space="0" w:color="auto"/>
      </w:divBdr>
    </w:div>
    <w:div w:id="707023090">
      <w:bodyDiv w:val="1"/>
      <w:marLeft w:val="0"/>
      <w:marRight w:val="0"/>
      <w:marTop w:val="0"/>
      <w:marBottom w:val="0"/>
      <w:divBdr>
        <w:top w:val="none" w:sz="0" w:space="0" w:color="auto"/>
        <w:left w:val="none" w:sz="0" w:space="0" w:color="auto"/>
        <w:bottom w:val="none" w:sz="0" w:space="0" w:color="auto"/>
        <w:right w:val="none" w:sz="0" w:space="0" w:color="auto"/>
      </w:divBdr>
    </w:div>
    <w:div w:id="716393035">
      <w:bodyDiv w:val="1"/>
      <w:marLeft w:val="0"/>
      <w:marRight w:val="0"/>
      <w:marTop w:val="0"/>
      <w:marBottom w:val="0"/>
      <w:divBdr>
        <w:top w:val="none" w:sz="0" w:space="0" w:color="auto"/>
        <w:left w:val="none" w:sz="0" w:space="0" w:color="auto"/>
        <w:bottom w:val="none" w:sz="0" w:space="0" w:color="auto"/>
        <w:right w:val="none" w:sz="0" w:space="0" w:color="auto"/>
      </w:divBdr>
    </w:div>
    <w:div w:id="723021587">
      <w:bodyDiv w:val="1"/>
      <w:marLeft w:val="0"/>
      <w:marRight w:val="0"/>
      <w:marTop w:val="0"/>
      <w:marBottom w:val="0"/>
      <w:divBdr>
        <w:top w:val="none" w:sz="0" w:space="0" w:color="auto"/>
        <w:left w:val="none" w:sz="0" w:space="0" w:color="auto"/>
        <w:bottom w:val="none" w:sz="0" w:space="0" w:color="auto"/>
        <w:right w:val="none" w:sz="0" w:space="0" w:color="auto"/>
      </w:divBdr>
    </w:div>
    <w:div w:id="729883556">
      <w:bodyDiv w:val="1"/>
      <w:marLeft w:val="0"/>
      <w:marRight w:val="0"/>
      <w:marTop w:val="0"/>
      <w:marBottom w:val="0"/>
      <w:divBdr>
        <w:top w:val="none" w:sz="0" w:space="0" w:color="auto"/>
        <w:left w:val="none" w:sz="0" w:space="0" w:color="auto"/>
        <w:bottom w:val="none" w:sz="0" w:space="0" w:color="auto"/>
        <w:right w:val="none" w:sz="0" w:space="0" w:color="auto"/>
      </w:divBdr>
    </w:div>
    <w:div w:id="744030663">
      <w:bodyDiv w:val="1"/>
      <w:marLeft w:val="0"/>
      <w:marRight w:val="0"/>
      <w:marTop w:val="0"/>
      <w:marBottom w:val="0"/>
      <w:divBdr>
        <w:top w:val="none" w:sz="0" w:space="0" w:color="auto"/>
        <w:left w:val="none" w:sz="0" w:space="0" w:color="auto"/>
        <w:bottom w:val="none" w:sz="0" w:space="0" w:color="auto"/>
        <w:right w:val="none" w:sz="0" w:space="0" w:color="auto"/>
      </w:divBdr>
    </w:div>
    <w:div w:id="744034383">
      <w:bodyDiv w:val="1"/>
      <w:marLeft w:val="0"/>
      <w:marRight w:val="0"/>
      <w:marTop w:val="0"/>
      <w:marBottom w:val="0"/>
      <w:divBdr>
        <w:top w:val="none" w:sz="0" w:space="0" w:color="auto"/>
        <w:left w:val="none" w:sz="0" w:space="0" w:color="auto"/>
        <w:bottom w:val="none" w:sz="0" w:space="0" w:color="auto"/>
        <w:right w:val="none" w:sz="0" w:space="0" w:color="auto"/>
      </w:divBdr>
    </w:div>
    <w:div w:id="761146864">
      <w:bodyDiv w:val="1"/>
      <w:marLeft w:val="0"/>
      <w:marRight w:val="0"/>
      <w:marTop w:val="0"/>
      <w:marBottom w:val="0"/>
      <w:divBdr>
        <w:top w:val="none" w:sz="0" w:space="0" w:color="auto"/>
        <w:left w:val="none" w:sz="0" w:space="0" w:color="auto"/>
        <w:bottom w:val="none" w:sz="0" w:space="0" w:color="auto"/>
        <w:right w:val="none" w:sz="0" w:space="0" w:color="auto"/>
      </w:divBdr>
    </w:div>
    <w:div w:id="792288293">
      <w:bodyDiv w:val="1"/>
      <w:marLeft w:val="0"/>
      <w:marRight w:val="0"/>
      <w:marTop w:val="0"/>
      <w:marBottom w:val="0"/>
      <w:divBdr>
        <w:top w:val="none" w:sz="0" w:space="0" w:color="auto"/>
        <w:left w:val="none" w:sz="0" w:space="0" w:color="auto"/>
        <w:bottom w:val="none" w:sz="0" w:space="0" w:color="auto"/>
        <w:right w:val="none" w:sz="0" w:space="0" w:color="auto"/>
      </w:divBdr>
    </w:div>
    <w:div w:id="795566628">
      <w:bodyDiv w:val="1"/>
      <w:marLeft w:val="0"/>
      <w:marRight w:val="0"/>
      <w:marTop w:val="0"/>
      <w:marBottom w:val="0"/>
      <w:divBdr>
        <w:top w:val="none" w:sz="0" w:space="0" w:color="auto"/>
        <w:left w:val="none" w:sz="0" w:space="0" w:color="auto"/>
        <w:bottom w:val="none" w:sz="0" w:space="0" w:color="auto"/>
        <w:right w:val="none" w:sz="0" w:space="0" w:color="auto"/>
      </w:divBdr>
    </w:div>
    <w:div w:id="796990642">
      <w:bodyDiv w:val="1"/>
      <w:marLeft w:val="0"/>
      <w:marRight w:val="0"/>
      <w:marTop w:val="0"/>
      <w:marBottom w:val="0"/>
      <w:divBdr>
        <w:top w:val="none" w:sz="0" w:space="0" w:color="auto"/>
        <w:left w:val="none" w:sz="0" w:space="0" w:color="auto"/>
        <w:bottom w:val="none" w:sz="0" w:space="0" w:color="auto"/>
        <w:right w:val="none" w:sz="0" w:space="0" w:color="auto"/>
      </w:divBdr>
    </w:div>
    <w:div w:id="798449823">
      <w:bodyDiv w:val="1"/>
      <w:marLeft w:val="0"/>
      <w:marRight w:val="0"/>
      <w:marTop w:val="0"/>
      <w:marBottom w:val="0"/>
      <w:divBdr>
        <w:top w:val="none" w:sz="0" w:space="0" w:color="auto"/>
        <w:left w:val="none" w:sz="0" w:space="0" w:color="auto"/>
        <w:bottom w:val="none" w:sz="0" w:space="0" w:color="auto"/>
        <w:right w:val="none" w:sz="0" w:space="0" w:color="auto"/>
      </w:divBdr>
    </w:div>
    <w:div w:id="803930596">
      <w:bodyDiv w:val="1"/>
      <w:marLeft w:val="0"/>
      <w:marRight w:val="0"/>
      <w:marTop w:val="0"/>
      <w:marBottom w:val="0"/>
      <w:divBdr>
        <w:top w:val="none" w:sz="0" w:space="0" w:color="auto"/>
        <w:left w:val="none" w:sz="0" w:space="0" w:color="auto"/>
        <w:bottom w:val="none" w:sz="0" w:space="0" w:color="auto"/>
        <w:right w:val="none" w:sz="0" w:space="0" w:color="auto"/>
      </w:divBdr>
    </w:div>
    <w:div w:id="813568342">
      <w:bodyDiv w:val="1"/>
      <w:marLeft w:val="0"/>
      <w:marRight w:val="0"/>
      <w:marTop w:val="0"/>
      <w:marBottom w:val="0"/>
      <w:divBdr>
        <w:top w:val="none" w:sz="0" w:space="0" w:color="auto"/>
        <w:left w:val="none" w:sz="0" w:space="0" w:color="auto"/>
        <w:bottom w:val="none" w:sz="0" w:space="0" w:color="auto"/>
        <w:right w:val="none" w:sz="0" w:space="0" w:color="auto"/>
      </w:divBdr>
    </w:div>
    <w:div w:id="843399741">
      <w:bodyDiv w:val="1"/>
      <w:marLeft w:val="0"/>
      <w:marRight w:val="0"/>
      <w:marTop w:val="0"/>
      <w:marBottom w:val="0"/>
      <w:divBdr>
        <w:top w:val="none" w:sz="0" w:space="0" w:color="auto"/>
        <w:left w:val="none" w:sz="0" w:space="0" w:color="auto"/>
        <w:bottom w:val="none" w:sz="0" w:space="0" w:color="auto"/>
        <w:right w:val="none" w:sz="0" w:space="0" w:color="auto"/>
      </w:divBdr>
    </w:div>
    <w:div w:id="846212968">
      <w:bodyDiv w:val="1"/>
      <w:marLeft w:val="0"/>
      <w:marRight w:val="0"/>
      <w:marTop w:val="0"/>
      <w:marBottom w:val="0"/>
      <w:divBdr>
        <w:top w:val="none" w:sz="0" w:space="0" w:color="auto"/>
        <w:left w:val="none" w:sz="0" w:space="0" w:color="auto"/>
        <w:bottom w:val="none" w:sz="0" w:space="0" w:color="auto"/>
        <w:right w:val="none" w:sz="0" w:space="0" w:color="auto"/>
      </w:divBdr>
    </w:div>
    <w:div w:id="859046593">
      <w:bodyDiv w:val="1"/>
      <w:marLeft w:val="0"/>
      <w:marRight w:val="0"/>
      <w:marTop w:val="0"/>
      <w:marBottom w:val="0"/>
      <w:divBdr>
        <w:top w:val="none" w:sz="0" w:space="0" w:color="auto"/>
        <w:left w:val="none" w:sz="0" w:space="0" w:color="auto"/>
        <w:bottom w:val="none" w:sz="0" w:space="0" w:color="auto"/>
        <w:right w:val="none" w:sz="0" w:space="0" w:color="auto"/>
      </w:divBdr>
    </w:div>
    <w:div w:id="866597369">
      <w:bodyDiv w:val="1"/>
      <w:marLeft w:val="0"/>
      <w:marRight w:val="0"/>
      <w:marTop w:val="0"/>
      <w:marBottom w:val="0"/>
      <w:divBdr>
        <w:top w:val="none" w:sz="0" w:space="0" w:color="auto"/>
        <w:left w:val="none" w:sz="0" w:space="0" w:color="auto"/>
        <w:bottom w:val="none" w:sz="0" w:space="0" w:color="auto"/>
        <w:right w:val="none" w:sz="0" w:space="0" w:color="auto"/>
      </w:divBdr>
    </w:div>
    <w:div w:id="868449842">
      <w:bodyDiv w:val="1"/>
      <w:marLeft w:val="0"/>
      <w:marRight w:val="0"/>
      <w:marTop w:val="0"/>
      <w:marBottom w:val="0"/>
      <w:divBdr>
        <w:top w:val="none" w:sz="0" w:space="0" w:color="auto"/>
        <w:left w:val="none" w:sz="0" w:space="0" w:color="auto"/>
        <w:bottom w:val="none" w:sz="0" w:space="0" w:color="auto"/>
        <w:right w:val="none" w:sz="0" w:space="0" w:color="auto"/>
      </w:divBdr>
    </w:div>
    <w:div w:id="870413843">
      <w:bodyDiv w:val="1"/>
      <w:marLeft w:val="0"/>
      <w:marRight w:val="0"/>
      <w:marTop w:val="0"/>
      <w:marBottom w:val="0"/>
      <w:divBdr>
        <w:top w:val="none" w:sz="0" w:space="0" w:color="auto"/>
        <w:left w:val="none" w:sz="0" w:space="0" w:color="auto"/>
        <w:bottom w:val="none" w:sz="0" w:space="0" w:color="auto"/>
        <w:right w:val="none" w:sz="0" w:space="0" w:color="auto"/>
      </w:divBdr>
    </w:div>
    <w:div w:id="878856458">
      <w:bodyDiv w:val="1"/>
      <w:marLeft w:val="0"/>
      <w:marRight w:val="0"/>
      <w:marTop w:val="0"/>
      <w:marBottom w:val="0"/>
      <w:divBdr>
        <w:top w:val="none" w:sz="0" w:space="0" w:color="auto"/>
        <w:left w:val="none" w:sz="0" w:space="0" w:color="auto"/>
        <w:bottom w:val="none" w:sz="0" w:space="0" w:color="auto"/>
        <w:right w:val="none" w:sz="0" w:space="0" w:color="auto"/>
      </w:divBdr>
    </w:div>
    <w:div w:id="884953771">
      <w:bodyDiv w:val="1"/>
      <w:marLeft w:val="0"/>
      <w:marRight w:val="0"/>
      <w:marTop w:val="0"/>
      <w:marBottom w:val="0"/>
      <w:divBdr>
        <w:top w:val="none" w:sz="0" w:space="0" w:color="auto"/>
        <w:left w:val="none" w:sz="0" w:space="0" w:color="auto"/>
        <w:bottom w:val="none" w:sz="0" w:space="0" w:color="auto"/>
        <w:right w:val="none" w:sz="0" w:space="0" w:color="auto"/>
      </w:divBdr>
    </w:div>
    <w:div w:id="889464591">
      <w:bodyDiv w:val="1"/>
      <w:marLeft w:val="0"/>
      <w:marRight w:val="0"/>
      <w:marTop w:val="0"/>
      <w:marBottom w:val="0"/>
      <w:divBdr>
        <w:top w:val="none" w:sz="0" w:space="0" w:color="auto"/>
        <w:left w:val="none" w:sz="0" w:space="0" w:color="auto"/>
        <w:bottom w:val="none" w:sz="0" w:space="0" w:color="auto"/>
        <w:right w:val="none" w:sz="0" w:space="0" w:color="auto"/>
      </w:divBdr>
    </w:div>
    <w:div w:id="892041117">
      <w:bodyDiv w:val="1"/>
      <w:marLeft w:val="0"/>
      <w:marRight w:val="0"/>
      <w:marTop w:val="0"/>
      <w:marBottom w:val="0"/>
      <w:divBdr>
        <w:top w:val="none" w:sz="0" w:space="0" w:color="auto"/>
        <w:left w:val="none" w:sz="0" w:space="0" w:color="auto"/>
        <w:bottom w:val="none" w:sz="0" w:space="0" w:color="auto"/>
        <w:right w:val="none" w:sz="0" w:space="0" w:color="auto"/>
      </w:divBdr>
    </w:div>
    <w:div w:id="915744206">
      <w:bodyDiv w:val="1"/>
      <w:marLeft w:val="0"/>
      <w:marRight w:val="0"/>
      <w:marTop w:val="0"/>
      <w:marBottom w:val="0"/>
      <w:divBdr>
        <w:top w:val="none" w:sz="0" w:space="0" w:color="auto"/>
        <w:left w:val="none" w:sz="0" w:space="0" w:color="auto"/>
        <w:bottom w:val="none" w:sz="0" w:space="0" w:color="auto"/>
        <w:right w:val="none" w:sz="0" w:space="0" w:color="auto"/>
      </w:divBdr>
    </w:div>
    <w:div w:id="930117356">
      <w:bodyDiv w:val="1"/>
      <w:marLeft w:val="0"/>
      <w:marRight w:val="0"/>
      <w:marTop w:val="0"/>
      <w:marBottom w:val="0"/>
      <w:divBdr>
        <w:top w:val="none" w:sz="0" w:space="0" w:color="auto"/>
        <w:left w:val="none" w:sz="0" w:space="0" w:color="auto"/>
        <w:bottom w:val="none" w:sz="0" w:space="0" w:color="auto"/>
        <w:right w:val="none" w:sz="0" w:space="0" w:color="auto"/>
      </w:divBdr>
    </w:div>
    <w:div w:id="937828916">
      <w:bodyDiv w:val="1"/>
      <w:marLeft w:val="0"/>
      <w:marRight w:val="0"/>
      <w:marTop w:val="0"/>
      <w:marBottom w:val="0"/>
      <w:divBdr>
        <w:top w:val="none" w:sz="0" w:space="0" w:color="auto"/>
        <w:left w:val="none" w:sz="0" w:space="0" w:color="auto"/>
        <w:bottom w:val="none" w:sz="0" w:space="0" w:color="auto"/>
        <w:right w:val="none" w:sz="0" w:space="0" w:color="auto"/>
      </w:divBdr>
    </w:div>
    <w:div w:id="945890842">
      <w:bodyDiv w:val="1"/>
      <w:marLeft w:val="0"/>
      <w:marRight w:val="0"/>
      <w:marTop w:val="0"/>
      <w:marBottom w:val="0"/>
      <w:divBdr>
        <w:top w:val="none" w:sz="0" w:space="0" w:color="auto"/>
        <w:left w:val="none" w:sz="0" w:space="0" w:color="auto"/>
        <w:bottom w:val="none" w:sz="0" w:space="0" w:color="auto"/>
        <w:right w:val="none" w:sz="0" w:space="0" w:color="auto"/>
      </w:divBdr>
    </w:div>
    <w:div w:id="946933586">
      <w:bodyDiv w:val="1"/>
      <w:marLeft w:val="0"/>
      <w:marRight w:val="0"/>
      <w:marTop w:val="0"/>
      <w:marBottom w:val="0"/>
      <w:divBdr>
        <w:top w:val="none" w:sz="0" w:space="0" w:color="auto"/>
        <w:left w:val="none" w:sz="0" w:space="0" w:color="auto"/>
        <w:bottom w:val="none" w:sz="0" w:space="0" w:color="auto"/>
        <w:right w:val="none" w:sz="0" w:space="0" w:color="auto"/>
      </w:divBdr>
    </w:div>
    <w:div w:id="949514086">
      <w:bodyDiv w:val="1"/>
      <w:marLeft w:val="0"/>
      <w:marRight w:val="0"/>
      <w:marTop w:val="0"/>
      <w:marBottom w:val="0"/>
      <w:divBdr>
        <w:top w:val="none" w:sz="0" w:space="0" w:color="auto"/>
        <w:left w:val="none" w:sz="0" w:space="0" w:color="auto"/>
        <w:bottom w:val="none" w:sz="0" w:space="0" w:color="auto"/>
        <w:right w:val="none" w:sz="0" w:space="0" w:color="auto"/>
      </w:divBdr>
    </w:div>
    <w:div w:id="979000949">
      <w:bodyDiv w:val="1"/>
      <w:marLeft w:val="0"/>
      <w:marRight w:val="0"/>
      <w:marTop w:val="0"/>
      <w:marBottom w:val="0"/>
      <w:divBdr>
        <w:top w:val="none" w:sz="0" w:space="0" w:color="auto"/>
        <w:left w:val="none" w:sz="0" w:space="0" w:color="auto"/>
        <w:bottom w:val="none" w:sz="0" w:space="0" w:color="auto"/>
        <w:right w:val="none" w:sz="0" w:space="0" w:color="auto"/>
      </w:divBdr>
    </w:div>
    <w:div w:id="980890481">
      <w:bodyDiv w:val="1"/>
      <w:marLeft w:val="0"/>
      <w:marRight w:val="0"/>
      <w:marTop w:val="0"/>
      <w:marBottom w:val="0"/>
      <w:divBdr>
        <w:top w:val="none" w:sz="0" w:space="0" w:color="auto"/>
        <w:left w:val="none" w:sz="0" w:space="0" w:color="auto"/>
        <w:bottom w:val="none" w:sz="0" w:space="0" w:color="auto"/>
        <w:right w:val="none" w:sz="0" w:space="0" w:color="auto"/>
      </w:divBdr>
    </w:div>
    <w:div w:id="983243379">
      <w:bodyDiv w:val="1"/>
      <w:marLeft w:val="0"/>
      <w:marRight w:val="0"/>
      <w:marTop w:val="0"/>
      <w:marBottom w:val="0"/>
      <w:divBdr>
        <w:top w:val="none" w:sz="0" w:space="0" w:color="auto"/>
        <w:left w:val="none" w:sz="0" w:space="0" w:color="auto"/>
        <w:bottom w:val="none" w:sz="0" w:space="0" w:color="auto"/>
        <w:right w:val="none" w:sz="0" w:space="0" w:color="auto"/>
      </w:divBdr>
    </w:div>
    <w:div w:id="995298926">
      <w:bodyDiv w:val="1"/>
      <w:marLeft w:val="0"/>
      <w:marRight w:val="0"/>
      <w:marTop w:val="0"/>
      <w:marBottom w:val="0"/>
      <w:divBdr>
        <w:top w:val="none" w:sz="0" w:space="0" w:color="auto"/>
        <w:left w:val="none" w:sz="0" w:space="0" w:color="auto"/>
        <w:bottom w:val="none" w:sz="0" w:space="0" w:color="auto"/>
        <w:right w:val="none" w:sz="0" w:space="0" w:color="auto"/>
      </w:divBdr>
    </w:div>
    <w:div w:id="1003630043">
      <w:bodyDiv w:val="1"/>
      <w:marLeft w:val="0"/>
      <w:marRight w:val="0"/>
      <w:marTop w:val="0"/>
      <w:marBottom w:val="0"/>
      <w:divBdr>
        <w:top w:val="none" w:sz="0" w:space="0" w:color="auto"/>
        <w:left w:val="none" w:sz="0" w:space="0" w:color="auto"/>
        <w:bottom w:val="none" w:sz="0" w:space="0" w:color="auto"/>
        <w:right w:val="none" w:sz="0" w:space="0" w:color="auto"/>
      </w:divBdr>
    </w:div>
    <w:div w:id="1021589333">
      <w:bodyDiv w:val="1"/>
      <w:marLeft w:val="0"/>
      <w:marRight w:val="0"/>
      <w:marTop w:val="0"/>
      <w:marBottom w:val="0"/>
      <w:divBdr>
        <w:top w:val="none" w:sz="0" w:space="0" w:color="auto"/>
        <w:left w:val="none" w:sz="0" w:space="0" w:color="auto"/>
        <w:bottom w:val="none" w:sz="0" w:space="0" w:color="auto"/>
        <w:right w:val="none" w:sz="0" w:space="0" w:color="auto"/>
      </w:divBdr>
    </w:div>
    <w:div w:id="1024596201">
      <w:bodyDiv w:val="1"/>
      <w:marLeft w:val="0"/>
      <w:marRight w:val="0"/>
      <w:marTop w:val="0"/>
      <w:marBottom w:val="0"/>
      <w:divBdr>
        <w:top w:val="none" w:sz="0" w:space="0" w:color="auto"/>
        <w:left w:val="none" w:sz="0" w:space="0" w:color="auto"/>
        <w:bottom w:val="none" w:sz="0" w:space="0" w:color="auto"/>
        <w:right w:val="none" w:sz="0" w:space="0" w:color="auto"/>
      </w:divBdr>
    </w:div>
    <w:div w:id="1025015090">
      <w:bodyDiv w:val="1"/>
      <w:marLeft w:val="0"/>
      <w:marRight w:val="0"/>
      <w:marTop w:val="0"/>
      <w:marBottom w:val="0"/>
      <w:divBdr>
        <w:top w:val="none" w:sz="0" w:space="0" w:color="auto"/>
        <w:left w:val="none" w:sz="0" w:space="0" w:color="auto"/>
        <w:bottom w:val="none" w:sz="0" w:space="0" w:color="auto"/>
        <w:right w:val="none" w:sz="0" w:space="0" w:color="auto"/>
      </w:divBdr>
    </w:div>
    <w:div w:id="1028019340">
      <w:bodyDiv w:val="1"/>
      <w:marLeft w:val="0"/>
      <w:marRight w:val="0"/>
      <w:marTop w:val="0"/>
      <w:marBottom w:val="0"/>
      <w:divBdr>
        <w:top w:val="none" w:sz="0" w:space="0" w:color="auto"/>
        <w:left w:val="none" w:sz="0" w:space="0" w:color="auto"/>
        <w:bottom w:val="none" w:sz="0" w:space="0" w:color="auto"/>
        <w:right w:val="none" w:sz="0" w:space="0" w:color="auto"/>
      </w:divBdr>
    </w:div>
    <w:div w:id="1030837934">
      <w:bodyDiv w:val="1"/>
      <w:marLeft w:val="0"/>
      <w:marRight w:val="0"/>
      <w:marTop w:val="0"/>
      <w:marBottom w:val="0"/>
      <w:divBdr>
        <w:top w:val="none" w:sz="0" w:space="0" w:color="auto"/>
        <w:left w:val="none" w:sz="0" w:space="0" w:color="auto"/>
        <w:bottom w:val="none" w:sz="0" w:space="0" w:color="auto"/>
        <w:right w:val="none" w:sz="0" w:space="0" w:color="auto"/>
      </w:divBdr>
    </w:div>
    <w:div w:id="1033265187">
      <w:bodyDiv w:val="1"/>
      <w:marLeft w:val="0"/>
      <w:marRight w:val="0"/>
      <w:marTop w:val="0"/>
      <w:marBottom w:val="0"/>
      <w:divBdr>
        <w:top w:val="none" w:sz="0" w:space="0" w:color="auto"/>
        <w:left w:val="none" w:sz="0" w:space="0" w:color="auto"/>
        <w:bottom w:val="none" w:sz="0" w:space="0" w:color="auto"/>
        <w:right w:val="none" w:sz="0" w:space="0" w:color="auto"/>
      </w:divBdr>
    </w:div>
    <w:div w:id="1037655588">
      <w:bodyDiv w:val="1"/>
      <w:marLeft w:val="0"/>
      <w:marRight w:val="0"/>
      <w:marTop w:val="0"/>
      <w:marBottom w:val="0"/>
      <w:divBdr>
        <w:top w:val="none" w:sz="0" w:space="0" w:color="auto"/>
        <w:left w:val="none" w:sz="0" w:space="0" w:color="auto"/>
        <w:bottom w:val="none" w:sz="0" w:space="0" w:color="auto"/>
        <w:right w:val="none" w:sz="0" w:space="0" w:color="auto"/>
      </w:divBdr>
    </w:div>
    <w:div w:id="1040592245">
      <w:bodyDiv w:val="1"/>
      <w:marLeft w:val="0"/>
      <w:marRight w:val="0"/>
      <w:marTop w:val="0"/>
      <w:marBottom w:val="0"/>
      <w:divBdr>
        <w:top w:val="none" w:sz="0" w:space="0" w:color="auto"/>
        <w:left w:val="none" w:sz="0" w:space="0" w:color="auto"/>
        <w:bottom w:val="none" w:sz="0" w:space="0" w:color="auto"/>
        <w:right w:val="none" w:sz="0" w:space="0" w:color="auto"/>
      </w:divBdr>
    </w:div>
    <w:div w:id="1041980276">
      <w:bodyDiv w:val="1"/>
      <w:marLeft w:val="0"/>
      <w:marRight w:val="0"/>
      <w:marTop w:val="0"/>
      <w:marBottom w:val="0"/>
      <w:divBdr>
        <w:top w:val="none" w:sz="0" w:space="0" w:color="auto"/>
        <w:left w:val="none" w:sz="0" w:space="0" w:color="auto"/>
        <w:bottom w:val="none" w:sz="0" w:space="0" w:color="auto"/>
        <w:right w:val="none" w:sz="0" w:space="0" w:color="auto"/>
      </w:divBdr>
    </w:div>
    <w:div w:id="1052339727">
      <w:bodyDiv w:val="1"/>
      <w:marLeft w:val="0"/>
      <w:marRight w:val="0"/>
      <w:marTop w:val="0"/>
      <w:marBottom w:val="0"/>
      <w:divBdr>
        <w:top w:val="none" w:sz="0" w:space="0" w:color="auto"/>
        <w:left w:val="none" w:sz="0" w:space="0" w:color="auto"/>
        <w:bottom w:val="none" w:sz="0" w:space="0" w:color="auto"/>
        <w:right w:val="none" w:sz="0" w:space="0" w:color="auto"/>
      </w:divBdr>
    </w:div>
    <w:div w:id="1052655620">
      <w:bodyDiv w:val="1"/>
      <w:marLeft w:val="0"/>
      <w:marRight w:val="0"/>
      <w:marTop w:val="0"/>
      <w:marBottom w:val="0"/>
      <w:divBdr>
        <w:top w:val="none" w:sz="0" w:space="0" w:color="auto"/>
        <w:left w:val="none" w:sz="0" w:space="0" w:color="auto"/>
        <w:bottom w:val="none" w:sz="0" w:space="0" w:color="auto"/>
        <w:right w:val="none" w:sz="0" w:space="0" w:color="auto"/>
      </w:divBdr>
    </w:div>
    <w:div w:id="1070421543">
      <w:bodyDiv w:val="1"/>
      <w:marLeft w:val="0"/>
      <w:marRight w:val="0"/>
      <w:marTop w:val="0"/>
      <w:marBottom w:val="0"/>
      <w:divBdr>
        <w:top w:val="none" w:sz="0" w:space="0" w:color="auto"/>
        <w:left w:val="none" w:sz="0" w:space="0" w:color="auto"/>
        <w:bottom w:val="none" w:sz="0" w:space="0" w:color="auto"/>
        <w:right w:val="none" w:sz="0" w:space="0" w:color="auto"/>
      </w:divBdr>
    </w:div>
    <w:div w:id="1073115105">
      <w:bodyDiv w:val="1"/>
      <w:marLeft w:val="0"/>
      <w:marRight w:val="0"/>
      <w:marTop w:val="0"/>
      <w:marBottom w:val="0"/>
      <w:divBdr>
        <w:top w:val="none" w:sz="0" w:space="0" w:color="auto"/>
        <w:left w:val="none" w:sz="0" w:space="0" w:color="auto"/>
        <w:bottom w:val="none" w:sz="0" w:space="0" w:color="auto"/>
        <w:right w:val="none" w:sz="0" w:space="0" w:color="auto"/>
      </w:divBdr>
    </w:div>
    <w:div w:id="1077288800">
      <w:bodyDiv w:val="1"/>
      <w:marLeft w:val="0"/>
      <w:marRight w:val="0"/>
      <w:marTop w:val="0"/>
      <w:marBottom w:val="0"/>
      <w:divBdr>
        <w:top w:val="none" w:sz="0" w:space="0" w:color="auto"/>
        <w:left w:val="none" w:sz="0" w:space="0" w:color="auto"/>
        <w:bottom w:val="none" w:sz="0" w:space="0" w:color="auto"/>
        <w:right w:val="none" w:sz="0" w:space="0" w:color="auto"/>
      </w:divBdr>
    </w:div>
    <w:div w:id="1082144820">
      <w:bodyDiv w:val="1"/>
      <w:marLeft w:val="0"/>
      <w:marRight w:val="0"/>
      <w:marTop w:val="0"/>
      <w:marBottom w:val="0"/>
      <w:divBdr>
        <w:top w:val="none" w:sz="0" w:space="0" w:color="auto"/>
        <w:left w:val="none" w:sz="0" w:space="0" w:color="auto"/>
        <w:bottom w:val="none" w:sz="0" w:space="0" w:color="auto"/>
        <w:right w:val="none" w:sz="0" w:space="0" w:color="auto"/>
      </w:divBdr>
    </w:div>
    <w:div w:id="1083331906">
      <w:bodyDiv w:val="1"/>
      <w:marLeft w:val="0"/>
      <w:marRight w:val="0"/>
      <w:marTop w:val="0"/>
      <w:marBottom w:val="0"/>
      <w:divBdr>
        <w:top w:val="none" w:sz="0" w:space="0" w:color="auto"/>
        <w:left w:val="none" w:sz="0" w:space="0" w:color="auto"/>
        <w:bottom w:val="none" w:sz="0" w:space="0" w:color="auto"/>
        <w:right w:val="none" w:sz="0" w:space="0" w:color="auto"/>
      </w:divBdr>
    </w:div>
    <w:div w:id="1089080894">
      <w:bodyDiv w:val="1"/>
      <w:marLeft w:val="0"/>
      <w:marRight w:val="0"/>
      <w:marTop w:val="0"/>
      <w:marBottom w:val="0"/>
      <w:divBdr>
        <w:top w:val="none" w:sz="0" w:space="0" w:color="auto"/>
        <w:left w:val="none" w:sz="0" w:space="0" w:color="auto"/>
        <w:bottom w:val="none" w:sz="0" w:space="0" w:color="auto"/>
        <w:right w:val="none" w:sz="0" w:space="0" w:color="auto"/>
      </w:divBdr>
    </w:div>
    <w:div w:id="1090080648">
      <w:bodyDiv w:val="1"/>
      <w:marLeft w:val="0"/>
      <w:marRight w:val="0"/>
      <w:marTop w:val="0"/>
      <w:marBottom w:val="0"/>
      <w:divBdr>
        <w:top w:val="none" w:sz="0" w:space="0" w:color="auto"/>
        <w:left w:val="none" w:sz="0" w:space="0" w:color="auto"/>
        <w:bottom w:val="none" w:sz="0" w:space="0" w:color="auto"/>
        <w:right w:val="none" w:sz="0" w:space="0" w:color="auto"/>
      </w:divBdr>
    </w:div>
    <w:div w:id="1098599884">
      <w:bodyDiv w:val="1"/>
      <w:marLeft w:val="0"/>
      <w:marRight w:val="0"/>
      <w:marTop w:val="0"/>
      <w:marBottom w:val="0"/>
      <w:divBdr>
        <w:top w:val="none" w:sz="0" w:space="0" w:color="auto"/>
        <w:left w:val="none" w:sz="0" w:space="0" w:color="auto"/>
        <w:bottom w:val="none" w:sz="0" w:space="0" w:color="auto"/>
        <w:right w:val="none" w:sz="0" w:space="0" w:color="auto"/>
      </w:divBdr>
    </w:div>
    <w:div w:id="1103842976">
      <w:bodyDiv w:val="1"/>
      <w:marLeft w:val="0"/>
      <w:marRight w:val="0"/>
      <w:marTop w:val="0"/>
      <w:marBottom w:val="0"/>
      <w:divBdr>
        <w:top w:val="none" w:sz="0" w:space="0" w:color="auto"/>
        <w:left w:val="none" w:sz="0" w:space="0" w:color="auto"/>
        <w:bottom w:val="none" w:sz="0" w:space="0" w:color="auto"/>
        <w:right w:val="none" w:sz="0" w:space="0" w:color="auto"/>
      </w:divBdr>
    </w:div>
    <w:div w:id="1105616514">
      <w:bodyDiv w:val="1"/>
      <w:marLeft w:val="0"/>
      <w:marRight w:val="0"/>
      <w:marTop w:val="0"/>
      <w:marBottom w:val="0"/>
      <w:divBdr>
        <w:top w:val="none" w:sz="0" w:space="0" w:color="auto"/>
        <w:left w:val="none" w:sz="0" w:space="0" w:color="auto"/>
        <w:bottom w:val="none" w:sz="0" w:space="0" w:color="auto"/>
        <w:right w:val="none" w:sz="0" w:space="0" w:color="auto"/>
      </w:divBdr>
    </w:div>
    <w:div w:id="1126120477">
      <w:bodyDiv w:val="1"/>
      <w:marLeft w:val="0"/>
      <w:marRight w:val="0"/>
      <w:marTop w:val="0"/>
      <w:marBottom w:val="0"/>
      <w:divBdr>
        <w:top w:val="none" w:sz="0" w:space="0" w:color="auto"/>
        <w:left w:val="none" w:sz="0" w:space="0" w:color="auto"/>
        <w:bottom w:val="none" w:sz="0" w:space="0" w:color="auto"/>
        <w:right w:val="none" w:sz="0" w:space="0" w:color="auto"/>
      </w:divBdr>
    </w:div>
    <w:div w:id="1138647608">
      <w:bodyDiv w:val="1"/>
      <w:marLeft w:val="0"/>
      <w:marRight w:val="0"/>
      <w:marTop w:val="0"/>
      <w:marBottom w:val="0"/>
      <w:divBdr>
        <w:top w:val="none" w:sz="0" w:space="0" w:color="auto"/>
        <w:left w:val="none" w:sz="0" w:space="0" w:color="auto"/>
        <w:bottom w:val="none" w:sz="0" w:space="0" w:color="auto"/>
        <w:right w:val="none" w:sz="0" w:space="0" w:color="auto"/>
      </w:divBdr>
    </w:div>
    <w:div w:id="1169060174">
      <w:bodyDiv w:val="1"/>
      <w:marLeft w:val="0"/>
      <w:marRight w:val="0"/>
      <w:marTop w:val="0"/>
      <w:marBottom w:val="0"/>
      <w:divBdr>
        <w:top w:val="none" w:sz="0" w:space="0" w:color="auto"/>
        <w:left w:val="none" w:sz="0" w:space="0" w:color="auto"/>
        <w:bottom w:val="none" w:sz="0" w:space="0" w:color="auto"/>
        <w:right w:val="none" w:sz="0" w:space="0" w:color="auto"/>
      </w:divBdr>
    </w:div>
    <w:div w:id="1170292117">
      <w:bodyDiv w:val="1"/>
      <w:marLeft w:val="0"/>
      <w:marRight w:val="0"/>
      <w:marTop w:val="0"/>
      <w:marBottom w:val="0"/>
      <w:divBdr>
        <w:top w:val="none" w:sz="0" w:space="0" w:color="auto"/>
        <w:left w:val="none" w:sz="0" w:space="0" w:color="auto"/>
        <w:bottom w:val="none" w:sz="0" w:space="0" w:color="auto"/>
        <w:right w:val="none" w:sz="0" w:space="0" w:color="auto"/>
      </w:divBdr>
    </w:div>
    <w:div w:id="1177035616">
      <w:bodyDiv w:val="1"/>
      <w:marLeft w:val="0"/>
      <w:marRight w:val="0"/>
      <w:marTop w:val="0"/>
      <w:marBottom w:val="0"/>
      <w:divBdr>
        <w:top w:val="none" w:sz="0" w:space="0" w:color="auto"/>
        <w:left w:val="none" w:sz="0" w:space="0" w:color="auto"/>
        <w:bottom w:val="none" w:sz="0" w:space="0" w:color="auto"/>
        <w:right w:val="none" w:sz="0" w:space="0" w:color="auto"/>
      </w:divBdr>
    </w:div>
    <w:div w:id="1189488687">
      <w:bodyDiv w:val="1"/>
      <w:marLeft w:val="0"/>
      <w:marRight w:val="0"/>
      <w:marTop w:val="0"/>
      <w:marBottom w:val="0"/>
      <w:divBdr>
        <w:top w:val="none" w:sz="0" w:space="0" w:color="auto"/>
        <w:left w:val="none" w:sz="0" w:space="0" w:color="auto"/>
        <w:bottom w:val="none" w:sz="0" w:space="0" w:color="auto"/>
        <w:right w:val="none" w:sz="0" w:space="0" w:color="auto"/>
      </w:divBdr>
    </w:div>
    <w:div w:id="1201943393">
      <w:bodyDiv w:val="1"/>
      <w:marLeft w:val="0"/>
      <w:marRight w:val="0"/>
      <w:marTop w:val="0"/>
      <w:marBottom w:val="0"/>
      <w:divBdr>
        <w:top w:val="none" w:sz="0" w:space="0" w:color="auto"/>
        <w:left w:val="none" w:sz="0" w:space="0" w:color="auto"/>
        <w:bottom w:val="none" w:sz="0" w:space="0" w:color="auto"/>
        <w:right w:val="none" w:sz="0" w:space="0" w:color="auto"/>
      </w:divBdr>
    </w:div>
    <w:div w:id="1207327393">
      <w:bodyDiv w:val="1"/>
      <w:marLeft w:val="0"/>
      <w:marRight w:val="0"/>
      <w:marTop w:val="0"/>
      <w:marBottom w:val="0"/>
      <w:divBdr>
        <w:top w:val="none" w:sz="0" w:space="0" w:color="auto"/>
        <w:left w:val="none" w:sz="0" w:space="0" w:color="auto"/>
        <w:bottom w:val="none" w:sz="0" w:space="0" w:color="auto"/>
        <w:right w:val="none" w:sz="0" w:space="0" w:color="auto"/>
      </w:divBdr>
    </w:div>
    <w:div w:id="1215848218">
      <w:bodyDiv w:val="1"/>
      <w:marLeft w:val="0"/>
      <w:marRight w:val="0"/>
      <w:marTop w:val="0"/>
      <w:marBottom w:val="0"/>
      <w:divBdr>
        <w:top w:val="none" w:sz="0" w:space="0" w:color="auto"/>
        <w:left w:val="none" w:sz="0" w:space="0" w:color="auto"/>
        <w:bottom w:val="none" w:sz="0" w:space="0" w:color="auto"/>
        <w:right w:val="none" w:sz="0" w:space="0" w:color="auto"/>
      </w:divBdr>
    </w:div>
    <w:div w:id="1229266217">
      <w:bodyDiv w:val="1"/>
      <w:marLeft w:val="0"/>
      <w:marRight w:val="0"/>
      <w:marTop w:val="0"/>
      <w:marBottom w:val="0"/>
      <w:divBdr>
        <w:top w:val="none" w:sz="0" w:space="0" w:color="auto"/>
        <w:left w:val="none" w:sz="0" w:space="0" w:color="auto"/>
        <w:bottom w:val="none" w:sz="0" w:space="0" w:color="auto"/>
        <w:right w:val="none" w:sz="0" w:space="0" w:color="auto"/>
      </w:divBdr>
    </w:div>
    <w:div w:id="1232696030">
      <w:bodyDiv w:val="1"/>
      <w:marLeft w:val="0"/>
      <w:marRight w:val="0"/>
      <w:marTop w:val="0"/>
      <w:marBottom w:val="0"/>
      <w:divBdr>
        <w:top w:val="none" w:sz="0" w:space="0" w:color="auto"/>
        <w:left w:val="none" w:sz="0" w:space="0" w:color="auto"/>
        <w:bottom w:val="none" w:sz="0" w:space="0" w:color="auto"/>
        <w:right w:val="none" w:sz="0" w:space="0" w:color="auto"/>
      </w:divBdr>
    </w:div>
    <w:div w:id="1238199984">
      <w:bodyDiv w:val="1"/>
      <w:marLeft w:val="0"/>
      <w:marRight w:val="0"/>
      <w:marTop w:val="0"/>
      <w:marBottom w:val="0"/>
      <w:divBdr>
        <w:top w:val="none" w:sz="0" w:space="0" w:color="auto"/>
        <w:left w:val="none" w:sz="0" w:space="0" w:color="auto"/>
        <w:bottom w:val="none" w:sz="0" w:space="0" w:color="auto"/>
        <w:right w:val="none" w:sz="0" w:space="0" w:color="auto"/>
      </w:divBdr>
    </w:div>
    <w:div w:id="1244611063">
      <w:bodyDiv w:val="1"/>
      <w:marLeft w:val="0"/>
      <w:marRight w:val="0"/>
      <w:marTop w:val="0"/>
      <w:marBottom w:val="0"/>
      <w:divBdr>
        <w:top w:val="none" w:sz="0" w:space="0" w:color="auto"/>
        <w:left w:val="none" w:sz="0" w:space="0" w:color="auto"/>
        <w:bottom w:val="none" w:sz="0" w:space="0" w:color="auto"/>
        <w:right w:val="none" w:sz="0" w:space="0" w:color="auto"/>
      </w:divBdr>
    </w:div>
    <w:div w:id="1244756429">
      <w:bodyDiv w:val="1"/>
      <w:marLeft w:val="0"/>
      <w:marRight w:val="0"/>
      <w:marTop w:val="0"/>
      <w:marBottom w:val="0"/>
      <w:divBdr>
        <w:top w:val="none" w:sz="0" w:space="0" w:color="auto"/>
        <w:left w:val="none" w:sz="0" w:space="0" w:color="auto"/>
        <w:bottom w:val="none" w:sz="0" w:space="0" w:color="auto"/>
        <w:right w:val="none" w:sz="0" w:space="0" w:color="auto"/>
      </w:divBdr>
    </w:div>
    <w:div w:id="1246920472">
      <w:bodyDiv w:val="1"/>
      <w:marLeft w:val="0"/>
      <w:marRight w:val="0"/>
      <w:marTop w:val="0"/>
      <w:marBottom w:val="0"/>
      <w:divBdr>
        <w:top w:val="none" w:sz="0" w:space="0" w:color="auto"/>
        <w:left w:val="none" w:sz="0" w:space="0" w:color="auto"/>
        <w:bottom w:val="none" w:sz="0" w:space="0" w:color="auto"/>
        <w:right w:val="none" w:sz="0" w:space="0" w:color="auto"/>
      </w:divBdr>
    </w:div>
    <w:div w:id="1256211557">
      <w:bodyDiv w:val="1"/>
      <w:marLeft w:val="0"/>
      <w:marRight w:val="0"/>
      <w:marTop w:val="0"/>
      <w:marBottom w:val="0"/>
      <w:divBdr>
        <w:top w:val="none" w:sz="0" w:space="0" w:color="auto"/>
        <w:left w:val="none" w:sz="0" w:space="0" w:color="auto"/>
        <w:bottom w:val="none" w:sz="0" w:space="0" w:color="auto"/>
        <w:right w:val="none" w:sz="0" w:space="0" w:color="auto"/>
      </w:divBdr>
    </w:div>
    <w:div w:id="1263605056">
      <w:bodyDiv w:val="1"/>
      <w:marLeft w:val="0"/>
      <w:marRight w:val="0"/>
      <w:marTop w:val="0"/>
      <w:marBottom w:val="0"/>
      <w:divBdr>
        <w:top w:val="none" w:sz="0" w:space="0" w:color="auto"/>
        <w:left w:val="none" w:sz="0" w:space="0" w:color="auto"/>
        <w:bottom w:val="none" w:sz="0" w:space="0" w:color="auto"/>
        <w:right w:val="none" w:sz="0" w:space="0" w:color="auto"/>
      </w:divBdr>
    </w:div>
    <w:div w:id="1277713718">
      <w:bodyDiv w:val="1"/>
      <w:marLeft w:val="0"/>
      <w:marRight w:val="0"/>
      <w:marTop w:val="0"/>
      <w:marBottom w:val="0"/>
      <w:divBdr>
        <w:top w:val="none" w:sz="0" w:space="0" w:color="auto"/>
        <w:left w:val="none" w:sz="0" w:space="0" w:color="auto"/>
        <w:bottom w:val="none" w:sz="0" w:space="0" w:color="auto"/>
        <w:right w:val="none" w:sz="0" w:space="0" w:color="auto"/>
      </w:divBdr>
    </w:div>
    <w:div w:id="1278292780">
      <w:bodyDiv w:val="1"/>
      <w:marLeft w:val="0"/>
      <w:marRight w:val="0"/>
      <w:marTop w:val="0"/>
      <w:marBottom w:val="0"/>
      <w:divBdr>
        <w:top w:val="none" w:sz="0" w:space="0" w:color="auto"/>
        <w:left w:val="none" w:sz="0" w:space="0" w:color="auto"/>
        <w:bottom w:val="none" w:sz="0" w:space="0" w:color="auto"/>
        <w:right w:val="none" w:sz="0" w:space="0" w:color="auto"/>
      </w:divBdr>
    </w:div>
    <w:div w:id="1280717954">
      <w:bodyDiv w:val="1"/>
      <w:marLeft w:val="0"/>
      <w:marRight w:val="0"/>
      <w:marTop w:val="0"/>
      <w:marBottom w:val="0"/>
      <w:divBdr>
        <w:top w:val="none" w:sz="0" w:space="0" w:color="auto"/>
        <w:left w:val="none" w:sz="0" w:space="0" w:color="auto"/>
        <w:bottom w:val="none" w:sz="0" w:space="0" w:color="auto"/>
        <w:right w:val="none" w:sz="0" w:space="0" w:color="auto"/>
      </w:divBdr>
    </w:div>
    <w:div w:id="1309166507">
      <w:bodyDiv w:val="1"/>
      <w:marLeft w:val="0"/>
      <w:marRight w:val="0"/>
      <w:marTop w:val="0"/>
      <w:marBottom w:val="0"/>
      <w:divBdr>
        <w:top w:val="none" w:sz="0" w:space="0" w:color="auto"/>
        <w:left w:val="none" w:sz="0" w:space="0" w:color="auto"/>
        <w:bottom w:val="none" w:sz="0" w:space="0" w:color="auto"/>
        <w:right w:val="none" w:sz="0" w:space="0" w:color="auto"/>
      </w:divBdr>
    </w:div>
    <w:div w:id="1314598496">
      <w:bodyDiv w:val="1"/>
      <w:marLeft w:val="0"/>
      <w:marRight w:val="0"/>
      <w:marTop w:val="0"/>
      <w:marBottom w:val="0"/>
      <w:divBdr>
        <w:top w:val="none" w:sz="0" w:space="0" w:color="auto"/>
        <w:left w:val="none" w:sz="0" w:space="0" w:color="auto"/>
        <w:bottom w:val="none" w:sz="0" w:space="0" w:color="auto"/>
        <w:right w:val="none" w:sz="0" w:space="0" w:color="auto"/>
      </w:divBdr>
    </w:div>
    <w:div w:id="1317803476">
      <w:bodyDiv w:val="1"/>
      <w:marLeft w:val="0"/>
      <w:marRight w:val="0"/>
      <w:marTop w:val="0"/>
      <w:marBottom w:val="0"/>
      <w:divBdr>
        <w:top w:val="none" w:sz="0" w:space="0" w:color="auto"/>
        <w:left w:val="none" w:sz="0" w:space="0" w:color="auto"/>
        <w:bottom w:val="none" w:sz="0" w:space="0" w:color="auto"/>
        <w:right w:val="none" w:sz="0" w:space="0" w:color="auto"/>
      </w:divBdr>
    </w:div>
    <w:div w:id="1328824026">
      <w:bodyDiv w:val="1"/>
      <w:marLeft w:val="0"/>
      <w:marRight w:val="0"/>
      <w:marTop w:val="0"/>
      <w:marBottom w:val="0"/>
      <w:divBdr>
        <w:top w:val="none" w:sz="0" w:space="0" w:color="auto"/>
        <w:left w:val="none" w:sz="0" w:space="0" w:color="auto"/>
        <w:bottom w:val="none" w:sz="0" w:space="0" w:color="auto"/>
        <w:right w:val="none" w:sz="0" w:space="0" w:color="auto"/>
      </w:divBdr>
    </w:div>
    <w:div w:id="1345086403">
      <w:bodyDiv w:val="1"/>
      <w:marLeft w:val="0"/>
      <w:marRight w:val="0"/>
      <w:marTop w:val="0"/>
      <w:marBottom w:val="0"/>
      <w:divBdr>
        <w:top w:val="none" w:sz="0" w:space="0" w:color="auto"/>
        <w:left w:val="none" w:sz="0" w:space="0" w:color="auto"/>
        <w:bottom w:val="none" w:sz="0" w:space="0" w:color="auto"/>
        <w:right w:val="none" w:sz="0" w:space="0" w:color="auto"/>
      </w:divBdr>
    </w:div>
    <w:div w:id="1346052306">
      <w:bodyDiv w:val="1"/>
      <w:marLeft w:val="0"/>
      <w:marRight w:val="0"/>
      <w:marTop w:val="0"/>
      <w:marBottom w:val="0"/>
      <w:divBdr>
        <w:top w:val="none" w:sz="0" w:space="0" w:color="auto"/>
        <w:left w:val="none" w:sz="0" w:space="0" w:color="auto"/>
        <w:bottom w:val="none" w:sz="0" w:space="0" w:color="auto"/>
        <w:right w:val="none" w:sz="0" w:space="0" w:color="auto"/>
      </w:divBdr>
    </w:div>
    <w:div w:id="1362049004">
      <w:bodyDiv w:val="1"/>
      <w:marLeft w:val="0"/>
      <w:marRight w:val="0"/>
      <w:marTop w:val="0"/>
      <w:marBottom w:val="0"/>
      <w:divBdr>
        <w:top w:val="none" w:sz="0" w:space="0" w:color="auto"/>
        <w:left w:val="none" w:sz="0" w:space="0" w:color="auto"/>
        <w:bottom w:val="none" w:sz="0" w:space="0" w:color="auto"/>
        <w:right w:val="none" w:sz="0" w:space="0" w:color="auto"/>
      </w:divBdr>
    </w:div>
    <w:div w:id="1367830618">
      <w:bodyDiv w:val="1"/>
      <w:marLeft w:val="0"/>
      <w:marRight w:val="0"/>
      <w:marTop w:val="0"/>
      <w:marBottom w:val="0"/>
      <w:divBdr>
        <w:top w:val="none" w:sz="0" w:space="0" w:color="auto"/>
        <w:left w:val="none" w:sz="0" w:space="0" w:color="auto"/>
        <w:bottom w:val="none" w:sz="0" w:space="0" w:color="auto"/>
        <w:right w:val="none" w:sz="0" w:space="0" w:color="auto"/>
      </w:divBdr>
    </w:div>
    <w:div w:id="1368524149">
      <w:bodyDiv w:val="1"/>
      <w:marLeft w:val="0"/>
      <w:marRight w:val="0"/>
      <w:marTop w:val="0"/>
      <w:marBottom w:val="0"/>
      <w:divBdr>
        <w:top w:val="none" w:sz="0" w:space="0" w:color="auto"/>
        <w:left w:val="none" w:sz="0" w:space="0" w:color="auto"/>
        <w:bottom w:val="none" w:sz="0" w:space="0" w:color="auto"/>
        <w:right w:val="none" w:sz="0" w:space="0" w:color="auto"/>
      </w:divBdr>
    </w:div>
    <w:div w:id="1408072210">
      <w:bodyDiv w:val="1"/>
      <w:marLeft w:val="0"/>
      <w:marRight w:val="0"/>
      <w:marTop w:val="0"/>
      <w:marBottom w:val="0"/>
      <w:divBdr>
        <w:top w:val="none" w:sz="0" w:space="0" w:color="auto"/>
        <w:left w:val="none" w:sz="0" w:space="0" w:color="auto"/>
        <w:bottom w:val="none" w:sz="0" w:space="0" w:color="auto"/>
        <w:right w:val="none" w:sz="0" w:space="0" w:color="auto"/>
      </w:divBdr>
    </w:div>
    <w:div w:id="1408963697">
      <w:bodyDiv w:val="1"/>
      <w:marLeft w:val="0"/>
      <w:marRight w:val="0"/>
      <w:marTop w:val="0"/>
      <w:marBottom w:val="0"/>
      <w:divBdr>
        <w:top w:val="none" w:sz="0" w:space="0" w:color="auto"/>
        <w:left w:val="none" w:sz="0" w:space="0" w:color="auto"/>
        <w:bottom w:val="none" w:sz="0" w:space="0" w:color="auto"/>
        <w:right w:val="none" w:sz="0" w:space="0" w:color="auto"/>
      </w:divBdr>
    </w:div>
    <w:div w:id="1432892916">
      <w:bodyDiv w:val="1"/>
      <w:marLeft w:val="0"/>
      <w:marRight w:val="0"/>
      <w:marTop w:val="0"/>
      <w:marBottom w:val="0"/>
      <w:divBdr>
        <w:top w:val="none" w:sz="0" w:space="0" w:color="auto"/>
        <w:left w:val="none" w:sz="0" w:space="0" w:color="auto"/>
        <w:bottom w:val="none" w:sz="0" w:space="0" w:color="auto"/>
        <w:right w:val="none" w:sz="0" w:space="0" w:color="auto"/>
      </w:divBdr>
    </w:div>
    <w:div w:id="1434007498">
      <w:bodyDiv w:val="1"/>
      <w:marLeft w:val="0"/>
      <w:marRight w:val="0"/>
      <w:marTop w:val="0"/>
      <w:marBottom w:val="0"/>
      <w:divBdr>
        <w:top w:val="none" w:sz="0" w:space="0" w:color="auto"/>
        <w:left w:val="none" w:sz="0" w:space="0" w:color="auto"/>
        <w:bottom w:val="none" w:sz="0" w:space="0" w:color="auto"/>
        <w:right w:val="none" w:sz="0" w:space="0" w:color="auto"/>
      </w:divBdr>
    </w:div>
    <w:div w:id="1442533544">
      <w:bodyDiv w:val="1"/>
      <w:marLeft w:val="0"/>
      <w:marRight w:val="0"/>
      <w:marTop w:val="0"/>
      <w:marBottom w:val="0"/>
      <w:divBdr>
        <w:top w:val="none" w:sz="0" w:space="0" w:color="auto"/>
        <w:left w:val="none" w:sz="0" w:space="0" w:color="auto"/>
        <w:bottom w:val="none" w:sz="0" w:space="0" w:color="auto"/>
        <w:right w:val="none" w:sz="0" w:space="0" w:color="auto"/>
      </w:divBdr>
    </w:div>
    <w:div w:id="1446969989">
      <w:bodyDiv w:val="1"/>
      <w:marLeft w:val="0"/>
      <w:marRight w:val="0"/>
      <w:marTop w:val="0"/>
      <w:marBottom w:val="0"/>
      <w:divBdr>
        <w:top w:val="none" w:sz="0" w:space="0" w:color="auto"/>
        <w:left w:val="none" w:sz="0" w:space="0" w:color="auto"/>
        <w:bottom w:val="none" w:sz="0" w:space="0" w:color="auto"/>
        <w:right w:val="none" w:sz="0" w:space="0" w:color="auto"/>
      </w:divBdr>
    </w:div>
    <w:div w:id="1461073375">
      <w:bodyDiv w:val="1"/>
      <w:marLeft w:val="0"/>
      <w:marRight w:val="0"/>
      <w:marTop w:val="0"/>
      <w:marBottom w:val="0"/>
      <w:divBdr>
        <w:top w:val="none" w:sz="0" w:space="0" w:color="auto"/>
        <w:left w:val="none" w:sz="0" w:space="0" w:color="auto"/>
        <w:bottom w:val="none" w:sz="0" w:space="0" w:color="auto"/>
        <w:right w:val="none" w:sz="0" w:space="0" w:color="auto"/>
      </w:divBdr>
    </w:div>
    <w:div w:id="1461731758">
      <w:bodyDiv w:val="1"/>
      <w:marLeft w:val="0"/>
      <w:marRight w:val="0"/>
      <w:marTop w:val="0"/>
      <w:marBottom w:val="0"/>
      <w:divBdr>
        <w:top w:val="none" w:sz="0" w:space="0" w:color="auto"/>
        <w:left w:val="none" w:sz="0" w:space="0" w:color="auto"/>
        <w:bottom w:val="none" w:sz="0" w:space="0" w:color="auto"/>
        <w:right w:val="none" w:sz="0" w:space="0" w:color="auto"/>
      </w:divBdr>
    </w:div>
    <w:div w:id="1463034358">
      <w:bodyDiv w:val="1"/>
      <w:marLeft w:val="0"/>
      <w:marRight w:val="0"/>
      <w:marTop w:val="0"/>
      <w:marBottom w:val="0"/>
      <w:divBdr>
        <w:top w:val="none" w:sz="0" w:space="0" w:color="auto"/>
        <w:left w:val="none" w:sz="0" w:space="0" w:color="auto"/>
        <w:bottom w:val="none" w:sz="0" w:space="0" w:color="auto"/>
        <w:right w:val="none" w:sz="0" w:space="0" w:color="auto"/>
      </w:divBdr>
    </w:div>
    <w:div w:id="1476872541">
      <w:bodyDiv w:val="1"/>
      <w:marLeft w:val="0"/>
      <w:marRight w:val="0"/>
      <w:marTop w:val="0"/>
      <w:marBottom w:val="0"/>
      <w:divBdr>
        <w:top w:val="none" w:sz="0" w:space="0" w:color="auto"/>
        <w:left w:val="none" w:sz="0" w:space="0" w:color="auto"/>
        <w:bottom w:val="none" w:sz="0" w:space="0" w:color="auto"/>
        <w:right w:val="none" w:sz="0" w:space="0" w:color="auto"/>
      </w:divBdr>
    </w:div>
    <w:div w:id="1514687944">
      <w:bodyDiv w:val="1"/>
      <w:marLeft w:val="0"/>
      <w:marRight w:val="0"/>
      <w:marTop w:val="0"/>
      <w:marBottom w:val="0"/>
      <w:divBdr>
        <w:top w:val="none" w:sz="0" w:space="0" w:color="auto"/>
        <w:left w:val="none" w:sz="0" w:space="0" w:color="auto"/>
        <w:bottom w:val="none" w:sz="0" w:space="0" w:color="auto"/>
        <w:right w:val="none" w:sz="0" w:space="0" w:color="auto"/>
      </w:divBdr>
    </w:div>
    <w:div w:id="1524593139">
      <w:bodyDiv w:val="1"/>
      <w:marLeft w:val="0"/>
      <w:marRight w:val="0"/>
      <w:marTop w:val="0"/>
      <w:marBottom w:val="0"/>
      <w:divBdr>
        <w:top w:val="none" w:sz="0" w:space="0" w:color="auto"/>
        <w:left w:val="none" w:sz="0" w:space="0" w:color="auto"/>
        <w:bottom w:val="none" w:sz="0" w:space="0" w:color="auto"/>
        <w:right w:val="none" w:sz="0" w:space="0" w:color="auto"/>
      </w:divBdr>
    </w:div>
    <w:div w:id="1530755557">
      <w:bodyDiv w:val="1"/>
      <w:marLeft w:val="0"/>
      <w:marRight w:val="0"/>
      <w:marTop w:val="0"/>
      <w:marBottom w:val="0"/>
      <w:divBdr>
        <w:top w:val="none" w:sz="0" w:space="0" w:color="auto"/>
        <w:left w:val="none" w:sz="0" w:space="0" w:color="auto"/>
        <w:bottom w:val="none" w:sz="0" w:space="0" w:color="auto"/>
        <w:right w:val="none" w:sz="0" w:space="0" w:color="auto"/>
      </w:divBdr>
    </w:div>
    <w:div w:id="1538195650">
      <w:bodyDiv w:val="1"/>
      <w:marLeft w:val="0"/>
      <w:marRight w:val="0"/>
      <w:marTop w:val="0"/>
      <w:marBottom w:val="0"/>
      <w:divBdr>
        <w:top w:val="none" w:sz="0" w:space="0" w:color="auto"/>
        <w:left w:val="none" w:sz="0" w:space="0" w:color="auto"/>
        <w:bottom w:val="none" w:sz="0" w:space="0" w:color="auto"/>
        <w:right w:val="none" w:sz="0" w:space="0" w:color="auto"/>
      </w:divBdr>
    </w:div>
    <w:div w:id="1550609163">
      <w:bodyDiv w:val="1"/>
      <w:marLeft w:val="0"/>
      <w:marRight w:val="0"/>
      <w:marTop w:val="0"/>
      <w:marBottom w:val="0"/>
      <w:divBdr>
        <w:top w:val="none" w:sz="0" w:space="0" w:color="auto"/>
        <w:left w:val="none" w:sz="0" w:space="0" w:color="auto"/>
        <w:bottom w:val="none" w:sz="0" w:space="0" w:color="auto"/>
        <w:right w:val="none" w:sz="0" w:space="0" w:color="auto"/>
      </w:divBdr>
    </w:div>
    <w:div w:id="1562866656">
      <w:bodyDiv w:val="1"/>
      <w:marLeft w:val="0"/>
      <w:marRight w:val="0"/>
      <w:marTop w:val="0"/>
      <w:marBottom w:val="0"/>
      <w:divBdr>
        <w:top w:val="none" w:sz="0" w:space="0" w:color="auto"/>
        <w:left w:val="none" w:sz="0" w:space="0" w:color="auto"/>
        <w:bottom w:val="none" w:sz="0" w:space="0" w:color="auto"/>
        <w:right w:val="none" w:sz="0" w:space="0" w:color="auto"/>
      </w:divBdr>
    </w:div>
    <w:div w:id="1566452698">
      <w:bodyDiv w:val="1"/>
      <w:marLeft w:val="0"/>
      <w:marRight w:val="0"/>
      <w:marTop w:val="0"/>
      <w:marBottom w:val="0"/>
      <w:divBdr>
        <w:top w:val="none" w:sz="0" w:space="0" w:color="auto"/>
        <w:left w:val="none" w:sz="0" w:space="0" w:color="auto"/>
        <w:bottom w:val="none" w:sz="0" w:space="0" w:color="auto"/>
        <w:right w:val="none" w:sz="0" w:space="0" w:color="auto"/>
      </w:divBdr>
    </w:div>
    <w:div w:id="1572232467">
      <w:bodyDiv w:val="1"/>
      <w:marLeft w:val="0"/>
      <w:marRight w:val="0"/>
      <w:marTop w:val="0"/>
      <w:marBottom w:val="0"/>
      <w:divBdr>
        <w:top w:val="none" w:sz="0" w:space="0" w:color="auto"/>
        <w:left w:val="none" w:sz="0" w:space="0" w:color="auto"/>
        <w:bottom w:val="none" w:sz="0" w:space="0" w:color="auto"/>
        <w:right w:val="none" w:sz="0" w:space="0" w:color="auto"/>
      </w:divBdr>
    </w:div>
    <w:div w:id="1578708073">
      <w:bodyDiv w:val="1"/>
      <w:marLeft w:val="0"/>
      <w:marRight w:val="0"/>
      <w:marTop w:val="0"/>
      <w:marBottom w:val="0"/>
      <w:divBdr>
        <w:top w:val="none" w:sz="0" w:space="0" w:color="auto"/>
        <w:left w:val="none" w:sz="0" w:space="0" w:color="auto"/>
        <w:bottom w:val="none" w:sz="0" w:space="0" w:color="auto"/>
        <w:right w:val="none" w:sz="0" w:space="0" w:color="auto"/>
      </w:divBdr>
    </w:div>
    <w:div w:id="1590574341">
      <w:bodyDiv w:val="1"/>
      <w:marLeft w:val="0"/>
      <w:marRight w:val="0"/>
      <w:marTop w:val="0"/>
      <w:marBottom w:val="0"/>
      <w:divBdr>
        <w:top w:val="none" w:sz="0" w:space="0" w:color="auto"/>
        <w:left w:val="none" w:sz="0" w:space="0" w:color="auto"/>
        <w:bottom w:val="none" w:sz="0" w:space="0" w:color="auto"/>
        <w:right w:val="none" w:sz="0" w:space="0" w:color="auto"/>
      </w:divBdr>
    </w:div>
    <w:div w:id="1591624479">
      <w:bodyDiv w:val="1"/>
      <w:marLeft w:val="0"/>
      <w:marRight w:val="0"/>
      <w:marTop w:val="0"/>
      <w:marBottom w:val="0"/>
      <w:divBdr>
        <w:top w:val="none" w:sz="0" w:space="0" w:color="auto"/>
        <w:left w:val="none" w:sz="0" w:space="0" w:color="auto"/>
        <w:bottom w:val="none" w:sz="0" w:space="0" w:color="auto"/>
        <w:right w:val="none" w:sz="0" w:space="0" w:color="auto"/>
      </w:divBdr>
    </w:div>
    <w:div w:id="1592423791">
      <w:bodyDiv w:val="1"/>
      <w:marLeft w:val="0"/>
      <w:marRight w:val="0"/>
      <w:marTop w:val="0"/>
      <w:marBottom w:val="0"/>
      <w:divBdr>
        <w:top w:val="none" w:sz="0" w:space="0" w:color="auto"/>
        <w:left w:val="none" w:sz="0" w:space="0" w:color="auto"/>
        <w:bottom w:val="none" w:sz="0" w:space="0" w:color="auto"/>
        <w:right w:val="none" w:sz="0" w:space="0" w:color="auto"/>
      </w:divBdr>
    </w:div>
    <w:div w:id="1592666423">
      <w:bodyDiv w:val="1"/>
      <w:marLeft w:val="0"/>
      <w:marRight w:val="0"/>
      <w:marTop w:val="0"/>
      <w:marBottom w:val="0"/>
      <w:divBdr>
        <w:top w:val="none" w:sz="0" w:space="0" w:color="auto"/>
        <w:left w:val="none" w:sz="0" w:space="0" w:color="auto"/>
        <w:bottom w:val="none" w:sz="0" w:space="0" w:color="auto"/>
        <w:right w:val="none" w:sz="0" w:space="0" w:color="auto"/>
      </w:divBdr>
    </w:div>
    <w:div w:id="1595167673">
      <w:bodyDiv w:val="1"/>
      <w:marLeft w:val="0"/>
      <w:marRight w:val="0"/>
      <w:marTop w:val="0"/>
      <w:marBottom w:val="0"/>
      <w:divBdr>
        <w:top w:val="none" w:sz="0" w:space="0" w:color="auto"/>
        <w:left w:val="none" w:sz="0" w:space="0" w:color="auto"/>
        <w:bottom w:val="none" w:sz="0" w:space="0" w:color="auto"/>
        <w:right w:val="none" w:sz="0" w:space="0" w:color="auto"/>
      </w:divBdr>
    </w:div>
    <w:div w:id="1598322702">
      <w:bodyDiv w:val="1"/>
      <w:marLeft w:val="0"/>
      <w:marRight w:val="0"/>
      <w:marTop w:val="0"/>
      <w:marBottom w:val="0"/>
      <w:divBdr>
        <w:top w:val="none" w:sz="0" w:space="0" w:color="auto"/>
        <w:left w:val="none" w:sz="0" w:space="0" w:color="auto"/>
        <w:bottom w:val="none" w:sz="0" w:space="0" w:color="auto"/>
        <w:right w:val="none" w:sz="0" w:space="0" w:color="auto"/>
      </w:divBdr>
    </w:div>
    <w:div w:id="1599750317">
      <w:bodyDiv w:val="1"/>
      <w:marLeft w:val="0"/>
      <w:marRight w:val="0"/>
      <w:marTop w:val="0"/>
      <w:marBottom w:val="0"/>
      <w:divBdr>
        <w:top w:val="none" w:sz="0" w:space="0" w:color="auto"/>
        <w:left w:val="none" w:sz="0" w:space="0" w:color="auto"/>
        <w:bottom w:val="none" w:sz="0" w:space="0" w:color="auto"/>
        <w:right w:val="none" w:sz="0" w:space="0" w:color="auto"/>
      </w:divBdr>
    </w:div>
    <w:div w:id="1602958006">
      <w:bodyDiv w:val="1"/>
      <w:marLeft w:val="0"/>
      <w:marRight w:val="0"/>
      <w:marTop w:val="0"/>
      <w:marBottom w:val="0"/>
      <w:divBdr>
        <w:top w:val="none" w:sz="0" w:space="0" w:color="auto"/>
        <w:left w:val="none" w:sz="0" w:space="0" w:color="auto"/>
        <w:bottom w:val="none" w:sz="0" w:space="0" w:color="auto"/>
        <w:right w:val="none" w:sz="0" w:space="0" w:color="auto"/>
      </w:divBdr>
    </w:div>
    <w:div w:id="1605919170">
      <w:bodyDiv w:val="1"/>
      <w:marLeft w:val="0"/>
      <w:marRight w:val="0"/>
      <w:marTop w:val="0"/>
      <w:marBottom w:val="0"/>
      <w:divBdr>
        <w:top w:val="none" w:sz="0" w:space="0" w:color="auto"/>
        <w:left w:val="none" w:sz="0" w:space="0" w:color="auto"/>
        <w:bottom w:val="none" w:sz="0" w:space="0" w:color="auto"/>
        <w:right w:val="none" w:sz="0" w:space="0" w:color="auto"/>
      </w:divBdr>
    </w:div>
    <w:div w:id="1611276365">
      <w:bodyDiv w:val="1"/>
      <w:marLeft w:val="0"/>
      <w:marRight w:val="0"/>
      <w:marTop w:val="0"/>
      <w:marBottom w:val="0"/>
      <w:divBdr>
        <w:top w:val="none" w:sz="0" w:space="0" w:color="auto"/>
        <w:left w:val="none" w:sz="0" w:space="0" w:color="auto"/>
        <w:bottom w:val="none" w:sz="0" w:space="0" w:color="auto"/>
        <w:right w:val="none" w:sz="0" w:space="0" w:color="auto"/>
      </w:divBdr>
    </w:div>
    <w:div w:id="1612282376">
      <w:bodyDiv w:val="1"/>
      <w:marLeft w:val="0"/>
      <w:marRight w:val="0"/>
      <w:marTop w:val="0"/>
      <w:marBottom w:val="0"/>
      <w:divBdr>
        <w:top w:val="none" w:sz="0" w:space="0" w:color="auto"/>
        <w:left w:val="none" w:sz="0" w:space="0" w:color="auto"/>
        <w:bottom w:val="none" w:sz="0" w:space="0" w:color="auto"/>
        <w:right w:val="none" w:sz="0" w:space="0" w:color="auto"/>
      </w:divBdr>
    </w:div>
    <w:div w:id="1626158498">
      <w:bodyDiv w:val="1"/>
      <w:marLeft w:val="0"/>
      <w:marRight w:val="0"/>
      <w:marTop w:val="0"/>
      <w:marBottom w:val="0"/>
      <w:divBdr>
        <w:top w:val="none" w:sz="0" w:space="0" w:color="auto"/>
        <w:left w:val="none" w:sz="0" w:space="0" w:color="auto"/>
        <w:bottom w:val="none" w:sz="0" w:space="0" w:color="auto"/>
        <w:right w:val="none" w:sz="0" w:space="0" w:color="auto"/>
      </w:divBdr>
    </w:div>
    <w:div w:id="1632590662">
      <w:bodyDiv w:val="1"/>
      <w:marLeft w:val="0"/>
      <w:marRight w:val="0"/>
      <w:marTop w:val="0"/>
      <w:marBottom w:val="0"/>
      <w:divBdr>
        <w:top w:val="none" w:sz="0" w:space="0" w:color="auto"/>
        <w:left w:val="none" w:sz="0" w:space="0" w:color="auto"/>
        <w:bottom w:val="none" w:sz="0" w:space="0" w:color="auto"/>
        <w:right w:val="none" w:sz="0" w:space="0" w:color="auto"/>
      </w:divBdr>
    </w:div>
    <w:div w:id="1634411285">
      <w:bodyDiv w:val="1"/>
      <w:marLeft w:val="0"/>
      <w:marRight w:val="0"/>
      <w:marTop w:val="0"/>
      <w:marBottom w:val="0"/>
      <w:divBdr>
        <w:top w:val="none" w:sz="0" w:space="0" w:color="auto"/>
        <w:left w:val="none" w:sz="0" w:space="0" w:color="auto"/>
        <w:bottom w:val="none" w:sz="0" w:space="0" w:color="auto"/>
        <w:right w:val="none" w:sz="0" w:space="0" w:color="auto"/>
      </w:divBdr>
    </w:div>
    <w:div w:id="1634671716">
      <w:bodyDiv w:val="1"/>
      <w:marLeft w:val="0"/>
      <w:marRight w:val="0"/>
      <w:marTop w:val="0"/>
      <w:marBottom w:val="0"/>
      <w:divBdr>
        <w:top w:val="none" w:sz="0" w:space="0" w:color="auto"/>
        <w:left w:val="none" w:sz="0" w:space="0" w:color="auto"/>
        <w:bottom w:val="none" w:sz="0" w:space="0" w:color="auto"/>
        <w:right w:val="none" w:sz="0" w:space="0" w:color="auto"/>
      </w:divBdr>
    </w:div>
    <w:div w:id="1646542684">
      <w:bodyDiv w:val="1"/>
      <w:marLeft w:val="0"/>
      <w:marRight w:val="0"/>
      <w:marTop w:val="0"/>
      <w:marBottom w:val="0"/>
      <w:divBdr>
        <w:top w:val="none" w:sz="0" w:space="0" w:color="auto"/>
        <w:left w:val="none" w:sz="0" w:space="0" w:color="auto"/>
        <w:bottom w:val="none" w:sz="0" w:space="0" w:color="auto"/>
        <w:right w:val="none" w:sz="0" w:space="0" w:color="auto"/>
      </w:divBdr>
    </w:div>
    <w:div w:id="1647248050">
      <w:bodyDiv w:val="1"/>
      <w:marLeft w:val="0"/>
      <w:marRight w:val="0"/>
      <w:marTop w:val="0"/>
      <w:marBottom w:val="0"/>
      <w:divBdr>
        <w:top w:val="none" w:sz="0" w:space="0" w:color="auto"/>
        <w:left w:val="none" w:sz="0" w:space="0" w:color="auto"/>
        <w:bottom w:val="none" w:sz="0" w:space="0" w:color="auto"/>
        <w:right w:val="none" w:sz="0" w:space="0" w:color="auto"/>
      </w:divBdr>
    </w:div>
    <w:div w:id="1649556949">
      <w:bodyDiv w:val="1"/>
      <w:marLeft w:val="0"/>
      <w:marRight w:val="0"/>
      <w:marTop w:val="0"/>
      <w:marBottom w:val="0"/>
      <w:divBdr>
        <w:top w:val="none" w:sz="0" w:space="0" w:color="auto"/>
        <w:left w:val="none" w:sz="0" w:space="0" w:color="auto"/>
        <w:bottom w:val="none" w:sz="0" w:space="0" w:color="auto"/>
        <w:right w:val="none" w:sz="0" w:space="0" w:color="auto"/>
      </w:divBdr>
    </w:div>
    <w:div w:id="1649630488">
      <w:bodyDiv w:val="1"/>
      <w:marLeft w:val="0"/>
      <w:marRight w:val="0"/>
      <w:marTop w:val="0"/>
      <w:marBottom w:val="0"/>
      <w:divBdr>
        <w:top w:val="none" w:sz="0" w:space="0" w:color="auto"/>
        <w:left w:val="none" w:sz="0" w:space="0" w:color="auto"/>
        <w:bottom w:val="none" w:sz="0" w:space="0" w:color="auto"/>
        <w:right w:val="none" w:sz="0" w:space="0" w:color="auto"/>
      </w:divBdr>
    </w:div>
    <w:div w:id="1649820960">
      <w:bodyDiv w:val="1"/>
      <w:marLeft w:val="0"/>
      <w:marRight w:val="0"/>
      <w:marTop w:val="0"/>
      <w:marBottom w:val="0"/>
      <w:divBdr>
        <w:top w:val="none" w:sz="0" w:space="0" w:color="auto"/>
        <w:left w:val="none" w:sz="0" w:space="0" w:color="auto"/>
        <w:bottom w:val="none" w:sz="0" w:space="0" w:color="auto"/>
        <w:right w:val="none" w:sz="0" w:space="0" w:color="auto"/>
      </w:divBdr>
    </w:div>
    <w:div w:id="1658652256">
      <w:bodyDiv w:val="1"/>
      <w:marLeft w:val="0"/>
      <w:marRight w:val="0"/>
      <w:marTop w:val="0"/>
      <w:marBottom w:val="0"/>
      <w:divBdr>
        <w:top w:val="none" w:sz="0" w:space="0" w:color="auto"/>
        <w:left w:val="none" w:sz="0" w:space="0" w:color="auto"/>
        <w:bottom w:val="none" w:sz="0" w:space="0" w:color="auto"/>
        <w:right w:val="none" w:sz="0" w:space="0" w:color="auto"/>
      </w:divBdr>
    </w:div>
    <w:div w:id="1659309778">
      <w:bodyDiv w:val="1"/>
      <w:marLeft w:val="0"/>
      <w:marRight w:val="0"/>
      <w:marTop w:val="0"/>
      <w:marBottom w:val="0"/>
      <w:divBdr>
        <w:top w:val="none" w:sz="0" w:space="0" w:color="auto"/>
        <w:left w:val="none" w:sz="0" w:space="0" w:color="auto"/>
        <w:bottom w:val="none" w:sz="0" w:space="0" w:color="auto"/>
        <w:right w:val="none" w:sz="0" w:space="0" w:color="auto"/>
      </w:divBdr>
    </w:div>
    <w:div w:id="1667243332">
      <w:bodyDiv w:val="1"/>
      <w:marLeft w:val="0"/>
      <w:marRight w:val="0"/>
      <w:marTop w:val="0"/>
      <w:marBottom w:val="0"/>
      <w:divBdr>
        <w:top w:val="none" w:sz="0" w:space="0" w:color="auto"/>
        <w:left w:val="none" w:sz="0" w:space="0" w:color="auto"/>
        <w:bottom w:val="none" w:sz="0" w:space="0" w:color="auto"/>
        <w:right w:val="none" w:sz="0" w:space="0" w:color="auto"/>
      </w:divBdr>
    </w:div>
    <w:div w:id="1674063677">
      <w:bodyDiv w:val="1"/>
      <w:marLeft w:val="0"/>
      <w:marRight w:val="0"/>
      <w:marTop w:val="0"/>
      <w:marBottom w:val="0"/>
      <w:divBdr>
        <w:top w:val="none" w:sz="0" w:space="0" w:color="auto"/>
        <w:left w:val="none" w:sz="0" w:space="0" w:color="auto"/>
        <w:bottom w:val="none" w:sz="0" w:space="0" w:color="auto"/>
        <w:right w:val="none" w:sz="0" w:space="0" w:color="auto"/>
      </w:divBdr>
    </w:div>
    <w:div w:id="1675692262">
      <w:bodyDiv w:val="1"/>
      <w:marLeft w:val="0"/>
      <w:marRight w:val="0"/>
      <w:marTop w:val="0"/>
      <w:marBottom w:val="0"/>
      <w:divBdr>
        <w:top w:val="none" w:sz="0" w:space="0" w:color="auto"/>
        <w:left w:val="none" w:sz="0" w:space="0" w:color="auto"/>
        <w:bottom w:val="none" w:sz="0" w:space="0" w:color="auto"/>
        <w:right w:val="none" w:sz="0" w:space="0" w:color="auto"/>
      </w:divBdr>
    </w:div>
    <w:div w:id="1694724509">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1199651">
      <w:bodyDiv w:val="1"/>
      <w:marLeft w:val="0"/>
      <w:marRight w:val="0"/>
      <w:marTop w:val="0"/>
      <w:marBottom w:val="0"/>
      <w:divBdr>
        <w:top w:val="none" w:sz="0" w:space="0" w:color="auto"/>
        <w:left w:val="none" w:sz="0" w:space="0" w:color="auto"/>
        <w:bottom w:val="none" w:sz="0" w:space="0" w:color="auto"/>
        <w:right w:val="none" w:sz="0" w:space="0" w:color="auto"/>
      </w:divBdr>
    </w:div>
    <w:div w:id="1708484035">
      <w:bodyDiv w:val="1"/>
      <w:marLeft w:val="0"/>
      <w:marRight w:val="0"/>
      <w:marTop w:val="0"/>
      <w:marBottom w:val="0"/>
      <w:divBdr>
        <w:top w:val="none" w:sz="0" w:space="0" w:color="auto"/>
        <w:left w:val="none" w:sz="0" w:space="0" w:color="auto"/>
        <w:bottom w:val="none" w:sz="0" w:space="0" w:color="auto"/>
        <w:right w:val="none" w:sz="0" w:space="0" w:color="auto"/>
      </w:divBdr>
    </w:div>
    <w:div w:id="1712725169">
      <w:bodyDiv w:val="1"/>
      <w:marLeft w:val="0"/>
      <w:marRight w:val="0"/>
      <w:marTop w:val="0"/>
      <w:marBottom w:val="0"/>
      <w:divBdr>
        <w:top w:val="none" w:sz="0" w:space="0" w:color="auto"/>
        <w:left w:val="none" w:sz="0" w:space="0" w:color="auto"/>
        <w:bottom w:val="none" w:sz="0" w:space="0" w:color="auto"/>
        <w:right w:val="none" w:sz="0" w:space="0" w:color="auto"/>
      </w:divBdr>
    </w:div>
    <w:div w:id="1730494452">
      <w:bodyDiv w:val="1"/>
      <w:marLeft w:val="0"/>
      <w:marRight w:val="0"/>
      <w:marTop w:val="0"/>
      <w:marBottom w:val="0"/>
      <w:divBdr>
        <w:top w:val="none" w:sz="0" w:space="0" w:color="auto"/>
        <w:left w:val="none" w:sz="0" w:space="0" w:color="auto"/>
        <w:bottom w:val="none" w:sz="0" w:space="0" w:color="auto"/>
        <w:right w:val="none" w:sz="0" w:space="0" w:color="auto"/>
      </w:divBdr>
    </w:div>
    <w:div w:id="1734817146">
      <w:bodyDiv w:val="1"/>
      <w:marLeft w:val="0"/>
      <w:marRight w:val="0"/>
      <w:marTop w:val="0"/>
      <w:marBottom w:val="0"/>
      <w:divBdr>
        <w:top w:val="none" w:sz="0" w:space="0" w:color="auto"/>
        <w:left w:val="none" w:sz="0" w:space="0" w:color="auto"/>
        <w:bottom w:val="none" w:sz="0" w:space="0" w:color="auto"/>
        <w:right w:val="none" w:sz="0" w:space="0" w:color="auto"/>
      </w:divBdr>
    </w:div>
    <w:div w:id="1737630798">
      <w:bodyDiv w:val="1"/>
      <w:marLeft w:val="0"/>
      <w:marRight w:val="0"/>
      <w:marTop w:val="0"/>
      <w:marBottom w:val="0"/>
      <w:divBdr>
        <w:top w:val="none" w:sz="0" w:space="0" w:color="auto"/>
        <w:left w:val="none" w:sz="0" w:space="0" w:color="auto"/>
        <w:bottom w:val="none" w:sz="0" w:space="0" w:color="auto"/>
        <w:right w:val="none" w:sz="0" w:space="0" w:color="auto"/>
      </w:divBdr>
    </w:div>
    <w:div w:id="1745949863">
      <w:bodyDiv w:val="1"/>
      <w:marLeft w:val="0"/>
      <w:marRight w:val="0"/>
      <w:marTop w:val="0"/>
      <w:marBottom w:val="0"/>
      <w:divBdr>
        <w:top w:val="none" w:sz="0" w:space="0" w:color="auto"/>
        <w:left w:val="none" w:sz="0" w:space="0" w:color="auto"/>
        <w:bottom w:val="none" w:sz="0" w:space="0" w:color="auto"/>
        <w:right w:val="none" w:sz="0" w:space="0" w:color="auto"/>
      </w:divBdr>
    </w:div>
    <w:div w:id="1747191512">
      <w:bodyDiv w:val="1"/>
      <w:marLeft w:val="0"/>
      <w:marRight w:val="0"/>
      <w:marTop w:val="0"/>
      <w:marBottom w:val="0"/>
      <w:divBdr>
        <w:top w:val="none" w:sz="0" w:space="0" w:color="auto"/>
        <w:left w:val="none" w:sz="0" w:space="0" w:color="auto"/>
        <w:bottom w:val="none" w:sz="0" w:space="0" w:color="auto"/>
        <w:right w:val="none" w:sz="0" w:space="0" w:color="auto"/>
      </w:divBdr>
    </w:div>
    <w:div w:id="1761439662">
      <w:bodyDiv w:val="1"/>
      <w:marLeft w:val="0"/>
      <w:marRight w:val="0"/>
      <w:marTop w:val="0"/>
      <w:marBottom w:val="0"/>
      <w:divBdr>
        <w:top w:val="none" w:sz="0" w:space="0" w:color="auto"/>
        <w:left w:val="none" w:sz="0" w:space="0" w:color="auto"/>
        <w:bottom w:val="none" w:sz="0" w:space="0" w:color="auto"/>
        <w:right w:val="none" w:sz="0" w:space="0" w:color="auto"/>
      </w:divBdr>
    </w:div>
    <w:div w:id="1776055581">
      <w:bodyDiv w:val="1"/>
      <w:marLeft w:val="0"/>
      <w:marRight w:val="0"/>
      <w:marTop w:val="0"/>
      <w:marBottom w:val="0"/>
      <w:divBdr>
        <w:top w:val="none" w:sz="0" w:space="0" w:color="auto"/>
        <w:left w:val="none" w:sz="0" w:space="0" w:color="auto"/>
        <w:bottom w:val="none" w:sz="0" w:space="0" w:color="auto"/>
        <w:right w:val="none" w:sz="0" w:space="0" w:color="auto"/>
      </w:divBdr>
    </w:div>
    <w:div w:id="1780953212">
      <w:bodyDiv w:val="1"/>
      <w:marLeft w:val="0"/>
      <w:marRight w:val="0"/>
      <w:marTop w:val="0"/>
      <w:marBottom w:val="0"/>
      <w:divBdr>
        <w:top w:val="none" w:sz="0" w:space="0" w:color="auto"/>
        <w:left w:val="none" w:sz="0" w:space="0" w:color="auto"/>
        <w:bottom w:val="none" w:sz="0" w:space="0" w:color="auto"/>
        <w:right w:val="none" w:sz="0" w:space="0" w:color="auto"/>
      </w:divBdr>
    </w:div>
    <w:div w:id="1793357860">
      <w:bodyDiv w:val="1"/>
      <w:marLeft w:val="0"/>
      <w:marRight w:val="0"/>
      <w:marTop w:val="0"/>
      <w:marBottom w:val="0"/>
      <w:divBdr>
        <w:top w:val="none" w:sz="0" w:space="0" w:color="auto"/>
        <w:left w:val="none" w:sz="0" w:space="0" w:color="auto"/>
        <w:bottom w:val="none" w:sz="0" w:space="0" w:color="auto"/>
        <w:right w:val="none" w:sz="0" w:space="0" w:color="auto"/>
      </w:divBdr>
    </w:div>
    <w:div w:id="1793816412">
      <w:bodyDiv w:val="1"/>
      <w:marLeft w:val="0"/>
      <w:marRight w:val="0"/>
      <w:marTop w:val="0"/>
      <w:marBottom w:val="0"/>
      <w:divBdr>
        <w:top w:val="none" w:sz="0" w:space="0" w:color="auto"/>
        <w:left w:val="none" w:sz="0" w:space="0" w:color="auto"/>
        <w:bottom w:val="none" w:sz="0" w:space="0" w:color="auto"/>
        <w:right w:val="none" w:sz="0" w:space="0" w:color="auto"/>
      </w:divBdr>
    </w:div>
    <w:div w:id="1805611977">
      <w:bodyDiv w:val="1"/>
      <w:marLeft w:val="0"/>
      <w:marRight w:val="0"/>
      <w:marTop w:val="0"/>
      <w:marBottom w:val="0"/>
      <w:divBdr>
        <w:top w:val="none" w:sz="0" w:space="0" w:color="auto"/>
        <w:left w:val="none" w:sz="0" w:space="0" w:color="auto"/>
        <w:bottom w:val="none" w:sz="0" w:space="0" w:color="auto"/>
        <w:right w:val="none" w:sz="0" w:space="0" w:color="auto"/>
      </w:divBdr>
    </w:div>
    <w:div w:id="1818641451">
      <w:bodyDiv w:val="1"/>
      <w:marLeft w:val="0"/>
      <w:marRight w:val="0"/>
      <w:marTop w:val="0"/>
      <w:marBottom w:val="0"/>
      <w:divBdr>
        <w:top w:val="none" w:sz="0" w:space="0" w:color="auto"/>
        <w:left w:val="none" w:sz="0" w:space="0" w:color="auto"/>
        <w:bottom w:val="none" w:sz="0" w:space="0" w:color="auto"/>
        <w:right w:val="none" w:sz="0" w:space="0" w:color="auto"/>
      </w:divBdr>
    </w:div>
    <w:div w:id="1820148633">
      <w:bodyDiv w:val="1"/>
      <w:marLeft w:val="0"/>
      <w:marRight w:val="0"/>
      <w:marTop w:val="0"/>
      <w:marBottom w:val="0"/>
      <w:divBdr>
        <w:top w:val="none" w:sz="0" w:space="0" w:color="auto"/>
        <w:left w:val="none" w:sz="0" w:space="0" w:color="auto"/>
        <w:bottom w:val="none" w:sz="0" w:space="0" w:color="auto"/>
        <w:right w:val="none" w:sz="0" w:space="0" w:color="auto"/>
      </w:divBdr>
    </w:div>
    <w:div w:id="1820726986">
      <w:bodyDiv w:val="1"/>
      <w:marLeft w:val="0"/>
      <w:marRight w:val="0"/>
      <w:marTop w:val="0"/>
      <w:marBottom w:val="0"/>
      <w:divBdr>
        <w:top w:val="none" w:sz="0" w:space="0" w:color="auto"/>
        <w:left w:val="none" w:sz="0" w:space="0" w:color="auto"/>
        <w:bottom w:val="none" w:sz="0" w:space="0" w:color="auto"/>
        <w:right w:val="none" w:sz="0" w:space="0" w:color="auto"/>
      </w:divBdr>
    </w:div>
    <w:div w:id="1823161660">
      <w:bodyDiv w:val="1"/>
      <w:marLeft w:val="0"/>
      <w:marRight w:val="0"/>
      <w:marTop w:val="0"/>
      <w:marBottom w:val="0"/>
      <w:divBdr>
        <w:top w:val="none" w:sz="0" w:space="0" w:color="auto"/>
        <w:left w:val="none" w:sz="0" w:space="0" w:color="auto"/>
        <w:bottom w:val="none" w:sz="0" w:space="0" w:color="auto"/>
        <w:right w:val="none" w:sz="0" w:space="0" w:color="auto"/>
      </w:divBdr>
    </w:div>
    <w:div w:id="1827281853">
      <w:bodyDiv w:val="1"/>
      <w:marLeft w:val="0"/>
      <w:marRight w:val="0"/>
      <w:marTop w:val="0"/>
      <w:marBottom w:val="0"/>
      <w:divBdr>
        <w:top w:val="none" w:sz="0" w:space="0" w:color="auto"/>
        <w:left w:val="none" w:sz="0" w:space="0" w:color="auto"/>
        <w:bottom w:val="none" w:sz="0" w:space="0" w:color="auto"/>
        <w:right w:val="none" w:sz="0" w:space="0" w:color="auto"/>
      </w:divBdr>
    </w:div>
    <w:div w:id="1838957747">
      <w:bodyDiv w:val="1"/>
      <w:marLeft w:val="0"/>
      <w:marRight w:val="0"/>
      <w:marTop w:val="0"/>
      <w:marBottom w:val="0"/>
      <w:divBdr>
        <w:top w:val="none" w:sz="0" w:space="0" w:color="auto"/>
        <w:left w:val="none" w:sz="0" w:space="0" w:color="auto"/>
        <w:bottom w:val="none" w:sz="0" w:space="0" w:color="auto"/>
        <w:right w:val="none" w:sz="0" w:space="0" w:color="auto"/>
      </w:divBdr>
    </w:div>
    <w:div w:id="1840928281">
      <w:bodyDiv w:val="1"/>
      <w:marLeft w:val="0"/>
      <w:marRight w:val="0"/>
      <w:marTop w:val="0"/>
      <w:marBottom w:val="0"/>
      <w:divBdr>
        <w:top w:val="none" w:sz="0" w:space="0" w:color="auto"/>
        <w:left w:val="none" w:sz="0" w:space="0" w:color="auto"/>
        <w:bottom w:val="none" w:sz="0" w:space="0" w:color="auto"/>
        <w:right w:val="none" w:sz="0" w:space="0" w:color="auto"/>
      </w:divBdr>
    </w:div>
    <w:div w:id="1861620354">
      <w:bodyDiv w:val="1"/>
      <w:marLeft w:val="0"/>
      <w:marRight w:val="0"/>
      <w:marTop w:val="0"/>
      <w:marBottom w:val="0"/>
      <w:divBdr>
        <w:top w:val="none" w:sz="0" w:space="0" w:color="auto"/>
        <w:left w:val="none" w:sz="0" w:space="0" w:color="auto"/>
        <w:bottom w:val="none" w:sz="0" w:space="0" w:color="auto"/>
        <w:right w:val="none" w:sz="0" w:space="0" w:color="auto"/>
      </w:divBdr>
    </w:div>
    <w:div w:id="1863930057">
      <w:bodyDiv w:val="1"/>
      <w:marLeft w:val="0"/>
      <w:marRight w:val="0"/>
      <w:marTop w:val="0"/>
      <w:marBottom w:val="0"/>
      <w:divBdr>
        <w:top w:val="none" w:sz="0" w:space="0" w:color="auto"/>
        <w:left w:val="none" w:sz="0" w:space="0" w:color="auto"/>
        <w:bottom w:val="none" w:sz="0" w:space="0" w:color="auto"/>
        <w:right w:val="none" w:sz="0" w:space="0" w:color="auto"/>
      </w:divBdr>
    </w:div>
    <w:div w:id="1865442767">
      <w:bodyDiv w:val="1"/>
      <w:marLeft w:val="0"/>
      <w:marRight w:val="0"/>
      <w:marTop w:val="0"/>
      <w:marBottom w:val="0"/>
      <w:divBdr>
        <w:top w:val="none" w:sz="0" w:space="0" w:color="auto"/>
        <w:left w:val="none" w:sz="0" w:space="0" w:color="auto"/>
        <w:bottom w:val="none" w:sz="0" w:space="0" w:color="auto"/>
        <w:right w:val="none" w:sz="0" w:space="0" w:color="auto"/>
      </w:divBdr>
    </w:div>
    <w:div w:id="1868445079">
      <w:bodyDiv w:val="1"/>
      <w:marLeft w:val="0"/>
      <w:marRight w:val="0"/>
      <w:marTop w:val="0"/>
      <w:marBottom w:val="0"/>
      <w:divBdr>
        <w:top w:val="none" w:sz="0" w:space="0" w:color="auto"/>
        <w:left w:val="none" w:sz="0" w:space="0" w:color="auto"/>
        <w:bottom w:val="none" w:sz="0" w:space="0" w:color="auto"/>
        <w:right w:val="none" w:sz="0" w:space="0" w:color="auto"/>
      </w:divBdr>
    </w:div>
    <w:div w:id="1868786926">
      <w:bodyDiv w:val="1"/>
      <w:marLeft w:val="0"/>
      <w:marRight w:val="0"/>
      <w:marTop w:val="0"/>
      <w:marBottom w:val="0"/>
      <w:divBdr>
        <w:top w:val="none" w:sz="0" w:space="0" w:color="auto"/>
        <w:left w:val="none" w:sz="0" w:space="0" w:color="auto"/>
        <w:bottom w:val="none" w:sz="0" w:space="0" w:color="auto"/>
        <w:right w:val="none" w:sz="0" w:space="0" w:color="auto"/>
      </w:divBdr>
    </w:div>
    <w:div w:id="1868980440">
      <w:bodyDiv w:val="1"/>
      <w:marLeft w:val="0"/>
      <w:marRight w:val="0"/>
      <w:marTop w:val="0"/>
      <w:marBottom w:val="0"/>
      <w:divBdr>
        <w:top w:val="none" w:sz="0" w:space="0" w:color="auto"/>
        <w:left w:val="none" w:sz="0" w:space="0" w:color="auto"/>
        <w:bottom w:val="none" w:sz="0" w:space="0" w:color="auto"/>
        <w:right w:val="none" w:sz="0" w:space="0" w:color="auto"/>
      </w:divBdr>
    </w:div>
    <w:div w:id="1871453043">
      <w:bodyDiv w:val="1"/>
      <w:marLeft w:val="0"/>
      <w:marRight w:val="0"/>
      <w:marTop w:val="0"/>
      <w:marBottom w:val="0"/>
      <w:divBdr>
        <w:top w:val="none" w:sz="0" w:space="0" w:color="auto"/>
        <w:left w:val="none" w:sz="0" w:space="0" w:color="auto"/>
        <w:bottom w:val="none" w:sz="0" w:space="0" w:color="auto"/>
        <w:right w:val="none" w:sz="0" w:space="0" w:color="auto"/>
      </w:divBdr>
    </w:div>
    <w:div w:id="1899977315">
      <w:bodyDiv w:val="1"/>
      <w:marLeft w:val="0"/>
      <w:marRight w:val="0"/>
      <w:marTop w:val="0"/>
      <w:marBottom w:val="0"/>
      <w:divBdr>
        <w:top w:val="none" w:sz="0" w:space="0" w:color="auto"/>
        <w:left w:val="none" w:sz="0" w:space="0" w:color="auto"/>
        <w:bottom w:val="none" w:sz="0" w:space="0" w:color="auto"/>
        <w:right w:val="none" w:sz="0" w:space="0" w:color="auto"/>
      </w:divBdr>
    </w:div>
    <w:div w:id="1902792764">
      <w:bodyDiv w:val="1"/>
      <w:marLeft w:val="0"/>
      <w:marRight w:val="0"/>
      <w:marTop w:val="0"/>
      <w:marBottom w:val="0"/>
      <w:divBdr>
        <w:top w:val="none" w:sz="0" w:space="0" w:color="auto"/>
        <w:left w:val="none" w:sz="0" w:space="0" w:color="auto"/>
        <w:bottom w:val="none" w:sz="0" w:space="0" w:color="auto"/>
        <w:right w:val="none" w:sz="0" w:space="0" w:color="auto"/>
      </w:divBdr>
    </w:div>
    <w:div w:id="1903907864">
      <w:bodyDiv w:val="1"/>
      <w:marLeft w:val="0"/>
      <w:marRight w:val="0"/>
      <w:marTop w:val="0"/>
      <w:marBottom w:val="0"/>
      <w:divBdr>
        <w:top w:val="none" w:sz="0" w:space="0" w:color="auto"/>
        <w:left w:val="none" w:sz="0" w:space="0" w:color="auto"/>
        <w:bottom w:val="none" w:sz="0" w:space="0" w:color="auto"/>
        <w:right w:val="none" w:sz="0" w:space="0" w:color="auto"/>
      </w:divBdr>
    </w:div>
    <w:div w:id="1908105433">
      <w:bodyDiv w:val="1"/>
      <w:marLeft w:val="0"/>
      <w:marRight w:val="0"/>
      <w:marTop w:val="0"/>
      <w:marBottom w:val="0"/>
      <w:divBdr>
        <w:top w:val="none" w:sz="0" w:space="0" w:color="auto"/>
        <w:left w:val="none" w:sz="0" w:space="0" w:color="auto"/>
        <w:bottom w:val="none" w:sz="0" w:space="0" w:color="auto"/>
        <w:right w:val="none" w:sz="0" w:space="0" w:color="auto"/>
      </w:divBdr>
    </w:div>
    <w:div w:id="1919703932">
      <w:bodyDiv w:val="1"/>
      <w:marLeft w:val="0"/>
      <w:marRight w:val="0"/>
      <w:marTop w:val="0"/>
      <w:marBottom w:val="0"/>
      <w:divBdr>
        <w:top w:val="none" w:sz="0" w:space="0" w:color="auto"/>
        <w:left w:val="none" w:sz="0" w:space="0" w:color="auto"/>
        <w:bottom w:val="none" w:sz="0" w:space="0" w:color="auto"/>
        <w:right w:val="none" w:sz="0" w:space="0" w:color="auto"/>
      </w:divBdr>
    </w:div>
    <w:div w:id="1932855226">
      <w:bodyDiv w:val="1"/>
      <w:marLeft w:val="0"/>
      <w:marRight w:val="0"/>
      <w:marTop w:val="0"/>
      <w:marBottom w:val="0"/>
      <w:divBdr>
        <w:top w:val="none" w:sz="0" w:space="0" w:color="auto"/>
        <w:left w:val="none" w:sz="0" w:space="0" w:color="auto"/>
        <w:bottom w:val="none" w:sz="0" w:space="0" w:color="auto"/>
        <w:right w:val="none" w:sz="0" w:space="0" w:color="auto"/>
      </w:divBdr>
    </w:div>
    <w:div w:id="1933271275">
      <w:bodyDiv w:val="1"/>
      <w:marLeft w:val="0"/>
      <w:marRight w:val="0"/>
      <w:marTop w:val="0"/>
      <w:marBottom w:val="0"/>
      <w:divBdr>
        <w:top w:val="none" w:sz="0" w:space="0" w:color="auto"/>
        <w:left w:val="none" w:sz="0" w:space="0" w:color="auto"/>
        <w:bottom w:val="none" w:sz="0" w:space="0" w:color="auto"/>
        <w:right w:val="none" w:sz="0" w:space="0" w:color="auto"/>
      </w:divBdr>
    </w:div>
    <w:div w:id="1933473074">
      <w:bodyDiv w:val="1"/>
      <w:marLeft w:val="0"/>
      <w:marRight w:val="0"/>
      <w:marTop w:val="0"/>
      <w:marBottom w:val="0"/>
      <w:divBdr>
        <w:top w:val="none" w:sz="0" w:space="0" w:color="auto"/>
        <w:left w:val="none" w:sz="0" w:space="0" w:color="auto"/>
        <w:bottom w:val="none" w:sz="0" w:space="0" w:color="auto"/>
        <w:right w:val="none" w:sz="0" w:space="0" w:color="auto"/>
      </w:divBdr>
    </w:div>
    <w:div w:id="1944411746">
      <w:bodyDiv w:val="1"/>
      <w:marLeft w:val="0"/>
      <w:marRight w:val="0"/>
      <w:marTop w:val="0"/>
      <w:marBottom w:val="0"/>
      <w:divBdr>
        <w:top w:val="none" w:sz="0" w:space="0" w:color="auto"/>
        <w:left w:val="none" w:sz="0" w:space="0" w:color="auto"/>
        <w:bottom w:val="none" w:sz="0" w:space="0" w:color="auto"/>
        <w:right w:val="none" w:sz="0" w:space="0" w:color="auto"/>
      </w:divBdr>
    </w:div>
    <w:div w:id="1954556843">
      <w:bodyDiv w:val="1"/>
      <w:marLeft w:val="0"/>
      <w:marRight w:val="0"/>
      <w:marTop w:val="0"/>
      <w:marBottom w:val="0"/>
      <w:divBdr>
        <w:top w:val="none" w:sz="0" w:space="0" w:color="auto"/>
        <w:left w:val="none" w:sz="0" w:space="0" w:color="auto"/>
        <w:bottom w:val="none" w:sz="0" w:space="0" w:color="auto"/>
        <w:right w:val="none" w:sz="0" w:space="0" w:color="auto"/>
      </w:divBdr>
    </w:div>
    <w:div w:id="1955090072">
      <w:bodyDiv w:val="1"/>
      <w:marLeft w:val="0"/>
      <w:marRight w:val="0"/>
      <w:marTop w:val="0"/>
      <w:marBottom w:val="0"/>
      <w:divBdr>
        <w:top w:val="none" w:sz="0" w:space="0" w:color="auto"/>
        <w:left w:val="none" w:sz="0" w:space="0" w:color="auto"/>
        <w:bottom w:val="none" w:sz="0" w:space="0" w:color="auto"/>
        <w:right w:val="none" w:sz="0" w:space="0" w:color="auto"/>
      </w:divBdr>
    </w:div>
    <w:div w:id="1958364611">
      <w:bodyDiv w:val="1"/>
      <w:marLeft w:val="0"/>
      <w:marRight w:val="0"/>
      <w:marTop w:val="0"/>
      <w:marBottom w:val="0"/>
      <w:divBdr>
        <w:top w:val="none" w:sz="0" w:space="0" w:color="auto"/>
        <w:left w:val="none" w:sz="0" w:space="0" w:color="auto"/>
        <w:bottom w:val="none" w:sz="0" w:space="0" w:color="auto"/>
        <w:right w:val="none" w:sz="0" w:space="0" w:color="auto"/>
      </w:divBdr>
    </w:div>
    <w:div w:id="1963534769">
      <w:bodyDiv w:val="1"/>
      <w:marLeft w:val="0"/>
      <w:marRight w:val="0"/>
      <w:marTop w:val="0"/>
      <w:marBottom w:val="0"/>
      <w:divBdr>
        <w:top w:val="none" w:sz="0" w:space="0" w:color="auto"/>
        <w:left w:val="none" w:sz="0" w:space="0" w:color="auto"/>
        <w:bottom w:val="none" w:sz="0" w:space="0" w:color="auto"/>
        <w:right w:val="none" w:sz="0" w:space="0" w:color="auto"/>
      </w:divBdr>
    </w:div>
    <w:div w:id="1966229975">
      <w:bodyDiv w:val="1"/>
      <w:marLeft w:val="0"/>
      <w:marRight w:val="0"/>
      <w:marTop w:val="0"/>
      <w:marBottom w:val="0"/>
      <w:divBdr>
        <w:top w:val="none" w:sz="0" w:space="0" w:color="auto"/>
        <w:left w:val="none" w:sz="0" w:space="0" w:color="auto"/>
        <w:bottom w:val="none" w:sz="0" w:space="0" w:color="auto"/>
        <w:right w:val="none" w:sz="0" w:space="0" w:color="auto"/>
      </w:divBdr>
    </w:div>
    <w:div w:id="1974022108">
      <w:bodyDiv w:val="1"/>
      <w:marLeft w:val="0"/>
      <w:marRight w:val="0"/>
      <w:marTop w:val="0"/>
      <w:marBottom w:val="0"/>
      <w:divBdr>
        <w:top w:val="none" w:sz="0" w:space="0" w:color="auto"/>
        <w:left w:val="none" w:sz="0" w:space="0" w:color="auto"/>
        <w:bottom w:val="none" w:sz="0" w:space="0" w:color="auto"/>
        <w:right w:val="none" w:sz="0" w:space="0" w:color="auto"/>
      </w:divBdr>
    </w:div>
    <w:div w:id="1977761117">
      <w:bodyDiv w:val="1"/>
      <w:marLeft w:val="0"/>
      <w:marRight w:val="0"/>
      <w:marTop w:val="0"/>
      <w:marBottom w:val="0"/>
      <w:divBdr>
        <w:top w:val="none" w:sz="0" w:space="0" w:color="auto"/>
        <w:left w:val="none" w:sz="0" w:space="0" w:color="auto"/>
        <w:bottom w:val="none" w:sz="0" w:space="0" w:color="auto"/>
        <w:right w:val="none" w:sz="0" w:space="0" w:color="auto"/>
      </w:divBdr>
    </w:div>
    <w:div w:id="1979147025">
      <w:bodyDiv w:val="1"/>
      <w:marLeft w:val="0"/>
      <w:marRight w:val="0"/>
      <w:marTop w:val="0"/>
      <w:marBottom w:val="0"/>
      <w:divBdr>
        <w:top w:val="none" w:sz="0" w:space="0" w:color="auto"/>
        <w:left w:val="none" w:sz="0" w:space="0" w:color="auto"/>
        <w:bottom w:val="none" w:sz="0" w:space="0" w:color="auto"/>
        <w:right w:val="none" w:sz="0" w:space="0" w:color="auto"/>
      </w:divBdr>
    </w:div>
    <w:div w:id="1979219143">
      <w:bodyDiv w:val="1"/>
      <w:marLeft w:val="0"/>
      <w:marRight w:val="0"/>
      <w:marTop w:val="0"/>
      <w:marBottom w:val="0"/>
      <w:divBdr>
        <w:top w:val="none" w:sz="0" w:space="0" w:color="auto"/>
        <w:left w:val="none" w:sz="0" w:space="0" w:color="auto"/>
        <w:bottom w:val="none" w:sz="0" w:space="0" w:color="auto"/>
        <w:right w:val="none" w:sz="0" w:space="0" w:color="auto"/>
      </w:divBdr>
    </w:div>
    <w:div w:id="2002543017">
      <w:bodyDiv w:val="1"/>
      <w:marLeft w:val="0"/>
      <w:marRight w:val="0"/>
      <w:marTop w:val="0"/>
      <w:marBottom w:val="0"/>
      <w:divBdr>
        <w:top w:val="none" w:sz="0" w:space="0" w:color="auto"/>
        <w:left w:val="none" w:sz="0" w:space="0" w:color="auto"/>
        <w:bottom w:val="none" w:sz="0" w:space="0" w:color="auto"/>
        <w:right w:val="none" w:sz="0" w:space="0" w:color="auto"/>
      </w:divBdr>
    </w:div>
    <w:div w:id="2004777993">
      <w:bodyDiv w:val="1"/>
      <w:marLeft w:val="0"/>
      <w:marRight w:val="0"/>
      <w:marTop w:val="0"/>
      <w:marBottom w:val="0"/>
      <w:divBdr>
        <w:top w:val="none" w:sz="0" w:space="0" w:color="auto"/>
        <w:left w:val="none" w:sz="0" w:space="0" w:color="auto"/>
        <w:bottom w:val="none" w:sz="0" w:space="0" w:color="auto"/>
        <w:right w:val="none" w:sz="0" w:space="0" w:color="auto"/>
      </w:divBdr>
    </w:div>
    <w:div w:id="2008822749">
      <w:bodyDiv w:val="1"/>
      <w:marLeft w:val="0"/>
      <w:marRight w:val="0"/>
      <w:marTop w:val="0"/>
      <w:marBottom w:val="0"/>
      <w:divBdr>
        <w:top w:val="none" w:sz="0" w:space="0" w:color="auto"/>
        <w:left w:val="none" w:sz="0" w:space="0" w:color="auto"/>
        <w:bottom w:val="none" w:sz="0" w:space="0" w:color="auto"/>
        <w:right w:val="none" w:sz="0" w:space="0" w:color="auto"/>
      </w:divBdr>
    </w:div>
    <w:div w:id="2008896725">
      <w:bodyDiv w:val="1"/>
      <w:marLeft w:val="0"/>
      <w:marRight w:val="0"/>
      <w:marTop w:val="0"/>
      <w:marBottom w:val="0"/>
      <w:divBdr>
        <w:top w:val="none" w:sz="0" w:space="0" w:color="auto"/>
        <w:left w:val="none" w:sz="0" w:space="0" w:color="auto"/>
        <w:bottom w:val="none" w:sz="0" w:space="0" w:color="auto"/>
        <w:right w:val="none" w:sz="0" w:space="0" w:color="auto"/>
      </w:divBdr>
    </w:div>
    <w:div w:id="2035768212">
      <w:bodyDiv w:val="1"/>
      <w:marLeft w:val="0"/>
      <w:marRight w:val="0"/>
      <w:marTop w:val="0"/>
      <w:marBottom w:val="0"/>
      <w:divBdr>
        <w:top w:val="none" w:sz="0" w:space="0" w:color="auto"/>
        <w:left w:val="none" w:sz="0" w:space="0" w:color="auto"/>
        <w:bottom w:val="none" w:sz="0" w:space="0" w:color="auto"/>
        <w:right w:val="none" w:sz="0" w:space="0" w:color="auto"/>
      </w:divBdr>
    </w:div>
    <w:div w:id="2060930902">
      <w:bodyDiv w:val="1"/>
      <w:marLeft w:val="0"/>
      <w:marRight w:val="0"/>
      <w:marTop w:val="0"/>
      <w:marBottom w:val="0"/>
      <w:divBdr>
        <w:top w:val="none" w:sz="0" w:space="0" w:color="auto"/>
        <w:left w:val="none" w:sz="0" w:space="0" w:color="auto"/>
        <w:bottom w:val="none" w:sz="0" w:space="0" w:color="auto"/>
        <w:right w:val="none" w:sz="0" w:space="0" w:color="auto"/>
      </w:divBdr>
    </w:div>
    <w:div w:id="2064523101">
      <w:bodyDiv w:val="1"/>
      <w:marLeft w:val="0"/>
      <w:marRight w:val="0"/>
      <w:marTop w:val="0"/>
      <w:marBottom w:val="0"/>
      <w:divBdr>
        <w:top w:val="none" w:sz="0" w:space="0" w:color="auto"/>
        <w:left w:val="none" w:sz="0" w:space="0" w:color="auto"/>
        <w:bottom w:val="none" w:sz="0" w:space="0" w:color="auto"/>
        <w:right w:val="none" w:sz="0" w:space="0" w:color="auto"/>
      </w:divBdr>
    </w:div>
    <w:div w:id="2076656036">
      <w:bodyDiv w:val="1"/>
      <w:marLeft w:val="0"/>
      <w:marRight w:val="0"/>
      <w:marTop w:val="0"/>
      <w:marBottom w:val="0"/>
      <w:divBdr>
        <w:top w:val="none" w:sz="0" w:space="0" w:color="auto"/>
        <w:left w:val="none" w:sz="0" w:space="0" w:color="auto"/>
        <w:bottom w:val="none" w:sz="0" w:space="0" w:color="auto"/>
        <w:right w:val="none" w:sz="0" w:space="0" w:color="auto"/>
      </w:divBdr>
    </w:div>
    <w:div w:id="2077703397">
      <w:bodyDiv w:val="1"/>
      <w:marLeft w:val="0"/>
      <w:marRight w:val="0"/>
      <w:marTop w:val="0"/>
      <w:marBottom w:val="0"/>
      <w:divBdr>
        <w:top w:val="none" w:sz="0" w:space="0" w:color="auto"/>
        <w:left w:val="none" w:sz="0" w:space="0" w:color="auto"/>
        <w:bottom w:val="none" w:sz="0" w:space="0" w:color="auto"/>
        <w:right w:val="none" w:sz="0" w:space="0" w:color="auto"/>
      </w:divBdr>
    </w:div>
    <w:div w:id="2080907019">
      <w:bodyDiv w:val="1"/>
      <w:marLeft w:val="0"/>
      <w:marRight w:val="0"/>
      <w:marTop w:val="0"/>
      <w:marBottom w:val="0"/>
      <w:divBdr>
        <w:top w:val="none" w:sz="0" w:space="0" w:color="auto"/>
        <w:left w:val="none" w:sz="0" w:space="0" w:color="auto"/>
        <w:bottom w:val="none" w:sz="0" w:space="0" w:color="auto"/>
        <w:right w:val="none" w:sz="0" w:space="0" w:color="auto"/>
      </w:divBdr>
    </w:div>
    <w:div w:id="2103986993">
      <w:bodyDiv w:val="1"/>
      <w:marLeft w:val="0"/>
      <w:marRight w:val="0"/>
      <w:marTop w:val="0"/>
      <w:marBottom w:val="0"/>
      <w:divBdr>
        <w:top w:val="none" w:sz="0" w:space="0" w:color="auto"/>
        <w:left w:val="none" w:sz="0" w:space="0" w:color="auto"/>
        <w:bottom w:val="none" w:sz="0" w:space="0" w:color="auto"/>
        <w:right w:val="none" w:sz="0" w:space="0" w:color="auto"/>
      </w:divBdr>
    </w:div>
    <w:div w:id="2111854733">
      <w:bodyDiv w:val="1"/>
      <w:marLeft w:val="0"/>
      <w:marRight w:val="0"/>
      <w:marTop w:val="0"/>
      <w:marBottom w:val="0"/>
      <w:divBdr>
        <w:top w:val="none" w:sz="0" w:space="0" w:color="auto"/>
        <w:left w:val="none" w:sz="0" w:space="0" w:color="auto"/>
        <w:bottom w:val="none" w:sz="0" w:space="0" w:color="auto"/>
        <w:right w:val="none" w:sz="0" w:space="0" w:color="auto"/>
      </w:divBdr>
    </w:div>
    <w:div w:id="2112241512">
      <w:bodyDiv w:val="1"/>
      <w:marLeft w:val="0"/>
      <w:marRight w:val="0"/>
      <w:marTop w:val="0"/>
      <w:marBottom w:val="0"/>
      <w:divBdr>
        <w:top w:val="none" w:sz="0" w:space="0" w:color="auto"/>
        <w:left w:val="none" w:sz="0" w:space="0" w:color="auto"/>
        <w:bottom w:val="none" w:sz="0" w:space="0" w:color="auto"/>
        <w:right w:val="none" w:sz="0" w:space="0" w:color="auto"/>
      </w:divBdr>
    </w:div>
    <w:div w:id="2114981314">
      <w:bodyDiv w:val="1"/>
      <w:marLeft w:val="0"/>
      <w:marRight w:val="0"/>
      <w:marTop w:val="0"/>
      <w:marBottom w:val="0"/>
      <w:divBdr>
        <w:top w:val="none" w:sz="0" w:space="0" w:color="auto"/>
        <w:left w:val="none" w:sz="0" w:space="0" w:color="auto"/>
        <w:bottom w:val="none" w:sz="0" w:space="0" w:color="auto"/>
        <w:right w:val="none" w:sz="0" w:space="0" w:color="auto"/>
      </w:divBdr>
    </w:div>
    <w:div w:id="2116827734">
      <w:bodyDiv w:val="1"/>
      <w:marLeft w:val="0"/>
      <w:marRight w:val="0"/>
      <w:marTop w:val="0"/>
      <w:marBottom w:val="0"/>
      <w:divBdr>
        <w:top w:val="none" w:sz="0" w:space="0" w:color="auto"/>
        <w:left w:val="none" w:sz="0" w:space="0" w:color="auto"/>
        <w:bottom w:val="none" w:sz="0" w:space="0" w:color="auto"/>
        <w:right w:val="none" w:sz="0" w:space="0" w:color="auto"/>
      </w:divBdr>
    </w:div>
    <w:div w:id="2136606323">
      <w:bodyDiv w:val="1"/>
      <w:marLeft w:val="0"/>
      <w:marRight w:val="0"/>
      <w:marTop w:val="0"/>
      <w:marBottom w:val="0"/>
      <w:divBdr>
        <w:top w:val="none" w:sz="0" w:space="0" w:color="auto"/>
        <w:left w:val="none" w:sz="0" w:space="0" w:color="auto"/>
        <w:bottom w:val="none" w:sz="0" w:space="0" w:color="auto"/>
        <w:right w:val="none" w:sz="0" w:space="0" w:color="auto"/>
      </w:divBdr>
    </w:div>
    <w:div w:id="2138139984">
      <w:bodyDiv w:val="1"/>
      <w:marLeft w:val="0"/>
      <w:marRight w:val="0"/>
      <w:marTop w:val="0"/>
      <w:marBottom w:val="0"/>
      <w:divBdr>
        <w:top w:val="none" w:sz="0" w:space="0" w:color="auto"/>
        <w:left w:val="none" w:sz="0" w:space="0" w:color="auto"/>
        <w:bottom w:val="none" w:sz="0" w:space="0" w:color="auto"/>
        <w:right w:val="none" w:sz="0" w:space="0" w:color="auto"/>
      </w:divBdr>
    </w:div>
    <w:div w:id="21385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13477</Words>
  <Characters>76823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Diane</dc:creator>
  <cp:keywords/>
  <dc:description/>
  <cp:lastModifiedBy>吴 云晓健</cp:lastModifiedBy>
  <cp:revision>7</cp:revision>
  <cp:lastPrinted>2019-03-19T14:12:00Z</cp:lastPrinted>
  <dcterms:created xsi:type="dcterms:W3CDTF">2019-06-13T02:24:00Z</dcterms:created>
  <dcterms:modified xsi:type="dcterms:W3CDTF">2019-06-26T10:00:00Z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82282</vt:lpwstr>
  </property>
  <property fmtid="{D5CDD505-2E9C-101B-9397-08002B2CF9AE}" pid="3" name="WnCSubscriberId">
    <vt:lpwstr>1002</vt:lpwstr>
  </property>
  <property fmtid="{D5CDD505-2E9C-101B-9397-08002B2CF9AE}" pid="4" name="WnCOutputStyleId">
    <vt:lpwstr>32717</vt:lpwstr>
  </property>
  <property fmtid="{D5CDD505-2E9C-101B-9397-08002B2CF9AE}" pid="5" name="RWProductId">
    <vt:lpwstr>WnC</vt:lpwstr>
  </property>
  <property fmtid="{D5CDD505-2E9C-101B-9397-08002B2CF9AE}" pid="6" name="WnC4Folder">
    <vt:lpwstr>Documents///Wagner March 20</vt:lpwstr>
  </property>
</Properties>
</file>