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3298" w14:textId="77777777" w:rsidR="006F0171" w:rsidRDefault="0008126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6AF4D3AC" w14:textId="77777777" w:rsidR="006F0171" w:rsidRDefault="000812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64871</w:t>
      </w:r>
    </w:p>
    <w:p w14:paraId="4D696140" w14:textId="77777777" w:rsidR="006F0171" w:rsidRDefault="000812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C4A027" w14:textId="77777777" w:rsidR="006F0171" w:rsidRDefault="006F0171">
      <w:pPr>
        <w:spacing w:line="360" w:lineRule="auto"/>
        <w:jc w:val="both"/>
      </w:pPr>
    </w:p>
    <w:p w14:paraId="3840D215" w14:textId="77777777" w:rsidR="006F0171" w:rsidRDefault="0008126C">
      <w:pPr>
        <w:spacing w:line="360" w:lineRule="auto"/>
        <w:jc w:val="both"/>
      </w:pPr>
      <w:r>
        <w:rPr>
          <w:rFonts w:ascii="Book Antiqua" w:eastAsia="Book Antiqua" w:hAnsi="Book Antiqua" w:cs="Book Antiqua"/>
          <w:b/>
          <w:i/>
          <w:color w:val="000000"/>
        </w:rPr>
        <w:t>Observational Study</w:t>
      </w:r>
    </w:p>
    <w:p w14:paraId="29C84845" w14:textId="77777777" w:rsidR="006F0171" w:rsidRDefault="0008126C">
      <w:pPr>
        <w:spacing w:line="360" w:lineRule="auto"/>
        <w:jc w:val="both"/>
      </w:pPr>
      <w:r>
        <w:rPr>
          <w:rFonts w:ascii="Book Antiqua" w:eastAsia="Book Antiqua" w:hAnsi="Book Antiqua" w:cs="Book Antiqua"/>
          <w:b/>
          <w:color w:val="000000"/>
        </w:rPr>
        <w:t xml:space="preserve">COVID-19 in the endoscopy unit: How likely is transmission of infection? Results from an international, </w:t>
      </w:r>
      <w:r>
        <w:rPr>
          <w:rFonts w:ascii="Book Antiqua" w:eastAsia="Book Antiqua" w:hAnsi="Book Antiqua" w:cs="Book Antiqua"/>
          <w:b/>
          <w:color w:val="000000"/>
        </w:rPr>
        <w:t>multicenter study</w:t>
      </w:r>
    </w:p>
    <w:p w14:paraId="03895457" w14:textId="77777777" w:rsidR="006F0171" w:rsidRDefault="006F0171">
      <w:pPr>
        <w:spacing w:line="360" w:lineRule="auto"/>
        <w:jc w:val="both"/>
      </w:pPr>
    </w:p>
    <w:p w14:paraId="467535D8" w14:textId="77777777" w:rsidR="006F0171" w:rsidRDefault="0008126C">
      <w:pPr>
        <w:spacing w:line="360" w:lineRule="auto"/>
        <w:jc w:val="both"/>
      </w:pPr>
      <w:r>
        <w:rPr>
          <w:rFonts w:ascii="Book Antiqua" w:eastAsia="Book Antiqua" w:hAnsi="Book Antiqua" w:cs="Book Antiqua"/>
          <w:color w:val="000000"/>
        </w:rPr>
        <w:t xml:space="preserve">Papanikolaou IS </w:t>
      </w:r>
      <w:r>
        <w:rPr>
          <w:rFonts w:ascii="Book Antiqua" w:eastAsia="Book Antiqua" w:hAnsi="Book Antiqua" w:cs="Book Antiqua"/>
          <w:i/>
          <w:iCs/>
          <w:color w:val="000000"/>
        </w:rPr>
        <w:t>et al</w:t>
      </w:r>
      <w:r>
        <w:rPr>
          <w:rFonts w:ascii="Book Antiqua" w:eastAsia="Book Antiqua" w:hAnsi="Book Antiqua" w:cs="Book Antiqua"/>
          <w:color w:val="000000"/>
        </w:rPr>
        <w:t>. COVID-19 infection likelihood in the endoscopy unit</w:t>
      </w:r>
    </w:p>
    <w:p w14:paraId="199F67B4" w14:textId="77777777" w:rsidR="006F0171" w:rsidRDefault="006F0171">
      <w:pPr>
        <w:spacing w:line="360" w:lineRule="auto"/>
        <w:jc w:val="both"/>
      </w:pPr>
    </w:p>
    <w:p w14:paraId="135A1BC4" w14:textId="77777777" w:rsidR="006F0171" w:rsidRDefault="0008126C">
      <w:pPr>
        <w:spacing w:line="360" w:lineRule="auto"/>
        <w:jc w:val="both"/>
      </w:pPr>
      <w:r>
        <w:rPr>
          <w:rFonts w:ascii="Book Antiqua" w:eastAsia="Book Antiqua" w:hAnsi="Book Antiqua" w:cs="Book Antiqua"/>
          <w:color w:val="000000"/>
        </w:rPr>
        <w:t>Ioannis S Papanikolaou, Georgios Tziatzios, Alexandros Chatzidakis, Antonio Facciorusso, Stefano Francesco Crinò, Paraskevas Gkolfakis, Gjorgi Deriban, Mario Tad</w:t>
      </w:r>
      <w:r>
        <w:rPr>
          <w:rFonts w:ascii="Book Antiqua" w:eastAsia="Book Antiqua" w:hAnsi="Book Antiqua" w:cs="Book Antiqua"/>
          <w:color w:val="000000"/>
        </w:rPr>
        <w:t>ic, Goran Hauser, Antonios Vezakis, Ivan Jovanovic, Nicola Muscatiello, Anna Meneghetti, Konstantinos Miltiadou, Kalina Stardelova, Alojzije Lacković, Maria-Zoi Bourou, Srdjan Djuranovic, Konstantinos Triantafyllou</w:t>
      </w:r>
    </w:p>
    <w:p w14:paraId="02E7EA99" w14:textId="77777777" w:rsidR="006F0171" w:rsidRDefault="006F0171">
      <w:pPr>
        <w:spacing w:line="360" w:lineRule="auto"/>
        <w:jc w:val="both"/>
      </w:pPr>
    </w:p>
    <w:p w14:paraId="161FB27F" w14:textId="77777777" w:rsidR="006F0171" w:rsidRDefault="0008126C">
      <w:pPr>
        <w:spacing w:line="360" w:lineRule="auto"/>
        <w:jc w:val="both"/>
      </w:pPr>
      <w:r>
        <w:rPr>
          <w:rFonts w:ascii="Book Antiqua" w:eastAsia="Book Antiqua" w:hAnsi="Book Antiqua" w:cs="Book Antiqua"/>
          <w:b/>
          <w:bCs/>
          <w:color w:val="000000"/>
        </w:rPr>
        <w:t>Ioannis S Papanikolaou, Georgios Tziatzi</w:t>
      </w:r>
      <w:r>
        <w:rPr>
          <w:rFonts w:ascii="Book Antiqua" w:eastAsia="Book Antiqua" w:hAnsi="Book Antiqua" w:cs="Book Antiqua"/>
          <w:b/>
          <w:bCs/>
          <w:color w:val="000000"/>
        </w:rPr>
        <w:t xml:space="preserve">os, Alexandros Chatzidakis, Konstantinos Miltiadou, Konstantinos Triantafyllou, </w:t>
      </w:r>
      <w:r>
        <w:rPr>
          <w:rFonts w:ascii="Book Antiqua" w:eastAsia="Book Antiqua" w:hAnsi="Book Antiqua" w:cs="Book Antiqua"/>
          <w:color w:val="000000"/>
        </w:rPr>
        <w:t>Hepatogastroenterology Unit, 2nd Department of Internal Medicine-Propaedeutic, National and Kapodistrian University of Athens, "Attikon" University General Hospital, Athens 124</w:t>
      </w:r>
      <w:r>
        <w:rPr>
          <w:rFonts w:ascii="Book Antiqua" w:eastAsia="Book Antiqua" w:hAnsi="Book Antiqua" w:cs="Book Antiqua"/>
          <w:color w:val="000000"/>
        </w:rPr>
        <w:t>62, Greece</w:t>
      </w:r>
    </w:p>
    <w:p w14:paraId="590F6D7B" w14:textId="77777777" w:rsidR="006F0171" w:rsidRDefault="006F0171">
      <w:pPr>
        <w:spacing w:line="360" w:lineRule="auto"/>
        <w:jc w:val="both"/>
      </w:pPr>
    </w:p>
    <w:p w14:paraId="3FE7F322" w14:textId="77777777" w:rsidR="006F0171" w:rsidRDefault="0008126C">
      <w:pPr>
        <w:spacing w:line="360" w:lineRule="auto"/>
        <w:jc w:val="both"/>
      </w:pPr>
      <w:r>
        <w:rPr>
          <w:rFonts w:ascii="Book Antiqua" w:eastAsia="Book Antiqua" w:hAnsi="Book Antiqua" w:cs="Book Antiqua"/>
          <w:b/>
          <w:bCs/>
          <w:color w:val="000000"/>
        </w:rPr>
        <w:t xml:space="preserve">Antonio Facciorusso, Nicola Muscatiello, </w:t>
      </w:r>
      <w:r>
        <w:rPr>
          <w:rFonts w:ascii="Book Antiqua" w:eastAsia="Book Antiqua" w:hAnsi="Book Antiqua" w:cs="Book Antiqua"/>
          <w:color w:val="000000"/>
        </w:rPr>
        <w:t>Gastroenterology Unit, Department of Surgical and Medical Sciences, University of Foggia AOU, Foggia 1245, Italy</w:t>
      </w:r>
    </w:p>
    <w:p w14:paraId="406724F6" w14:textId="77777777" w:rsidR="006F0171" w:rsidRDefault="006F0171">
      <w:pPr>
        <w:spacing w:line="360" w:lineRule="auto"/>
        <w:jc w:val="both"/>
      </w:pPr>
    </w:p>
    <w:p w14:paraId="5001C164" w14:textId="77777777" w:rsidR="006F0171" w:rsidRDefault="0008126C">
      <w:pPr>
        <w:spacing w:line="360" w:lineRule="auto"/>
        <w:jc w:val="both"/>
      </w:pPr>
      <w:r>
        <w:rPr>
          <w:rFonts w:ascii="Book Antiqua" w:eastAsia="Book Antiqua" w:hAnsi="Book Antiqua" w:cs="Book Antiqua"/>
          <w:b/>
          <w:bCs/>
          <w:color w:val="000000"/>
        </w:rPr>
        <w:t xml:space="preserve">Stefano Francesco Crinò, Anna Meneghetti, </w:t>
      </w:r>
      <w:r>
        <w:rPr>
          <w:rFonts w:ascii="Book Antiqua" w:eastAsia="Book Antiqua" w:hAnsi="Book Antiqua" w:cs="Book Antiqua"/>
          <w:color w:val="000000"/>
        </w:rPr>
        <w:t xml:space="preserve">Gastroenterology and Digestive Endoscopy Unit, </w:t>
      </w:r>
      <w:r>
        <w:rPr>
          <w:rFonts w:ascii="Book Antiqua" w:eastAsia="Book Antiqua" w:hAnsi="Book Antiqua" w:cs="Book Antiqua"/>
          <w:color w:val="000000"/>
        </w:rPr>
        <w:t>The Pancreas Institute, University of Verona, Verona 37138, Italy</w:t>
      </w:r>
    </w:p>
    <w:p w14:paraId="6E64F2DD" w14:textId="77777777" w:rsidR="006F0171" w:rsidRDefault="006F0171">
      <w:pPr>
        <w:spacing w:line="360" w:lineRule="auto"/>
        <w:jc w:val="both"/>
      </w:pPr>
    </w:p>
    <w:p w14:paraId="31C60AD0" w14:textId="77777777" w:rsidR="006F0171" w:rsidRDefault="0008126C">
      <w:pPr>
        <w:spacing w:line="360" w:lineRule="auto"/>
        <w:jc w:val="both"/>
      </w:pPr>
      <w:r>
        <w:rPr>
          <w:rFonts w:ascii="Book Antiqua" w:eastAsia="Book Antiqua" w:hAnsi="Book Antiqua" w:cs="Book Antiqua"/>
          <w:b/>
          <w:bCs/>
          <w:color w:val="000000"/>
        </w:rPr>
        <w:lastRenderedPageBreak/>
        <w:t xml:space="preserve">Paraskevas Gkolfakis, </w:t>
      </w:r>
      <w:r>
        <w:rPr>
          <w:rFonts w:ascii="Book Antiqua" w:eastAsia="Book Antiqua" w:hAnsi="Book Antiqua" w:cs="Book Antiqua"/>
          <w:color w:val="000000"/>
        </w:rPr>
        <w:t>Department of Gastroenterology, Hepatopancreatology and Digestive Oncology, Erasme University Hospital, Université Libre de Bruxelles, Brussels 1070, Belgium</w:t>
      </w:r>
    </w:p>
    <w:p w14:paraId="1599913A" w14:textId="77777777" w:rsidR="006F0171" w:rsidRDefault="006F0171">
      <w:pPr>
        <w:spacing w:line="360" w:lineRule="auto"/>
        <w:jc w:val="both"/>
      </w:pPr>
    </w:p>
    <w:p w14:paraId="3F65125F" w14:textId="77777777" w:rsidR="006F0171" w:rsidRDefault="0008126C">
      <w:pPr>
        <w:spacing w:line="360" w:lineRule="auto"/>
        <w:jc w:val="both"/>
      </w:pPr>
      <w:r>
        <w:rPr>
          <w:rFonts w:ascii="Book Antiqua" w:eastAsia="Book Antiqua" w:hAnsi="Book Antiqua" w:cs="Book Antiqua"/>
          <w:b/>
          <w:bCs/>
          <w:color w:val="000000"/>
        </w:rPr>
        <w:t>Paraskev</w:t>
      </w:r>
      <w:r>
        <w:rPr>
          <w:rFonts w:ascii="Book Antiqua" w:eastAsia="Book Antiqua" w:hAnsi="Book Antiqua" w:cs="Book Antiqua"/>
          <w:b/>
          <w:bCs/>
          <w:color w:val="000000"/>
        </w:rPr>
        <w:t xml:space="preserve">as Gkolfakis, </w:t>
      </w:r>
      <w:r>
        <w:rPr>
          <w:rFonts w:ascii="Book Antiqua" w:eastAsia="Book Antiqua" w:hAnsi="Book Antiqua" w:cs="Book Antiqua"/>
          <w:color w:val="000000"/>
        </w:rPr>
        <w:t>Department of Medical Oncology, Institut Jules Bordet, Brussels 1000, Belgium</w:t>
      </w:r>
    </w:p>
    <w:p w14:paraId="237E981C" w14:textId="77777777" w:rsidR="006F0171" w:rsidRDefault="006F0171">
      <w:pPr>
        <w:spacing w:line="360" w:lineRule="auto"/>
        <w:jc w:val="both"/>
      </w:pPr>
    </w:p>
    <w:p w14:paraId="4A9E3C98" w14:textId="25988E8A" w:rsidR="006F0171" w:rsidRDefault="0008126C">
      <w:pPr>
        <w:spacing w:line="360" w:lineRule="auto"/>
        <w:jc w:val="both"/>
      </w:pPr>
      <w:r>
        <w:rPr>
          <w:rFonts w:ascii="Book Antiqua" w:eastAsia="Book Antiqua" w:hAnsi="Book Antiqua" w:cs="Book Antiqua"/>
          <w:b/>
          <w:bCs/>
          <w:color w:val="000000"/>
        </w:rPr>
        <w:t xml:space="preserve">Gjorgi Deriban, Kalina Stardelova, </w:t>
      </w:r>
      <w:r>
        <w:rPr>
          <w:rFonts w:ascii="Book Antiqua" w:eastAsia="Book Antiqua" w:hAnsi="Book Antiqua" w:cs="Book Antiqua"/>
          <w:color w:val="000000"/>
        </w:rPr>
        <w:t>University Clinic of Gastroenterohepatology, Medical Faculty, University "Ss. Cyril and Methodius" Skopje</w:t>
      </w:r>
      <w:r>
        <w:rPr>
          <w:rFonts w:ascii="Book Antiqua" w:eastAsia="Book Antiqua" w:hAnsi="Book Antiqua" w:cs="Book Antiqua"/>
          <w:color w:val="000000"/>
        </w:rPr>
        <w:t>, Skopje 12345</w:t>
      </w:r>
      <w:r w:rsidR="008C3D10">
        <w:rPr>
          <w:rFonts w:ascii="Book Antiqua" w:eastAsia="Book Antiqua" w:hAnsi="Book Antiqua" w:cs="Book Antiqua"/>
          <w:color w:val="000000"/>
        </w:rPr>
        <w:t>, Republic of North Macedonia</w:t>
      </w:r>
    </w:p>
    <w:p w14:paraId="33876591" w14:textId="77777777" w:rsidR="006F0171" w:rsidRDefault="006F0171">
      <w:pPr>
        <w:spacing w:line="360" w:lineRule="auto"/>
        <w:jc w:val="both"/>
      </w:pPr>
    </w:p>
    <w:p w14:paraId="6C50370D" w14:textId="77777777" w:rsidR="006F0171" w:rsidRDefault="0008126C">
      <w:pPr>
        <w:spacing w:line="360" w:lineRule="auto"/>
        <w:jc w:val="both"/>
      </w:pPr>
      <w:r>
        <w:rPr>
          <w:rFonts w:ascii="Book Antiqua" w:eastAsia="Book Antiqua" w:hAnsi="Book Antiqua" w:cs="Book Antiqua"/>
          <w:b/>
          <w:bCs/>
          <w:color w:val="000000"/>
        </w:rPr>
        <w:t xml:space="preserve">Mario Tadic, </w:t>
      </w:r>
      <w:r>
        <w:rPr>
          <w:rFonts w:ascii="Book Antiqua" w:eastAsia="Book Antiqua" w:hAnsi="Book Antiqua" w:cs="Book Antiqua"/>
          <w:color w:val="000000"/>
        </w:rPr>
        <w:t>Department of Gastroenterology, Dubrava University Hospital Zagreb, Zagreb 10040, Croatia</w:t>
      </w:r>
    </w:p>
    <w:p w14:paraId="5C5CE395" w14:textId="77777777" w:rsidR="006F0171" w:rsidRDefault="006F0171">
      <w:pPr>
        <w:spacing w:line="360" w:lineRule="auto"/>
        <w:jc w:val="both"/>
      </w:pPr>
    </w:p>
    <w:p w14:paraId="7293C0B0" w14:textId="3D72756A" w:rsidR="006F0171" w:rsidRDefault="0008126C">
      <w:pPr>
        <w:spacing w:line="360" w:lineRule="auto"/>
        <w:jc w:val="both"/>
      </w:pPr>
      <w:r>
        <w:rPr>
          <w:rFonts w:ascii="Book Antiqua" w:eastAsia="Book Antiqua" w:hAnsi="Book Antiqua" w:cs="Book Antiqua"/>
          <w:b/>
          <w:bCs/>
          <w:color w:val="000000"/>
        </w:rPr>
        <w:t xml:space="preserve">Goran Hauser, Alojzije Lacković, </w:t>
      </w:r>
      <w:r>
        <w:rPr>
          <w:rFonts w:ascii="Book Antiqua" w:eastAsia="Book Antiqua" w:hAnsi="Book Antiqua" w:cs="Book Antiqua"/>
          <w:color w:val="000000"/>
        </w:rPr>
        <w:t xml:space="preserve">Clinical Hospital Center Rijeka, Faculty of Medicine, University of Rijeka, Rijeka </w:t>
      </w:r>
      <w:r w:rsidR="00AC0864">
        <w:rPr>
          <w:rFonts w:ascii="Book Antiqua" w:eastAsia="Book Antiqua" w:hAnsi="Book Antiqua" w:cs="Book Antiqua"/>
          <w:color w:val="000000"/>
        </w:rPr>
        <w:t>51000</w:t>
      </w:r>
      <w:r>
        <w:rPr>
          <w:rFonts w:ascii="Book Antiqua" w:eastAsia="Book Antiqua" w:hAnsi="Book Antiqua" w:cs="Book Antiqua"/>
          <w:color w:val="000000"/>
        </w:rPr>
        <w:t>, Croatia</w:t>
      </w:r>
    </w:p>
    <w:p w14:paraId="29541FEB" w14:textId="77777777" w:rsidR="006F0171" w:rsidRDefault="006F0171">
      <w:pPr>
        <w:spacing w:line="360" w:lineRule="auto"/>
        <w:jc w:val="both"/>
      </w:pPr>
    </w:p>
    <w:p w14:paraId="1B593724" w14:textId="77777777" w:rsidR="006F0171" w:rsidRDefault="0008126C">
      <w:pPr>
        <w:spacing w:line="360" w:lineRule="auto"/>
        <w:jc w:val="both"/>
      </w:pPr>
      <w:r>
        <w:rPr>
          <w:rFonts w:ascii="Book Antiqua" w:eastAsia="Book Antiqua" w:hAnsi="Book Antiqua" w:cs="Book Antiqua"/>
          <w:b/>
          <w:bCs/>
          <w:color w:val="000000"/>
        </w:rPr>
        <w:t xml:space="preserve">Antonios Vezakis, Maria-Zoi Bourou, </w:t>
      </w:r>
      <w:r>
        <w:rPr>
          <w:rFonts w:ascii="Book Antiqua" w:eastAsia="Book Antiqua" w:hAnsi="Book Antiqua" w:cs="Book Antiqua"/>
          <w:color w:val="000000"/>
        </w:rPr>
        <w:t>2nd Department of Surgery, Aretaieio Hospital, School of Medicine, National and Kapodistrian University of Athens, Athens 11528, Greece</w:t>
      </w:r>
    </w:p>
    <w:p w14:paraId="48A51F78" w14:textId="77777777" w:rsidR="006F0171" w:rsidRDefault="006F0171">
      <w:pPr>
        <w:spacing w:line="360" w:lineRule="auto"/>
        <w:jc w:val="both"/>
      </w:pPr>
    </w:p>
    <w:p w14:paraId="01B50BB3" w14:textId="77777777" w:rsidR="006F0171" w:rsidRDefault="0008126C">
      <w:pPr>
        <w:spacing w:line="360" w:lineRule="auto"/>
        <w:jc w:val="both"/>
      </w:pPr>
      <w:r>
        <w:rPr>
          <w:rFonts w:ascii="Book Antiqua" w:eastAsia="Book Antiqua" w:hAnsi="Book Antiqua" w:cs="Book Antiqua"/>
          <w:b/>
          <w:bCs/>
          <w:color w:val="000000"/>
        </w:rPr>
        <w:t xml:space="preserve">Ivan Jovanovic, Srdjan Djuranovic, </w:t>
      </w:r>
      <w:r>
        <w:rPr>
          <w:rFonts w:ascii="Book Antiqua" w:eastAsia="Book Antiqua" w:hAnsi="Book Antiqua" w:cs="Book Antiqua"/>
          <w:color w:val="000000"/>
        </w:rPr>
        <w:t xml:space="preserve">Clinical Center of Serbia, </w:t>
      </w:r>
      <w:r>
        <w:rPr>
          <w:rFonts w:ascii="Book Antiqua" w:eastAsia="Book Antiqua" w:hAnsi="Book Antiqua" w:cs="Book Antiqua"/>
          <w:color w:val="000000"/>
        </w:rPr>
        <w:t>Clinic for Gastroenterology and Hepatology, University of Belgrade Faculty of Medicine, Beograd 12345, Serbia</w:t>
      </w:r>
    </w:p>
    <w:p w14:paraId="198E81FC" w14:textId="77777777" w:rsidR="006F0171" w:rsidRDefault="006F0171">
      <w:pPr>
        <w:adjustRightInd w:val="0"/>
        <w:snapToGrid w:val="0"/>
        <w:spacing w:line="360" w:lineRule="auto"/>
        <w:jc w:val="both"/>
        <w:rPr>
          <w:rFonts w:ascii="Book Antiqua" w:hAnsi="Book Antiqua"/>
        </w:rPr>
      </w:pPr>
    </w:p>
    <w:p w14:paraId="0B1D5D9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Papanikolaou</w:t>
      </w:r>
      <w:r>
        <w:rPr>
          <w:rFonts w:ascii="Book Antiqua" w:eastAsia="Book Antiqua" w:hAnsi="Book Antiqua" w:cs="Book Antiqua"/>
          <w:b/>
          <w:bCs/>
          <w:color w:val="000000"/>
        </w:rPr>
        <w:t xml:space="preserve"> </w:t>
      </w:r>
      <w:r>
        <w:rPr>
          <w:rFonts w:ascii="Book Antiqua" w:eastAsia="Book Antiqua" w:hAnsi="Book Antiqua" w:cs="Book Antiqua"/>
          <w:color w:val="000000"/>
        </w:rPr>
        <w:t>IS designed the study, was involved with data collection, and drafted the manuscript</w:t>
      </w:r>
      <w:r>
        <w:rPr>
          <w:rFonts w:ascii="Book Antiqua" w:eastAsia="Book Antiqua" w:hAnsi="Book Antiqua" w:cs="Book Antiqua"/>
          <w:b/>
          <w:bCs/>
          <w:color w:val="000000"/>
        </w:rPr>
        <w:t xml:space="preserve">; </w:t>
      </w:r>
      <w:r>
        <w:rPr>
          <w:rFonts w:ascii="Book Antiqua" w:eastAsia="Book Antiqua" w:hAnsi="Book Antiqua" w:cs="Book Antiqua"/>
          <w:color w:val="000000"/>
        </w:rPr>
        <w:t>Tziatzios G, Chatzidakis</w:t>
      </w:r>
      <w:r>
        <w:rPr>
          <w:rFonts w:ascii="Book Antiqua" w:eastAsia="Book Antiqua" w:hAnsi="Book Antiqua" w:cs="Book Antiqua"/>
          <w:color w:val="000000"/>
        </w:rPr>
        <w:t xml:space="preserve"> A, Facciorusso A, Francesco Crinò S, Gkolfakis P, Deriban G, Tadic M, Hauser G, Vezakis A, Jovanovic I, Muscatiello N, Meneghetti A, Miltiadou K, Stardelova K, Lacković A, Bourou MZ, Djuranovic S were involved with data collection, and drafted the manuscr</w:t>
      </w:r>
      <w:r>
        <w:rPr>
          <w:rFonts w:ascii="Book Antiqua" w:eastAsia="Book Antiqua" w:hAnsi="Book Antiqua" w:cs="Book Antiqua"/>
          <w:color w:val="000000"/>
        </w:rPr>
        <w:t xml:space="preserve">ipt; </w:t>
      </w:r>
      <w:r>
        <w:rPr>
          <w:rFonts w:ascii="Book Antiqua" w:eastAsia="Book Antiqua" w:hAnsi="Book Antiqua" w:cs="Book Antiqua"/>
          <w:color w:val="000000"/>
        </w:rPr>
        <w:lastRenderedPageBreak/>
        <w:t>Triantafyllou K participated in design of the study, and drafted the manuscript; All authors read and approved the final manuscript.</w:t>
      </w:r>
    </w:p>
    <w:p w14:paraId="009D424E" w14:textId="77777777" w:rsidR="006F0171" w:rsidRDefault="006F0171">
      <w:pPr>
        <w:adjustRightInd w:val="0"/>
        <w:snapToGrid w:val="0"/>
        <w:spacing w:line="360" w:lineRule="auto"/>
        <w:jc w:val="both"/>
        <w:rPr>
          <w:rFonts w:ascii="Book Antiqua" w:hAnsi="Book Antiqua"/>
        </w:rPr>
      </w:pPr>
    </w:p>
    <w:p w14:paraId="2C055DE3" w14:textId="77777777" w:rsidR="006F0171" w:rsidRDefault="0008126C">
      <w:pPr>
        <w:spacing w:line="360" w:lineRule="auto"/>
        <w:jc w:val="both"/>
      </w:pPr>
      <w:r>
        <w:rPr>
          <w:rFonts w:ascii="Book Antiqua" w:eastAsia="Book Antiqua" w:hAnsi="Book Antiqua" w:cs="Book Antiqua"/>
          <w:b/>
          <w:bCs/>
          <w:color w:val="000000"/>
        </w:rPr>
        <w:t xml:space="preserve">Corresponding author: Paraskevas Gkolfakis, MD, Research Associate, </w:t>
      </w:r>
      <w:r>
        <w:rPr>
          <w:rFonts w:ascii="Book Antiqua" w:eastAsia="Book Antiqua" w:hAnsi="Book Antiqua" w:cs="Book Antiqua"/>
          <w:color w:val="000000"/>
        </w:rPr>
        <w:t>Department of Gastroenterology, Hepatopancreatolo</w:t>
      </w:r>
      <w:r>
        <w:rPr>
          <w:rFonts w:ascii="Book Antiqua" w:eastAsia="Book Antiqua" w:hAnsi="Book Antiqua" w:cs="Book Antiqua"/>
          <w:color w:val="000000"/>
        </w:rPr>
        <w:t>gy and Digestive Oncology, Erasme University Hospital, Université Libre de Bruxelles, Rue de Lennik 808, Brussels 1070, Belgium. pgkolfakis@med.uoa.gr</w:t>
      </w:r>
    </w:p>
    <w:p w14:paraId="64EFA61B" w14:textId="77777777" w:rsidR="006F0171" w:rsidRDefault="006F0171">
      <w:pPr>
        <w:adjustRightInd w:val="0"/>
        <w:snapToGrid w:val="0"/>
        <w:spacing w:line="360" w:lineRule="auto"/>
        <w:jc w:val="both"/>
        <w:rPr>
          <w:rFonts w:ascii="Book Antiqua" w:hAnsi="Book Antiqua"/>
        </w:rPr>
      </w:pPr>
    </w:p>
    <w:p w14:paraId="58C43A94" w14:textId="77777777" w:rsidR="006F0171" w:rsidRDefault="000812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7B081CF9" w14:textId="77777777" w:rsidR="006F0171" w:rsidRDefault="000812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2021</w:t>
      </w:r>
    </w:p>
    <w:p w14:paraId="014C7B2A" w14:textId="77777777" w:rsidR="006F0171" w:rsidRDefault="0008126C">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21, 2021</w:t>
      </w:r>
      <w:bookmarkEnd w:id="0"/>
      <w:bookmarkEnd w:id="1"/>
      <w:bookmarkEnd w:id="2"/>
    </w:p>
    <w:p w14:paraId="6E1DB3BA" w14:textId="77777777" w:rsidR="006F0171" w:rsidRDefault="0008126C">
      <w:pPr>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Published online:</w:t>
      </w:r>
      <w:r>
        <w:t xml:space="preserve"> </w:t>
      </w:r>
      <w:r>
        <w:rPr>
          <w:rFonts w:ascii="Book Antiqua" w:eastAsia="宋体" w:hAnsi="Book Antiqua"/>
          <w:color w:val="000000" w:themeColor="text1"/>
        </w:rPr>
        <w:t>September 16, 2021</w:t>
      </w:r>
    </w:p>
    <w:p w14:paraId="0484CCA1" w14:textId="77777777" w:rsidR="006F0171" w:rsidRDefault="006F0171">
      <w:pPr>
        <w:adjustRightInd w:val="0"/>
        <w:snapToGrid w:val="0"/>
        <w:spacing w:line="360" w:lineRule="auto"/>
        <w:jc w:val="both"/>
        <w:rPr>
          <w:rFonts w:ascii="Book Antiqua" w:hAnsi="Book Antiqua"/>
        </w:rPr>
      </w:pPr>
    </w:p>
    <w:p w14:paraId="75AAE446" w14:textId="77777777" w:rsidR="006F0171" w:rsidRDefault="006F0171">
      <w:pPr>
        <w:adjustRightInd w:val="0"/>
        <w:snapToGrid w:val="0"/>
        <w:spacing w:line="360" w:lineRule="auto"/>
        <w:jc w:val="both"/>
        <w:rPr>
          <w:rFonts w:ascii="Book Antiqua" w:hAnsi="Book Antiqua"/>
        </w:rPr>
        <w:sectPr w:rsidR="006F0171">
          <w:headerReference w:type="default" r:id="rId7"/>
          <w:footerReference w:type="default" r:id="rId8"/>
          <w:pgSz w:w="12240" w:h="15840"/>
          <w:pgMar w:top="1440" w:right="1440" w:bottom="1440" w:left="1440" w:header="720" w:footer="720" w:gutter="0"/>
          <w:cols w:space="720"/>
          <w:docGrid w:linePitch="360"/>
        </w:sectPr>
      </w:pPr>
    </w:p>
    <w:p w14:paraId="38043C94"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594CA04"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0816C38A"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Coronavirus disease 2019 (COVID-19) significantly affected endoscopy practice, as gastrointestinal endoscopy is considered a risky procedure for </w:t>
      </w:r>
      <w:r>
        <w:rPr>
          <w:rFonts w:ascii="Book Antiqua" w:eastAsia="Book Antiqua" w:hAnsi="Book Antiqua" w:cs="Book Antiqua"/>
          <w:color w:val="000000"/>
        </w:rPr>
        <w:t>transmission of infection to patients and personnel of endoscopy units (PEU).</w:t>
      </w:r>
    </w:p>
    <w:p w14:paraId="6C582E91" w14:textId="77777777" w:rsidR="006F0171" w:rsidRDefault="006F0171">
      <w:pPr>
        <w:adjustRightInd w:val="0"/>
        <w:snapToGrid w:val="0"/>
        <w:spacing w:line="360" w:lineRule="auto"/>
        <w:jc w:val="both"/>
        <w:rPr>
          <w:rFonts w:ascii="Book Antiqua" w:hAnsi="Book Antiqua"/>
        </w:rPr>
      </w:pPr>
    </w:p>
    <w:p w14:paraId="0DFF5BA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186CBE03"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To assess the impact of COVID-19 on endoscopy during the first European lockdown (March-May 2020).</w:t>
      </w:r>
    </w:p>
    <w:p w14:paraId="1EC23B7B" w14:textId="77777777" w:rsidR="006F0171" w:rsidRDefault="006F0171">
      <w:pPr>
        <w:adjustRightInd w:val="0"/>
        <w:snapToGrid w:val="0"/>
        <w:spacing w:line="360" w:lineRule="auto"/>
        <w:jc w:val="both"/>
        <w:rPr>
          <w:rFonts w:ascii="Book Antiqua" w:hAnsi="Book Antiqua"/>
        </w:rPr>
      </w:pPr>
    </w:p>
    <w:p w14:paraId="1C708E9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251BE7F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Patients undergoing endoscopy in nine endoscopy units across six </w:t>
      </w:r>
      <w:r>
        <w:rPr>
          <w:rFonts w:ascii="Book Antiqua" w:eastAsia="Book Antiqua" w:hAnsi="Book Antiqua" w:cs="Book Antiqua"/>
          <w:color w:val="000000"/>
        </w:rPr>
        <w:t>European countries during the period of the first European lockdown for COVID-19 (March-May 2020) were included. Prior to the endoscopy procedure, participants were stratified as low- or high- risk for potential COVID-19 infection according to the European</w:t>
      </w:r>
      <w:r>
        <w:rPr>
          <w:rFonts w:ascii="Book Antiqua" w:eastAsia="Book Antiqua" w:hAnsi="Book Antiqua" w:cs="Book Antiqua"/>
          <w:color w:val="000000"/>
        </w:rPr>
        <w:t xml:space="preserve"> Society of Gastrointestinal Endoscopy (ESGE) and the European Society of Gastroenterology and Endoscopy Nurses and Associates (ESGENA) joint statement, and contacted 7-14 d later to assess COVID-19 infection status. PEU were questioned regarding COVID-19 </w:t>
      </w:r>
      <w:r>
        <w:rPr>
          <w:rFonts w:ascii="Book Antiqua" w:eastAsia="Book Antiqua" w:hAnsi="Book Antiqua" w:cs="Book Antiqua"/>
          <w:color w:val="000000"/>
        </w:rPr>
        <w:t xml:space="preserve">symptoms and/or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questionnaire, while information regarding hospitalizations, intensive care unit-admissions and COVID-19-related deaths were collected. The number of weekly endoscopies at each center during the lockdown period was also record</w:t>
      </w:r>
      <w:r>
        <w:rPr>
          <w:rFonts w:ascii="Book Antiqua" w:eastAsia="Book Antiqua" w:hAnsi="Book Antiqua" w:cs="Book Antiqua"/>
          <w:color w:val="000000"/>
        </w:rPr>
        <w:t>ed.</w:t>
      </w:r>
    </w:p>
    <w:p w14:paraId="3A9EBAC9" w14:textId="77777777" w:rsidR="006F0171" w:rsidRDefault="006F0171">
      <w:pPr>
        <w:adjustRightInd w:val="0"/>
        <w:snapToGrid w:val="0"/>
        <w:spacing w:line="360" w:lineRule="auto"/>
        <w:jc w:val="both"/>
        <w:rPr>
          <w:rFonts w:ascii="Book Antiqua" w:hAnsi="Book Antiqua"/>
        </w:rPr>
      </w:pPr>
    </w:p>
    <w:p w14:paraId="76707281"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52E5B5A0"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1267 endoscopies were performed in 1222 individuals across nine European endoscopy departments in six countries. Eighty-seven (7%) were excluded because of initial positive testing. Of the 1135 pre-endoscopy low risk or polymerase c</w:t>
      </w:r>
      <w:r>
        <w:rPr>
          <w:rFonts w:ascii="Book Antiqua" w:eastAsia="Book Antiqua" w:hAnsi="Book Antiqua" w:cs="Book Antiqua"/>
          <w:color w:val="000000"/>
        </w:rPr>
        <w:t xml:space="preserve">hain reaction negative for COVID-19, 254 (22.4%) were tested post endoscopy and 8 were eventually found positive, resulting in an infection rate of 0.7% [(95%CI: 0.2-0.12]. The majority (6 of </w:t>
      </w:r>
      <w:r>
        <w:rPr>
          <w:rFonts w:ascii="Book Antiqua" w:eastAsia="Book Antiqua" w:hAnsi="Book Antiqua" w:cs="Book Antiqua"/>
          <w:color w:val="000000"/>
        </w:rPr>
        <w:lastRenderedPageBreak/>
        <w:t>the 8 patients, 75%) had undergone esophagogastroduodenoscopy. O</w:t>
      </w:r>
      <w:r>
        <w:rPr>
          <w:rFonts w:ascii="Book Antiqua" w:eastAsia="Book Antiqua" w:hAnsi="Book Antiqua" w:cs="Book Antiqua"/>
          <w:color w:val="000000"/>
        </w:rPr>
        <w:t>f the 163 PEU, 5 [3%; (95%CI: 0.4-5.7)] tested positive during the study period. A decrease of 68.7% (95%CI: 64.8-72.7) in the number of weekly endoscopies was recorded in all centers after March 2020. All centers implemented appropriate personal protectiv</w:t>
      </w:r>
      <w:r>
        <w:rPr>
          <w:rFonts w:ascii="Book Antiqua" w:eastAsia="Book Antiqua" w:hAnsi="Book Antiqua" w:cs="Book Antiqua"/>
          <w:color w:val="000000"/>
        </w:rPr>
        <w:t>e measures (PPM) from the initial phases of the lockdown.</w:t>
      </w:r>
    </w:p>
    <w:p w14:paraId="51759138" w14:textId="77777777" w:rsidR="006F0171" w:rsidRDefault="006F0171">
      <w:pPr>
        <w:adjustRightInd w:val="0"/>
        <w:snapToGrid w:val="0"/>
        <w:spacing w:line="360" w:lineRule="auto"/>
        <w:jc w:val="both"/>
        <w:rPr>
          <w:rFonts w:ascii="Book Antiqua" w:hAnsi="Book Antiqua"/>
        </w:rPr>
      </w:pPr>
    </w:p>
    <w:p w14:paraId="2650DFD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07A92F4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COVID-19 transmission in endoscopy units is highly unlikely in a lockdown setting, provided endoscopies are restricted to emergency cases and PPM are implemented.</w:t>
      </w:r>
    </w:p>
    <w:p w14:paraId="0087724A" w14:textId="77777777" w:rsidR="006F0171" w:rsidRDefault="006F0171">
      <w:pPr>
        <w:adjustRightInd w:val="0"/>
        <w:snapToGrid w:val="0"/>
        <w:spacing w:line="360" w:lineRule="auto"/>
        <w:jc w:val="both"/>
        <w:rPr>
          <w:rFonts w:ascii="Book Antiqua" w:hAnsi="Book Antiqua"/>
        </w:rPr>
      </w:pPr>
    </w:p>
    <w:p w14:paraId="67383CE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w:t>
      </w:r>
      <w:r>
        <w:rPr>
          <w:rFonts w:ascii="Book Antiqua" w:eastAsia="Book Antiqua" w:hAnsi="Book Antiqua" w:cs="Book Antiqua"/>
          <w:color w:val="000000"/>
        </w:rPr>
        <w:t>ARS-CoV-2; Gastrointestinal endoscopy; Personal protection measures; Transmission; Lockdown</w:t>
      </w:r>
    </w:p>
    <w:p w14:paraId="73853059" w14:textId="77777777" w:rsidR="006F0171" w:rsidRDefault="006F0171">
      <w:pPr>
        <w:adjustRightInd w:val="0"/>
        <w:snapToGrid w:val="0"/>
        <w:spacing w:line="360" w:lineRule="auto"/>
        <w:jc w:val="both"/>
        <w:rPr>
          <w:rFonts w:ascii="Book Antiqua" w:hAnsi="Book Antiqua"/>
        </w:rPr>
      </w:pPr>
    </w:p>
    <w:p w14:paraId="579CC81B" w14:textId="77777777" w:rsidR="006F0171" w:rsidRDefault="0008126C">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Published by Baishideng Publishing Group Inc. All rights reserved.</w:t>
      </w:r>
    </w:p>
    <w:p w14:paraId="34B5A4BA" w14:textId="77777777" w:rsidR="006F0171" w:rsidRDefault="006F0171">
      <w:pPr>
        <w:adjustRightInd w:val="0"/>
        <w:snapToGrid w:val="0"/>
        <w:spacing w:line="360" w:lineRule="auto"/>
        <w:jc w:val="both"/>
        <w:rPr>
          <w:rFonts w:ascii="Book Antiqua" w:hAnsi="Book Antiqua"/>
        </w:rPr>
      </w:pPr>
    </w:p>
    <w:p w14:paraId="377D4325" w14:textId="77777777" w:rsidR="006F0171" w:rsidRDefault="0008126C">
      <w:pPr>
        <w:adjustRightInd w:val="0"/>
        <w:snapToGrid w:val="0"/>
        <w:spacing w:line="360" w:lineRule="auto"/>
        <w:rPr>
          <w:rFonts w:ascii="Book Antiqua" w:eastAsia="宋体" w:hAnsi="Book Antiqua" w:cs="Book Antiqua"/>
          <w:lang w:eastAsia="zh-CN"/>
        </w:rPr>
      </w:pPr>
      <w:r>
        <w:rPr>
          <w:rFonts w:ascii="Book Antiqua" w:eastAsia="宋体" w:hAnsi="Book Antiqua" w:cs="Book Antiqua" w:hint="eastAsia"/>
          <w:b/>
          <w:bCs/>
          <w:color w:val="000000"/>
          <w:lang w:eastAsia="zh-CN"/>
        </w:rPr>
        <w:t xml:space="preserve">Citation: </w:t>
      </w:r>
      <w:r>
        <w:rPr>
          <w:rFonts w:ascii="Book Antiqua" w:eastAsia="Book Antiqua" w:hAnsi="Book Antiqua" w:cs="Book Antiqua"/>
          <w:color w:val="000000"/>
        </w:rPr>
        <w:t xml:space="preserve">Papanikolaou IS, Tziatzios G, Chatzidakis A, Facciorusso A, Crinò SF, Gkolfakis P, Deriban G, Tadic M, Hauser G, Vezakis A, Jovanovic I, Muscatiello N, Meneghetti A, Miltiadou K, Stardelova K, Lacković A, Bourou MZ, Djuranovic S, Triantafyllou K. COVID-19 </w:t>
      </w:r>
      <w:r>
        <w:rPr>
          <w:rFonts w:ascii="Book Antiqua" w:eastAsia="Book Antiqua" w:hAnsi="Book Antiqua" w:cs="Book Antiqua"/>
          <w:color w:val="000000"/>
        </w:rPr>
        <w:t xml:space="preserve">in the endoscopy unit: How likely is transmission of infection? Results from an international, multicenter study.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w:t>
      </w:r>
      <w:r>
        <w:rPr>
          <w:rFonts w:ascii="Book Antiqua" w:eastAsia="Book Antiqua" w:hAnsi="Book Antiqua" w:cs="Book Antiqua"/>
          <w:lang w:val="pt-BR"/>
        </w:rPr>
        <w:t xml:space="preserve">2021; 13(9): </w:t>
      </w:r>
      <w:r>
        <w:rPr>
          <w:rFonts w:ascii="Book Antiqua" w:eastAsia="宋体" w:hAnsi="Book Antiqua" w:cs="Book Antiqua" w:hint="eastAsia"/>
          <w:lang w:eastAsia="zh-CN"/>
        </w:rPr>
        <w:t>416</w:t>
      </w:r>
      <w:r>
        <w:rPr>
          <w:rFonts w:ascii="Book Antiqua" w:eastAsia="Book Antiqua" w:hAnsi="Book Antiqua" w:cs="Book Antiqua"/>
          <w:lang w:val="pt-BR"/>
        </w:rPr>
        <w:t>-</w:t>
      </w:r>
      <w:r>
        <w:rPr>
          <w:rFonts w:ascii="Book Antiqua" w:eastAsia="宋体" w:hAnsi="Book Antiqua" w:cs="Book Antiqua" w:hint="eastAsia"/>
          <w:lang w:eastAsia="zh-CN"/>
        </w:rPr>
        <w:t>425</w:t>
      </w:r>
    </w:p>
    <w:p w14:paraId="5B85B888" w14:textId="77777777" w:rsidR="006F0171" w:rsidRDefault="0008126C">
      <w:pPr>
        <w:adjustRightInd w:val="0"/>
        <w:snapToGrid w:val="0"/>
        <w:spacing w:line="360" w:lineRule="auto"/>
        <w:rPr>
          <w:rFonts w:ascii="Book Antiqua" w:eastAsia="Book Antiqua" w:hAnsi="Book Antiqua" w:cs="Book Antiqua"/>
          <w:lang w:val="pt-BR"/>
        </w:rPr>
      </w:pPr>
      <w:r>
        <w:rPr>
          <w:rFonts w:ascii="Book Antiqua" w:eastAsia="Book Antiqua" w:hAnsi="Book Antiqua" w:cs="Book Antiqua"/>
          <w:b/>
          <w:bCs/>
          <w:lang w:val="pt-BR"/>
        </w:rPr>
        <w:t>URL:</w:t>
      </w:r>
      <w:r>
        <w:rPr>
          <w:rFonts w:ascii="Book Antiqua" w:eastAsia="Book Antiqua" w:hAnsi="Book Antiqua" w:cs="Book Antiqua"/>
          <w:lang w:val="pt-BR"/>
        </w:rPr>
        <w:t xml:space="preserve"> https://www.wjgnet.com/1948-5190/full/v13/i9/</w:t>
      </w:r>
      <w:r>
        <w:rPr>
          <w:rFonts w:ascii="Book Antiqua" w:eastAsia="宋体" w:hAnsi="Book Antiqua" w:cs="Book Antiqua" w:hint="eastAsia"/>
          <w:lang w:eastAsia="zh-CN"/>
        </w:rPr>
        <w:t>416</w:t>
      </w:r>
      <w:r>
        <w:rPr>
          <w:rFonts w:ascii="Book Antiqua" w:eastAsia="Book Antiqua" w:hAnsi="Book Antiqua" w:cs="Book Antiqua"/>
          <w:lang w:val="pt-BR"/>
        </w:rPr>
        <w:t xml:space="preserve">.htm </w:t>
      </w:r>
    </w:p>
    <w:p w14:paraId="34052E4C" w14:textId="77777777" w:rsidR="006F0171" w:rsidRDefault="0008126C">
      <w:pPr>
        <w:adjustRightInd w:val="0"/>
        <w:snapToGrid w:val="0"/>
        <w:spacing w:line="360" w:lineRule="auto"/>
        <w:rPr>
          <w:rFonts w:ascii="Book Antiqua" w:eastAsia="宋体" w:hAnsi="Book Antiqua" w:cs="Book Antiqua"/>
          <w:lang w:eastAsia="zh-CN"/>
        </w:rPr>
      </w:pPr>
      <w:r>
        <w:rPr>
          <w:rFonts w:ascii="Book Antiqua" w:eastAsia="Book Antiqua" w:hAnsi="Book Antiqua" w:cs="Book Antiqua"/>
          <w:b/>
          <w:bCs/>
          <w:lang w:val="pt-BR"/>
        </w:rPr>
        <w:t>DOI:</w:t>
      </w:r>
      <w:r>
        <w:rPr>
          <w:rFonts w:ascii="Book Antiqua" w:eastAsia="Book Antiqua" w:hAnsi="Book Antiqua" w:cs="Book Antiqua"/>
          <w:lang w:val="pt-BR"/>
        </w:rPr>
        <w:t xml:space="preserve"> https://dx.doi.org/10.4253/wjge.v13.i9.</w:t>
      </w:r>
      <w:r>
        <w:rPr>
          <w:rFonts w:ascii="Book Antiqua" w:eastAsia="宋体" w:hAnsi="Book Antiqua" w:cs="Book Antiqua" w:hint="eastAsia"/>
          <w:lang w:eastAsia="zh-CN"/>
        </w:rPr>
        <w:t>416</w:t>
      </w:r>
    </w:p>
    <w:p w14:paraId="45CDDADF" w14:textId="77777777" w:rsidR="006F0171" w:rsidRDefault="006F0171">
      <w:pPr>
        <w:adjustRightInd w:val="0"/>
        <w:snapToGrid w:val="0"/>
        <w:spacing w:line="360" w:lineRule="auto"/>
        <w:jc w:val="both"/>
        <w:rPr>
          <w:rFonts w:ascii="Book Antiqua" w:hAnsi="Book Antiqua"/>
          <w:lang w:val="pt-BR"/>
        </w:rPr>
      </w:pPr>
    </w:p>
    <w:p w14:paraId="05527ED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Core Tip:</w:t>
      </w:r>
      <w:r>
        <w:rPr>
          <w:rFonts w:ascii="Book Antiqua" w:eastAsia="Book Antiqua" w:hAnsi="Book Antiqua" w:cs="Book Antiqua"/>
          <w:color w:val="000000"/>
        </w:rPr>
        <w:t xml:space="preserve"> The Coronavirus disease 2019 (COVID-19) pandemic outbreak caused an unprecedented disruption in everyday endoscopy practice worldwide, with re</w:t>
      </w:r>
      <w:r>
        <w:rPr>
          <w:rFonts w:ascii="Book Antiqua" w:eastAsia="Book Antiqua" w:hAnsi="Book Antiqua" w:cs="Book Antiqua"/>
          <w:color w:val="000000"/>
        </w:rPr>
        <w:t xml:space="preserve">cent guidelines advocating suspension of nonemergency endoscopies, implementation of strict personal protection measures (PPM) and post-endoscopy evaluation of patient COVID-19 status. This was an international multicenter study seeking to evaluate the </w:t>
      </w:r>
      <w:r>
        <w:rPr>
          <w:rFonts w:ascii="Book Antiqua" w:eastAsia="Book Antiqua" w:hAnsi="Book Antiqua" w:cs="Book Antiqua"/>
          <w:color w:val="000000"/>
        </w:rPr>
        <w:lastRenderedPageBreak/>
        <w:t>imp</w:t>
      </w:r>
      <w:r>
        <w:rPr>
          <w:rFonts w:ascii="Book Antiqua" w:eastAsia="Book Antiqua" w:hAnsi="Book Antiqua" w:cs="Book Antiqua"/>
          <w:color w:val="000000"/>
        </w:rPr>
        <w:t>act of COVID-19 on endoscopy during the first European lockdown (March-May 2020). COVID-19 transmission across endoscopic units proved to be highly unlikely in lockdown circumstances as long as endoscopy performance was restricted to emergency cases and su</w:t>
      </w:r>
      <w:r>
        <w:rPr>
          <w:rFonts w:ascii="Book Antiqua" w:eastAsia="Book Antiqua" w:hAnsi="Book Antiqua" w:cs="Book Antiqua"/>
          <w:color w:val="000000"/>
        </w:rPr>
        <w:t>fficient PPM are available.</w:t>
      </w:r>
    </w:p>
    <w:p w14:paraId="48D9ED07" w14:textId="77777777" w:rsidR="006F0171" w:rsidRDefault="006F0171">
      <w:pPr>
        <w:adjustRightInd w:val="0"/>
        <w:snapToGrid w:val="0"/>
        <w:spacing w:line="360" w:lineRule="auto"/>
        <w:jc w:val="both"/>
        <w:rPr>
          <w:rFonts w:ascii="Book Antiqua" w:hAnsi="Book Antiqua"/>
        </w:rPr>
        <w:sectPr w:rsidR="006F0171">
          <w:pgSz w:w="12240" w:h="15840"/>
          <w:pgMar w:top="1440" w:right="1440" w:bottom="1440" w:left="1440" w:header="720" w:footer="720" w:gutter="0"/>
          <w:cols w:space="720"/>
          <w:docGrid w:linePitch="360"/>
        </w:sectPr>
      </w:pPr>
    </w:p>
    <w:p w14:paraId="6B67125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C37638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The coronavirus disease 2019 (COVID-19) pandemic has spread throughout the world in a short period of time, rapidly affecting medical practice. Although the disease usually manifests with respiratory symptom</w:t>
      </w:r>
      <w:r>
        <w:rPr>
          <w:rFonts w:ascii="Book Antiqua" w:eastAsia="Book Antiqua" w:hAnsi="Book Antiqua" w:cs="Book Antiqua"/>
          <w:color w:val="000000"/>
        </w:rPr>
        <w:t>s, gastrointestinal (GI) symptoms are not rare and, in some cases, constitute the basic clinical manifestations</w:t>
      </w:r>
      <w:r>
        <w:rPr>
          <w:rFonts w:ascii="Book Antiqua" w:eastAsia="Book Antiqua" w:hAnsi="Book Antiqua" w:cs="Book Antiqua"/>
          <w:color w:val="000000"/>
          <w:vertAlign w:val="superscript"/>
        </w:rPr>
        <w:t>[</w:t>
      </w:r>
      <w:hyperlink w:anchor="_ENREF_1" w:tooltip="Gu, 2020 #4163"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Song, 2020 #4164"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 endoscopy is considered a risky </w:t>
      </w:r>
      <w:r>
        <w:rPr>
          <w:rFonts w:ascii="Book Antiqua" w:eastAsia="Book Antiqua" w:hAnsi="Book Antiqua" w:cs="Book Antiqua"/>
          <w:color w:val="000000"/>
        </w:rPr>
        <w:t>procedure for transmission of the infection. During endoscopy, close contact of the endoscopist with the patient takes place, respiratory droplets and aerosols are generated, and contact with contaminated material, body fluids, and feces is likely to occur</w:t>
      </w:r>
      <w:r>
        <w:rPr>
          <w:rFonts w:ascii="Book Antiqua" w:eastAsia="Book Antiqua" w:hAnsi="Book Antiqua" w:cs="Book Antiqua"/>
          <w:color w:val="000000"/>
        </w:rPr>
        <w:t xml:space="preserve">. Moreover, endoscopy also involves the assisting personnel of the unit (PEU). The PEU include not only the endoscopist, but also nurses and paramedical staff. In light of these considerations, specific protective measures and disinfection procedures have </w:t>
      </w:r>
      <w:r>
        <w:rPr>
          <w:rFonts w:ascii="Book Antiqua" w:eastAsia="Book Antiqua" w:hAnsi="Book Antiqua" w:cs="Book Antiqua"/>
          <w:color w:val="000000"/>
        </w:rPr>
        <w:t>been recommended by scientific societies and recognized experts</w:t>
      </w:r>
      <w:r>
        <w:rPr>
          <w:rFonts w:ascii="Book Antiqua" w:eastAsia="Book Antiqua" w:hAnsi="Book Antiqua" w:cs="Book Antiqua"/>
          <w:color w:val="000000"/>
          <w:vertAlign w:val="superscript"/>
        </w:rPr>
        <w:t>[</w:t>
      </w:r>
      <w:hyperlink w:anchor="_ENREF_3" w:tooltip="Gralnek, 2020 #4166" w:history="1">
        <w:r>
          <w:rPr>
            <w:rFonts w:ascii="Book Antiqua" w:eastAsia="Book Antiqua" w:hAnsi="Book Antiqua" w:cs="Book Antiqua"/>
            <w:color w:val="000000"/>
            <w:u w:val="single" w:color="0000EE"/>
            <w:vertAlign w:val="superscript"/>
          </w:rPr>
          <w:t>3-5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Endoscopic societies such as the European Society of Gastrointestinal Endoscopy (ESGE) and the European Society of Gastroenterology a</w:t>
      </w:r>
      <w:r>
        <w:rPr>
          <w:rFonts w:ascii="Book Antiqua" w:eastAsia="Book Antiqua" w:hAnsi="Book Antiqua" w:cs="Book Antiqua"/>
          <w:color w:val="000000"/>
        </w:rPr>
        <w:t>nd Endoscopy Nurses and Associates (ESGENA) recently published a joint position statement for GI endoscopy during the COVID-19 pandemic regarding safe endoscopies for patients and PEU</w:t>
      </w:r>
      <w:r>
        <w:rPr>
          <w:rFonts w:ascii="Book Antiqua" w:eastAsia="Book Antiqua" w:hAnsi="Book Antiqua" w:cs="Book Antiqua"/>
          <w:color w:val="000000"/>
          <w:vertAlign w:val="superscript"/>
        </w:rPr>
        <w:t>[</w:t>
      </w:r>
      <w:hyperlink w:anchor="_ENREF_3" w:tooltip="Gralnek, 2020 #4166"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statement s</w:t>
      </w:r>
      <w:r>
        <w:rPr>
          <w:rFonts w:ascii="Book Antiqua" w:eastAsia="Book Antiqua" w:hAnsi="Book Antiqua" w:cs="Book Antiqua"/>
          <w:color w:val="000000"/>
        </w:rPr>
        <w:t>uggests minimizing nonemergency endoscopies, implementation of personal protection measures (PPM), and post-endoscopy calls to patients 7 d and 14 d after the endoscopy to check their COVID-19 status. In a study from the heavily affected north of Italy, th</w:t>
      </w:r>
      <w:r>
        <w:rPr>
          <w:rFonts w:ascii="Book Antiqua" w:eastAsia="Book Antiqua" w:hAnsi="Book Antiqua" w:cs="Book Antiqua"/>
          <w:color w:val="000000"/>
        </w:rPr>
        <w:t>e number of post-endoscopy COVID-19 infections was negligible and the number of infected PEU was very small</w:t>
      </w:r>
      <w:r>
        <w:rPr>
          <w:rFonts w:ascii="Book Antiqua" w:eastAsia="Book Antiqua" w:hAnsi="Book Antiqua" w:cs="Book Antiqua"/>
          <w:color w:val="000000"/>
          <w:vertAlign w:val="superscript"/>
        </w:rPr>
        <w:t>[</w:t>
      </w:r>
      <w:hyperlink w:anchor="_ENREF_6" w:tooltip="Repici, 2020 #4168"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aim of this European multicenter study was to evaluate the impact of endoscopic procedur</w:t>
      </w:r>
      <w:r>
        <w:rPr>
          <w:rFonts w:ascii="Book Antiqua" w:eastAsia="Book Antiqua" w:hAnsi="Book Antiqua" w:cs="Book Antiqua"/>
          <w:color w:val="000000"/>
        </w:rPr>
        <w:t>es on the risk of transmission for patients and PEU using the telephone as contact tool as suggested by ESGE and ESGENA.</w:t>
      </w:r>
    </w:p>
    <w:p w14:paraId="23F3113C" w14:textId="77777777" w:rsidR="006F0171" w:rsidRDefault="006F0171">
      <w:pPr>
        <w:adjustRightInd w:val="0"/>
        <w:snapToGrid w:val="0"/>
        <w:spacing w:line="360" w:lineRule="auto"/>
        <w:jc w:val="both"/>
        <w:rPr>
          <w:rFonts w:ascii="Book Antiqua" w:hAnsi="Book Antiqua"/>
        </w:rPr>
      </w:pPr>
    </w:p>
    <w:p w14:paraId="3EE8EBC3"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8A95DD4"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Study design</w:t>
      </w:r>
    </w:p>
    <w:p w14:paraId="64813427"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was an international, multicenter study conducted during the period of the first European lock</w:t>
      </w:r>
      <w:r>
        <w:rPr>
          <w:rFonts w:ascii="Book Antiqua" w:eastAsia="Book Antiqua" w:hAnsi="Book Antiqua" w:cs="Book Antiqua"/>
          <w:color w:val="000000"/>
        </w:rPr>
        <w:t xml:space="preserve">down for COVID-19 (March-May 2020) in nine high-volume endoscopy departments across six European countries: Athens, Greece (two centers), Foggia/Verona, </w:t>
      </w:r>
      <w:r>
        <w:rPr>
          <w:rFonts w:ascii="Book Antiqua" w:eastAsia="Book Antiqua" w:hAnsi="Book Antiqua" w:cs="Book Antiqua"/>
          <w:color w:val="000000"/>
        </w:rPr>
        <w:lastRenderedPageBreak/>
        <w:t>Italy (two centers), Brussels, Belgium, Skopje, Republic of North Macedonia, Zagreb/Rijeka, Croatia (tw</w:t>
      </w:r>
      <w:r>
        <w:rPr>
          <w:rFonts w:ascii="Book Antiqua" w:eastAsia="Book Antiqua" w:hAnsi="Book Antiqua" w:cs="Book Antiqua"/>
          <w:color w:val="000000"/>
        </w:rPr>
        <w:t>o centers), and Belgrade, Serbia. The centers were included based on their high volume of endoscopic procedures prior to the COVID-19 outbreak and because they represented regions with a high prevalence of the disease on one side of the spectrum (Verona an</w:t>
      </w:r>
      <w:r>
        <w:rPr>
          <w:rFonts w:ascii="Book Antiqua" w:eastAsia="Book Antiqua" w:hAnsi="Book Antiqua" w:cs="Book Antiqua"/>
          <w:color w:val="000000"/>
        </w:rPr>
        <w:t>d Brussels) as well as regions with a lower prevalence of COVID-19 in southern Europe. This was an analysis of retrospectively collected data within a prospectively built database.</w:t>
      </w:r>
    </w:p>
    <w:p w14:paraId="4BBAA777" w14:textId="77777777" w:rsidR="006F0171" w:rsidRDefault="006F0171">
      <w:pPr>
        <w:adjustRightInd w:val="0"/>
        <w:snapToGrid w:val="0"/>
        <w:spacing w:line="360" w:lineRule="auto"/>
        <w:jc w:val="both"/>
        <w:rPr>
          <w:rFonts w:ascii="Book Antiqua" w:eastAsia="Book Antiqua" w:hAnsi="Book Antiqua" w:cs="Book Antiqua"/>
          <w:b/>
          <w:bCs/>
          <w:i/>
          <w:iCs/>
          <w:color w:val="000000"/>
        </w:rPr>
      </w:pPr>
    </w:p>
    <w:p w14:paraId="52B75E44"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Inclusion criteria</w:t>
      </w:r>
    </w:p>
    <w:p w14:paraId="5FA82EF8"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consecutive patients undergoing any endoscopic proc</w:t>
      </w:r>
      <w:r>
        <w:rPr>
          <w:rFonts w:ascii="Book Antiqua" w:eastAsia="Book Antiqua" w:hAnsi="Book Antiqua" w:cs="Book Antiqua"/>
          <w:color w:val="000000"/>
        </w:rPr>
        <w:t>edure, including upper and lower GI endoscopy (colonoscopy or rectosigmoidoscopy), endoscopic retrograde cholangiopancreatography (ERCP), or endoscopic ultrasonography (EUS) during the aforementioned period and involving each of the abovementioned PEU were</w:t>
      </w:r>
      <w:r>
        <w:rPr>
          <w:rFonts w:ascii="Book Antiqua" w:eastAsia="Book Antiqua" w:hAnsi="Book Antiqua" w:cs="Book Antiqua"/>
          <w:color w:val="000000"/>
        </w:rPr>
        <w:t xml:space="preserve"> considered eligible for inclusion.</w:t>
      </w:r>
    </w:p>
    <w:p w14:paraId="521EB8E2" w14:textId="77777777" w:rsidR="006F0171" w:rsidRDefault="006F0171">
      <w:pPr>
        <w:adjustRightInd w:val="0"/>
        <w:snapToGrid w:val="0"/>
        <w:spacing w:line="360" w:lineRule="auto"/>
        <w:jc w:val="both"/>
        <w:rPr>
          <w:rFonts w:ascii="Book Antiqua" w:hAnsi="Book Antiqua"/>
        </w:rPr>
      </w:pPr>
    </w:p>
    <w:p w14:paraId="7FA7994E"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Study population</w:t>
      </w:r>
    </w:p>
    <w:p w14:paraId="5BB1320E"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Patients undergoing endoscopy: </w:t>
      </w:r>
      <w:r>
        <w:rPr>
          <w:rFonts w:ascii="Book Antiqua" w:eastAsia="Book Antiqua" w:hAnsi="Book Antiqua" w:cs="Book Antiqua"/>
          <w:color w:val="000000"/>
        </w:rPr>
        <w:t xml:space="preserve">Following the triage protocol at each center, on the day of the endoscopy or the day before, all patients were questioned by the predetermined local study </w:t>
      </w:r>
      <w:r>
        <w:rPr>
          <w:rFonts w:ascii="Book Antiqua" w:eastAsia="Book Antiqua" w:hAnsi="Book Antiqua" w:cs="Book Antiqua"/>
          <w:color w:val="000000"/>
        </w:rPr>
        <w:t>coordinator for symptoms and contacts that could be linked to COVID-19 and then stratified as low- or high-risk of potential COVID-19 infection, according to the ESGE/ESGENA joint statement</w:t>
      </w:r>
      <w:r>
        <w:rPr>
          <w:rFonts w:ascii="Book Antiqua" w:eastAsia="Book Antiqua" w:hAnsi="Book Antiqua" w:cs="Book Antiqua"/>
          <w:color w:val="000000"/>
          <w:vertAlign w:val="superscript"/>
        </w:rPr>
        <w:t>[</w:t>
      </w:r>
      <w:hyperlink w:anchor="_ENREF_3" w:tooltip="Gralnek, 2020 #4166"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Demograph</w:t>
      </w:r>
      <w:r>
        <w:rPr>
          <w:rFonts w:ascii="Book Antiqua" w:eastAsia="Book Antiqua" w:hAnsi="Book Antiqua" w:cs="Book Antiqua"/>
          <w:color w:val="000000"/>
        </w:rPr>
        <w:t>ic data and procedural information regarding the endoscopy performed as well as previous performance of testing for severe acute respiratory syndrome coronavirus 2 (SARS-CoV-2) were also recorded. Following the ESGE/ESGENA joint statement recommendation re</w:t>
      </w:r>
      <w:r>
        <w:rPr>
          <w:rFonts w:ascii="Book Antiqua" w:eastAsia="Book Antiqua" w:hAnsi="Book Antiqua" w:cs="Book Antiqua"/>
          <w:color w:val="000000"/>
        </w:rPr>
        <w:t>garding post-procedure risk management</w:t>
      </w:r>
      <w:r>
        <w:rPr>
          <w:rFonts w:ascii="Book Antiqua" w:eastAsia="Book Antiqua" w:hAnsi="Book Antiqua" w:cs="Book Antiqua"/>
          <w:color w:val="000000"/>
          <w:vertAlign w:val="superscript"/>
        </w:rPr>
        <w:t>[</w:t>
      </w:r>
      <w:hyperlink w:anchor="_ENREF_3" w:tooltip="Gralnek, 2020 #4166"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local study coordinators contacted the patients by telephone on day 7 and day 14 after the endoscopy to inquire about any new COVID-19 diagnosis, or development</w:t>
      </w:r>
      <w:r>
        <w:rPr>
          <w:rFonts w:ascii="Book Antiqua" w:eastAsia="Book Antiqua" w:hAnsi="Book Antiqua" w:cs="Book Antiqua"/>
          <w:color w:val="000000"/>
        </w:rPr>
        <w:t xml:space="preserve"> of COVID-19 symptoms. The calls were carried out using a structured questionnaire that was identical across all centers (Supplementary Table 1) and filled out for each patient. Polymerase chain reaction (PCR) testing </w:t>
      </w:r>
      <w:r>
        <w:rPr>
          <w:rFonts w:ascii="Book Antiqua" w:eastAsia="Book Antiqua" w:hAnsi="Book Antiqua" w:cs="Book Antiqua"/>
          <w:i/>
          <w:iCs/>
          <w:color w:val="000000"/>
        </w:rPr>
        <w:t>a posteriori</w:t>
      </w:r>
      <w:r>
        <w:rPr>
          <w:rFonts w:ascii="Book Antiqua" w:eastAsia="Book Antiqua" w:hAnsi="Book Antiqua" w:cs="Book Antiqua"/>
          <w:color w:val="000000"/>
        </w:rPr>
        <w:t xml:space="preserve"> was possible at </w:t>
      </w:r>
      <w:r>
        <w:rPr>
          <w:rFonts w:ascii="Book Antiqua" w:eastAsia="Book Antiqua" w:hAnsi="Book Antiqua" w:cs="Book Antiqua"/>
          <w:color w:val="000000"/>
        </w:rPr>
        <w:lastRenderedPageBreak/>
        <w:t>physician</w:t>
      </w:r>
      <w:r>
        <w:rPr>
          <w:rFonts w:ascii="Book Antiqua" w:eastAsia="Book Antiqua" w:hAnsi="Book Antiqua" w:cs="Book Antiqua"/>
          <w:color w:val="000000"/>
        </w:rPr>
        <w:t>’s discretion after the endoscopic procedure</w:t>
      </w:r>
      <w:r>
        <w:rPr>
          <w:rFonts w:ascii="Book Antiqua" w:eastAsia="Book Antiqua" w:hAnsi="Book Antiqua" w:cs="Book Antiqua"/>
          <w:i/>
          <w:iCs/>
          <w:color w:val="000000"/>
        </w:rPr>
        <w:t xml:space="preserve"> </w:t>
      </w:r>
      <w:r>
        <w:rPr>
          <w:rFonts w:ascii="Book Antiqua" w:eastAsia="Book Antiqua" w:hAnsi="Book Antiqua" w:cs="Book Antiqua"/>
          <w:color w:val="000000"/>
        </w:rPr>
        <w:t>on a case-by-case basis, taking into account each patient’s clinical status. For those who tested positive after the endoscopic procedure, additional information regarding need for hospitalization, intensive car</w:t>
      </w:r>
      <w:r>
        <w:rPr>
          <w:rFonts w:ascii="Book Antiqua" w:eastAsia="Book Antiqua" w:hAnsi="Book Antiqua" w:cs="Book Antiqua"/>
          <w:color w:val="000000"/>
        </w:rPr>
        <w:t>e unit (ICU) admission for COVID-19 and COVID-19-related deaths were also collected.</w:t>
      </w:r>
    </w:p>
    <w:p w14:paraId="37DA3281" w14:textId="77777777" w:rsidR="006F0171" w:rsidRDefault="006F0171">
      <w:pPr>
        <w:adjustRightInd w:val="0"/>
        <w:snapToGrid w:val="0"/>
        <w:spacing w:line="360" w:lineRule="auto"/>
        <w:jc w:val="both"/>
        <w:rPr>
          <w:rFonts w:ascii="Book Antiqua" w:hAnsi="Book Antiqua"/>
        </w:rPr>
      </w:pPr>
    </w:p>
    <w:p w14:paraId="48D05C86"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PEU:</w:t>
      </w:r>
      <w:r>
        <w:rPr>
          <w:rFonts w:ascii="Book Antiqua" w:eastAsia="Book Antiqua" w:hAnsi="Book Antiqua" w:cs="Book Antiqua"/>
          <w:color w:val="000000"/>
        </w:rPr>
        <w:t xml:space="preserve"> The PEU were questioned regarding potential COVID-19 symptoms and/or SARS-CoV-2 infection with the use of a structured questionnaire (Supplementary Table 2). PEU inc</w:t>
      </w:r>
      <w:r>
        <w:rPr>
          <w:rFonts w:ascii="Book Antiqua" w:eastAsia="Book Antiqua" w:hAnsi="Book Antiqua" w:cs="Book Antiqua"/>
          <w:color w:val="000000"/>
        </w:rPr>
        <w:t xml:space="preserve">luded not only medical and nursing staff, but also assisting staff working in the unit who could contact patients or material potentially infected by SARS-CoV-2, </w:t>
      </w:r>
      <w:r>
        <w:rPr>
          <w:rFonts w:ascii="Book Antiqua" w:eastAsia="Book Antiqua" w:hAnsi="Book Antiqua" w:cs="Book Antiqua"/>
          <w:i/>
          <w:iCs/>
          <w:color w:val="000000"/>
        </w:rPr>
        <w:t>i.e.</w:t>
      </w:r>
      <w:r>
        <w:rPr>
          <w:rFonts w:ascii="Book Antiqua" w:eastAsia="Book Antiqua" w:hAnsi="Book Antiqua" w:cs="Book Antiqua"/>
          <w:color w:val="000000"/>
        </w:rPr>
        <w:t xml:space="preserve"> cleaning personnel, transporters, and secretarial staff. For those positive for SARS-CoV-</w:t>
      </w:r>
      <w:r>
        <w:rPr>
          <w:rFonts w:ascii="Book Antiqua" w:eastAsia="Book Antiqua" w:hAnsi="Book Antiqua" w:cs="Book Antiqua"/>
          <w:color w:val="000000"/>
        </w:rPr>
        <w:t>2, information regarding hospitalization, ICU admission and COVID-19-related deaths were collected. Additionally, the final part of the questionnaire recorded the total number of endoscopies conducted pre-, during and post-implementation of COVID-19-transm</w:t>
      </w:r>
      <w:r>
        <w:rPr>
          <w:rFonts w:ascii="Book Antiqua" w:eastAsia="Book Antiqua" w:hAnsi="Book Antiqua" w:cs="Book Antiqua"/>
          <w:color w:val="000000"/>
        </w:rPr>
        <w:t>ission preventative measures.</w:t>
      </w:r>
    </w:p>
    <w:p w14:paraId="7C7A5C77" w14:textId="77777777" w:rsidR="006F0171" w:rsidRDefault="006F0171">
      <w:pPr>
        <w:adjustRightInd w:val="0"/>
        <w:snapToGrid w:val="0"/>
        <w:spacing w:line="360" w:lineRule="auto"/>
        <w:jc w:val="both"/>
        <w:rPr>
          <w:rFonts w:ascii="Book Antiqua" w:hAnsi="Book Antiqua"/>
          <w:b/>
          <w:bCs/>
        </w:rPr>
      </w:pPr>
    </w:p>
    <w:p w14:paraId="7D3A2E9F"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Study endpoints</w:t>
      </w:r>
    </w:p>
    <w:p w14:paraId="3C1B917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The primary endpoint of the study was the incidence of infection among patients who underwent endoscopy during the established time period. Secondary endpoints were: (1) Incidence and outcome of hospitalizatio</w:t>
      </w:r>
      <w:r>
        <w:rPr>
          <w:rFonts w:ascii="Book Antiqua" w:eastAsia="Book Antiqua" w:hAnsi="Book Antiqua" w:cs="Book Antiqua"/>
          <w:color w:val="000000"/>
        </w:rPr>
        <w:t>n, ICU admission for COVID-19, and COVID-19-related deaths among patients who tested positive; (2) Prevalence of COVID-19 symptoms and/or positive SARS-CoV-2 testing among PEU; (3) Incidence and outcome of hospitalization, ICU admission for COVID-19, and C</w:t>
      </w:r>
      <w:r>
        <w:rPr>
          <w:rFonts w:ascii="Book Antiqua" w:eastAsia="Book Antiqua" w:hAnsi="Book Antiqua" w:cs="Book Antiqua"/>
          <w:color w:val="000000"/>
        </w:rPr>
        <w:t>OVID-19-related deaths among PEU who tested positive; and (4) Percentage decrease in the overall number of endoscopies before and after implementation of lockdown measures and implementation of PPM in the study centers. For the purposes of this study, only</w:t>
      </w:r>
      <w:r>
        <w:rPr>
          <w:rFonts w:ascii="Book Antiqua" w:eastAsia="Book Antiqua" w:hAnsi="Book Antiqua" w:cs="Book Antiqua"/>
          <w:color w:val="000000"/>
        </w:rPr>
        <w:t xml:space="preserve"> PCR testing was deemed adequately accurate for confirmation of infection. Rapid tests, when performed, needed to be confirmed by PCR.</w:t>
      </w:r>
    </w:p>
    <w:p w14:paraId="08A80D8C" w14:textId="77777777" w:rsidR="006F0171" w:rsidRDefault="006F0171">
      <w:pPr>
        <w:adjustRightInd w:val="0"/>
        <w:snapToGrid w:val="0"/>
        <w:spacing w:line="360" w:lineRule="auto"/>
        <w:jc w:val="both"/>
        <w:rPr>
          <w:rFonts w:ascii="Book Antiqua" w:hAnsi="Book Antiqua"/>
        </w:rPr>
      </w:pPr>
    </w:p>
    <w:p w14:paraId="321C77BF"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Statistical analysis</w:t>
      </w:r>
    </w:p>
    <w:p w14:paraId="092AA398"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Categorical data were reported as numbers and percentages (%) with their 95%CIs. The distribution o</w:t>
      </w:r>
      <w:r>
        <w:rPr>
          <w:rFonts w:ascii="Book Antiqua" w:eastAsia="Book Antiqua" w:hAnsi="Book Antiqua" w:cs="Book Antiqua"/>
          <w:color w:val="000000"/>
        </w:rPr>
        <w:t xml:space="preserve">f quantitative data was evaluated for normality by the Kolmogorov–Smirnov statistic and reported as means ± SD or means and interquartile range (IQR) depending to their distribution.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significant. A statistical review of the study was performed by a biomedical statistician (IP).</w:t>
      </w:r>
    </w:p>
    <w:p w14:paraId="43D2C374" w14:textId="77777777" w:rsidR="006F0171" w:rsidRDefault="006F0171">
      <w:pPr>
        <w:adjustRightInd w:val="0"/>
        <w:snapToGrid w:val="0"/>
        <w:spacing w:line="360" w:lineRule="auto"/>
        <w:jc w:val="both"/>
        <w:rPr>
          <w:rFonts w:ascii="Book Antiqua" w:eastAsia="Book Antiqua" w:hAnsi="Book Antiqua" w:cs="Book Antiqua"/>
          <w:b/>
          <w:bCs/>
          <w:i/>
          <w:iCs/>
          <w:color w:val="000000"/>
        </w:rPr>
      </w:pPr>
    </w:p>
    <w:p w14:paraId="07A10CB0"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Ethical approval</w:t>
      </w:r>
    </w:p>
    <w:p w14:paraId="487083B8"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protocol of this study was reviewed and approved by the local institutional review board (BΠΠΚ EBΔ </w:t>
      </w:r>
      <w:r>
        <w:rPr>
          <w:rFonts w:ascii="Book Antiqua" w:eastAsia="Book Antiqua" w:hAnsi="Book Antiqua" w:cs="Book Antiqua"/>
          <w:color w:val="000000"/>
        </w:rPr>
        <w:t>320/10-6-20). The study was conducted in accordance with the ethical principles of the Declaration of Helsinki and in compliance with good clinical practice.</w:t>
      </w:r>
    </w:p>
    <w:p w14:paraId="1F7A0422" w14:textId="77777777" w:rsidR="006F0171" w:rsidRDefault="006F0171">
      <w:pPr>
        <w:adjustRightInd w:val="0"/>
        <w:snapToGrid w:val="0"/>
        <w:spacing w:line="360" w:lineRule="auto"/>
        <w:jc w:val="both"/>
        <w:rPr>
          <w:rFonts w:ascii="Book Antiqua" w:hAnsi="Book Antiqua"/>
        </w:rPr>
      </w:pPr>
    </w:p>
    <w:p w14:paraId="26FD617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61911F9E"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Overall, 1267 endoscopies were performed in 1222 patients during the study time period. O</w:t>
      </w:r>
      <w:r>
        <w:rPr>
          <w:rFonts w:ascii="Book Antiqua" w:eastAsia="Book Antiqua" w:hAnsi="Book Antiqua" w:cs="Book Antiqua"/>
          <w:color w:val="000000"/>
        </w:rPr>
        <w:t>f those, 87 (7%) were excluded because of initial positive testing. The remaining 1135 patients were enrolled in the study (Figure 1). Baseline patient baseline characteristics and recruitment at center are presented in Table 1.</w:t>
      </w:r>
    </w:p>
    <w:p w14:paraId="1776E73D" w14:textId="77777777" w:rsidR="006F0171" w:rsidRDefault="006F0171">
      <w:pPr>
        <w:adjustRightInd w:val="0"/>
        <w:snapToGrid w:val="0"/>
        <w:spacing w:line="360" w:lineRule="auto"/>
        <w:jc w:val="both"/>
        <w:rPr>
          <w:rFonts w:ascii="Book Antiqua" w:hAnsi="Book Antiqua"/>
        </w:rPr>
      </w:pPr>
    </w:p>
    <w:p w14:paraId="4791C5C8"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Primary endpoint</w:t>
      </w:r>
    </w:p>
    <w:p w14:paraId="3E5D737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Among the</w:t>
      </w:r>
      <w:r>
        <w:rPr>
          <w:rFonts w:ascii="Book Antiqua" w:eastAsia="Book Antiqua" w:hAnsi="Book Antiqua" w:cs="Book Antiqua"/>
          <w:color w:val="000000"/>
        </w:rPr>
        <w:t xml:space="preserve"> 1135 enrolled patients, 254 (22.4%) were retested the days following endoscopy because of the onset of new symptoms that could indicate a potential COVID-19 infection. Eight (</w:t>
      </w:r>
      <w:r>
        <w:rPr>
          <w:rFonts w:ascii="Book Antiqua" w:eastAsia="Book Antiqua" w:hAnsi="Book Antiqua" w:cs="Book Antiqua"/>
          <w:i/>
          <w:iCs/>
          <w:color w:val="000000"/>
        </w:rPr>
        <w:t>n</w:t>
      </w:r>
      <w:r>
        <w:rPr>
          <w:rFonts w:ascii="Book Antiqua" w:eastAsia="Book Antiqua" w:hAnsi="Book Antiqua" w:cs="Book Antiqua"/>
          <w:color w:val="000000"/>
        </w:rPr>
        <w:t xml:space="preserve"> = 8) were eventually found positive. The incidence of infection among patients</w:t>
      </w:r>
      <w:r>
        <w:rPr>
          <w:rFonts w:ascii="Book Antiqua" w:eastAsia="Book Antiqua" w:hAnsi="Book Antiqua" w:cs="Book Antiqua"/>
          <w:color w:val="000000"/>
        </w:rPr>
        <w:t xml:space="preserve"> undergoing endoscopy was thus 0.7% (95%CI: 0.2-0.12). Of those eight patients, the majority had undergone upper GI endoscopy (</w:t>
      </w:r>
      <w:r>
        <w:rPr>
          <w:rFonts w:ascii="Book Antiqua" w:eastAsia="Book Antiqua" w:hAnsi="Book Antiqua" w:cs="Book Antiqua"/>
          <w:i/>
          <w:iCs/>
          <w:color w:val="000000"/>
        </w:rPr>
        <w:t>n</w:t>
      </w:r>
      <w:r>
        <w:rPr>
          <w:rFonts w:ascii="Book Antiqua" w:eastAsia="Book Antiqua" w:hAnsi="Book Antiqua" w:cs="Book Antiqua"/>
          <w:color w:val="000000"/>
        </w:rPr>
        <w:t xml:space="preserve"> = 6/8, 75%). A negative pre-endoscopy PCR test was available in only 1 case. A detailed overview of the infected characteristic</w:t>
      </w:r>
      <w:r>
        <w:rPr>
          <w:rFonts w:ascii="Book Antiqua" w:eastAsia="Book Antiqua" w:hAnsi="Book Antiqua" w:cs="Book Antiqua"/>
          <w:color w:val="000000"/>
        </w:rPr>
        <w:t>s of the patients is presented in Table 2.</w:t>
      </w:r>
    </w:p>
    <w:p w14:paraId="22231544" w14:textId="77777777" w:rsidR="006F0171" w:rsidRDefault="006F0171">
      <w:pPr>
        <w:adjustRightInd w:val="0"/>
        <w:snapToGrid w:val="0"/>
        <w:spacing w:line="360" w:lineRule="auto"/>
        <w:jc w:val="both"/>
        <w:rPr>
          <w:rFonts w:ascii="Book Antiqua" w:hAnsi="Book Antiqua"/>
        </w:rPr>
      </w:pPr>
    </w:p>
    <w:p w14:paraId="36F3894D" w14:textId="77777777" w:rsidR="006F0171" w:rsidRDefault="0008126C">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Secondary endpoints</w:t>
      </w:r>
    </w:p>
    <w:p w14:paraId="37E7204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Of the 8 SARS-CoV-2-positive cases, 2 (25%) presented with a very mild illness and did not require hospitalization at all; the other 6 (75%) were hospitalized at some point, with </w:t>
      </w:r>
      <w:r>
        <w:rPr>
          <w:rFonts w:ascii="Book Antiqua" w:eastAsia="Book Antiqua" w:hAnsi="Book Antiqua" w:cs="Book Antiqua"/>
          <w:color w:val="000000"/>
        </w:rPr>
        <w:lastRenderedPageBreak/>
        <w:t>2 of them (33</w:t>
      </w:r>
      <w:r>
        <w:rPr>
          <w:rFonts w:ascii="Book Antiqua" w:eastAsia="Book Antiqua" w:hAnsi="Book Antiqua" w:cs="Book Antiqua"/>
          <w:color w:val="000000"/>
        </w:rPr>
        <w:t>.3%) ultimately dying of COVID-19. Another 2 patients (33.3%) died, but the cause of death was considered to be their underlying cancer. The remaining 2 (33.3%) were discharged to home and to a nursing residency.</w:t>
      </w:r>
    </w:p>
    <w:p w14:paraId="38CDD3FA"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Overall, the data included the COVID-19 inf</w:t>
      </w:r>
      <w:r>
        <w:rPr>
          <w:rFonts w:ascii="Book Antiqua" w:eastAsia="Book Antiqua" w:hAnsi="Book Antiqua" w:cs="Book Antiqua"/>
          <w:color w:val="000000"/>
        </w:rPr>
        <w:t>ection status of 163 PEU from all 9 PEU. Eighty-four of the 163 (51.5%) were physicians (attendings as well as trainees), 62/163 (38%) were nurses and 17/163 (10.4%) were assisting staff working exclusively (or mostly) in the PEU (</w:t>
      </w:r>
      <w:r>
        <w:rPr>
          <w:rFonts w:ascii="Book Antiqua" w:eastAsia="Book Antiqua" w:hAnsi="Book Antiqua" w:cs="Book Antiqua"/>
          <w:i/>
          <w:iCs/>
          <w:color w:val="000000"/>
        </w:rPr>
        <w:t>i.e.</w:t>
      </w:r>
      <w:r>
        <w:rPr>
          <w:rFonts w:ascii="Book Antiqua" w:eastAsia="Book Antiqua" w:hAnsi="Book Antiqua" w:cs="Book Antiqua"/>
          <w:color w:val="000000"/>
        </w:rPr>
        <w:t xml:space="preserve"> cleaning personnel, </w:t>
      </w:r>
      <w:r>
        <w:rPr>
          <w:rFonts w:ascii="Book Antiqua" w:eastAsia="Book Antiqua" w:hAnsi="Book Antiqua" w:cs="Book Antiqua"/>
          <w:color w:val="000000"/>
        </w:rPr>
        <w:t>transporters, and secretarial staff of the units). Overall, 5/163 of the total PEU tested positive during the study period (2 physicians and 3 nurses), giving a 3% (95%CI: 0.4-5.7) incidence of infection. The majority of the infections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4, 80%) were co</w:t>
      </w:r>
      <w:r>
        <w:rPr>
          <w:rFonts w:ascii="Book Antiqua" w:eastAsia="Book Antiqua" w:hAnsi="Book Antiqua" w:cs="Book Antiqua"/>
          <w:color w:val="000000"/>
        </w:rPr>
        <w:t>nsidered to be associated with the work environment. Those cases represent 2.3% (4/163) of the total PEU in our study and 7% and 16.6% of the PEU of their own units, respectively. None (0/5) of the infected PEU developed severe disease, none required hospi</w:t>
      </w:r>
      <w:r>
        <w:rPr>
          <w:rFonts w:ascii="Book Antiqua" w:eastAsia="Book Antiqua" w:hAnsi="Book Antiqua" w:cs="Book Antiqua"/>
          <w:color w:val="000000"/>
        </w:rPr>
        <w:t>talization, and no COVID-19-related deaths occurred in the PEU who were included in our study.</w:t>
      </w:r>
    </w:p>
    <w:p w14:paraId="4B4A00A6"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PPM in accord with the ESGE/ESGENA position statement regarding reduction of cases to focus on emergency therapies, </w:t>
      </w:r>
      <w:r>
        <w:rPr>
          <w:rFonts w:ascii="Book Antiqua" w:eastAsia="Book Antiqua" w:hAnsi="Book Antiqua" w:cs="Book Antiqua"/>
          <w:i/>
          <w:iCs/>
          <w:color w:val="000000"/>
        </w:rPr>
        <w:t>i.e.</w:t>
      </w:r>
      <w:r>
        <w:rPr>
          <w:rFonts w:ascii="Book Antiqua" w:eastAsia="Book Antiqua" w:hAnsi="Book Antiqua" w:cs="Book Antiqua"/>
          <w:color w:val="000000"/>
        </w:rPr>
        <w:t xml:space="preserve"> gowns, goggles, and masks, were implemen</w:t>
      </w:r>
      <w:r>
        <w:rPr>
          <w:rFonts w:ascii="Book Antiqua" w:eastAsia="Book Antiqua" w:hAnsi="Book Antiqua" w:cs="Book Antiqua"/>
          <w:color w:val="000000"/>
        </w:rPr>
        <w:t>ted and adhered to in all participating centers during the initial phase of the study, which continued from 9 to 23 March, 2020. Overall, a significant reduction in the number of endoscopies was evident in all the participating centers after March 2020 (Fi</w:t>
      </w:r>
      <w:r>
        <w:rPr>
          <w:rFonts w:ascii="Book Antiqua" w:eastAsia="Book Antiqua" w:hAnsi="Book Antiqua" w:cs="Book Antiqua"/>
          <w:color w:val="000000"/>
        </w:rPr>
        <w:t>gure 2). In detail, 1 wk before implementation of the ESGE/ESGENA position statement suggestions, the total number of endoscopies across all centers was 534 (246 upper GI-endoscopies, 209 colonoscopies/rectosigmoidoscopies, 56 ERCPs and 23 EUS). During the</w:t>
      </w:r>
      <w:r>
        <w:rPr>
          <w:rFonts w:ascii="Book Antiqua" w:eastAsia="Book Antiqua" w:hAnsi="Book Antiqua" w:cs="Book Antiqua"/>
          <w:color w:val="000000"/>
        </w:rPr>
        <w:t xml:space="preserve"> following 6 wk, the number gradually dropped, reaching a plateau with a mean of 167 ± 14 endoscopies per week, an estimated 68.7% (95%CI: 64.8-72.7) decrease in the performance of endoscopic procedures.</w:t>
      </w:r>
    </w:p>
    <w:p w14:paraId="7107D08B" w14:textId="77777777" w:rsidR="006F0171" w:rsidRDefault="006F0171">
      <w:pPr>
        <w:adjustRightInd w:val="0"/>
        <w:snapToGrid w:val="0"/>
        <w:spacing w:line="360" w:lineRule="auto"/>
        <w:jc w:val="both"/>
        <w:rPr>
          <w:rFonts w:ascii="Book Antiqua" w:hAnsi="Book Antiqua"/>
        </w:rPr>
      </w:pPr>
    </w:p>
    <w:p w14:paraId="53D86872"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302BB24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Endoscopic procedures were deemed as ris</w:t>
      </w:r>
      <w:r>
        <w:rPr>
          <w:rFonts w:ascii="Book Antiqua" w:eastAsia="Book Antiqua" w:hAnsi="Book Antiqua" w:cs="Book Antiqua"/>
          <w:color w:val="000000"/>
        </w:rPr>
        <w:t>ky procedures for bidirectional COVID-19 infection transmission</w:t>
      </w:r>
      <w:r>
        <w:rPr>
          <w:rFonts w:ascii="Book Antiqua" w:eastAsia="Book Antiqua" w:hAnsi="Book Antiqua" w:cs="Book Antiqua"/>
          <w:color w:val="000000"/>
          <w:vertAlign w:val="superscript"/>
        </w:rPr>
        <w:t>[</w:t>
      </w:r>
      <w:hyperlink w:anchor="_ENREF_1" w:tooltip="Gu, 2020 #4163"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Song, 2020 #4164"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hyperlink w:anchor="_ENREF_7" w:tooltip="Ang, 2020 #4169"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hyperlink w:anchor="_ENREF_8" w:tooltip="Tian, 2020 #4171"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analysis of retrospectively collected data within a </w:t>
      </w:r>
      <w:r>
        <w:rPr>
          <w:rFonts w:ascii="Book Antiqua" w:eastAsia="Book Antiqua" w:hAnsi="Book Antiqua" w:cs="Book Antiqua"/>
          <w:color w:val="000000"/>
        </w:rPr>
        <w:lastRenderedPageBreak/>
        <w:t>prospectively built database conducted across nine European endoscopic facilities, we showe</w:t>
      </w:r>
      <w:r>
        <w:rPr>
          <w:rFonts w:ascii="Book Antiqua" w:eastAsia="Book Antiqua" w:hAnsi="Book Antiqua" w:cs="Book Antiqua"/>
          <w:color w:val="000000"/>
        </w:rPr>
        <w:t>d that the risk of COVID-19 infection for patients undergoing GI endoscopy was extremely low in a lockdown setting. The results underline the value of following ESGE/ESGENA recommendations to address the danger of COVID-19 infection in everyday, real-world</w:t>
      </w:r>
      <w:r>
        <w:rPr>
          <w:rFonts w:ascii="Book Antiqua" w:eastAsia="Book Antiqua" w:hAnsi="Book Antiqua" w:cs="Book Antiqua"/>
          <w:color w:val="000000"/>
        </w:rPr>
        <w:t xml:space="preserve"> clinical practice.</w:t>
      </w:r>
    </w:p>
    <w:p w14:paraId="176452D3"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Although COVID-19 infection and its potential implications have been at the focal point of ongoing research worldwide, evidence regarding this risk of healthcare professional and patient infection after endoscopy remain scarce</w:t>
      </w:r>
      <w:r>
        <w:rPr>
          <w:rFonts w:ascii="Book Antiqua" w:eastAsia="Book Antiqua" w:hAnsi="Book Antiqua" w:cs="Book Antiqua"/>
          <w:color w:val="000000"/>
          <w:vertAlign w:val="superscript"/>
        </w:rPr>
        <w:t>[</w:t>
      </w:r>
      <w:hyperlink w:anchor="_ENREF_9" w:tooltip="Gines, 2020 #4177"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one of the few studies, Repici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Repici, 2020 #4168"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retrospectively analyzed data from 802 patients and 968 PEU in 41 hospitals in northern Italy. Their results sugges</w:t>
      </w:r>
      <w:r>
        <w:rPr>
          <w:rFonts w:ascii="Book Antiqua" w:eastAsia="Book Antiqua" w:hAnsi="Book Antiqua" w:cs="Book Antiqua"/>
          <w:color w:val="000000"/>
        </w:rPr>
        <w:t xml:space="preserve">ted that the number of post-endoscopy patient infections was negligible, </w:t>
      </w:r>
      <w:r>
        <w:rPr>
          <w:rFonts w:ascii="Book Antiqua" w:eastAsia="Book Antiqua" w:hAnsi="Book Antiqua" w:cs="Book Antiqua"/>
          <w:i/>
          <w:iCs/>
          <w:color w:val="000000"/>
        </w:rPr>
        <w:t>i.e.</w:t>
      </w:r>
      <w:r>
        <w:rPr>
          <w:rFonts w:ascii="Book Antiqua" w:eastAsia="Book Antiqua" w:hAnsi="Book Antiqua" w:cs="Book Antiqua"/>
          <w:color w:val="000000"/>
        </w:rPr>
        <w:t xml:space="preserve"> 1 infection in 802 patients for a confirmed infection rate of 0.12%. Similarly in a much smaller multicenter, retrospective study that evaluated patients who underwent stent plac</w:t>
      </w:r>
      <w:r>
        <w:rPr>
          <w:rFonts w:ascii="Book Antiqua" w:eastAsia="Book Antiqua" w:hAnsi="Book Antiqua" w:cs="Book Antiqua"/>
          <w:color w:val="000000"/>
        </w:rPr>
        <w:t>ement for upper GI obstruction</w:t>
      </w:r>
      <w:r>
        <w:rPr>
          <w:rFonts w:ascii="Book Antiqua" w:eastAsia="Book Antiqua" w:hAnsi="Book Antiqua" w:cs="Book Antiqua"/>
          <w:color w:val="000000"/>
          <w:vertAlign w:val="superscript"/>
        </w:rPr>
        <w:t>[</w:t>
      </w:r>
      <w:hyperlink w:anchor="_ENREF_10" w:tooltip="Rodrigues-Pinto, 2021 #4176" w:history="1">
        <w:r>
          <w:rPr>
            <w:rFonts w:ascii="Book Antiqua" w:eastAsia="Book Antiqua" w:hAnsi="Book Antiqua" w:cs="Book Antiqua"/>
            <w:color w:val="000000"/>
            <w:u w:val="single" w:color="0000EE"/>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only 1 of 29 patients (3.4%) tested positive for SARS-CoV-2 after the procedure. All the medical staff involved in the stenting procedures remained COVID-19 f</w:t>
      </w:r>
      <w:r>
        <w:rPr>
          <w:rFonts w:ascii="Book Antiqua" w:eastAsia="Book Antiqua" w:hAnsi="Book Antiqua" w:cs="Book Antiqua"/>
          <w:color w:val="000000"/>
        </w:rPr>
        <w:t>ree 14 d later. The results of our multicenter study are also in line with those, as only 8 of the 1135 patients who were deemed pre-endoscopy SARS-CoV-2 low risk or negative, became positive. The results are further corroborated by the findings of a recen</w:t>
      </w:r>
      <w:r>
        <w:rPr>
          <w:rFonts w:ascii="Book Antiqua" w:eastAsia="Book Antiqua" w:hAnsi="Book Antiqua" w:cs="Book Antiqua"/>
          <w:color w:val="000000"/>
        </w:rPr>
        <w:t>t cross-sectional study. In a high-volume Japanese endoscopic facility, not a single positive result was detected among 783 PCR-analyzed saliva samples from patients undergoing endoscopic procedures</w:t>
      </w:r>
      <w:r>
        <w:rPr>
          <w:rFonts w:ascii="Book Antiqua" w:eastAsia="Book Antiqua" w:hAnsi="Book Antiqua" w:cs="Book Antiqua"/>
          <w:color w:val="000000"/>
          <w:vertAlign w:val="superscript"/>
        </w:rPr>
        <w:t>[</w:t>
      </w:r>
      <w:hyperlink w:anchor="_ENREF_11" w:tooltip="Miyake, 2021 #4181"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CA1F1F"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PEU infection after endoscopy, our study is consistent with that of Repici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Repici, 2020 #4168"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who found a very low risk of PEU contamination. Indeed, the Italian study reported a very small number of in</w:t>
      </w:r>
      <w:r>
        <w:rPr>
          <w:rFonts w:ascii="Book Antiqua" w:eastAsia="Book Antiqua" w:hAnsi="Book Antiqua" w:cs="Book Antiqua"/>
          <w:color w:val="000000"/>
        </w:rPr>
        <w:t>fected PEU (42 cases, or only 4.3% of the PEU population in their study), with 85.7% of the infections occurring before PPM were introduced. Even for the PEU who were infected, fewer than 1% needed hospitalization and none required admission in ICU or died</w:t>
      </w:r>
      <w:r>
        <w:rPr>
          <w:rFonts w:ascii="Book Antiqua" w:eastAsia="Book Antiqua" w:hAnsi="Book Antiqua" w:cs="Book Antiqua"/>
          <w:color w:val="000000"/>
          <w:vertAlign w:val="superscript"/>
        </w:rPr>
        <w:t>[</w:t>
      </w:r>
      <w:hyperlink w:anchor="_ENREF_6" w:tooltip="Repici, 2020 #4168"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Outside Europe, the risk of COVID-19 infection of PEU may be higher, up to 23.9%, especially in endoscopy technicians</w:t>
      </w:r>
      <w:r>
        <w:rPr>
          <w:rFonts w:ascii="Book Antiqua" w:eastAsia="Book Antiqua" w:hAnsi="Book Antiqua" w:cs="Book Antiqua"/>
          <w:color w:val="000000"/>
          <w:vertAlign w:val="superscript"/>
        </w:rPr>
        <w:t>[</w:t>
      </w:r>
      <w:hyperlink w:anchor="_ENREF_12" w:tooltip="Kumar Goenka, 2021 #4182"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had </w:t>
      </w:r>
      <w:r>
        <w:rPr>
          <w:rFonts w:ascii="Book Antiqua" w:eastAsia="Book Antiqua" w:hAnsi="Book Antiqua" w:cs="Book Antiqua"/>
          <w:color w:val="000000"/>
        </w:rPr>
        <w:t xml:space="preserve">even more impressive results, with only 5 PEU testing positive during the study period, representing a 3% of the total PEU involved in the endoscopies that were </w:t>
      </w:r>
      <w:r>
        <w:rPr>
          <w:rFonts w:ascii="Book Antiqua" w:eastAsia="Book Antiqua" w:hAnsi="Book Antiqua" w:cs="Book Antiqua"/>
          <w:color w:val="000000"/>
        </w:rPr>
        <w:lastRenderedPageBreak/>
        <w:t>performed in the study. In only 4 of the total PEU, 1 physician and 3 nurses, was the infection</w:t>
      </w:r>
      <w:r>
        <w:rPr>
          <w:rFonts w:ascii="Book Antiqua" w:eastAsia="Book Antiqua" w:hAnsi="Book Antiqua" w:cs="Book Antiqua"/>
          <w:color w:val="000000"/>
        </w:rPr>
        <w:t xml:space="preserve"> considered to be linked to their work. As in the Italian study, none of the infected PEU in our study developed severe disease, required hospitalization, or died, compared with 2 COVID-19-related deaths that occurred in the 8 patients who became positive </w:t>
      </w:r>
      <w:r>
        <w:rPr>
          <w:rFonts w:ascii="Book Antiqua" w:eastAsia="Book Antiqua" w:hAnsi="Book Antiqua" w:cs="Book Antiqua"/>
          <w:color w:val="000000"/>
        </w:rPr>
        <w:t>post endoscopy. Whether that was merely a random association or a result of the younger age and better health status of the PEU compared with that of our patient population, who were severely ill individuals undergoing emergency endoscopies, remains unclea</w:t>
      </w:r>
      <w:r>
        <w:rPr>
          <w:rFonts w:ascii="Book Antiqua" w:eastAsia="Book Antiqua" w:hAnsi="Book Antiqua" w:cs="Book Antiqua"/>
          <w:color w:val="000000"/>
        </w:rPr>
        <w:t>r. Published data suggest that PEU, when affected, experience relatively mild disease, but as the numbers were extremely small, we cannot provide further insights</w:t>
      </w:r>
      <w:r>
        <w:rPr>
          <w:rFonts w:ascii="Book Antiqua" w:eastAsia="Book Antiqua" w:hAnsi="Book Antiqua" w:cs="Book Antiqua"/>
          <w:color w:val="000000"/>
          <w:vertAlign w:val="superscript"/>
        </w:rPr>
        <w:t>[</w:t>
      </w:r>
      <w:hyperlink w:anchor="_ENREF_5" w:tooltip="Lui, 2020 #4174"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hyperlink w:anchor="_ENREF_6" w:tooltip="Repici, 2020 #4168"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Notably, a case-by-case analysis revealed a clustering of infections, as all PEU found positive worked in a unit performing almost exclusively ERCPs. A possible explanation could be based on the longer duration of those particular examination</w:t>
      </w:r>
      <w:r>
        <w:rPr>
          <w:rFonts w:ascii="Book Antiqua" w:eastAsia="Book Antiqua" w:hAnsi="Book Antiqua" w:cs="Book Antiqua"/>
          <w:color w:val="000000"/>
        </w:rPr>
        <w:t>s compared with standard upper GI-endoscopies, resulting in increased risk for transmission.</w:t>
      </w:r>
    </w:p>
    <w:p w14:paraId="2B18EA7D"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Pre-endoscopic testing for COVID-19 was available only for one-fourth of the patients of our study (326/1222, 26.7%). One might consider that to be a low percentag</w:t>
      </w:r>
      <w:r>
        <w:rPr>
          <w:rFonts w:ascii="Book Antiqua" w:eastAsia="Book Antiqua" w:hAnsi="Book Antiqua" w:cs="Book Antiqua"/>
          <w:color w:val="000000"/>
        </w:rPr>
        <w:t>e; however, it should be noted that this policy is in accordance with the ESGE/ESGENA recommendations that do not advocate SARS-CoV-2 tests as a prerequisite for GI endoscopy. On the contrary, they put a spotlight on appropriate triaging of nonemergency en</w:t>
      </w:r>
      <w:r>
        <w:rPr>
          <w:rFonts w:ascii="Book Antiqua" w:eastAsia="Book Antiqua" w:hAnsi="Book Antiqua" w:cs="Book Antiqua"/>
          <w:color w:val="000000"/>
        </w:rPr>
        <w:t>doscopies and PPM. Our low post-endoscopy infection rates of both patients and PEU seem to justify those suggestions.</w:t>
      </w:r>
    </w:p>
    <w:p w14:paraId="75E88B8F"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finding that the COVID-19 pandemic led to a significant reduction in the volume of endoscopic procedures is not novel. Beyond patient </w:t>
      </w:r>
      <w:r>
        <w:rPr>
          <w:rFonts w:ascii="Book Antiqua" w:eastAsia="Book Antiqua" w:hAnsi="Book Antiqua" w:cs="Book Antiqua"/>
          <w:color w:val="000000"/>
        </w:rPr>
        <w:t>stratification as low- or high-risk of COVID-19 infection, the position ESGE/ESGENA statement for GI endoscopy during the COVID-19 pandemic also clearly lists which endoscopic procedures should be definitely performed and which can be postponed. That polic</w:t>
      </w:r>
      <w:r>
        <w:rPr>
          <w:rFonts w:ascii="Book Antiqua" w:eastAsia="Book Antiqua" w:hAnsi="Book Antiqua" w:cs="Book Antiqua"/>
          <w:color w:val="000000"/>
        </w:rPr>
        <w:t>y was uniformly applied at all the participating centers of our study. Thus, all the endoscopies performed in our series, if not emergency, were nevertheless completely necessary; none were purely elective. Still, the optimal policy, when resumption of end</w:t>
      </w:r>
      <w:r>
        <w:rPr>
          <w:rFonts w:ascii="Book Antiqua" w:eastAsia="Book Antiqua" w:hAnsi="Book Antiqua" w:cs="Book Antiqua"/>
          <w:color w:val="000000"/>
        </w:rPr>
        <w:t xml:space="preserve">oscopy services comes into </w:t>
      </w:r>
      <w:r>
        <w:rPr>
          <w:rFonts w:ascii="Book Antiqua" w:eastAsia="Book Antiqua" w:hAnsi="Book Antiqua" w:cs="Book Antiqua"/>
          <w:color w:val="000000"/>
        </w:rPr>
        <w:lastRenderedPageBreak/>
        <w:t>question, remains to be elucidated. In that regard, a stepwise approach that takes: (1) The regional prevalence of COVID-19 with stricter guidelines in endoscopy and use of PPE in high-prevalence (&gt; 2%) areas</w:t>
      </w:r>
      <w:r>
        <w:rPr>
          <w:rFonts w:ascii="Book Antiqua" w:eastAsia="Book Antiqua" w:hAnsi="Book Antiqua" w:cs="Book Antiqua"/>
          <w:color w:val="000000"/>
          <w:vertAlign w:val="superscript"/>
        </w:rPr>
        <w:t>[</w:t>
      </w:r>
      <w:hyperlink w:anchor="_ENREF_13" w:tooltip="Bhandari, 2020 #4188"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(2) Patient stratification for procedures that should be performed immediately or postponed, as well as low- or high-risk of infection</w:t>
      </w:r>
      <w:r>
        <w:rPr>
          <w:rFonts w:ascii="Book Antiqua" w:eastAsia="Book Antiqua" w:hAnsi="Book Antiqua" w:cs="Book Antiqua"/>
          <w:color w:val="000000"/>
          <w:vertAlign w:val="superscript"/>
        </w:rPr>
        <w:t>[</w:t>
      </w:r>
      <w:hyperlink w:anchor="_ENREF_3" w:tooltip="Gralnek, 2020 #4166"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(3) Modifications in</w:t>
      </w:r>
      <w:r>
        <w:rPr>
          <w:rFonts w:ascii="Book Antiqua" w:eastAsia="Book Antiqua" w:hAnsi="Book Antiqua" w:cs="Book Antiqua"/>
          <w:color w:val="000000"/>
        </w:rPr>
        <w:t xml:space="preserve"> PEU working schedules to prevent hospital-based transmission into account seems the most appropriate</w:t>
      </w:r>
      <w:r>
        <w:rPr>
          <w:rFonts w:ascii="Book Antiqua" w:eastAsia="Book Antiqua" w:hAnsi="Book Antiqua" w:cs="Book Antiqua"/>
          <w:color w:val="000000"/>
          <w:vertAlign w:val="superscript"/>
        </w:rPr>
        <w:t>[</w:t>
      </w:r>
      <w:hyperlink w:anchor="_ENREF_14" w:tooltip="Gupta, 2020 #418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hyperlink w:anchor="_ENREF_15" w:tooltip="Hennessy, 2020 #4186"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3ED818"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 number of study strengths should be c</w:t>
      </w:r>
      <w:r>
        <w:rPr>
          <w:rFonts w:ascii="Book Antiqua" w:eastAsia="Book Antiqua" w:hAnsi="Book Antiqua" w:cs="Book Antiqua"/>
          <w:color w:val="000000"/>
        </w:rPr>
        <w:t>ited. First, this iteration is one of the few studies addressing the question of the safety of endoscopy during the COVID-19 pandemic. Second, we enrolled patients in different countries, giving a more representative overview of the impact of COVID-19 outb</w:t>
      </w:r>
      <w:r>
        <w:rPr>
          <w:rFonts w:ascii="Book Antiqua" w:eastAsia="Book Antiqua" w:hAnsi="Book Antiqua" w:cs="Book Antiqua"/>
          <w:color w:val="000000"/>
        </w:rPr>
        <w:t>reak on endoscopy units. Third, our questionnaire content was guided by the ESGE/ESGENA position statement. Finally, our population was homogenous, including patients who underwent endoscopic procedures involving both the upper and lower GI tract as well a</w:t>
      </w:r>
      <w:r>
        <w:rPr>
          <w:rFonts w:ascii="Book Antiqua" w:eastAsia="Book Antiqua" w:hAnsi="Book Antiqua" w:cs="Book Antiqua"/>
          <w:color w:val="000000"/>
        </w:rPr>
        <w:t>s the respective participating PEU.</w:t>
      </w:r>
    </w:p>
    <w:p w14:paraId="06F50756" w14:textId="77777777" w:rsidR="006F0171" w:rsidRDefault="0008126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the other hand, there are also limitations that merit attention. The lack of SARS-CoV-2 testing of patients presenting for endoscopy without COVID-19 symptoms and heterogeneity of PEU testing can initially be seen as </w:t>
      </w:r>
      <w:r>
        <w:rPr>
          <w:rFonts w:ascii="Book Antiqua" w:eastAsia="Book Antiqua" w:hAnsi="Book Antiqua" w:cs="Book Antiqua"/>
          <w:color w:val="000000"/>
        </w:rPr>
        <w:t>such; but that practice was in accord with endoscopy society recommendations including those of the ESGE/ESGENA). The practice should therefore be considered unavoidable, but it undoubtedly had an impact on our epidemiological data, as the percentage of as</w:t>
      </w:r>
      <w:r>
        <w:rPr>
          <w:rFonts w:ascii="Book Antiqua" w:eastAsia="Book Antiqua" w:hAnsi="Book Antiqua" w:cs="Book Antiqua"/>
          <w:color w:val="000000"/>
        </w:rPr>
        <w:t xml:space="preserve">ymptomatic patients in our group remains unknown and hinders the complete tracking of the infection. Another shortcoming is the possibility of recall bias, given that the study data was acquired by asking patients to recall their symptoms. Again, that was </w:t>
      </w:r>
      <w:r>
        <w:rPr>
          <w:rFonts w:ascii="Book Antiqua" w:eastAsia="Book Antiqua" w:hAnsi="Book Antiqua" w:cs="Book Antiqua"/>
          <w:color w:val="000000"/>
        </w:rPr>
        <w:t>unavoidable, as it complied with the ESGE/ESGENA directive stating that patients should be contacted 7 d and 14 d post endoscopy. Finally, the small number of positive cases and study design prevent a definitive causal relationship to be established. Howev</w:t>
      </w:r>
      <w:r>
        <w:rPr>
          <w:rFonts w:ascii="Book Antiqua" w:eastAsia="Book Antiqua" w:hAnsi="Book Antiqua" w:cs="Book Antiqua"/>
          <w:color w:val="000000"/>
        </w:rPr>
        <w:t>er, aim of the study was not to address issues related to potential routes of infection, but rather to investigate the actual possibility of COVID-19 transmission in endoscopy units when established guidelines are implemented.</w:t>
      </w:r>
    </w:p>
    <w:p w14:paraId="0127100A" w14:textId="77777777" w:rsidR="006F0171" w:rsidRDefault="006F0171">
      <w:pPr>
        <w:adjustRightInd w:val="0"/>
        <w:snapToGrid w:val="0"/>
        <w:spacing w:line="360" w:lineRule="auto"/>
        <w:jc w:val="both"/>
        <w:rPr>
          <w:rFonts w:ascii="Book Antiqua" w:hAnsi="Book Antiqua"/>
        </w:rPr>
      </w:pPr>
    </w:p>
    <w:p w14:paraId="529F000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8D1402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In conclusion, CO</w:t>
      </w:r>
      <w:r>
        <w:rPr>
          <w:rFonts w:ascii="Book Antiqua" w:eastAsia="Book Antiqua" w:hAnsi="Book Antiqua" w:cs="Book Antiqua"/>
          <w:color w:val="000000"/>
        </w:rPr>
        <w:t>VID-19 transmission in endoscopy units is a highly unlikely event for both patients and PEU in a lockdown setting, provided endoscopies are effectively restricted to emergency cases and appropriate, stringent PPM are implemented. In the extremely rare case</w:t>
      </w:r>
      <w:r>
        <w:rPr>
          <w:rFonts w:ascii="Book Antiqua" w:eastAsia="Book Antiqua" w:hAnsi="Book Antiqua" w:cs="Book Antiqua"/>
          <w:color w:val="000000"/>
        </w:rPr>
        <w:t>s of PEU infection in our series, the disease was relatively mild, with no hospitalizations or COVID-19-related deaths.</w:t>
      </w:r>
    </w:p>
    <w:p w14:paraId="4E96BFCE" w14:textId="77777777" w:rsidR="006F0171" w:rsidRDefault="006F0171">
      <w:pPr>
        <w:adjustRightInd w:val="0"/>
        <w:snapToGrid w:val="0"/>
        <w:spacing w:line="360" w:lineRule="auto"/>
        <w:jc w:val="both"/>
        <w:rPr>
          <w:rFonts w:ascii="Book Antiqua" w:hAnsi="Book Antiqua"/>
        </w:rPr>
      </w:pPr>
    </w:p>
    <w:p w14:paraId="08491F0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838E7B2"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3A1D9DC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coronavirus disease 2019 (COVID-19) outbreak significantly affected endoscopic </w:t>
      </w:r>
      <w:r>
        <w:rPr>
          <w:rFonts w:ascii="Book Antiqua" w:eastAsia="Book Antiqua" w:hAnsi="Book Antiqua" w:cs="Book Antiqua"/>
          <w:color w:val="000000"/>
        </w:rPr>
        <w:t>practice, as gastrointestinal endoscopy is considered as a risky procedure for transmission of infection. The ESGE and ESGENA published a position statement for endoscopy during the COVID-19 pandemic regarding the safety of endoscopies for patients and the</w:t>
      </w:r>
      <w:r>
        <w:rPr>
          <w:rFonts w:ascii="Book Antiqua" w:eastAsia="Book Antiqua" w:hAnsi="Book Antiqua" w:cs="Book Antiqua"/>
          <w:color w:val="000000"/>
        </w:rPr>
        <w:t xml:space="preserve"> personnel of endoscopy units (PEU). However, the incidence and outcome of infection among patients undergoing endoscopy and PEU remains to be determined.</w:t>
      </w:r>
    </w:p>
    <w:p w14:paraId="1D3B0741" w14:textId="77777777" w:rsidR="006F0171" w:rsidRDefault="006F0171">
      <w:pPr>
        <w:adjustRightInd w:val="0"/>
        <w:snapToGrid w:val="0"/>
        <w:spacing w:line="360" w:lineRule="auto"/>
        <w:jc w:val="both"/>
        <w:rPr>
          <w:rFonts w:ascii="Book Antiqua" w:hAnsi="Book Antiqua"/>
        </w:rPr>
      </w:pPr>
    </w:p>
    <w:p w14:paraId="7C921D4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C7A36B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Currently, there is insufficient data regarding the incidence and outcomes of CO</w:t>
      </w:r>
      <w:r>
        <w:rPr>
          <w:rFonts w:ascii="Book Antiqua" w:eastAsia="Book Antiqua" w:hAnsi="Book Antiqua" w:cs="Book Antiqua"/>
          <w:color w:val="000000"/>
        </w:rPr>
        <w:t>VID-19 infection among patients undergoing endoscopy and in PEU.</w:t>
      </w:r>
    </w:p>
    <w:p w14:paraId="4792B392" w14:textId="77777777" w:rsidR="006F0171" w:rsidRDefault="006F0171">
      <w:pPr>
        <w:adjustRightInd w:val="0"/>
        <w:snapToGrid w:val="0"/>
        <w:spacing w:line="360" w:lineRule="auto"/>
        <w:jc w:val="both"/>
        <w:rPr>
          <w:rFonts w:ascii="Book Antiqua" w:hAnsi="Book Antiqua"/>
        </w:rPr>
      </w:pPr>
    </w:p>
    <w:p w14:paraId="61FFC9BE"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2CEB78D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aimed to evaluate the impact of endoscopic procedures on the risk of transmission to patients and PEU in a European multicenter study, using telephone contact as a </w:t>
      </w:r>
      <w:r>
        <w:rPr>
          <w:rFonts w:ascii="Book Antiqua" w:eastAsia="Book Antiqua" w:hAnsi="Book Antiqua" w:cs="Book Antiqua"/>
          <w:color w:val="000000"/>
        </w:rPr>
        <w:t>tool as suggested by the ESGE and ESGENA.</w:t>
      </w:r>
    </w:p>
    <w:p w14:paraId="6087520D" w14:textId="77777777" w:rsidR="006F0171" w:rsidRDefault="006F0171">
      <w:pPr>
        <w:adjustRightInd w:val="0"/>
        <w:snapToGrid w:val="0"/>
        <w:spacing w:line="360" w:lineRule="auto"/>
        <w:jc w:val="both"/>
        <w:rPr>
          <w:rFonts w:ascii="Book Antiqua" w:hAnsi="Book Antiqua"/>
        </w:rPr>
      </w:pPr>
    </w:p>
    <w:p w14:paraId="4263B24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05BB7423"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Patients undergoing endoscopy in nine endoscopy departments across six European countries during the period of the first European lockdown for COVID-19 (March-May 2020) were included. Participants</w:t>
      </w:r>
      <w:r>
        <w:rPr>
          <w:rFonts w:ascii="Book Antiqua" w:eastAsia="Book Antiqua" w:hAnsi="Book Antiqua" w:cs="Book Antiqua"/>
          <w:color w:val="000000"/>
        </w:rPr>
        <w:t xml:space="preserve"> were stratified as low- or high-risk for potential COVID-19 infection according to the ESGE/ESGENA joint statement were contacted 7 d and 14 d later to assess COVID-19 infection status. PEU were questioned regarding COVID-19 symptoms and/or infection by q</w:t>
      </w:r>
      <w:r>
        <w:rPr>
          <w:rFonts w:ascii="Book Antiqua" w:eastAsia="Book Antiqua" w:hAnsi="Book Antiqua" w:cs="Book Antiqua"/>
          <w:color w:val="000000"/>
        </w:rPr>
        <w:t>uestionnaire. Information on hospitalizations, ICU-admissions, and COVID-19-related deaths were collected. The number of weekly endoscopies during the lockdown period was also recorded.</w:t>
      </w:r>
    </w:p>
    <w:p w14:paraId="03631F7C" w14:textId="77777777" w:rsidR="006F0171" w:rsidRDefault="006F0171">
      <w:pPr>
        <w:adjustRightInd w:val="0"/>
        <w:snapToGrid w:val="0"/>
        <w:spacing w:line="360" w:lineRule="auto"/>
        <w:jc w:val="both"/>
        <w:rPr>
          <w:rFonts w:ascii="Book Antiqua" w:hAnsi="Book Antiqua"/>
        </w:rPr>
      </w:pPr>
    </w:p>
    <w:p w14:paraId="0CBB9771"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3AD70CB"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1267 endoscopies were performed in 1222 i</w:t>
      </w:r>
      <w:r>
        <w:rPr>
          <w:rFonts w:ascii="Book Antiqua" w:eastAsia="Book Antiqua" w:hAnsi="Book Antiqua" w:cs="Book Antiqua"/>
          <w:color w:val="000000"/>
        </w:rPr>
        <w:t>ndividuals; 87 (7%) were excluded following initial positive PCR testing. The remaining 1135 individuals were at low risk or PCR negative for COVID-19 before endoscopy, and of 254 (22.4%) who were tested post endoscopy, eight were eventually found positive</w:t>
      </w:r>
      <w:r>
        <w:rPr>
          <w:rFonts w:ascii="Book Antiqua" w:eastAsia="Book Antiqua" w:hAnsi="Book Antiqua" w:cs="Book Antiqua"/>
          <w:color w:val="000000"/>
        </w:rPr>
        <w:t xml:space="preserve">, resulting in an infection rate of 0.7% (95%CI: 0.2-0.12). The majority, (6/8, 75%) had undergone esophagogastroduodenoscopy. Data were available for 163 PEU, and 5 (3%; 95%CI: 0.4-5.7) tested positive during the study period. In 4 of the 5, or 2% of the </w:t>
      </w:r>
      <w:r>
        <w:rPr>
          <w:rFonts w:ascii="Book Antiqua" w:eastAsia="Book Antiqua" w:hAnsi="Book Antiqua" w:cs="Book Antiqua"/>
          <w:color w:val="000000"/>
        </w:rPr>
        <w:t>total, the infection was deemed relevant to their work environment. A decrease of 68.7% (95%CI: 64.8-72.7) in the number of endoscopies was recorded.</w:t>
      </w:r>
    </w:p>
    <w:p w14:paraId="7FCCCBB2" w14:textId="77777777" w:rsidR="006F0171" w:rsidRDefault="006F0171">
      <w:pPr>
        <w:adjustRightInd w:val="0"/>
        <w:snapToGrid w:val="0"/>
        <w:spacing w:line="360" w:lineRule="auto"/>
        <w:jc w:val="both"/>
        <w:rPr>
          <w:rFonts w:ascii="Book Antiqua" w:hAnsi="Book Antiqua"/>
        </w:rPr>
      </w:pPr>
    </w:p>
    <w:p w14:paraId="6EAF7574"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5C39E4D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showed that COVID-19 transmission in endoscopic units was highly unlikely</w:t>
      </w:r>
      <w:r>
        <w:rPr>
          <w:rFonts w:ascii="Book Antiqua" w:eastAsia="Book Antiqua" w:hAnsi="Book Antiqua" w:cs="Book Antiqua"/>
          <w:color w:val="000000"/>
        </w:rPr>
        <w:t xml:space="preserve"> during a lockdown setting, provided endoscopies were restricted to emergency cases and PPM were implemented.</w:t>
      </w:r>
    </w:p>
    <w:p w14:paraId="340CF621" w14:textId="77777777" w:rsidR="006F0171" w:rsidRDefault="006F0171">
      <w:pPr>
        <w:adjustRightInd w:val="0"/>
        <w:snapToGrid w:val="0"/>
        <w:spacing w:line="360" w:lineRule="auto"/>
        <w:jc w:val="both"/>
        <w:rPr>
          <w:rFonts w:ascii="Book Antiqua" w:hAnsi="Book Antiqua"/>
        </w:rPr>
      </w:pPr>
    </w:p>
    <w:p w14:paraId="704B2AA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0EB01A4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More robust data are definitely warranted to identify various clinical factors that contribute to an increased risk of endo</w:t>
      </w:r>
      <w:r>
        <w:rPr>
          <w:rFonts w:ascii="Book Antiqua" w:eastAsia="Book Antiqua" w:hAnsi="Book Antiqua" w:cs="Book Antiqua"/>
          <w:color w:val="000000"/>
          <w:shd w:val="clear" w:color="auto" w:fill="FFFFFF"/>
        </w:rPr>
        <w:t>scopy-related COVID-19 infection.</w:t>
      </w:r>
    </w:p>
    <w:p w14:paraId="14EC7534" w14:textId="77777777" w:rsidR="006F0171" w:rsidRDefault="006F0171">
      <w:pPr>
        <w:adjustRightInd w:val="0"/>
        <w:snapToGrid w:val="0"/>
        <w:spacing w:line="360" w:lineRule="auto"/>
        <w:jc w:val="both"/>
        <w:rPr>
          <w:rFonts w:ascii="Book Antiqua" w:hAnsi="Book Antiqua"/>
        </w:rPr>
      </w:pPr>
    </w:p>
    <w:p w14:paraId="4E58FED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47356BBA" w14:textId="77777777" w:rsidR="006F0171" w:rsidRDefault="0008126C">
      <w:pPr>
        <w:adjustRightInd w:val="0"/>
        <w:snapToGrid w:val="0"/>
        <w:spacing w:line="360" w:lineRule="auto"/>
        <w:jc w:val="both"/>
        <w:rPr>
          <w:rFonts w:ascii="Book Antiqua" w:hAnsi="Book Antiqua"/>
        </w:rPr>
      </w:pPr>
      <w:bookmarkStart w:id="3"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67728E71"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Liu P, </w:t>
      </w:r>
      <w:r>
        <w:rPr>
          <w:rFonts w:ascii="Book Antiqua" w:eastAsia="Book Antiqua" w:hAnsi="Book Antiqua" w:cs="Book Antiqua"/>
          <w:color w:val="000000"/>
        </w:rPr>
        <w:t xml:space="preserve">Shi XL, Chu YL, Zhang J, Xia J, Gao XZ, Qu T, Wang MY. SARS-CoV-2 induced diarrhoea as onset symptom in patient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1143-1144 [PMID: 32139552 DOI: 10.1136/gutjnl-2020-320891]</w:t>
      </w:r>
    </w:p>
    <w:p w14:paraId="30CF770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Gralnek IM</w:t>
      </w:r>
      <w:r>
        <w:rPr>
          <w:rFonts w:ascii="Book Antiqua" w:eastAsia="Book Antiqua" w:hAnsi="Book Antiqua" w:cs="Book Antiqua"/>
          <w:color w:val="000000"/>
        </w:rPr>
        <w:t>, Hassan C, Beilenhoff U, Antonelli G, Ebigb</w:t>
      </w:r>
      <w:r>
        <w:rPr>
          <w:rFonts w:ascii="Book Antiqua" w:eastAsia="Book Antiqua" w:hAnsi="Book Antiqua" w:cs="Book Antiqua"/>
          <w:color w:val="000000"/>
        </w:rPr>
        <w:t xml:space="preserve">o A, Pellisè M, Arvanitakis M, Bhandari P, Bisschops R, Van Hooft JE, Kaminski MF, Triantafyllou K, Webster G, Pohl H, Dunkley I, Fehrke B, Gazic M, Gjergek T, Maasen S, Waagenes W, de Pater M, Ponchon T, Siersema PD, Messmann H, Dinis-Ribeiro M. ESGE and </w:t>
      </w:r>
      <w:r>
        <w:rPr>
          <w:rFonts w:ascii="Book Antiqua" w:eastAsia="Book Antiqua" w:hAnsi="Book Antiqua" w:cs="Book Antiqua"/>
          <w:color w:val="000000"/>
        </w:rPr>
        <w:t xml:space="preserve">ESGENA Position Statement on gastrointestinal endoscopy and the COVID-19 pandemic.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483-490 [PMID: 32303090 DOI: 10.1055/a-1155-6229]</w:t>
      </w:r>
    </w:p>
    <w:p w14:paraId="2215B8DC"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Repici A</w:t>
      </w:r>
      <w:r>
        <w:rPr>
          <w:rFonts w:ascii="Book Antiqua" w:eastAsia="Book Antiqua" w:hAnsi="Book Antiqua" w:cs="Book Antiqua"/>
          <w:color w:val="000000"/>
        </w:rPr>
        <w:t>, Maselli R, Colombo M, Gabbiadini R, Spadaccini M, Anderloni A, Carrara S, Fugazza A, Di Leo</w:t>
      </w:r>
      <w:r>
        <w:rPr>
          <w:rFonts w:ascii="Book Antiqua" w:eastAsia="Book Antiqua" w:hAnsi="Book Antiqua" w:cs="Book Antiqua"/>
          <w:color w:val="000000"/>
        </w:rPr>
        <w:t xml:space="preserve"> M, Galtieri PA, Pellegatta G, Ferrara EC, Azzolini E, Lagioia M. Coronavirus (COVID-19) outbreak: what the department of endoscopy should know.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192-197 [PMID: 32179106 DOI: 10.1016/j.gie.2020.03.019]</w:t>
      </w:r>
    </w:p>
    <w:p w14:paraId="366192A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Lui RN</w:t>
      </w:r>
      <w:r>
        <w:rPr>
          <w:rFonts w:ascii="Book Antiqua" w:eastAsia="Book Antiqua" w:hAnsi="Book Antiqua" w:cs="Book Antiqua"/>
          <w:color w:val="000000"/>
        </w:rPr>
        <w:t>. Safety in Endos</w:t>
      </w:r>
      <w:r>
        <w:rPr>
          <w:rFonts w:ascii="Book Antiqua" w:eastAsia="Book Antiqua" w:hAnsi="Book Antiqua" w:cs="Book Antiqua"/>
          <w:color w:val="000000"/>
        </w:rPr>
        <w:t xml:space="preserve">copy for Patients and Healthcare Workers During the COVID-19 Pandemic. </w:t>
      </w:r>
      <w:r>
        <w:rPr>
          <w:rFonts w:ascii="Book Antiqua" w:eastAsia="Book Antiqua" w:hAnsi="Book Antiqua" w:cs="Book Antiqua"/>
          <w:i/>
          <w:iCs/>
          <w:color w:val="000000"/>
        </w:rPr>
        <w:t>Tech Innov 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170-178 [PMID: 33103130 DOI: 10.1016/j.tige.2020.10.004]</w:t>
      </w:r>
    </w:p>
    <w:p w14:paraId="58451758"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Repici A</w:t>
      </w:r>
      <w:r>
        <w:rPr>
          <w:rFonts w:ascii="Book Antiqua" w:eastAsia="Book Antiqua" w:hAnsi="Book Antiqua" w:cs="Book Antiqua"/>
          <w:color w:val="000000"/>
        </w:rPr>
        <w:t xml:space="preserve">, Aragona G, Cengia G, Cantù P, Spadaccini M, Maselli R, Carrara S, Anderloni A, Fugazza A, Pace F, Rösch T; ITALIAN GI-COVID19 Working Group. Low risk of COVID-19 transmission in GI endoscopy.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1925-1927 [PMID: 32321857 DOI: 10.1136/gutjnl-20</w:t>
      </w:r>
      <w:r>
        <w:rPr>
          <w:rFonts w:ascii="Book Antiqua" w:eastAsia="Book Antiqua" w:hAnsi="Book Antiqua" w:cs="Book Antiqua"/>
          <w:color w:val="000000"/>
        </w:rPr>
        <w:t>20-321341]</w:t>
      </w:r>
    </w:p>
    <w:p w14:paraId="6D9D67A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Ang TL</w:t>
      </w:r>
      <w:r>
        <w:rPr>
          <w:rFonts w:ascii="Book Antiqua" w:eastAsia="Book Antiqua" w:hAnsi="Book Antiqua" w:cs="Book Antiqua"/>
          <w:color w:val="000000"/>
        </w:rPr>
        <w:t xml:space="preserve">. Gastrointestinal endoscopy during COVID-19 pandemic.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701-702 [PMID: 32216110 DOI: 10.1111/jgh.15048]</w:t>
      </w:r>
    </w:p>
    <w:p w14:paraId="4A9E65F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Tian Y</w:t>
      </w:r>
      <w:r>
        <w:rPr>
          <w:rFonts w:ascii="Book Antiqua" w:eastAsia="Book Antiqua" w:hAnsi="Book Antiqua" w:cs="Book Antiqua"/>
          <w:color w:val="000000"/>
        </w:rPr>
        <w:t>, Rong L, Nian W, He Y. Review article: gastrointestinal features in COVID-19 and the possib</w:t>
      </w:r>
      <w:r>
        <w:rPr>
          <w:rFonts w:ascii="Book Antiqua" w:eastAsia="Book Antiqua" w:hAnsi="Book Antiqua" w:cs="Book Antiqua"/>
          <w:color w:val="000000"/>
        </w:rPr>
        <w:t xml:space="preserve">ility of faecal transmission.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843-851 [PMID: 32222988 DOI: 10.1111/apt.15731]</w:t>
      </w:r>
    </w:p>
    <w:p w14:paraId="39BA3E3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Ginès À</w:t>
      </w:r>
      <w:r>
        <w:rPr>
          <w:rFonts w:ascii="Book Antiqua" w:eastAsia="Book Antiqua" w:hAnsi="Book Antiqua" w:cs="Book Antiqua"/>
          <w:color w:val="000000"/>
        </w:rPr>
        <w:t>, Fernández-Esparrach G, Pellisé M, Sendino O, Balaguer F, Llach J, González-Suárez B, Saló S. Critical importance of early introduction</w:t>
      </w:r>
      <w:r>
        <w:rPr>
          <w:rFonts w:ascii="Book Antiqua" w:eastAsia="Book Antiqua" w:hAnsi="Book Antiqua" w:cs="Book Antiqua"/>
          <w:color w:val="000000"/>
        </w:rPr>
        <w:t xml:space="preserve"> of prevention measures for SARS-CoV-2 infection in endoscopy units.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936-937 [PMID: 32553570 DOI: 10.1016/j.gie.2020.06.023]</w:t>
      </w:r>
    </w:p>
    <w:p w14:paraId="38F2D35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Rodrigues-Pinto E</w:t>
      </w:r>
      <w:r>
        <w:rPr>
          <w:rFonts w:ascii="Book Antiqua" w:eastAsia="Book Antiqua" w:hAnsi="Book Antiqua" w:cs="Book Antiqua"/>
          <w:color w:val="000000"/>
        </w:rPr>
        <w:t>, Ferreira-Silva J, Fugazza A, Capogreco A, Repici A, Everett S, Albers D, Schuma</w:t>
      </w:r>
      <w:r>
        <w:rPr>
          <w:rFonts w:ascii="Book Antiqua" w:eastAsia="Book Antiqua" w:hAnsi="Book Antiqua" w:cs="Book Antiqua"/>
          <w:color w:val="000000"/>
        </w:rPr>
        <w:t xml:space="preserve">cher B, Gines A, Siersema PD, Macedo G. Upper gastrointestinal stenting during the SARS-CoV-2 outbreak: impact of mitigation measures and risk of contamination for patients and staff.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E76-E86 [PMID: 33403239 DOI: 10.1055/a-1319-120</w:t>
      </w:r>
      <w:r>
        <w:rPr>
          <w:rFonts w:ascii="Book Antiqua" w:eastAsia="Book Antiqua" w:hAnsi="Book Antiqua" w:cs="Book Antiqua"/>
          <w:color w:val="000000"/>
        </w:rPr>
        <w:t>1]</w:t>
      </w:r>
    </w:p>
    <w:p w14:paraId="56A2DCB7"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Miyake S</w:t>
      </w:r>
      <w:r>
        <w:rPr>
          <w:rFonts w:ascii="Book Antiqua" w:eastAsia="Book Antiqua" w:hAnsi="Book Antiqua" w:cs="Book Antiqua"/>
          <w:color w:val="000000"/>
        </w:rPr>
        <w:t>, Ashikari K, Kato S, Takatsu T, Kuwashima H, Kaneko H, Nagai K, Watari I, Sato T, Yamaoka Y, Yamamoto T, Ryo A, Maeda S, Nakajima A, Higurashi T. Severe acute respiratory syndrome coronavirus 2 prevalence in saliva and gastric and intestinal</w:t>
      </w:r>
      <w:r>
        <w:rPr>
          <w:rFonts w:ascii="Book Antiqua" w:eastAsia="Book Antiqua" w:hAnsi="Book Antiqua" w:cs="Book Antiqua"/>
          <w:color w:val="000000"/>
        </w:rPr>
        <w:t xml:space="preserve"> fluid in patients undergoing gastrointestinal endoscopy in coronavirus disease 2019 endemic areas: Prospective cross-sectional study in Japan.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2021</w:t>
      </w:r>
      <w:r>
        <w:rPr>
          <w:rFonts w:ascii="Book Antiqua" w:hAnsi="Book Antiqua"/>
        </w:rPr>
        <w:t xml:space="preserve"> </w:t>
      </w:r>
      <w:r>
        <w:rPr>
          <w:rFonts w:ascii="Book Antiqua" w:eastAsia="Book Antiqua" w:hAnsi="Book Antiqua" w:cs="Book Antiqua"/>
          <w:color w:val="000000"/>
        </w:rPr>
        <w:t>epub ahead of print [PMID: 33548095 DOI: 10.1111/den.13945]</w:t>
      </w:r>
    </w:p>
    <w:p w14:paraId="40FA3B1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Goenka M</w:t>
      </w:r>
      <w:r>
        <w:rPr>
          <w:rFonts w:ascii="Book Antiqua" w:eastAsia="Book Antiqua" w:hAnsi="Book Antiqua" w:cs="Book Antiqua"/>
          <w:color w:val="000000"/>
        </w:rPr>
        <w:t>, Bharat Shah B, Go</w:t>
      </w:r>
      <w:r>
        <w:rPr>
          <w:rFonts w:ascii="Book Antiqua" w:eastAsia="Book Antiqua" w:hAnsi="Book Antiqua" w:cs="Book Antiqua"/>
          <w:color w:val="000000"/>
        </w:rPr>
        <w:t>enka U, Das SS, Afzalpurkar S, Mukherjee M, Patil VU, Jajodia S, Ashokrao Rodge G, Khan U, Bandopadhyay S. COVID-19 prevalence among health-care workers of Gastroenterology department: An audit from a tertiary-care hospital in India.</w:t>
      </w:r>
      <w:r>
        <w:rPr>
          <w:rFonts w:ascii="Book Antiqua" w:eastAsia="Book Antiqua" w:hAnsi="Book Antiqua" w:cs="Book Antiqua"/>
          <w:i/>
          <w:iCs/>
          <w:color w:val="000000"/>
        </w:rPr>
        <w:t xml:space="preserve"> JGH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56-6</w:t>
      </w:r>
      <w:r>
        <w:rPr>
          <w:rFonts w:ascii="Book Antiqua" w:eastAsia="Book Antiqua" w:hAnsi="Book Antiqua" w:cs="Book Antiqua"/>
          <w:color w:val="000000"/>
        </w:rPr>
        <w:t>3 [PMID: 33490614 DOI: 10.1002/jgh3.12447]</w:t>
      </w:r>
    </w:p>
    <w:p w14:paraId="5AB99654"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Bhandari P</w:t>
      </w:r>
      <w:r>
        <w:rPr>
          <w:rFonts w:ascii="Book Antiqua" w:eastAsia="Book Antiqua" w:hAnsi="Book Antiqua" w:cs="Book Antiqua"/>
          <w:color w:val="000000"/>
        </w:rPr>
        <w:t>, Subramaniam S, Bourke MJ, Alkandari A, Chiu PWY, Brown JF, Keswani RN, Bisschops R, Hassan C, Raju GS, Muthusamy VR, Sethi A, May GR, Albéniz E, Bruno M, Kaminski MF, Alkhatry M, Almadi M, Ibrahim M</w:t>
      </w:r>
      <w:r>
        <w:rPr>
          <w:rFonts w:ascii="Book Antiqua" w:eastAsia="Book Antiqua" w:hAnsi="Book Antiqua" w:cs="Book Antiqua"/>
          <w:color w:val="000000"/>
        </w:rPr>
        <w:t>, Emura F, Moura E, Navarrete C, Wulfson A, Khor C, Ponnudurai R, Inoue H, Saito Y, Yahagi N, Kashin S, Nikonov E, Yu H, Maydeo AP, Reddy DN, Wallace MB, Pochapin MB, Rösch T, Sharma P, Repici A. Recovery of endoscopy services in the era of COVID-19: recom</w:t>
      </w:r>
      <w:r>
        <w:rPr>
          <w:rFonts w:ascii="Book Antiqua" w:eastAsia="Book Antiqua" w:hAnsi="Book Antiqua" w:cs="Book Antiqua"/>
          <w:color w:val="000000"/>
        </w:rPr>
        <w:t xml:space="preserve">mendations from an international Delphi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1915-1924 [PMID: 32816921 DOI: 10.1136/gutjnl-2020-322329]</w:t>
      </w:r>
    </w:p>
    <w:p w14:paraId="1CC8FE77" w14:textId="77777777" w:rsidR="006F0171" w:rsidRDefault="0008126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Gupta S</w:t>
      </w:r>
      <w:r>
        <w:rPr>
          <w:rFonts w:ascii="Book Antiqua" w:eastAsia="Book Antiqua" w:hAnsi="Book Antiqua" w:cs="Book Antiqua"/>
          <w:color w:val="000000"/>
        </w:rPr>
        <w:t>, Shahidi N, Gilroy N, Rex DK, Burgess NG, Bourke MJ. Proposal for the return to routine endoscopy during the COVID-19 pan</w:t>
      </w:r>
      <w:r>
        <w:rPr>
          <w:rFonts w:ascii="Book Antiqua" w:eastAsia="Book Antiqua" w:hAnsi="Book Antiqua" w:cs="Book Antiqua"/>
          <w:color w:val="000000"/>
        </w:rPr>
        <w:t xml:space="preserve">demic.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735-742 [PMID: 32360301 DOI: 10.1016/j.gie.2020.04.050]</w:t>
      </w:r>
    </w:p>
    <w:p w14:paraId="65D6EEEC"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Hennessy B</w:t>
      </w:r>
      <w:r>
        <w:rPr>
          <w:rFonts w:ascii="Book Antiqua" w:eastAsia="Book Antiqua" w:hAnsi="Book Antiqua" w:cs="Book Antiqua"/>
          <w:color w:val="000000"/>
        </w:rPr>
        <w:t xml:space="preserve">, Vicari J, Bernstein B, Chapman F, Khaykis I, Littenberg G, Robbins D. Guidance for resuming GI endoscopy and practice operations after the COVID-19 pandemic.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743-747 [PMID: 32437712 DOI: 10.1016/j.gie.2020.05.006]</w:t>
      </w:r>
    </w:p>
    <w:bookmarkEnd w:id="3"/>
    <w:p w14:paraId="0198CFD2" w14:textId="77777777" w:rsidR="006F0171" w:rsidRDefault="006F0171">
      <w:pPr>
        <w:adjustRightInd w:val="0"/>
        <w:snapToGrid w:val="0"/>
        <w:spacing w:line="360" w:lineRule="auto"/>
        <w:jc w:val="both"/>
        <w:rPr>
          <w:rFonts w:ascii="Book Antiqua" w:hAnsi="Book Antiqua"/>
        </w:rPr>
        <w:sectPr w:rsidR="006F0171">
          <w:pgSz w:w="12240" w:h="15840"/>
          <w:pgMar w:top="1440" w:right="1440" w:bottom="1440" w:left="1440" w:header="720" w:footer="720" w:gutter="0"/>
          <w:cols w:space="720"/>
          <w:docGrid w:linePitch="360"/>
        </w:sectPr>
      </w:pPr>
    </w:p>
    <w:p w14:paraId="5E6956F9"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w:t>
      </w:r>
      <w:r>
        <w:rPr>
          <w:rFonts w:ascii="Book Antiqua" w:eastAsia="Book Antiqua" w:hAnsi="Book Antiqua" w:cs="Book Antiqua"/>
          <w:b/>
          <w:color w:val="000000"/>
        </w:rPr>
        <w:t>otnotes</w:t>
      </w:r>
    </w:p>
    <w:p w14:paraId="0A3A6454"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protocol of this study was reviewed and approved by the local institutional review board (BΠΠΚ EBΔ 320/10-6-20). The study was conducted in accord with the ethical principles of the Declaration of Helsinki </w:t>
      </w:r>
      <w:r>
        <w:rPr>
          <w:rFonts w:ascii="Book Antiqua" w:eastAsia="Book Antiqua" w:hAnsi="Book Antiqua" w:cs="Book Antiqua"/>
          <w:color w:val="000000"/>
        </w:rPr>
        <w:t>and in compliance with good clinical practice.</w:t>
      </w:r>
    </w:p>
    <w:p w14:paraId="7D27AF99" w14:textId="77777777" w:rsidR="006F0171" w:rsidRDefault="006F0171">
      <w:pPr>
        <w:adjustRightInd w:val="0"/>
        <w:snapToGrid w:val="0"/>
        <w:spacing w:line="360" w:lineRule="auto"/>
        <w:jc w:val="both"/>
        <w:rPr>
          <w:rFonts w:ascii="Book Antiqua" w:hAnsi="Book Antiqua"/>
        </w:rPr>
      </w:pPr>
    </w:p>
    <w:p w14:paraId="76886C8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AB953AF" w14:textId="77777777" w:rsidR="006F0171" w:rsidRDefault="006F0171">
      <w:pPr>
        <w:adjustRightInd w:val="0"/>
        <w:snapToGrid w:val="0"/>
        <w:spacing w:line="360" w:lineRule="auto"/>
        <w:jc w:val="both"/>
        <w:rPr>
          <w:rFonts w:ascii="Book Antiqua" w:hAnsi="Book Antiqua"/>
        </w:rPr>
      </w:pPr>
    </w:p>
    <w:p w14:paraId="62CC4128"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w:t>
      </w:r>
      <w:r>
        <w:rPr>
          <w:rFonts w:ascii="Book Antiqua" w:eastAsia="Book Antiqua" w:hAnsi="Book Antiqua" w:cs="Book Antiqua"/>
          <w:color w:val="000000"/>
        </w:rPr>
        <w:t xml:space="preserve"> conflicting interests.</w:t>
      </w:r>
    </w:p>
    <w:p w14:paraId="50EC7A8A" w14:textId="77777777" w:rsidR="006F0171" w:rsidRDefault="006F0171">
      <w:pPr>
        <w:adjustRightInd w:val="0"/>
        <w:snapToGrid w:val="0"/>
        <w:spacing w:line="360" w:lineRule="auto"/>
        <w:jc w:val="both"/>
        <w:rPr>
          <w:rFonts w:ascii="Book Antiqua" w:hAnsi="Book Antiqua"/>
        </w:rPr>
      </w:pPr>
    </w:p>
    <w:p w14:paraId="1B25E643"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7FF61EC" w14:textId="77777777" w:rsidR="006F0171" w:rsidRDefault="006F0171">
      <w:pPr>
        <w:adjustRightInd w:val="0"/>
        <w:snapToGrid w:val="0"/>
        <w:spacing w:line="360" w:lineRule="auto"/>
        <w:jc w:val="both"/>
        <w:rPr>
          <w:rFonts w:ascii="Book Antiqua" w:hAnsi="Book Antiqua"/>
        </w:rPr>
      </w:pPr>
    </w:p>
    <w:p w14:paraId="3B5C5C72" w14:textId="77777777" w:rsidR="006F0171" w:rsidRDefault="0008126C">
      <w:pPr>
        <w:adjustRightInd w:val="0"/>
        <w:snapToGrid w:val="0"/>
        <w:spacing w:line="360" w:lineRule="auto"/>
        <w:jc w:val="both"/>
        <w:rPr>
          <w:rFonts w:ascii="Book Antiqua" w:hAnsi="Book Antiqua"/>
        </w:rPr>
      </w:pPr>
      <w:bookmarkStart w:id="4" w:name="_Hlk75446451"/>
      <w:r>
        <w:rPr>
          <w:rFonts w:ascii="Book Antiqua" w:eastAsia="Book Antiqua" w:hAnsi="Book Antiqua" w:cs="Book Antiqua"/>
          <w:b/>
          <w:bCs/>
          <w:color w:val="000000"/>
        </w:rPr>
        <w:t>STROBE statement</w:t>
      </w:r>
      <w:bookmarkEnd w:id="4"/>
      <w:r>
        <w:rPr>
          <w:rFonts w:ascii="Book Antiqua" w:eastAsia="Book Antiqua" w:hAnsi="Book Antiqua" w:cs="Book Antiqua"/>
          <w:b/>
          <w:bCs/>
          <w:color w:val="000000"/>
        </w:rPr>
        <w:t xml:space="preserve">: </w:t>
      </w:r>
      <w:r>
        <w:rPr>
          <w:rFonts w:ascii="Book Antiqua" w:hAnsi="Book Antiqua"/>
          <w:color w:val="000000"/>
        </w:rPr>
        <w:t>The authors have read the STROBE statement, and the manuscript was prepared and revised according to the STROBE statement.</w:t>
      </w:r>
    </w:p>
    <w:p w14:paraId="615366B7" w14:textId="77777777" w:rsidR="006F0171" w:rsidRDefault="006F0171">
      <w:pPr>
        <w:adjustRightInd w:val="0"/>
        <w:snapToGrid w:val="0"/>
        <w:spacing w:line="360" w:lineRule="auto"/>
        <w:jc w:val="both"/>
        <w:rPr>
          <w:rFonts w:ascii="Book Antiqua" w:hAnsi="Book Antiqua"/>
        </w:rPr>
      </w:pPr>
    </w:p>
    <w:p w14:paraId="57986A7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w:t>
      </w:r>
      <w:r>
        <w:rPr>
          <w:rFonts w:ascii="Book Antiqua" w:eastAsia="Book Antiqua" w:hAnsi="Book Antiqua" w:cs="Book Antiqua"/>
          <w:color w:val="000000"/>
        </w:rPr>
        <w:t>n open-access article that was selected by an in-house editor and fully peer-reviewed by external reviewers. It is distributed in accordance with the Creative Commons Attribution NonCommercial (CC BY-NC 4.0) license, which permits others to distribute, rem</w:t>
      </w:r>
      <w:r>
        <w:rPr>
          <w:rFonts w:ascii="Book Antiqua" w:eastAsia="Book Antiqua" w:hAnsi="Book Antiqua" w:cs="Book Antiqua"/>
          <w:color w:val="000000"/>
        </w:rPr>
        <w:t>ix, adapt, build upon this work non-commercially, and license their derivative works on different terms, provided the original work is properly cited and the use is non-commercial. See: http://creativecommons.org/Licenses/by-nc/4.0/</w:t>
      </w:r>
    </w:p>
    <w:p w14:paraId="0D3A792F" w14:textId="77777777" w:rsidR="006F0171" w:rsidRDefault="006F0171">
      <w:pPr>
        <w:adjustRightInd w:val="0"/>
        <w:snapToGrid w:val="0"/>
        <w:spacing w:line="360" w:lineRule="auto"/>
        <w:jc w:val="both"/>
        <w:rPr>
          <w:rFonts w:ascii="Book Antiqua" w:hAnsi="Book Antiqua"/>
        </w:rPr>
      </w:pPr>
    </w:p>
    <w:p w14:paraId="1747BAE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w:t>
      </w:r>
      <w:r>
        <w:rPr>
          <w:rFonts w:ascii="Book Antiqua" w:eastAsia="Book Antiqua" w:hAnsi="Book Antiqua" w:cs="Book Antiqua"/>
          <w:color w:val="000000"/>
        </w:rPr>
        <w:t>ited manuscript</w:t>
      </w:r>
    </w:p>
    <w:p w14:paraId="35D9AD39" w14:textId="77777777" w:rsidR="006F0171" w:rsidRDefault="006F0171">
      <w:pPr>
        <w:adjustRightInd w:val="0"/>
        <w:snapToGrid w:val="0"/>
        <w:spacing w:line="360" w:lineRule="auto"/>
        <w:jc w:val="both"/>
        <w:rPr>
          <w:rFonts w:ascii="Book Antiqua" w:hAnsi="Book Antiqua"/>
        </w:rPr>
      </w:pPr>
    </w:p>
    <w:p w14:paraId="7AD728DD"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2B47993A"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74CE121F"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宋体" w:hAnsi="Book Antiqua"/>
          <w:color w:val="000000" w:themeColor="text1"/>
        </w:rPr>
        <w:t xml:space="preserve"> J</w:t>
      </w:r>
      <w:r>
        <w:rPr>
          <w:rFonts w:ascii="Book Antiqua" w:eastAsia="宋体" w:hAnsi="Book Antiqua" w:hint="eastAsia"/>
          <w:color w:val="000000" w:themeColor="text1"/>
        </w:rPr>
        <w:t>u</w:t>
      </w:r>
      <w:r>
        <w:rPr>
          <w:rFonts w:ascii="Book Antiqua" w:eastAsia="宋体" w:hAnsi="Book Antiqua"/>
          <w:color w:val="000000" w:themeColor="text1"/>
        </w:rPr>
        <w:t>ly 21, 2021</w:t>
      </w:r>
    </w:p>
    <w:p w14:paraId="209A171D" w14:textId="77777777" w:rsidR="006F0171" w:rsidRDefault="006F0171">
      <w:pPr>
        <w:adjustRightInd w:val="0"/>
        <w:snapToGrid w:val="0"/>
        <w:spacing w:line="360" w:lineRule="auto"/>
        <w:jc w:val="both"/>
        <w:rPr>
          <w:rFonts w:ascii="Book Antiqua" w:hAnsi="Book Antiqua"/>
        </w:rPr>
      </w:pPr>
    </w:p>
    <w:p w14:paraId="52758415"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 hepatology</w:t>
      </w:r>
    </w:p>
    <w:p w14:paraId="0158FD9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4E0522CE"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report’s scientific quality </w:t>
      </w:r>
      <w:r>
        <w:rPr>
          <w:rFonts w:ascii="Book Antiqua" w:eastAsia="Book Antiqua" w:hAnsi="Book Antiqua" w:cs="Book Antiqua"/>
          <w:b/>
          <w:color w:val="000000"/>
        </w:rPr>
        <w:t>classification</w:t>
      </w:r>
    </w:p>
    <w:p w14:paraId="36152556"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44613C8"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F71BAB1"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 C</w:t>
      </w:r>
    </w:p>
    <w:p w14:paraId="79140CBC"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D</w:t>
      </w:r>
    </w:p>
    <w:p w14:paraId="113992FE"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8C8D624" w14:textId="77777777" w:rsidR="006F0171" w:rsidRDefault="006F0171">
      <w:pPr>
        <w:adjustRightInd w:val="0"/>
        <w:snapToGrid w:val="0"/>
        <w:spacing w:line="360" w:lineRule="auto"/>
        <w:jc w:val="both"/>
        <w:rPr>
          <w:rFonts w:ascii="Book Antiqua" w:hAnsi="Book Antiqua"/>
        </w:rPr>
      </w:pPr>
    </w:p>
    <w:p w14:paraId="7BCC01EF" w14:textId="77777777" w:rsidR="006F0171" w:rsidRDefault="0008126C">
      <w:pPr>
        <w:adjustRightInd w:val="0"/>
        <w:snapToGrid w:val="0"/>
        <w:spacing w:line="360" w:lineRule="auto"/>
        <w:jc w:val="both"/>
        <w:rPr>
          <w:rFonts w:ascii="Book Antiqua" w:hAnsi="Book Antiqua"/>
          <w:bCs/>
        </w:rPr>
        <w:sectPr w:rsidR="006F017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El-Arabey AA, Kamran M, Sánchez de Medina LH F, Şehirli AÖ</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Wang LYT</w:t>
      </w:r>
    </w:p>
    <w:p w14:paraId="5C732C60" w14:textId="77777777" w:rsidR="006F0171" w:rsidRDefault="0008126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w:t>
      </w:r>
      <w:r>
        <w:rPr>
          <w:rFonts w:ascii="Book Antiqua" w:eastAsia="Book Antiqua" w:hAnsi="Book Antiqua" w:cs="Book Antiqua"/>
          <w:b/>
          <w:color w:val="000000"/>
        </w:rPr>
        <w:t>igure Legends</w:t>
      </w:r>
    </w:p>
    <w:p w14:paraId="497A5722" w14:textId="77777777" w:rsidR="006F0171" w:rsidRDefault="0008126C">
      <w:pPr>
        <w:adjustRightInd w:val="0"/>
        <w:snapToGrid w:val="0"/>
        <w:spacing w:line="360" w:lineRule="auto"/>
        <w:jc w:val="both"/>
        <w:rPr>
          <w:rFonts w:ascii="Book Antiqua" w:hAnsi="Book Antiqua"/>
        </w:rPr>
      </w:pPr>
      <w:r>
        <w:rPr>
          <w:rFonts w:ascii="Book Antiqua" w:hAnsi="Book Antiqua"/>
          <w:noProof/>
          <w:lang w:val="en-GB" w:eastAsia="en-GB"/>
        </w:rPr>
        <w:drawing>
          <wp:inline distT="0" distB="0" distL="0" distR="0" wp14:anchorId="4B4AFF03" wp14:editId="1725E3A5">
            <wp:extent cx="5019040" cy="3501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21476" cy="3503083"/>
                    </a:xfrm>
                    <a:prstGeom prst="rect">
                      <a:avLst/>
                    </a:prstGeom>
                    <a:noFill/>
                  </pic:spPr>
                </pic:pic>
              </a:graphicData>
            </a:graphic>
          </wp:inline>
        </w:drawing>
      </w:r>
    </w:p>
    <w:p w14:paraId="756DA1A5" w14:textId="77777777" w:rsidR="006F0171" w:rsidRDefault="0008126C">
      <w:pPr>
        <w:adjustRightInd w:val="0"/>
        <w:snapToGrid w:val="0"/>
        <w:spacing w:line="360" w:lineRule="auto"/>
        <w:jc w:val="both"/>
        <w:rPr>
          <w:rFonts w:ascii="Book Antiqua" w:eastAsia="Times New Roman" w:hAnsi="Book Antiqua"/>
          <w:bCs/>
        </w:rPr>
      </w:pPr>
      <w:r>
        <w:rPr>
          <w:rFonts w:ascii="Book Antiqua" w:eastAsia="Book Antiqua" w:hAnsi="Book Antiqua" w:cs="Book Antiqua"/>
          <w:b/>
          <w:bCs/>
          <w:color w:val="000000"/>
        </w:rPr>
        <w:t>Figure 1 Study flowchart.</w:t>
      </w:r>
      <w:r>
        <w:rPr>
          <w:rFonts w:ascii="Book Antiqua" w:eastAsia="Book Antiqua" w:hAnsi="Book Antiqua" w:cs="Book Antiqua"/>
          <w:color w:val="000000"/>
        </w:rPr>
        <w:t xml:space="preserve"> PCR: Polymerase chain reaction; </w:t>
      </w:r>
      <w:r>
        <w:rPr>
          <w:rFonts w:ascii="Book Antiqua" w:eastAsia="Times New Roman" w:hAnsi="Book Antiqua"/>
          <w:bCs/>
        </w:rPr>
        <w:t>SARS-CoV2: Severe acute respiratory syndrome coronavirus 2.</w:t>
      </w:r>
    </w:p>
    <w:p w14:paraId="09DF1F2C" w14:textId="77777777" w:rsidR="006F0171" w:rsidRDefault="006F0171">
      <w:pPr>
        <w:adjustRightInd w:val="0"/>
        <w:snapToGrid w:val="0"/>
        <w:spacing w:line="360" w:lineRule="auto"/>
        <w:jc w:val="both"/>
        <w:rPr>
          <w:rFonts w:ascii="Book Antiqua" w:eastAsia="Book Antiqua" w:hAnsi="Book Antiqua" w:cs="Book Antiqua"/>
          <w:color w:val="000000"/>
        </w:rPr>
      </w:pPr>
    </w:p>
    <w:p w14:paraId="4FBB8192" w14:textId="77777777" w:rsidR="006F0171" w:rsidRDefault="0008126C">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p>
    <w:p w14:paraId="6766ACC8" w14:textId="77777777" w:rsidR="006F0171" w:rsidRDefault="0008126C">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val="en-GB" w:eastAsia="en-GB"/>
        </w:rPr>
        <w:lastRenderedPageBreak/>
        <w:drawing>
          <wp:inline distT="0" distB="0" distL="0" distR="0" wp14:anchorId="239AE458" wp14:editId="0836CEAD">
            <wp:extent cx="5899150" cy="33178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10405" cy="3324564"/>
                    </a:xfrm>
                    <a:prstGeom prst="rect">
                      <a:avLst/>
                    </a:prstGeom>
                    <a:noFill/>
                  </pic:spPr>
                </pic:pic>
              </a:graphicData>
            </a:graphic>
          </wp:inline>
        </w:drawing>
      </w:r>
    </w:p>
    <w:p w14:paraId="68FF6053" w14:textId="77777777" w:rsidR="006F0171" w:rsidRDefault="0008126C">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Overall endoscopies 1 wk before and in the weeks during lockdown.</w:t>
      </w:r>
    </w:p>
    <w:p w14:paraId="281F5108" w14:textId="77777777" w:rsidR="006F0171" w:rsidRDefault="0008126C">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4746391" w14:textId="77777777" w:rsidR="006F0171" w:rsidRDefault="0008126C">
      <w:pPr>
        <w:adjustRightInd w:val="0"/>
        <w:snapToGrid w:val="0"/>
        <w:spacing w:line="360" w:lineRule="auto"/>
        <w:jc w:val="both"/>
        <w:rPr>
          <w:rFonts w:ascii="Book Antiqua" w:hAnsi="Book Antiqua"/>
          <w:b/>
        </w:rPr>
      </w:pPr>
      <w:r>
        <w:rPr>
          <w:rFonts w:ascii="Book Antiqua" w:hAnsi="Book Antiqua"/>
          <w:b/>
        </w:rPr>
        <w:lastRenderedPageBreak/>
        <w:t xml:space="preserve">Table 1 Baseline </w:t>
      </w:r>
      <w:r>
        <w:rPr>
          <w:rFonts w:ascii="Book Antiqua" w:hAnsi="Book Antiqua"/>
          <w:b/>
        </w:rPr>
        <w:t>characteristics of patients</w:t>
      </w:r>
    </w:p>
    <w:tbl>
      <w:tblPr>
        <w:tblStyle w:val="ad"/>
        <w:tblW w:w="90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549"/>
      </w:tblGrid>
      <w:tr w:rsidR="006F0171" w14:paraId="77C1184F" w14:textId="77777777">
        <w:trPr>
          <w:jc w:val="center"/>
        </w:trPr>
        <w:tc>
          <w:tcPr>
            <w:tcW w:w="5528" w:type="dxa"/>
            <w:tcBorders>
              <w:top w:val="single" w:sz="4" w:space="0" w:color="auto"/>
              <w:bottom w:val="single" w:sz="4" w:space="0" w:color="auto"/>
            </w:tcBorders>
          </w:tcPr>
          <w:p w14:paraId="101C8C58" w14:textId="77777777" w:rsidR="006F0171" w:rsidRDefault="0008126C">
            <w:pPr>
              <w:adjustRightInd w:val="0"/>
              <w:snapToGrid w:val="0"/>
              <w:spacing w:line="360" w:lineRule="auto"/>
              <w:jc w:val="both"/>
              <w:rPr>
                <w:rFonts w:ascii="Book Antiqua" w:hAnsi="Book Antiqua" w:cstheme="minorBidi"/>
                <w:b/>
              </w:rPr>
            </w:pPr>
            <w:r>
              <w:rPr>
                <w:rFonts w:ascii="Book Antiqua" w:hAnsi="Book Antiqua" w:cstheme="minorBidi"/>
                <w:b/>
              </w:rPr>
              <w:t>Patients characteristics</w:t>
            </w:r>
          </w:p>
        </w:tc>
        <w:tc>
          <w:tcPr>
            <w:tcW w:w="3549" w:type="dxa"/>
            <w:tcBorders>
              <w:top w:val="single" w:sz="4" w:space="0" w:color="auto"/>
              <w:bottom w:val="single" w:sz="4" w:space="0" w:color="auto"/>
            </w:tcBorders>
          </w:tcPr>
          <w:p w14:paraId="3240B734" w14:textId="77777777" w:rsidR="006F0171" w:rsidRDefault="006F0171">
            <w:pPr>
              <w:adjustRightInd w:val="0"/>
              <w:snapToGrid w:val="0"/>
              <w:spacing w:line="360" w:lineRule="auto"/>
              <w:jc w:val="both"/>
              <w:rPr>
                <w:rFonts w:ascii="Book Antiqua" w:hAnsi="Book Antiqua" w:cstheme="minorBidi"/>
                <w:b/>
              </w:rPr>
            </w:pPr>
          </w:p>
        </w:tc>
      </w:tr>
      <w:tr w:rsidR="006F0171" w14:paraId="325DCE0D" w14:textId="77777777">
        <w:trPr>
          <w:trHeight w:val="388"/>
          <w:jc w:val="center"/>
        </w:trPr>
        <w:tc>
          <w:tcPr>
            <w:tcW w:w="5528" w:type="dxa"/>
            <w:tcBorders>
              <w:top w:val="single" w:sz="4" w:space="0" w:color="auto"/>
              <w:bottom w:val="nil"/>
            </w:tcBorders>
          </w:tcPr>
          <w:p w14:paraId="45CE8769"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Male/female</w:t>
            </w:r>
          </w:p>
        </w:tc>
        <w:tc>
          <w:tcPr>
            <w:tcW w:w="3549" w:type="dxa"/>
            <w:tcBorders>
              <w:top w:val="single" w:sz="4" w:space="0" w:color="auto"/>
              <w:bottom w:val="nil"/>
            </w:tcBorders>
          </w:tcPr>
          <w:p w14:paraId="1F2D929A"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678 (59.7)/457 (40.3)</w:t>
            </w:r>
          </w:p>
        </w:tc>
      </w:tr>
      <w:tr w:rsidR="006F0171" w14:paraId="35389996" w14:textId="77777777">
        <w:trPr>
          <w:trHeight w:val="350"/>
          <w:jc w:val="center"/>
        </w:trPr>
        <w:tc>
          <w:tcPr>
            <w:tcW w:w="5528" w:type="dxa"/>
            <w:tcBorders>
              <w:top w:val="nil"/>
              <w:bottom w:val="nil"/>
            </w:tcBorders>
          </w:tcPr>
          <w:p w14:paraId="53B693B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Age (mean ± SD), yr</w:t>
            </w:r>
          </w:p>
        </w:tc>
        <w:tc>
          <w:tcPr>
            <w:tcW w:w="3549" w:type="dxa"/>
            <w:tcBorders>
              <w:top w:val="nil"/>
              <w:bottom w:val="nil"/>
            </w:tcBorders>
          </w:tcPr>
          <w:p w14:paraId="1E4E1998"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63.4 ± 14.5</w:t>
            </w:r>
          </w:p>
        </w:tc>
      </w:tr>
      <w:tr w:rsidR="006F0171" w14:paraId="0B9A74D8" w14:textId="77777777">
        <w:trPr>
          <w:trHeight w:val="338"/>
          <w:jc w:val="center"/>
        </w:trPr>
        <w:tc>
          <w:tcPr>
            <w:tcW w:w="5528" w:type="dxa"/>
            <w:tcBorders>
              <w:top w:val="nil"/>
              <w:bottom w:val="nil"/>
            </w:tcBorders>
          </w:tcPr>
          <w:p w14:paraId="5768E04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Inpatient</w:t>
            </w:r>
          </w:p>
        </w:tc>
        <w:tc>
          <w:tcPr>
            <w:tcW w:w="3549" w:type="dxa"/>
            <w:tcBorders>
              <w:top w:val="nil"/>
              <w:bottom w:val="nil"/>
            </w:tcBorders>
          </w:tcPr>
          <w:p w14:paraId="6D706332"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506 (44.6)</w:t>
            </w:r>
          </w:p>
        </w:tc>
      </w:tr>
      <w:tr w:rsidR="006F0171" w14:paraId="4946C504" w14:textId="77777777">
        <w:trPr>
          <w:trHeight w:val="313"/>
          <w:jc w:val="center"/>
        </w:trPr>
        <w:tc>
          <w:tcPr>
            <w:tcW w:w="5528" w:type="dxa"/>
            <w:tcBorders>
              <w:top w:val="nil"/>
              <w:bottom w:val="nil"/>
            </w:tcBorders>
          </w:tcPr>
          <w:p w14:paraId="3F8149B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Outpatient</w:t>
            </w:r>
          </w:p>
        </w:tc>
        <w:tc>
          <w:tcPr>
            <w:tcW w:w="3549" w:type="dxa"/>
            <w:tcBorders>
              <w:top w:val="nil"/>
              <w:bottom w:val="nil"/>
            </w:tcBorders>
          </w:tcPr>
          <w:p w14:paraId="5DF63471"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598 (52.7)</w:t>
            </w:r>
          </w:p>
        </w:tc>
      </w:tr>
      <w:tr w:rsidR="006F0171" w14:paraId="51899D58" w14:textId="77777777">
        <w:trPr>
          <w:trHeight w:val="307"/>
          <w:jc w:val="center"/>
        </w:trPr>
        <w:tc>
          <w:tcPr>
            <w:tcW w:w="5528" w:type="dxa"/>
            <w:tcBorders>
              <w:top w:val="nil"/>
              <w:bottom w:val="nil"/>
            </w:tcBorders>
          </w:tcPr>
          <w:p w14:paraId="3B010EDC"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Referral</w:t>
            </w:r>
          </w:p>
        </w:tc>
        <w:tc>
          <w:tcPr>
            <w:tcW w:w="3549" w:type="dxa"/>
            <w:tcBorders>
              <w:top w:val="nil"/>
              <w:bottom w:val="nil"/>
            </w:tcBorders>
          </w:tcPr>
          <w:p w14:paraId="32A3D0AF"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rPr>
              <w:t>31 (2.7)</w:t>
            </w:r>
          </w:p>
        </w:tc>
      </w:tr>
      <w:tr w:rsidR="006F0171" w14:paraId="12C0DC40" w14:textId="77777777">
        <w:trPr>
          <w:jc w:val="center"/>
        </w:trPr>
        <w:tc>
          <w:tcPr>
            <w:tcW w:w="5528" w:type="dxa"/>
            <w:tcBorders>
              <w:top w:val="nil"/>
            </w:tcBorders>
          </w:tcPr>
          <w:p w14:paraId="276615A8"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Recruitment per center</w:t>
            </w:r>
          </w:p>
        </w:tc>
        <w:tc>
          <w:tcPr>
            <w:tcW w:w="3549" w:type="dxa"/>
            <w:tcBorders>
              <w:top w:val="nil"/>
            </w:tcBorders>
          </w:tcPr>
          <w:p w14:paraId="12599BF6" w14:textId="77777777" w:rsidR="006F0171" w:rsidRDefault="006F0171">
            <w:pPr>
              <w:adjustRightInd w:val="0"/>
              <w:snapToGrid w:val="0"/>
              <w:spacing w:line="360" w:lineRule="auto"/>
              <w:jc w:val="both"/>
              <w:rPr>
                <w:rFonts w:ascii="Book Antiqua" w:hAnsi="Book Antiqua" w:cstheme="minorBidi"/>
                <w:bCs/>
              </w:rPr>
            </w:pPr>
          </w:p>
        </w:tc>
      </w:tr>
      <w:tr w:rsidR="006F0171" w14:paraId="638B5116" w14:textId="77777777">
        <w:trPr>
          <w:jc w:val="center"/>
        </w:trPr>
        <w:tc>
          <w:tcPr>
            <w:tcW w:w="5528" w:type="dxa"/>
          </w:tcPr>
          <w:p w14:paraId="0BCE395A"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"Attikon" Hospital, Athens, Greece</w:t>
            </w:r>
          </w:p>
        </w:tc>
        <w:tc>
          <w:tcPr>
            <w:tcW w:w="3549" w:type="dxa"/>
          </w:tcPr>
          <w:p w14:paraId="017AEAB8"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236 </w:t>
            </w:r>
            <w:r>
              <w:rPr>
                <w:rFonts w:ascii="Book Antiqua" w:hAnsi="Book Antiqua" w:cstheme="minorBidi"/>
                <w:bCs/>
              </w:rPr>
              <w:t>(20.8)</w:t>
            </w:r>
          </w:p>
        </w:tc>
      </w:tr>
      <w:tr w:rsidR="006F0171" w14:paraId="0F942937" w14:textId="77777777">
        <w:trPr>
          <w:jc w:val="center"/>
        </w:trPr>
        <w:tc>
          <w:tcPr>
            <w:tcW w:w="5528" w:type="dxa"/>
          </w:tcPr>
          <w:p w14:paraId="72B29454"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Aretaieio Hospital, Athens, Greece</w:t>
            </w:r>
          </w:p>
        </w:tc>
        <w:tc>
          <w:tcPr>
            <w:tcW w:w="3549" w:type="dxa"/>
          </w:tcPr>
          <w:p w14:paraId="47F14FEE"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42 (3.7)</w:t>
            </w:r>
          </w:p>
        </w:tc>
      </w:tr>
      <w:tr w:rsidR="006F0171" w14:paraId="33B291FC" w14:textId="77777777">
        <w:trPr>
          <w:jc w:val="center"/>
        </w:trPr>
        <w:tc>
          <w:tcPr>
            <w:tcW w:w="5528" w:type="dxa"/>
          </w:tcPr>
          <w:p w14:paraId="41FDEEF5"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Foggia, Italy</w:t>
            </w:r>
          </w:p>
        </w:tc>
        <w:tc>
          <w:tcPr>
            <w:tcW w:w="3549" w:type="dxa"/>
          </w:tcPr>
          <w:p w14:paraId="45C50DE3"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215 (18.9)</w:t>
            </w:r>
          </w:p>
        </w:tc>
      </w:tr>
      <w:tr w:rsidR="006F0171" w14:paraId="51FEE1BA" w14:textId="77777777">
        <w:trPr>
          <w:jc w:val="center"/>
        </w:trPr>
        <w:tc>
          <w:tcPr>
            <w:tcW w:w="5528" w:type="dxa"/>
          </w:tcPr>
          <w:p w14:paraId="64974630"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Verona, Italy</w:t>
            </w:r>
          </w:p>
        </w:tc>
        <w:tc>
          <w:tcPr>
            <w:tcW w:w="3549" w:type="dxa"/>
          </w:tcPr>
          <w:p w14:paraId="1A6C90E2"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235 (20.7)</w:t>
            </w:r>
          </w:p>
        </w:tc>
      </w:tr>
      <w:tr w:rsidR="006F0171" w14:paraId="73F7E3E5" w14:textId="77777777">
        <w:trPr>
          <w:jc w:val="center"/>
        </w:trPr>
        <w:tc>
          <w:tcPr>
            <w:tcW w:w="5528" w:type="dxa"/>
          </w:tcPr>
          <w:p w14:paraId="3A267C2E"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Belgrade, Serbia</w:t>
            </w:r>
          </w:p>
        </w:tc>
        <w:tc>
          <w:tcPr>
            <w:tcW w:w="3549" w:type="dxa"/>
          </w:tcPr>
          <w:p w14:paraId="7176C1DB"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19 (1.7)</w:t>
            </w:r>
          </w:p>
        </w:tc>
      </w:tr>
      <w:tr w:rsidR="006F0171" w14:paraId="399C83A9" w14:textId="77777777">
        <w:trPr>
          <w:jc w:val="center"/>
        </w:trPr>
        <w:tc>
          <w:tcPr>
            <w:tcW w:w="5528" w:type="dxa"/>
          </w:tcPr>
          <w:p w14:paraId="07EEB36B"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Brussels, Belgium</w:t>
            </w:r>
          </w:p>
        </w:tc>
        <w:tc>
          <w:tcPr>
            <w:tcW w:w="3549" w:type="dxa"/>
          </w:tcPr>
          <w:p w14:paraId="6B65C0A6"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143 (12.6)</w:t>
            </w:r>
          </w:p>
        </w:tc>
      </w:tr>
      <w:tr w:rsidR="006F0171" w14:paraId="1D9023DC" w14:textId="77777777">
        <w:trPr>
          <w:jc w:val="center"/>
        </w:trPr>
        <w:tc>
          <w:tcPr>
            <w:tcW w:w="5528" w:type="dxa"/>
          </w:tcPr>
          <w:p w14:paraId="4473BED7"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Skopje, Republic of North Macedonia</w:t>
            </w:r>
          </w:p>
        </w:tc>
        <w:tc>
          <w:tcPr>
            <w:tcW w:w="3549" w:type="dxa"/>
          </w:tcPr>
          <w:p w14:paraId="276D0CC8"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149 (13.1)</w:t>
            </w:r>
          </w:p>
        </w:tc>
      </w:tr>
      <w:tr w:rsidR="006F0171" w14:paraId="00A9DF4B" w14:textId="77777777">
        <w:trPr>
          <w:jc w:val="center"/>
        </w:trPr>
        <w:tc>
          <w:tcPr>
            <w:tcW w:w="5528" w:type="dxa"/>
          </w:tcPr>
          <w:p w14:paraId="3DBC622C"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Zagreb/Rijeka, Croatia</w:t>
            </w:r>
          </w:p>
        </w:tc>
        <w:tc>
          <w:tcPr>
            <w:tcW w:w="3549" w:type="dxa"/>
          </w:tcPr>
          <w:p w14:paraId="7F0F151C"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96 (8.5)</w:t>
            </w:r>
          </w:p>
        </w:tc>
      </w:tr>
      <w:tr w:rsidR="006F0171" w14:paraId="27B40C00" w14:textId="77777777">
        <w:trPr>
          <w:jc w:val="center"/>
        </w:trPr>
        <w:tc>
          <w:tcPr>
            <w:tcW w:w="5528" w:type="dxa"/>
            <w:tcBorders>
              <w:bottom w:val="nil"/>
            </w:tcBorders>
          </w:tcPr>
          <w:p w14:paraId="0FE7E723"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Type of </w:t>
            </w:r>
            <w:r>
              <w:rPr>
                <w:rFonts w:ascii="Book Antiqua" w:hAnsi="Book Antiqua" w:cstheme="minorBidi"/>
                <w:bCs/>
              </w:rPr>
              <w:t>endoscopy</w:t>
            </w:r>
            <w:r>
              <w:rPr>
                <w:rFonts w:ascii="Book Antiqua" w:hAnsi="Book Antiqua" w:cstheme="minorBidi"/>
                <w:bCs/>
                <w:vertAlign w:val="superscript"/>
              </w:rPr>
              <w:t>1</w:t>
            </w:r>
          </w:p>
        </w:tc>
        <w:tc>
          <w:tcPr>
            <w:tcW w:w="3549" w:type="dxa"/>
            <w:tcBorders>
              <w:bottom w:val="nil"/>
            </w:tcBorders>
          </w:tcPr>
          <w:p w14:paraId="4E9AE79B" w14:textId="77777777" w:rsidR="006F0171" w:rsidRDefault="006F0171">
            <w:pPr>
              <w:adjustRightInd w:val="0"/>
              <w:snapToGrid w:val="0"/>
              <w:spacing w:line="360" w:lineRule="auto"/>
              <w:jc w:val="both"/>
              <w:rPr>
                <w:rFonts w:ascii="Book Antiqua" w:hAnsi="Book Antiqua" w:cstheme="minorBidi"/>
                <w:bCs/>
              </w:rPr>
            </w:pPr>
          </w:p>
        </w:tc>
      </w:tr>
      <w:tr w:rsidR="006F0171" w14:paraId="7D1BD70F" w14:textId="77777777">
        <w:trPr>
          <w:trHeight w:val="301"/>
          <w:jc w:val="center"/>
        </w:trPr>
        <w:tc>
          <w:tcPr>
            <w:tcW w:w="5528" w:type="dxa"/>
            <w:tcBorders>
              <w:top w:val="nil"/>
              <w:bottom w:val="nil"/>
            </w:tcBorders>
          </w:tcPr>
          <w:p w14:paraId="413D2056" w14:textId="77777777" w:rsidR="006F0171" w:rsidRDefault="0008126C">
            <w:pPr>
              <w:adjustRightInd w:val="0"/>
              <w:snapToGrid w:val="0"/>
              <w:spacing w:line="360" w:lineRule="auto"/>
              <w:jc w:val="both"/>
              <w:rPr>
                <w:rFonts w:ascii="Book Antiqua" w:hAnsi="Book Antiqua" w:cstheme="minorBidi"/>
              </w:rPr>
            </w:pPr>
            <w:r>
              <w:rPr>
                <w:rFonts w:ascii="Book Antiqua" w:hAnsi="Book Antiqua" w:cstheme="minorBidi"/>
              </w:rPr>
              <w:t>Upper GI-endoscopies</w:t>
            </w:r>
          </w:p>
        </w:tc>
        <w:tc>
          <w:tcPr>
            <w:tcW w:w="3549" w:type="dxa"/>
            <w:tcBorders>
              <w:top w:val="nil"/>
              <w:bottom w:val="nil"/>
            </w:tcBorders>
          </w:tcPr>
          <w:p w14:paraId="610E4FE4" w14:textId="77777777" w:rsidR="006F0171" w:rsidRDefault="0008126C">
            <w:pPr>
              <w:adjustRightInd w:val="0"/>
              <w:snapToGrid w:val="0"/>
              <w:spacing w:line="360" w:lineRule="auto"/>
              <w:jc w:val="both"/>
              <w:rPr>
                <w:rFonts w:ascii="Book Antiqua" w:hAnsi="Book Antiqua" w:cstheme="minorBidi"/>
              </w:rPr>
            </w:pPr>
            <w:r>
              <w:rPr>
                <w:rFonts w:ascii="Book Antiqua" w:hAnsi="Book Antiqua" w:cstheme="minorBidi"/>
              </w:rPr>
              <w:t>587 (46.3)</w:t>
            </w:r>
          </w:p>
        </w:tc>
      </w:tr>
      <w:tr w:rsidR="006F0171" w14:paraId="3B108EC5" w14:textId="77777777">
        <w:trPr>
          <w:trHeight w:val="331"/>
          <w:jc w:val="center"/>
        </w:trPr>
        <w:tc>
          <w:tcPr>
            <w:tcW w:w="5528" w:type="dxa"/>
            <w:tcBorders>
              <w:top w:val="nil"/>
              <w:bottom w:val="nil"/>
            </w:tcBorders>
          </w:tcPr>
          <w:p w14:paraId="3016569B"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Colonoscopies/rectosigmoidoscopies</w:t>
            </w:r>
          </w:p>
        </w:tc>
        <w:tc>
          <w:tcPr>
            <w:tcW w:w="3549" w:type="dxa"/>
            <w:tcBorders>
              <w:top w:val="nil"/>
              <w:bottom w:val="nil"/>
            </w:tcBorders>
          </w:tcPr>
          <w:p w14:paraId="64055165"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444 (35.1)</w:t>
            </w:r>
          </w:p>
        </w:tc>
      </w:tr>
      <w:tr w:rsidR="006F0171" w14:paraId="12314009" w14:textId="77777777">
        <w:trPr>
          <w:trHeight w:val="551"/>
          <w:jc w:val="center"/>
        </w:trPr>
        <w:tc>
          <w:tcPr>
            <w:tcW w:w="5528" w:type="dxa"/>
            <w:tcBorders>
              <w:top w:val="nil"/>
              <w:bottom w:val="nil"/>
            </w:tcBorders>
          </w:tcPr>
          <w:p w14:paraId="0541F7CF"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ERCP</w:t>
            </w:r>
          </w:p>
        </w:tc>
        <w:tc>
          <w:tcPr>
            <w:tcW w:w="3549" w:type="dxa"/>
            <w:tcBorders>
              <w:top w:val="nil"/>
              <w:bottom w:val="nil"/>
            </w:tcBorders>
          </w:tcPr>
          <w:p w14:paraId="4ECC6450"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178 (14.1)</w:t>
            </w:r>
          </w:p>
        </w:tc>
      </w:tr>
      <w:tr w:rsidR="006F0171" w14:paraId="6D1CE34A" w14:textId="77777777">
        <w:trPr>
          <w:trHeight w:val="299"/>
          <w:jc w:val="center"/>
        </w:trPr>
        <w:tc>
          <w:tcPr>
            <w:tcW w:w="5528" w:type="dxa"/>
            <w:tcBorders>
              <w:top w:val="nil"/>
              <w:bottom w:val="single" w:sz="4" w:space="0" w:color="auto"/>
            </w:tcBorders>
          </w:tcPr>
          <w:p w14:paraId="06724D20"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EUS</w:t>
            </w:r>
          </w:p>
        </w:tc>
        <w:tc>
          <w:tcPr>
            <w:tcW w:w="3549" w:type="dxa"/>
            <w:tcBorders>
              <w:top w:val="nil"/>
              <w:bottom w:val="single" w:sz="4" w:space="0" w:color="auto"/>
            </w:tcBorders>
          </w:tcPr>
          <w:p w14:paraId="6A056C69" w14:textId="77777777" w:rsidR="006F0171" w:rsidRDefault="0008126C">
            <w:pPr>
              <w:adjustRightInd w:val="0"/>
              <w:snapToGrid w:val="0"/>
              <w:spacing w:line="360" w:lineRule="auto"/>
              <w:jc w:val="both"/>
              <w:rPr>
                <w:rFonts w:ascii="Book Antiqua" w:hAnsi="Book Antiqua" w:cstheme="minorBidi"/>
                <w:lang w:val="el-GR"/>
              </w:rPr>
            </w:pPr>
            <w:r>
              <w:rPr>
                <w:rFonts w:ascii="Book Antiqua" w:hAnsi="Book Antiqua" w:cstheme="minorBidi"/>
              </w:rPr>
              <w:t>57 (4.5)</w:t>
            </w:r>
          </w:p>
        </w:tc>
      </w:tr>
    </w:tbl>
    <w:p w14:paraId="08488459" w14:textId="77777777" w:rsidR="006F0171" w:rsidRDefault="0008126C">
      <w:pPr>
        <w:adjustRightInd w:val="0"/>
        <w:snapToGrid w:val="0"/>
        <w:spacing w:line="360" w:lineRule="auto"/>
        <w:jc w:val="both"/>
        <w:rPr>
          <w:rFonts w:ascii="Book Antiqua" w:hAnsi="Book Antiqua"/>
        </w:rPr>
      </w:pPr>
      <w:r>
        <w:rPr>
          <w:rFonts w:ascii="Book Antiqua" w:hAnsi="Book Antiqua"/>
        </w:rPr>
        <w:t xml:space="preserve">Data are n (%) unless noted otherwise. </w:t>
      </w:r>
    </w:p>
    <w:p w14:paraId="610A048D" w14:textId="77777777" w:rsidR="006F0171" w:rsidRDefault="0008126C">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A total of 1266 endoscopies. ERCP: Endoscopic retrograde </w:t>
      </w:r>
      <w:r>
        <w:rPr>
          <w:rFonts w:ascii="Book Antiqua" w:hAnsi="Book Antiqua"/>
        </w:rPr>
        <w:t>cholangiopancreatography; EUS: Endoscopic ultrasonography; GI: Gastrointestinal; SD: Standard deviation.</w:t>
      </w:r>
    </w:p>
    <w:p w14:paraId="585D743B" w14:textId="77777777" w:rsidR="006F0171" w:rsidRDefault="006F0171">
      <w:pPr>
        <w:adjustRightInd w:val="0"/>
        <w:snapToGrid w:val="0"/>
        <w:spacing w:line="360" w:lineRule="auto"/>
        <w:jc w:val="both"/>
        <w:rPr>
          <w:rFonts w:ascii="Book Antiqua" w:hAnsi="Book Antiqua"/>
        </w:rPr>
        <w:sectPr w:rsidR="006F0171">
          <w:headerReference w:type="default" r:id="rId11"/>
          <w:pgSz w:w="11906" w:h="16838"/>
          <w:pgMar w:top="1440" w:right="1800" w:bottom="1440" w:left="1800" w:header="708" w:footer="708" w:gutter="0"/>
          <w:cols w:space="708"/>
          <w:docGrid w:linePitch="360"/>
        </w:sectPr>
      </w:pPr>
    </w:p>
    <w:p w14:paraId="1440E190" w14:textId="77777777" w:rsidR="006F0171" w:rsidRDefault="0008126C">
      <w:pPr>
        <w:adjustRightInd w:val="0"/>
        <w:snapToGrid w:val="0"/>
        <w:spacing w:line="360" w:lineRule="auto"/>
        <w:jc w:val="both"/>
        <w:rPr>
          <w:rFonts w:ascii="Book Antiqua" w:hAnsi="Book Antiqua"/>
          <w:b/>
        </w:rPr>
      </w:pPr>
      <w:r>
        <w:rPr>
          <w:rFonts w:ascii="Book Antiqua" w:hAnsi="Book Antiqua"/>
          <w:b/>
        </w:rPr>
        <w:lastRenderedPageBreak/>
        <w:t>Table 2 Baseline characteristics and outcomes of patients positive for severe acute respiratory syndrome</w:t>
      </w:r>
      <w:r>
        <w:rPr>
          <w:rFonts w:ascii="Book Antiqua" w:hAnsi="Book Antiqua"/>
          <w:b/>
        </w:rPr>
        <w:t xml:space="preserve"> coronavirus 2 after endoscopy</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102"/>
        <w:gridCol w:w="1132"/>
        <w:gridCol w:w="1428"/>
        <w:gridCol w:w="1112"/>
        <w:gridCol w:w="1112"/>
        <w:gridCol w:w="1112"/>
        <w:gridCol w:w="1145"/>
        <w:gridCol w:w="1792"/>
        <w:gridCol w:w="2413"/>
      </w:tblGrid>
      <w:tr w:rsidR="006F0171" w14:paraId="4A3CFA64" w14:textId="77777777">
        <w:trPr>
          <w:trHeight w:val="539"/>
        </w:trPr>
        <w:tc>
          <w:tcPr>
            <w:tcW w:w="238" w:type="pct"/>
            <w:tcBorders>
              <w:top w:val="single" w:sz="4" w:space="0" w:color="auto"/>
              <w:bottom w:val="single" w:sz="4" w:space="0" w:color="auto"/>
            </w:tcBorders>
          </w:tcPr>
          <w:p w14:paraId="181A1AE5"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Case</w:t>
            </w:r>
          </w:p>
        </w:tc>
        <w:tc>
          <w:tcPr>
            <w:tcW w:w="466" w:type="pct"/>
            <w:tcBorders>
              <w:top w:val="single" w:sz="4" w:space="0" w:color="auto"/>
              <w:bottom w:val="single" w:sz="4" w:space="0" w:color="auto"/>
            </w:tcBorders>
          </w:tcPr>
          <w:p w14:paraId="3C8684E7" w14:textId="77777777" w:rsidR="006F0171" w:rsidRDefault="0008126C">
            <w:pPr>
              <w:adjustRightInd w:val="0"/>
              <w:snapToGrid w:val="0"/>
              <w:spacing w:line="360" w:lineRule="auto"/>
              <w:jc w:val="both"/>
              <w:rPr>
                <w:rFonts w:ascii="Book Antiqua" w:hAnsi="Book Antiqua" w:cstheme="minorBidi"/>
                <w:b/>
                <w:bCs/>
              </w:rPr>
            </w:pPr>
            <w:r>
              <w:rPr>
                <w:rFonts w:ascii="Book Antiqua" w:hAnsi="Book Antiqua" w:cstheme="minorBidi"/>
                <w:b/>
                <w:bCs/>
                <w:lang w:val="el-GR"/>
              </w:rPr>
              <w:t>Patient</w:t>
            </w:r>
            <w:r>
              <w:rPr>
                <w:rFonts w:ascii="Book Antiqua" w:hAnsi="Book Antiqua" w:cstheme="minorBidi"/>
                <w:b/>
                <w:bCs/>
              </w:rPr>
              <w:t>, age</w:t>
            </w:r>
          </w:p>
        </w:tc>
        <w:tc>
          <w:tcPr>
            <w:tcW w:w="441" w:type="pct"/>
            <w:tcBorders>
              <w:top w:val="single" w:sz="4" w:space="0" w:color="auto"/>
              <w:bottom w:val="single" w:sz="4" w:space="0" w:color="auto"/>
            </w:tcBorders>
          </w:tcPr>
          <w:p w14:paraId="0FA57739"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Endoscopy</w:t>
            </w:r>
          </w:p>
        </w:tc>
        <w:tc>
          <w:tcPr>
            <w:tcW w:w="478" w:type="pct"/>
            <w:tcBorders>
              <w:top w:val="single" w:sz="4" w:space="0" w:color="auto"/>
              <w:bottom w:val="single" w:sz="4" w:space="0" w:color="auto"/>
            </w:tcBorders>
          </w:tcPr>
          <w:p w14:paraId="59DB8F5C"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Date of endoscopy</w:t>
            </w:r>
          </w:p>
        </w:tc>
        <w:tc>
          <w:tcPr>
            <w:tcW w:w="457" w:type="pct"/>
            <w:tcBorders>
              <w:top w:val="single" w:sz="4" w:space="0" w:color="auto"/>
              <w:bottom w:val="single" w:sz="4" w:space="0" w:color="auto"/>
            </w:tcBorders>
          </w:tcPr>
          <w:p w14:paraId="5717AB77" w14:textId="77777777" w:rsidR="006F0171" w:rsidRDefault="0008126C">
            <w:pPr>
              <w:adjustRightInd w:val="0"/>
              <w:snapToGrid w:val="0"/>
              <w:spacing w:line="360" w:lineRule="auto"/>
              <w:jc w:val="both"/>
              <w:rPr>
                <w:rFonts w:ascii="Book Antiqua" w:hAnsi="Book Antiqua" w:cstheme="minorBidi"/>
                <w:b/>
                <w:bCs/>
              </w:rPr>
            </w:pPr>
            <w:r>
              <w:rPr>
                <w:rFonts w:ascii="Book Antiqua" w:hAnsi="Book Antiqua" w:cstheme="minorBidi"/>
                <w:b/>
                <w:bCs/>
              </w:rPr>
              <w:t>COVID PCR test before endoscopy</w:t>
            </w:r>
          </w:p>
        </w:tc>
        <w:tc>
          <w:tcPr>
            <w:tcW w:w="434" w:type="pct"/>
            <w:tcBorders>
              <w:top w:val="single" w:sz="4" w:space="0" w:color="auto"/>
              <w:bottom w:val="single" w:sz="4" w:space="0" w:color="auto"/>
            </w:tcBorders>
          </w:tcPr>
          <w:p w14:paraId="4219D56A" w14:textId="77777777" w:rsidR="006F0171" w:rsidRDefault="0008126C">
            <w:pPr>
              <w:adjustRightInd w:val="0"/>
              <w:snapToGrid w:val="0"/>
              <w:spacing w:line="360" w:lineRule="auto"/>
              <w:jc w:val="both"/>
              <w:rPr>
                <w:rFonts w:ascii="Book Antiqua" w:hAnsi="Book Antiqua" w:cstheme="minorBidi"/>
                <w:b/>
                <w:bCs/>
              </w:rPr>
            </w:pPr>
            <w:r>
              <w:rPr>
                <w:rFonts w:ascii="Book Antiqua" w:hAnsi="Book Antiqua" w:cstheme="minorBidi"/>
                <w:b/>
                <w:bCs/>
              </w:rPr>
              <w:t>Contact of suspected or confirmed COVID 19 case after endoscopy</w:t>
            </w:r>
          </w:p>
        </w:tc>
        <w:tc>
          <w:tcPr>
            <w:tcW w:w="457" w:type="pct"/>
            <w:tcBorders>
              <w:top w:val="single" w:sz="4" w:space="0" w:color="auto"/>
              <w:bottom w:val="single" w:sz="4" w:space="0" w:color="auto"/>
            </w:tcBorders>
          </w:tcPr>
          <w:p w14:paraId="741D0D89"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Symptoms</w:t>
            </w:r>
          </w:p>
        </w:tc>
        <w:tc>
          <w:tcPr>
            <w:tcW w:w="475" w:type="pct"/>
            <w:tcBorders>
              <w:top w:val="single" w:sz="4" w:space="0" w:color="auto"/>
              <w:bottom w:val="single" w:sz="4" w:space="0" w:color="auto"/>
            </w:tcBorders>
          </w:tcPr>
          <w:p w14:paraId="199D2C4B" w14:textId="77777777" w:rsidR="006F0171" w:rsidRDefault="0008126C">
            <w:pPr>
              <w:adjustRightInd w:val="0"/>
              <w:snapToGrid w:val="0"/>
              <w:spacing w:line="360" w:lineRule="auto"/>
              <w:jc w:val="both"/>
              <w:rPr>
                <w:rFonts w:ascii="Book Antiqua" w:hAnsi="Book Antiqua" w:cstheme="minorBidi"/>
                <w:b/>
                <w:bCs/>
              </w:rPr>
            </w:pPr>
            <w:r>
              <w:rPr>
                <w:rFonts w:ascii="Book Antiqua" w:hAnsi="Book Antiqua" w:cstheme="minorBidi"/>
                <w:b/>
                <w:bCs/>
              </w:rPr>
              <w:t>COVID PCR test after endoscopy</w:t>
            </w:r>
          </w:p>
        </w:tc>
        <w:tc>
          <w:tcPr>
            <w:tcW w:w="613" w:type="pct"/>
            <w:tcBorders>
              <w:top w:val="single" w:sz="4" w:space="0" w:color="auto"/>
              <w:bottom w:val="single" w:sz="4" w:space="0" w:color="auto"/>
            </w:tcBorders>
          </w:tcPr>
          <w:p w14:paraId="3DB905E6"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Outcome of those hospitali</w:t>
            </w:r>
            <w:r>
              <w:rPr>
                <w:rFonts w:ascii="Book Antiqua" w:hAnsi="Book Antiqua" w:cstheme="minorBidi"/>
                <w:b/>
                <w:bCs/>
              </w:rPr>
              <w:t>z</w:t>
            </w:r>
            <w:r>
              <w:rPr>
                <w:rFonts w:ascii="Book Antiqua" w:hAnsi="Book Antiqua" w:cstheme="minorBidi"/>
                <w:b/>
                <w:bCs/>
                <w:lang w:val="el-GR"/>
              </w:rPr>
              <w:t>ed</w:t>
            </w:r>
          </w:p>
        </w:tc>
        <w:tc>
          <w:tcPr>
            <w:tcW w:w="943" w:type="pct"/>
            <w:tcBorders>
              <w:top w:val="single" w:sz="4" w:space="0" w:color="auto"/>
              <w:bottom w:val="single" w:sz="4" w:space="0" w:color="auto"/>
            </w:tcBorders>
          </w:tcPr>
          <w:p w14:paraId="7E241B6C" w14:textId="77777777" w:rsidR="006F0171" w:rsidRDefault="0008126C">
            <w:pPr>
              <w:adjustRightInd w:val="0"/>
              <w:snapToGrid w:val="0"/>
              <w:spacing w:line="360" w:lineRule="auto"/>
              <w:jc w:val="both"/>
              <w:rPr>
                <w:rFonts w:ascii="Book Antiqua" w:hAnsi="Book Antiqua" w:cstheme="minorBidi"/>
                <w:b/>
                <w:bCs/>
                <w:lang w:val="el-GR"/>
              </w:rPr>
            </w:pPr>
            <w:r>
              <w:rPr>
                <w:rFonts w:ascii="Book Antiqua" w:hAnsi="Book Antiqua" w:cstheme="minorBidi"/>
                <w:b/>
                <w:bCs/>
                <w:lang w:val="el-GR"/>
              </w:rPr>
              <w:t xml:space="preserve">Case </w:t>
            </w:r>
            <w:r>
              <w:rPr>
                <w:rFonts w:ascii="Book Antiqua" w:hAnsi="Book Antiqua" w:cstheme="minorBidi"/>
                <w:b/>
                <w:bCs/>
                <w:lang w:val="el-GR"/>
              </w:rPr>
              <w:t>related to endoscopy</w:t>
            </w:r>
          </w:p>
        </w:tc>
      </w:tr>
      <w:tr w:rsidR="006F0171" w14:paraId="0B9D9B6A" w14:textId="77777777">
        <w:trPr>
          <w:trHeight w:val="514"/>
        </w:trPr>
        <w:tc>
          <w:tcPr>
            <w:tcW w:w="238" w:type="pct"/>
            <w:tcBorders>
              <w:top w:val="single" w:sz="4" w:space="0" w:color="auto"/>
            </w:tcBorders>
            <w:noWrap/>
          </w:tcPr>
          <w:p w14:paraId="205EA76C"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1</w:t>
            </w:r>
          </w:p>
        </w:tc>
        <w:tc>
          <w:tcPr>
            <w:tcW w:w="466" w:type="pct"/>
            <w:tcBorders>
              <w:top w:val="single" w:sz="4" w:space="0" w:color="auto"/>
            </w:tcBorders>
          </w:tcPr>
          <w:p w14:paraId="6A498C95"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lang w:val="el-GR"/>
              </w:rPr>
              <w:t xml:space="preserve">Female, 66 </w:t>
            </w:r>
            <w:r>
              <w:rPr>
                <w:rFonts w:ascii="Book Antiqua" w:hAnsi="Book Antiqua" w:cstheme="minorBidi"/>
                <w:bCs/>
              </w:rPr>
              <w:t>yr</w:t>
            </w:r>
          </w:p>
        </w:tc>
        <w:tc>
          <w:tcPr>
            <w:tcW w:w="441" w:type="pct"/>
            <w:tcBorders>
              <w:top w:val="single" w:sz="4" w:space="0" w:color="auto"/>
            </w:tcBorders>
            <w:noWrap/>
          </w:tcPr>
          <w:p w14:paraId="22A332BB"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Upper GI</w:t>
            </w:r>
          </w:p>
        </w:tc>
        <w:tc>
          <w:tcPr>
            <w:tcW w:w="478" w:type="pct"/>
            <w:tcBorders>
              <w:top w:val="single" w:sz="4" w:space="0" w:color="auto"/>
            </w:tcBorders>
            <w:noWrap/>
          </w:tcPr>
          <w:p w14:paraId="69DDFA6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12, 2020</w:t>
            </w:r>
          </w:p>
        </w:tc>
        <w:tc>
          <w:tcPr>
            <w:tcW w:w="457" w:type="pct"/>
            <w:tcBorders>
              <w:top w:val="single" w:sz="4" w:space="0" w:color="auto"/>
            </w:tcBorders>
            <w:noWrap/>
          </w:tcPr>
          <w:p w14:paraId="03DC7D1E"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tcBorders>
              <w:top w:val="single" w:sz="4" w:space="0" w:color="auto"/>
            </w:tcBorders>
            <w:noWrap/>
          </w:tcPr>
          <w:p w14:paraId="3CB89BC0"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57" w:type="pct"/>
            <w:tcBorders>
              <w:top w:val="single" w:sz="4" w:space="0" w:color="auto"/>
            </w:tcBorders>
          </w:tcPr>
          <w:p w14:paraId="113BE2E7"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Fever and cough</w:t>
            </w:r>
          </w:p>
        </w:tc>
        <w:tc>
          <w:tcPr>
            <w:tcW w:w="475" w:type="pct"/>
            <w:tcBorders>
              <w:top w:val="single" w:sz="4" w:space="0" w:color="auto"/>
            </w:tcBorders>
          </w:tcPr>
          <w:p w14:paraId="417C7CB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Tested positive March 18, 2020</w:t>
            </w:r>
          </w:p>
        </w:tc>
        <w:tc>
          <w:tcPr>
            <w:tcW w:w="613" w:type="pct"/>
            <w:tcBorders>
              <w:top w:val="single" w:sz="4" w:space="0" w:color="auto"/>
            </w:tcBorders>
          </w:tcPr>
          <w:p w14:paraId="5FC8D57D"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Death/deceased due to COVID-19</w:t>
            </w:r>
          </w:p>
        </w:tc>
        <w:tc>
          <w:tcPr>
            <w:tcW w:w="943" w:type="pct"/>
            <w:tcBorders>
              <w:top w:val="single" w:sz="4" w:space="0" w:color="auto"/>
            </w:tcBorders>
            <w:noWrap/>
          </w:tcPr>
          <w:p w14:paraId="36B2FCEB"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lang w:val="el-GR"/>
              </w:rPr>
              <w:t>Can</w:t>
            </w:r>
            <w:r>
              <w:rPr>
                <w:rFonts w:ascii="Book Antiqua" w:hAnsi="Book Antiqua" w:cstheme="minorBidi"/>
                <w:bCs/>
              </w:rPr>
              <w:t>no</w:t>
            </w:r>
            <w:r>
              <w:rPr>
                <w:rFonts w:ascii="Book Antiqua" w:hAnsi="Book Antiqua" w:cstheme="minorBidi"/>
                <w:bCs/>
                <w:lang w:val="el-GR"/>
              </w:rPr>
              <w:t>t</w:t>
            </w:r>
            <w:r>
              <w:rPr>
                <w:rFonts w:ascii="Book Antiqua" w:hAnsi="Book Antiqua" w:cstheme="minorBidi"/>
                <w:bCs/>
              </w:rPr>
              <w:t xml:space="preserve"> reasonably</w:t>
            </w:r>
            <w:r>
              <w:rPr>
                <w:rFonts w:ascii="Book Antiqua" w:hAnsi="Book Antiqua" w:cstheme="minorBidi"/>
                <w:bCs/>
                <w:lang w:val="el-GR"/>
              </w:rPr>
              <w:t xml:space="preserve"> </w:t>
            </w:r>
            <w:r>
              <w:rPr>
                <w:rFonts w:ascii="Book Antiqua" w:hAnsi="Book Antiqua" w:cstheme="minorBidi"/>
                <w:bCs/>
              </w:rPr>
              <w:t>exclude</w:t>
            </w:r>
          </w:p>
        </w:tc>
      </w:tr>
      <w:tr w:rsidR="006F0171" w14:paraId="1FF54EB3" w14:textId="77777777">
        <w:trPr>
          <w:trHeight w:val="654"/>
        </w:trPr>
        <w:tc>
          <w:tcPr>
            <w:tcW w:w="238" w:type="pct"/>
            <w:noWrap/>
          </w:tcPr>
          <w:p w14:paraId="385FF565"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2</w:t>
            </w:r>
          </w:p>
        </w:tc>
        <w:tc>
          <w:tcPr>
            <w:tcW w:w="466" w:type="pct"/>
          </w:tcPr>
          <w:p w14:paraId="5455ECE5"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lang w:val="el-GR"/>
              </w:rPr>
              <w:t>Male, 81</w:t>
            </w:r>
            <w:r>
              <w:rPr>
                <w:rFonts w:ascii="Book Antiqua" w:hAnsi="Book Antiqua" w:cstheme="minorBidi"/>
                <w:bCs/>
              </w:rPr>
              <w:t xml:space="preserve"> yr</w:t>
            </w:r>
          </w:p>
        </w:tc>
        <w:tc>
          <w:tcPr>
            <w:tcW w:w="441" w:type="pct"/>
            <w:noWrap/>
          </w:tcPr>
          <w:p w14:paraId="7F6DF8C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Upper GI</w:t>
            </w:r>
          </w:p>
        </w:tc>
        <w:tc>
          <w:tcPr>
            <w:tcW w:w="478" w:type="pct"/>
            <w:noWrap/>
          </w:tcPr>
          <w:p w14:paraId="38EE30EE"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April 8, 2020</w:t>
            </w:r>
          </w:p>
        </w:tc>
        <w:tc>
          <w:tcPr>
            <w:tcW w:w="457" w:type="pct"/>
            <w:noWrap/>
          </w:tcPr>
          <w:p w14:paraId="24D7E252"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noWrap/>
          </w:tcPr>
          <w:p w14:paraId="09121EB0"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57" w:type="pct"/>
          </w:tcPr>
          <w:p w14:paraId="172FF093"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Fever, cough and sore throat </w:t>
            </w:r>
            <w:r>
              <w:rPr>
                <w:rFonts w:ascii="Book Antiqua" w:hAnsi="Book Antiqua" w:cstheme="minorBidi"/>
                <w:bCs/>
              </w:rPr>
              <w:lastRenderedPageBreak/>
              <w:t xml:space="preserve">since </w:t>
            </w:r>
            <w:r>
              <w:rPr>
                <w:rFonts w:ascii="Book Antiqua" w:hAnsi="Book Antiqua" w:cstheme="minorBidi"/>
                <w:bCs/>
              </w:rPr>
              <w:t>April 17 for 42 d</w:t>
            </w:r>
          </w:p>
        </w:tc>
        <w:tc>
          <w:tcPr>
            <w:tcW w:w="475" w:type="pct"/>
          </w:tcPr>
          <w:p w14:paraId="252CF871"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lastRenderedPageBreak/>
              <w:t xml:space="preserve">Hospital admission April 12, 2020, </w:t>
            </w:r>
            <w:r>
              <w:rPr>
                <w:rFonts w:ascii="Book Antiqua" w:hAnsi="Book Antiqua" w:cstheme="minorBidi"/>
                <w:bCs/>
              </w:rPr>
              <w:lastRenderedPageBreak/>
              <w:t>tested positive and had Pneumonia</w:t>
            </w:r>
          </w:p>
        </w:tc>
        <w:tc>
          <w:tcPr>
            <w:tcW w:w="613" w:type="pct"/>
          </w:tcPr>
          <w:p w14:paraId="4943D400"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lastRenderedPageBreak/>
              <w:t>Death May 4/deceased due to COVID-19</w:t>
            </w:r>
          </w:p>
        </w:tc>
        <w:tc>
          <w:tcPr>
            <w:tcW w:w="943" w:type="pct"/>
            <w:noWrap/>
          </w:tcPr>
          <w:p w14:paraId="4A28F2BE"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Can</w:t>
            </w:r>
            <w:r>
              <w:rPr>
                <w:rFonts w:ascii="Book Antiqua" w:hAnsi="Book Antiqua" w:cstheme="minorBidi"/>
                <w:bCs/>
              </w:rPr>
              <w:t>no</w:t>
            </w:r>
            <w:r>
              <w:rPr>
                <w:rFonts w:ascii="Book Antiqua" w:hAnsi="Book Antiqua" w:cstheme="minorBidi"/>
                <w:bCs/>
                <w:lang w:val="el-GR"/>
              </w:rPr>
              <w:t>t</w:t>
            </w:r>
            <w:r>
              <w:rPr>
                <w:rFonts w:ascii="Book Antiqua" w:hAnsi="Book Antiqua" w:cstheme="minorBidi"/>
                <w:bCs/>
              </w:rPr>
              <w:t xml:space="preserve"> reasonably</w:t>
            </w:r>
            <w:r>
              <w:rPr>
                <w:rFonts w:ascii="Book Antiqua" w:hAnsi="Book Antiqua" w:cstheme="minorBidi"/>
                <w:bCs/>
                <w:lang w:val="el-GR"/>
              </w:rPr>
              <w:t xml:space="preserve"> </w:t>
            </w:r>
            <w:r>
              <w:rPr>
                <w:rFonts w:ascii="Book Antiqua" w:hAnsi="Book Antiqua" w:cstheme="minorBidi"/>
                <w:bCs/>
              </w:rPr>
              <w:t>exclude</w:t>
            </w:r>
          </w:p>
        </w:tc>
      </w:tr>
      <w:tr w:rsidR="006F0171" w14:paraId="334A4FCE" w14:textId="77777777">
        <w:trPr>
          <w:trHeight w:val="636"/>
        </w:trPr>
        <w:tc>
          <w:tcPr>
            <w:tcW w:w="238" w:type="pct"/>
            <w:noWrap/>
          </w:tcPr>
          <w:p w14:paraId="20D8DD2E"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3</w:t>
            </w:r>
          </w:p>
        </w:tc>
        <w:tc>
          <w:tcPr>
            <w:tcW w:w="466" w:type="pct"/>
          </w:tcPr>
          <w:p w14:paraId="3AA9F15F"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Male, 66 yr, head/neck </w:t>
            </w:r>
            <w:r>
              <w:rPr>
                <w:rFonts w:ascii="Book Antiqua" w:hAnsi="Book Antiqua" w:cstheme="minorBidi"/>
              </w:rPr>
              <w:t>cancer</w:t>
            </w:r>
            <w:r>
              <w:rPr>
                <w:rFonts w:ascii="Book Antiqua" w:hAnsi="Book Antiqua" w:cstheme="minorBidi"/>
                <w:bCs/>
              </w:rPr>
              <w:t xml:space="preserve"> and arterial disease</w:t>
            </w:r>
          </w:p>
        </w:tc>
        <w:tc>
          <w:tcPr>
            <w:tcW w:w="441" w:type="pct"/>
            <w:noWrap/>
          </w:tcPr>
          <w:p w14:paraId="249DA42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Upper GI</w:t>
            </w:r>
          </w:p>
        </w:tc>
        <w:tc>
          <w:tcPr>
            <w:tcW w:w="478" w:type="pct"/>
            <w:noWrap/>
          </w:tcPr>
          <w:p w14:paraId="4EB023F2"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18, 2020</w:t>
            </w:r>
          </w:p>
        </w:tc>
        <w:tc>
          <w:tcPr>
            <w:tcW w:w="457" w:type="pct"/>
            <w:noWrap/>
          </w:tcPr>
          <w:p w14:paraId="565FCD56"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tcPr>
          <w:p w14:paraId="34552E97"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Yes </w:t>
            </w:r>
            <w:r>
              <w:rPr>
                <w:rFonts w:ascii="Book Antiqua" w:hAnsi="Book Antiqua" w:cstheme="minorBidi"/>
                <w:bCs/>
              </w:rPr>
              <w:t>w</w:t>
            </w:r>
            <w:r>
              <w:rPr>
                <w:rFonts w:ascii="Book Antiqua" w:hAnsi="Book Antiqua" w:cstheme="minorBidi"/>
                <w:bCs/>
                <w:lang w:val="el-GR"/>
              </w:rPr>
              <w:t xml:space="preserve">ith </w:t>
            </w:r>
            <w:r>
              <w:rPr>
                <w:rFonts w:ascii="Book Antiqua" w:hAnsi="Book Antiqua" w:cstheme="minorBidi"/>
                <w:bCs/>
              </w:rPr>
              <w:t>s</w:t>
            </w:r>
            <w:r>
              <w:rPr>
                <w:rFonts w:ascii="Book Antiqua" w:hAnsi="Book Antiqua" w:cstheme="minorBidi"/>
                <w:bCs/>
                <w:lang w:val="el-GR"/>
              </w:rPr>
              <w:t xml:space="preserve">uspected </w:t>
            </w:r>
            <w:r>
              <w:rPr>
                <w:rFonts w:ascii="Book Antiqua" w:hAnsi="Book Antiqua" w:cstheme="minorBidi"/>
                <w:bCs/>
              </w:rPr>
              <w:t>c</w:t>
            </w:r>
            <w:r>
              <w:rPr>
                <w:rFonts w:ascii="Book Antiqua" w:hAnsi="Book Antiqua" w:cstheme="minorBidi"/>
                <w:bCs/>
                <w:lang w:val="el-GR"/>
              </w:rPr>
              <w:t>ase</w:t>
            </w:r>
          </w:p>
        </w:tc>
        <w:tc>
          <w:tcPr>
            <w:tcW w:w="457" w:type="pct"/>
          </w:tcPr>
          <w:p w14:paraId="42E9223C"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Fever and Diarrhea since March 27, 2020</w:t>
            </w:r>
          </w:p>
        </w:tc>
        <w:tc>
          <w:tcPr>
            <w:tcW w:w="475" w:type="pct"/>
          </w:tcPr>
          <w:p w14:paraId="04D3274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Tested positive March 28, 2020</w:t>
            </w:r>
          </w:p>
        </w:tc>
        <w:tc>
          <w:tcPr>
            <w:tcW w:w="613" w:type="pct"/>
          </w:tcPr>
          <w:p w14:paraId="33975DBC"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Death May 7 due to cancer</w:t>
            </w:r>
          </w:p>
        </w:tc>
        <w:tc>
          <w:tcPr>
            <w:tcW w:w="943" w:type="pct"/>
            <w:noWrap/>
          </w:tcPr>
          <w:p w14:paraId="50F3C7F1"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Can</w:t>
            </w:r>
            <w:r>
              <w:rPr>
                <w:rFonts w:ascii="Book Antiqua" w:hAnsi="Book Antiqua" w:cstheme="minorBidi"/>
                <w:bCs/>
              </w:rPr>
              <w:t>no</w:t>
            </w:r>
            <w:r>
              <w:rPr>
                <w:rFonts w:ascii="Book Antiqua" w:hAnsi="Book Antiqua" w:cstheme="minorBidi"/>
                <w:bCs/>
                <w:lang w:val="el-GR"/>
              </w:rPr>
              <w:t>t</w:t>
            </w:r>
            <w:r>
              <w:rPr>
                <w:rFonts w:ascii="Book Antiqua" w:hAnsi="Book Antiqua" w:cstheme="minorBidi"/>
                <w:bCs/>
              </w:rPr>
              <w:t xml:space="preserve"> reasonably</w:t>
            </w:r>
            <w:r>
              <w:rPr>
                <w:rFonts w:ascii="Book Antiqua" w:hAnsi="Book Antiqua" w:cstheme="minorBidi"/>
                <w:bCs/>
                <w:lang w:val="el-GR"/>
              </w:rPr>
              <w:t xml:space="preserve"> </w:t>
            </w:r>
            <w:r>
              <w:rPr>
                <w:rFonts w:ascii="Book Antiqua" w:hAnsi="Book Antiqua" w:cstheme="minorBidi"/>
                <w:bCs/>
              </w:rPr>
              <w:t>exclude</w:t>
            </w:r>
          </w:p>
        </w:tc>
      </w:tr>
      <w:tr w:rsidR="006F0171" w14:paraId="38723398" w14:textId="77777777">
        <w:trPr>
          <w:trHeight w:val="825"/>
        </w:trPr>
        <w:tc>
          <w:tcPr>
            <w:tcW w:w="238" w:type="pct"/>
            <w:noWrap/>
          </w:tcPr>
          <w:p w14:paraId="44E450D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4</w:t>
            </w:r>
          </w:p>
        </w:tc>
        <w:tc>
          <w:tcPr>
            <w:tcW w:w="466" w:type="pct"/>
          </w:tcPr>
          <w:p w14:paraId="05FE8BD2"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Male, 55 yr, </w:t>
            </w:r>
            <w:r>
              <w:rPr>
                <w:rFonts w:ascii="Book Antiqua" w:hAnsi="Book Antiqua" w:cstheme="minorBidi"/>
              </w:rPr>
              <w:t>cancer</w:t>
            </w:r>
            <w:r>
              <w:rPr>
                <w:rFonts w:ascii="Book Antiqua" w:hAnsi="Book Antiqua" w:cstheme="minorBidi"/>
                <w:bCs/>
                <w:lang w:val="el-GR"/>
              </w:rPr>
              <w:t xml:space="preserve"> esophagus</w:t>
            </w:r>
          </w:p>
        </w:tc>
        <w:tc>
          <w:tcPr>
            <w:tcW w:w="441" w:type="pct"/>
            <w:noWrap/>
          </w:tcPr>
          <w:p w14:paraId="1146BBD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Upper GI</w:t>
            </w:r>
          </w:p>
        </w:tc>
        <w:tc>
          <w:tcPr>
            <w:tcW w:w="478" w:type="pct"/>
            <w:noWrap/>
          </w:tcPr>
          <w:p w14:paraId="61A15563"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18, 2020</w:t>
            </w:r>
          </w:p>
        </w:tc>
        <w:tc>
          <w:tcPr>
            <w:tcW w:w="457" w:type="pct"/>
            <w:noWrap/>
          </w:tcPr>
          <w:p w14:paraId="0555A3D7"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tcPr>
          <w:p w14:paraId="417B1FA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Yes </w:t>
            </w:r>
            <w:r>
              <w:rPr>
                <w:rFonts w:ascii="Book Antiqua" w:hAnsi="Book Antiqua" w:cstheme="minorBidi"/>
                <w:bCs/>
              </w:rPr>
              <w:t>w</w:t>
            </w:r>
            <w:r>
              <w:rPr>
                <w:rFonts w:ascii="Book Antiqua" w:hAnsi="Book Antiqua" w:cstheme="minorBidi"/>
                <w:bCs/>
                <w:lang w:val="el-GR"/>
              </w:rPr>
              <w:t xml:space="preserve">ith </w:t>
            </w:r>
            <w:r>
              <w:rPr>
                <w:rFonts w:ascii="Book Antiqua" w:hAnsi="Book Antiqua" w:cstheme="minorBidi"/>
                <w:bCs/>
              </w:rPr>
              <w:t>s</w:t>
            </w:r>
            <w:r>
              <w:rPr>
                <w:rFonts w:ascii="Book Antiqua" w:hAnsi="Book Antiqua" w:cstheme="minorBidi"/>
                <w:bCs/>
                <w:lang w:val="el-GR"/>
              </w:rPr>
              <w:t xml:space="preserve">uspected </w:t>
            </w:r>
            <w:r>
              <w:rPr>
                <w:rFonts w:ascii="Book Antiqua" w:hAnsi="Book Antiqua" w:cstheme="minorBidi"/>
                <w:bCs/>
              </w:rPr>
              <w:t>c</w:t>
            </w:r>
            <w:r>
              <w:rPr>
                <w:rFonts w:ascii="Book Antiqua" w:hAnsi="Book Antiqua" w:cstheme="minorBidi"/>
                <w:bCs/>
                <w:lang w:val="el-GR"/>
              </w:rPr>
              <w:t>ase</w:t>
            </w:r>
          </w:p>
        </w:tc>
        <w:tc>
          <w:tcPr>
            <w:tcW w:w="457" w:type="pct"/>
          </w:tcPr>
          <w:p w14:paraId="2B7A64D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Cough since March 16, 2020</w:t>
            </w:r>
          </w:p>
        </w:tc>
        <w:tc>
          <w:tcPr>
            <w:tcW w:w="475" w:type="pct"/>
          </w:tcPr>
          <w:p w14:paraId="117B9321"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Tested positive March 24, 2020</w:t>
            </w:r>
          </w:p>
        </w:tc>
        <w:tc>
          <w:tcPr>
            <w:tcW w:w="613" w:type="pct"/>
            <w:noWrap/>
          </w:tcPr>
          <w:p w14:paraId="4CC8189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Discharge</w:t>
            </w:r>
          </w:p>
        </w:tc>
        <w:tc>
          <w:tcPr>
            <w:tcW w:w="943" w:type="pct"/>
            <w:noWrap/>
          </w:tcPr>
          <w:p w14:paraId="3364ADF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r>
      <w:tr w:rsidR="006F0171" w14:paraId="04D2ADDF" w14:textId="77777777">
        <w:trPr>
          <w:trHeight w:val="648"/>
        </w:trPr>
        <w:tc>
          <w:tcPr>
            <w:tcW w:w="238" w:type="pct"/>
            <w:noWrap/>
          </w:tcPr>
          <w:p w14:paraId="103232C7"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5</w:t>
            </w:r>
          </w:p>
        </w:tc>
        <w:tc>
          <w:tcPr>
            <w:tcW w:w="466" w:type="pct"/>
          </w:tcPr>
          <w:p w14:paraId="70D2A6A0"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Male, 76 yr, </w:t>
            </w:r>
            <w:r>
              <w:rPr>
                <w:rFonts w:ascii="Book Antiqua" w:hAnsi="Book Antiqua" w:cstheme="minorBidi"/>
                <w:bCs/>
              </w:rPr>
              <w:lastRenderedPageBreak/>
              <w:t>cancer stomach, 2, COPD</w:t>
            </w:r>
          </w:p>
        </w:tc>
        <w:tc>
          <w:tcPr>
            <w:tcW w:w="441" w:type="pct"/>
            <w:noWrap/>
          </w:tcPr>
          <w:p w14:paraId="5C4F3A0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EUS</w:t>
            </w:r>
          </w:p>
        </w:tc>
        <w:tc>
          <w:tcPr>
            <w:tcW w:w="478" w:type="pct"/>
            <w:noWrap/>
          </w:tcPr>
          <w:p w14:paraId="667188E3"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24, 2020</w:t>
            </w:r>
          </w:p>
        </w:tc>
        <w:tc>
          <w:tcPr>
            <w:tcW w:w="457" w:type="pct"/>
            <w:noWrap/>
          </w:tcPr>
          <w:p w14:paraId="2C9D59B6"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tcPr>
          <w:p w14:paraId="2B876E8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Yes </w:t>
            </w:r>
            <w:r>
              <w:rPr>
                <w:rFonts w:ascii="Book Antiqua" w:hAnsi="Book Antiqua" w:cstheme="minorBidi"/>
                <w:bCs/>
              </w:rPr>
              <w:t>w</w:t>
            </w:r>
            <w:r>
              <w:rPr>
                <w:rFonts w:ascii="Book Antiqua" w:hAnsi="Book Antiqua" w:cstheme="minorBidi"/>
                <w:bCs/>
                <w:lang w:val="el-GR"/>
              </w:rPr>
              <w:t xml:space="preserve">ith </w:t>
            </w:r>
            <w:r>
              <w:rPr>
                <w:rFonts w:ascii="Book Antiqua" w:hAnsi="Book Antiqua" w:cstheme="minorBidi"/>
                <w:bCs/>
                <w:lang w:val="el-GR"/>
              </w:rPr>
              <w:lastRenderedPageBreak/>
              <w:t>suspected case</w:t>
            </w:r>
          </w:p>
        </w:tc>
        <w:tc>
          <w:tcPr>
            <w:tcW w:w="457" w:type="pct"/>
          </w:tcPr>
          <w:p w14:paraId="05A777C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 xml:space="preserve">Cough since </w:t>
            </w:r>
            <w:r>
              <w:rPr>
                <w:rFonts w:ascii="Book Antiqua" w:hAnsi="Book Antiqua" w:cstheme="minorBidi"/>
                <w:bCs/>
                <w:lang w:val="el-GR"/>
              </w:rPr>
              <w:lastRenderedPageBreak/>
              <w:t>March 19, 2020</w:t>
            </w:r>
          </w:p>
        </w:tc>
        <w:tc>
          <w:tcPr>
            <w:tcW w:w="475" w:type="pct"/>
          </w:tcPr>
          <w:p w14:paraId="04ABAFA5"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 xml:space="preserve">Tested positive </w:t>
            </w:r>
            <w:r>
              <w:rPr>
                <w:rFonts w:ascii="Book Antiqua" w:hAnsi="Book Antiqua" w:cstheme="minorBidi"/>
                <w:bCs/>
                <w:lang w:val="el-GR"/>
              </w:rPr>
              <w:lastRenderedPageBreak/>
              <w:t>Apirl 23, 2020</w:t>
            </w:r>
          </w:p>
        </w:tc>
        <w:tc>
          <w:tcPr>
            <w:tcW w:w="613" w:type="pct"/>
          </w:tcPr>
          <w:p w14:paraId="497DFAF2"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lastRenderedPageBreak/>
              <w:t>Became negative/rem</w:t>
            </w:r>
            <w:r>
              <w:rPr>
                <w:rFonts w:ascii="Book Antiqua" w:hAnsi="Book Antiqua" w:cstheme="minorBidi"/>
                <w:bCs/>
              </w:rPr>
              <w:lastRenderedPageBreak/>
              <w:t>ained at nursing home</w:t>
            </w:r>
          </w:p>
        </w:tc>
        <w:tc>
          <w:tcPr>
            <w:tcW w:w="943" w:type="pct"/>
            <w:noWrap/>
          </w:tcPr>
          <w:p w14:paraId="011103F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No</w:t>
            </w:r>
          </w:p>
        </w:tc>
      </w:tr>
      <w:tr w:rsidR="006F0171" w14:paraId="1B0EF022" w14:textId="77777777">
        <w:trPr>
          <w:trHeight w:val="488"/>
        </w:trPr>
        <w:tc>
          <w:tcPr>
            <w:tcW w:w="238" w:type="pct"/>
            <w:noWrap/>
          </w:tcPr>
          <w:p w14:paraId="2164F6E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6</w:t>
            </w:r>
          </w:p>
        </w:tc>
        <w:tc>
          <w:tcPr>
            <w:tcW w:w="466" w:type="pct"/>
          </w:tcPr>
          <w:p w14:paraId="3960549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Female, 66 yr, AML</w:t>
            </w:r>
          </w:p>
        </w:tc>
        <w:tc>
          <w:tcPr>
            <w:tcW w:w="441" w:type="pct"/>
            <w:noWrap/>
          </w:tcPr>
          <w:p w14:paraId="3F9AE60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Lower GI</w:t>
            </w:r>
          </w:p>
        </w:tc>
        <w:tc>
          <w:tcPr>
            <w:tcW w:w="478" w:type="pct"/>
            <w:noWrap/>
          </w:tcPr>
          <w:p w14:paraId="3477C515"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Apirl 1, 2020</w:t>
            </w:r>
          </w:p>
        </w:tc>
        <w:tc>
          <w:tcPr>
            <w:tcW w:w="457" w:type="pct"/>
          </w:tcPr>
          <w:p w14:paraId="71D079F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Yes March 30, 2020</w:t>
            </w:r>
          </w:p>
          <w:p w14:paraId="65E4C410"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negative</w:t>
            </w:r>
          </w:p>
        </w:tc>
        <w:tc>
          <w:tcPr>
            <w:tcW w:w="434" w:type="pct"/>
          </w:tcPr>
          <w:p w14:paraId="14427C0C"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Yes </w:t>
            </w:r>
            <w:r>
              <w:rPr>
                <w:rFonts w:ascii="Book Antiqua" w:hAnsi="Book Antiqua" w:cstheme="minorBidi"/>
                <w:bCs/>
              </w:rPr>
              <w:t>w</w:t>
            </w:r>
            <w:r>
              <w:rPr>
                <w:rFonts w:ascii="Book Antiqua" w:hAnsi="Book Antiqua" w:cstheme="minorBidi"/>
                <w:bCs/>
                <w:lang w:val="el-GR"/>
              </w:rPr>
              <w:t>ith suspected case</w:t>
            </w:r>
          </w:p>
        </w:tc>
        <w:tc>
          <w:tcPr>
            <w:tcW w:w="457" w:type="pct"/>
          </w:tcPr>
          <w:p w14:paraId="559D90DB"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Fever since April 3, 2020 for 6 d</w:t>
            </w:r>
          </w:p>
        </w:tc>
        <w:tc>
          <w:tcPr>
            <w:tcW w:w="475" w:type="pct"/>
          </w:tcPr>
          <w:p w14:paraId="18CAF9C0"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Tested positive Apirl 10, 2020</w:t>
            </w:r>
          </w:p>
        </w:tc>
        <w:tc>
          <w:tcPr>
            <w:tcW w:w="613" w:type="pct"/>
          </w:tcPr>
          <w:p w14:paraId="3DDC0C92"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Death May 4 due to cancer/at home</w:t>
            </w:r>
          </w:p>
        </w:tc>
        <w:tc>
          <w:tcPr>
            <w:tcW w:w="943" w:type="pct"/>
            <w:noWrap/>
          </w:tcPr>
          <w:p w14:paraId="3DDB245E"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Can</w:t>
            </w:r>
            <w:r>
              <w:rPr>
                <w:rFonts w:ascii="Book Antiqua" w:hAnsi="Book Antiqua" w:cstheme="minorBidi"/>
                <w:bCs/>
              </w:rPr>
              <w:t>no</w:t>
            </w:r>
            <w:r>
              <w:rPr>
                <w:rFonts w:ascii="Book Antiqua" w:hAnsi="Book Antiqua" w:cstheme="minorBidi"/>
                <w:bCs/>
                <w:lang w:val="el-GR"/>
              </w:rPr>
              <w:t>t</w:t>
            </w:r>
            <w:r>
              <w:rPr>
                <w:rFonts w:ascii="Book Antiqua" w:hAnsi="Book Antiqua" w:cstheme="minorBidi"/>
                <w:bCs/>
              </w:rPr>
              <w:t xml:space="preserve"> reasonably</w:t>
            </w:r>
            <w:r>
              <w:rPr>
                <w:rFonts w:ascii="Book Antiqua" w:hAnsi="Book Antiqua" w:cstheme="minorBidi"/>
                <w:bCs/>
                <w:lang w:val="el-GR"/>
              </w:rPr>
              <w:t xml:space="preserve"> </w:t>
            </w:r>
            <w:r>
              <w:rPr>
                <w:rFonts w:ascii="Book Antiqua" w:hAnsi="Book Antiqua" w:cstheme="minorBidi"/>
                <w:bCs/>
              </w:rPr>
              <w:t>exclude</w:t>
            </w:r>
          </w:p>
        </w:tc>
      </w:tr>
      <w:tr w:rsidR="006F0171" w14:paraId="59F45501" w14:textId="77777777">
        <w:trPr>
          <w:trHeight w:val="528"/>
        </w:trPr>
        <w:tc>
          <w:tcPr>
            <w:tcW w:w="238" w:type="pct"/>
            <w:noWrap/>
          </w:tcPr>
          <w:p w14:paraId="271F14DB"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7</w:t>
            </w:r>
          </w:p>
        </w:tc>
        <w:tc>
          <w:tcPr>
            <w:tcW w:w="466" w:type="pct"/>
          </w:tcPr>
          <w:p w14:paraId="6E6FDA7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Male, 48 yr</w:t>
            </w:r>
          </w:p>
        </w:tc>
        <w:tc>
          <w:tcPr>
            <w:tcW w:w="441" w:type="pct"/>
            <w:noWrap/>
          </w:tcPr>
          <w:p w14:paraId="541DF1CF"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Upper GI</w:t>
            </w:r>
          </w:p>
        </w:tc>
        <w:tc>
          <w:tcPr>
            <w:tcW w:w="478" w:type="pct"/>
            <w:noWrap/>
          </w:tcPr>
          <w:p w14:paraId="1BD26A8B"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27, 2020</w:t>
            </w:r>
          </w:p>
        </w:tc>
        <w:tc>
          <w:tcPr>
            <w:tcW w:w="457" w:type="pct"/>
            <w:noWrap/>
          </w:tcPr>
          <w:p w14:paraId="724E0FE3"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noWrap/>
          </w:tcPr>
          <w:p w14:paraId="37C47CE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57" w:type="pct"/>
          </w:tcPr>
          <w:p w14:paraId="07F8E3D2"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Fever </w:t>
            </w:r>
            <w:r>
              <w:rPr>
                <w:rFonts w:ascii="Book Antiqua" w:hAnsi="Book Antiqua" w:cstheme="minorBidi"/>
                <w:bCs/>
              </w:rPr>
              <w:t>and cough since April 8, 2020 for 4 d</w:t>
            </w:r>
          </w:p>
        </w:tc>
        <w:tc>
          <w:tcPr>
            <w:tcW w:w="475" w:type="pct"/>
          </w:tcPr>
          <w:p w14:paraId="7248955A"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Tested positive Apirl 12, 2020</w:t>
            </w:r>
          </w:p>
        </w:tc>
        <w:tc>
          <w:tcPr>
            <w:tcW w:w="613" w:type="pct"/>
            <w:noWrap/>
          </w:tcPr>
          <w:p w14:paraId="65968206"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Not hospitalized</w:t>
            </w:r>
          </w:p>
        </w:tc>
        <w:tc>
          <w:tcPr>
            <w:tcW w:w="943" w:type="pct"/>
            <w:noWrap/>
          </w:tcPr>
          <w:p w14:paraId="5A070269"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r>
      <w:tr w:rsidR="006F0171" w14:paraId="2FEF5F08" w14:textId="77777777">
        <w:trPr>
          <w:trHeight w:val="636"/>
        </w:trPr>
        <w:tc>
          <w:tcPr>
            <w:tcW w:w="238" w:type="pct"/>
            <w:noWrap/>
          </w:tcPr>
          <w:p w14:paraId="0D6DDF8F"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8</w:t>
            </w:r>
          </w:p>
        </w:tc>
        <w:tc>
          <w:tcPr>
            <w:tcW w:w="466" w:type="pct"/>
          </w:tcPr>
          <w:p w14:paraId="4B261C68"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Male, 63 yr, diabetes, lung </w:t>
            </w:r>
            <w:r>
              <w:rPr>
                <w:rFonts w:ascii="Book Antiqua" w:hAnsi="Book Antiqua" w:cstheme="minorBidi"/>
                <w:bCs/>
              </w:rPr>
              <w:lastRenderedPageBreak/>
              <w:t>disease, IBD</w:t>
            </w:r>
          </w:p>
        </w:tc>
        <w:tc>
          <w:tcPr>
            <w:tcW w:w="441" w:type="pct"/>
            <w:noWrap/>
          </w:tcPr>
          <w:p w14:paraId="101CA91C"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Upper GI</w:t>
            </w:r>
          </w:p>
        </w:tc>
        <w:tc>
          <w:tcPr>
            <w:tcW w:w="478" w:type="pct"/>
            <w:noWrap/>
          </w:tcPr>
          <w:p w14:paraId="36905D28"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March 30, 2020</w:t>
            </w:r>
          </w:p>
        </w:tc>
        <w:tc>
          <w:tcPr>
            <w:tcW w:w="457" w:type="pct"/>
            <w:noWrap/>
          </w:tcPr>
          <w:p w14:paraId="5B529408"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c>
          <w:tcPr>
            <w:tcW w:w="434" w:type="pct"/>
          </w:tcPr>
          <w:p w14:paraId="0A05E235"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 xml:space="preserve">Yes </w:t>
            </w:r>
            <w:r>
              <w:rPr>
                <w:rFonts w:ascii="Book Antiqua" w:hAnsi="Book Antiqua" w:cstheme="minorBidi"/>
                <w:bCs/>
              </w:rPr>
              <w:t>w</w:t>
            </w:r>
            <w:r>
              <w:rPr>
                <w:rFonts w:ascii="Book Antiqua" w:hAnsi="Book Antiqua" w:cstheme="minorBidi"/>
                <w:bCs/>
                <w:lang w:val="el-GR"/>
              </w:rPr>
              <w:t xml:space="preserve">ith </w:t>
            </w:r>
            <w:r>
              <w:rPr>
                <w:rFonts w:ascii="Book Antiqua" w:hAnsi="Book Antiqua" w:cstheme="minorBidi"/>
                <w:bCs/>
              </w:rPr>
              <w:t>s</w:t>
            </w:r>
            <w:r>
              <w:rPr>
                <w:rFonts w:ascii="Book Antiqua" w:hAnsi="Book Antiqua" w:cstheme="minorBidi"/>
                <w:bCs/>
                <w:lang w:val="el-GR"/>
              </w:rPr>
              <w:t xml:space="preserve">uspected </w:t>
            </w:r>
            <w:r>
              <w:rPr>
                <w:rFonts w:ascii="Book Antiqua" w:hAnsi="Book Antiqua" w:cstheme="minorBidi"/>
                <w:bCs/>
              </w:rPr>
              <w:t>c</w:t>
            </w:r>
            <w:r>
              <w:rPr>
                <w:rFonts w:ascii="Book Antiqua" w:hAnsi="Book Antiqua" w:cstheme="minorBidi"/>
                <w:bCs/>
                <w:lang w:val="el-GR"/>
              </w:rPr>
              <w:t>ase</w:t>
            </w:r>
          </w:p>
        </w:tc>
        <w:tc>
          <w:tcPr>
            <w:tcW w:w="457" w:type="pct"/>
          </w:tcPr>
          <w:p w14:paraId="1EC3C2EE" w14:textId="77777777" w:rsidR="006F0171" w:rsidRDefault="0008126C">
            <w:pPr>
              <w:adjustRightInd w:val="0"/>
              <w:snapToGrid w:val="0"/>
              <w:spacing w:line="360" w:lineRule="auto"/>
              <w:jc w:val="both"/>
              <w:rPr>
                <w:rFonts w:ascii="Book Antiqua" w:hAnsi="Book Antiqua" w:cstheme="minorBidi"/>
                <w:bCs/>
              </w:rPr>
            </w:pPr>
            <w:r>
              <w:rPr>
                <w:rFonts w:ascii="Book Antiqua" w:hAnsi="Book Antiqua" w:cstheme="minorBidi"/>
                <w:bCs/>
              </w:rPr>
              <w:t xml:space="preserve">Fever and cough since </w:t>
            </w:r>
            <w:r>
              <w:rPr>
                <w:rFonts w:ascii="Book Antiqua" w:hAnsi="Book Antiqua" w:cstheme="minorBidi"/>
                <w:bCs/>
              </w:rPr>
              <w:lastRenderedPageBreak/>
              <w:t>April 22, 2020 for 2 d</w:t>
            </w:r>
          </w:p>
        </w:tc>
        <w:tc>
          <w:tcPr>
            <w:tcW w:w="475" w:type="pct"/>
          </w:tcPr>
          <w:p w14:paraId="5719D65D"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lastRenderedPageBreak/>
              <w:t xml:space="preserve">Tested positive Apirl </w:t>
            </w:r>
            <w:r>
              <w:rPr>
                <w:rFonts w:ascii="Book Antiqua" w:hAnsi="Book Antiqua" w:cstheme="minorBidi"/>
                <w:bCs/>
                <w:lang w:val="el-GR"/>
              </w:rPr>
              <w:t>22, 2020</w:t>
            </w:r>
          </w:p>
        </w:tc>
        <w:tc>
          <w:tcPr>
            <w:tcW w:w="613" w:type="pct"/>
            <w:noWrap/>
          </w:tcPr>
          <w:p w14:paraId="15418694"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Not hospitalized</w:t>
            </w:r>
          </w:p>
        </w:tc>
        <w:tc>
          <w:tcPr>
            <w:tcW w:w="943" w:type="pct"/>
            <w:noWrap/>
          </w:tcPr>
          <w:p w14:paraId="0DD4989C" w14:textId="77777777" w:rsidR="006F0171" w:rsidRDefault="0008126C">
            <w:pPr>
              <w:adjustRightInd w:val="0"/>
              <w:snapToGrid w:val="0"/>
              <w:spacing w:line="360" w:lineRule="auto"/>
              <w:jc w:val="both"/>
              <w:rPr>
                <w:rFonts w:ascii="Book Antiqua" w:hAnsi="Book Antiqua" w:cstheme="minorBidi"/>
                <w:bCs/>
                <w:lang w:val="el-GR"/>
              </w:rPr>
            </w:pPr>
            <w:r>
              <w:rPr>
                <w:rFonts w:ascii="Book Antiqua" w:hAnsi="Book Antiqua" w:cstheme="minorBidi"/>
                <w:bCs/>
                <w:lang w:val="el-GR"/>
              </w:rPr>
              <w:t>No</w:t>
            </w:r>
          </w:p>
        </w:tc>
      </w:tr>
    </w:tbl>
    <w:p w14:paraId="0D1D7EE4" w14:textId="77777777" w:rsidR="006F0171" w:rsidRDefault="0008126C">
      <w:pPr>
        <w:adjustRightInd w:val="0"/>
        <w:snapToGrid w:val="0"/>
        <w:spacing w:line="360" w:lineRule="auto"/>
        <w:jc w:val="both"/>
        <w:rPr>
          <w:rFonts w:ascii="Book Antiqua" w:hAnsi="Book Antiqua"/>
        </w:rPr>
      </w:pPr>
      <w:r>
        <w:rPr>
          <w:rFonts w:ascii="Book Antiqua" w:hAnsi="Book Antiqua"/>
        </w:rPr>
        <w:t>AML: Acute myeloid leukemia; Chronic obstructive pulmonary disease; COPD; EUS: Endoscopic ultrasonography; GI: Gastrointestinal; IBD: Inflammatory bowel disease; PCR: Polymerase chain reaction.</w:t>
      </w:r>
    </w:p>
    <w:p w14:paraId="3F99A128" w14:textId="77777777" w:rsidR="006F0171" w:rsidRDefault="006F0171">
      <w:pPr>
        <w:rPr>
          <w:rFonts w:ascii="Book Antiqua" w:hAnsi="Book Antiqua"/>
        </w:rPr>
        <w:sectPr w:rsidR="006F0171">
          <w:pgSz w:w="15840" w:h="12240" w:orient="landscape"/>
          <w:pgMar w:top="1440" w:right="1440" w:bottom="1440" w:left="1440" w:header="720" w:footer="720" w:gutter="0"/>
          <w:cols w:space="720"/>
          <w:docGrid w:linePitch="360"/>
        </w:sectPr>
      </w:pPr>
    </w:p>
    <w:p w14:paraId="03C85B72" w14:textId="77777777" w:rsidR="006F0171" w:rsidRDefault="006F0171">
      <w:pPr>
        <w:snapToGrid w:val="0"/>
        <w:ind w:leftChars="100" w:left="240"/>
        <w:jc w:val="center"/>
        <w:rPr>
          <w:rFonts w:ascii="Book Antiqua" w:hAnsi="Book Antiqua"/>
          <w:lang w:eastAsia="zh-CN"/>
        </w:rPr>
      </w:pPr>
    </w:p>
    <w:p w14:paraId="3868C4B5" w14:textId="77777777" w:rsidR="006F0171" w:rsidRDefault="006F0171">
      <w:pPr>
        <w:snapToGrid w:val="0"/>
        <w:ind w:leftChars="100" w:left="240"/>
        <w:jc w:val="center"/>
        <w:rPr>
          <w:rFonts w:ascii="Book Antiqua" w:hAnsi="Book Antiqua"/>
          <w:lang w:eastAsia="zh-CN"/>
        </w:rPr>
      </w:pPr>
    </w:p>
    <w:p w14:paraId="264F389C" w14:textId="77777777" w:rsidR="006F0171" w:rsidRDefault="006F0171">
      <w:pPr>
        <w:snapToGrid w:val="0"/>
        <w:ind w:leftChars="100" w:left="240"/>
        <w:jc w:val="center"/>
        <w:rPr>
          <w:rFonts w:ascii="Book Antiqua" w:hAnsi="Book Antiqua"/>
          <w:lang w:eastAsia="zh-CN"/>
        </w:rPr>
      </w:pPr>
    </w:p>
    <w:p w14:paraId="483B7EE1" w14:textId="77777777" w:rsidR="006F0171" w:rsidRDefault="006F0171">
      <w:pPr>
        <w:snapToGrid w:val="0"/>
        <w:ind w:leftChars="100" w:left="240"/>
        <w:jc w:val="center"/>
        <w:rPr>
          <w:rFonts w:ascii="Book Antiqua" w:hAnsi="Book Antiqua"/>
          <w:lang w:eastAsia="zh-CN"/>
        </w:rPr>
      </w:pPr>
    </w:p>
    <w:p w14:paraId="2D7F5F26" w14:textId="77777777" w:rsidR="006F0171" w:rsidRDefault="0008126C">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9A379FF" wp14:editId="4F8BF9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71ED61" w14:textId="77777777" w:rsidR="006F0171" w:rsidRDefault="006F0171">
      <w:pPr>
        <w:snapToGrid w:val="0"/>
        <w:ind w:leftChars="100" w:left="240"/>
        <w:jc w:val="center"/>
        <w:rPr>
          <w:rFonts w:ascii="Book Antiqua" w:hAnsi="Book Antiqua"/>
          <w:lang w:eastAsia="zh-CN"/>
        </w:rPr>
      </w:pPr>
    </w:p>
    <w:p w14:paraId="4FAC5B09" w14:textId="77777777" w:rsidR="006F0171" w:rsidRDefault="0008126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2D35F9" w14:textId="77777777" w:rsidR="006F0171" w:rsidRDefault="000812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7C52CC" w14:textId="77777777" w:rsidR="006F0171" w:rsidRDefault="000812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811E93" w14:textId="77777777" w:rsidR="006F0171" w:rsidRDefault="000812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7EA54D" w14:textId="77777777" w:rsidR="006F0171" w:rsidRDefault="000812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9841C7" w14:textId="77777777" w:rsidR="006F0171" w:rsidRDefault="0008126C">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8206214" w14:textId="77777777" w:rsidR="006F0171" w:rsidRDefault="006F0171">
      <w:pPr>
        <w:snapToGrid w:val="0"/>
        <w:ind w:leftChars="100" w:left="240"/>
        <w:jc w:val="center"/>
        <w:rPr>
          <w:rFonts w:ascii="Book Antiqua" w:hAnsi="Book Antiqua"/>
          <w:lang w:eastAsia="zh-CN"/>
        </w:rPr>
      </w:pPr>
    </w:p>
    <w:p w14:paraId="0D5FA3F6" w14:textId="77777777" w:rsidR="006F0171" w:rsidRDefault="006F0171">
      <w:pPr>
        <w:snapToGrid w:val="0"/>
        <w:ind w:leftChars="100" w:left="240"/>
        <w:jc w:val="center"/>
        <w:rPr>
          <w:rFonts w:ascii="Book Antiqua" w:hAnsi="Book Antiqua"/>
          <w:lang w:eastAsia="zh-CN"/>
        </w:rPr>
      </w:pPr>
    </w:p>
    <w:p w14:paraId="2921D03D" w14:textId="77777777" w:rsidR="006F0171" w:rsidRDefault="006F0171">
      <w:pPr>
        <w:snapToGrid w:val="0"/>
        <w:ind w:leftChars="100" w:left="240"/>
        <w:jc w:val="center"/>
        <w:rPr>
          <w:rFonts w:ascii="Book Antiqua" w:hAnsi="Book Antiqua"/>
          <w:lang w:eastAsia="zh-CN"/>
        </w:rPr>
      </w:pPr>
    </w:p>
    <w:p w14:paraId="113E6CA9" w14:textId="77777777" w:rsidR="006F0171" w:rsidRDefault="0008126C">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7EEFFAF" wp14:editId="36D3BD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DB4139" w14:textId="77777777" w:rsidR="006F0171" w:rsidRDefault="006F0171">
      <w:pPr>
        <w:snapToGrid w:val="0"/>
        <w:ind w:leftChars="100" w:left="240"/>
        <w:jc w:val="center"/>
        <w:rPr>
          <w:rFonts w:ascii="Book Antiqua" w:hAnsi="Book Antiqua"/>
          <w:lang w:eastAsia="zh-CN"/>
        </w:rPr>
      </w:pPr>
    </w:p>
    <w:p w14:paraId="5061F987" w14:textId="77777777" w:rsidR="006F0171" w:rsidRDefault="006F0171">
      <w:pPr>
        <w:snapToGrid w:val="0"/>
        <w:ind w:leftChars="100" w:left="240"/>
        <w:jc w:val="center"/>
        <w:rPr>
          <w:rFonts w:ascii="Book Antiqua" w:hAnsi="Book Antiqua"/>
          <w:lang w:eastAsia="zh-CN"/>
        </w:rPr>
      </w:pPr>
    </w:p>
    <w:p w14:paraId="59AE975E" w14:textId="77777777" w:rsidR="006F0171" w:rsidRDefault="006F0171">
      <w:pPr>
        <w:snapToGrid w:val="0"/>
        <w:ind w:leftChars="100" w:left="240"/>
        <w:jc w:val="center"/>
        <w:rPr>
          <w:rFonts w:ascii="Book Antiqua" w:hAnsi="Book Antiqua"/>
          <w:lang w:eastAsia="zh-CN"/>
        </w:rPr>
      </w:pPr>
    </w:p>
    <w:p w14:paraId="19F1DD7F" w14:textId="77777777" w:rsidR="006F0171" w:rsidRDefault="006F0171">
      <w:pPr>
        <w:snapToGrid w:val="0"/>
        <w:ind w:leftChars="100" w:left="240"/>
        <w:jc w:val="center"/>
        <w:rPr>
          <w:rFonts w:ascii="Book Antiqua" w:hAnsi="Book Antiqua"/>
          <w:lang w:eastAsia="zh-CN"/>
        </w:rPr>
      </w:pPr>
    </w:p>
    <w:p w14:paraId="6ECB1DA3" w14:textId="77777777" w:rsidR="006F0171" w:rsidRDefault="006F0171">
      <w:pPr>
        <w:snapToGrid w:val="0"/>
        <w:ind w:leftChars="100" w:left="240"/>
        <w:jc w:val="center"/>
        <w:rPr>
          <w:rFonts w:ascii="Book Antiqua" w:hAnsi="Book Antiqua"/>
          <w:lang w:eastAsia="zh-CN"/>
        </w:rPr>
      </w:pPr>
    </w:p>
    <w:p w14:paraId="013CE184" w14:textId="77777777" w:rsidR="006F0171" w:rsidRDefault="006F0171">
      <w:pPr>
        <w:snapToGrid w:val="0"/>
        <w:ind w:leftChars="100" w:left="240"/>
        <w:jc w:val="center"/>
        <w:rPr>
          <w:rFonts w:ascii="Book Antiqua" w:hAnsi="Book Antiqua"/>
          <w:lang w:eastAsia="zh-CN"/>
        </w:rPr>
      </w:pPr>
    </w:p>
    <w:p w14:paraId="17A43CA1" w14:textId="77777777" w:rsidR="006F0171" w:rsidRDefault="006F0171">
      <w:pPr>
        <w:snapToGrid w:val="0"/>
        <w:ind w:leftChars="100" w:left="240"/>
        <w:jc w:val="center"/>
        <w:rPr>
          <w:rFonts w:ascii="Book Antiqua" w:hAnsi="Book Antiqua"/>
          <w:lang w:eastAsia="zh-CN"/>
        </w:rPr>
      </w:pPr>
    </w:p>
    <w:p w14:paraId="12B69E65" w14:textId="77777777" w:rsidR="006F0171" w:rsidRDefault="006F0171">
      <w:pPr>
        <w:snapToGrid w:val="0"/>
        <w:ind w:leftChars="100" w:left="240"/>
        <w:jc w:val="center"/>
        <w:rPr>
          <w:rFonts w:ascii="Book Antiqua" w:hAnsi="Book Antiqua"/>
          <w:lang w:eastAsia="zh-CN"/>
        </w:rPr>
      </w:pPr>
    </w:p>
    <w:p w14:paraId="02E746A0" w14:textId="77777777" w:rsidR="006F0171" w:rsidRDefault="006F0171">
      <w:pPr>
        <w:snapToGrid w:val="0"/>
        <w:ind w:leftChars="100" w:left="240"/>
        <w:jc w:val="center"/>
        <w:rPr>
          <w:rFonts w:ascii="Book Antiqua" w:hAnsi="Book Antiqua"/>
          <w:lang w:eastAsia="zh-CN"/>
        </w:rPr>
      </w:pPr>
    </w:p>
    <w:p w14:paraId="7D8D0D40" w14:textId="77777777" w:rsidR="006F0171" w:rsidRDefault="006F0171">
      <w:pPr>
        <w:snapToGrid w:val="0"/>
        <w:ind w:leftChars="100" w:left="240"/>
        <w:jc w:val="right"/>
        <w:rPr>
          <w:rFonts w:ascii="Book Antiqua" w:hAnsi="Book Antiqua"/>
          <w:color w:val="000000" w:themeColor="text1"/>
          <w:lang w:eastAsia="zh-CN"/>
        </w:rPr>
      </w:pPr>
    </w:p>
    <w:p w14:paraId="27423D63" w14:textId="77777777" w:rsidR="006F0171" w:rsidRDefault="0008126C">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2021 Baishideng Publishing Group Inc. All rights reserved.</w:t>
      </w:r>
    </w:p>
    <w:p w14:paraId="3339CBC4" w14:textId="77777777" w:rsidR="006F0171" w:rsidRDefault="006F0171">
      <w:pPr>
        <w:rPr>
          <w:rFonts w:ascii="Book Antiqua" w:hAnsi="Book Antiqua"/>
        </w:rPr>
      </w:pPr>
    </w:p>
    <w:sectPr w:rsidR="006F0171">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FEC4" w14:textId="77777777" w:rsidR="0008126C" w:rsidRDefault="0008126C">
      <w:r>
        <w:separator/>
      </w:r>
    </w:p>
  </w:endnote>
  <w:endnote w:type="continuationSeparator" w:id="0">
    <w:p w14:paraId="02145426" w14:textId="77777777" w:rsidR="0008126C" w:rsidRDefault="000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12995"/>
    </w:sdtPr>
    <w:sdtEndPr/>
    <w:sdtContent>
      <w:sdt>
        <w:sdtPr>
          <w:id w:val="1728636285"/>
        </w:sdtPr>
        <w:sdtEndPr/>
        <w:sdtContent>
          <w:p w14:paraId="646F9A85" w14:textId="77777777" w:rsidR="006F0171" w:rsidRDefault="0008126C">
            <w:pPr>
              <w:pStyle w:val="a7"/>
              <w:jc w:val="right"/>
            </w:pPr>
            <w:r>
              <w:rPr>
                <w:rFonts w:ascii="Book Antiqua" w:hAnsi="Book Antiqua"/>
                <w:lang w:val="zh-CN" w:eastAsia="zh-CN"/>
              </w:rPr>
              <w:t xml:space="preserve"> </w:t>
            </w:r>
            <w:r>
              <w:rPr>
                <w:rFonts w:ascii="Book Antiqua" w:hAnsi="Book Antiqua"/>
              </w:rPr>
              <w:fldChar w:fldCharType="begin"/>
            </w:r>
            <w:r>
              <w:rPr>
                <w:rFonts w:ascii="Book Antiqua" w:hAnsi="Book Antiqua"/>
              </w:rPr>
              <w:instrText>PAGE</w:instrText>
            </w:r>
            <w:r>
              <w:rPr>
                <w:rFonts w:ascii="Book Antiqua" w:hAnsi="Book Antiqua"/>
              </w:rPr>
              <w:fldChar w:fldCharType="separate"/>
            </w:r>
            <w:r>
              <w:rPr>
                <w:rFonts w:ascii="Book Antiqua" w:hAnsi="Book Antiqua"/>
              </w:rPr>
              <w:t>11</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w:instrText>
            </w:r>
            <w:r>
              <w:rPr>
                <w:rFonts w:ascii="Book Antiqua" w:hAnsi="Book Antiqua"/>
              </w:rPr>
              <w:fldChar w:fldCharType="separate"/>
            </w:r>
            <w:r>
              <w:rPr>
                <w:rFonts w:ascii="Book Antiqua" w:hAnsi="Book Antiqua"/>
              </w:rPr>
              <w:t>26</w:t>
            </w:r>
            <w:r>
              <w:rPr>
                <w:rFonts w:ascii="Book Antiqua" w:hAnsi="Book Antiqua"/>
              </w:rPr>
              <w:fldChar w:fldCharType="end"/>
            </w:r>
          </w:p>
        </w:sdtContent>
      </w:sdt>
    </w:sdtContent>
  </w:sdt>
  <w:p w14:paraId="2887DC40" w14:textId="77777777" w:rsidR="006F0171" w:rsidRDefault="006F01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0059" w14:textId="77777777" w:rsidR="0008126C" w:rsidRDefault="0008126C">
      <w:r>
        <w:separator/>
      </w:r>
    </w:p>
  </w:footnote>
  <w:footnote w:type="continuationSeparator" w:id="0">
    <w:p w14:paraId="0554CF5F" w14:textId="77777777" w:rsidR="0008126C" w:rsidRDefault="0008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F95F" w14:textId="77777777" w:rsidR="006F0171" w:rsidRDefault="006F0171">
    <w:pPr>
      <w:pStyle w:val="a9"/>
      <w:jc w:val="right"/>
      <w:rPr>
        <w:rFonts w:ascii="Book Antiqua" w:hAnsi="Book Antiqua"/>
      </w:rPr>
    </w:pPr>
  </w:p>
  <w:p w14:paraId="77ACB1C9" w14:textId="77777777" w:rsidR="006F0171" w:rsidRDefault="006F017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672"/>
    </w:sdtPr>
    <w:sdtEndPr>
      <w:rPr>
        <w:rFonts w:ascii="Book Antiqua" w:hAnsi="Book Antiqua"/>
      </w:rPr>
    </w:sdtEndPr>
    <w:sdtContent>
      <w:p w14:paraId="07D37289" w14:textId="77777777" w:rsidR="006F0171" w:rsidRDefault="0008126C">
        <w:pPr>
          <w:pStyle w:val="a9"/>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Pr>
            <w:rFonts w:ascii="Book Antiqua" w:hAnsi="Book Antiqua"/>
          </w:rPr>
          <w:t>26</w:t>
        </w:r>
        <w:r>
          <w:rPr>
            <w:rFonts w:ascii="Book Antiqua" w:hAnsi="Book Antiqua"/>
          </w:rPr>
          <w:fldChar w:fldCharType="end"/>
        </w:r>
      </w:p>
    </w:sdtContent>
  </w:sdt>
  <w:p w14:paraId="55DDAAA4" w14:textId="77777777" w:rsidR="006F0171" w:rsidRDefault="006F017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304"/>
    <w:rsid w:val="00027CD2"/>
    <w:rsid w:val="000417A9"/>
    <w:rsid w:val="00045049"/>
    <w:rsid w:val="000711E4"/>
    <w:rsid w:val="0008126C"/>
    <w:rsid w:val="000B2D65"/>
    <w:rsid w:val="000C2ED0"/>
    <w:rsid w:val="000D3C85"/>
    <w:rsid w:val="000F0F72"/>
    <w:rsid w:val="00126154"/>
    <w:rsid w:val="001329C9"/>
    <w:rsid w:val="001445B1"/>
    <w:rsid w:val="00155ECA"/>
    <w:rsid w:val="00161B38"/>
    <w:rsid w:val="001650A8"/>
    <w:rsid w:val="001908A7"/>
    <w:rsid w:val="00192A4E"/>
    <w:rsid w:val="001C4D9C"/>
    <w:rsid w:val="001D07E0"/>
    <w:rsid w:val="001E32FE"/>
    <w:rsid w:val="001F6183"/>
    <w:rsid w:val="00202C25"/>
    <w:rsid w:val="00280163"/>
    <w:rsid w:val="00284023"/>
    <w:rsid w:val="002D6889"/>
    <w:rsid w:val="00305F82"/>
    <w:rsid w:val="00317207"/>
    <w:rsid w:val="003178A7"/>
    <w:rsid w:val="00351F3B"/>
    <w:rsid w:val="00354172"/>
    <w:rsid w:val="003B17DE"/>
    <w:rsid w:val="003D7DA4"/>
    <w:rsid w:val="00404F24"/>
    <w:rsid w:val="00415F7C"/>
    <w:rsid w:val="00435072"/>
    <w:rsid w:val="0045027C"/>
    <w:rsid w:val="00455575"/>
    <w:rsid w:val="00473DD9"/>
    <w:rsid w:val="004A1B95"/>
    <w:rsid w:val="004D1F02"/>
    <w:rsid w:val="004F52DD"/>
    <w:rsid w:val="004F533F"/>
    <w:rsid w:val="0052712E"/>
    <w:rsid w:val="00563E4A"/>
    <w:rsid w:val="00576F9F"/>
    <w:rsid w:val="00600B29"/>
    <w:rsid w:val="00671371"/>
    <w:rsid w:val="006D70E5"/>
    <w:rsid w:val="006E2986"/>
    <w:rsid w:val="006E3139"/>
    <w:rsid w:val="006E3736"/>
    <w:rsid w:val="006E4218"/>
    <w:rsid w:val="006F0171"/>
    <w:rsid w:val="00730233"/>
    <w:rsid w:val="00745A36"/>
    <w:rsid w:val="007A00CA"/>
    <w:rsid w:val="007A0B9C"/>
    <w:rsid w:val="007A2269"/>
    <w:rsid w:val="007B3174"/>
    <w:rsid w:val="007B620E"/>
    <w:rsid w:val="007E709C"/>
    <w:rsid w:val="007F3F4E"/>
    <w:rsid w:val="0081315E"/>
    <w:rsid w:val="00831724"/>
    <w:rsid w:val="00846068"/>
    <w:rsid w:val="0085043C"/>
    <w:rsid w:val="0089077A"/>
    <w:rsid w:val="008A5C3F"/>
    <w:rsid w:val="008B5968"/>
    <w:rsid w:val="008C3D10"/>
    <w:rsid w:val="008C7ED2"/>
    <w:rsid w:val="009220FF"/>
    <w:rsid w:val="00927892"/>
    <w:rsid w:val="0093445A"/>
    <w:rsid w:val="00947BEE"/>
    <w:rsid w:val="009A410E"/>
    <w:rsid w:val="009A5EBC"/>
    <w:rsid w:val="009D1366"/>
    <w:rsid w:val="009D1C51"/>
    <w:rsid w:val="00A26859"/>
    <w:rsid w:val="00A553B5"/>
    <w:rsid w:val="00A64DA0"/>
    <w:rsid w:val="00A71CE5"/>
    <w:rsid w:val="00A71E92"/>
    <w:rsid w:val="00A77626"/>
    <w:rsid w:val="00A77B3E"/>
    <w:rsid w:val="00A90E6A"/>
    <w:rsid w:val="00AB6469"/>
    <w:rsid w:val="00AC0864"/>
    <w:rsid w:val="00AE36E3"/>
    <w:rsid w:val="00AF2AB6"/>
    <w:rsid w:val="00B14A8E"/>
    <w:rsid w:val="00B24554"/>
    <w:rsid w:val="00B90FD7"/>
    <w:rsid w:val="00BA3B05"/>
    <w:rsid w:val="00BC3C5D"/>
    <w:rsid w:val="00BC50CD"/>
    <w:rsid w:val="00C3662E"/>
    <w:rsid w:val="00C36FA0"/>
    <w:rsid w:val="00C7223A"/>
    <w:rsid w:val="00CA2A55"/>
    <w:rsid w:val="00CB1BB6"/>
    <w:rsid w:val="00D1041C"/>
    <w:rsid w:val="00D46FA4"/>
    <w:rsid w:val="00D55140"/>
    <w:rsid w:val="00D66376"/>
    <w:rsid w:val="00DE0BF5"/>
    <w:rsid w:val="00DF7907"/>
    <w:rsid w:val="00E341AB"/>
    <w:rsid w:val="00E4054A"/>
    <w:rsid w:val="00E53B36"/>
    <w:rsid w:val="00E55E4C"/>
    <w:rsid w:val="00E66E80"/>
    <w:rsid w:val="00E8080E"/>
    <w:rsid w:val="00EE43EB"/>
    <w:rsid w:val="00F02447"/>
    <w:rsid w:val="00F17BAC"/>
    <w:rsid w:val="00F324A9"/>
    <w:rsid w:val="00F728E5"/>
    <w:rsid w:val="00F83A0D"/>
    <w:rsid w:val="00F93C39"/>
    <w:rsid w:val="00FA70B0"/>
    <w:rsid w:val="00FD59D0"/>
    <w:rsid w:val="00FE7110"/>
    <w:rsid w:val="00FF6E68"/>
    <w:rsid w:val="63E015ED"/>
    <w:rsid w:val="77B2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122B2"/>
  <w15:docId w15:val="{CD89A4FD-0614-41D3-8C66-B4C8F8B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pPr>
  </w:style>
  <w:style w:type="paragraph" w:styleId="a9">
    <w:name w:val="header"/>
    <w:basedOn w:val="a"/>
    <w:link w:val="aa"/>
    <w:uiPriority w:val="99"/>
    <w:unhideWhenUsed/>
    <w:qFormat/>
    <w:pPr>
      <w:tabs>
        <w:tab w:val="center" w:pos="4153"/>
        <w:tab w:val="right" w:pos="8306"/>
      </w:tabs>
    </w:p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rFonts w:ascii="Segoe UI" w:hAnsi="Segoe UI" w:cs="Segoe UI"/>
      <w:sz w:val="18"/>
      <w:szCs w:val="18"/>
    </w:rPr>
  </w:style>
  <w:style w:type="character" w:customStyle="1" w:styleId="aa">
    <w:name w:val="页眉 字符"/>
    <w:basedOn w:val="a0"/>
    <w:link w:val="a9"/>
    <w:uiPriority w:val="99"/>
    <w:qFormat/>
    <w:rPr>
      <w:sz w:val="24"/>
      <w:szCs w:val="24"/>
    </w:rPr>
  </w:style>
  <w:style w:type="character" w:customStyle="1" w:styleId="a8">
    <w:name w:val="页脚 字符"/>
    <w:basedOn w:val="a0"/>
    <w:link w:val="a7"/>
    <w:uiPriority w:val="99"/>
    <w:qFormat/>
    <w:rPr>
      <w:sz w:val="24"/>
      <w:szCs w:val="24"/>
    </w:rPr>
  </w:style>
  <w:style w:type="character" w:customStyle="1" w:styleId="id-label">
    <w:name w:val="id-label"/>
    <w:basedOn w:val="a0"/>
    <w:qFormat/>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5716</Words>
  <Characters>32586</Characters>
  <Application>Microsoft Office Word</Application>
  <DocSecurity>0</DocSecurity>
  <Lines>271</Lines>
  <Paragraphs>76</Paragraphs>
  <ScaleCrop>false</ScaleCrop>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Wang, Linyutong</cp:lastModifiedBy>
  <cp:revision>18</cp:revision>
  <dcterms:created xsi:type="dcterms:W3CDTF">2021-07-30T19:08:00Z</dcterms:created>
  <dcterms:modified xsi:type="dcterms:W3CDTF">2021-09-18T07:29:00Z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CBC173A4F05F496E827F691D050D215D</vt:lpwstr>
  </property>
</Properties>
</file>