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bookmarkStart w:id="2" w:name="_GoBack"/>
      <w:bookmarkEnd w:id="2"/>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77875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CORRECTION</w:t>
      </w:r>
    </w:p>
    <w:p>
      <w:pPr>
        <w:spacing w:line="360" w:lineRule="auto"/>
        <w:jc w:val="both"/>
      </w:pPr>
    </w:p>
    <w:p>
      <w:pPr>
        <w:spacing w:line="360" w:lineRule="auto"/>
        <w:jc w:val="both"/>
      </w:pPr>
      <w:r>
        <w:rPr>
          <w:rFonts w:ascii="Book Antiqua" w:hAnsi="Book Antiqua" w:eastAsia="Book Antiqua" w:cs="Book Antiqua"/>
          <w:b/>
          <w:bCs/>
          <w:color w:val="000000"/>
        </w:rPr>
        <w:t>Correction to “Laparoscopy-assisted resection of colorectal cancer with situs inversus totalis: A case report and literature review”</w:t>
      </w:r>
    </w:p>
    <w:p>
      <w:pPr>
        <w:spacing w:line="360" w:lineRule="auto"/>
        <w:jc w:val="both"/>
      </w:pPr>
    </w:p>
    <w:p>
      <w:pPr>
        <w:spacing w:line="360" w:lineRule="auto"/>
        <w:jc w:val="both"/>
      </w:pPr>
      <w:r>
        <w:rPr>
          <w:rFonts w:ascii="Book Antiqua" w:hAnsi="Book Antiqua" w:eastAsia="Book Antiqua" w:cs="Book Antiqua"/>
          <w:color w:val="000000"/>
        </w:rPr>
        <w:t xml:space="preserve">Chen </w:t>
      </w:r>
      <w:r>
        <w:rPr>
          <w:rFonts w:hint="eastAsia" w:ascii="Book Antiqua" w:hAnsi="Book Antiqua" w:cs="Book Antiqua"/>
          <w:color w:val="000000"/>
          <w:lang w:eastAsia="zh-CN"/>
        </w:rPr>
        <w:t xml:space="preserve">W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Laparoscopy-assisted resection</w:t>
      </w:r>
    </w:p>
    <w:p>
      <w:pPr>
        <w:spacing w:line="360" w:lineRule="auto"/>
        <w:jc w:val="both"/>
      </w:pPr>
    </w:p>
    <w:p>
      <w:pPr>
        <w:spacing w:line="360" w:lineRule="auto"/>
        <w:jc w:val="both"/>
      </w:pPr>
      <w:r>
        <w:rPr>
          <w:rFonts w:ascii="Book Antiqua" w:hAnsi="Book Antiqua" w:eastAsia="Book Antiqua" w:cs="Book Antiqua"/>
          <w:color w:val="000000"/>
        </w:rPr>
        <w:t>Wei Chen, Jing-Lin Liang, Jun-Wen Ye, Yan-Xin Luo, Mei-Jin Huang</w:t>
      </w:r>
    </w:p>
    <w:p>
      <w:pPr>
        <w:spacing w:line="360" w:lineRule="auto"/>
        <w:jc w:val="both"/>
      </w:pPr>
    </w:p>
    <w:p>
      <w:pPr>
        <w:spacing w:line="360" w:lineRule="auto"/>
        <w:jc w:val="both"/>
      </w:pPr>
      <w:r>
        <w:rPr>
          <w:rFonts w:ascii="Book Antiqua" w:hAnsi="Book Antiqua" w:eastAsia="Book Antiqua" w:cs="Book Antiqua"/>
          <w:b/>
          <w:bCs/>
          <w:color w:val="000000"/>
        </w:rPr>
        <w:t xml:space="preserve">Wei Chen, Jing-Lin Liang, Jun-Wen Ye, Yan-Xin Luo, Mei-Jin Huang, </w:t>
      </w:r>
      <w:r>
        <w:rPr>
          <w:rFonts w:ascii="Book Antiqua" w:hAnsi="Book Antiqua" w:eastAsia="Book Antiqua" w:cs="Book Antiqua"/>
          <w:color w:val="000000"/>
        </w:rPr>
        <w:t>Department</w:t>
      </w:r>
      <w:r>
        <w:rPr>
          <w:rFonts w:hint="eastAsia" w:ascii="Book Antiqua" w:hAnsi="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cs="Book Antiqua"/>
          <w:color w:val="000000"/>
          <w:lang w:eastAsia="zh-CN"/>
        </w:rPr>
        <w:t xml:space="preserve"> </w:t>
      </w:r>
      <w:r>
        <w:rPr>
          <w:rFonts w:ascii="Book Antiqua" w:hAnsi="Book Antiqua" w:eastAsia="Book Antiqua" w:cs="Book Antiqua"/>
          <w:color w:val="000000"/>
        </w:rPr>
        <w:t>Colorectal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Surgery,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Six</w:t>
      </w:r>
      <w:r>
        <w:rPr>
          <w:rFonts w:hint="eastAsia" w:ascii="Book Antiqua" w:hAnsi="Book Antiqua" w:cs="Book Antiqua"/>
          <w:color w:val="000000"/>
          <w:lang w:eastAsia="zh-CN"/>
        </w:rPr>
        <w:t xml:space="preserve"> </w:t>
      </w:r>
      <w:r>
        <w:rPr>
          <w:rFonts w:ascii="Book Antiqua" w:hAnsi="Book Antiqua" w:eastAsia="Book Antiqua" w:cs="Book Antiqua"/>
          <w:color w:val="000000"/>
        </w:rPr>
        <w:t>Affiliated</w:t>
      </w:r>
      <w:r>
        <w:rPr>
          <w:rFonts w:hint="eastAsia" w:ascii="Book Antiqua" w:hAnsi="Book Antiqua" w:cs="Book Antiqua"/>
          <w:color w:val="000000"/>
          <w:lang w:eastAsia="zh-CN"/>
        </w:rPr>
        <w:t xml:space="preserve"> </w:t>
      </w:r>
      <w:r>
        <w:rPr>
          <w:rFonts w:ascii="Book Antiqua" w:hAnsi="Book Antiqua" w:eastAsia="Book Antiqua" w:cs="Book Antiqua"/>
          <w:color w:val="000000"/>
        </w:rPr>
        <w:t>Hospital,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Sun</w:t>
      </w:r>
      <w:r>
        <w:rPr>
          <w:rFonts w:hint="eastAsia" w:ascii="Book Antiqua" w:hAnsi="Book Antiqua" w:cs="Book Antiqua"/>
          <w:color w:val="000000"/>
          <w:lang w:eastAsia="zh-CN"/>
        </w:rPr>
        <w:t xml:space="preserve"> </w:t>
      </w:r>
      <w:r>
        <w:rPr>
          <w:rFonts w:ascii="Book Antiqua" w:hAnsi="Book Antiqua" w:eastAsia="Book Antiqua" w:cs="Book Antiqua"/>
          <w:color w:val="000000"/>
        </w:rPr>
        <w:t>Yat-sen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University, </w:t>
      </w:r>
      <w:r>
        <w:rPr>
          <w:rFonts w:hint="eastAsia" w:ascii="Book Antiqua" w:hAnsi="Book Antiqua" w:cs="Book Antiqua"/>
          <w:color w:val="000000"/>
          <w:lang w:eastAsia="zh-CN"/>
        </w:rPr>
        <w:t>G</w:t>
      </w:r>
      <w:r>
        <w:rPr>
          <w:rFonts w:ascii="Book Antiqua" w:hAnsi="Book Antiqua" w:eastAsia="Book Antiqua" w:cs="Book Antiqua"/>
          <w:color w:val="000000"/>
        </w:rPr>
        <w:t xml:space="preserve">uangzhou 510655, </w:t>
      </w:r>
      <w:r>
        <w:rPr>
          <w:rFonts w:hint="eastAsia" w:ascii="Book Antiqua" w:hAnsi="Book Antiqua" w:cs="Book Antiqua"/>
          <w:color w:val="000000"/>
          <w:lang w:eastAsia="zh-CN"/>
        </w:rPr>
        <w:t xml:space="preserve">Guangdong Province, </w:t>
      </w:r>
      <w:r>
        <w:rPr>
          <w:rFonts w:ascii="Book Antiqua" w:hAnsi="Book Antiqua" w:eastAsia="Book Antiqua" w:cs="Book Antiqua"/>
          <w:color w:val="000000"/>
        </w:rPr>
        <w:t>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Chen W, Liang JL, Ye JW, Luo YX, and Huang MJ contributed to the study design, data collection, analysis, and interpretation, drafting of the final manuscript, and supervision;</w:t>
      </w:r>
      <w:r>
        <w:rPr>
          <w:rFonts w:hint="eastAsia" w:ascii="Book Antiqua" w:hAnsi="Book Antiqua" w:cs="Book Antiqua"/>
          <w:color w:val="000000"/>
          <w:lang w:eastAsia="zh-CN"/>
        </w:rPr>
        <w:t xml:space="preserve"> A</w:t>
      </w:r>
      <w:r>
        <w:rPr>
          <w:rFonts w:ascii="Book Antiqua" w:hAnsi="Book Antiqua" w:eastAsia="Book Antiqua" w:cs="Book Antiqua"/>
          <w:color w:val="000000"/>
        </w:rPr>
        <w:t>ll authors approved the final version of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Mei-Jin Huang, PhD, Academic Fellow, Doctor, </w:t>
      </w:r>
      <w:r>
        <w:rPr>
          <w:rFonts w:ascii="Book Antiqua" w:hAnsi="Book Antiqua" w:eastAsia="Book Antiqua" w:cs="Book Antiqua"/>
          <w:color w:val="000000"/>
        </w:rPr>
        <w:t>Department</w:t>
      </w:r>
      <w:r>
        <w:rPr>
          <w:rFonts w:hint="eastAsia" w:ascii="Book Antiqua" w:hAnsi="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cs="Book Antiqua"/>
          <w:color w:val="000000"/>
          <w:lang w:eastAsia="zh-CN"/>
        </w:rPr>
        <w:t xml:space="preserve"> </w:t>
      </w:r>
      <w:r>
        <w:rPr>
          <w:rFonts w:ascii="Book Antiqua" w:hAnsi="Book Antiqua" w:eastAsia="Book Antiqua" w:cs="Book Antiqua"/>
          <w:color w:val="000000"/>
        </w:rPr>
        <w:t>Colorectal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Surgery,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Six</w:t>
      </w:r>
      <w:r>
        <w:rPr>
          <w:rFonts w:hint="eastAsia" w:ascii="Book Antiqua" w:hAnsi="Book Antiqua" w:cs="Book Antiqua"/>
          <w:color w:val="000000"/>
          <w:lang w:eastAsia="zh-CN"/>
        </w:rPr>
        <w:t xml:space="preserve"> </w:t>
      </w:r>
      <w:r>
        <w:rPr>
          <w:rFonts w:ascii="Book Antiqua" w:hAnsi="Book Antiqua" w:eastAsia="Book Antiqua" w:cs="Book Antiqua"/>
          <w:color w:val="000000"/>
        </w:rPr>
        <w:t>Affiliated</w:t>
      </w:r>
      <w:r>
        <w:rPr>
          <w:rFonts w:hint="eastAsia" w:ascii="Book Antiqua" w:hAnsi="Book Antiqua" w:cs="Book Antiqua"/>
          <w:color w:val="000000"/>
          <w:lang w:eastAsia="zh-CN"/>
        </w:rPr>
        <w:t xml:space="preserve"> </w:t>
      </w:r>
      <w:r>
        <w:rPr>
          <w:rFonts w:ascii="Book Antiqua" w:hAnsi="Book Antiqua" w:eastAsia="Book Antiqua" w:cs="Book Antiqua"/>
          <w:color w:val="000000"/>
        </w:rPr>
        <w:t>Hospital,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Sun</w:t>
      </w:r>
      <w:r>
        <w:rPr>
          <w:rFonts w:hint="eastAsia" w:ascii="Book Antiqua" w:hAnsi="Book Antiqua" w:cs="Book Antiqua"/>
          <w:color w:val="000000"/>
          <w:lang w:eastAsia="zh-CN"/>
        </w:rPr>
        <w:t xml:space="preserve"> </w:t>
      </w:r>
      <w:r>
        <w:rPr>
          <w:rFonts w:ascii="Book Antiqua" w:hAnsi="Book Antiqua" w:eastAsia="Book Antiqua" w:cs="Book Antiqua"/>
          <w:color w:val="000000"/>
        </w:rPr>
        <w:t>Yat-sen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University, </w:t>
      </w:r>
      <w:r>
        <w:rPr>
          <w:rFonts w:hint="eastAsia" w:ascii="Book Antiqua" w:hAnsi="Book Antiqua" w:cs="Book Antiqua"/>
          <w:color w:val="000000"/>
          <w:lang w:eastAsia="zh-CN"/>
        </w:rPr>
        <w:t xml:space="preserve">No. </w:t>
      </w:r>
      <w:r>
        <w:rPr>
          <w:rFonts w:ascii="Book Antiqua" w:hAnsi="Book Antiqua" w:eastAsia="Book Antiqua" w:cs="Book Antiqua"/>
          <w:color w:val="000000"/>
        </w:rPr>
        <w:t>26 Yuancun Er Heng R</w:t>
      </w:r>
      <w:r>
        <w:rPr>
          <w:rFonts w:hint="eastAsia" w:ascii="Book Antiqua" w:hAnsi="Book Antiqua" w:cs="Book Antiqua"/>
          <w:color w:val="000000"/>
          <w:lang w:eastAsia="zh-CN"/>
        </w:rPr>
        <w:t>oa</w:t>
      </w:r>
      <w:r>
        <w:rPr>
          <w:rFonts w:ascii="Book Antiqua" w:hAnsi="Book Antiqua" w:eastAsia="Book Antiqua" w:cs="Book Antiqua"/>
          <w:color w:val="000000"/>
        </w:rPr>
        <w:t xml:space="preserve">d, </w:t>
      </w:r>
      <w:r>
        <w:rPr>
          <w:rFonts w:hint="eastAsia" w:ascii="Book Antiqua" w:hAnsi="Book Antiqua" w:cs="Book Antiqua"/>
          <w:color w:val="000000"/>
          <w:lang w:eastAsia="zh-CN"/>
        </w:rPr>
        <w:t>G</w:t>
      </w:r>
      <w:r>
        <w:rPr>
          <w:rFonts w:ascii="Book Antiqua" w:hAnsi="Book Antiqua" w:eastAsia="Book Antiqua" w:cs="Book Antiqua"/>
          <w:color w:val="000000"/>
        </w:rPr>
        <w:t xml:space="preserve">uangzhou 510655, </w:t>
      </w:r>
      <w:r>
        <w:rPr>
          <w:rFonts w:hint="eastAsia" w:ascii="Book Antiqua" w:hAnsi="Book Antiqua" w:cs="Book Antiqua"/>
          <w:color w:val="000000"/>
          <w:lang w:eastAsia="zh-CN"/>
        </w:rPr>
        <w:t xml:space="preserve">Guangdong Province, </w:t>
      </w:r>
      <w:r>
        <w:rPr>
          <w:rFonts w:ascii="Book Antiqua" w:hAnsi="Book Antiqua" w:eastAsia="Book Antiqua" w:cs="Book Antiqua"/>
          <w:color w:val="000000"/>
        </w:rPr>
        <w:t>China. 13924073322@139.com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25,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19,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16, 2022</w:t>
      </w:r>
    </w:p>
    <w:p>
      <w:pPr>
        <w:spacing w:line="360" w:lineRule="auto"/>
        <w:jc w:val="both"/>
      </w:pP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zCs w:val="21"/>
        </w:rPr>
        <w:t xml:space="preserve">Correction to "Laparoscopy-assisted resection of colorectal cancer with situs inversus totalis: A case report and literature review" </w:t>
      </w:r>
      <w:r>
        <w:rPr>
          <w:rFonts w:ascii="Book Antiqua" w:hAnsi="Book Antiqua" w:eastAsia="Book Antiqua" w:cs="Book Antiqua"/>
          <w:i/>
          <w:color w:val="000000"/>
          <w:szCs w:val="21"/>
          <w:shd w:val="clear" w:color="auto" w:fill="FFFFFF"/>
        </w:rPr>
        <w:t>World J Gastrointest Endosc</w:t>
      </w:r>
      <w:r>
        <w:rPr>
          <w:rFonts w:ascii="Book Antiqua" w:hAnsi="Book Antiqua" w:eastAsia="Book Antiqua" w:cs="Book Antiqua"/>
          <w:color w:val="000000"/>
          <w:szCs w:val="21"/>
          <w:shd w:val="clear" w:color="auto" w:fill="FFFFFF"/>
        </w:rPr>
        <w:t xml:space="preserve"> 2020;</w:t>
      </w:r>
      <w:r>
        <w:rPr>
          <w:rFonts w:hint="eastAsia" w:ascii="Book Antiqua" w:hAnsi="Book Antiqua" w:cs="Book Antiqua"/>
          <w:color w:val="000000"/>
          <w:szCs w:val="21"/>
          <w:shd w:val="clear" w:color="auto" w:fill="FFFFFF"/>
          <w:lang w:eastAsia="zh-CN"/>
        </w:rPr>
        <w:t xml:space="preserve"> </w:t>
      </w:r>
      <w:r>
        <w:rPr>
          <w:rFonts w:ascii="Book Antiqua" w:hAnsi="Book Antiqua" w:eastAsia="Book Antiqua" w:cs="Book Antiqua"/>
          <w:color w:val="000000"/>
          <w:szCs w:val="21"/>
          <w:shd w:val="clear" w:color="auto" w:fill="FFFFFF"/>
        </w:rPr>
        <w:t>12:</w:t>
      </w:r>
      <w:r>
        <w:rPr>
          <w:rFonts w:hint="eastAsia" w:ascii="Book Antiqua" w:hAnsi="Book Antiqua" w:cs="Book Antiqua"/>
          <w:color w:val="000000"/>
          <w:szCs w:val="21"/>
          <w:shd w:val="clear" w:color="auto" w:fill="FFFFFF"/>
          <w:lang w:eastAsia="zh-CN"/>
        </w:rPr>
        <w:t xml:space="preserve"> </w:t>
      </w:r>
      <w:r>
        <w:rPr>
          <w:rFonts w:ascii="Book Antiqua" w:hAnsi="Book Antiqua" w:eastAsia="Book Antiqua" w:cs="Book Antiqua"/>
          <w:color w:val="000000"/>
          <w:szCs w:val="21"/>
          <w:shd w:val="clear" w:color="auto" w:fill="FFFFFF"/>
        </w:rPr>
        <w:t xml:space="preserve">310-316. </w:t>
      </w:r>
      <w:r>
        <w:rPr>
          <w:rFonts w:ascii="Book Antiqua" w:hAnsi="Book Antiqua" w:eastAsia="Book Antiqua" w:cs="Book Antiqua"/>
          <w:color w:val="000000"/>
          <w:szCs w:val="21"/>
        </w:rPr>
        <w:t xml:space="preserve">In this article, </w:t>
      </w:r>
      <w:r>
        <w:rPr>
          <w:rFonts w:hint="eastAsia" w:ascii="Book Antiqua" w:hAnsi="Book Antiqua" w:cs="Book Antiqua"/>
          <w:color w:val="000000"/>
          <w:szCs w:val="21"/>
          <w:lang w:eastAsia="zh-CN"/>
        </w:rPr>
        <w:t>w</w:t>
      </w:r>
      <w:r>
        <w:rPr>
          <w:rFonts w:ascii="Book Antiqua" w:hAnsi="Book Antiqua" w:eastAsia="Book Antiqua" w:cs="Book Antiqua"/>
          <w:color w:val="000000"/>
          <w:szCs w:val="21"/>
        </w:rPr>
        <w:t xml:space="preserve">e have replaced the previous TNM stage of colorectal cancer (T4aN0M0) and the revised TNM stage is provided (T4aN1cM1c).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shd w:val="clear" w:color="auto" w:fill="FFFFFF"/>
        </w:rPr>
        <w:t>Colorectal cancer</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Situs inversus totalis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Hyperthermic intraperitoneal chemotherapy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Case report</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Correction</w:t>
      </w:r>
    </w:p>
    <w:p>
      <w:pPr>
        <w:spacing w:line="360" w:lineRule="auto"/>
        <w:jc w:val="both"/>
      </w:pPr>
    </w:p>
    <w:p>
      <w:pPr>
        <w:spacing w:line="360" w:lineRule="auto"/>
        <w:rPr>
          <w:rFonts w:ascii="Book Antiqua" w:hAnsi="Book Antiqua" w:eastAsia="Book Antiqua" w:cs="Book Antiqua"/>
          <w:color w:val="000000"/>
        </w:rPr>
      </w:pPr>
      <w:bookmarkStart w:id="0" w:name="_Hlk118968487"/>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bookmarkEnd w:id="0"/>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b/>
          <w:bCs/>
        </w:rPr>
        <w:t>Citation:</w:t>
      </w:r>
      <w:r>
        <w:rPr>
          <w:rFonts w:ascii="Book Antiqua" w:hAnsi="Book Antiqua"/>
          <w:b/>
          <w:bCs/>
        </w:rPr>
        <w:t xml:space="preserve"> </w:t>
      </w:r>
      <w:r>
        <w:rPr>
          <w:rFonts w:ascii="Book Antiqua" w:hAnsi="Book Antiqua" w:eastAsia="Book Antiqua" w:cs="Book Antiqua"/>
          <w:color w:val="000000"/>
        </w:rPr>
        <w:t xml:space="preserve">Chen W, Liang JL, Ye JW, Luo YX, Huang MJ. Correction to “Laparoscopy-assisted resection of colorectal cancer with situs inversus totalis: A case report and literature review”.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14(11): 737-738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 HYPERLINK "https://www.wjgnet.com/1948-5190/full/v14/i11/737.htm" </w:instrText>
      </w:r>
      <w:r>
        <w:rPr>
          <w:rFonts w:ascii="Book Antiqua" w:hAnsi="Book Antiqua" w:eastAsia="Book Antiqua" w:cs="Book Antiqua"/>
          <w:color w:val="000000"/>
        </w:rPr>
        <w:fldChar w:fldCharType="separate"/>
      </w:r>
      <w:r>
        <w:rPr>
          <w:rStyle w:val="9"/>
          <w:rFonts w:ascii="Book Antiqua" w:hAnsi="Book Antiqua" w:eastAsia="Book Antiqua" w:cs="Book Antiqua"/>
          <w:color w:val="000000"/>
          <w:u w:val="none"/>
        </w:rPr>
        <w:t>https://www.wjgnet.com/1948-5190/full/v14/i11/737.htm</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https://dx.doi.org/10.4253/wjge.v14.i11.737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a correction to “Laparoscopy-assisted resection of colorectal cancer with situs inversus totalis: A case report and literature review”</w:t>
      </w:r>
      <w:r>
        <w:rPr>
          <w:rFonts w:hint="eastAsia" w:ascii="Book Antiqua" w:hAnsi="Book Antiqua" w:cs="Book Antiqua"/>
          <w:color w:val="000000"/>
          <w:lang w:eastAsia="zh-CN"/>
        </w:rPr>
        <w:t xml:space="preserve"> </w:t>
      </w:r>
      <w:r>
        <w:rPr>
          <w:rFonts w:ascii="Book Antiqua" w:hAnsi="Book Antiqua" w:eastAsia="Book Antiqua" w:cs="Book Antiqua"/>
          <w:i/>
          <w:color w:val="000000"/>
          <w:shd w:val="clear" w:color="auto" w:fill="FFFFFF"/>
        </w:rPr>
        <w:t>World J Gastrointest Endosc</w:t>
      </w:r>
      <w:r>
        <w:rPr>
          <w:rFonts w:ascii="Book Antiqua" w:hAnsi="Book Antiqua" w:eastAsia="Book Antiqua" w:cs="Book Antiqua"/>
          <w:color w:val="000000"/>
          <w:shd w:val="clear" w:color="auto" w:fill="FFFFFF"/>
        </w:rPr>
        <w:t xml:space="preserve"> 2020;</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12:</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310-316. </w:t>
      </w:r>
      <w:r>
        <w:rPr>
          <w:rFonts w:ascii="Book Antiqua" w:hAnsi="Book Antiqua" w:eastAsia="Book Antiqua" w:cs="Book Antiqua"/>
          <w:color w:val="000000"/>
        </w:rPr>
        <w:t>In this article, the previous TNM stage of colorectal cancer is T4aN0M0, which has been replaced by the revised TNM stage (T4aN1cM1c).</w:t>
      </w:r>
    </w:p>
    <w:p>
      <w:pPr>
        <w:spacing w:line="360" w:lineRule="auto"/>
        <w:jc w:val="both"/>
      </w:pPr>
    </w:p>
    <w:p>
      <w:pPr>
        <w:spacing w:line="360" w:lineRule="auto"/>
        <w:jc w:val="both"/>
        <w:rPr>
          <w:rStyle w:val="10"/>
        </w:rPr>
      </w:pPr>
      <w:r>
        <w:rPr>
          <w:rFonts w:ascii="Book Antiqua" w:hAnsi="Book Antiqua" w:eastAsia="Book Antiqua" w:cs="Book Antiqua"/>
          <w:b/>
          <w:caps/>
          <w:color w:val="000000"/>
          <w:u w:val="single"/>
        </w:rPr>
        <w:t>TO THE EDITOR</w:t>
      </w:r>
    </w:p>
    <w:p>
      <w:pPr>
        <w:spacing w:line="360" w:lineRule="auto"/>
        <w:ind w:firstLine="480" w:firstLineChars="200"/>
        <w:jc w:val="both"/>
        <w:rPr>
          <w:rFonts w:hint="eastAsia" w:ascii="Book Antiqua" w:hAnsi="Book Antiqua" w:cs="Book Antiqua"/>
          <w:color w:val="000000"/>
          <w:lang w:eastAsia="zh-CN"/>
        </w:rPr>
      </w:pPr>
      <w:r>
        <w:rPr>
          <w:rFonts w:ascii="Book Antiqua" w:hAnsi="Book Antiqua" w:eastAsia="Book Antiqua" w:cs="Book Antiqua"/>
          <w:color w:val="000000"/>
        </w:rPr>
        <w:t xml:space="preserve">Thank you for your letter and for the reviewers’ comments concerning our manuscript entitled </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Correction to “Laparoscopy-assisted resection of colorectal cancer with situs inversus totalis: A case report and literature review”</w:t>
      </w:r>
      <w:r>
        <w:rPr>
          <w:rFonts w:hint="eastAsia" w:ascii="Book Antiqua" w:hAnsi="Book Antiqua" w:cs="Book Antiqua"/>
          <w:color w:val="000000"/>
          <w:vertAlign w:val="superscript"/>
          <w:lang w:eastAsia="zh-CN"/>
        </w:rPr>
        <w:t>[1]</w:t>
      </w:r>
      <w:r>
        <w:rPr>
          <w:rFonts w:ascii="Book Antiqua" w:hAnsi="Book Antiqua" w:cs="Book Antiqua"/>
          <w:color w:val="000000"/>
          <w:shd w:val="clear" w:color="auto" w:fill="FFFFFF"/>
          <w:lang w:eastAsia="zh-CN"/>
        </w:rPr>
        <w:t>”</w:t>
      </w:r>
      <w:r>
        <w:rPr>
          <w:rFonts w:ascii="Book Antiqua" w:hAnsi="Book Antiqua" w:eastAsia="Book Antiqua" w:cs="Book Antiqua"/>
          <w:color w:val="000000"/>
        </w:rPr>
        <w:t>(ID: Manuscript NO. 77875, Correction). Those comments are all valuable and very helpful for our paper.</w:t>
      </w:r>
      <w:r>
        <w:rPr>
          <w:rFonts w:hint="eastAsia" w:ascii="Book Antiqua" w:hAnsi="Book Antiqua" w:cs="Book Antiqua"/>
          <w:color w:val="000000"/>
          <w:lang w:eastAsia="zh-CN"/>
        </w:rPr>
        <w:t xml:space="preserve"> </w:t>
      </w:r>
    </w:p>
    <w:p>
      <w:pPr>
        <w:spacing w:line="360" w:lineRule="auto"/>
        <w:ind w:firstLine="480" w:firstLineChars="200"/>
        <w:jc w:val="both"/>
        <w:rPr>
          <w:rFonts w:hint="eastAsia" w:ascii="Book Antiqua" w:hAnsi="Book Antiqua" w:cs="Book Antiqua"/>
          <w:color w:val="000000"/>
          <w:lang w:eastAsia="zh-CN"/>
        </w:rPr>
      </w:pPr>
      <w:r>
        <w:rPr>
          <w:rFonts w:ascii="Book Antiqua" w:hAnsi="Book Antiqua" w:eastAsia="Book Antiqua" w:cs="Book Antiqua"/>
          <w:color w:val="000000"/>
        </w:rPr>
        <w:t>The previous TNM stage of colorectal cancer is T4aN0M0, which has been replaced by the revised TNM stage (T4aN1cM1c). Since the specific number of versions of tumor staging was not indicated in our previous text, the staging of the tumor was different from the latest one. Therefore, we would like to modify the postoperative staging of tumors, which should be</w:t>
      </w:r>
      <w:r>
        <w:rPr>
          <w:rFonts w:hint="eastAsia" w:ascii="Book Antiqua" w:hAnsi="Book Antiqua" w:cs="Book Antiqua"/>
          <w:color w:val="000000"/>
          <w:lang w:eastAsia="zh-CN"/>
        </w:rPr>
        <w:t xml:space="preserve"> </w:t>
      </w:r>
      <w:r>
        <w:rPr>
          <w:rFonts w:ascii="Book Antiqua" w:hAnsi="Book Antiqua" w:eastAsia="Book Antiqua" w:cs="Book Antiqua"/>
          <w:color w:val="000000"/>
        </w:rPr>
        <w:t>T4aN1cM1c.</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Chen W</w:t>
      </w:r>
      <w:r>
        <w:rPr>
          <w:rFonts w:ascii="Book Antiqua" w:hAnsi="Book Antiqua" w:eastAsia="Book Antiqua" w:cs="Book Antiqua"/>
          <w:color w:val="000000"/>
        </w:rPr>
        <w:t xml:space="preserve">, Liang JL, Ye JW, Luo YX, Huang MJ. Laparoscopy-assisted resection of colorectal cancer with situs inversus totalis: A case report and literature review.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310-316 [PMID: 32994862 DOI: 10.4253/wjge.v12.i9.310]</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lang w:eastAsia="zh-CN"/>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26,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4,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Frascio M, Italy; Herold M, Hungary</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Fan JR</w:t>
      </w:r>
    </w:p>
    <w:p>
      <w:pPr>
        <w:spacing w:line="360" w:lineRule="auto"/>
        <w:jc w:val="both"/>
      </w:pPr>
    </w:p>
    <w:p>
      <w:pPr>
        <w:snapToGrid w:val="0"/>
        <w:ind w:left="240" w:leftChars="100"/>
        <w:jc w:val="center"/>
        <w:rPr>
          <w:rFonts w:ascii="Book Antiqua" w:hAnsi="Book Antiqua"/>
        </w:rPr>
      </w:pPr>
      <w:r>
        <w:br w:type="page"/>
      </w:r>
      <w:bookmarkStart w:id="1" w:name="_Hlk118968507"/>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lang/>
        </w:rPr>
        <w:drawing>
          <wp:inline distT="0" distB="0" distL="114300" distR="114300">
            <wp:extent cx="2499995" cy="1439545"/>
            <wp:effectExtent l="0" t="0" r="14605" b="8255"/>
            <wp:docPr id="1"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Users\18810513029\Desktop\logo.png"/>
                    <pic:cNvPicPr>
                      <a:picLocks noChangeAspect="1"/>
                    </pic:cNvPicPr>
                  </pic:nvPicPr>
                  <pic:blipFill>
                    <a:blip r:embed="rId5"/>
                    <a:stretch>
                      <a:fillRect/>
                    </a:stretch>
                  </pic:blipFill>
                  <pic:spPr>
                    <a:xfrm>
                      <a:off x="0" y="0"/>
                      <a:ext cx="2499995" cy="1439545"/>
                    </a:xfrm>
                    <a:prstGeom prst="rect">
                      <a:avLst/>
                    </a:prstGeom>
                    <a:noFill/>
                    <a:ln>
                      <a:noFill/>
                    </a:ln>
                  </pic:spPr>
                </pic:pic>
              </a:graphicData>
            </a:graphic>
          </wp:inline>
        </w:drawing>
      </w:r>
    </w:p>
    <w:p>
      <w:pPr>
        <w:snapToGrid w:val="0"/>
        <w:ind w:left="240" w:leftChars="100"/>
        <w:jc w:val="center"/>
        <w:rPr>
          <w:rFonts w:ascii="Book Antiqua" w:hAnsi="Book Antiqua"/>
        </w:rPr>
      </w:pPr>
    </w:p>
    <w:p>
      <w:pPr>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r>
        <w:rPr>
          <w:rFonts w:ascii="Book Antiqua" w:hAnsi="Book Antiqua"/>
          <w:lang/>
        </w:rPr>
        <w:drawing>
          <wp:inline distT="0" distB="0" distL="114300" distR="114300">
            <wp:extent cx="1447165" cy="1439545"/>
            <wp:effectExtent l="0" t="0" r="635" b="8255"/>
            <wp:docPr id="2"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C:\Users\18810513029\Desktop\二维码.png"/>
                    <pic:cNvPicPr>
                      <a:picLocks noChangeAspect="1"/>
                    </pic:cNvPicPr>
                  </pic:nvPicPr>
                  <pic:blipFill>
                    <a:blip r:embed="rId6"/>
                    <a:stretch>
                      <a:fillRect/>
                    </a:stretch>
                  </pic:blipFill>
                  <pic:spPr>
                    <a:xfrm>
                      <a:off x="0" y="0"/>
                      <a:ext cx="1447165" cy="1439545"/>
                    </a:xfrm>
                    <a:prstGeom prst="rect">
                      <a:avLst/>
                    </a:prstGeom>
                    <a:noFill/>
                    <a:ln>
                      <a:noFill/>
                    </a:ln>
                  </pic:spPr>
                </pic:pic>
              </a:graphicData>
            </a:graphic>
          </wp:inline>
        </w:drawing>
      </w: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center"/>
        <w:rPr>
          <w:rFonts w:ascii="Book Antiqua" w:hAnsi="Book Antiqua"/>
        </w:rPr>
      </w:pPr>
    </w:p>
    <w:p>
      <w:pPr>
        <w:snapToGrid w:val="0"/>
        <w:ind w:left="240" w:leftChars="100"/>
        <w:jc w:val="right"/>
        <w:rPr>
          <w:rFonts w:ascii="Book Antiqua" w:hAnsi="Book Antiqua"/>
          <w:color w:val="000000"/>
        </w:rPr>
      </w:pPr>
    </w:p>
    <w:p>
      <w:pPr>
        <w:snapToGrid w:val="0"/>
        <w:jc w:val="center"/>
        <w:rPr>
          <w:rFonts w:ascii="Book Antiqua" w:hAnsi="Book Antiqua"/>
          <w:shd w:val="clear" w:color="auto" w:fill="FFFFFF"/>
        </w:rPr>
      </w:pPr>
      <w:r>
        <w:rPr>
          <w:rFonts w:ascii="Book Antiqua" w:hAnsi="Book Antiqua" w:eastAsia="BookAntiqua-Bold" w:cs="BookAntiqua-Bold"/>
          <w:b/>
          <w:bCs/>
          <w:color w:val="000000"/>
        </w:rPr>
        <w:t>© 202</w:t>
      </w:r>
      <w:r>
        <w:rPr>
          <w:rFonts w:hint="eastAsia" w:ascii="Book Antiqua" w:hAnsi="Book Antiqua" w:cs="BookAntiqua-Bold"/>
          <w:b/>
          <w:bCs/>
          <w:color w:val="000000"/>
        </w:rPr>
        <w:t>2</w:t>
      </w:r>
      <w:r>
        <w:rPr>
          <w:rFonts w:ascii="Book Antiqua" w:hAnsi="Book Antiqua" w:eastAsia="BookAntiqua-Bold" w:cs="BookAntiqua-Bold"/>
          <w:b/>
          <w:bCs/>
          <w:color w:val="000000"/>
        </w:rPr>
        <w:t xml:space="preserve"> Baishideng Publishing Group Inc. All rights reserved.</w:t>
      </w:r>
    </w:p>
    <w:bookmarkEnd w:id="1"/>
    <w:p>
      <w:pPr>
        <w:rPr>
          <w:rFonts w:ascii="Book Antiqua" w:hAnsi="Book Antiqua" w:cs="Book Antiqua"/>
          <w:b/>
          <w:bCs/>
          <w:color w:val="000000"/>
        </w:rPr>
      </w:pPr>
    </w:p>
    <w:p>
      <w:pPr>
        <w:spacing w:line="360" w:lineRule="auto"/>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60002" w:csb1="00000000"/>
  </w:font>
  <w:font w:name="Yu Gothic">
    <w:panose1 w:val="020B04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rPr>
      <w:t>5</w:t>
    </w:r>
    <w:r>
      <w:rPr>
        <w:rFonts w:ascii="Book Antiqua" w:hAnsi="Book Antiqua"/>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7138"/>
    <w:rsid w:val="00215CE2"/>
    <w:rsid w:val="002D5485"/>
    <w:rsid w:val="002F713C"/>
    <w:rsid w:val="00385796"/>
    <w:rsid w:val="003862A5"/>
    <w:rsid w:val="0039554B"/>
    <w:rsid w:val="003A6C8C"/>
    <w:rsid w:val="003B7104"/>
    <w:rsid w:val="003E3233"/>
    <w:rsid w:val="0041193C"/>
    <w:rsid w:val="0049106B"/>
    <w:rsid w:val="00506F29"/>
    <w:rsid w:val="00594AEA"/>
    <w:rsid w:val="00607812"/>
    <w:rsid w:val="00662039"/>
    <w:rsid w:val="006724EA"/>
    <w:rsid w:val="006A795D"/>
    <w:rsid w:val="0072066F"/>
    <w:rsid w:val="00761661"/>
    <w:rsid w:val="007C0A73"/>
    <w:rsid w:val="007E0814"/>
    <w:rsid w:val="007E6281"/>
    <w:rsid w:val="00800420"/>
    <w:rsid w:val="00823B6B"/>
    <w:rsid w:val="00827B1B"/>
    <w:rsid w:val="00830907"/>
    <w:rsid w:val="0083140C"/>
    <w:rsid w:val="00851DA2"/>
    <w:rsid w:val="008878A3"/>
    <w:rsid w:val="008A1CC5"/>
    <w:rsid w:val="008F4B8B"/>
    <w:rsid w:val="00925C10"/>
    <w:rsid w:val="00A11AC0"/>
    <w:rsid w:val="00A31F4E"/>
    <w:rsid w:val="00A53AA1"/>
    <w:rsid w:val="00A662E2"/>
    <w:rsid w:val="00A77B3E"/>
    <w:rsid w:val="00AE58C1"/>
    <w:rsid w:val="00B05D8E"/>
    <w:rsid w:val="00BA780E"/>
    <w:rsid w:val="00BC6738"/>
    <w:rsid w:val="00BF300B"/>
    <w:rsid w:val="00C15926"/>
    <w:rsid w:val="00C30F43"/>
    <w:rsid w:val="00C71800"/>
    <w:rsid w:val="00CA0147"/>
    <w:rsid w:val="00CA2A55"/>
    <w:rsid w:val="00D0518D"/>
    <w:rsid w:val="00D62A80"/>
    <w:rsid w:val="00D76D95"/>
    <w:rsid w:val="00D977A3"/>
    <w:rsid w:val="00DE6792"/>
    <w:rsid w:val="00E62DA0"/>
    <w:rsid w:val="00E775A2"/>
    <w:rsid w:val="00F373A2"/>
    <w:rsid w:val="00F456C8"/>
    <w:rsid w:val="00FD03FA"/>
    <w:rsid w:val="00FF1086"/>
    <w:rsid w:val="0DFE6DD5"/>
    <w:rsid w:val="3FFDA86B"/>
    <w:rsid w:val="7CFA2A4A"/>
    <w:rsid w:val="CE6F861C"/>
    <w:rsid w:val="EEFF41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4"/>
    <w:qFormat/>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Hyperlink"/>
    <w:uiPriority w:val="0"/>
    <w:rPr>
      <w:color w:val="0563C1"/>
      <w:u w:val="single"/>
    </w:rPr>
  </w:style>
  <w:style w:type="character" w:styleId="10">
    <w:name w:val="annotation reference"/>
    <w:qFormat/>
    <w:uiPriority w:val="0"/>
    <w:rPr>
      <w:sz w:val="21"/>
      <w:szCs w:val="21"/>
    </w:rPr>
  </w:style>
  <w:style w:type="character" w:customStyle="1" w:styleId="11">
    <w:name w:val="q4iawc"/>
    <w:basedOn w:val="8"/>
    <w:qFormat/>
    <w:uiPriority w:val="0"/>
  </w:style>
  <w:style w:type="character" w:customStyle="1" w:styleId="12">
    <w:name w:val="批注文字 字符"/>
    <w:link w:val="2"/>
    <w:qFormat/>
    <w:uiPriority w:val="0"/>
    <w:rPr>
      <w:sz w:val="24"/>
      <w:szCs w:val="24"/>
      <w:lang w:eastAsia="en-US"/>
    </w:rPr>
  </w:style>
  <w:style w:type="character" w:customStyle="1" w:styleId="13">
    <w:name w:val="页眉 字符"/>
    <w:link w:val="5"/>
    <w:qFormat/>
    <w:uiPriority w:val="0"/>
    <w:rPr>
      <w:sz w:val="18"/>
      <w:szCs w:val="18"/>
    </w:rPr>
  </w:style>
  <w:style w:type="character" w:customStyle="1" w:styleId="14">
    <w:name w:val="批注框文本 字符"/>
    <w:link w:val="3"/>
    <w:qFormat/>
    <w:uiPriority w:val="0"/>
    <w:rPr>
      <w:sz w:val="18"/>
      <w:szCs w:val="18"/>
      <w:lang w:eastAsia="en-US"/>
    </w:rPr>
  </w:style>
  <w:style w:type="character" w:customStyle="1" w:styleId="15">
    <w:name w:val="页脚 字符"/>
    <w:link w:val="4"/>
    <w:qFormat/>
    <w:uiPriority w:val="99"/>
    <w:rPr>
      <w:sz w:val="18"/>
      <w:szCs w:val="18"/>
    </w:rPr>
  </w:style>
  <w:style w:type="character" w:customStyle="1" w:styleId="16">
    <w:name w:val="批注主题 字符"/>
    <w:link w:val="6"/>
    <w:qFormat/>
    <w:uiPriority w:val="0"/>
    <w:rPr>
      <w:b/>
      <w:bCs/>
      <w:sz w:val="24"/>
      <w:szCs w:val="24"/>
      <w:lang w:eastAsia="en-US"/>
    </w:rPr>
  </w:style>
  <w:style w:type="paragraph" w:styleId="17">
    <w:name w:val=""/>
    <w:hidden/>
    <w:unhideWhenUsed/>
    <w:uiPriority w:val="99"/>
    <w:rPr>
      <w:sz w:val="24"/>
      <w:szCs w:val="24"/>
      <w:lang w:val="en-US" w:eastAsia="en-US" w:bidi="ar-SA"/>
    </w:rPr>
  </w:style>
  <w:style w:type="character" w:styleId="18">
    <w:name w:val=""/>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666</Words>
  <Characters>4170</Characters>
  <Lines>35</Lines>
  <Paragraphs>9</Paragraphs>
  <TotalTime>0</TotalTime>
  <ScaleCrop>false</ScaleCrop>
  <LinksUpToDate>false</LinksUpToDate>
  <CharactersWithSpaces>4791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2022-10-04T14:24:00Z</dcterms:created>
  <dc:creator>Administrator</dc:creator>
  <cp:lastModifiedBy>晓晨</cp:lastModifiedBy>
  <dcterms:modified xsi:type="dcterms:W3CDTF">2022-11-11T08:40:21Z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01FDB60A88CB497FB342F6C8EE5B23D0</vt:lpwstr>
  </property>
</Properties>
</file>