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3EB07"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color w:val="000000"/>
        </w:rPr>
        <w:t xml:space="preserve">Name of Journal: </w:t>
      </w:r>
      <w:r w:rsidRPr="00D40ECC">
        <w:rPr>
          <w:rFonts w:ascii="Book Antiqua" w:eastAsia="Book Antiqua" w:hAnsi="Book Antiqua" w:cs="Book Antiqua"/>
          <w:i/>
          <w:color w:val="000000"/>
        </w:rPr>
        <w:t>World Journal of Hepatology</w:t>
      </w:r>
    </w:p>
    <w:p w14:paraId="627C1EDE"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color w:val="000000"/>
        </w:rPr>
        <w:t xml:space="preserve">Manuscript NO: </w:t>
      </w:r>
      <w:r w:rsidRPr="00D40ECC">
        <w:rPr>
          <w:rFonts w:ascii="Book Antiqua" w:eastAsia="Book Antiqua" w:hAnsi="Book Antiqua" w:cs="Book Antiqua"/>
          <w:color w:val="000000"/>
        </w:rPr>
        <w:t>57335</w:t>
      </w:r>
    </w:p>
    <w:p w14:paraId="4EB914BF"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color w:val="000000"/>
        </w:rPr>
        <w:t xml:space="preserve">Manuscript Type: </w:t>
      </w:r>
      <w:r w:rsidRPr="00D40ECC">
        <w:rPr>
          <w:rFonts w:ascii="Book Antiqua" w:eastAsia="Book Antiqua" w:hAnsi="Book Antiqua" w:cs="Book Antiqua"/>
          <w:color w:val="000000"/>
        </w:rPr>
        <w:t>ORIGINAL ARTICLE</w:t>
      </w:r>
    </w:p>
    <w:p w14:paraId="2D5DC505" w14:textId="77777777" w:rsidR="00A77B3E" w:rsidRPr="00D40ECC" w:rsidRDefault="00A77B3E" w:rsidP="005638C6">
      <w:pPr>
        <w:spacing w:line="360" w:lineRule="auto"/>
        <w:jc w:val="both"/>
        <w:rPr>
          <w:rFonts w:ascii="Book Antiqua" w:hAnsi="Book Antiqua"/>
        </w:rPr>
      </w:pPr>
    </w:p>
    <w:p w14:paraId="015C1E4C"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i/>
          <w:color w:val="000000"/>
        </w:rPr>
        <w:t>Retrospective Cohort Study</w:t>
      </w:r>
    </w:p>
    <w:p w14:paraId="4602F60B" w14:textId="3B8C1C4E"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color w:val="000000"/>
        </w:rPr>
        <w:t xml:space="preserve">Cannabis </w:t>
      </w:r>
      <w:r w:rsidR="00B62E1C" w:rsidRPr="00D40ECC">
        <w:rPr>
          <w:rFonts w:ascii="Book Antiqua" w:eastAsia="Book Antiqua" w:hAnsi="Book Antiqua" w:cs="Book Antiqua"/>
          <w:b/>
          <w:color w:val="000000"/>
        </w:rPr>
        <w:t>u</w:t>
      </w:r>
      <w:r w:rsidRPr="00D40ECC">
        <w:rPr>
          <w:rFonts w:ascii="Book Antiqua" w:eastAsia="Book Antiqua" w:hAnsi="Book Antiqua" w:cs="Book Antiqua"/>
          <w:b/>
          <w:color w:val="000000"/>
        </w:rPr>
        <w:t xml:space="preserve">se </w:t>
      </w:r>
      <w:r w:rsidR="00B62E1C" w:rsidRPr="00D40ECC">
        <w:rPr>
          <w:rFonts w:ascii="Book Antiqua" w:eastAsia="Book Antiqua" w:hAnsi="Book Antiqua" w:cs="Book Antiqua"/>
          <w:b/>
          <w:color w:val="000000"/>
        </w:rPr>
        <w:t>h</w:t>
      </w:r>
      <w:r w:rsidRPr="00D40ECC">
        <w:rPr>
          <w:rFonts w:ascii="Book Antiqua" w:eastAsia="Book Antiqua" w:hAnsi="Book Antiqua" w:cs="Book Antiqua"/>
          <w:b/>
          <w:color w:val="000000"/>
        </w:rPr>
        <w:t xml:space="preserve">istory is </w:t>
      </w:r>
      <w:r w:rsidR="00B62E1C" w:rsidRPr="00D40ECC">
        <w:rPr>
          <w:rFonts w:ascii="Book Antiqua" w:eastAsia="Book Antiqua" w:hAnsi="Book Antiqua" w:cs="Book Antiqua"/>
          <w:b/>
          <w:color w:val="000000"/>
        </w:rPr>
        <w:t>a</w:t>
      </w:r>
      <w:r w:rsidRPr="00D40ECC">
        <w:rPr>
          <w:rFonts w:ascii="Book Antiqua" w:eastAsia="Book Antiqua" w:hAnsi="Book Antiqua" w:cs="Book Antiqua"/>
          <w:b/>
          <w:color w:val="000000"/>
        </w:rPr>
        <w:t xml:space="preserve">ssociated with </w:t>
      </w:r>
      <w:r w:rsidR="00B62E1C" w:rsidRPr="00D40ECC">
        <w:rPr>
          <w:rFonts w:ascii="Book Antiqua" w:eastAsia="Book Antiqua" w:hAnsi="Book Antiqua" w:cs="Book Antiqua"/>
          <w:b/>
          <w:color w:val="000000"/>
        </w:rPr>
        <w:t>i</w:t>
      </w:r>
      <w:r w:rsidRPr="00D40ECC">
        <w:rPr>
          <w:rFonts w:ascii="Book Antiqua" w:eastAsia="Book Antiqua" w:hAnsi="Book Antiqua" w:cs="Book Antiqua"/>
          <w:b/>
          <w:color w:val="000000"/>
        </w:rPr>
        <w:t xml:space="preserve">ncreased </w:t>
      </w:r>
      <w:r w:rsidR="00B62E1C" w:rsidRPr="00D40ECC">
        <w:rPr>
          <w:rFonts w:ascii="Book Antiqua" w:eastAsia="Book Antiqua" w:hAnsi="Book Antiqua" w:cs="Book Antiqua"/>
          <w:b/>
          <w:color w:val="000000"/>
        </w:rPr>
        <w:t>p</w:t>
      </w:r>
      <w:r w:rsidRPr="00D40ECC">
        <w:rPr>
          <w:rFonts w:ascii="Book Antiqua" w:eastAsia="Book Antiqua" w:hAnsi="Book Antiqua" w:cs="Book Antiqua"/>
          <w:b/>
          <w:color w:val="000000"/>
        </w:rPr>
        <w:t xml:space="preserve">revalence of </w:t>
      </w:r>
      <w:r w:rsidR="00B62E1C" w:rsidRPr="00D40ECC">
        <w:rPr>
          <w:rFonts w:ascii="Book Antiqua" w:eastAsia="Book Antiqua" w:hAnsi="Book Antiqua" w:cs="Book Antiqua"/>
          <w:b/>
          <w:color w:val="000000"/>
        </w:rPr>
        <w:t>a</w:t>
      </w:r>
      <w:r w:rsidRPr="00D40ECC">
        <w:rPr>
          <w:rFonts w:ascii="Book Antiqua" w:eastAsia="Book Antiqua" w:hAnsi="Book Antiqua" w:cs="Book Antiqua"/>
          <w:b/>
          <w:color w:val="000000"/>
        </w:rPr>
        <w:t xml:space="preserve">scites </w:t>
      </w:r>
      <w:r w:rsidR="00B62E1C" w:rsidRPr="00D40ECC">
        <w:rPr>
          <w:rFonts w:ascii="Book Antiqua" w:eastAsia="Book Antiqua" w:hAnsi="Book Antiqua" w:cs="Book Antiqua"/>
          <w:b/>
          <w:color w:val="000000"/>
        </w:rPr>
        <w:t>a</w:t>
      </w:r>
      <w:r w:rsidRPr="00D40ECC">
        <w:rPr>
          <w:rFonts w:ascii="Book Antiqua" w:eastAsia="Book Antiqua" w:hAnsi="Book Antiqua" w:cs="Book Antiqua"/>
          <w:b/>
          <w:color w:val="000000"/>
        </w:rPr>
        <w:t xml:space="preserve">mong </w:t>
      </w:r>
      <w:r w:rsidR="00B62E1C" w:rsidRPr="00D40ECC">
        <w:rPr>
          <w:rFonts w:ascii="Book Antiqua" w:eastAsia="Book Antiqua" w:hAnsi="Book Antiqua" w:cs="Book Antiqua"/>
          <w:b/>
          <w:color w:val="000000"/>
        </w:rPr>
        <w:t>p</w:t>
      </w:r>
      <w:r w:rsidRPr="00D40ECC">
        <w:rPr>
          <w:rFonts w:ascii="Book Antiqua" w:eastAsia="Book Antiqua" w:hAnsi="Book Antiqua" w:cs="Book Antiqua"/>
          <w:b/>
          <w:color w:val="000000"/>
        </w:rPr>
        <w:t xml:space="preserve">atients with </w:t>
      </w:r>
      <w:r w:rsidR="00B62E1C" w:rsidRPr="00D40ECC">
        <w:rPr>
          <w:rFonts w:ascii="Book Antiqua" w:eastAsia="Book Antiqua" w:hAnsi="Book Antiqua" w:cs="Book Antiqua"/>
          <w:b/>
          <w:color w:val="000000"/>
        </w:rPr>
        <w:t>n</w:t>
      </w:r>
      <w:r w:rsidRPr="00D40ECC">
        <w:rPr>
          <w:rFonts w:ascii="Book Antiqua" w:eastAsia="Book Antiqua" w:hAnsi="Book Antiqua" w:cs="Book Antiqua"/>
          <w:b/>
          <w:color w:val="000000"/>
        </w:rPr>
        <w:t xml:space="preserve">onalcoholic </w:t>
      </w:r>
      <w:r w:rsidR="00B62E1C" w:rsidRPr="00D40ECC">
        <w:rPr>
          <w:rFonts w:ascii="Book Antiqua" w:eastAsia="Book Antiqua" w:hAnsi="Book Antiqua" w:cs="Book Antiqua"/>
          <w:b/>
          <w:color w:val="000000"/>
        </w:rPr>
        <w:t>f</w:t>
      </w:r>
      <w:r w:rsidRPr="00D40ECC">
        <w:rPr>
          <w:rFonts w:ascii="Book Antiqua" w:eastAsia="Book Antiqua" w:hAnsi="Book Antiqua" w:cs="Book Antiqua"/>
          <w:b/>
          <w:color w:val="000000"/>
        </w:rPr>
        <w:t xml:space="preserve">atty </w:t>
      </w:r>
      <w:r w:rsidR="00B62E1C" w:rsidRPr="00D40ECC">
        <w:rPr>
          <w:rFonts w:ascii="Book Antiqua" w:eastAsia="Book Antiqua" w:hAnsi="Book Antiqua" w:cs="Book Antiqua"/>
          <w:b/>
          <w:color w:val="000000"/>
        </w:rPr>
        <w:t>l</w:t>
      </w:r>
      <w:r w:rsidRPr="00D40ECC">
        <w:rPr>
          <w:rFonts w:ascii="Book Antiqua" w:eastAsia="Book Antiqua" w:hAnsi="Book Antiqua" w:cs="Book Antiqua"/>
          <w:b/>
          <w:color w:val="000000"/>
        </w:rPr>
        <w:t xml:space="preserve">iver </w:t>
      </w:r>
      <w:r w:rsidR="00B62E1C" w:rsidRPr="00D40ECC">
        <w:rPr>
          <w:rFonts w:ascii="Book Antiqua" w:eastAsia="Book Antiqua" w:hAnsi="Book Antiqua" w:cs="Book Antiqua"/>
          <w:b/>
          <w:color w:val="000000"/>
        </w:rPr>
        <w:t>d</w:t>
      </w:r>
      <w:r w:rsidRPr="00D40ECC">
        <w:rPr>
          <w:rFonts w:ascii="Book Antiqua" w:eastAsia="Book Antiqua" w:hAnsi="Book Antiqua" w:cs="Book Antiqua"/>
          <w:b/>
          <w:color w:val="000000"/>
        </w:rPr>
        <w:t xml:space="preserve">isease: </w:t>
      </w:r>
      <w:r w:rsidR="00B62E1C" w:rsidRPr="00D40ECC">
        <w:rPr>
          <w:rFonts w:ascii="Book Antiqua" w:eastAsia="Book Antiqua" w:hAnsi="Book Antiqua" w:cs="Book Antiqua"/>
          <w:b/>
          <w:color w:val="000000"/>
        </w:rPr>
        <w:t>A</w:t>
      </w:r>
      <w:r w:rsidRPr="00D40ECC">
        <w:rPr>
          <w:rFonts w:ascii="Book Antiqua" w:eastAsia="Book Antiqua" w:hAnsi="Book Antiqua" w:cs="Book Antiqua"/>
          <w:b/>
          <w:color w:val="000000"/>
        </w:rPr>
        <w:t xml:space="preserve"> </w:t>
      </w:r>
      <w:r w:rsidR="00B62E1C" w:rsidRPr="00D40ECC">
        <w:rPr>
          <w:rFonts w:ascii="Book Antiqua" w:eastAsia="Book Antiqua" w:hAnsi="Book Antiqua" w:cs="Book Antiqua"/>
          <w:b/>
          <w:color w:val="000000"/>
        </w:rPr>
        <w:t>n</w:t>
      </w:r>
      <w:r w:rsidRPr="00D40ECC">
        <w:rPr>
          <w:rFonts w:ascii="Book Antiqua" w:eastAsia="Book Antiqua" w:hAnsi="Book Antiqua" w:cs="Book Antiqua"/>
          <w:b/>
          <w:color w:val="000000"/>
        </w:rPr>
        <w:t xml:space="preserve">ationwide </w:t>
      </w:r>
      <w:r w:rsidR="00B62E1C" w:rsidRPr="00D40ECC">
        <w:rPr>
          <w:rFonts w:ascii="Book Antiqua" w:eastAsia="Book Antiqua" w:hAnsi="Book Antiqua" w:cs="Book Antiqua"/>
          <w:b/>
          <w:color w:val="000000"/>
        </w:rPr>
        <w:t>a</w:t>
      </w:r>
      <w:r w:rsidRPr="00D40ECC">
        <w:rPr>
          <w:rFonts w:ascii="Book Antiqua" w:eastAsia="Book Antiqua" w:hAnsi="Book Antiqua" w:cs="Book Antiqua"/>
          <w:b/>
          <w:color w:val="000000"/>
        </w:rPr>
        <w:t>nalysis</w:t>
      </w:r>
    </w:p>
    <w:p w14:paraId="7AA5D2D2" w14:textId="77777777" w:rsidR="00A77B3E" w:rsidRPr="00D40ECC" w:rsidRDefault="00A77B3E" w:rsidP="005638C6">
      <w:pPr>
        <w:spacing w:line="360" w:lineRule="auto"/>
        <w:jc w:val="both"/>
        <w:rPr>
          <w:rFonts w:ascii="Book Antiqua" w:hAnsi="Book Antiqua"/>
        </w:rPr>
      </w:pPr>
    </w:p>
    <w:p w14:paraId="4695AAE4" w14:textId="12CD61DA" w:rsidR="00A77B3E" w:rsidRPr="00D40ECC" w:rsidRDefault="00C74FB5" w:rsidP="005638C6">
      <w:pPr>
        <w:spacing w:line="360" w:lineRule="auto"/>
        <w:jc w:val="both"/>
        <w:rPr>
          <w:rFonts w:ascii="Book Antiqua" w:hAnsi="Book Antiqua"/>
        </w:rPr>
      </w:pPr>
      <w:r w:rsidRPr="00D40ECC">
        <w:rPr>
          <w:rFonts w:ascii="Book Antiqua" w:eastAsia="Book Antiqua" w:hAnsi="Book Antiqua" w:cs="Book Antiqua"/>
          <w:color w:val="000000"/>
        </w:rPr>
        <w:t xml:space="preserve">Choi CJ </w:t>
      </w:r>
      <w:r w:rsidRPr="00D40ECC">
        <w:rPr>
          <w:rFonts w:ascii="Book Antiqua" w:eastAsia="Book Antiqua" w:hAnsi="Book Antiqua" w:cs="Book Antiqua"/>
          <w:i/>
          <w:iCs/>
          <w:color w:val="000000"/>
        </w:rPr>
        <w:t>et al</w:t>
      </w:r>
      <w:r w:rsidRPr="00D40ECC">
        <w:rPr>
          <w:rFonts w:ascii="Book Antiqua" w:eastAsia="Book Antiqua" w:hAnsi="Book Antiqua" w:cs="Book Antiqua"/>
          <w:color w:val="000000"/>
        </w:rPr>
        <w:t xml:space="preserve">. </w:t>
      </w:r>
      <w:r w:rsidR="00292C3F" w:rsidRPr="00D40ECC">
        <w:rPr>
          <w:rFonts w:ascii="Book Antiqua" w:eastAsia="Book Antiqua" w:hAnsi="Book Antiqua" w:cs="Book Antiqua"/>
          <w:color w:val="000000"/>
        </w:rPr>
        <w:t xml:space="preserve">Cannabis and </w:t>
      </w:r>
      <w:r w:rsidRPr="00D40ECC">
        <w:rPr>
          <w:rFonts w:ascii="Book Antiqua" w:eastAsia="Book Antiqua" w:hAnsi="Book Antiqua" w:cs="Book Antiqua"/>
          <w:color w:val="000000"/>
        </w:rPr>
        <w:t>n</w:t>
      </w:r>
      <w:r w:rsidR="00292C3F" w:rsidRPr="00D40ECC">
        <w:rPr>
          <w:rFonts w:ascii="Book Antiqua" w:eastAsia="Book Antiqua" w:hAnsi="Book Antiqua" w:cs="Book Antiqua"/>
          <w:color w:val="000000"/>
        </w:rPr>
        <w:t>onalcoholic fatty liver disease</w:t>
      </w:r>
    </w:p>
    <w:p w14:paraId="76C9B62E" w14:textId="77777777" w:rsidR="00A77B3E" w:rsidRPr="00D40ECC" w:rsidRDefault="00A77B3E" w:rsidP="005638C6">
      <w:pPr>
        <w:spacing w:line="360" w:lineRule="auto"/>
        <w:jc w:val="both"/>
        <w:rPr>
          <w:rFonts w:ascii="Book Antiqua" w:hAnsi="Book Antiqua"/>
        </w:rPr>
      </w:pPr>
    </w:p>
    <w:p w14:paraId="335EFC3F" w14:textId="27025C3B"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 xml:space="preserve">Catherine J Choi, Stanley H Weiss, </w:t>
      </w:r>
      <w:proofErr w:type="spellStart"/>
      <w:r w:rsidRPr="00D40ECC">
        <w:rPr>
          <w:rFonts w:ascii="Book Antiqua" w:eastAsia="Book Antiqua" w:hAnsi="Book Antiqua" w:cs="Book Antiqua"/>
          <w:color w:val="000000"/>
        </w:rPr>
        <w:t>Umair</w:t>
      </w:r>
      <w:proofErr w:type="spellEnd"/>
      <w:r w:rsidRPr="00D40ECC">
        <w:rPr>
          <w:rFonts w:ascii="Book Antiqua" w:eastAsia="Book Antiqua" w:hAnsi="Book Antiqua" w:cs="Book Antiqua"/>
          <w:color w:val="000000"/>
        </w:rPr>
        <w:t xml:space="preserve"> </w:t>
      </w:r>
      <w:r w:rsidR="00EA3C53" w:rsidRPr="00D40ECC">
        <w:rPr>
          <w:rFonts w:ascii="Book Antiqua" w:eastAsia="Book Antiqua" w:hAnsi="Book Antiqua" w:cs="Book Antiqua"/>
          <w:color w:val="000000"/>
        </w:rPr>
        <w:t xml:space="preserve">M </w:t>
      </w:r>
      <w:proofErr w:type="spellStart"/>
      <w:r w:rsidRPr="00D40ECC">
        <w:rPr>
          <w:rFonts w:ascii="Book Antiqua" w:eastAsia="Book Antiqua" w:hAnsi="Book Antiqua" w:cs="Book Antiqua"/>
          <w:color w:val="000000"/>
        </w:rPr>
        <w:t>Nasir</w:t>
      </w:r>
      <w:proofErr w:type="spellEnd"/>
      <w:r w:rsidRPr="00D40ECC">
        <w:rPr>
          <w:rFonts w:ascii="Book Antiqua" w:eastAsia="Book Antiqua" w:hAnsi="Book Antiqua" w:cs="Book Antiqua"/>
          <w:color w:val="000000"/>
        </w:rPr>
        <w:t xml:space="preserve">, </w:t>
      </w:r>
      <w:proofErr w:type="spellStart"/>
      <w:r w:rsidRPr="00D40ECC">
        <w:rPr>
          <w:rFonts w:ascii="Book Antiqua" w:eastAsia="Book Antiqua" w:hAnsi="Book Antiqua" w:cs="Book Antiqua"/>
          <w:color w:val="000000"/>
        </w:rPr>
        <w:t>Nikolaos</w:t>
      </w:r>
      <w:proofErr w:type="spellEnd"/>
      <w:r w:rsidRPr="00D40ECC">
        <w:rPr>
          <w:rFonts w:ascii="Book Antiqua" w:eastAsia="Book Antiqua" w:hAnsi="Book Antiqua" w:cs="Book Antiqua"/>
          <w:color w:val="000000"/>
        </w:rPr>
        <w:t xml:space="preserve"> T </w:t>
      </w:r>
      <w:proofErr w:type="spellStart"/>
      <w:r w:rsidRPr="00D40ECC">
        <w:rPr>
          <w:rFonts w:ascii="Book Antiqua" w:eastAsia="Book Antiqua" w:hAnsi="Book Antiqua" w:cs="Book Antiqua"/>
          <w:color w:val="000000"/>
        </w:rPr>
        <w:t>Pyrsopoulos</w:t>
      </w:r>
      <w:proofErr w:type="spellEnd"/>
    </w:p>
    <w:p w14:paraId="5DFFC857" w14:textId="77777777" w:rsidR="00A77B3E" w:rsidRPr="00D40ECC" w:rsidRDefault="00A77B3E" w:rsidP="005638C6">
      <w:pPr>
        <w:spacing w:line="360" w:lineRule="auto"/>
        <w:jc w:val="both"/>
        <w:rPr>
          <w:rFonts w:ascii="Book Antiqua" w:hAnsi="Book Antiqua"/>
        </w:rPr>
      </w:pPr>
    </w:p>
    <w:p w14:paraId="38B58813" w14:textId="1C789789"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bCs/>
          <w:color w:val="000000"/>
        </w:rPr>
        <w:t xml:space="preserve">Catherine J Choi, Umair </w:t>
      </w:r>
      <w:r w:rsidR="00EA3C53" w:rsidRPr="00D40ECC">
        <w:rPr>
          <w:rFonts w:ascii="Book Antiqua" w:eastAsia="Book Antiqua" w:hAnsi="Book Antiqua" w:cs="Book Antiqua"/>
          <w:b/>
          <w:bCs/>
          <w:color w:val="000000"/>
        </w:rPr>
        <w:t xml:space="preserve">M </w:t>
      </w:r>
      <w:r w:rsidRPr="00D40ECC">
        <w:rPr>
          <w:rFonts w:ascii="Book Antiqua" w:eastAsia="Book Antiqua" w:hAnsi="Book Antiqua" w:cs="Book Antiqua"/>
          <w:b/>
          <w:bCs/>
          <w:color w:val="000000"/>
        </w:rPr>
        <w:t xml:space="preserve">Nasir, </w:t>
      </w:r>
      <w:r w:rsidRPr="00D40ECC">
        <w:rPr>
          <w:rFonts w:ascii="Book Antiqua" w:eastAsia="Book Antiqua" w:hAnsi="Book Antiqua" w:cs="Book Antiqua"/>
          <w:color w:val="000000"/>
        </w:rPr>
        <w:t xml:space="preserve">Department of Medicine, Rutgers New Jersey Medical School, Newark, </w:t>
      </w:r>
      <w:r w:rsidR="008B2E31" w:rsidRPr="00D40ECC">
        <w:rPr>
          <w:rFonts w:ascii="Book Antiqua" w:eastAsia="Book Antiqua" w:hAnsi="Book Antiqua" w:cs="Book Antiqua"/>
          <w:color w:val="000000"/>
        </w:rPr>
        <w:t>N</w:t>
      </w:r>
      <w:r w:rsidR="00E80264" w:rsidRPr="00D40ECC">
        <w:rPr>
          <w:rFonts w:ascii="Book Antiqua" w:eastAsia="Book Antiqua" w:hAnsi="Book Antiqua" w:cs="Book Antiqua"/>
          <w:color w:val="000000"/>
        </w:rPr>
        <w:t>J</w:t>
      </w:r>
      <w:r w:rsidR="008B2E31"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07101, United States</w:t>
      </w:r>
    </w:p>
    <w:p w14:paraId="27320BE8" w14:textId="77777777" w:rsidR="00A77B3E" w:rsidRPr="00D40ECC" w:rsidRDefault="00A77B3E" w:rsidP="005638C6">
      <w:pPr>
        <w:spacing w:line="360" w:lineRule="auto"/>
        <w:jc w:val="both"/>
        <w:rPr>
          <w:rFonts w:ascii="Book Antiqua" w:hAnsi="Book Antiqua"/>
        </w:rPr>
      </w:pPr>
    </w:p>
    <w:p w14:paraId="45FF964D" w14:textId="0F6567C6"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bCs/>
          <w:color w:val="000000"/>
        </w:rPr>
        <w:t xml:space="preserve">Stanley H Weiss, </w:t>
      </w:r>
      <w:r w:rsidRPr="00D40ECC">
        <w:rPr>
          <w:rFonts w:ascii="Book Antiqua" w:eastAsia="Book Antiqua" w:hAnsi="Book Antiqua" w:cs="Book Antiqua"/>
          <w:color w:val="000000"/>
        </w:rPr>
        <w:t>Department of Medicine, Biostatistics and</w:t>
      </w:r>
      <w:r w:rsidR="002C0111" w:rsidRPr="00D40ECC">
        <w:rPr>
          <w:rFonts w:ascii="Book Antiqua" w:eastAsia="Book Antiqua" w:hAnsi="Book Antiqua" w:cs="Book Antiqua"/>
          <w:color w:val="000000"/>
        </w:rPr>
        <w:t xml:space="preserve"> </w:t>
      </w:r>
      <w:r w:rsidR="00EA3C53" w:rsidRPr="00D40ECC">
        <w:rPr>
          <w:rFonts w:ascii="Book Antiqua" w:eastAsia="Book Antiqua" w:hAnsi="Book Antiqua" w:cs="Book Antiqua"/>
          <w:color w:val="000000"/>
        </w:rPr>
        <w:t>E</w:t>
      </w:r>
      <w:r w:rsidRPr="00D40ECC">
        <w:rPr>
          <w:rFonts w:ascii="Book Antiqua" w:eastAsia="Book Antiqua" w:hAnsi="Book Antiqua" w:cs="Book Antiqua"/>
          <w:color w:val="000000"/>
        </w:rPr>
        <w:t xml:space="preserve">pidemiology, Rutgers New Jersey Medical School, Newark, </w:t>
      </w:r>
      <w:r w:rsidR="008B2E31" w:rsidRPr="00D40ECC">
        <w:rPr>
          <w:rFonts w:ascii="Book Antiqua" w:eastAsia="Book Antiqua" w:hAnsi="Book Antiqua" w:cs="Book Antiqua"/>
          <w:color w:val="000000"/>
        </w:rPr>
        <w:t xml:space="preserve">NJ </w:t>
      </w:r>
      <w:r w:rsidRPr="00D40ECC">
        <w:rPr>
          <w:rFonts w:ascii="Book Antiqua" w:eastAsia="Book Antiqua" w:hAnsi="Book Antiqua" w:cs="Book Antiqua"/>
          <w:color w:val="000000"/>
        </w:rPr>
        <w:t>07103, United States</w:t>
      </w:r>
    </w:p>
    <w:p w14:paraId="7935EBB3" w14:textId="77777777" w:rsidR="00A77B3E" w:rsidRPr="00D40ECC" w:rsidRDefault="00A77B3E" w:rsidP="005638C6">
      <w:pPr>
        <w:spacing w:line="360" w:lineRule="auto"/>
        <w:jc w:val="both"/>
        <w:rPr>
          <w:rFonts w:ascii="Book Antiqua" w:hAnsi="Book Antiqua"/>
        </w:rPr>
      </w:pPr>
    </w:p>
    <w:p w14:paraId="24A0292A" w14:textId="24AA1513" w:rsidR="00A77B3E" w:rsidRPr="00D40ECC" w:rsidRDefault="00292C3F" w:rsidP="005638C6">
      <w:pPr>
        <w:spacing w:line="360" w:lineRule="auto"/>
        <w:jc w:val="both"/>
        <w:rPr>
          <w:rFonts w:ascii="Book Antiqua" w:hAnsi="Book Antiqua"/>
        </w:rPr>
      </w:pPr>
      <w:proofErr w:type="spellStart"/>
      <w:r w:rsidRPr="00D40ECC">
        <w:rPr>
          <w:rFonts w:ascii="Book Antiqua" w:eastAsia="Book Antiqua" w:hAnsi="Book Antiqua" w:cs="Book Antiqua"/>
          <w:b/>
          <w:bCs/>
          <w:color w:val="000000"/>
        </w:rPr>
        <w:t>Nikolaos</w:t>
      </w:r>
      <w:proofErr w:type="spellEnd"/>
      <w:r w:rsidRPr="00D40ECC">
        <w:rPr>
          <w:rFonts w:ascii="Book Antiqua" w:eastAsia="Book Antiqua" w:hAnsi="Book Antiqua" w:cs="Book Antiqua"/>
          <w:b/>
          <w:bCs/>
          <w:color w:val="000000"/>
        </w:rPr>
        <w:t xml:space="preserve"> T </w:t>
      </w:r>
      <w:proofErr w:type="spellStart"/>
      <w:r w:rsidRPr="00D40ECC">
        <w:rPr>
          <w:rFonts w:ascii="Book Antiqua" w:eastAsia="Book Antiqua" w:hAnsi="Book Antiqua" w:cs="Book Antiqua"/>
          <w:b/>
          <w:bCs/>
          <w:color w:val="000000"/>
        </w:rPr>
        <w:t>Pyrsopoulos</w:t>
      </w:r>
      <w:proofErr w:type="spellEnd"/>
      <w:r w:rsidRPr="00D40ECC">
        <w:rPr>
          <w:rFonts w:ascii="Book Antiqua" w:eastAsia="Book Antiqua" w:hAnsi="Book Antiqua" w:cs="Book Antiqua"/>
          <w:b/>
          <w:bCs/>
          <w:color w:val="000000"/>
        </w:rPr>
        <w:t>,</w:t>
      </w:r>
      <w:r w:rsidRPr="00D40ECC">
        <w:rPr>
          <w:rFonts w:ascii="Book Antiqua" w:eastAsia="Book Antiqua" w:hAnsi="Book Antiqua" w:cs="Book Antiqua"/>
          <w:b/>
          <w:bCs/>
          <w:color w:val="000000" w:themeColor="text1"/>
        </w:rPr>
        <w:t xml:space="preserve"> </w:t>
      </w:r>
      <w:r w:rsidR="00596638" w:rsidRPr="00D40ECC">
        <w:rPr>
          <w:rFonts w:ascii="Book Antiqua" w:hAnsi="Book Antiqua"/>
          <w:color w:val="000000" w:themeColor="text1"/>
        </w:rPr>
        <w:t>Division of Gastroenterology and Hepatology, Departm</w:t>
      </w:r>
      <w:r w:rsidR="00596638" w:rsidRPr="00D40ECC">
        <w:rPr>
          <w:rFonts w:ascii="Book Antiqua" w:hAnsi="Book Antiqua"/>
          <w:color w:val="3C3C3C"/>
        </w:rPr>
        <w:t xml:space="preserve">ent of </w:t>
      </w:r>
      <w:r w:rsidR="00596638" w:rsidRPr="00D40ECC">
        <w:rPr>
          <w:rFonts w:ascii="Book Antiqua" w:hAnsi="Book Antiqua"/>
        </w:rPr>
        <w:t>Medicine,</w:t>
      </w:r>
      <w:r w:rsidR="00596638"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 xml:space="preserve">Rutgers-New Jersey Medical School, Newark, </w:t>
      </w:r>
      <w:r w:rsidR="008B2E31" w:rsidRPr="00D40ECC">
        <w:rPr>
          <w:rFonts w:ascii="Book Antiqua" w:eastAsia="Book Antiqua" w:hAnsi="Book Antiqua" w:cs="Book Antiqua"/>
          <w:color w:val="000000"/>
        </w:rPr>
        <w:t>NJ</w:t>
      </w:r>
      <w:r w:rsidR="00ED63B8"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07103, United States</w:t>
      </w:r>
    </w:p>
    <w:p w14:paraId="2F5802E8" w14:textId="77777777" w:rsidR="00A77B3E" w:rsidRPr="00D40ECC" w:rsidRDefault="00A77B3E" w:rsidP="005638C6">
      <w:pPr>
        <w:spacing w:line="360" w:lineRule="auto"/>
        <w:jc w:val="both"/>
        <w:rPr>
          <w:rFonts w:ascii="Book Antiqua" w:hAnsi="Book Antiqua"/>
        </w:rPr>
      </w:pPr>
    </w:p>
    <w:p w14:paraId="2CA83A00" w14:textId="202A4CD0"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bCs/>
          <w:color w:val="000000"/>
        </w:rPr>
        <w:t xml:space="preserve">Author contributions: </w:t>
      </w:r>
      <w:r w:rsidRPr="00D40ECC">
        <w:rPr>
          <w:rFonts w:ascii="Book Antiqua" w:eastAsia="Book Antiqua" w:hAnsi="Book Antiqua" w:cs="Book Antiqua"/>
          <w:color w:val="000000"/>
        </w:rPr>
        <w:t>Choi</w:t>
      </w:r>
      <w:r w:rsidR="00596638" w:rsidRPr="00D40ECC">
        <w:rPr>
          <w:rFonts w:ascii="Book Antiqua" w:eastAsia="Book Antiqua" w:hAnsi="Book Antiqua" w:cs="Book Antiqua"/>
          <w:color w:val="000000"/>
        </w:rPr>
        <w:t xml:space="preserve"> CJ</w:t>
      </w:r>
      <w:r w:rsidRPr="00D40ECC">
        <w:rPr>
          <w:rFonts w:ascii="Book Antiqua" w:eastAsia="Book Antiqua" w:hAnsi="Book Antiqua" w:cs="Book Antiqua"/>
          <w:color w:val="000000"/>
        </w:rPr>
        <w:t xml:space="preserve"> designed the study, acquired data, performed statistical analysis, drafted, and edited this manuscript</w:t>
      </w:r>
      <w:r w:rsidR="00596638"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 Weiss </w:t>
      </w:r>
      <w:r w:rsidR="00596638" w:rsidRPr="00D40ECC">
        <w:rPr>
          <w:rFonts w:ascii="Book Antiqua" w:eastAsia="Book Antiqua" w:hAnsi="Book Antiqua" w:cs="Book Antiqua"/>
          <w:color w:val="000000"/>
        </w:rPr>
        <w:t xml:space="preserve">SH </w:t>
      </w:r>
      <w:r w:rsidRPr="00D40ECC">
        <w:rPr>
          <w:rFonts w:ascii="Book Antiqua" w:eastAsia="Book Antiqua" w:hAnsi="Book Antiqua" w:cs="Book Antiqua"/>
          <w:color w:val="000000"/>
        </w:rPr>
        <w:t>supervised the design and reviewed statistical analysis of the study and edited the manuscript</w:t>
      </w:r>
      <w:r w:rsidR="00596638"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 Nasir</w:t>
      </w:r>
      <w:r w:rsidR="00596638" w:rsidRPr="00D40ECC">
        <w:rPr>
          <w:rFonts w:ascii="Book Antiqua" w:eastAsia="Book Antiqua" w:hAnsi="Book Antiqua" w:cs="Book Antiqua"/>
          <w:color w:val="000000"/>
        </w:rPr>
        <w:t xml:space="preserve"> U</w:t>
      </w:r>
      <w:r w:rsidR="00EA3C53" w:rsidRPr="00D40ECC">
        <w:rPr>
          <w:rFonts w:ascii="Book Antiqua" w:eastAsia="Book Antiqua" w:hAnsi="Book Antiqua" w:cs="Book Antiqua"/>
          <w:color w:val="000000"/>
        </w:rPr>
        <w:t>M</w:t>
      </w:r>
      <w:r w:rsidRPr="00D40ECC">
        <w:rPr>
          <w:rFonts w:ascii="Book Antiqua" w:eastAsia="Book Antiqua" w:hAnsi="Book Antiqua" w:cs="Book Antiqua"/>
          <w:color w:val="000000"/>
        </w:rPr>
        <w:t xml:space="preserve"> acquired data, and edited the draft</w:t>
      </w:r>
      <w:r w:rsidR="00596638"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 </w:t>
      </w:r>
      <w:proofErr w:type="spellStart"/>
      <w:r w:rsidRPr="00D40ECC">
        <w:rPr>
          <w:rFonts w:ascii="Book Antiqua" w:eastAsia="Book Antiqua" w:hAnsi="Book Antiqua" w:cs="Book Antiqua"/>
          <w:color w:val="000000"/>
        </w:rPr>
        <w:t>Pyrsopoulos</w:t>
      </w:r>
      <w:proofErr w:type="spellEnd"/>
      <w:r w:rsidR="00596638" w:rsidRPr="00D40ECC">
        <w:rPr>
          <w:rFonts w:ascii="Book Antiqua" w:eastAsia="Book Antiqua" w:hAnsi="Book Antiqua" w:cs="Book Antiqua"/>
          <w:color w:val="000000"/>
        </w:rPr>
        <w:t xml:space="preserve"> NT</w:t>
      </w:r>
      <w:r w:rsidRPr="00D40ECC">
        <w:rPr>
          <w:rFonts w:ascii="Book Antiqua" w:eastAsia="Book Antiqua" w:hAnsi="Book Antiqua" w:cs="Book Antiqua"/>
          <w:color w:val="000000"/>
        </w:rPr>
        <w:t xml:space="preserve"> designed and supervised the study, and edited the manuscript. </w:t>
      </w:r>
    </w:p>
    <w:p w14:paraId="4CC5E29F" w14:textId="77777777" w:rsidR="00A77B3E" w:rsidRPr="00D40ECC" w:rsidRDefault="00A77B3E" w:rsidP="005638C6">
      <w:pPr>
        <w:spacing w:line="360" w:lineRule="auto"/>
        <w:jc w:val="both"/>
        <w:rPr>
          <w:rFonts w:ascii="Book Antiqua" w:hAnsi="Book Antiqua"/>
        </w:rPr>
      </w:pPr>
    </w:p>
    <w:p w14:paraId="5E93D8AF" w14:textId="716A2EAC"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bCs/>
          <w:color w:val="000000"/>
        </w:rPr>
        <w:t xml:space="preserve">Corresponding author: </w:t>
      </w:r>
      <w:proofErr w:type="spellStart"/>
      <w:r w:rsidRPr="00D40ECC">
        <w:rPr>
          <w:rFonts w:ascii="Book Antiqua" w:eastAsia="Book Antiqua" w:hAnsi="Book Antiqua" w:cs="Book Antiqua"/>
          <w:b/>
          <w:bCs/>
          <w:color w:val="000000"/>
        </w:rPr>
        <w:t>Nikolaos</w:t>
      </w:r>
      <w:proofErr w:type="spellEnd"/>
      <w:r w:rsidRPr="00D40ECC">
        <w:rPr>
          <w:rFonts w:ascii="Book Antiqua" w:eastAsia="Book Antiqua" w:hAnsi="Book Antiqua" w:cs="Book Antiqua"/>
          <w:b/>
          <w:bCs/>
          <w:color w:val="000000"/>
        </w:rPr>
        <w:t xml:space="preserve"> T </w:t>
      </w:r>
      <w:proofErr w:type="spellStart"/>
      <w:r w:rsidRPr="00D40ECC">
        <w:rPr>
          <w:rFonts w:ascii="Book Antiqua" w:eastAsia="Book Antiqua" w:hAnsi="Book Antiqua" w:cs="Book Antiqua"/>
          <w:b/>
          <w:bCs/>
          <w:color w:val="000000"/>
        </w:rPr>
        <w:t>Pyrsopoulos</w:t>
      </w:r>
      <w:proofErr w:type="spellEnd"/>
      <w:r w:rsidRPr="00D40ECC">
        <w:rPr>
          <w:rFonts w:ascii="Book Antiqua" w:eastAsia="Book Antiqua" w:hAnsi="Book Antiqua" w:cs="Book Antiqua"/>
          <w:b/>
          <w:bCs/>
          <w:color w:val="000000"/>
        </w:rPr>
        <w:t xml:space="preserve">, FACP, MD, PhD, Director, Doctor, Professor, </w:t>
      </w:r>
      <w:r w:rsidRPr="00D40ECC">
        <w:rPr>
          <w:rFonts w:ascii="Book Antiqua" w:eastAsia="Book Antiqua" w:hAnsi="Book Antiqua" w:cs="Book Antiqua"/>
          <w:color w:val="000000"/>
        </w:rPr>
        <w:t xml:space="preserve">Division of Gastroenterology and Hepatology, Department of Medicine, </w:t>
      </w:r>
      <w:r w:rsidRPr="00D40ECC">
        <w:rPr>
          <w:rFonts w:ascii="Book Antiqua" w:eastAsia="Book Antiqua" w:hAnsi="Book Antiqua" w:cs="Book Antiqua"/>
          <w:color w:val="000000"/>
        </w:rPr>
        <w:lastRenderedPageBreak/>
        <w:t>Rutgers-New Jersey Medical School,</w:t>
      </w:r>
      <w:r w:rsidR="00114EC1"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 xml:space="preserve">185 S. Orange Avenue, MSB H-535, Newark, </w:t>
      </w:r>
      <w:r w:rsidR="00114EC1" w:rsidRPr="00D40ECC">
        <w:rPr>
          <w:rFonts w:ascii="Book Antiqua" w:eastAsia="Book Antiqua" w:hAnsi="Book Antiqua" w:cs="Book Antiqua"/>
          <w:color w:val="000000"/>
        </w:rPr>
        <w:t xml:space="preserve">NJ </w:t>
      </w:r>
      <w:r w:rsidRPr="00D40ECC">
        <w:rPr>
          <w:rFonts w:ascii="Book Antiqua" w:eastAsia="Book Antiqua" w:hAnsi="Book Antiqua" w:cs="Book Antiqua"/>
          <w:color w:val="000000"/>
        </w:rPr>
        <w:t>07103, United States. pyrsopni@njms.rutgers.edu</w:t>
      </w:r>
    </w:p>
    <w:p w14:paraId="68EC9321" w14:textId="77777777" w:rsidR="00A77B3E" w:rsidRPr="00D40ECC" w:rsidRDefault="00A77B3E" w:rsidP="005638C6">
      <w:pPr>
        <w:spacing w:line="360" w:lineRule="auto"/>
        <w:jc w:val="both"/>
        <w:rPr>
          <w:rFonts w:ascii="Book Antiqua" w:hAnsi="Book Antiqua"/>
        </w:rPr>
      </w:pPr>
    </w:p>
    <w:p w14:paraId="56D545DC"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bCs/>
          <w:color w:val="000000"/>
        </w:rPr>
        <w:t xml:space="preserve">Received: </w:t>
      </w:r>
      <w:r w:rsidRPr="00D40ECC">
        <w:rPr>
          <w:rFonts w:ascii="Book Antiqua" w:eastAsia="Book Antiqua" w:hAnsi="Book Antiqua" w:cs="Book Antiqua"/>
          <w:color w:val="000000"/>
        </w:rPr>
        <w:t>June 4, 2020</w:t>
      </w:r>
    </w:p>
    <w:p w14:paraId="4EE5DFD7"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bCs/>
          <w:color w:val="000000"/>
        </w:rPr>
        <w:t xml:space="preserve">Revised: </w:t>
      </w:r>
      <w:r w:rsidRPr="00D40ECC">
        <w:rPr>
          <w:rFonts w:ascii="Book Antiqua" w:eastAsia="Book Antiqua" w:hAnsi="Book Antiqua" w:cs="Book Antiqua"/>
          <w:color w:val="000000"/>
        </w:rPr>
        <w:t>August 27, 2020</w:t>
      </w:r>
    </w:p>
    <w:p w14:paraId="26BDE9FD" w14:textId="7C90A0B6" w:rsidR="00652DF5" w:rsidRPr="00D40ECC" w:rsidRDefault="00292C3F" w:rsidP="005638C6">
      <w:pPr>
        <w:spacing w:line="360" w:lineRule="auto"/>
        <w:jc w:val="both"/>
        <w:rPr>
          <w:rFonts w:ascii="Book Antiqua" w:eastAsia="Book Antiqua" w:hAnsi="Book Antiqua" w:cs="Book Antiqua"/>
          <w:b/>
          <w:bCs/>
          <w:color w:val="000000"/>
        </w:rPr>
      </w:pPr>
      <w:r w:rsidRPr="00D40ECC">
        <w:rPr>
          <w:rFonts w:ascii="Book Antiqua" w:eastAsia="Book Antiqua" w:hAnsi="Book Antiqua" w:cs="Book Antiqua"/>
          <w:b/>
          <w:bCs/>
          <w:color w:val="000000"/>
        </w:rPr>
        <w:t xml:space="preserve">Accepted: </w:t>
      </w:r>
      <w:r w:rsidR="00652DF5" w:rsidRPr="00D40ECC">
        <w:rPr>
          <w:rFonts w:ascii="Book Antiqua" w:eastAsia="Book Antiqua" w:hAnsi="Book Antiqua" w:cs="Book Antiqua"/>
          <w:bCs/>
          <w:color w:val="000000"/>
        </w:rPr>
        <w:t>October 23, 2020</w:t>
      </w:r>
    </w:p>
    <w:p w14:paraId="32806D3F" w14:textId="69691029" w:rsidR="00A77B3E" w:rsidRPr="00D40ECC" w:rsidRDefault="00292C3F" w:rsidP="005638C6">
      <w:pPr>
        <w:spacing w:line="360" w:lineRule="auto"/>
        <w:jc w:val="both"/>
        <w:rPr>
          <w:rFonts w:ascii="Book Antiqua" w:hAnsi="Book Antiqua"/>
          <w:lang w:eastAsia="zh-CN"/>
        </w:rPr>
      </w:pPr>
      <w:r w:rsidRPr="00D40ECC">
        <w:rPr>
          <w:rFonts w:ascii="Book Antiqua" w:eastAsia="Book Antiqua" w:hAnsi="Book Antiqua" w:cs="Book Antiqua"/>
          <w:b/>
          <w:bCs/>
          <w:color w:val="000000"/>
        </w:rPr>
        <w:t xml:space="preserve">Published online: </w:t>
      </w:r>
      <w:r w:rsidR="00BB6853" w:rsidRPr="00D40ECC">
        <w:rPr>
          <w:rFonts w:ascii="Book Antiqua" w:hAnsi="Book Antiqua"/>
          <w:color w:val="000000"/>
          <w:shd w:val="clear" w:color="auto" w:fill="FFFFFF"/>
        </w:rPr>
        <w:t>November 27</w:t>
      </w:r>
      <w:r w:rsidR="00BB6853" w:rsidRPr="00D40ECC">
        <w:rPr>
          <w:rFonts w:ascii="Book Antiqua" w:hAnsi="Book Antiqua"/>
          <w:color w:val="000000"/>
          <w:shd w:val="clear" w:color="auto" w:fill="FFFFFF"/>
          <w:lang w:eastAsia="zh-CN"/>
        </w:rPr>
        <w:t>, 2020</w:t>
      </w:r>
    </w:p>
    <w:p w14:paraId="03EBC981" w14:textId="77777777" w:rsidR="00A77B3E" w:rsidRPr="00D40ECC" w:rsidRDefault="00A77B3E" w:rsidP="005638C6">
      <w:pPr>
        <w:spacing w:line="360" w:lineRule="auto"/>
        <w:jc w:val="both"/>
        <w:rPr>
          <w:rFonts w:ascii="Book Antiqua" w:hAnsi="Book Antiqua"/>
        </w:rPr>
        <w:sectPr w:rsidR="00A77B3E" w:rsidRPr="00D40ECC">
          <w:footerReference w:type="default" r:id="rId8"/>
          <w:pgSz w:w="12240" w:h="15840"/>
          <w:pgMar w:top="1440" w:right="1440" w:bottom="1440" w:left="1440" w:header="720" w:footer="720" w:gutter="0"/>
          <w:cols w:space="720"/>
          <w:docGrid w:linePitch="360"/>
        </w:sectPr>
      </w:pPr>
    </w:p>
    <w:p w14:paraId="079E1583"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color w:val="000000"/>
        </w:rPr>
        <w:lastRenderedPageBreak/>
        <w:t>Abstract</w:t>
      </w:r>
    </w:p>
    <w:p w14:paraId="56ABE62E"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BACKGROUND</w:t>
      </w:r>
    </w:p>
    <w:p w14:paraId="1BAA5744" w14:textId="50AC2729" w:rsidR="00A77B3E" w:rsidRDefault="00292C3F" w:rsidP="005638C6">
      <w:pPr>
        <w:spacing w:line="360" w:lineRule="auto"/>
        <w:jc w:val="both"/>
        <w:rPr>
          <w:rFonts w:ascii="Book Antiqua" w:hAnsi="Book Antiqua" w:cs="Book Antiqua"/>
          <w:color w:val="000000"/>
          <w:lang w:eastAsia="zh-CN"/>
        </w:rPr>
      </w:pPr>
      <w:r w:rsidRPr="00D40ECC">
        <w:rPr>
          <w:rFonts w:ascii="Book Antiqua" w:eastAsia="Book Antiqua" w:hAnsi="Book Antiqua" w:cs="Book Antiqua"/>
          <w:color w:val="000000"/>
        </w:rPr>
        <w:t xml:space="preserve">Recent studies have revealed the endocannabinoid system as a potential therapeutic target in the management of nonalcoholic fatty liver disease (NAFLD). </w:t>
      </w:r>
      <w:r w:rsidR="00EA3C53" w:rsidRPr="00D40ECC">
        <w:rPr>
          <w:rFonts w:ascii="Book Antiqua" w:eastAsia="Book Antiqua" w:hAnsi="Book Antiqua" w:cs="Book Antiqua"/>
          <w:color w:val="000000"/>
        </w:rPr>
        <w:t>C</w:t>
      </w:r>
      <w:r w:rsidRPr="00D40ECC">
        <w:rPr>
          <w:rFonts w:ascii="Book Antiqua" w:eastAsia="Book Antiqua" w:hAnsi="Book Antiqua" w:cs="Book Antiqua"/>
          <w:color w:val="000000"/>
        </w:rPr>
        <w:t>annabis use is associated with reduced risk for NAFLD, we hypothesized that cannabis use would be associated with less liver-related clinical complications in patients with NAFLD.</w:t>
      </w:r>
    </w:p>
    <w:p w14:paraId="6FE26477" w14:textId="77777777" w:rsidR="001E0926" w:rsidRPr="00D3367B" w:rsidRDefault="001E0926" w:rsidP="005638C6">
      <w:pPr>
        <w:spacing w:line="360" w:lineRule="auto"/>
        <w:jc w:val="both"/>
        <w:rPr>
          <w:rFonts w:ascii="Book Antiqua" w:hAnsi="Book Antiqua" w:cs="Book Antiqua"/>
          <w:color w:val="000000"/>
          <w:lang w:eastAsia="zh-CN"/>
        </w:rPr>
      </w:pPr>
    </w:p>
    <w:p w14:paraId="5B35113B" w14:textId="57C99146" w:rsidR="001E0926" w:rsidRDefault="001E0926" w:rsidP="005638C6">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AIM</w:t>
      </w:r>
    </w:p>
    <w:p w14:paraId="6AD70F22" w14:textId="581BE0CE" w:rsidR="001E0926" w:rsidRPr="001E0926" w:rsidRDefault="001E0926" w:rsidP="005638C6">
      <w:pPr>
        <w:spacing w:line="360" w:lineRule="auto"/>
        <w:jc w:val="both"/>
        <w:rPr>
          <w:rFonts w:ascii="Book Antiqua" w:hAnsi="Book Antiqua"/>
          <w:lang w:eastAsia="zh-CN"/>
        </w:rPr>
      </w:pPr>
      <w:r>
        <w:rPr>
          <w:rFonts w:ascii="Book Antiqua" w:hAnsi="Book Antiqua" w:hint="eastAsia"/>
          <w:lang w:eastAsia="zh-CN"/>
        </w:rPr>
        <w:t xml:space="preserve">To </w:t>
      </w:r>
      <w:r w:rsidRPr="001E0926">
        <w:rPr>
          <w:rFonts w:ascii="Book Antiqua" w:hAnsi="Book Antiqua"/>
          <w:lang w:eastAsia="zh-CN"/>
        </w:rPr>
        <w:t>assess the effects of cannabis use on liver-related clinical outcomes in hospitalized patients with NAFLD.</w:t>
      </w:r>
    </w:p>
    <w:p w14:paraId="7F21D693" w14:textId="77777777" w:rsidR="00A77B3E" w:rsidRPr="00D3367B" w:rsidRDefault="00A77B3E" w:rsidP="005638C6">
      <w:pPr>
        <w:spacing w:line="360" w:lineRule="auto"/>
        <w:jc w:val="both"/>
        <w:rPr>
          <w:rFonts w:ascii="Book Antiqua" w:hAnsi="Book Antiqua"/>
        </w:rPr>
      </w:pPr>
    </w:p>
    <w:p w14:paraId="5031BF4F"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METHODS</w:t>
      </w:r>
    </w:p>
    <w:p w14:paraId="1F8527EC"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 xml:space="preserve">We performed a retrospective matched cohort study based on querying the 2014 National Inpatient Sample (NIS) for hospitalizations of adults with a diagnosis of NAFLD. The NIS database is publicly available and the largest all-payer inpatient database in the United States. The patients with cannabis use were selected as cases and those without cannabis were selected as controls. Case-control matching at a ratio of one case to two controls was performed based on sex, age, race, and comorbidities. The liver-related outcomes such as portal hypertension, ascites, varices and variceal bleeding, and cirrhosis were compared between the groups. </w:t>
      </w:r>
    </w:p>
    <w:p w14:paraId="525943A1" w14:textId="77777777" w:rsidR="00A77B3E" w:rsidRPr="00D40ECC" w:rsidRDefault="00A77B3E" w:rsidP="005638C6">
      <w:pPr>
        <w:spacing w:line="360" w:lineRule="auto"/>
        <w:jc w:val="both"/>
        <w:rPr>
          <w:rFonts w:ascii="Book Antiqua" w:hAnsi="Book Antiqua"/>
        </w:rPr>
      </w:pPr>
    </w:p>
    <w:p w14:paraId="4584487C"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RESULTS</w:t>
      </w:r>
    </w:p>
    <w:p w14:paraId="7EDDA472" w14:textId="77674202"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 xml:space="preserve">A total of 49911 weighed hospitalizations with a diagnosis of NAFLD were identified. Of these, 3820 cases were selected as the cannabis group, and 7625 non-cannabis cases were matched as controls. Patients with cannabis use had a higher prevalence of ascites (4.5% </w:t>
      </w:r>
      <w:r w:rsidRPr="00D40ECC">
        <w:rPr>
          <w:rFonts w:ascii="Book Antiqua" w:eastAsia="Book Antiqua" w:hAnsi="Book Antiqua" w:cs="Book Antiqua"/>
          <w:i/>
          <w:iCs/>
          <w:color w:val="000000"/>
        </w:rPr>
        <w:t>vs</w:t>
      </w:r>
      <w:r w:rsidRPr="00D40ECC">
        <w:rPr>
          <w:rFonts w:ascii="Book Antiqua" w:eastAsia="Book Antiqua" w:hAnsi="Book Antiqua" w:cs="Book Antiqua"/>
          <w:color w:val="000000"/>
        </w:rPr>
        <w:t xml:space="preserve"> 3.6%), with and without cannabis use, </w:t>
      </w:r>
      <w:r w:rsidRPr="00D40ECC">
        <w:rPr>
          <w:rFonts w:ascii="Book Antiqua" w:eastAsia="Book Antiqua" w:hAnsi="Book Antiqua" w:cs="Book Antiqua"/>
          <w:i/>
          <w:iCs/>
          <w:color w:val="000000"/>
        </w:rPr>
        <w:t>P</w:t>
      </w:r>
      <w:r w:rsidRPr="00D40ECC">
        <w:rPr>
          <w:rFonts w:ascii="Book Antiqua" w:eastAsia="Book Antiqua" w:hAnsi="Book Antiqua" w:cs="Book Antiqua"/>
          <w:color w:val="000000"/>
        </w:rPr>
        <w:t xml:space="preserve"> = 0.03. The prevalence of portal hypertension (2.1% </w:t>
      </w:r>
      <w:r w:rsidRPr="00D40ECC">
        <w:rPr>
          <w:rFonts w:ascii="Book Antiqua" w:eastAsia="Book Antiqua" w:hAnsi="Book Antiqua" w:cs="Book Antiqua"/>
          <w:i/>
          <w:iCs/>
          <w:color w:val="000000"/>
        </w:rPr>
        <w:t>vs</w:t>
      </w:r>
      <w:r w:rsidRPr="00D40ECC">
        <w:rPr>
          <w:rFonts w:ascii="Book Antiqua" w:eastAsia="Book Antiqua" w:hAnsi="Book Antiqua" w:cs="Book Antiqua"/>
          <w:color w:val="000000"/>
        </w:rPr>
        <w:t xml:space="preserve"> 2.2%), varices and variceal bleeding (1.3% </w:t>
      </w:r>
      <w:r w:rsidRPr="00D40ECC">
        <w:rPr>
          <w:rFonts w:ascii="Book Antiqua" w:eastAsia="Book Antiqua" w:hAnsi="Book Antiqua" w:cs="Book Antiqua"/>
          <w:i/>
          <w:iCs/>
          <w:color w:val="000000"/>
        </w:rPr>
        <w:t>vs</w:t>
      </w:r>
      <w:r w:rsidRPr="00D40ECC">
        <w:rPr>
          <w:rFonts w:ascii="Book Antiqua" w:eastAsia="Book Antiqua" w:hAnsi="Book Antiqua" w:cs="Book Antiqua"/>
          <w:color w:val="000000"/>
        </w:rPr>
        <w:t xml:space="preserve"> 1.7%), and cirrhosis (3.7% </w:t>
      </w:r>
      <w:r w:rsidRPr="00D40ECC">
        <w:rPr>
          <w:rFonts w:ascii="Book Antiqua" w:eastAsia="Book Antiqua" w:hAnsi="Book Antiqua" w:cs="Book Antiqua"/>
          <w:i/>
          <w:iCs/>
          <w:color w:val="000000"/>
        </w:rPr>
        <w:t>vs</w:t>
      </w:r>
      <w:r w:rsidRPr="00D40ECC">
        <w:rPr>
          <w:rFonts w:ascii="Book Antiqua" w:eastAsia="Book Antiqua" w:hAnsi="Book Antiqua" w:cs="Book Antiqua"/>
          <w:color w:val="000000"/>
        </w:rPr>
        <w:t xml:space="preserve"> 3.6%) was not different between the groups, with and without cannabis use, all </w:t>
      </w:r>
      <w:r w:rsidR="0010142A" w:rsidRPr="00D40ECC">
        <w:rPr>
          <w:rFonts w:ascii="Book Antiqua" w:eastAsia="Book Antiqua" w:hAnsi="Book Antiqua" w:cs="Book Antiqua"/>
          <w:i/>
          <w:iCs/>
          <w:color w:val="000000"/>
        </w:rPr>
        <w:t>P</w:t>
      </w:r>
      <w:r w:rsidR="0010142A"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&gt;</w:t>
      </w:r>
      <w:r w:rsidR="0010142A"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 xml:space="preserve">0.05. Hyperlipidemia, </w:t>
      </w:r>
      <w:r w:rsidR="0010142A" w:rsidRPr="00D40ECC">
        <w:rPr>
          <w:rFonts w:ascii="Book Antiqua" w:eastAsia="Book Antiqua" w:hAnsi="Book Antiqua" w:cs="Book Antiqua"/>
          <w:color w:val="000000"/>
        </w:rPr>
        <w:t>r</w:t>
      </w:r>
      <w:r w:rsidRPr="00D40ECC">
        <w:rPr>
          <w:rFonts w:ascii="Book Antiqua" w:eastAsia="Book Antiqua" w:hAnsi="Book Antiqua" w:cs="Book Antiqua"/>
          <w:color w:val="000000"/>
        </w:rPr>
        <w:t xml:space="preserve">ace/ethnicity other than </w:t>
      </w:r>
      <w:r w:rsidR="0010142A" w:rsidRPr="00D40ECC">
        <w:rPr>
          <w:rFonts w:ascii="Book Antiqua" w:eastAsia="Book Antiqua" w:hAnsi="Book Antiqua" w:cs="Book Antiqua"/>
          <w:color w:val="000000"/>
        </w:rPr>
        <w:t>W</w:t>
      </w:r>
      <w:r w:rsidRPr="00D40ECC">
        <w:rPr>
          <w:rFonts w:ascii="Book Antiqua" w:eastAsia="Book Antiqua" w:hAnsi="Book Antiqua" w:cs="Book Antiqua"/>
          <w:color w:val="000000"/>
        </w:rPr>
        <w:t xml:space="preserve">hite, </w:t>
      </w:r>
      <w:r w:rsidR="0010142A" w:rsidRPr="00D40ECC">
        <w:rPr>
          <w:rFonts w:ascii="Book Antiqua" w:eastAsia="Book Antiqua" w:hAnsi="Book Antiqua" w:cs="Book Antiqua"/>
          <w:color w:val="000000"/>
        </w:rPr>
        <w:t>B</w:t>
      </w:r>
      <w:r w:rsidRPr="00D40ECC">
        <w:rPr>
          <w:rFonts w:ascii="Book Antiqua" w:eastAsia="Book Antiqua" w:hAnsi="Book Antiqua" w:cs="Book Antiqua"/>
          <w:color w:val="000000"/>
        </w:rPr>
        <w:t xml:space="preserve">lack, </w:t>
      </w:r>
      <w:r w:rsidR="0010142A" w:rsidRPr="00D40ECC">
        <w:rPr>
          <w:rFonts w:ascii="Book Antiqua" w:eastAsia="Book Antiqua" w:hAnsi="Book Antiqua" w:cs="Book Antiqua"/>
          <w:color w:val="000000"/>
        </w:rPr>
        <w:t>A</w:t>
      </w:r>
      <w:r w:rsidRPr="00D40ECC">
        <w:rPr>
          <w:rFonts w:ascii="Book Antiqua" w:eastAsia="Book Antiqua" w:hAnsi="Book Antiqua" w:cs="Book Antiqua"/>
          <w:color w:val="000000"/>
        </w:rPr>
        <w:t>sian</w:t>
      </w:r>
      <w:r w:rsidR="00EA3C53" w:rsidRPr="00D40ECC">
        <w:rPr>
          <w:rFonts w:ascii="Book Antiqua" w:eastAsia="Book Antiqua" w:hAnsi="Book Antiqua" w:cs="Book Antiqua"/>
          <w:color w:val="000000"/>
        </w:rPr>
        <w:t>,</w:t>
      </w:r>
      <w:r w:rsidR="00BB2813" w:rsidRPr="00D40ECC">
        <w:rPr>
          <w:rFonts w:ascii="Book Antiqua" w:eastAsia="Book Antiqua" w:hAnsi="Book Antiqua" w:cs="Book Antiqua"/>
          <w:color w:val="000000"/>
        </w:rPr>
        <w:t xml:space="preserve"> </w:t>
      </w:r>
      <w:r w:rsidR="0010142A" w:rsidRPr="00D40ECC">
        <w:rPr>
          <w:rFonts w:ascii="Book Antiqua" w:eastAsia="Book Antiqua" w:hAnsi="Book Antiqua" w:cs="Book Antiqua"/>
          <w:color w:val="000000"/>
        </w:rPr>
        <w:t>P</w:t>
      </w:r>
      <w:r w:rsidRPr="00D40ECC">
        <w:rPr>
          <w:rFonts w:ascii="Book Antiqua" w:eastAsia="Book Antiqua" w:hAnsi="Book Antiqua" w:cs="Book Antiqua"/>
          <w:color w:val="000000"/>
        </w:rPr>
        <w:t xml:space="preserve">acific Islander </w:t>
      </w:r>
      <w:r w:rsidRPr="00D40ECC">
        <w:rPr>
          <w:rFonts w:ascii="Book Antiqua" w:eastAsia="Book Antiqua" w:hAnsi="Book Antiqua" w:cs="Book Antiqua"/>
          <w:color w:val="000000"/>
        </w:rPr>
        <w:lastRenderedPageBreak/>
        <w:t xml:space="preserve">or Native American, </w:t>
      </w:r>
      <w:r w:rsidR="00034203" w:rsidRPr="00D40ECC">
        <w:rPr>
          <w:rFonts w:ascii="Book Antiqua" w:eastAsia="Book Antiqua" w:hAnsi="Book Antiqua" w:cs="Book Antiqua"/>
          <w:color w:val="000000"/>
        </w:rPr>
        <w:t xml:space="preserve">and </w:t>
      </w:r>
      <w:r w:rsidRPr="00D40ECC">
        <w:rPr>
          <w:rFonts w:ascii="Book Antiqua" w:eastAsia="Book Antiqua" w:hAnsi="Book Antiqua" w:cs="Book Antiqua"/>
          <w:color w:val="000000"/>
        </w:rPr>
        <w:t xml:space="preserve">higher comorbidity score were independent risk factors for ascites in </w:t>
      </w:r>
      <w:r w:rsidR="00034203" w:rsidRPr="00D40ECC">
        <w:rPr>
          <w:rFonts w:ascii="Book Antiqua" w:eastAsia="Book Antiqua" w:hAnsi="Book Antiqua" w:cs="Book Antiqua"/>
          <w:color w:val="000000"/>
        </w:rPr>
        <w:t xml:space="preserve">the </w:t>
      </w:r>
      <w:r w:rsidRPr="00D40ECC">
        <w:rPr>
          <w:rFonts w:ascii="Book Antiqua" w:eastAsia="Book Antiqua" w:hAnsi="Book Antiqua" w:cs="Book Antiqua"/>
          <w:color w:val="000000"/>
        </w:rPr>
        <w:t xml:space="preserve">cannabis group. Among non-cannabis users, obesity and hyperlipidemia were independent protective factors against ascites while </w:t>
      </w:r>
      <w:r w:rsidR="00034203" w:rsidRPr="00D40ECC">
        <w:rPr>
          <w:rFonts w:ascii="Book Antiqua" w:eastAsia="Book Antiqua" w:hAnsi="Book Antiqua" w:cs="Book Antiqua"/>
          <w:color w:val="000000"/>
        </w:rPr>
        <w:t xml:space="preserve">older age, </w:t>
      </w:r>
      <w:r w:rsidRPr="00D40ECC">
        <w:rPr>
          <w:rFonts w:ascii="Book Antiqua" w:eastAsia="Book Antiqua" w:hAnsi="Book Antiqua" w:cs="Book Antiqua"/>
          <w:color w:val="000000"/>
        </w:rPr>
        <w:t xml:space="preserve">Native American and higher comorbidity index were independent risk factors for ascites. </w:t>
      </w:r>
    </w:p>
    <w:p w14:paraId="17FA9CBB" w14:textId="77777777" w:rsidR="00A77B3E" w:rsidRPr="00D40ECC" w:rsidRDefault="00A77B3E" w:rsidP="005638C6">
      <w:pPr>
        <w:spacing w:line="360" w:lineRule="auto"/>
        <w:jc w:val="both"/>
        <w:rPr>
          <w:rFonts w:ascii="Book Antiqua" w:hAnsi="Book Antiqua"/>
        </w:rPr>
      </w:pPr>
    </w:p>
    <w:p w14:paraId="045B7A65"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CONCLUSION</w:t>
      </w:r>
    </w:p>
    <w:p w14:paraId="44731A9B"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 xml:space="preserve">Cannabis was associated with higher rates of ascites, but there was no statistical difference in the prevalence of portal hypertension, varices and variceal bleeding, and cirrhosis. </w:t>
      </w:r>
    </w:p>
    <w:p w14:paraId="0ED082B4" w14:textId="77777777" w:rsidR="00A77B3E" w:rsidRPr="00D40ECC" w:rsidRDefault="00A77B3E" w:rsidP="005638C6">
      <w:pPr>
        <w:spacing w:line="360" w:lineRule="auto"/>
        <w:jc w:val="both"/>
        <w:rPr>
          <w:rFonts w:ascii="Book Antiqua" w:hAnsi="Book Antiqua"/>
        </w:rPr>
      </w:pPr>
    </w:p>
    <w:p w14:paraId="7032F76C" w14:textId="4F5C3911"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bCs/>
          <w:color w:val="000000"/>
        </w:rPr>
        <w:t xml:space="preserve">Key Words: </w:t>
      </w:r>
      <w:r w:rsidRPr="00D40ECC">
        <w:rPr>
          <w:rFonts w:ascii="Book Antiqua" w:eastAsia="Book Antiqua" w:hAnsi="Book Antiqua" w:cs="Book Antiqua"/>
          <w:color w:val="000000"/>
        </w:rPr>
        <w:t xml:space="preserve">Nonalcoholic </w:t>
      </w:r>
      <w:r w:rsidR="0010142A" w:rsidRPr="00D40ECC">
        <w:rPr>
          <w:rFonts w:ascii="Book Antiqua" w:eastAsia="Book Antiqua" w:hAnsi="Book Antiqua" w:cs="Book Antiqua"/>
          <w:color w:val="000000"/>
        </w:rPr>
        <w:t>f</w:t>
      </w:r>
      <w:r w:rsidRPr="00D40ECC">
        <w:rPr>
          <w:rFonts w:ascii="Book Antiqua" w:eastAsia="Book Antiqua" w:hAnsi="Book Antiqua" w:cs="Book Antiqua"/>
          <w:color w:val="000000"/>
        </w:rPr>
        <w:t xml:space="preserve">atty </w:t>
      </w:r>
      <w:r w:rsidR="0010142A" w:rsidRPr="00D40ECC">
        <w:rPr>
          <w:rFonts w:ascii="Book Antiqua" w:eastAsia="Book Antiqua" w:hAnsi="Book Antiqua" w:cs="Book Antiqua"/>
          <w:color w:val="000000"/>
        </w:rPr>
        <w:t>l</w:t>
      </w:r>
      <w:r w:rsidRPr="00D40ECC">
        <w:rPr>
          <w:rFonts w:ascii="Book Antiqua" w:eastAsia="Book Antiqua" w:hAnsi="Book Antiqua" w:cs="Book Antiqua"/>
          <w:color w:val="000000"/>
        </w:rPr>
        <w:t xml:space="preserve">iver </w:t>
      </w:r>
      <w:r w:rsidR="0010142A" w:rsidRPr="00D40ECC">
        <w:rPr>
          <w:rFonts w:ascii="Book Antiqua" w:eastAsia="Book Antiqua" w:hAnsi="Book Antiqua" w:cs="Book Antiqua"/>
          <w:color w:val="000000"/>
        </w:rPr>
        <w:t>d</w:t>
      </w:r>
      <w:r w:rsidRPr="00D40ECC">
        <w:rPr>
          <w:rFonts w:ascii="Book Antiqua" w:eastAsia="Book Antiqua" w:hAnsi="Book Antiqua" w:cs="Book Antiqua"/>
          <w:color w:val="000000"/>
        </w:rPr>
        <w:t xml:space="preserve">isease; Fatty </w:t>
      </w:r>
      <w:r w:rsidR="0010142A" w:rsidRPr="00D40ECC">
        <w:rPr>
          <w:rFonts w:ascii="Book Antiqua" w:eastAsia="Book Antiqua" w:hAnsi="Book Antiqua" w:cs="Book Antiqua"/>
          <w:color w:val="000000"/>
        </w:rPr>
        <w:t>l</w:t>
      </w:r>
      <w:r w:rsidRPr="00D40ECC">
        <w:rPr>
          <w:rFonts w:ascii="Book Antiqua" w:eastAsia="Book Antiqua" w:hAnsi="Book Antiqua" w:cs="Book Antiqua"/>
          <w:color w:val="000000"/>
        </w:rPr>
        <w:t xml:space="preserve">iver; Cannabis; Marijuana </w:t>
      </w:r>
      <w:r w:rsidR="0010142A" w:rsidRPr="00D40ECC">
        <w:rPr>
          <w:rFonts w:ascii="Book Antiqua" w:eastAsia="Book Antiqua" w:hAnsi="Book Antiqua" w:cs="Book Antiqua"/>
          <w:color w:val="000000"/>
        </w:rPr>
        <w:t>u</w:t>
      </w:r>
      <w:r w:rsidRPr="00D40ECC">
        <w:rPr>
          <w:rFonts w:ascii="Book Antiqua" w:eastAsia="Book Antiqua" w:hAnsi="Book Antiqua" w:cs="Book Antiqua"/>
          <w:color w:val="000000"/>
        </w:rPr>
        <w:t xml:space="preserve">se; Liver </w:t>
      </w:r>
      <w:r w:rsidR="0010142A" w:rsidRPr="00D40ECC">
        <w:rPr>
          <w:rFonts w:ascii="Book Antiqua" w:eastAsia="Book Antiqua" w:hAnsi="Book Antiqua" w:cs="Book Antiqua"/>
          <w:color w:val="000000"/>
        </w:rPr>
        <w:t>d</w:t>
      </w:r>
      <w:r w:rsidRPr="00D40ECC">
        <w:rPr>
          <w:rFonts w:ascii="Book Antiqua" w:eastAsia="Book Antiqua" w:hAnsi="Book Antiqua" w:cs="Book Antiqua"/>
          <w:color w:val="000000"/>
        </w:rPr>
        <w:t>iseases; Hospitalization</w:t>
      </w:r>
    </w:p>
    <w:p w14:paraId="6E4AE7BD" w14:textId="77777777" w:rsidR="00A77B3E" w:rsidRPr="00D40ECC" w:rsidRDefault="00A77B3E" w:rsidP="005638C6">
      <w:pPr>
        <w:spacing w:line="360" w:lineRule="auto"/>
        <w:jc w:val="both"/>
        <w:rPr>
          <w:rFonts w:ascii="Book Antiqua" w:hAnsi="Book Antiqua"/>
        </w:rPr>
      </w:pPr>
    </w:p>
    <w:p w14:paraId="6760DBEA" w14:textId="669B85A1" w:rsidR="00067DA8" w:rsidRPr="00067DA8" w:rsidRDefault="00067DA8" w:rsidP="005638C6">
      <w:pPr>
        <w:spacing w:line="360" w:lineRule="auto"/>
        <w:jc w:val="both"/>
        <w:rPr>
          <w:rFonts w:ascii="Book Antiqua" w:hAnsi="Book Antiqua" w:cs="Book Antiqua" w:hint="eastAsia"/>
          <w:color w:val="000000"/>
          <w:lang w:eastAsia="zh-CN"/>
        </w:rPr>
      </w:pPr>
      <w:r w:rsidRPr="00067DA8">
        <w:rPr>
          <w:rFonts w:ascii="Book Antiqua" w:hAnsi="Book Antiqua" w:cs="Book Antiqua" w:hint="eastAsia"/>
          <w:b/>
          <w:color w:val="000000"/>
          <w:lang w:val="pt-BR" w:eastAsia="zh-CN"/>
        </w:rPr>
        <w:t xml:space="preserve">Citation: </w:t>
      </w:r>
      <w:r w:rsidR="00292C3F" w:rsidRPr="00D40ECC">
        <w:rPr>
          <w:rFonts w:ascii="Book Antiqua" w:eastAsia="Book Antiqua" w:hAnsi="Book Antiqua" w:cs="Book Antiqua"/>
          <w:color w:val="000000"/>
          <w:lang w:val="pt-BR"/>
        </w:rPr>
        <w:t>Choi CJ, Weiss SH, Nasir U</w:t>
      </w:r>
      <w:r w:rsidR="00EA3C53" w:rsidRPr="00D40ECC">
        <w:rPr>
          <w:rFonts w:ascii="Book Antiqua" w:eastAsia="Book Antiqua" w:hAnsi="Book Antiqua" w:cs="Book Antiqua"/>
          <w:color w:val="000000"/>
          <w:lang w:val="pt-BR"/>
        </w:rPr>
        <w:t>M</w:t>
      </w:r>
      <w:r w:rsidR="00292C3F" w:rsidRPr="00D40ECC">
        <w:rPr>
          <w:rFonts w:ascii="Book Antiqua" w:eastAsia="Book Antiqua" w:hAnsi="Book Antiqua" w:cs="Book Antiqua"/>
          <w:color w:val="000000"/>
          <w:lang w:val="pt-BR"/>
        </w:rPr>
        <w:t xml:space="preserve">, Pyrsopoulos NT. </w:t>
      </w:r>
      <w:r w:rsidR="00292C3F" w:rsidRPr="00D40ECC">
        <w:rPr>
          <w:rFonts w:ascii="Book Antiqua" w:eastAsia="Book Antiqua" w:hAnsi="Book Antiqua" w:cs="Book Antiqua"/>
          <w:color w:val="000000"/>
        </w:rPr>
        <w:t xml:space="preserve">Cannabis </w:t>
      </w:r>
      <w:r w:rsidR="009E767C" w:rsidRPr="00D40ECC">
        <w:rPr>
          <w:rFonts w:ascii="Book Antiqua" w:eastAsia="Book Antiqua" w:hAnsi="Book Antiqua" w:cs="Book Antiqua"/>
          <w:color w:val="000000"/>
        </w:rPr>
        <w:t>u</w:t>
      </w:r>
      <w:r w:rsidR="00292C3F" w:rsidRPr="00D40ECC">
        <w:rPr>
          <w:rFonts w:ascii="Book Antiqua" w:eastAsia="Book Antiqua" w:hAnsi="Book Antiqua" w:cs="Book Antiqua"/>
          <w:color w:val="000000"/>
        </w:rPr>
        <w:t xml:space="preserve">se </w:t>
      </w:r>
      <w:r w:rsidR="009E767C" w:rsidRPr="00D40ECC">
        <w:rPr>
          <w:rFonts w:ascii="Book Antiqua" w:eastAsia="Book Antiqua" w:hAnsi="Book Antiqua" w:cs="Book Antiqua"/>
          <w:color w:val="000000"/>
        </w:rPr>
        <w:t>h</w:t>
      </w:r>
      <w:r w:rsidR="00292C3F" w:rsidRPr="00D40ECC">
        <w:rPr>
          <w:rFonts w:ascii="Book Antiqua" w:eastAsia="Book Antiqua" w:hAnsi="Book Antiqua" w:cs="Book Antiqua"/>
          <w:color w:val="000000"/>
        </w:rPr>
        <w:t xml:space="preserve">istory is </w:t>
      </w:r>
      <w:r w:rsidR="009E767C" w:rsidRPr="00D40ECC">
        <w:rPr>
          <w:rFonts w:ascii="Book Antiqua" w:eastAsia="Book Antiqua" w:hAnsi="Book Antiqua" w:cs="Book Antiqua"/>
          <w:color w:val="000000"/>
        </w:rPr>
        <w:t>a</w:t>
      </w:r>
      <w:r w:rsidR="00292C3F" w:rsidRPr="00D40ECC">
        <w:rPr>
          <w:rFonts w:ascii="Book Antiqua" w:eastAsia="Book Antiqua" w:hAnsi="Book Antiqua" w:cs="Book Antiqua"/>
          <w:color w:val="000000"/>
        </w:rPr>
        <w:t xml:space="preserve">ssociated with </w:t>
      </w:r>
      <w:r w:rsidR="009E767C" w:rsidRPr="00D40ECC">
        <w:rPr>
          <w:rFonts w:ascii="Book Antiqua" w:eastAsia="Book Antiqua" w:hAnsi="Book Antiqua" w:cs="Book Antiqua"/>
          <w:color w:val="000000"/>
        </w:rPr>
        <w:t>i</w:t>
      </w:r>
      <w:r w:rsidR="00292C3F" w:rsidRPr="00D40ECC">
        <w:rPr>
          <w:rFonts w:ascii="Book Antiqua" w:eastAsia="Book Antiqua" w:hAnsi="Book Antiqua" w:cs="Book Antiqua"/>
          <w:color w:val="000000"/>
        </w:rPr>
        <w:t xml:space="preserve">ncreased </w:t>
      </w:r>
      <w:r w:rsidR="009E767C" w:rsidRPr="00D40ECC">
        <w:rPr>
          <w:rFonts w:ascii="Book Antiqua" w:eastAsia="Book Antiqua" w:hAnsi="Book Antiqua" w:cs="Book Antiqua"/>
          <w:color w:val="000000"/>
        </w:rPr>
        <w:t>p</w:t>
      </w:r>
      <w:r w:rsidR="00292C3F" w:rsidRPr="00D40ECC">
        <w:rPr>
          <w:rFonts w:ascii="Book Antiqua" w:eastAsia="Book Antiqua" w:hAnsi="Book Antiqua" w:cs="Book Antiqua"/>
          <w:color w:val="000000"/>
        </w:rPr>
        <w:t xml:space="preserve">revalence of </w:t>
      </w:r>
      <w:r w:rsidR="009E767C" w:rsidRPr="00D40ECC">
        <w:rPr>
          <w:rFonts w:ascii="Book Antiqua" w:eastAsia="Book Antiqua" w:hAnsi="Book Antiqua" w:cs="Book Antiqua"/>
          <w:color w:val="000000"/>
        </w:rPr>
        <w:t>a</w:t>
      </w:r>
      <w:r w:rsidR="00292C3F" w:rsidRPr="00D40ECC">
        <w:rPr>
          <w:rFonts w:ascii="Book Antiqua" w:eastAsia="Book Antiqua" w:hAnsi="Book Antiqua" w:cs="Book Antiqua"/>
          <w:color w:val="000000"/>
        </w:rPr>
        <w:t xml:space="preserve">scites </w:t>
      </w:r>
      <w:r w:rsidR="009E767C" w:rsidRPr="00D40ECC">
        <w:rPr>
          <w:rFonts w:ascii="Book Antiqua" w:eastAsia="Book Antiqua" w:hAnsi="Book Antiqua" w:cs="Book Antiqua"/>
          <w:color w:val="000000"/>
        </w:rPr>
        <w:t>a</w:t>
      </w:r>
      <w:r w:rsidR="00292C3F" w:rsidRPr="00D40ECC">
        <w:rPr>
          <w:rFonts w:ascii="Book Antiqua" w:eastAsia="Book Antiqua" w:hAnsi="Book Antiqua" w:cs="Book Antiqua"/>
          <w:color w:val="000000"/>
        </w:rPr>
        <w:t xml:space="preserve">mong </w:t>
      </w:r>
      <w:r w:rsidR="009E767C" w:rsidRPr="00D40ECC">
        <w:rPr>
          <w:rFonts w:ascii="Book Antiqua" w:eastAsia="Book Antiqua" w:hAnsi="Book Antiqua" w:cs="Book Antiqua"/>
          <w:color w:val="000000"/>
        </w:rPr>
        <w:t>p</w:t>
      </w:r>
      <w:r w:rsidR="00292C3F" w:rsidRPr="00D40ECC">
        <w:rPr>
          <w:rFonts w:ascii="Book Antiqua" w:eastAsia="Book Antiqua" w:hAnsi="Book Antiqua" w:cs="Book Antiqua"/>
          <w:color w:val="000000"/>
        </w:rPr>
        <w:t xml:space="preserve">atients with </w:t>
      </w:r>
      <w:r w:rsidR="009E767C" w:rsidRPr="00D40ECC">
        <w:rPr>
          <w:rFonts w:ascii="Book Antiqua" w:eastAsia="Book Antiqua" w:hAnsi="Book Antiqua" w:cs="Book Antiqua"/>
          <w:color w:val="000000"/>
        </w:rPr>
        <w:t>n</w:t>
      </w:r>
      <w:r w:rsidR="00292C3F" w:rsidRPr="00D40ECC">
        <w:rPr>
          <w:rFonts w:ascii="Book Antiqua" w:eastAsia="Book Antiqua" w:hAnsi="Book Antiqua" w:cs="Book Antiqua"/>
          <w:color w:val="000000"/>
        </w:rPr>
        <w:t xml:space="preserve">onalcoholic </w:t>
      </w:r>
      <w:r w:rsidR="009E767C" w:rsidRPr="00D40ECC">
        <w:rPr>
          <w:rFonts w:ascii="Book Antiqua" w:eastAsia="Book Antiqua" w:hAnsi="Book Antiqua" w:cs="Book Antiqua"/>
          <w:color w:val="000000"/>
        </w:rPr>
        <w:t>f</w:t>
      </w:r>
      <w:r w:rsidR="00292C3F" w:rsidRPr="00D40ECC">
        <w:rPr>
          <w:rFonts w:ascii="Book Antiqua" w:eastAsia="Book Antiqua" w:hAnsi="Book Antiqua" w:cs="Book Antiqua"/>
          <w:color w:val="000000"/>
        </w:rPr>
        <w:t xml:space="preserve">atty </w:t>
      </w:r>
      <w:r w:rsidR="009E767C" w:rsidRPr="00D40ECC">
        <w:rPr>
          <w:rFonts w:ascii="Book Antiqua" w:eastAsia="Book Antiqua" w:hAnsi="Book Antiqua" w:cs="Book Antiqua"/>
          <w:color w:val="000000"/>
        </w:rPr>
        <w:t>l</w:t>
      </w:r>
      <w:r w:rsidR="00292C3F" w:rsidRPr="00D40ECC">
        <w:rPr>
          <w:rFonts w:ascii="Book Antiqua" w:eastAsia="Book Antiqua" w:hAnsi="Book Antiqua" w:cs="Book Antiqua"/>
          <w:color w:val="000000"/>
        </w:rPr>
        <w:t xml:space="preserve">iver </w:t>
      </w:r>
      <w:r w:rsidR="009E767C" w:rsidRPr="00D40ECC">
        <w:rPr>
          <w:rFonts w:ascii="Book Antiqua" w:eastAsia="Book Antiqua" w:hAnsi="Book Antiqua" w:cs="Book Antiqua"/>
          <w:color w:val="000000"/>
        </w:rPr>
        <w:t>d</w:t>
      </w:r>
      <w:r w:rsidR="00292C3F" w:rsidRPr="00D40ECC">
        <w:rPr>
          <w:rFonts w:ascii="Book Antiqua" w:eastAsia="Book Antiqua" w:hAnsi="Book Antiqua" w:cs="Book Antiqua"/>
          <w:color w:val="000000"/>
        </w:rPr>
        <w:t xml:space="preserve">isease: </w:t>
      </w:r>
      <w:r w:rsidR="0010142A" w:rsidRPr="00D40ECC">
        <w:rPr>
          <w:rFonts w:ascii="Book Antiqua" w:eastAsia="Book Antiqua" w:hAnsi="Book Antiqua" w:cs="Book Antiqua"/>
          <w:color w:val="000000"/>
        </w:rPr>
        <w:t>A</w:t>
      </w:r>
      <w:r w:rsidR="00292C3F" w:rsidRPr="00D40ECC">
        <w:rPr>
          <w:rFonts w:ascii="Book Antiqua" w:eastAsia="Book Antiqua" w:hAnsi="Book Antiqua" w:cs="Book Antiqua"/>
          <w:color w:val="000000"/>
        </w:rPr>
        <w:t xml:space="preserve"> </w:t>
      </w:r>
      <w:r w:rsidR="0010142A" w:rsidRPr="00D40ECC">
        <w:rPr>
          <w:rFonts w:ascii="Book Antiqua" w:eastAsia="Book Antiqua" w:hAnsi="Book Antiqua" w:cs="Book Antiqua"/>
          <w:color w:val="000000"/>
        </w:rPr>
        <w:t>n</w:t>
      </w:r>
      <w:r w:rsidR="00292C3F" w:rsidRPr="00D40ECC">
        <w:rPr>
          <w:rFonts w:ascii="Book Antiqua" w:eastAsia="Book Antiqua" w:hAnsi="Book Antiqua" w:cs="Book Antiqua"/>
          <w:color w:val="000000"/>
        </w:rPr>
        <w:t xml:space="preserve">ationwide </w:t>
      </w:r>
      <w:r w:rsidR="0010142A" w:rsidRPr="00D40ECC">
        <w:rPr>
          <w:rFonts w:ascii="Book Antiqua" w:eastAsia="Book Antiqua" w:hAnsi="Book Antiqua" w:cs="Book Antiqua"/>
          <w:color w:val="000000"/>
        </w:rPr>
        <w:t>a</w:t>
      </w:r>
      <w:r w:rsidR="00292C3F" w:rsidRPr="00D40ECC">
        <w:rPr>
          <w:rFonts w:ascii="Book Antiqua" w:eastAsia="Book Antiqua" w:hAnsi="Book Antiqua" w:cs="Book Antiqua"/>
          <w:color w:val="000000"/>
        </w:rPr>
        <w:t xml:space="preserve">nalysis. </w:t>
      </w:r>
      <w:r w:rsidR="00292C3F" w:rsidRPr="00D40ECC">
        <w:rPr>
          <w:rFonts w:ascii="Book Antiqua" w:eastAsia="Book Antiqua" w:hAnsi="Book Antiqua" w:cs="Book Antiqua"/>
          <w:i/>
          <w:iCs/>
          <w:color w:val="000000"/>
        </w:rPr>
        <w:t xml:space="preserve">World J </w:t>
      </w:r>
      <w:proofErr w:type="spellStart"/>
      <w:r w:rsidR="00292C3F" w:rsidRPr="00D40ECC">
        <w:rPr>
          <w:rFonts w:ascii="Book Antiqua" w:eastAsia="Book Antiqua" w:hAnsi="Book Antiqua" w:cs="Book Antiqua"/>
          <w:i/>
          <w:iCs/>
          <w:color w:val="000000"/>
        </w:rPr>
        <w:t>Hepatol</w:t>
      </w:r>
      <w:proofErr w:type="spellEnd"/>
      <w:r w:rsidR="00292C3F" w:rsidRPr="00D40ECC">
        <w:rPr>
          <w:rFonts w:ascii="Book Antiqua" w:eastAsia="Book Antiqua" w:hAnsi="Book Antiqua" w:cs="Book Antiqua"/>
          <w:color w:val="000000"/>
        </w:rPr>
        <w:t xml:space="preserve"> 2020; </w:t>
      </w:r>
      <w:r w:rsidR="00BB6853" w:rsidRPr="00D40ECC">
        <w:rPr>
          <w:rFonts w:ascii="Book Antiqua" w:eastAsia="Book Antiqua" w:hAnsi="Book Antiqua" w:cs="Book Antiqua"/>
          <w:color w:val="000000"/>
        </w:rPr>
        <w:t>12(</w:t>
      </w:r>
      <w:r w:rsidR="00BB6853" w:rsidRPr="00D40ECC">
        <w:rPr>
          <w:rFonts w:ascii="Book Antiqua" w:hAnsi="Book Antiqua" w:cs="Book Antiqua"/>
          <w:color w:val="000000"/>
          <w:lang w:eastAsia="zh-CN"/>
        </w:rPr>
        <w:t>11</w:t>
      </w:r>
      <w:r w:rsidR="00BB6853" w:rsidRPr="00D40ECC">
        <w:rPr>
          <w:rFonts w:ascii="Book Antiqua" w:eastAsia="Book Antiqua" w:hAnsi="Book Antiqua" w:cs="Book Antiqua"/>
          <w:color w:val="000000"/>
        </w:rPr>
        <w:t xml:space="preserve">): </w:t>
      </w:r>
      <w:r>
        <w:rPr>
          <w:rFonts w:ascii="Book Antiqua" w:hAnsi="Book Antiqua" w:cs="Book Antiqua" w:hint="eastAsia"/>
          <w:color w:val="000000"/>
          <w:lang w:eastAsia="zh-CN"/>
        </w:rPr>
        <w:t>993</w:t>
      </w:r>
      <w:r w:rsidR="00BB6853" w:rsidRPr="00D40ECC">
        <w:rPr>
          <w:rFonts w:ascii="Book Antiqua" w:eastAsia="Book Antiqua" w:hAnsi="Book Antiqua" w:cs="Book Antiqua"/>
          <w:color w:val="000000"/>
        </w:rPr>
        <w:t>-</w:t>
      </w:r>
      <w:r>
        <w:rPr>
          <w:rFonts w:ascii="Book Antiqua" w:hAnsi="Book Antiqua" w:cs="Book Antiqua" w:hint="eastAsia"/>
          <w:color w:val="000000"/>
          <w:lang w:eastAsia="zh-CN"/>
        </w:rPr>
        <w:t>1003</w:t>
      </w:r>
    </w:p>
    <w:p w14:paraId="2D0EA8D9" w14:textId="24AC152A" w:rsidR="00067DA8" w:rsidRDefault="00BB6853" w:rsidP="005638C6">
      <w:pPr>
        <w:spacing w:line="360" w:lineRule="auto"/>
        <w:jc w:val="both"/>
        <w:rPr>
          <w:rFonts w:ascii="Book Antiqua" w:hAnsi="Book Antiqua" w:cs="Book Antiqua" w:hint="eastAsia"/>
          <w:color w:val="000000"/>
          <w:lang w:eastAsia="zh-CN"/>
        </w:rPr>
      </w:pPr>
      <w:r w:rsidRPr="00067DA8">
        <w:rPr>
          <w:rFonts w:ascii="Book Antiqua" w:hAnsi="Book Antiqua" w:cs="Book Antiqua"/>
          <w:b/>
          <w:color w:val="000000"/>
          <w:lang w:val="pt-BR" w:eastAsia="zh-CN"/>
        </w:rPr>
        <w:t>URL:</w:t>
      </w:r>
      <w:r w:rsidRPr="00D40ECC">
        <w:rPr>
          <w:rFonts w:ascii="Book Antiqua" w:eastAsia="Book Antiqua" w:hAnsi="Book Antiqua" w:cs="Book Antiqua"/>
          <w:color w:val="000000"/>
        </w:rPr>
        <w:t xml:space="preserve"> https://www.wjgnet.com/1948-5182/full/v12/i</w:t>
      </w:r>
      <w:r w:rsidRPr="00D40ECC">
        <w:rPr>
          <w:rFonts w:ascii="Book Antiqua" w:hAnsi="Book Antiqua" w:cs="Book Antiqua"/>
          <w:color w:val="000000"/>
          <w:lang w:eastAsia="zh-CN"/>
        </w:rPr>
        <w:t>11</w:t>
      </w:r>
      <w:r w:rsidRPr="00D40ECC">
        <w:rPr>
          <w:rFonts w:ascii="Book Antiqua" w:eastAsia="Book Antiqua" w:hAnsi="Book Antiqua" w:cs="Book Antiqua"/>
          <w:color w:val="000000"/>
        </w:rPr>
        <w:t>/</w:t>
      </w:r>
      <w:r w:rsidR="00067DA8">
        <w:rPr>
          <w:rFonts w:ascii="Book Antiqua" w:hAnsi="Book Antiqua" w:cs="Book Antiqua" w:hint="eastAsia"/>
          <w:color w:val="000000"/>
          <w:lang w:eastAsia="zh-CN"/>
        </w:rPr>
        <w:t>993</w:t>
      </w:r>
      <w:r w:rsidRPr="00D40ECC">
        <w:rPr>
          <w:rFonts w:ascii="Book Antiqua" w:eastAsia="Book Antiqua" w:hAnsi="Book Antiqua" w:cs="Book Antiqua"/>
          <w:color w:val="000000"/>
        </w:rPr>
        <w:t xml:space="preserve">.htm  </w:t>
      </w:r>
    </w:p>
    <w:p w14:paraId="4AA92117" w14:textId="3F84288A" w:rsidR="00A77B3E" w:rsidRPr="00067DA8" w:rsidRDefault="00BB6853" w:rsidP="005638C6">
      <w:pPr>
        <w:spacing w:line="360" w:lineRule="auto"/>
        <w:jc w:val="both"/>
        <w:rPr>
          <w:rFonts w:ascii="Book Antiqua" w:hAnsi="Book Antiqua" w:hint="eastAsia"/>
          <w:lang w:eastAsia="zh-CN"/>
        </w:rPr>
      </w:pPr>
      <w:r w:rsidRPr="00067DA8">
        <w:rPr>
          <w:rFonts w:ascii="Book Antiqua" w:hAnsi="Book Antiqua" w:cs="Book Antiqua"/>
          <w:b/>
          <w:color w:val="000000"/>
          <w:lang w:val="pt-BR" w:eastAsia="zh-CN"/>
        </w:rPr>
        <w:t>DOI:</w:t>
      </w:r>
      <w:r w:rsidRPr="00D40ECC">
        <w:rPr>
          <w:rFonts w:ascii="Book Antiqua" w:eastAsia="Book Antiqua" w:hAnsi="Book Antiqua" w:cs="Book Antiqua"/>
          <w:color w:val="000000"/>
        </w:rPr>
        <w:t xml:space="preserve"> https://dx.doi.org/10.4254/wjh.v12.i</w:t>
      </w:r>
      <w:r w:rsidRPr="00D40ECC">
        <w:rPr>
          <w:rFonts w:ascii="Book Antiqua" w:hAnsi="Book Antiqua" w:cs="Book Antiqua"/>
          <w:color w:val="000000"/>
          <w:lang w:eastAsia="zh-CN"/>
        </w:rPr>
        <w:t>11</w:t>
      </w:r>
      <w:r w:rsidRPr="00D40ECC">
        <w:rPr>
          <w:rFonts w:ascii="Book Antiqua" w:eastAsia="Book Antiqua" w:hAnsi="Book Antiqua" w:cs="Book Antiqua"/>
          <w:color w:val="000000"/>
        </w:rPr>
        <w:t>.</w:t>
      </w:r>
      <w:r w:rsidR="00067DA8">
        <w:rPr>
          <w:rFonts w:ascii="Book Antiqua" w:hAnsi="Book Antiqua" w:cs="Book Antiqua" w:hint="eastAsia"/>
          <w:color w:val="000000"/>
          <w:lang w:eastAsia="zh-CN"/>
        </w:rPr>
        <w:t>993</w:t>
      </w:r>
      <w:bookmarkStart w:id="0" w:name="_GoBack"/>
      <w:bookmarkEnd w:id="0"/>
    </w:p>
    <w:p w14:paraId="55674AB1" w14:textId="77777777" w:rsidR="00A77B3E" w:rsidRPr="00D40ECC" w:rsidRDefault="00A77B3E" w:rsidP="005638C6">
      <w:pPr>
        <w:spacing w:line="360" w:lineRule="auto"/>
        <w:jc w:val="both"/>
        <w:rPr>
          <w:rFonts w:ascii="Book Antiqua" w:hAnsi="Book Antiqua"/>
        </w:rPr>
      </w:pPr>
    </w:p>
    <w:p w14:paraId="76A9523F" w14:textId="20062236"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bCs/>
          <w:color w:val="000000"/>
        </w:rPr>
        <w:t xml:space="preserve">Core Tip: </w:t>
      </w:r>
      <w:r w:rsidRPr="00D40ECC">
        <w:rPr>
          <w:rFonts w:ascii="Book Antiqua" w:eastAsia="Book Antiqua" w:hAnsi="Book Antiqua" w:cs="Book Antiqua"/>
          <w:color w:val="000000"/>
        </w:rPr>
        <w:t>Recent studies showed the lower prevalence of nonalcoholic fatty liver disease (NAFLD) among cannabis users compared to non-cannabis users, therefore suggestive of cannabis’s modulatory role in the development of NAF</w:t>
      </w:r>
      <w:r w:rsidR="00231497" w:rsidRPr="00D40ECC">
        <w:rPr>
          <w:rFonts w:ascii="Book Antiqua" w:eastAsia="Book Antiqua" w:hAnsi="Book Antiqua" w:cs="Book Antiqua"/>
          <w:color w:val="000000"/>
        </w:rPr>
        <w:t>L</w:t>
      </w:r>
      <w:r w:rsidRPr="00D40ECC">
        <w:rPr>
          <w:rFonts w:ascii="Book Antiqua" w:eastAsia="Book Antiqua" w:hAnsi="Book Antiqua" w:cs="Book Antiqua"/>
          <w:color w:val="000000"/>
        </w:rPr>
        <w:t>D. However, our case-control matching analysis, based on sex, age, race, and comorbidity, showed cannabis use as independently associated with higher rates of ascites in patients with NAFLD. A</w:t>
      </w:r>
      <w:r w:rsidR="00034203" w:rsidRPr="00D40ECC">
        <w:rPr>
          <w:rFonts w:ascii="Book Antiqua" w:eastAsia="Book Antiqua" w:hAnsi="Book Antiqua" w:cs="Book Antiqua"/>
          <w:color w:val="000000"/>
        </w:rPr>
        <w:t xml:space="preserve"> conceivable</w:t>
      </w:r>
      <w:r w:rsidRPr="00D40ECC">
        <w:rPr>
          <w:rFonts w:ascii="Book Antiqua" w:eastAsia="Book Antiqua" w:hAnsi="Book Antiqua" w:cs="Book Antiqua"/>
          <w:color w:val="000000"/>
        </w:rPr>
        <w:t xml:space="preserve"> explanation for the finding is the dominant effect of </w:t>
      </w:r>
      <w:r w:rsidR="005A4AA3" w:rsidRPr="00D40ECC">
        <w:rPr>
          <w:rFonts w:ascii="Book Antiqua" w:eastAsia="Book Antiqua" w:hAnsi="Book Antiqua" w:cs="Book Antiqua"/>
          <w:color w:val="000000"/>
        </w:rPr>
        <w:t>cannabinoid receptor type 1</w:t>
      </w:r>
      <w:r w:rsidRPr="00D40ECC">
        <w:rPr>
          <w:rFonts w:ascii="Book Antiqua" w:eastAsia="Book Antiqua" w:hAnsi="Book Antiqua" w:cs="Book Antiqua"/>
          <w:color w:val="000000"/>
        </w:rPr>
        <w:t xml:space="preserve"> through its hepatic profibrotic effects in patients with NAFLD.</w:t>
      </w:r>
    </w:p>
    <w:p w14:paraId="58C534F2" w14:textId="77777777" w:rsidR="00A77B3E" w:rsidRPr="00D40ECC" w:rsidRDefault="00A77B3E" w:rsidP="005638C6">
      <w:pPr>
        <w:spacing w:line="360" w:lineRule="auto"/>
        <w:jc w:val="both"/>
        <w:rPr>
          <w:rFonts w:ascii="Book Antiqua" w:hAnsi="Book Antiqua"/>
        </w:rPr>
      </w:pPr>
    </w:p>
    <w:p w14:paraId="208CFDB6" w14:textId="46A250D5" w:rsidR="00A77B3E" w:rsidRPr="00D40ECC" w:rsidRDefault="003A55DD" w:rsidP="005638C6">
      <w:pPr>
        <w:spacing w:line="360" w:lineRule="auto"/>
        <w:jc w:val="both"/>
        <w:rPr>
          <w:rFonts w:ascii="Book Antiqua" w:hAnsi="Book Antiqua"/>
        </w:rPr>
      </w:pPr>
      <w:r w:rsidRPr="00D40ECC">
        <w:rPr>
          <w:rFonts w:ascii="Book Antiqua" w:eastAsia="Book Antiqua" w:hAnsi="Book Antiqua" w:cs="Book Antiqua"/>
          <w:b/>
          <w:caps/>
          <w:color w:val="000000"/>
          <w:u w:val="single"/>
        </w:rPr>
        <w:br w:type="page"/>
      </w:r>
      <w:r w:rsidR="00292C3F" w:rsidRPr="00D40ECC">
        <w:rPr>
          <w:rFonts w:ascii="Book Antiqua" w:eastAsia="Book Antiqua" w:hAnsi="Book Antiqua" w:cs="Book Antiqua"/>
          <w:b/>
          <w:caps/>
          <w:color w:val="000000"/>
          <w:u w:val="single"/>
        </w:rPr>
        <w:lastRenderedPageBreak/>
        <w:t>INTRODUCTION</w:t>
      </w:r>
    </w:p>
    <w:p w14:paraId="5BEDE1C4" w14:textId="265B2DB6"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 xml:space="preserve">Nonalcoholic fatty liver disease (NAFLD) is now one of the most common liver diseases worldwide, and its global burden is </w:t>
      </w:r>
      <w:proofErr w:type="gramStart"/>
      <w:r w:rsidRPr="00D40ECC">
        <w:rPr>
          <w:rFonts w:ascii="Book Antiqua" w:eastAsia="Book Antiqua" w:hAnsi="Book Antiqua" w:cs="Book Antiqua"/>
          <w:color w:val="000000"/>
        </w:rPr>
        <w:t>growing</w:t>
      </w:r>
      <w:r w:rsidR="005432ED" w:rsidRPr="00D40ECC">
        <w:rPr>
          <w:rFonts w:ascii="Book Antiqua" w:eastAsia="Book Antiqua" w:hAnsi="Book Antiqua" w:cs="Book Antiqua"/>
          <w:color w:val="000000"/>
          <w:vertAlign w:val="superscript"/>
        </w:rPr>
        <w:t>[</w:t>
      </w:r>
      <w:proofErr w:type="gramEnd"/>
      <w:r w:rsidRPr="00D40ECC">
        <w:rPr>
          <w:rFonts w:ascii="Book Antiqua" w:eastAsia="Book Antiqua" w:hAnsi="Book Antiqua" w:cs="Book Antiqua"/>
          <w:color w:val="000000"/>
          <w:vertAlign w:val="superscript"/>
        </w:rPr>
        <w:t>1</w:t>
      </w:r>
      <w:r w:rsidR="005432ED" w:rsidRPr="00D40ECC">
        <w:rPr>
          <w:rFonts w:ascii="Book Antiqua" w:eastAsia="Book Antiqua" w:hAnsi="Book Antiqua" w:cs="Book Antiqua"/>
          <w:color w:val="000000"/>
          <w:vertAlign w:val="superscript"/>
        </w:rPr>
        <w:t>]</w:t>
      </w:r>
      <w:r w:rsidR="005432ED"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 Weight loss remains the primary treatment for NAFLD, and other treatment modalities have been actively studied, including the use of cannabinoids. Emerging evidence suggests that cannabis may play an important role in the management of various chronic liver </w:t>
      </w:r>
      <w:proofErr w:type="gramStart"/>
      <w:r w:rsidRPr="00D40ECC">
        <w:rPr>
          <w:rFonts w:ascii="Book Antiqua" w:eastAsia="Book Antiqua" w:hAnsi="Book Antiqua" w:cs="Book Antiqua"/>
          <w:color w:val="000000"/>
        </w:rPr>
        <w:t>diseases</w:t>
      </w:r>
      <w:r w:rsidR="005432ED" w:rsidRPr="00D40ECC">
        <w:rPr>
          <w:rFonts w:ascii="Book Antiqua" w:eastAsia="Book Antiqua" w:hAnsi="Book Antiqua" w:cs="Book Antiqua"/>
          <w:color w:val="000000"/>
          <w:vertAlign w:val="superscript"/>
        </w:rPr>
        <w:t>[</w:t>
      </w:r>
      <w:proofErr w:type="gramEnd"/>
      <w:r w:rsidRPr="00D40ECC">
        <w:rPr>
          <w:rFonts w:ascii="Book Antiqua" w:eastAsia="Book Antiqua" w:hAnsi="Book Antiqua" w:cs="Book Antiqua"/>
          <w:color w:val="000000"/>
          <w:vertAlign w:val="superscript"/>
        </w:rPr>
        <w:t>2</w:t>
      </w:r>
      <w:r w:rsidR="005432ED" w:rsidRPr="00D40ECC">
        <w:rPr>
          <w:rFonts w:ascii="Book Antiqua" w:eastAsia="Book Antiqua" w:hAnsi="Book Antiqua" w:cs="Book Antiqua"/>
          <w:color w:val="000000"/>
          <w:vertAlign w:val="superscript"/>
        </w:rPr>
        <w:t>]</w:t>
      </w:r>
      <w:r w:rsidR="005432ED"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 A retrospective population study by </w:t>
      </w:r>
      <w:proofErr w:type="spellStart"/>
      <w:r w:rsidRPr="00D40ECC">
        <w:rPr>
          <w:rFonts w:ascii="Book Antiqua" w:eastAsia="Book Antiqua" w:hAnsi="Book Antiqua" w:cs="Book Antiqua"/>
          <w:color w:val="000000"/>
        </w:rPr>
        <w:t>Adejumo</w:t>
      </w:r>
      <w:proofErr w:type="spellEnd"/>
      <w:r w:rsidRPr="00D40ECC">
        <w:rPr>
          <w:rFonts w:ascii="Book Antiqua" w:eastAsia="Book Antiqua" w:hAnsi="Book Antiqua" w:cs="Book Antiqua"/>
          <w:color w:val="000000"/>
        </w:rPr>
        <w:t xml:space="preserve"> </w:t>
      </w:r>
      <w:r w:rsidRPr="00D40ECC">
        <w:rPr>
          <w:rFonts w:ascii="Book Antiqua" w:eastAsia="Book Antiqua" w:hAnsi="Book Antiqua" w:cs="Book Antiqua"/>
          <w:i/>
          <w:iCs/>
          <w:color w:val="000000"/>
        </w:rPr>
        <w:t xml:space="preserve">et </w:t>
      </w:r>
      <w:proofErr w:type="gramStart"/>
      <w:r w:rsidRPr="00D40ECC">
        <w:rPr>
          <w:rFonts w:ascii="Book Antiqua" w:eastAsia="Book Antiqua" w:hAnsi="Book Antiqua" w:cs="Book Antiqua"/>
          <w:i/>
          <w:iCs/>
          <w:color w:val="000000"/>
        </w:rPr>
        <w:t>al</w:t>
      </w:r>
      <w:r w:rsidR="005432ED" w:rsidRPr="00D40ECC">
        <w:rPr>
          <w:rFonts w:ascii="Book Antiqua" w:eastAsia="Book Antiqua" w:hAnsi="Book Antiqua" w:cs="Book Antiqua"/>
          <w:color w:val="000000"/>
          <w:vertAlign w:val="superscript"/>
        </w:rPr>
        <w:t>[</w:t>
      </w:r>
      <w:proofErr w:type="gramEnd"/>
      <w:r w:rsidRPr="00D40ECC">
        <w:rPr>
          <w:rFonts w:ascii="Book Antiqua" w:eastAsia="Book Antiqua" w:hAnsi="Book Antiqua" w:cs="Book Antiqua"/>
          <w:color w:val="000000"/>
          <w:vertAlign w:val="superscript"/>
        </w:rPr>
        <w:t>3</w:t>
      </w:r>
      <w:r w:rsidR="005432ED" w:rsidRPr="00D40ECC">
        <w:rPr>
          <w:rFonts w:ascii="Book Antiqua" w:eastAsia="Book Antiqua" w:hAnsi="Book Antiqua" w:cs="Book Antiqua"/>
          <w:color w:val="000000"/>
          <w:vertAlign w:val="superscript"/>
        </w:rPr>
        <w:t>]</w:t>
      </w:r>
      <w:r w:rsidRPr="00D40ECC">
        <w:rPr>
          <w:rFonts w:ascii="Book Antiqua" w:eastAsia="Book Antiqua" w:hAnsi="Book Antiqua" w:cs="Book Antiqua"/>
          <w:color w:val="000000"/>
        </w:rPr>
        <w:t xml:space="preserve"> has shown a dose-dependent reduction in the prevalence of NAFLD with cannabis use, and cannabis has been suggested to suppress or even reverse the development of NAFLD. </w:t>
      </w:r>
    </w:p>
    <w:p w14:paraId="4FFB1450" w14:textId="05EAFECE" w:rsidR="00A77B3E" w:rsidRPr="00D40ECC" w:rsidRDefault="00292C3F" w:rsidP="005638C6">
      <w:pPr>
        <w:spacing w:line="360" w:lineRule="auto"/>
        <w:ind w:firstLineChars="200" w:firstLine="480"/>
        <w:jc w:val="both"/>
        <w:rPr>
          <w:rFonts w:ascii="Book Antiqua" w:hAnsi="Book Antiqua"/>
        </w:rPr>
      </w:pPr>
      <w:r w:rsidRPr="00D40ECC">
        <w:rPr>
          <w:rFonts w:ascii="Book Antiqua" w:eastAsia="Book Antiqua" w:hAnsi="Book Antiqua" w:cs="Book Antiqua"/>
          <w:color w:val="000000"/>
        </w:rPr>
        <w:t xml:space="preserve">The prevalence of NAFLD parallels that of the obesity pandemic, and NAFLD is considered a metabolic disorder where its pathogenesis involves the complex interplay among hormonal, nutritional, and genetic </w:t>
      </w:r>
      <w:proofErr w:type="gramStart"/>
      <w:r w:rsidRPr="00D40ECC">
        <w:rPr>
          <w:rFonts w:ascii="Book Antiqua" w:eastAsia="Book Antiqua" w:hAnsi="Book Antiqua" w:cs="Book Antiqua"/>
          <w:color w:val="000000"/>
        </w:rPr>
        <w:t>factors</w:t>
      </w:r>
      <w:r w:rsidR="008728AA" w:rsidRPr="00D40ECC">
        <w:rPr>
          <w:rFonts w:ascii="Book Antiqua" w:eastAsia="Book Antiqua" w:hAnsi="Book Antiqua" w:cs="Book Antiqua"/>
          <w:color w:val="000000"/>
          <w:vertAlign w:val="superscript"/>
        </w:rPr>
        <w:t>[</w:t>
      </w:r>
      <w:proofErr w:type="gramEnd"/>
      <w:r w:rsidR="008728AA" w:rsidRPr="00D40ECC">
        <w:rPr>
          <w:rFonts w:ascii="Book Antiqua" w:eastAsia="Book Antiqua" w:hAnsi="Book Antiqua" w:cs="Book Antiqua"/>
          <w:color w:val="000000"/>
          <w:vertAlign w:val="superscript"/>
        </w:rPr>
        <w:t>4]</w:t>
      </w:r>
      <w:r w:rsidRPr="00D40ECC">
        <w:rPr>
          <w:rFonts w:ascii="Book Antiqua" w:eastAsia="Book Antiqua" w:hAnsi="Book Antiqua" w:cs="Book Antiqua"/>
          <w:color w:val="000000"/>
        </w:rPr>
        <w:t xml:space="preserve">. Aside from a significant weight loss, another cornerstone of the management is to reduce cardiovascular, oncologic, and hepatic risk factors for </w:t>
      </w:r>
      <w:proofErr w:type="gramStart"/>
      <w:r w:rsidRPr="00D40ECC">
        <w:rPr>
          <w:rFonts w:ascii="Book Antiqua" w:eastAsia="Book Antiqua" w:hAnsi="Book Antiqua" w:cs="Book Antiqua"/>
          <w:color w:val="000000"/>
        </w:rPr>
        <w:t>mortality</w:t>
      </w:r>
      <w:r w:rsidR="008728AA" w:rsidRPr="00D40ECC">
        <w:rPr>
          <w:rFonts w:ascii="Book Antiqua" w:eastAsia="Book Antiqua" w:hAnsi="Book Antiqua" w:cs="Book Antiqua"/>
          <w:color w:val="000000"/>
          <w:vertAlign w:val="superscript"/>
        </w:rPr>
        <w:t>[</w:t>
      </w:r>
      <w:proofErr w:type="gramEnd"/>
      <w:r w:rsidR="00034203" w:rsidRPr="00D40ECC">
        <w:rPr>
          <w:rFonts w:ascii="Book Antiqua" w:eastAsia="Book Antiqua" w:hAnsi="Book Antiqua" w:cs="Book Antiqua"/>
          <w:color w:val="000000"/>
          <w:vertAlign w:val="superscript"/>
        </w:rPr>
        <w:t>4,</w:t>
      </w:r>
      <w:r w:rsidR="008728AA" w:rsidRPr="00D40ECC">
        <w:rPr>
          <w:rFonts w:ascii="Book Antiqua" w:eastAsia="Book Antiqua" w:hAnsi="Book Antiqua" w:cs="Book Antiqua"/>
          <w:color w:val="000000"/>
          <w:vertAlign w:val="superscript"/>
        </w:rPr>
        <w:t>5]</w:t>
      </w:r>
      <w:r w:rsidRPr="00D40ECC">
        <w:rPr>
          <w:rFonts w:ascii="Book Antiqua" w:eastAsia="Book Antiqua" w:hAnsi="Book Antiqua" w:cs="Book Antiqua"/>
          <w:color w:val="000000"/>
        </w:rPr>
        <w:t xml:space="preserve">. Perhaps, cannabis use can modulate effects on </w:t>
      </w:r>
      <w:r w:rsidR="00EA3C53" w:rsidRPr="00D40ECC">
        <w:rPr>
          <w:rFonts w:ascii="Book Antiqua" w:eastAsia="Book Antiqua" w:hAnsi="Book Antiqua" w:cs="Book Antiqua"/>
          <w:color w:val="000000"/>
        </w:rPr>
        <w:t xml:space="preserve">the </w:t>
      </w:r>
      <w:r w:rsidRPr="00D40ECC">
        <w:rPr>
          <w:rFonts w:ascii="Book Antiqua" w:eastAsia="Book Antiqua" w:hAnsi="Book Antiqua" w:cs="Book Antiqua"/>
          <w:color w:val="000000"/>
        </w:rPr>
        <w:t xml:space="preserve">development and progression of NAFLD through its metabolic risks and its impact on hepatic steatosis. </w:t>
      </w:r>
    </w:p>
    <w:p w14:paraId="6E47216B" w14:textId="16F5E0B4" w:rsidR="00A77B3E" w:rsidRPr="00D40ECC" w:rsidRDefault="00292C3F" w:rsidP="005638C6">
      <w:pPr>
        <w:spacing w:line="360" w:lineRule="auto"/>
        <w:ind w:firstLineChars="200" w:firstLine="480"/>
        <w:jc w:val="both"/>
        <w:rPr>
          <w:rFonts w:ascii="Book Antiqua" w:hAnsi="Book Antiqua"/>
        </w:rPr>
      </w:pPr>
      <w:r w:rsidRPr="00D40ECC">
        <w:rPr>
          <w:rFonts w:ascii="Book Antiqua" w:eastAsia="Book Antiqua" w:hAnsi="Book Antiqua" w:cs="Book Antiqua"/>
          <w:color w:val="000000"/>
        </w:rPr>
        <w:t xml:space="preserve">Cannabis use is associated with increased appetite and calorie consumption, but paradoxically it is associated with reduced risk of obesity and </w:t>
      </w:r>
      <w:proofErr w:type="gramStart"/>
      <w:r w:rsidRPr="00D40ECC">
        <w:rPr>
          <w:rFonts w:ascii="Book Antiqua" w:eastAsia="Book Antiqua" w:hAnsi="Book Antiqua" w:cs="Book Antiqua"/>
          <w:color w:val="000000"/>
        </w:rPr>
        <w:t>diabetes</w:t>
      </w:r>
      <w:r w:rsidR="00505D90" w:rsidRPr="00D40ECC">
        <w:rPr>
          <w:rFonts w:ascii="Book Antiqua" w:eastAsia="Book Antiqua" w:hAnsi="Book Antiqua" w:cs="Book Antiqua"/>
          <w:color w:val="000000"/>
          <w:vertAlign w:val="superscript"/>
        </w:rPr>
        <w:t>[</w:t>
      </w:r>
      <w:proofErr w:type="gramEnd"/>
      <w:r w:rsidR="00505D90" w:rsidRPr="00D40ECC">
        <w:rPr>
          <w:rFonts w:ascii="Book Antiqua" w:eastAsia="Book Antiqua" w:hAnsi="Book Antiqua" w:cs="Book Antiqua"/>
          <w:color w:val="000000"/>
          <w:vertAlign w:val="superscript"/>
        </w:rPr>
        <w:t>6]</w:t>
      </w:r>
      <w:r w:rsidRPr="00D40ECC">
        <w:rPr>
          <w:rFonts w:ascii="Book Antiqua" w:eastAsia="Book Antiqua" w:hAnsi="Book Antiqua" w:cs="Book Antiqua"/>
          <w:color w:val="000000"/>
        </w:rPr>
        <w:t xml:space="preserve">. In a cross-sectional data by Kim </w:t>
      </w:r>
      <w:r w:rsidRPr="00D40ECC">
        <w:rPr>
          <w:rFonts w:ascii="Book Antiqua" w:eastAsia="Book Antiqua" w:hAnsi="Book Antiqua" w:cs="Book Antiqua"/>
          <w:i/>
          <w:iCs/>
          <w:color w:val="000000"/>
        </w:rPr>
        <w:t xml:space="preserve">et </w:t>
      </w:r>
      <w:proofErr w:type="gramStart"/>
      <w:r w:rsidRPr="00D40ECC">
        <w:rPr>
          <w:rFonts w:ascii="Book Antiqua" w:eastAsia="Book Antiqua" w:hAnsi="Book Antiqua" w:cs="Book Antiqua"/>
          <w:i/>
          <w:iCs/>
          <w:color w:val="000000"/>
        </w:rPr>
        <w:t>al</w:t>
      </w:r>
      <w:r w:rsidR="00505D90" w:rsidRPr="00D40ECC">
        <w:rPr>
          <w:rFonts w:ascii="Book Antiqua" w:eastAsia="Book Antiqua" w:hAnsi="Book Antiqua" w:cs="Book Antiqua"/>
          <w:color w:val="000000"/>
          <w:vertAlign w:val="superscript"/>
        </w:rPr>
        <w:t>[</w:t>
      </w:r>
      <w:proofErr w:type="gramEnd"/>
      <w:r w:rsidR="00505D90" w:rsidRPr="00D40ECC">
        <w:rPr>
          <w:rFonts w:ascii="Book Antiqua" w:eastAsia="Book Antiqua" w:hAnsi="Book Antiqua" w:cs="Book Antiqua"/>
          <w:color w:val="000000"/>
          <w:vertAlign w:val="superscript"/>
        </w:rPr>
        <w:t>6]</w:t>
      </w:r>
      <w:r w:rsidRPr="00D40ECC">
        <w:rPr>
          <w:rFonts w:ascii="Book Antiqua" w:eastAsia="Book Antiqua" w:hAnsi="Book Antiqua" w:cs="Book Antiqua"/>
          <w:color w:val="000000"/>
        </w:rPr>
        <w:t xml:space="preserve">, active cannabis use provided a protective effect against NAFLD, independent of metabolic risks. Yet, there has been conflicting evidence whether or not cannabis induces the progression of chronic liver diseases, but a systemic review by Farooqui </w:t>
      </w:r>
      <w:r w:rsidRPr="00D40ECC">
        <w:rPr>
          <w:rFonts w:ascii="Book Antiqua" w:eastAsia="Book Antiqua" w:hAnsi="Book Antiqua" w:cs="Book Antiqua"/>
          <w:i/>
          <w:iCs/>
          <w:color w:val="000000"/>
        </w:rPr>
        <w:t xml:space="preserve">et </w:t>
      </w:r>
      <w:proofErr w:type="gramStart"/>
      <w:r w:rsidRPr="00D40ECC">
        <w:rPr>
          <w:rFonts w:ascii="Book Antiqua" w:eastAsia="Book Antiqua" w:hAnsi="Book Antiqua" w:cs="Book Antiqua"/>
          <w:i/>
          <w:iCs/>
          <w:color w:val="000000"/>
        </w:rPr>
        <w:t>al</w:t>
      </w:r>
      <w:r w:rsidR="00505D90" w:rsidRPr="00D40ECC">
        <w:rPr>
          <w:rFonts w:ascii="Book Antiqua" w:eastAsia="Book Antiqua" w:hAnsi="Book Antiqua" w:cs="Book Antiqua"/>
          <w:color w:val="000000"/>
          <w:vertAlign w:val="superscript"/>
        </w:rPr>
        <w:t>[</w:t>
      </w:r>
      <w:proofErr w:type="gramEnd"/>
      <w:r w:rsidR="00505D90" w:rsidRPr="00D40ECC">
        <w:rPr>
          <w:rFonts w:ascii="Book Antiqua" w:eastAsia="Book Antiqua" w:hAnsi="Book Antiqua" w:cs="Book Antiqua"/>
          <w:color w:val="000000"/>
          <w:vertAlign w:val="superscript"/>
        </w:rPr>
        <w:t>7]</w:t>
      </w:r>
      <w:r w:rsidRPr="00D40ECC">
        <w:rPr>
          <w:rFonts w:ascii="Book Antiqua" w:eastAsia="Book Antiqua" w:hAnsi="Book Antiqua" w:cs="Book Antiqua"/>
          <w:color w:val="000000"/>
        </w:rPr>
        <w:t xml:space="preserve"> showed that when confirmed by liver biopsy, there was no association between cannabis use and prevalence of hepatic fibrosis. This lack of association is contrary to initial cross-sectional studies by </w:t>
      </w:r>
      <w:proofErr w:type="spellStart"/>
      <w:r w:rsidR="00505D90" w:rsidRPr="00D40ECC">
        <w:rPr>
          <w:rFonts w:ascii="Book Antiqua" w:hAnsi="Book Antiqua"/>
        </w:rPr>
        <w:t>Hézode</w:t>
      </w:r>
      <w:proofErr w:type="spellEnd"/>
      <w:r w:rsidRPr="00D40ECC">
        <w:rPr>
          <w:rFonts w:ascii="Book Antiqua" w:eastAsia="Book Antiqua" w:hAnsi="Book Antiqua" w:cs="Book Antiqua"/>
          <w:color w:val="000000"/>
        </w:rPr>
        <w:t xml:space="preserve"> </w:t>
      </w:r>
      <w:r w:rsidRPr="00D40ECC">
        <w:rPr>
          <w:rFonts w:ascii="Book Antiqua" w:eastAsia="Book Antiqua" w:hAnsi="Book Antiqua" w:cs="Book Antiqua"/>
          <w:i/>
          <w:iCs/>
          <w:color w:val="000000"/>
        </w:rPr>
        <w:t xml:space="preserve">et </w:t>
      </w:r>
      <w:proofErr w:type="gramStart"/>
      <w:r w:rsidRPr="00D40ECC">
        <w:rPr>
          <w:rFonts w:ascii="Book Antiqua" w:eastAsia="Book Antiqua" w:hAnsi="Book Antiqua" w:cs="Book Antiqua"/>
          <w:i/>
          <w:iCs/>
          <w:color w:val="000000"/>
        </w:rPr>
        <w:t>al</w:t>
      </w:r>
      <w:r w:rsidR="00505D90" w:rsidRPr="00D40ECC">
        <w:rPr>
          <w:rFonts w:ascii="Book Antiqua" w:eastAsia="Book Antiqua" w:hAnsi="Book Antiqua" w:cs="Book Antiqua"/>
          <w:color w:val="000000"/>
          <w:vertAlign w:val="superscript"/>
        </w:rPr>
        <w:t>[</w:t>
      </w:r>
      <w:proofErr w:type="gramEnd"/>
      <w:r w:rsidR="00505D90" w:rsidRPr="00D40ECC">
        <w:rPr>
          <w:rFonts w:ascii="Book Antiqua" w:eastAsia="Book Antiqua" w:hAnsi="Book Antiqua" w:cs="Book Antiqua"/>
          <w:color w:val="000000"/>
          <w:vertAlign w:val="superscript"/>
        </w:rPr>
        <w:t>8]</w:t>
      </w:r>
      <w:r w:rsidRPr="00D40ECC">
        <w:rPr>
          <w:rFonts w:ascii="Book Antiqua" w:eastAsia="Book Antiqua" w:hAnsi="Book Antiqua" w:cs="Book Antiqua"/>
          <w:color w:val="000000"/>
        </w:rPr>
        <w:t xml:space="preserve"> and </w:t>
      </w:r>
      <w:r w:rsidR="00505D90" w:rsidRPr="00D40ECC">
        <w:rPr>
          <w:rFonts w:ascii="Book Antiqua" w:hAnsi="Book Antiqua"/>
        </w:rPr>
        <w:t>Ishida</w:t>
      </w:r>
      <w:r w:rsidRPr="00D40ECC">
        <w:rPr>
          <w:rFonts w:ascii="Book Antiqua" w:eastAsia="Book Antiqua" w:hAnsi="Book Antiqua" w:cs="Book Antiqua"/>
          <w:color w:val="000000"/>
        </w:rPr>
        <w:t xml:space="preserve"> </w:t>
      </w:r>
      <w:r w:rsidRPr="00D40ECC">
        <w:rPr>
          <w:rFonts w:ascii="Book Antiqua" w:eastAsia="Book Antiqua" w:hAnsi="Book Antiqua" w:cs="Book Antiqua"/>
          <w:i/>
          <w:iCs/>
          <w:color w:val="000000"/>
        </w:rPr>
        <w:t>et al</w:t>
      </w:r>
      <w:r w:rsidR="00505D90" w:rsidRPr="00D40ECC">
        <w:rPr>
          <w:rFonts w:ascii="Book Antiqua" w:eastAsia="Book Antiqua" w:hAnsi="Book Antiqua" w:cs="Book Antiqua"/>
          <w:color w:val="000000"/>
          <w:vertAlign w:val="superscript"/>
        </w:rPr>
        <w:t>[9]</w:t>
      </w:r>
      <w:r w:rsidRPr="00D40ECC">
        <w:rPr>
          <w:rFonts w:ascii="Book Antiqua" w:eastAsia="Book Antiqua" w:hAnsi="Book Antiqua" w:cs="Book Antiqua"/>
          <w:color w:val="000000"/>
        </w:rPr>
        <w:t xml:space="preserve"> who suggested increased fibrosis in patients who use marijuana. </w:t>
      </w:r>
    </w:p>
    <w:p w14:paraId="39D9F657" w14:textId="5F3AD10D" w:rsidR="00A77B3E" w:rsidRPr="00D40ECC" w:rsidRDefault="00292C3F" w:rsidP="005638C6">
      <w:pPr>
        <w:spacing w:line="360" w:lineRule="auto"/>
        <w:ind w:firstLineChars="200" w:firstLine="480"/>
        <w:jc w:val="both"/>
        <w:rPr>
          <w:rFonts w:ascii="Book Antiqua" w:hAnsi="Book Antiqua"/>
        </w:rPr>
      </w:pPr>
      <w:r w:rsidRPr="00D40ECC">
        <w:rPr>
          <w:rFonts w:ascii="Book Antiqua" w:eastAsia="Book Antiqua" w:hAnsi="Book Antiqua" w:cs="Book Antiqua"/>
          <w:color w:val="000000"/>
        </w:rPr>
        <w:t xml:space="preserve">Here, we aimed to measure clinical outcomes of cannabis use at the national level among hospitalized patients with NAFLD. Given the previously demonstrated correlation between cannabis use and reduced prevalence of NAFLD, we hypothesized that cannabis would be associated with fewer liver-related complications in patients </w:t>
      </w:r>
      <w:r w:rsidRPr="00D40ECC">
        <w:rPr>
          <w:rFonts w:ascii="Book Antiqua" w:eastAsia="Book Antiqua" w:hAnsi="Book Antiqua" w:cs="Book Antiqua"/>
          <w:color w:val="000000"/>
        </w:rPr>
        <w:lastRenderedPageBreak/>
        <w:t>than in individuals who did not use cannabis. This is the first database study to investigate cannabinoids’ effects on liver-related outcomes in hospitalized patients with NAFLD. With our study, we hope to alert clinicians of the possible relevance of ascertainment of cannabis use, which in turn might alter future routine assessments to further probe about cannabis use, especially in light of trends showing recent increases in use in the U</w:t>
      </w:r>
      <w:r w:rsidR="00505D90" w:rsidRPr="00D40ECC">
        <w:rPr>
          <w:rFonts w:ascii="Book Antiqua" w:eastAsia="Book Antiqua" w:hAnsi="Book Antiqua" w:cs="Book Antiqua"/>
          <w:color w:val="000000"/>
        </w:rPr>
        <w:t xml:space="preserve">nited </w:t>
      </w:r>
      <w:r w:rsidRPr="00D40ECC">
        <w:rPr>
          <w:rFonts w:ascii="Book Antiqua" w:eastAsia="Book Antiqua" w:hAnsi="Book Antiqua" w:cs="Book Antiqua"/>
          <w:color w:val="000000"/>
        </w:rPr>
        <w:t>S</w:t>
      </w:r>
      <w:r w:rsidR="00505D90" w:rsidRPr="00D40ECC">
        <w:rPr>
          <w:rFonts w:ascii="Book Antiqua" w:eastAsia="Book Antiqua" w:hAnsi="Book Antiqua" w:cs="Book Antiqua"/>
          <w:color w:val="000000"/>
        </w:rPr>
        <w:t>tates</w:t>
      </w:r>
      <w:r w:rsidRPr="00D40ECC">
        <w:rPr>
          <w:rFonts w:ascii="Book Antiqua" w:eastAsia="Book Antiqua" w:hAnsi="Book Antiqua" w:cs="Book Antiqua"/>
          <w:color w:val="000000"/>
        </w:rPr>
        <w:t>.</w:t>
      </w:r>
    </w:p>
    <w:p w14:paraId="79CC33CE" w14:textId="77777777" w:rsidR="00A77B3E" w:rsidRPr="00D40ECC" w:rsidRDefault="00A77B3E" w:rsidP="005638C6">
      <w:pPr>
        <w:spacing w:line="360" w:lineRule="auto"/>
        <w:jc w:val="both"/>
        <w:rPr>
          <w:rFonts w:ascii="Book Antiqua" w:hAnsi="Book Antiqua"/>
        </w:rPr>
      </w:pPr>
    </w:p>
    <w:p w14:paraId="29EC5BA0"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caps/>
          <w:color w:val="000000"/>
          <w:u w:val="single"/>
        </w:rPr>
        <w:t>MATERIALS AND METHODS</w:t>
      </w:r>
    </w:p>
    <w:p w14:paraId="6B83D147" w14:textId="05DA4260" w:rsidR="00A77B3E" w:rsidRPr="00D40ECC" w:rsidRDefault="00292C3F" w:rsidP="005638C6">
      <w:pPr>
        <w:spacing w:line="360" w:lineRule="auto"/>
        <w:jc w:val="both"/>
        <w:rPr>
          <w:rFonts w:ascii="Book Antiqua" w:hAnsi="Book Antiqua"/>
          <w:i/>
          <w:iCs/>
        </w:rPr>
      </w:pPr>
      <w:r w:rsidRPr="00D40ECC">
        <w:rPr>
          <w:rFonts w:ascii="Book Antiqua" w:eastAsia="Book Antiqua" w:hAnsi="Book Antiqua" w:cs="Book Antiqua"/>
          <w:b/>
          <w:bCs/>
          <w:i/>
          <w:iCs/>
          <w:color w:val="000000"/>
        </w:rPr>
        <w:t xml:space="preserve">Data </w:t>
      </w:r>
      <w:r w:rsidR="00AF0D39" w:rsidRPr="00D40ECC">
        <w:rPr>
          <w:rFonts w:ascii="Book Antiqua" w:eastAsia="Book Antiqua" w:hAnsi="Book Antiqua" w:cs="Book Antiqua"/>
          <w:b/>
          <w:bCs/>
          <w:i/>
          <w:iCs/>
          <w:color w:val="000000"/>
        </w:rPr>
        <w:t>s</w:t>
      </w:r>
      <w:r w:rsidRPr="00D40ECC">
        <w:rPr>
          <w:rFonts w:ascii="Book Antiqua" w:eastAsia="Book Antiqua" w:hAnsi="Book Antiqua" w:cs="Book Antiqua"/>
          <w:b/>
          <w:bCs/>
          <w:i/>
          <w:iCs/>
          <w:color w:val="000000"/>
        </w:rPr>
        <w:t xml:space="preserve">ource and </w:t>
      </w:r>
      <w:r w:rsidR="00AF0D39" w:rsidRPr="00D40ECC">
        <w:rPr>
          <w:rFonts w:ascii="Book Antiqua" w:eastAsia="Book Antiqua" w:hAnsi="Book Antiqua" w:cs="Book Antiqua"/>
          <w:b/>
          <w:bCs/>
          <w:i/>
          <w:iCs/>
          <w:color w:val="000000"/>
        </w:rPr>
        <w:t>s</w:t>
      </w:r>
      <w:r w:rsidRPr="00D40ECC">
        <w:rPr>
          <w:rFonts w:ascii="Book Antiqua" w:eastAsia="Book Antiqua" w:hAnsi="Book Antiqua" w:cs="Book Antiqua"/>
          <w:b/>
          <w:bCs/>
          <w:i/>
          <w:iCs/>
          <w:color w:val="000000"/>
        </w:rPr>
        <w:t xml:space="preserve">tudy </w:t>
      </w:r>
      <w:r w:rsidR="00AF0D39" w:rsidRPr="00D40ECC">
        <w:rPr>
          <w:rFonts w:ascii="Book Antiqua" w:eastAsia="Book Antiqua" w:hAnsi="Book Antiqua" w:cs="Book Antiqua"/>
          <w:b/>
          <w:bCs/>
          <w:i/>
          <w:iCs/>
          <w:color w:val="000000"/>
        </w:rPr>
        <w:t>p</w:t>
      </w:r>
      <w:r w:rsidRPr="00D40ECC">
        <w:rPr>
          <w:rFonts w:ascii="Book Antiqua" w:eastAsia="Book Antiqua" w:hAnsi="Book Antiqua" w:cs="Book Antiqua"/>
          <w:b/>
          <w:bCs/>
          <w:i/>
          <w:iCs/>
          <w:color w:val="000000"/>
        </w:rPr>
        <w:t>opulation</w:t>
      </w:r>
    </w:p>
    <w:p w14:paraId="3B008DED" w14:textId="4F2EB108" w:rsidR="00A77B3E" w:rsidRPr="00D40ECC" w:rsidRDefault="00292C3F" w:rsidP="005638C6">
      <w:pPr>
        <w:spacing w:line="360" w:lineRule="auto"/>
        <w:jc w:val="both"/>
        <w:rPr>
          <w:rFonts w:ascii="Book Antiqua" w:eastAsia="Book Antiqua" w:hAnsi="Book Antiqua" w:cs="Book Antiqua"/>
          <w:color w:val="000000"/>
        </w:rPr>
      </w:pPr>
      <w:r w:rsidRPr="00D40ECC">
        <w:rPr>
          <w:rFonts w:ascii="Book Antiqua" w:eastAsia="Book Antiqua" w:hAnsi="Book Antiqua" w:cs="Book Antiqua"/>
          <w:color w:val="000000"/>
        </w:rPr>
        <w:t xml:space="preserve">This study is a retrospective analysis of the 2014 Healthcare Cost and Utilization Project-National Inpatient Sample (HCUP-NIS). The HCUP-NIS is the largest all-payer inpatient database in the United States, comprising more than 40 states with more than 7 million annual hospital </w:t>
      </w:r>
      <w:proofErr w:type="gramStart"/>
      <w:r w:rsidRPr="00D40ECC">
        <w:rPr>
          <w:rFonts w:ascii="Book Antiqua" w:eastAsia="Book Antiqua" w:hAnsi="Book Antiqua" w:cs="Book Antiqua"/>
          <w:color w:val="000000"/>
        </w:rPr>
        <w:t>discharges</w:t>
      </w:r>
      <w:r w:rsidR="00336AF7" w:rsidRPr="00D40ECC">
        <w:rPr>
          <w:rFonts w:ascii="Book Antiqua" w:eastAsia="Book Antiqua" w:hAnsi="Book Antiqua" w:cs="Book Antiqua"/>
          <w:color w:val="000000"/>
          <w:vertAlign w:val="superscript"/>
        </w:rPr>
        <w:t>[</w:t>
      </w:r>
      <w:proofErr w:type="gramEnd"/>
      <w:r w:rsidR="00336AF7" w:rsidRPr="00D40ECC">
        <w:rPr>
          <w:rFonts w:ascii="Book Antiqua" w:eastAsia="Book Antiqua" w:hAnsi="Book Antiqua" w:cs="Book Antiqua"/>
          <w:color w:val="000000"/>
          <w:vertAlign w:val="superscript"/>
        </w:rPr>
        <w:t>3]</w:t>
      </w:r>
      <w:r w:rsidRPr="00D40ECC">
        <w:rPr>
          <w:rFonts w:ascii="Book Antiqua" w:eastAsia="Book Antiqua" w:hAnsi="Book Antiqua" w:cs="Book Antiqua"/>
          <w:color w:val="000000"/>
        </w:rPr>
        <w:t xml:space="preserve">. Results were extracted from the NIS database by identifying hospitalized patients older than 18 years with a diagnosis of NAFLD, by using the corresponding International Classification of Diseases codes: 571.8 (other chronic nonalcoholic liver disease). We excluded common secondary causes of intrahepatic fat accumulation by excluding alcoholic liver disease, hemochromatosis, viral hepatitis B and C, primary biliary cirrhosis, autoimmune hepatitis, and toxic liver disease. The HCUP-NIS is publicly accessible, de-identified database, and it is considered a limited database. Under Health Insurance Portability and Accountability Act, a limited database does not require a review by the </w:t>
      </w:r>
      <w:r w:rsidR="00CF0F34" w:rsidRPr="00D40ECC">
        <w:rPr>
          <w:rFonts w:ascii="Book Antiqua" w:eastAsia="Book Antiqua" w:hAnsi="Book Antiqua" w:cs="Book Antiqua"/>
          <w:color w:val="000000"/>
        </w:rPr>
        <w:t>i</w:t>
      </w:r>
      <w:r w:rsidRPr="00D40ECC">
        <w:rPr>
          <w:rFonts w:ascii="Book Antiqua" w:eastAsia="Book Antiqua" w:hAnsi="Book Antiqua" w:cs="Book Antiqua"/>
          <w:color w:val="000000"/>
        </w:rPr>
        <w:t xml:space="preserve">nstitutional </w:t>
      </w:r>
      <w:r w:rsidR="00CF0F34" w:rsidRPr="00D40ECC">
        <w:rPr>
          <w:rFonts w:ascii="Book Antiqua" w:eastAsia="Book Antiqua" w:hAnsi="Book Antiqua" w:cs="Book Antiqua"/>
          <w:color w:val="000000"/>
        </w:rPr>
        <w:t>r</w:t>
      </w:r>
      <w:r w:rsidRPr="00D40ECC">
        <w:rPr>
          <w:rFonts w:ascii="Book Antiqua" w:eastAsia="Book Antiqua" w:hAnsi="Book Antiqua" w:cs="Book Antiqua"/>
          <w:color w:val="000000"/>
        </w:rPr>
        <w:t xml:space="preserve">eview </w:t>
      </w:r>
      <w:r w:rsidR="00CF0F34" w:rsidRPr="00D40ECC">
        <w:rPr>
          <w:rFonts w:ascii="Book Antiqua" w:eastAsia="Book Antiqua" w:hAnsi="Book Antiqua" w:cs="Book Antiqua"/>
          <w:color w:val="000000"/>
        </w:rPr>
        <w:t>b</w:t>
      </w:r>
      <w:r w:rsidRPr="00D40ECC">
        <w:rPr>
          <w:rFonts w:ascii="Book Antiqua" w:eastAsia="Book Antiqua" w:hAnsi="Book Antiqua" w:cs="Book Antiqua"/>
          <w:color w:val="000000"/>
        </w:rPr>
        <w:t xml:space="preserve">oard (IRB). Therefore, Rutgers IRB approval was deemed not required in our study. </w:t>
      </w:r>
    </w:p>
    <w:p w14:paraId="374270D2" w14:textId="77777777" w:rsidR="00336AF7" w:rsidRPr="00D40ECC" w:rsidRDefault="00336AF7" w:rsidP="005638C6">
      <w:pPr>
        <w:spacing w:line="360" w:lineRule="auto"/>
        <w:jc w:val="both"/>
        <w:rPr>
          <w:rFonts w:ascii="Book Antiqua" w:hAnsi="Book Antiqua"/>
        </w:rPr>
      </w:pPr>
    </w:p>
    <w:p w14:paraId="1F517DC3" w14:textId="7B7D4E02" w:rsidR="00A77B3E" w:rsidRPr="00D40ECC" w:rsidRDefault="00292C3F" w:rsidP="005638C6">
      <w:pPr>
        <w:spacing w:line="360" w:lineRule="auto"/>
        <w:jc w:val="both"/>
        <w:rPr>
          <w:rFonts w:ascii="Book Antiqua" w:hAnsi="Book Antiqua"/>
          <w:i/>
          <w:iCs/>
        </w:rPr>
      </w:pPr>
      <w:r w:rsidRPr="00D40ECC">
        <w:rPr>
          <w:rFonts w:ascii="Book Antiqua" w:eastAsia="Book Antiqua" w:hAnsi="Book Antiqua" w:cs="Book Antiqua"/>
          <w:b/>
          <w:bCs/>
          <w:i/>
          <w:iCs/>
          <w:color w:val="000000"/>
        </w:rPr>
        <w:t xml:space="preserve">Model </w:t>
      </w:r>
      <w:r w:rsidR="00AF0D39" w:rsidRPr="00D40ECC">
        <w:rPr>
          <w:rFonts w:ascii="Book Antiqua" w:eastAsia="Book Antiqua" w:hAnsi="Book Antiqua" w:cs="Book Antiqua"/>
          <w:b/>
          <w:bCs/>
          <w:i/>
          <w:iCs/>
          <w:color w:val="000000"/>
        </w:rPr>
        <w:t>d</w:t>
      </w:r>
      <w:r w:rsidRPr="00D40ECC">
        <w:rPr>
          <w:rFonts w:ascii="Book Antiqua" w:eastAsia="Book Antiqua" w:hAnsi="Book Antiqua" w:cs="Book Antiqua"/>
          <w:b/>
          <w:bCs/>
          <w:i/>
          <w:iCs/>
          <w:color w:val="000000"/>
        </w:rPr>
        <w:t>esign</w:t>
      </w:r>
    </w:p>
    <w:p w14:paraId="14527251" w14:textId="42C8C761" w:rsidR="00A77B3E" w:rsidRPr="00D40ECC" w:rsidRDefault="00292C3F" w:rsidP="005638C6">
      <w:pPr>
        <w:spacing w:line="360" w:lineRule="auto"/>
        <w:jc w:val="both"/>
        <w:rPr>
          <w:rFonts w:ascii="Book Antiqua" w:eastAsia="Book Antiqua" w:hAnsi="Book Antiqua" w:cs="Book Antiqua"/>
          <w:color w:val="000000"/>
        </w:rPr>
      </w:pPr>
      <w:r w:rsidRPr="00D40ECC">
        <w:rPr>
          <w:rFonts w:ascii="Book Antiqua" w:eastAsia="Book Antiqua" w:hAnsi="Book Antiqua" w:cs="Book Antiqua"/>
          <w:color w:val="000000"/>
        </w:rPr>
        <w:t xml:space="preserve">Patients with NAFLD with cannabis use were selected as cases, and those without cannabis use were used to produce the control group through case-control matching at a ratio of one case to two controls, on the basis of sex, age, race, and comorbidities. Sex was binary (women or men), race was categorical (White, Black, Hispanic, Asian or Pacific Islander, Native American, and other), and obesity was binary (no obesity or </w:t>
      </w:r>
      <w:r w:rsidRPr="00D40ECC">
        <w:rPr>
          <w:rFonts w:ascii="Book Antiqua" w:eastAsia="Book Antiqua" w:hAnsi="Book Antiqua" w:cs="Book Antiqua"/>
          <w:color w:val="000000"/>
        </w:rPr>
        <w:lastRenderedPageBreak/>
        <w:t>obesity).</w:t>
      </w:r>
      <w:r w:rsidR="00E026A1" w:rsidRPr="00D40ECC">
        <w:rPr>
          <w:rFonts w:ascii="Book Antiqua" w:eastAsia="Book Antiqua" w:hAnsi="Book Antiqua" w:cs="Book Antiqua"/>
          <w:color w:val="000000"/>
        </w:rPr>
        <w:t xml:space="preserve"> </w:t>
      </w:r>
      <w:r w:rsidR="00034203" w:rsidRPr="00D40ECC">
        <w:rPr>
          <w:rFonts w:ascii="Book Antiqua" w:eastAsia="Book Antiqua" w:hAnsi="Book Antiqua" w:cs="Book Antiqua"/>
          <w:color w:val="000000"/>
        </w:rPr>
        <w:t xml:space="preserve">The age was converted </w:t>
      </w:r>
      <w:r w:rsidR="00E026A1" w:rsidRPr="00D40ECC">
        <w:rPr>
          <w:rFonts w:ascii="Book Antiqua" w:eastAsia="Book Antiqua" w:hAnsi="Book Antiqua" w:cs="Book Antiqua"/>
          <w:color w:val="000000"/>
        </w:rPr>
        <w:t>into eight categorical variables for different age groups</w:t>
      </w:r>
      <w:r w:rsidRPr="00D40ECC">
        <w:rPr>
          <w:rFonts w:ascii="Book Antiqua" w:eastAsia="Book Antiqua" w:hAnsi="Book Antiqua" w:cs="Book Antiqua"/>
          <w:color w:val="000000"/>
        </w:rPr>
        <w:t>: 18</w:t>
      </w:r>
      <w:r w:rsidR="00564D0D" w:rsidRPr="00D40ECC">
        <w:rPr>
          <w:rFonts w:ascii="Book Antiqua" w:eastAsia="Book Antiqua" w:hAnsi="Book Antiqua" w:cs="Book Antiqua"/>
          <w:color w:val="000000"/>
        </w:rPr>
        <w:t>-</w:t>
      </w:r>
      <w:r w:rsidRPr="00D40ECC">
        <w:rPr>
          <w:rFonts w:ascii="Book Antiqua" w:eastAsia="Book Antiqua" w:hAnsi="Book Antiqua" w:cs="Book Antiqua"/>
          <w:color w:val="000000"/>
        </w:rPr>
        <w:t>27, 28</w:t>
      </w:r>
      <w:r w:rsidR="00564D0D" w:rsidRPr="00D40ECC">
        <w:rPr>
          <w:rFonts w:ascii="Book Antiqua" w:eastAsia="Book Antiqua" w:hAnsi="Book Antiqua" w:cs="Book Antiqua"/>
          <w:color w:val="000000"/>
        </w:rPr>
        <w:t>-</w:t>
      </w:r>
      <w:r w:rsidRPr="00D40ECC">
        <w:rPr>
          <w:rFonts w:ascii="Book Antiqua" w:eastAsia="Book Antiqua" w:hAnsi="Book Antiqua" w:cs="Book Antiqua"/>
          <w:color w:val="000000"/>
        </w:rPr>
        <w:t>37, 38</w:t>
      </w:r>
      <w:r w:rsidR="00564D0D" w:rsidRPr="00D40ECC">
        <w:rPr>
          <w:rFonts w:ascii="Book Antiqua" w:eastAsia="Book Antiqua" w:hAnsi="Book Antiqua" w:cs="Book Antiqua"/>
          <w:color w:val="000000"/>
        </w:rPr>
        <w:t>-</w:t>
      </w:r>
      <w:r w:rsidRPr="00D40ECC">
        <w:rPr>
          <w:rFonts w:ascii="Book Antiqua" w:eastAsia="Book Antiqua" w:hAnsi="Book Antiqua" w:cs="Book Antiqua"/>
          <w:color w:val="000000"/>
        </w:rPr>
        <w:t>47, 48</w:t>
      </w:r>
      <w:r w:rsidR="00564D0D" w:rsidRPr="00D40ECC">
        <w:rPr>
          <w:rFonts w:ascii="Book Antiqua" w:eastAsia="Book Antiqua" w:hAnsi="Book Antiqua" w:cs="Book Antiqua"/>
          <w:color w:val="000000"/>
        </w:rPr>
        <w:t>-</w:t>
      </w:r>
      <w:r w:rsidRPr="00D40ECC">
        <w:rPr>
          <w:rFonts w:ascii="Book Antiqua" w:eastAsia="Book Antiqua" w:hAnsi="Book Antiqua" w:cs="Book Antiqua"/>
          <w:color w:val="000000"/>
        </w:rPr>
        <w:t>57, 58</w:t>
      </w:r>
      <w:r w:rsidR="00564D0D" w:rsidRPr="00D40ECC">
        <w:rPr>
          <w:rFonts w:ascii="Book Antiqua" w:eastAsia="Book Antiqua" w:hAnsi="Book Antiqua" w:cs="Book Antiqua"/>
          <w:color w:val="000000"/>
        </w:rPr>
        <w:t>-</w:t>
      </w:r>
      <w:r w:rsidRPr="00D40ECC">
        <w:rPr>
          <w:rFonts w:ascii="Book Antiqua" w:eastAsia="Book Antiqua" w:hAnsi="Book Antiqua" w:cs="Book Antiqua"/>
          <w:color w:val="000000"/>
        </w:rPr>
        <w:t>67, 68</w:t>
      </w:r>
      <w:r w:rsidR="00564D0D" w:rsidRPr="00D40ECC">
        <w:rPr>
          <w:rFonts w:ascii="Book Antiqua" w:eastAsia="Book Antiqua" w:hAnsi="Book Antiqua" w:cs="Book Antiqua"/>
          <w:color w:val="000000"/>
        </w:rPr>
        <w:t>-</w:t>
      </w:r>
      <w:r w:rsidRPr="00D40ECC">
        <w:rPr>
          <w:rFonts w:ascii="Book Antiqua" w:eastAsia="Book Antiqua" w:hAnsi="Book Antiqua" w:cs="Book Antiqua"/>
          <w:color w:val="000000"/>
        </w:rPr>
        <w:t>77, 78</w:t>
      </w:r>
      <w:r w:rsidR="00564D0D"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87, and 88 or older. The </w:t>
      </w:r>
      <w:proofErr w:type="spellStart"/>
      <w:r w:rsidR="00CF0F34" w:rsidRPr="00D40ECC">
        <w:rPr>
          <w:rFonts w:ascii="Book Antiqua" w:eastAsia="Book Antiqua" w:hAnsi="Book Antiqua" w:cs="Book Antiqua"/>
          <w:color w:val="000000"/>
        </w:rPr>
        <w:t>e</w:t>
      </w:r>
      <w:r w:rsidRPr="00D40ECC">
        <w:rPr>
          <w:rFonts w:ascii="Book Antiqua" w:eastAsia="Book Antiqua" w:hAnsi="Book Antiqua" w:cs="Book Antiqua"/>
          <w:color w:val="000000"/>
        </w:rPr>
        <w:t>lixhauser</w:t>
      </w:r>
      <w:proofErr w:type="spellEnd"/>
      <w:r w:rsidRPr="00D40ECC">
        <w:rPr>
          <w:rFonts w:ascii="Book Antiqua" w:eastAsia="Book Antiqua" w:hAnsi="Book Antiqua" w:cs="Book Antiqua"/>
          <w:color w:val="000000"/>
        </w:rPr>
        <w:t xml:space="preserve"> comorbidity index (ECI) was used to assess comorbidities in patients. ECI is a method of categorizing comorbidities on the basis of the International Classification of Diseases, which calculates a weighted sum of each of the presence of 29 binary </w:t>
      </w:r>
      <w:proofErr w:type="gramStart"/>
      <w:r w:rsidRPr="00D40ECC">
        <w:rPr>
          <w:rFonts w:ascii="Book Antiqua" w:eastAsia="Book Antiqua" w:hAnsi="Book Antiqua" w:cs="Book Antiqua"/>
          <w:color w:val="000000"/>
        </w:rPr>
        <w:t>comorbidities</w:t>
      </w:r>
      <w:r w:rsidR="00E87F99" w:rsidRPr="00D40ECC">
        <w:rPr>
          <w:rFonts w:ascii="Book Antiqua" w:eastAsia="Book Antiqua" w:hAnsi="Book Antiqua" w:cs="Book Antiqua"/>
          <w:color w:val="000000"/>
          <w:vertAlign w:val="superscript"/>
        </w:rPr>
        <w:t>[</w:t>
      </w:r>
      <w:proofErr w:type="gramEnd"/>
      <w:r w:rsidRPr="00D40ECC">
        <w:rPr>
          <w:rFonts w:ascii="Book Antiqua" w:eastAsia="Book Antiqua" w:hAnsi="Book Antiqua" w:cs="Book Antiqua"/>
          <w:color w:val="000000"/>
          <w:vertAlign w:val="superscript"/>
        </w:rPr>
        <w:t>10</w:t>
      </w:r>
      <w:r w:rsidR="00E87F99" w:rsidRPr="00D40ECC">
        <w:rPr>
          <w:rFonts w:ascii="Book Antiqua" w:eastAsia="Book Antiqua" w:hAnsi="Book Antiqua" w:cs="Book Antiqua"/>
          <w:color w:val="000000"/>
          <w:vertAlign w:val="superscript"/>
        </w:rPr>
        <w:t>]</w:t>
      </w:r>
      <w:r w:rsidRPr="00D40ECC">
        <w:rPr>
          <w:rFonts w:ascii="Book Antiqua" w:eastAsia="Book Antiqua" w:hAnsi="Book Antiqua" w:cs="Book Antiqua"/>
          <w:color w:val="000000"/>
        </w:rPr>
        <w:t xml:space="preserve">. ECI uses 29 of the Agency for Healthcare Research and Quality comorbidity indicators to predict hospital use and in-hospital </w:t>
      </w:r>
      <w:proofErr w:type="gramStart"/>
      <w:r w:rsidRPr="00D40ECC">
        <w:rPr>
          <w:rFonts w:ascii="Book Antiqua" w:eastAsia="Book Antiqua" w:hAnsi="Book Antiqua" w:cs="Book Antiqua"/>
          <w:color w:val="000000"/>
        </w:rPr>
        <w:t>mortality</w:t>
      </w:r>
      <w:r w:rsidR="00E87F99" w:rsidRPr="00D40ECC">
        <w:rPr>
          <w:rFonts w:ascii="Book Antiqua" w:eastAsia="Book Antiqua" w:hAnsi="Book Antiqua" w:cs="Book Antiqua"/>
          <w:color w:val="000000"/>
          <w:vertAlign w:val="superscript"/>
        </w:rPr>
        <w:t>[</w:t>
      </w:r>
      <w:proofErr w:type="gramEnd"/>
      <w:r w:rsidRPr="00D40ECC">
        <w:rPr>
          <w:rFonts w:ascii="Book Antiqua" w:eastAsia="Book Antiqua" w:hAnsi="Book Antiqua" w:cs="Book Antiqua"/>
          <w:color w:val="000000"/>
          <w:vertAlign w:val="superscript"/>
        </w:rPr>
        <w:t>11,12</w:t>
      </w:r>
      <w:r w:rsidR="00E87F99" w:rsidRPr="00D40ECC">
        <w:rPr>
          <w:rFonts w:ascii="Book Antiqua" w:eastAsia="Book Antiqua" w:hAnsi="Book Antiqua" w:cs="Book Antiqua"/>
          <w:color w:val="000000"/>
          <w:vertAlign w:val="superscript"/>
        </w:rPr>
        <w:t>]</w:t>
      </w:r>
      <w:r w:rsidRPr="00D40ECC">
        <w:rPr>
          <w:rFonts w:ascii="Book Antiqua" w:eastAsia="Book Antiqua" w:hAnsi="Book Antiqua" w:cs="Book Antiqua"/>
          <w:color w:val="000000"/>
        </w:rPr>
        <w:t>. In our study, the ECI score ranged from -21 to 44, with a mean score of 3. ECI was converted into four groups: ECI ≤ 0, 1</w:t>
      </w:r>
      <w:r w:rsidR="00E3314F" w:rsidRPr="00D40ECC">
        <w:rPr>
          <w:rFonts w:ascii="Book Antiqua" w:eastAsia="Book Antiqua" w:hAnsi="Book Antiqua" w:cs="Book Antiqua"/>
          <w:color w:val="000000"/>
        </w:rPr>
        <w:t>-</w:t>
      </w:r>
      <w:r w:rsidRPr="00D40ECC">
        <w:rPr>
          <w:rFonts w:ascii="Book Antiqua" w:eastAsia="Book Antiqua" w:hAnsi="Book Antiqua" w:cs="Book Antiqua"/>
          <w:color w:val="000000"/>
        </w:rPr>
        <w:t>5, 6</w:t>
      </w:r>
      <w:r w:rsidR="00E3314F"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10, and </w:t>
      </w:r>
      <w:r w:rsidR="00AF0D39"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 xml:space="preserve">11. </w:t>
      </w:r>
    </w:p>
    <w:p w14:paraId="7DA7A4AC" w14:textId="77777777" w:rsidR="00AF0D39" w:rsidRPr="00D40ECC" w:rsidRDefault="00AF0D39" w:rsidP="005638C6">
      <w:pPr>
        <w:spacing w:line="360" w:lineRule="auto"/>
        <w:jc w:val="both"/>
        <w:rPr>
          <w:rFonts w:ascii="Book Antiqua" w:hAnsi="Book Antiqua"/>
        </w:rPr>
      </w:pPr>
    </w:p>
    <w:p w14:paraId="39F8440D" w14:textId="0CDD86B4" w:rsidR="00A77B3E" w:rsidRPr="00D40ECC" w:rsidRDefault="00292C3F" w:rsidP="005638C6">
      <w:pPr>
        <w:spacing w:line="360" w:lineRule="auto"/>
        <w:jc w:val="both"/>
        <w:rPr>
          <w:rFonts w:ascii="Book Antiqua" w:hAnsi="Book Antiqua"/>
          <w:i/>
          <w:iCs/>
        </w:rPr>
      </w:pPr>
      <w:r w:rsidRPr="00D40ECC">
        <w:rPr>
          <w:rFonts w:ascii="Book Antiqua" w:eastAsia="Book Antiqua" w:hAnsi="Book Antiqua" w:cs="Book Antiqua"/>
          <w:b/>
          <w:bCs/>
          <w:i/>
          <w:iCs/>
          <w:color w:val="000000"/>
        </w:rPr>
        <w:t xml:space="preserve">Outcomes and </w:t>
      </w:r>
      <w:r w:rsidR="00AF0D39" w:rsidRPr="00D40ECC">
        <w:rPr>
          <w:rFonts w:ascii="Book Antiqua" w:eastAsia="Book Antiqua" w:hAnsi="Book Antiqua" w:cs="Book Antiqua"/>
          <w:b/>
          <w:bCs/>
          <w:i/>
          <w:iCs/>
          <w:color w:val="000000"/>
        </w:rPr>
        <w:t>p</w:t>
      </w:r>
      <w:r w:rsidRPr="00D40ECC">
        <w:rPr>
          <w:rFonts w:ascii="Book Antiqua" w:eastAsia="Book Antiqua" w:hAnsi="Book Antiqua" w:cs="Book Antiqua"/>
          <w:b/>
          <w:bCs/>
          <w:i/>
          <w:iCs/>
          <w:color w:val="000000"/>
        </w:rPr>
        <w:t xml:space="preserve">redictive </w:t>
      </w:r>
      <w:r w:rsidR="00AF0D39" w:rsidRPr="00D40ECC">
        <w:rPr>
          <w:rFonts w:ascii="Book Antiqua" w:eastAsia="Book Antiqua" w:hAnsi="Book Antiqua" w:cs="Book Antiqua"/>
          <w:b/>
          <w:bCs/>
          <w:i/>
          <w:iCs/>
          <w:color w:val="000000"/>
        </w:rPr>
        <w:t>v</w:t>
      </w:r>
      <w:r w:rsidRPr="00D40ECC">
        <w:rPr>
          <w:rFonts w:ascii="Book Antiqua" w:eastAsia="Book Antiqua" w:hAnsi="Book Antiqua" w:cs="Book Antiqua"/>
          <w:b/>
          <w:bCs/>
          <w:i/>
          <w:iCs/>
          <w:color w:val="000000"/>
        </w:rPr>
        <w:t xml:space="preserve">ariables </w:t>
      </w:r>
    </w:p>
    <w:p w14:paraId="04576A29" w14:textId="6BAB127F" w:rsidR="00A77B3E" w:rsidRPr="00D40ECC" w:rsidRDefault="00292C3F" w:rsidP="005638C6">
      <w:pPr>
        <w:spacing w:line="360" w:lineRule="auto"/>
        <w:jc w:val="both"/>
        <w:rPr>
          <w:rFonts w:ascii="Book Antiqua" w:eastAsia="Book Antiqua" w:hAnsi="Book Antiqua" w:cs="Book Antiqua"/>
          <w:color w:val="000000"/>
        </w:rPr>
      </w:pPr>
      <w:r w:rsidRPr="00D40ECC">
        <w:rPr>
          <w:rFonts w:ascii="Book Antiqua" w:eastAsia="Book Antiqua" w:hAnsi="Book Antiqua" w:cs="Book Antiqua"/>
          <w:color w:val="000000"/>
        </w:rPr>
        <w:t>The primary outcomes of the study were inpatient mortality, advanced liver disease-related complications including portal hypertension, ascites, varices and variceal bleeding, cirrhosis, and spontaneous bacterial peritonitis (SBP), as presented in Table 1. SBP and inpatient mortality were not included in our final analysis as it was not possible to conduct meaningful analysis due to their small sample sizes. For each hospitalization, baseline demographics and hospital characteristics were obtained. To address potential confounding factors, we added diabetes, hyperlipidemia, and obesity in Table 1 to compare their baseline prevalence between the case control groups.</w:t>
      </w:r>
    </w:p>
    <w:p w14:paraId="6F871E4F" w14:textId="77777777" w:rsidR="00AF0D39" w:rsidRPr="00D40ECC" w:rsidRDefault="00AF0D39" w:rsidP="005638C6">
      <w:pPr>
        <w:spacing w:line="360" w:lineRule="auto"/>
        <w:jc w:val="both"/>
        <w:rPr>
          <w:rFonts w:ascii="Book Antiqua" w:hAnsi="Book Antiqua"/>
        </w:rPr>
      </w:pPr>
    </w:p>
    <w:p w14:paraId="28906CA8" w14:textId="7BB6DB3A" w:rsidR="00A77B3E" w:rsidRPr="00D40ECC" w:rsidRDefault="00292C3F" w:rsidP="005638C6">
      <w:pPr>
        <w:spacing w:line="360" w:lineRule="auto"/>
        <w:jc w:val="both"/>
        <w:rPr>
          <w:rFonts w:ascii="Book Antiqua" w:hAnsi="Book Antiqua"/>
          <w:i/>
          <w:iCs/>
        </w:rPr>
      </w:pPr>
      <w:r w:rsidRPr="00D40ECC">
        <w:rPr>
          <w:rFonts w:ascii="Book Antiqua" w:eastAsia="Book Antiqua" w:hAnsi="Book Antiqua" w:cs="Book Antiqua"/>
          <w:b/>
          <w:bCs/>
          <w:i/>
          <w:iCs/>
          <w:color w:val="000000"/>
        </w:rPr>
        <w:t xml:space="preserve">Statistical </w:t>
      </w:r>
      <w:r w:rsidR="00AF0D39" w:rsidRPr="00D40ECC">
        <w:rPr>
          <w:rFonts w:ascii="Book Antiqua" w:eastAsia="Book Antiqua" w:hAnsi="Book Antiqua" w:cs="Book Antiqua"/>
          <w:b/>
          <w:bCs/>
          <w:i/>
          <w:iCs/>
          <w:color w:val="000000"/>
        </w:rPr>
        <w:t>a</w:t>
      </w:r>
      <w:r w:rsidRPr="00D40ECC">
        <w:rPr>
          <w:rFonts w:ascii="Book Antiqua" w:eastAsia="Book Antiqua" w:hAnsi="Book Antiqua" w:cs="Book Antiqua"/>
          <w:b/>
          <w:bCs/>
          <w:i/>
          <w:iCs/>
          <w:color w:val="000000"/>
        </w:rPr>
        <w:t>nalyses</w:t>
      </w:r>
    </w:p>
    <w:p w14:paraId="47A520A1" w14:textId="4CC3BAD9"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 xml:space="preserve">A biomedical statistical expert (SHW) reviewed statistical analysis. All data analyses were conducted using SPSS, version 26 (IBM Corp, Armonk, </w:t>
      </w:r>
      <w:r w:rsidR="003A7193" w:rsidRPr="00D40ECC">
        <w:rPr>
          <w:rFonts w:ascii="Book Antiqua" w:eastAsia="Book Antiqua" w:hAnsi="Book Antiqua" w:cs="Book Antiqua"/>
          <w:color w:val="000000"/>
        </w:rPr>
        <w:t>N</w:t>
      </w:r>
      <w:r w:rsidR="00350B72" w:rsidRPr="00D40ECC">
        <w:rPr>
          <w:rFonts w:ascii="Book Antiqua" w:eastAsia="Book Antiqua" w:hAnsi="Book Antiqua" w:cs="Book Antiqua"/>
          <w:color w:val="000000"/>
        </w:rPr>
        <w:t>Y, United States</w:t>
      </w:r>
      <w:r w:rsidRPr="00D40ECC">
        <w:rPr>
          <w:rFonts w:ascii="Book Antiqua" w:eastAsia="Book Antiqua" w:hAnsi="Book Antiqua" w:cs="Book Antiqua"/>
          <w:color w:val="000000"/>
        </w:rPr>
        <w:t xml:space="preserve">). </w:t>
      </w:r>
      <w:r w:rsidR="00D6388C" w:rsidRPr="00D40ECC">
        <w:rPr>
          <w:rFonts w:ascii="Book Antiqua" w:eastAsia="Book Antiqua" w:hAnsi="Book Antiqua" w:cs="Book Antiqua"/>
          <w:color w:val="000000"/>
        </w:rPr>
        <w:t>NIS</w:t>
      </w:r>
      <w:r w:rsidRPr="00D40ECC">
        <w:rPr>
          <w:rFonts w:ascii="Book Antiqua" w:eastAsia="Book Antiqua" w:hAnsi="Book Antiqua" w:cs="Book Antiqua"/>
          <w:color w:val="000000"/>
        </w:rPr>
        <w:t xml:space="preserve"> is based on a complex sampling design that includes stratification, clustering, and weighting. Weighting of patient-level observations was implemented to obtain estimates for the entire population in the United States of hospitalized patients with NAFLD. All statistical analyses were two-tailed, with </w:t>
      </w:r>
      <w:r w:rsidR="00AF0D39" w:rsidRPr="00D40ECC">
        <w:rPr>
          <w:rFonts w:ascii="Book Antiqua" w:eastAsia="Book Antiqua" w:hAnsi="Book Antiqua" w:cs="Book Antiqua"/>
          <w:i/>
          <w:iCs/>
          <w:color w:val="000000"/>
        </w:rPr>
        <w:t>P</w:t>
      </w:r>
      <w:r w:rsidR="00AF0D39"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&lt;</w:t>
      </w:r>
      <w:r w:rsidR="00AF0D39"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 xml:space="preserve">0.05 considered statistically significant. Chi-squared tests were performed to compare categorical data, and Student </w:t>
      </w:r>
      <w:r w:rsidR="00FD789C" w:rsidRPr="00D40ECC">
        <w:rPr>
          <w:rFonts w:ascii="Book Antiqua" w:eastAsia="Book Antiqua" w:hAnsi="Book Antiqua" w:cs="Book Antiqua"/>
          <w:i/>
          <w:color w:val="000000"/>
        </w:rPr>
        <w:t>t</w:t>
      </w:r>
      <w:r w:rsidRPr="00D40ECC">
        <w:rPr>
          <w:rFonts w:ascii="Book Antiqua" w:eastAsia="Book Antiqua" w:hAnsi="Book Antiqua" w:cs="Book Antiqua"/>
          <w:color w:val="000000"/>
        </w:rPr>
        <w:t>-tests</w:t>
      </w:r>
      <w:r w:rsidR="00AF0D39"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 xml:space="preserve">were performed for continuous data. Univariate linear (continuous outcomes) or </w:t>
      </w:r>
      <w:r w:rsidRPr="00D40ECC">
        <w:rPr>
          <w:rFonts w:ascii="Book Antiqua" w:eastAsia="Book Antiqua" w:hAnsi="Book Antiqua" w:cs="Book Antiqua"/>
          <w:color w:val="000000"/>
        </w:rPr>
        <w:lastRenderedPageBreak/>
        <w:t xml:space="preserve">logistic (dichotomous outcomes) regression analysis were used to calculate unadjusted odds ratios for the primary outcomes. Subsequently, multivariate regression analysis was used to adjust the results for potential confounders. The final multivariate logistic regression model was built by including those factors associated with the outcome in univariate analysis with </w:t>
      </w:r>
      <w:r w:rsidR="00AF0D39" w:rsidRPr="00D40ECC">
        <w:rPr>
          <w:rFonts w:ascii="Book Antiqua" w:eastAsia="Book Antiqua" w:hAnsi="Book Antiqua" w:cs="Book Antiqua"/>
          <w:i/>
          <w:iCs/>
          <w:color w:val="000000"/>
        </w:rPr>
        <w:t>P</w:t>
      </w:r>
      <w:r w:rsidR="00AF0D39"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 xml:space="preserve">&lt; 0.20. </w:t>
      </w:r>
    </w:p>
    <w:p w14:paraId="24E191CA" w14:textId="77777777" w:rsidR="00A77B3E" w:rsidRPr="00D40ECC" w:rsidRDefault="00A77B3E" w:rsidP="005638C6">
      <w:pPr>
        <w:spacing w:line="360" w:lineRule="auto"/>
        <w:jc w:val="both"/>
        <w:rPr>
          <w:rFonts w:ascii="Book Antiqua" w:hAnsi="Book Antiqua"/>
        </w:rPr>
      </w:pPr>
    </w:p>
    <w:p w14:paraId="7CA2A8ED"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caps/>
          <w:color w:val="000000"/>
          <w:u w:val="single"/>
        </w:rPr>
        <w:t>RESULTS</w:t>
      </w:r>
    </w:p>
    <w:p w14:paraId="0737954C" w14:textId="494311E1" w:rsidR="00A77B3E" w:rsidRPr="00D40ECC" w:rsidRDefault="00292C3F" w:rsidP="005638C6">
      <w:pPr>
        <w:spacing w:line="360" w:lineRule="auto"/>
        <w:jc w:val="both"/>
        <w:rPr>
          <w:rFonts w:ascii="Book Antiqua" w:hAnsi="Book Antiqua"/>
          <w:i/>
          <w:iCs/>
        </w:rPr>
      </w:pPr>
      <w:r w:rsidRPr="00D40ECC">
        <w:rPr>
          <w:rFonts w:ascii="Book Antiqua" w:eastAsia="Book Antiqua" w:hAnsi="Book Antiqua" w:cs="Book Antiqua"/>
          <w:b/>
          <w:bCs/>
          <w:i/>
          <w:iCs/>
          <w:color w:val="000000"/>
        </w:rPr>
        <w:t xml:space="preserve">Patient </w:t>
      </w:r>
      <w:r w:rsidR="00AF0D39" w:rsidRPr="00D40ECC">
        <w:rPr>
          <w:rFonts w:ascii="Book Antiqua" w:eastAsia="Book Antiqua" w:hAnsi="Book Antiqua" w:cs="Book Antiqua"/>
          <w:b/>
          <w:bCs/>
          <w:i/>
          <w:iCs/>
          <w:color w:val="000000"/>
        </w:rPr>
        <w:t>c</w:t>
      </w:r>
      <w:r w:rsidRPr="00D40ECC">
        <w:rPr>
          <w:rFonts w:ascii="Book Antiqua" w:eastAsia="Book Antiqua" w:hAnsi="Book Antiqua" w:cs="Book Antiqua"/>
          <w:b/>
          <w:bCs/>
          <w:i/>
          <w:iCs/>
          <w:color w:val="000000"/>
        </w:rPr>
        <w:t xml:space="preserve">haracteristics and </w:t>
      </w:r>
      <w:r w:rsidR="00AF0D39" w:rsidRPr="00D40ECC">
        <w:rPr>
          <w:rFonts w:ascii="Book Antiqua" w:eastAsia="Book Antiqua" w:hAnsi="Book Antiqua" w:cs="Book Antiqua"/>
          <w:b/>
          <w:bCs/>
          <w:i/>
          <w:iCs/>
          <w:color w:val="000000"/>
        </w:rPr>
        <w:t>d</w:t>
      </w:r>
      <w:r w:rsidRPr="00D40ECC">
        <w:rPr>
          <w:rFonts w:ascii="Book Antiqua" w:eastAsia="Book Antiqua" w:hAnsi="Book Antiqua" w:cs="Book Antiqua"/>
          <w:b/>
          <w:bCs/>
          <w:i/>
          <w:iCs/>
          <w:color w:val="000000"/>
        </w:rPr>
        <w:t>emographics</w:t>
      </w:r>
    </w:p>
    <w:p w14:paraId="7A672832" w14:textId="1CF16FF3"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A total of 3820 patients with NAFLD who had a history of cannabis use were identified in our study. 7625 patients with NAFLD and without cannabis use were matched and placed in the control group. Table 1 summarizes the patients’ baseline characteristics. There was no statistical difference of age, sex, race, ethnicity, and ECI between the groups (</w:t>
      </w:r>
      <w:r w:rsidR="00AF0D39" w:rsidRPr="00D40ECC">
        <w:rPr>
          <w:rFonts w:ascii="Book Antiqua" w:eastAsia="Book Antiqua" w:hAnsi="Book Antiqua" w:cs="Book Antiqua"/>
          <w:i/>
          <w:iCs/>
          <w:color w:val="000000"/>
        </w:rPr>
        <w:t>P</w:t>
      </w:r>
      <w:r w:rsidR="00AF0D39"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&gt;</w:t>
      </w:r>
      <w:r w:rsidR="00AF0D39"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 xml:space="preserve">0.05); therefore, these variables were successfully matched. Yet, patients who used cannabis were slightly younger (mean age: 41.4 </w:t>
      </w:r>
      <w:r w:rsidRPr="00D40ECC">
        <w:rPr>
          <w:rFonts w:ascii="Book Antiqua" w:eastAsia="Book Antiqua" w:hAnsi="Book Antiqua" w:cs="Book Antiqua"/>
          <w:i/>
          <w:iCs/>
          <w:color w:val="000000"/>
        </w:rPr>
        <w:t>vs</w:t>
      </w:r>
      <w:r w:rsidRPr="00D40ECC">
        <w:rPr>
          <w:rFonts w:ascii="Book Antiqua" w:eastAsia="Book Antiqua" w:hAnsi="Book Antiqua" w:cs="Book Antiqua"/>
          <w:color w:val="000000"/>
        </w:rPr>
        <w:t xml:space="preserve"> 42.0, </w:t>
      </w:r>
      <w:r w:rsidRPr="00D40ECC">
        <w:rPr>
          <w:rFonts w:ascii="Book Antiqua" w:eastAsia="Book Antiqua" w:hAnsi="Book Antiqua" w:cs="Book Antiqua"/>
          <w:i/>
          <w:iCs/>
          <w:color w:val="000000"/>
        </w:rPr>
        <w:t>P</w:t>
      </w:r>
      <w:r w:rsidRPr="00D40ECC">
        <w:rPr>
          <w:rFonts w:ascii="Book Antiqua" w:eastAsia="Book Antiqua" w:hAnsi="Book Antiqua" w:cs="Book Antiqua"/>
          <w:color w:val="000000"/>
        </w:rPr>
        <w:t xml:space="preserve"> = 0.03), and had </w:t>
      </w:r>
      <w:r w:rsidR="00050A8E" w:rsidRPr="00D40ECC">
        <w:rPr>
          <w:rFonts w:ascii="Book Antiqua" w:eastAsia="Book Antiqua" w:hAnsi="Book Antiqua" w:cs="Book Antiqua"/>
          <w:color w:val="000000"/>
        </w:rPr>
        <w:t>fewer</w:t>
      </w:r>
      <w:r w:rsidRPr="00D40ECC">
        <w:rPr>
          <w:rFonts w:ascii="Book Antiqua" w:eastAsia="Book Antiqua" w:hAnsi="Book Antiqua" w:cs="Book Antiqua"/>
          <w:color w:val="000000"/>
        </w:rPr>
        <w:t xml:space="preserve"> comorbidities (</w:t>
      </w:r>
      <w:r w:rsidR="00CF0F34" w:rsidRPr="00D40ECC">
        <w:rPr>
          <w:rFonts w:ascii="Book Antiqua" w:eastAsia="Book Antiqua" w:hAnsi="Book Antiqua" w:cs="Book Antiqua"/>
          <w:color w:val="000000"/>
        </w:rPr>
        <w:t>ECI</w:t>
      </w:r>
      <w:r w:rsidRPr="00D40ECC">
        <w:rPr>
          <w:rFonts w:ascii="Book Antiqua" w:eastAsia="Book Antiqua" w:hAnsi="Book Antiqua" w:cs="Book Antiqua"/>
          <w:color w:val="000000"/>
        </w:rPr>
        <w:t xml:space="preserve"> mean: 2.1 </w:t>
      </w:r>
      <w:r w:rsidRPr="00D40ECC">
        <w:rPr>
          <w:rFonts w:ascii="Book Antiqua" w:eastAsia="Book Antiqua" w:hAnsi="Book Antiqua" w:cs="Book Antiqua"/>
          <w:i/>
          <w:iCs/>
          <w:color w:val="000000"/>
        </w:rPr>
        <w:t>vs</w:t>
      </w:r>
      <w:r w:rsidRPr="00D40ECC">
        <w:rPr>
          <w:rFonts w:ascii="Book Antiqua" w:eastAsia="Book Antiqua" w:hAnsi="Book Antiqua" w:cs="Book Antiqua"/>
          <w:color w:val="000000"/>
        </w:rPr>
        <w:t xml:space="preserve"> 3.6, </w:t>
      </w:r>
      <w:r w:rsidR="00AF0D39" w:rsidRPr="00D40ECC">
        <w:rPr>
          <w:rFonts w:ascii="Book Antiqua" w:eastAsia="Book Antiqua" w:hAnsi="Book Antiqua" w:cs="Book Antiqua"/>
          <w:i/>
          <w:iCs/>
          <w:color w:val="000000"/>
        </w:rPr>
        <w:t>P</w:t>
      </w:r>
      <w:r w:rsidR="00AF0D39"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&lt;</w:t>
      </w:r>
      <w:r w:rsidR="00AF0D39"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0.01), with and without cannabis use. However, the differences in the mean age and mean ECI were not clinically different between the groups.</w:t>
      </w:r>
    </w:p>
    <w:p w14:paraId="627E1114" w14:textId="432B4AB5" w:rsidR="00A77B3E" w:rsidRPr="00D40ECC" w:rsidRDefault="00292C3F" w:rsidP="005638C6">
      <w:pPr>
        <w:spacing w:line="360" w:lineRule="auto"/>
        <w:ind w:firstLineChars="200" w:firstLine="480"/>
        <w:jc w:val="both"/>
        <w:rPr>
          <w:rFonts w:ascii="Book Antiqua" w:hAnsi="Book Antiqua"/>
        </w:rPr>
      </w:pPr>
      <w:r w:rsidRPr="00D40ECC">
        <w:rPr>
          <w:rFonts w:ascii="Book Antiqua" w:eastAsia="Book Antiqua" w:hAnsi="Book Antiqua" w:cs="Book Antiqua"/>
          <w:color w:val="000000"/>
        </w:rPr>
        <w:t xml:space="preserve">There were statistical differences in </w:t>
      </w:r>
      <w:r w:rsidR="00034203" w:rsidRPr="00D40ECC">
        <w:rPr>
          <w:rFonts w:ascii="Book Antiqua" w:eastAsia="Book Antiqua" w:hAnsi="Book Antiqua" w:cs="Book Antiqua"/>
          <w:color w:val="000000"/>
        </w:rPr>
        <w:t xml:space="preserve">types of </w:t>
      </w:r>
      <w:r w:rsidRPr="00D40ECC">
        <w:rPr>
          <w:rFonts w:ascii="Book Antiqua" w:eastAsia="Book Antiqua" w:hAnsi="Book Antiqua" w:cs="Book Antiqua"/>
          <w:color w:val="000000"/>
        </w:rPr>
        <w:t xml:space="preserve">insurance in the case group compared with the control group. The proportion of Medicare holders was lower in the cannabis group (16.6% </w:t>
      </w:r>
      <w:r w:rsidRPr="00D40ECC">
        <w:rPr>
          <w:rFonts w:ascii="Book Antiqua" w:eastAsia="Book Antiqua" w:hAnsi="Book Antiqua" w:cs="Book Antiqua"/>
          <w:i/>
          <w:iCs/>
          <w:color w:val="000000"/>
        </w:rPr>
        <w:t>vs</w:t>
      </w:r>
      <w:r w:rsidRPr="00D40ECC">
        <w:rPr>
          <w:rFonts w:ascii="Book Antiqua" w:eastAsia="Book Antiqua" w:hAnsi="Book Antiqua" w:cs="Book Antiqua"/>
          <w:color w:val="000000"/>
        </w:rPr>
        <w:t xml:space="preserve"> 17.2%), and a proportion of patients with private insurance was also less in cannabis group (21.9% </w:t>
      </w:r>
      <w:r w:rsidRPr="00D40ECC">
        <w:rPr>
          <w:rFonts w:ascii="Book Antiqua" w:eastAsia="Book Antiqua" w:hAnsi="Book Antiqua" w:cs="Book Antiqua"/>
          <w:i/>
          <w:iCs/>
          <w:color w:val="000000"/>
        </w:rPr>
        <w:t>vs</w:t>
      </w:r>
      <w:r w:rsidRPr="00D40ECC">
        <w:rPr>
          <w:rFonts w:ascii="Book Antiqua" w:eastAsia="Book Antiqua" w:hAnsi="Book Antiqua" w:cs="Book Antiqua"/>
          <w:color w:val="000000"/>
        </w:rPr>
        <w:t xml:space="preserve"> 42.6%), with and without cannabis use; all </w:t>
      </w:r>
      <w:r w:rsidR="00AF0D39" w:rsidRPr="00D40ECC">
        <w:rPr>
          <w:rFonts w:ascii="Book Antiqua" w:eastAsia="Book Antiqua" w:hAnsi="Book Antiqua" w:cs="Book Antiqua"/>
          <w:i/>
          <w:iCs/>
          <w:color w:val="000000"/>
        </w:rPr>
        <w:t>P</w:t>
      </w:r>
      <w:r w:rsidR="00AF0D39"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&lt;</w:t>
      </w:r>
      <w:r w:rsidR="00AF0D39"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 xml:space="preserve">0.05. Detailed patient demographics and hospital characteristics are presented in Table 1. </w:t>
      </w:r>
    </w:p>
    <w:p w14:paraId="1962237B" w14:textId="4F5C7DCA" w:rsidR="00A77B3E" w:rsidRPr="00D40ECC" w:rsidRDefault="00292C3F" w:rsidP="005638C6">
      <w:pPr>
        <w:spacing w:line="360" w:lineRule="auto"/>
        <w:ind w:firstLineChars="200" w:firstLine="480"/>
        <w:jc w:val="both"/>
        <w:rPr>
          <w:rFonts w:ascii="Book Antiqua" w:eastAsia="Book Antiqua" w:hAnsi="Book Antiqua" w:cs="Book Antiqua"/>
          <w:color w:val="000000"/>
        </w:rPr>
      </w:pPr>
      <w:r w:rsidRPr="00D40ECC">
        <w:rPr>
          <w:rFonts w:ascii="Book Antiqua" w:eastAsia="Book Antiqua" w:hAnsi="Book Antiqua" w:cs="Book Antiqua"/>
          <w:color w:val="000000"/>
        </w:rPr>
        <w:t xml:space="preserve">There were fewer patients with metabolic derangement such as diabetes (29.2% </w:t>
      </w:r>
      <w:r w:rsidRPr="00D40ECC">
        <w:rPr>
          <w:rFonts w:ascii="Book Antiqua" w:eastAsia="Book Antiqua" w:hAnsi="Book Antiqua" w:cs="Book Antiqua"/>
          <w:i/>
          <w:iCs/>
          <w:color w:val="000000"/>
        </w:rPr>
        <w:t>vs</w:t>
      </w:r>
      <w:r w:rsidRPr="00D40ECC">
        <w:rPr>
          <w:rFonts w:ascii="Book Antiqua" w:eastAsia="Book Antiqua" w:hAnsi="Book Antiqua" w:cs="Book Antiqua"/>
          <w:color w:val="000000"/>
        </w:rPr>
        <w:t xml:space="preserve"> 34.8%), obesity (29.5% </w:t>
      </w:r>
      <w:r w:rsidRPr="00D40ECC">
        <w:rPr>
          <w:rFonts w:ascii="Book Antiqua" w:eastAsia="Book Antiqua" w:hAnsi="Book Antiqua" w:cs="Book Antiqua"/>
          <w:i/>
          <w:iCs/>
          <w:color w:val="000000"/>
        </w:rPr>
        <w:t>vs</w:t>
      </w:r>
      <w:r w:rsidRPr="00D40ECC">
        <w:rPr>
          <w:rFonts w:ascii="Book Antiqua" w:eastAsia="Book Antiqua" w:hAnsi="Book Antiqua" w:cs="Book Antiqua"/>
          <w:color w:val="000000"/>
        </w:rPr>
        <w:t xml:space="preserve"> 49.4%), and hyperlipidemia (24.2% </w:t>
      </w:r>
      <w:r w:rsidRPr="00D40ECC">
        <w:rPr>
          <w:rFonts w:ascii="Book Antiqua" w:eastAsia="Book Antiqua" w:hAnsi="Book Antiqua" w:cs="Book Antiqua"/>
          <w:i/>
          <w:iCs/>
          <w:color w:val="000000"/>
        </w:rPr>
        <w:t>vs</w:t>
      </w:r>
      <w:r w:rsidRPr="00D40ECC">
        <w:rPr>
          <w:rFonts w:ascii="Book Antiqua" w:eastAsia="Book Antiqua" w:hAnsi="Book Antiqua" w:cs="Book Antiqua"/>
          <w:color w:val="000000"/>
        </w:rPr>
        <w:t xml:space="preserve"> 32.4%) in the cannabis group compared to the non-cannabis group. Of note, 94.1% of the cannabis users were coded under non-dependent </w:t>
      </w:r>
      <w:proofErr w:type="gramStart"/>
      <w:r w:rsidRPr="00D40ECC">
        <w:rPr>
          <w:rFonts w:ascii="Book Antiqua" w:eastAsia="Book Antiqua" w:hAnsi="Book Antiqua" w:cs="Book Antiqua"/>
          <w:color w:val="000000"/>
        </w:rPr>
        <w:t>use,</w:t>
      </w:r>
      <w:proofErr w:type="gramEnd"/>
      <w:r w:rsidRPr="00D40ECC">
        <w:rPr>
          <w:rFonts w:ascii="Book Antiqua" w:eastAsia="Book Antiqua" w:hAnsi="Book Antiqua" w:cs="Book Antiqua"/>
          <w:color w:val="000000"/>
        </w:rPr>
        <w:t xml:space="preserve"> and due to such a high proportion of non-dependent cannabis use, dose-dependent effects of cannabis on different liver-related complications were not able to be explored. </w:t>
      </w:r>
    </w:p>
    <w:p w14:paraId="2A52964F" w14:textId="77777777" w:rsidR="007E7DFB" w:rsidRPr="00D40ECC" w:rsidRDefault="007E7DFB" w:rsidP="005638C6">
      <w:pPr>
        <w:spacing w:line="360" w:lineRule="auto"/>
        <w:ind w:firstLineChars="200" w:firstLine="480"/>
        <w:jc w:val="both"/>
        <w:rPr>
          <w:rFonts w:ascii="Book Antiqua" w:hAnsi="Book Antiqua"/>
        </w:rPr>
      </w:pPr>
    </w:p>
    <w:p w14:paraId="64F7D8C8" w14:textId="4EDDBE92" w:rsidR="00A77B3E" w:rsidRPr="00D40ECC" w:rsidRDefault="00292C3F" w:rsidP="005638C6">
      <w:pPr>
        <w:spacing w:line="360" w:lineRule="auto"/>
        <w:jc w:val="both"/>
        <w:rPr>
          <w:rFonts w:ascii="Book Antiqua" w:hAnsi="Book Antiqua"/>
          <w:i/>
          <w:iCs/>
        </w:rPr>
      </w:pPr>
      <w:r w:rsidRPr="00D40ECC">
        <w:rPr>
          <w:rFonts w:ascii="Book Antiqua" w:eastAsia="Book Antiqua" w:hAnsi="Book Antiqua" w:cs="Book Antiqua"/>
          <w:b/>
          <w:bCs/>
          <w:i/>
          <w:iCs/>
          <w:color w:val="000000"/>
        </w:rPr>
        <w:lastRenderedPageBreak/>
        <w:t xml:space="preserve">Liver </w:t>
      </w:r>
      <w:r w:rsidR="007E7DFB" w:rsidRPr="00D40ECC">
        <w:rPr>
          <w:rFonts w:ascii="Book Antiqua" w:eastAsia="Book Antiqua" w:hAnsi="Book Antiqua" w:cs="Book Antiqua"/>
          <w:b/>
          <w:bCs/>
          <w:i/>
          <w:iCs/>
          <w:color w:val="000000"/>
        </w:rPr>
        <w:t>d</w:t>
      </w:r>
      <w:r w:rsidRPr="00D40ECC">
        <w:rPr>
          <w:rFonts w:ascii="Book Antiqua" w:eastAsia="Book Antiqua" w:hAnsi="Book Antiqua" w:cs="Book Antiqua"/>
          <w:b/>
          <w:bCs/>
          <w:i/>
          <w:iCs/>
          <w:color w:val="000000"/>
        </w:rPr>
        <w:t xml:space="preserve">isease-related </w:t>
      </w:r>
      <w:r w:rsidR="007E7DFB" w:rsidRPr="00D40ECC">
        <w:rPr>
          <w:rFonts w:ascii="Book Antiqua" w:eastAsia="Book Antiqua" w:hAnsi="Book Antiqua" w:cs="Book Antiqua"/>
          <w:b/>
          <w:bCs/>
          <w:i/>
          <w:iCs/>
          <w:color w:val="000000"/>
        </w:rPr>
        <w:t>c</w:t>
      </w:r>
      <w:r w:rsidRPr="00D40ECC">
        <w:rPr>
          <w:rFonts w:ascii="Book Antiqua" w:eastAsia="Book Antiqua" w:hAnsi="Book Antiqua" w:cs="Book Antiqua"/>
          <w:b/>
          <w:bCs/>
          <w:i/>
          <w:iCs/>
          <w:color w:val="000000"/>
        </w:rPr>
        <w:t xml:space="preserve">omplications </w:t>
      </w:r>
    </w:p>
    <w:p w14:paraId="13446C37" w14:textId="52235BFA" w:rsidR="00A77B3E" w:rsidRPr="00D40ECC" w:rsidRDefault="00292C3F" w:rsidP="005638C6">
      <w:pPr>
        <w:spacing w:line="360" w:lineRule="auto"/>
        <w:jc w:val="both"/>
        <w:rPr>
          <w:rFonts w:ascii="Book Antiqua" w:eastAsia="Book Antiqua" w:hAnsi="Book Antiqua" w:cs="Book Antiqua"/>
          <w:color w:val="000000"/>
        </w:rPr>
      </w:pPr>
      <w:r w:rsidRPr="00D40ECC">
        <w:rPr>
          <w:rFonts w:ascii="Book Antiqua" w:eastAsia="Book Antiqua" w:hAnsi="Book Antiqua" w:cs="Book Antiqua"/>
          <w:color w:val="000000"/>
        </w:rPr>
        <w:t xml:space="preserve">The cannabis group had a higher prevalence of ascites </w:t>
      </w:r>
      <w:r w:rsidR="005638C6"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4.5% </w:t>
      </w:r>
      <w:r w:rsidRPr="00D40ECC">
        <w:rPr>
          <w:rFonts w:ascii="Book Antiqua" w:eastAsia="Book Antiqua" w:hAnsi="Book Antiqua" w:cs="Book Antiqua"/>
          <w:i/>
          <w:iCs/>
          <w:color w:val="000000"/>
        </w:rPr>
        <w:t>vs</w:t>
      </w:r>
      <w:r w:rsidRPr="00D40ECC">
        <w:rPr>
          <w:rFonts w:ascii="Book Antiqua" w:eastAsia="Book Antiqua" w:hAnsi="Book Antiqua" w:cs="Book Antiqua"/>
          <w:color w:val="000000"/>
        </w:rPr>
        <w:t xml:space="preserve"> 3.6%, OR 1.25; 95% confidence interval </w:t>
      </w:r>
      <w:r w:rsidR="005638C6" w:rsidRPr="00D40ECC">
        <w:rPr>
          <w:rFonts w:ascii="Book Antiqua" w:eastAsia="Book Antiqua" w:hAnsi="Book Antiqua" w:cs="Book Antiqua"/>
          <w:color w:val="000000"/>
        </w:rPr>
        <w:t>(</w:t>
      </w:r>
      <w:r w:rsidRPr="00D40ECC">
        <w:rPr>
          <w:rFonts w:ascii="Book Antiqua" w:eastAsia="Book Antiqua" w:hAnsi="Book Antiqua" w:cs="Book Antiqua"/>
          <w:color w:val="000000"/>
        </w:rPr>
        <w:t>CI</w:t>
      </w:r>
      <w:r w:rsidR="005638C6" w:rsidRPr="00D40ECC">
        <w:rPr>
          <w:rFonts w:ascii="Book Antiqua" w:eastAsia="Book Antiqua" w:hAnsi="Book Antiqua" w:cs="Book Antiqua"/>
          <w:color w:val="000000"/>
        </w:rPr>
        <w:t>)</w:t>
      </w:r>
      <w:r w:rsidR="007E7DFB"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 1.02</w:t>
      </w:r>
      <w:r w:rsidR="005E6C6B" w:rsidRPr="00D40ECC">
        <w:rPr>
          <w:rFonts w:ascii="Book Antiqua" w:eastAsia="Book Antiqua" w:hAnsi="Book Antiqua" w:cs="Book Antiqua"/>
          <w:color w:val="000000"/>
        </w:rPr>
        <w:t>-</w:t>
      </w:r>
      <w:r w:rsidRPr="00D40ECC">
        <w:rPr>
          <w:rFonts w:ascii="Book Antiqua" w:eastAsia="Book Antiqua" w:hAnsi="Book Antiqua" w:cs="Book Antiqua"/>
          <w:color w:val="000000"/>
        </w:rPr>
        <w:t>1.51</w:t>
      </w:r>
      <w:r w:rsidR="005638C6"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 There was no statistical difference in the prevalence of portal hypertension </w:t>
      </w:r>
      <w:r w:rsidR="007E7DFB"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2.1% </w:t>
      </w:r>
      <w:r w:rsidRPr="00D40ECC">
        <w:rPr>
          <w:rFonts w:ascii="Book Antiqua" w:eastAsia="Book Antiqua" w:hAnsi="Book Antiqua" w:cs="Book Antiqua"/>
          <w:i/>
          <w:iCs/>
          <w:color w:val="000000"/>
        </w:rPr>
        <w:t>vs</w:t>
      </w:r>
      <w:r w:rsidRPr="00D40ECC">
        <w:rPr>
          <w:rFonts w:ascii="Book Antiqua" w:eastAsia="Book Antiqua" w:hAnsi="Book Antiqua" w:cs="Book Antiqua"/>
          <w:color w:val="000000"/>
        </w:rPr>
        <w:t xml:space="preserve"> 2.2%, not statistically significant (NS)</w:t>
      </w:r>
      <w:r w:rsidR="007E7DFB"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 varices and variceal bleeding (1.3% </w:t>
      </w:r>
      <w:r w:rsidRPr="00D40ECC">
        <w:rPr>
          <w:rFonts w:ascii="Book Antiqua" w:eastAsia="Book Antiqua" w:hAnsi="Book Antiqua" w:cs="Book Antiqua"/>
          <w:i/>
          <w:iCs/>
          <w:color w:val="000000"/>
        </w:rPr>
        <w:t>vs</w:t>
      </w:r>
      <w:r w:rsidRPr="00D40ECC">
        <w:rPr>
          <w:rFonts w:ascii="Book Antiqua" w:eastAsia="Book Antiqua" w:hAnsi="Book Antiqua" w:cs="Book Antiqua"/>
          <w:color w:val="000000"/>
        </w:rPr>
        <w:t xml:space="preserve"> 1.7%, </w:t>
      </w:r>
      <w:r w:rsidRPr="00D40ECC">
        <w:rPr>
          <w:rFonts w:ascii="Book Antiqua" w:eastAsia="Book Antiqua" w:hAnsi="Book Antiqua" w:cs="Book Antiqua"/>
          <w:i/>
          <w:iCs/>
          <w:color w:val="000000"/>
        </w:rPr>
        <w:t>P</w:t>
      </w:r>
      <w:r w:rsidRPr="00D40ECC">
        <w:rPr>
          <w:rFonts w:ascii="Book Antiqua" w:eastAsia="Book Antiqua" w:hAnsi="Book Antiqua" w:cs="Book Antiqua"/>
          <w:color w:val="000000"/>
        </w:rPr>
        <w:t xml:space="preserve"> = 0.11), and cirrhosis (3.7% </w:t>
      </w:r>
      <w:r w:rsidRPr="00D40ECC">
        <w:rPr>
          <w:rFonts w:ascii="Book Antiqua" w:eastAsia="Book Antiqua" w:hAnsi="Book Antiqua" w:cs="Book Antiqua"/>
          <w:i/>
          <w:iCs/>
          <w:color w:val="000000"/>
        </w:rPr>
        <w:t>vs</w:t>
      </w:r>
      <w:r w:rsidRPr="00D40ECC">
        <w:rPr>
          <w:rFonts w:ascii="Book Antiqua" w:eastAsia="Book Antiqua" w:hAnsi="Book Antiqua" w:cs="Book Antiqua"/>
          <w:color w:val="000000"/>
        </w:rPr>
        <w:t xml:space="preserve"> 3.6%, NS), with and without cannabis use. There was a small sample size, less than 10 in one of the groups for spontaneous bacterial peritonitis and inpatient mortality, and therefore not included in the analysis. Detailed chronic liver disease-related complications are presented in Table 1. </w:t>
      </w:r>
    </w:p>
    <w:p w14:paraId="1F5544A8" w14:textId="77777777" w:rsidR="007E7DFB" w:rsidRPr="00D40ECC" w:rsidRDefault="007E7DFB" w:rsidP="005638C6">
      <w:pPr>
        <w:spacing w:line="360" w:lineRule="auto"/>
        <w:jc w:val="both"/>
        <w:rPr>
          <w:rFonts w:ascii="Book Antiqua" w:hAnsi="Book Antiqua"/>
        </w:rPr>
      </w:pPr>
    </w:p>
    <w:p w14:paraId="42F8419D" w14:textId="5E1E5C89" w:rsidR="00A77B3E" w:rsidRPr="00D40ECC" w:rsidRDefault="00292C3F" w:rsidP="005638C6">
      <w:pPr>
        <w:spacing w:line="360" w:lineRule="auto"/>
        <w:jc w:val="both"/>
        <w:rPr>
          <w:rFonts w:ascii="Book Antiqua" w:hAnsi="Book Antiqua"/>
          <w:i/>
          <w:iCs/>
        </w:rPr>
      </w:pPr>
      <w:r w:rsidRPr="00D40ECC">
        <w:rPr>
          <w:rFonts w:ascii="Book Antiqua" w:eastAsia="Book Antiqua" w:hAnsi="Book Antiqua" w:cs="Book Antiqua"/>
          <w:b/>
          <w:bCs/>
          <w:i/>
          <w:iCs/>
          <w:color w:val="000000"/>
        </w:rPr>
        <w:t xml:space="preserve">Healthcare </w:t>
      </w:r>
      <w:r w:rsidR="007E7DFB" w:rsidRPr="00D40ECC">
        <w:rPr>
          <w:rFonts w:ascii="Book Antiqua" w:eastAsia="Book Antiqua" w:hAnsi="Book Antiqua" w:cs="Book Antiqua"/>
          <w:b/>
          <w:bCs/>
          <w:i/>
          <w:iCs/>
          <w:color w:val="000000"/>
        </w:rPr>
        <w:t>r</w:t>
      </w:r>
      <w:r w:rsidRPr="00D40ECC">
        <w:rPr>
          <w:rFonts w:ascii="Book Antiqua" w:eastAsia="Book Antiqua" w:hAnsi="Book Antiqua" w:cs="Book Antiqua"/>
          <w:b/>
          <w:bCs/>
          <w:i/>
          <w:iCs/>
          <w:color w:val="000000"/>
        </w:rPr>
        <w:t xml:space="preserve">esource </w:t>
      </w:r>
      <w:r w:rsidR="007E7DFB" w:rsidRPr="00D40ECC">
        <w:rPr>
          <w:rFonts w:ascii="Book Antiqua" w:eastAsia="Book Antiqua" w:hAnsi="Book Antiqua" w:cs="Book Antiqua"/>
          <w:b/>
          <w:bCs/>
          <w:i/>
          <w:iCs/>
          <w:color w:val="000000"/>
        </w:rPr>
        <w:t>u</w:t>
      </w:r>
      <w:r w:rsidRPr="00D40ECC">
        <w:rPr>
          <w:rFonts w:ascii="Book Antiqua" w:eastAsia="Book Antiqua" w:hAnsi="Book Antiqua" w:cs="Book Antiqua"/>
          <w:b/>
          <w:bCs/>
          <w:i/>
          <w:iCs/>
          <w:color w:val="000000"/>
        </w:rPr>
        <w:t xml:space="preserve">tilization </w:t>
      </w:r>
      <w:r w:rsidR="007E7DFB" w:rsidRPr="00D40ECC">
        <w:rPr>
          <w:rFonts w:ascii="Book Antiqua" w:eastAsia="Book Antiqua" w:hAnsi="Book Antiqua" w:cs="Book Antiqua"/>
          <w:b/>
          <w:bCs/>
          <w:i/>
          <w:iCs/>
          <w:color w:val="000000"/>
        </w:rPr>
        <w:t>a</w:t>
      </w:r>
      <w:r w:rsidRPr="00D40ECC">
        <w:rPr>
          <w:rFonts w:ascii="Book Antiqua" w:eastAsia="Book Antiqua" w:hAnsi="Book Antiqua" w:cs="Book Antiqua"/>
          <w:b/>
          <w:bCs/>
          <w:i/>
          <w:iCs/>
          <w:color w:val="000000"/>
        </w:rPr>
        <w:t xml:space="preserve">ssociated with </w:t>
      </w:r>
      <w:r w:rsidR="007E7DFB" w:rsidRPr="00D40ECC">
        <w:rPr>
          <w:rFonts w:ascii="Book Antiqua" w:eastAsia="Book Antiqua" w:hAnsi="Book Antiqua" w:cs="Book Antiqua"/>
          <w:b/>
          <w:bCs/>
          <w:i/>
          <w:iCs/>
          <w:color w:val="000000"/>
        </w:rPr>
        <w:t>i</w:t>
      </w:r>
      <w:r w:rsidRPr="00D40ECC">
        <w:rPr>
          <w:rFonts w:ascii="Book Antiqua" w:eastAsia="Book Antiqua" w:hAnsi="Book Antiqua" w:cs="Book Antiqua"/>
          <w:b/>
          <w:bCs/>
          <w:i/>
          <w:iCs/>
          <w:color w:val="000000"/>
        </w:rPr>
        <w:t xml:space="preserve">ndex </w:t>
      </w:r>
      <w:r w:rsidR="007E7DFB" w:rsidRPr="00D40ECC">
        <w:rPr>
          <w:rFonts w:ascii="Book Antiqua" w:eastAsia="Book Antiqua" w:hAnsi="Book Antiqua" w:cs="Book Antiqua"/>
          <w:b/>
          <w:bCs/>
          <w:i/>
          <w:iCs/>
          <w:color w:val="000000"/>
        </w:rPr>
        <w:t>a</w:t>
      </w:r>
      <w:r w:rsidRPr="00D40ECC">
        <w:rPr>
          <w:rFonts w:ascii="Book Antiqua" w:eastAsia="Book Antiqua" w:hAnsi="Book Antiqua" w:cs="Book Antiqua"/>
          <w:b/>
          <w:bCs/>
          <w:i/>
          <w:iCs/>
          <w:color w:val="000000"/>
        </w:rPr>
        <w:t>dmission</w:t>
      </w:r>
    </w:p>
    <w:p w14:paraId="48F9F063" w14:textId="7124C93A" w:rsidR="00A77B3E" w:rsidRPr="00D40ECC" w:rsidRDefault="00292C3F" w:rsidP="005638C6">
      <w:pPr>
        <w:spacing w:line="360" w:lineRule="auto"/>
        <w:jc w:val="both"/>
        <w:rPr>
          <w:rFonts w:ascii="Book Antiqua" w:eastAsia="Book Antiqua" w:hAnsi="Book Antiqua" w:cs="Book Antiqua"/>
          <w:color w:val="000000"/>
        </w:rPr>
      </w:pPr>
      <w:r w:rsidRPr="00D40ECC">
        <w:rPr>
          <w:rFonts w:ascii="Book Antiqua" w:eastAsia="Book Antiqua" w:hAnsi="Book Antiqua" w:cs="Book Antiqua"/>
          <w:color w:val="000000"/>
        </w:rPr>
        <w:t>The mean length of stay was longer for those who used</w:t>
      </w:r>
      <w:r w:rsidR="00034203" w:rsidRPr="00D40ECC">
        <w:rPr>
          <w:rFonts w:ascii="Book Antiqua" w:eastAsia="Book Antiqua" w:hAnsi="Book Antiqua" w:cs="Book Antiqua"/>
          <w:color w:val="000000"/>
        </w:rPr>
        <w:t xml:space="preserve"> cannabis</w:t>
      </w:r>
      <w:r w:rsidRPr="00D40ECC">
        <w:rPr>
          <w:rFonts w:ascii="Book Antiqua" w:eastAsia="Book Antiqua" w:hAnsi="Book Antiqua" w:cs="Book Antiqua"/>
          <w:color w:val="000000"/>
        </w:rPr>
        <w:t xml:space="preserve"> compared to those who did not use cannabis (5.1 </w:t>
      </w:r>
      <w:r w:rsidR="005E6C6B" w:rsidRPr="00D40ECC">
        <w:rPr>
          <w:rFonts w:ascii="Book Antiqua" w:eastAsia="Book Antiqua" w:hAnsi="Book Antiqua" w:cs="Book Antiqua"/>
          <w:color w:val="000000"/>
        </w:rPr>
        <w:t xml:space="preserve">d </w:t>
      </w:r>
      <w:r w:rsidRPr="00D40ECC">
        <w:rPr>
          <w:rFonts w:ascii="Book Antiqua" w:eastAsia="Book Antiqua" w:hAnsi="Book Antiqua" w:cs="Book Antiqua"/>
          <w:i/>
          <w:iCs/>
          <w:color w:val="000000"/>
        </w:rPr>
        <w:t>vs</w:t>
      </w:r>
      <w:r w:rsidRPr="00D40ECC">
        <w:rPr>
          <w:rFonts w:ascii="Book Antiqua" w:eastAsia="Book Antiqua" w:hAnsi="Book Antiqua" w:cs="Book Antiqua"/>
          <w:color w:val="000000"/>
        </w:rPr>
        <w:t xml:space="preserve"> 4.9 d), but this difference was not statistically different, </w:t>
      </w:r>
      <w:r w:rsidRPr="00D40ECC">
        <w:rPr>
          <w:rFonts w:ascii="Book Antiqua" w:eastAsia="Book Antiqua" w:hAnsi="Book Antiqua" w:cs="Book Antiqua"/>
          <w:i/>
          <w:iCs/>
          <w:color w:val="000000"/>
        </w:rPr>
        <w:t>P</w:t>
      </w:r>
      <w:r w:rsidRPr="00D40ECC">
        <w:rPr>
          <w:rFonts w:ascii="Book Antiqua" w:eastAsia="Book Antiqua" w:hAnsi="Book Antiqua" w:cs="Book Antiqua"/>
          <w:color w:val="000000"/>
        </w:rPr>
        <w:t xml:space="preserve"> = 0.18. Total hospitalization charges were lower for patients who used cannabis ($42503) compared with those who did not use cannabis ($43183), but this difference was also not statistically different either.</w:t>
      </w:r>
    </w:p>
    <w:p w14:paraId="2CF1BE34" w14:textId="77777777" w:rsidR="007E7DFB" w:rsidRPr="00D40ECC" w:rsidRDefault="007E7DFB" w:rsidP="005638C6">
      <w:pPr>
        <w:spacing w:line="360" w:lineRule="auto"/>
        <w:jc w:val="both"/>
        <w:rPr>
          <w:rFonts w:ascii="Book Antiqua" w:hAnsi="Book Antiqua"/>
        </w:rPr>
      </w:pPr>
    </w:p>
    <w:p w14:paraId="3787E354" w14:textId="25AA7897" w:rsidR="00A77B3E" w:rsidRPr="00D40ECC" w:rsidRDefault="00292C3F" w:rsidP="005638C6">
      <w:pPr>
        <w:spacing w:line="360" w:lineRule="auto"/>
        <w:jc w:val="both"/>
        <w:rPr>
          <w:rFonts w:ascii="Book Antiqua" w:hAnsi="Book Antiqua"/>
          <w:i/>
          <w:iCs/>
        </w:rPr>
      </w:pPr>
      <w:r w:rsidRPr="00D40ECC">
        <w:rPr>
          <w:rFonts w:ascii="Book Antiqua" w:eastAsia="Book Antiqua" w:hAnsi="Book Antiqua" w:cs="Book Antiqua"/>
          <w:b/>
          <w:bCs/>
          <w:i/>
          <w:iCs/>
          <w:color w:val="000000"/>
        </w:rPr>
        <w:t xml:space="preserve">Independent </w:t>
      </w:r>
      <w:r w:rsidR="007E7DFB" w:rsidRPr="00D40ECC">
        <w:rPr>
          <w:rFonts w:ascii="Book Antiqua" w:eastAsia="Book Antiqua" w:hAnsi="Book Antiqua" w:cs="Book Antiqua"/>
          <w:b/>
          <w:bCs/>
          <w:i/>
          <w:iCs/>
          <w:color w:val="000000"/>
        </w:rPr>
        <w:t>p</w:t>
      </w:r>
      <w:r w:rsidRPr="00D40ECC">
        <w:rPr>
          <w:rFonts w:ascii="Book Antiqua" w:eastAsia="Book Antiqua" w:hAnsi="Book Antiqua" w:cs="Book Antiqua"/>
          <w:b/>
          <w:bCs/>
          <w:i/>
          <w:iCs/>
          <w:color w:val="000000"/>
        </w:rPr>
        <w:t xml:space="preserve">redictors of </w:t>
      </w:r>
      <w:r w:rsidR="007E7DFB" w:rsidRPr="00D40ECC">
        <w:rPr>
          <w:rFonts w:ascii="Book Antiqua" w:eastAsia="Book Antiqua" w:hAnsi="Book Antiqua" w:cs="Book Antiqua"/>
          <w:b/>
          <w:bCs/>
          <w:i/>
          <w:iCs/>
          <w:color w:val="000000"/>
        </w:rPr>
        <w:t>a</w:t>
      </w:r>
      <w:r w:rsidRPr="00D40ECC">
        <w:rPr>
          <w:rFonts w:ascii="Book Antiqua" w:eastAsia="Book Antiqua" w:hAnsi="Book Antiqua" w:cs="Book Antiqua"/>
          <w:b/>
          <w:bCs/>
          <w:i/>
          <w:iCs/>
          <w:color w:val="000000"/>
        </w:rPr>
        <w:t>scites</w:t>
      </w:r>
    </w:p>
    <w:p w14:paraId="7328CD6D" w14:textId="77E9386B"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 xml:space="preserve">The variables found to be independent predictors of ascites among cannabis users were hyperlipidemia </w:t>
      </w:r>
      <w:r w:rsidR="007E7DFB" w:rsidRPr="00D40ECC">
        <w:rPr>
          <w:rFonts w:ascii="Book Antiqua" w:eastAsia="Book Antiqua" w:hAnsi="Book Antiqua" w:cs="Book Antiqua"/>
          <w:color w:val="000000"/>
        </w:rPr>
        <w:t>(</w:t>
      </w:r>
      <w:proofErr w:type="spellStart"/>
      <w:r w:rsidRPr="00D40ECC">
        <w:rPr>
          <w:rFonts w:ascii="Book Antiqua" w:eastAsia="Book Antiqua" w:hAnsi="Book Antiqua" w:cs="Book Antiqua"/>
          <w:color w:val="000000"/>
        </w:rPr>
        <w:t>aOR</w:t>
      </w:r>
      <w:proofErr w:type="spellEnd"/>
      <w:r w:rsidRPr="00D40ECC">
        <w:rPr>
          <w:rFonts w:ascii="Book Antiqua" w:eastAsia="Book Antiqua" w:hAnsi="Book Antiqua" w:cs="Book Antiqua"/>
          <w:color w:val="000000"/>
        </w:rPr>
        <w:t xml:space="preserve"> </w:t>
      </w:r>
      <w:r w:rsidR="00034203" w:rsidRPr="00D40ECC">
        <w:rPr>
          <w:rFonts w:ascii="Book Antiqua" w:eastAsia="Book Antiqua" w:hAnsi="Book Antiqua" w:cs="Book Antiqua"/>
          <w:color w:val="000000"/>
        </w:rPr>
        <w:t>1.53</w:t>
      </w:r>
      <w:r w:rsidRPr="00D40ECC">
        <w:rPr>
          <w:rFonts w:ascii="Book Antiqua" w:eastAsia="Book Antiqua" w:hAnsi="Book Antiqua" w:cs="Book Antiqua"/>
          <w:color w:val="000000"/>
        </w:rPr>
        <w:t>; 95%CI</w:t>
      </w:r>
      <w:r w:rsidR="007E7DFB" w:rsidRPr="00D40ECC">
        <w:rPr>
          <w:rFonts w:ascii="Book Antiqua" w:eastAsia="Book Antiqua" w:hAnsi="Book Antiqua" w:cs="Book Antiqua"/>
          <w:color w:val="000000"/>
        </w:rPr>
        <w:t>:</w:t>
      </w:r>
      <w:r w:rsidR="00F32E68" w:rsidRPr="00D40ECC">
        <w:rPr>
          <w:rFonts w:ascii="Book Antiqua" w:eastAsia="Book Antiqua" w:hAnsi="Book Antiqua" w:cs="Book Antiqua"/>
          <w:color w:val="000000"/>
        </w:rPr>
        <w:t xml:space="preserve"> </w:t>
      </w:r>
      <w:r w:rsidR="00034203" w:rsidRPr="00D40ECC">
        <w:rPr>
          <w:rFonts w:ascii="Book Antiqua" w:eastAsia="Book Antiqua" w:hAnsi="Book Antiqua" w:cs="Book Antiqua"/>
          <w:color w:val="000000"/>
        </w:rPr>
        <w:t>1.08-2.17</w:t>
      </w:r>
      <w:r w:rsidRPr="00D40ECC">
        <w:rPr>
          <w:rFonts w:ascii="Book Antiqua" w:eastAsia="Book Antiqua" w:hAnsi="Book Antiqua" w:cs="Book Antiqua"/>
          <w:color w:val="000000"/>
        </w:rPr>
        <w:t xml:space="preserve">), racial group </w:t>
      </w:r>
      <w:r w:rsidR="00050A8E" w:rsidRPr="00D40ECC">
        <w:rPr>
          <w:rFonts w:ascii="Book Antiqua" w:eastAsia="Book Antiqua" w:hAnsi="Book Antiqua" w:cs="Book Antiqua"/>
          <w:color w:val="000000"/>
        </w:rPr>
        <w:t xml:space="preserve">other </w:t>
      </w:r>
      <w:r w:rsidRPr="00D40ECC">
        <w:rPr>
          <w:rFonts w:ascii="Book Antiqua" w:eastAsia="Book Antiqua" w:hAnsi="Book Antiqua" w:cs="Book Antiqua"/>
          <w:color w:val="000000"/>
        </w:rPr>
        <w:t>than White, Black, Hispanic, Asian</w:t>
      </w:r>
      <w:r w:rsidR="00F32E68"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 Pacific Islanders</w:t>
      </w:r>
      <w:r w:rsidR="00F32E68" w:rsidRPr="00D40ECC">
        <w:rPr>
          <w:rFonts w:ascii="Book Antiqua" w:eastAsia="Book Antiqua" w:hAnsi="Book Antiqua" w:cs="Book Antiqua"/>
          <w:color w:val="000000"/>
        </w:rPr>
        <w:t xml:space="preserve"> or</w:t>
      </w:r>
      <w:r w:rsidRPr="00D40ECC">
        <w:rPr>
          <w:rFonts w:ascii="Book Antiqua" w:eastAsia="Book Antiqua" w:hAnsi="Book Antiqua" w:cs="Book Antiqua"/>
          <w:color w:val="000000"/>
        </w:rPr>
        <w:t xml:space="preserve"> Native American (</w:t>
      </w:r>
      <w:proofErr w:type="spellStart"/>
      <w:r w:rsidRPr="00D40ECC">
        <w:rPr>
          <w:rFonts w:ascii="Book Antiqua" w:eastAsia="Book Antiqua" w:hAnsi="Book Antiqua" w:cs="Book Antiqua"/>
          <w:color w:val="000000"/>
        </w:rPr>
        <w:t>aOR</w:t>
      </w:r>
      <w:proofErr w:type="spellEnd"/>
      <w:r w:rsidR="008E18F6" w:rsidRPr="00D40ECC">
        <w:rPr>
          <w:rFonts w:ascii="Book Antiqua" w:eastAsia="Book Antiqua" w:hAnsi="Book Antiqua" w:cs="Book Antiqua"/>
          <w:color w:val="000000"/>
        </w:rPr>
        <w:t xml:space="preserve"> </w:t>
      </w:r>
      <w:r w:rsidR="00034203" w:rsidRPr="00D40ECC">
        <w:rPr>
          <w:rFonts w:ascii="Book Antiqua" w:eastAsia="Book Antiqua" w:hAnsi="Book Antiqua" w:cs="Book Antiqua"/>
          <w:color w:val="000000"/>
        </w:rPr>
        <w:t>2.57</w:t>
      </w:r>
      <w:r w:rsidRPr="00D40ECC">
        <w:rPr>
          <w:rFonts w:ascii="Book Antiqua" w:eastAsia="Book Antiqua" w:hAnsi="Book Antiqua" w:cs="Book Antiqua"/>
          <w:color w:val="000000"/>
        </w:rPr>
        <w:t>; 95%CI</w:t>
      </w:r>
      <w:r w:rsidR="007E7DFB" w:rsidRPr="00D40ECC">
        <w:rPr>
          <w:rFonts w:ascii="Book Antiqua" w:eastAsia="Book Antiqua" w:hAnsi="Book Antiqua" w:cs="Book Antiqua"/>
          <w:color w:val="000000"/>
        </w:rPr>
        <w:t>:</w:t>
      </w:r>
      <w:r w:rsidR="008E18F6" w:rsidRPr="00D40ECC">
        <w:rPr>
          <w:rFonts w:ascii="Book Antiqua" w:eastAsia="Book Antiqua" w:hAnsi="Book Antiqua" w:cs="Book Antiqua"/>
          <w:color w:val="000000"/>
        </w:rPr>
        <w:t xml:space="preserve"> </w:t>
      </w:r>
      <w:r w:rsidR="00DD6267" w:rsidRPr="00D40ECC">
        <w:rPr>
          <w:rFonts w:ascii="Book Antiqua" w:eastAsia="Book Antiqua" w:hAnsi="Book Antiqua" w:cs="Book Antiqua"/>
          <w:color w:val="000000"/>
        </w:rPr>
        <w:t>1.24-5.31</w:t>
      </w:r>
      <w:r w:rsidRPr="00D40ECC">
        <w:rPr>
          <w:rFonts w:ascii="Book Antiqua" w:eastAsia="Book Antiqua" w:hAnsi="Book Antiqua" w:cs="Book Antiqua"/>
          <w:color w:val="000000"/>
        </w:rPr>
        <w:t>), and higher comorbidity index (</w:t>
      </w:r>
      <w:proofErr w:type="spellStart"/>
      <w:r w:rsidRPr="00D40ECC">
        <w:rPr>
          <w:rFonts w:ascii="Book Antiqua" w:eastAsia="Book Antiqua" w:hAnsi="Book Antiqua" w:cs="Book Antiqua"/>
          <w:color w:val="000000"/>
        </w:rPr>
        <w:t>aOR</w:t>
      </w:r>
      <w:proofErr w:type="spellEnd"/>
      <w:r w:rsidRPr="00D40ECC">
        <w:rPr>
          <w:rFonts w:ascii="Book Antiqua" w:eastAsia="Book Antiqua" w:hAnsi="Book Antiqua" w:cs="Book Antiqua"/>
          <w:color w:val="000000"/>
        </w:rPr>
        <w:t xml:space="preserve"> 1.08; 95%CI</w:t>
      </w:r>
      <w:r w:rsidR="00B75770"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 xml:space="preserve">1.07-1.10), all </w:t>
      </w:r>
      <w:r w:rsidR="00B75770" w:rsidRPr="00D40ECC">
        <w:rPr>
          <w:rFonts w:ascii="Book Antiqua" w:eastAsia="Book Antiqua" w:hAnsi="Book Antiqua" w:cs="Book Antiqua"/>
          <w:i/>
          <w:iCs/>
          <w:color w:val="000000"/>
        </w:rPr>
        <w:t>P</w:t>
      </w:r>
      <w:r w:rsidR="00B75770"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&lt;</w:t>
      </w:r>
      <w:r w:rsidR="00B75770"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0.05. Among patients who did not use cannabis, older age (</w:t>
      </w:r>
      <w:proofErr w:type="spellStart"/>
      <w:r w:rsidRPr="00D40ECC">
        <w:rPr>
          <w:rFonts w:ascii="Book Antiqua" w:eastAsia="Book Antiqua" w:hAnsi="Book Antiqua" w:cs="Book Antiqua"/>
          <w:color w:val="000000"/>
        </w:rPr>
        <w:t>aOR</w:t>
      </w:r>
      <w:proofErr w:type="spellEnd"/>
      <w:r w:rsidRPr="00D40ECC">
        <w:rPr>
          <w:rFonts w:ascii="Book Antiqua" w:eastAsia="Book Antiqua" w:hAnsi="Book Antiqua" w:cs="Book Antiqua"/>
          <w:color w:val="000000"/>
        </w:rPr>
        <w:t xml:space="preserve"> 1.02; 95%CI</w:t>
      </w:r>
      <w:r w:rsidR="00B75770"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1.01-1.03), Native Americans (</w:t>
      </w:r>
      <w:proofErr w:type="spellStart"/>
      <w:r w:rsidRPr="00D40ECC">
        <w:rPr>
          <w:rFonts w:ascii="Book Antiqua" w:eastAsia="Book Antiqua" w:hAnsi="Book Antiqua" w:cs="Book Antiqua"/>
          <w:color w:val="000000"/>
        </w:rPr>
        <w:t>aOR</w:t>
      </w:r>
      <w:proofErr w:type="spellEnd"/>
      <w:r w:rsidRPr="00D40ECC">
        <w:rPr>
          <w:rFonts w:ascii="Book Antiqua" w:eastAsia="Book Antiqua" w:hAnsi="Book Antiqua" w:cs="Book Antiqua"/>
          <w:color w:val="000000"/>
        </w:rPr>
        <w:t xml:space="preserve"> 2.60; 95%CI</w:t>
      </w:r>
      <w:r w:rsidR="00B75770"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1.03-6.61), and higher comorbidity index (</w:t>
      </w:r>
      <w:proofErr w:type="spellStart"/>
      <w:r w:rsidRPr="00D40ECC">
        <w:rPr>
          <w:rFonts w:ascii="Book Antiqua" w:eastAsia="Book Antiqua" w:hAnsi="Book Antiqua" w:cs="Book Antiqua"/>
          <w:color w:val="000000"/>
        </w:rPr>
        <w:t>aOR</w:t>
      </w:r>
      <w:proofErr w:type="spellEnd"/>
      <w:r w:rsidRPr="00D40ECC">
        <w:rPr>
          <w:rFonts w:ascii="Book Antiqua" w:eastAsia="Book Antiqua" w:hAnsi="Book Antiqua" w:cs="Book Antiqua"/>
          <w:color w:val="000000"/>
        </w:rPr>
        <w:t xml:space="preserve"> 1.05; 95%CI</w:t>
      </w:r>
      <w:r w:rsidR="00B75770"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1.04-1.06) were independent predictor of ascites. However, in the same group, obesity (</w:t>
      </w:r>
      <w:proofErr w:type="spellStart"/>
      <w:r w:rsidRPr="00D40ECC">
        <w:rPr>
          <w:rFonts w:ascii="Book Antiqua" w:eastAsia="Book Antiqua" w:hAnsi="Book Antiqua" w:cs="Book Antiqua"/>
          <w:color w:val="000000"/>
        </w:rPr>
        <w:t>aOR</w:t>
      </w:r>
      <w:proofErr w:type="spellEnd"/>
      <w:r w:rsidRPr="00D40ECC">
        <w:rPr>
          <w:rFonts w:ascii="Book Antiqua" w:eastAsia="Book Antiqua" w:hAnsi="Book Antiqua" w:cs="Book Antiqua"/>
          <w:color w:val="000000"/>
        </w:rPr>
        <w:t xml:space="preserve"> 0.61; 95%CI</w:t>
      </w:r>
      <w:r w:rsidR="00B75770"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0.46-0.81) and hyperlipidemia (</w:t>
      </w:r>
      <w:proofErr w:type="spellStart"/>
      <w:r w:rsidRPr="00D40ECC">
        <w:rPr>
          <w:rFonts w:ascii="Book Antiqua" w:eastAsia="Book Antiqua" w:hAnsi="Book Antiqua" w:cs="Book Antiqua"/>
          <w:color w:val="000000"/>
        </w:rPr>
        <w:t>aOR</w:t>
      </w:r>
      <w:proofErr w:type="spellEnd"/>
      <w:r w:rsidRPr="00D40ECC">
        <w:rPr>
          <w:rFonts w:ascii="Book Antiqua" w:eastAsia="Book Antiqua" w:hAnsi="Book Antiqua" w:cs="Book Antiqua"/>
          <w:color w:val="000000"/>
        </w:rPr>
        <w:t xml:space="preserve"> 0.59; 95%CI</w:t>
      </w:r>
      <w:r w:rsidR="009A01BA"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 xml:space="preserve">0.44-0.80) were independent protective factors against ascites, all </w:t>
      </w:r>
      <w:r w:rsidR="009A01BA" w:rsidRPr="00D40ECC">
        <w:rPr>
          <w:rFonts w:ascii="Book Antiqua" w:eastAsia="Book Antiqua" w:hAnsi="Book Antiqua" w:cs="Book Antiqua"/>
          <w:i/>
          <w:iCs/>
          <w:color w:val="000000"/>
        </w:rPr>
        <w:t>P</w:t>
      </w:r>
      <w:r w:rsidR="009A01BA"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&lt;</w:t>
      </w:r>
      <w:r w:rsidR="009A01BA"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 xml:space="preserve">0.05. The univariate and multivariate logistic regression analysis for ascites is further delineated in Table 2. </w:t>
      </w:r>
    </w:p>
    <w:p w14:paraId="7F5DCC79" w14:textId="77777777" w:rsidR="00A77B3E" w:rsidRPr="00D40ECC" w:rsidRDefault="00A77B3E" w:rsidP="005638C6">
      <w:pPr>
        <w:spacing w:line="360" w:lineRule="auto"/>
        <w:jc w:val="both"/>
        <w:rPr>
          <w:rFonts w:ascii="Book Antiqua" w:hAnsi="Book Antiqua"/>
        </w:rPr>
      </w:pPr>
    </w:p>
    <w:p w14:paraId="4C7A4427"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caps/>
          <w:color w:val="000000"/>
          <w:u w:val="single"/>
        </w:rPr>
        <w:lastRenderedPageBreak/>
        <w:t>DISCUSSION</w:t>
      </w:r>
    </w:p>
    <w:p w14:paraId="0995724D" w14:textId="4307D04E"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 xml:space="preserve">Cannabis is produced from </w:t>
      </w:r>
      <w:r w:rsidRPr="00D40ECC">
        <w:rPr>
          <w:rFonts w:ascii="Book Antiqua" w:eastAsia="Book Antiqua" w:hAnsi="Book Antiqua" w:cs="Book Antiqua"/>
          <w:i/>
          <w:iCs/>
          <w:color w:val="000000"/>
        </w:rPr>
        <w:t>Cannabis sativa</w:t>
      </w:r>
      <w:r w:rsidRPr="00D40ECC">
        <w:rPr>
          <w:rFonts w:ascii="Book Antiqua" w:eastAsia="Book Antiqua" w:hAnsi="Book Antiqua" w:cs="Book Antiqua"/>
          <w:color w:val="000000"/>
        </w:rPr>
        <w:t>, known as the marijuana plant, which</w:t>
      </w:r>
      <w:r w:rsidRPr="00D40ECC">
        <w:rPr>
          <w:rFonts w:ascii="Book Antiqua" w:eastAsia="Book Antiqua" w:hAnsi="Book Antiqua" w:cs="Book Antiqua"/>
          <w:i/>
          <w:iCs/>
          <w:color w:val="000000"/>
        </w:rPr>
        <w:t xml:space="preserve"> </w:t>
      </w:r>
      <w:r w:rsidRPr="00D40ECC">
        <w:rPr>
          <w:rFonts w:ascii="Book Antiqua" w:eastAsia="Book Antiqua" w:hAnsi="Book Antiqua" w:cs="Book Antiqua"/>
          <w:color w:val="000000"/>
        </w:rPr>
        <w:t xml:space="preserve">contains more than 60 active chemical compounds called </w:t>
      </w:r>
      <w:proofErr w:type="gramStart"/>
      <w:r w:rsidRPr="00D40ECC">
        <w:rPr>
          <w:rFonts w:ascii="Book Antiqua" w:eastAsia="Book Antiqua" w:hAnsi="Book Antiqua" w:cs="Book Antiqua"/>
          <w:color w:val="000000"/>
        </w:rPr>
        <w:t>cannabinoids</w:t>
      </w:r>
      <w:r w:rsidR="009178F9" w:rsidRPr="00D40ECC">
        <w:rPr>
          <w:rFonts w:ascii="Book Antiqua" w:eastAsia="Book Antiqua" w:hAnsi="Book Antiqua" w:cs="Book Antiqua"/>
          <w:color w:val="000000"/>
          <w:vertAlign w:val="superscript"/>
        </w:rPr>
        <w:t>[</w:t>
      </w:r>
      <w:proofErr w:type="gramEnd"/>
      <w:r w:rsidRPr="00D40ECC">
        <w:rPr>
          <w:rFonts w:ascii="Book Antiqua" w:eastAsia="Book Antiqua" w:hAnsi="Book Antiqua" w:cs="Book Antiqua"/>
          <w:color w:val="000000"/>
          <w:vertAlign w:val="superscript"/>
        </w:rPr>
        <w:t>3,13</w:t>
      </w:r>
      <w:r w:rsidR="009178F9" w:rsidRPr="00D40ECC">
        <w:rPr>
          <w:rFonts w:ascii="Book Antiqua" w:eastAsia="Book Antiqua" w:hAnsi="Book Antiqua" w:cs="Book Antiqua"/>
          <w:color w:val="000000"/>
          <w:vertAlign w:val="superscript"/>
        </w:rPr>
        <w:t>]</w:t>
      </w:r>
      <w:r w:rsidR="009178F9"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 The primary effects of cannabinoids come from activation of cannabinoid receptors: </w:t>
      </w:r>
      <w:r w:rsidR="00AB6147" w:rsidRPr="00D40ECC">
        <w:rPr>
          <w:rFonts w:ascii="Book Antiqua" w:hAnsi="Book Antiqua" w:cs="Book Antiqua"/>
          <w:color w:val="000000"/>
          <w:lang w:eastAsia="zh-CN"/>
        </w:rPr>
        <w:t>T</w:t>
      </w:r>
      <w:r w:rsidRPr="00D40ECC">
        <w:rPr>
          <w:rFonts w:ascii="Book Antiqua" w:eastAsia="Book Antiqua" w:hAnsi="Book Antiqua" w:cs="Book Antiqua"/>
          <w:color w:val="000000"/>
        </w:rPr>
        <w:t>he two types of G-protein coupled cannabinoid receptors, cannabinoid receptor type 1 (CB1) and cannabinoid receptor type 2 (CB2</w:t>
      </w:r>
      <w:proofErr w:type="gramStart"/>
      <w:r w:rsidRPr="00D40ECC">
        <w:rPr>
          <w:rFonts w:ascii="Book Antiqua" w:eastAsia="Book Antiqua" w:hAnsi="Book Antiqua" w:cs="Book Antiqua"/>
          <w:color w:val="000000"/>
        </w:rPr>
        <w:t>)</w:t>
      </w:r>
      <w:r w:rsidR="001C3E50" w:rsidRPr="00D40ECC">
        <w:rPr>
          <w:rFonts w:ascii="Book Antiqua" w:eastAsia="Book Antiqua" w:hAnsi="Book Antiqua" w:cs="Book Antiqua"/>
          <w:color w:val="000000"/>
          <w:vertAlign w:val="superscript"/>
        </w:rPr>
        <w:t>[</w:t>
      </w:r>
      <w:proofErr w:type="gramEnd"/>
      <w:r w:rsidRPr="00D40ECC">
        <w:rPr>
          <w:rFonts w:ascii="Book Antiqua" w:eastAsia="Book Antiqua" w:hAnsi="Book Antiqua" w:cs="Book Antiqua"/>
          <w:color w:val="000000"/>
          <w:vertAlign w:val="superscript"/>
        </w:rPr>
        <w:t>7,14</w:t>
      </w:r>
      <w:r w:rsidR="001C3E50" w:rsidRPr="00D40ECC">
        <w:rPr>
          <w:rFonts w:ascii="Book Antiqua" w:eastAsia="Book Antiqua" w:hAnsi="Book Antiqua" w:cs="Book Antiqua"/>
          <w:color w:val="000000"/>
          <w:vertAlign w:val="superscript"/>
        </w:rPr>
        <w:t>]</w:t>
      </w:r>
      <w:r w:rsidR="001C3E50"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 CB1 is primarily expressed in the brain while CB2 in immune tissue, and under normal physiologic conditions both CB1 and CB2 are very weakly expressed by the </w:t>
      </w:r>
      <w:proofErr w:type="gramStart"/>
      <w:r w:rsidRPr="00D40ECC">
        <w:rPr>
          <w:rFonts w:ascii="Book Antiqua" w:eastAsia="Book Antiqua" w:hAnsi="Book Antiqua" w:cs="Book Antiqua"/>
          <w:color w:val="000000"/>
        </w:rPr>
        <w:t>liver</w:t>
      </w:r>
      <w:r w:rsidR="005A4AA3" w:rsidRPr="00D40ECC">
        <w:rPr>
          <w:rFonts w:ascii="Book Antiqua" w:eastAsia="Book Antiqua" w:hAnsi="Book Antiqua" w:cs="Book Antiqua"/>
          <w:color w:val="000000"/>
          <w:vertAlign w:val="superscript"/>
        </w:rPr>
        <w:t>[</w:t>
      </w:r>
      <w:proofErr w:type="gramEnd"/>
      <w:r w:rsidR="005A4AA3" w:rsidRPr="00D40ECC">
        <w:rPr>
          <w:rFonts w:ascii="Book Antiqua" w:eastAsia="Book Antiqua" w:hAnsi="Book Antiqua" w:cs="Book Antiqua"/>
          <w:color w:val="000000"/>
          <w:vertAlign w:val="superscript"/>
        </w:rPr>
        <w:t>15]</w:t>
      </w:r>
      <w:r w:rsidRPr="00D40ECC">
        <w:rPr>
          <w:rFonts w:ascii="Book Antiqua" w:eastAsia="Book Antiqua" w:hAnsi="Book Antiqua" w:cs="Book Antiqua"/>
          <w:color w:val="000000"/>
        </w:rPr>
        <w:t xml:space="preserve">. However, an upregulation of these receptors are markedly induced in the human liver with </w:t>
      </w:r>
      <w:proofErr w:type="gramStart"/>
      <w:r w:rsidRPr="00D40ECC">
        <w:rPr>
          <w:rFonts w:ascii="Book Antiqua" w:eastAsia="Book Antiqua" w:hAnsi="Book Antiqua" w:cs="Book Antiqua"/>
          <w:color w:val="000000"/>
        </w:rPr>
        <w:t>cirrhosis</w:t>
      </w:r>
      <w:r w:rsidR="005A4AA3" w:rsidRPr="00D40ECC">
        <w:rPr>
          <w:rFonts w:ascii="Book Antiqua" w:eastAsia="Book Antiqua" w:hAnsi="Book Antiqua" w:cs="Book Antiqua"/>
          <w:color w:val="000000"/>
          <w:vertAlign w:val="superscript"/>
        </w:rPr>
        <w:t>[</w:t>
      </w:r>
      <w:proofErr w:type="gramEnd"/>
      <w:r w:rsidR="005A4AA3" w:rsidRPr="00D40ECC">
        <w:rPr>
          <w:rFonts w:ascii="Book Antiqua" w:eastAsia="Book Antiqua" w:hAnsi="Book Antiqua" w:cs="Book Antiqua"/>
          <w:color w:val="000000"/>
          <w:vertAlign w:val="superscript"/>
        </w:rPr>
        <w:t>16,17]</w:t>
      </w:r>
      <w:r w:rsidRPr="00D40ECC">
        <w:rPr>
          <w:rFonts w:ascii="Book Antiqua" w:eastAsia="Book Antiqua" w:hAnsi="Book Antiqua" w:cs="Book Antiqua"/>
          <w:color w:val="000000"/>
        </w:rPr>
        <w:t xml:space="preserve">. The levels of CB1 are six times greater in patients with chronic hepatitis C compared to control while twice greater in patients with cirrhosis compared to those at a lower fibrosis </w:t>
      </w:r>
      <w:proofErr w:type="gramStart"/>
      <w:r w:rsidRPr="00D40ECC">
        <w:rPr>
          <w:rFonts w:ascii="Book Antiqua" w:eastAsia="Book Antiqua" w:hAnsi="Book Antiqua" w:cs="Book Antiqua"/>
          <w:color w:val="000000"/>
        </w:rPr>
        <w:t>state</w:t>
      </w:r>
      <w:r w:rsidR="005A4AA3" w:rsidRPr="00D40ECC">
        <w:rPr>
          <w:rFonts w:ascii="Book Antiqua" w:eastAsia="Book Antiqua" w:hAnsi="Book Antiqua" w:cs="Book Antiqua"/>
          <w:color w:val="000000"/>
          <w:vertAlign w:val="superscript"/>
        </w:rPr>
        <w:t>[</w:t>
      </w:r>
      <w:proofErr w:type="gramEnd"/>
      <w:r w:rsidR="005A4AA3" w:rsidRPr="00D40ECC">
        <w:rPr>
          <w:rFonts w:ascii="Book Antiqua" w:eastAsia="Book Antiqua" w:hAnsi="Book Antiqua" w:cs="Book Antiqua"/>
          <w:color w:val="000000"/>
          <w:vertAlign w:val="superscript"/>
        </w:rPr>
        <w:t>18-20]</w:t>
      </w:r>
      <w:r w:rsidRPr="00D40ECC">
        <w:rPr>
          <w:rFonts w:ascii="Book Antiqua" w:eastAsia="Book Antiqua" w:hAnsi="Book Antiqua" w:cs="Book Antiqua"/>
          <w:color w:val="000000"/>
        </w:rPr>
        <w:t xml:space="preserve">. CB1 and CB2 exert opposite effects on the liver; CB1 has profibrogenic properties while activation of CB2 in mice has been associated with antifibrotic and anti-inflammatory </w:t>
      </w:r>
      <w:proofErr w:type="gramStart"/>
      <w:r w:rsidRPr="00D40ECC">
        <w:rPr>
          <w:rFonts w:ascii="Book Antiqua" w:eastAsia="Book Antiqua" w:hAnsi="Book Antiqua" w:cs="Book Antiqua"/>
          <w:color w:val="000000"/>
        </w:rPr>
        <w:t>properties</w:t>
      </w:r>
      <w:r w:rsidR="00EC6381" w:rsidRPr="00D40ECC">
        <w:rPr>
          <w:rFonts w:ascii="Book Antiqua" w:eastAsia="Book Antiqua" w:hAnsi="Book Antiqua" w:cs="Book Antiqua"/>
          <w:color w:val="000000"/>
          <w:vertAlign w:val="superscript"/>
        </w:rPr>
        <w:t>[</w:t>
      </w:r>
      <w:proofErr w:type="gramEnd"/>
      <w:r w:rsidRPr="00D40ECC">
        <w:rPr>
          <w:rFonts w:ascii="Book Antiqua" w:eastAsia="Book Antiqua" w:hAnsi="Book Antiqua" w:cs="Book Antiqua"/>
          <w:color w:val="000000"/>
          <w:vertAlign w:val="superscript"/>
        </w:rPr>
        <w:t>7</w:t>
      </w:r>
      <w:r w:rsidR="00EC6381" w:rsidRPr="00D40ECC">
        <w:rPr>
          <w:rFonts w:ascii="Book Antiqua" w:eastAsia="Book Antiqua" w:hAnsi="Book Antiqua" w:cs="Book Antiqua"/>
          <w:color w:val="000000"/>
          <w:vertAlign w:val="superscript"/>
        </w:rPr>
        <w:t>]</w:t>
      </w:r>
      <w:r w:rsidR="00EC6381"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 </w:t>
      </w:r>
    </w:p>
    <w:p w14:paraId="454E9730" w14:textId="1CD9EF0D" w:rsidR="00A77B3E" w:rsidRPr="00D40ECC" w:rsidRDefault="00292C3F" w:rsidP="005638C6">
      <w:pPr>
        <w:spacing w:line="360" w:lineRule="auto"/>
        <w:ind w:firstLineChars="200" w:firstLine="480"/>
        <w:jc w:val="both"/>
        <w:rPr>
          <w:rFonts w:ascii="Book Antiqua" w:hAnsi="Book Antiqua"/>
        </w:rPr>
      </w:pPr>
      <w:r w:rsidRPr="00D40ECC">
        <w:rPr>
          <w:rFonts w:ascii="Book Antiqua" w:eastAsia="Book Antiqua" w:hAnsi="Book Antiqua" w:cs="Book Antiqua"/>
          <w:color w:val="000000"/>
        </w:rPr>
        <w:t>The most active and best-studied cannabinoids are tetrahydrocannabinol (THC) and cannabidiol (CBD</w:t>
      </w:r>
      <w:proofErr w:type="gramStart"/>
      <w:r w:rsidRPr="00D40ECC">
        <w:rPr>
          <w:rFonts w:ascii="Book Antiqua" w:eastAsia="Book Antiqua" w:hAnsi="Book Antiqua" w:cs="Book Antiqua"/>
          <w:color w:val="000000"/>
        </w:rPr>
        <w:t>)</w:t>
      </w:r>
      <w:r w:rsidR="00EC6381" w:rsidRPr="00D40ECC">
        <w:rPr>
          <w:rFonts w:ascii="Book Antiqua" w:eastAsia="Book Antiqua" w:hAnsi="Book Antiqua" w:cs="Book Antiqua"/>
          <w:color w:val="000000"/>
          <w:vertAlign w:val="superscript"/>
        </w:rPr>
        <w:t>[</w:t>
      </w:r>
      <w:proofErr w:type="gramEnd"/>
      <w:r w:rsidRPr="00D40ECC">
        <w:rPr>
          <w:rFonts w:ascii="Book Antiqua" w:eastAsia="Book Antiqua" w:hAnsi="Book Antiqua" w:cs="Book Antiqua"/>
          <w:color w:val="000000"/>
          <w:vertAlign w:val="superscript"/>
        </w:rPr>
        <w:t>7,13</w:t>
      </w:r>
      <w:r w:rsidR="00EC6381" w:rsidRPr="00D40ECC">
        <w:rPr>
          <w:rFonts w:ascii="Book Antiqua" w:eastAsia="Book Antiqua" w:hAnsi="Book Antiqua" w:cs="Book Antiqua"/>
          <w:color w:val="000000"/>
          <w:vertAlign w:val="superscript"/>
        </w:rPr>
        <w:t>]</w:t>
      </w:r>
      <w:r w:rsidR="00EC6381"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 Both THC and CBD act on CB-1 and CB2, but they have different affinities for the receptors. CB1 activation has been shown to have pro-inflammatory effects and to be involved in hepatic fibrosis and </w:t>
      </w:r>
      <w:proofErr w:type="gramStart"/>
      <w:r w:rsidRPr="00D40ECC">
        <w:rPr>
          <w:rFonts w:ascii="Book Antiqua" w:eastAsia="Book Antiqua" w:hAnsi="Book Antiqua" w:cs="Book Antiqua"/>
          <w:color w:val="000000"/>
        </w:rPr>
        <w:t>steatosis</w:t>
      </w:r>
      <w:r w:rsidR="005A4AA3" w:rsidRPr="00D40ECC">
        <w:rPr>
          <w:rFonts w:ascii="Book Antiqua" w:eastAsia="Book Antiqua" w:hAnsi="Book Antiqua" w:cs="Book Antiqua"/>
          <w:color w:val="000000"/>
          <w:vertAlign w:val="superscript"/>
        </w:rPr>
        <w:t>[</w:t>
      </w:r>
      <w:proofErr w:type="gramEnd"/>
      <w:r w:rsidR="005A4AA3" w:rsidRPr="00D40ECC">
        <w:rPr>
          <w:rFonts w:ascii="Book Antiqua" w:eastAsia="Book Antiqua" w:hAnsi="Book Antiqua" w:cs="Book Antiqua"/>
          <w:color w:val="000000"/>
          <w:vertAlign w:val="superscript"/>
        </w:rPr>
        <w:t>3,21]</w:t>
      </w:r>
      <w:r w:rsidRPr="00D40ECC">
        <w:rPr>
          <w:rFonts w:ascii="Book Antiqua" w:eastAsia="Book Antiqua" w:hAnsi="Book Antiqua" w:cs="Book Antiqua"/>
          <w:color w:val="000000"/>
        </w:rPr>
        <w:t xml:space="preserve">. For instance, in CB1 null mice, CB1 blockers increase fatty acid oxidation and decrease hepatic inflammation and </w:t>
      </w:r>
      <w:proofErr w:type="gramStart"/>
      <w:r w:rsidRPr="00D40ECC">
        <w:rPr>
          <w:rFonts w:ascii="Book Antiqua" w:eastAsia="Book Antiqua" w:hAnsi="Book Antiqua" w:cs="Book Antiqua"/>
          <w:color w:val="000000"/>
        </w:rPr>
        <w:t>lipogenesis</w:t>
      </w:r>
      <w:r w:rsidR="003314F1" w:rsidRPr="00D40ECC">
        <w:rPr>
          <w:rFonts w:ascii="Book Antiqua" w:eastAsia="Book Antiqua" w:hAnsi="Book Antiqua" w:cs="Book Antiqua"/>
          <w:color w:val="000000"/>
          <w:vertAlign w:val="superscript"/>
        </w:rPr>
        <w:t>[</w:t>
      </w:r>
      <w:proofErr w:type="gramEnd"/>
      <w:r w:rsidR="003314F1" w:rsidRPr="00D40ECC">
        <w:rPr>
          <w:rFonts w:ascii="Book Antiqua" w:eastAsia="Book Antiqua" w:hAnsi="Book Antiqua" w:cs="Book Antiqua"/>
          <w:color w:val="000000"/>
          <w:vertAlign w:val="superscript"/>
        </w:rPr>
        <w:t>22]</w:t>
      </w:r>
      <w:r w:rsidRPr="00D40ECC">
        <w:rPr>
          <w:rFonts w:ascii="Book Antiqua" w:eastAsia="Book Antiqua" w:hAnsi="Book Antiqua" w:cs="Book Antiqua"/>
          <w:color w:val="000000"/>
        </w:rPr>
        <w:t>. In contrast, CB2 exerts anti-inflammatory effects. CB2 activation has also been shown to suppress obesity and steatohepatitis and to protect the liver from ischemia</w:t>
      </w:r>
      <w:r w:rsidR="00050A8E"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reperfusion </w:t>
      </w:r>
      <w:proofErr w:type="gramStart"/>
      <w:r w:rsidRPr="00D40ECC">
        <w:rPr>
          <w:rFonts w:ascii="Book Antiqua" w:eastAsia="Book Antiqua" w:hAnsi="Book Antiqua" w:cs="Book Antiqua"/>
          <w:color w:val="000000"/>
        </w:rPr>
        <w:t>injury</w:t>
      </w:r>
      <w:r w:rsidR="003314F1" w:rsidRPr="00D40ECC">
        <w:rPr>
          <w:rFonts w:ascii="Book Antiqua" w:eastAsia="Book Antiqua" w:hAnsi="Book Antiqua" w:cs="Book Antiqua"/>
          <w:color w:val="000000"/>
          <w:vertAlign w:val="superscript"/>
        </w:rPr>
        <w:t>[</w:t>
      </w:r>
      <w:proofErr w:type="gramEnd"/>
      <w:r w:rsidR="003314F1" w:rsidRPr="00D40ECC">
        <w:rPr>
          <w:rFonts w:ascii="Book Antiqua" w:eastAsia="Book Antiqua" w:hAnsi="Book Antiqua" w:cs="Book Antiqua"/>
          <w:color w:val="000000"/>
          <w:vertAlign w:val="superscript"/>
        </w:rPr>
        <w:t>3]</w:t>
      </w:r>
      <w:r w:rsidRPr="00D40ECC">
        <w:rPr>
          <w:rFonts w:ascii="Book Antiqua" w:eastAsia="Book Antiqua" w:hAnsi="Book Antiqua" w:cs="Book Antiqua"/>
          <w:color w:val="000000"/>
        </w:rPr>
        <w:t xml:space="preserve">. THC </w:t>
      </w:r>
      <w:r w:rsidR="00DD6267" w:rsidRPr="00D40ECC">
        <w:rPr>
          <w:rFonts w:ascii="Book Antiqua" w:eastAsia="Book Antiqua" w:hAnsi="Book Antiqua" w:cs="Book Antiqua"/>
          <w:color w:val="000000"/>
        </w:rPr>
        <w:t xml:space="preserve">preferentially </w:t>
      </w:r>
      <w:r w:rsidRPr="00D40ECC">
        <w:rPr>
          <w:rFonts w:ascii="Book Antiqua" w:eastAsia="Book Antiqua" w:hAnsi="Book Antiqua" w:cs="Book Antiqua"/>
          <w:color w:val="000000"/>
        </w:rPr>
        <w:t xml:space="preserve">activates the CB1 pathway, whereas CBD triggers the dominant activation of </w:t>
      </w:r>
      <w:proofErr w:type="gramStart"/>
      <w:r w:rsidRPr="00D40ECC">
        <w:rPr>
          <w:rFonts w:ascii="Book Antiqua" w:eastAsia="Book Antiqua" w:hAnsi="Book Antiqua" w:cs="Book Antiqua"/>
          <w:color w:val="000000"/>
        </w:rPr>
        <w:t>CB2</w:t>
      </w:r>
      <w:r w:rsidR="003314F1" w:rsidRPr="00D40ECC">
        <w:rPr>
          <w:rFonts w:ascii="Book Antiqua" w:eastAsia="Book Antiqua" w:hAnsi="Book Antiqua" w:cs="Book Antiqua"/>
          <w:color w:val="000000"/>
          <w:vertAlign w:val="superscript"/>
        </w:rPr>
        <w:t>[</w:t>
      </w:r>
      <w:proofErr w:type="gramEnd"/>
      <w:r w:rsidR="003314F1" w:rsidRPr="00D40ECC">
        <w:rPr>
          <w:rFonts w:ascii="Book Antiqua" w:eastAsia="Book Antiqua" w:hAnsi="Book Antiqua" w:cs="Book Antiqua"/>
          <w:color w:val="000000"/>
          <w:vertAlign w:val="superscript"/>
        </w:rPr>
        <w:t>3]</w:t>
      </w:r>
      <w:r w:rsidRPr="00D40ECC">
        <w:rPr>
          <w:rFonts w:ascii="Book Antiqua" w:eastAsia="Book Antiqua" w:hAnsi="Book Antiqua" w:cs="Book Antiqua"/>
          <w:color w:val="000000"/>
        </w:rPr>
        <w:t xml:space="preserve">. The clinical impact of receptor expression and the ratio of activated CB1 and CB2 are unclear among patients with NAFLD. Given the previous evidence of opposite hepatic effects of CB1 and CB2, it is conceivable to suspect the overall cannabinoid effects from both receptors. Ascites is the only liver-related complication that was significantly different between cannabis and non-cannabis groups out of the complications tested in our study, </w:t>
      </w:r>
      <w:r w:rsidR="00012746"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OR </w:t>
      </w:r>
      <w:r w:rsidR="00DD6267" w:rsidRPr="00D40ECC">
        <w:rPr>
          <w:rFonts w:ascii="Book Antiqua" w:eastAsia="Book Antiqua" w:hAnsi="Book Antiqua" w:cs="Book Antiqua"/>
          <w:color w:val="000000"/>
        </w:rPr>
        <w:t>1.25</w:t>
      </w:r>
      <w:r w:rsidR="00C51116"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 95%CI</w:t>
      </w:r>
      <w:r w:rsidR="003314F1" w:rsidRPr="00D40ECC">
        <w:rPr>
          <w:rFonts w:ascii="Book Antiqua" w:eastAsia="Book Antiqua" w:hAnsi="Book Antiqua" w:cs="Book Antiqua"/>
          <w:color w:val="000000"/>
        </w:rPr>
        <w:t>:</w:t>
      </w:r>
      <w:r w:rsidR="00DD6267" w:rsidRPr="00D40ECC">
        <w:rPr>
          <w:rFonts w:ascii="Book Antiqua" w:eastAsia="Book Antiqua" w:hAnsi="Book Antiqua" w:cs="Book Antiqua"/>
          <w:color w:val="000000"/>
        </w:rPr>
        <w:t xml:space="preserve"> 1.02-1.51</w:t>
      </w:r>
      <w:r w:rsidRPr="00D40ECC">
        <w:rPr>
          <w:rFonts w:ascii="Book Antiqua" w:eastAsia="Book Antiqua" w:hAnsi="Book Antiqua" w:cs="Book Antiqua"/>
          <w:color w:val="000000"/>
        </w:rPr>
        <w:t xml:space="preserve">). Therefore, a possible explanation for higher prevalence of ascites is the dominant hepatic effects of activated CB1 compared to CB2. </w:t>
      </w:r>
    </w:p>
    <w:p w14:paraId="730AF483" w14:textId="0027E4F5" w:rsidR="00A77B3E" w:rsidRPr="00D40ECC" w:rsidRDefault="00292C3F" w:rsidP="005638C6">
      <w:pPr>
        <w:spacing w:line="360" w:lineRule="auto"/>
        <w:ind w:firstLineChars="200" w:firstLine="480"/>
        <w:jc w:val="both"/>
        <w:rPr>
          <w:rFonts w:ascii="Book Antiqua" w:eastAsia="Book Antiqua" w:hAnsi="Book Antiqua" w:cs="Book Antiqua"/>
          <w:color w:val="000000"/>
        </w:rPr>
      </w:pPr>
      <w:r w:rsidRPr="00D40ECC">
        <w:rPr>
          <w:rFonts w:ascii="Book Antiqua" w:eastAsia="Book Antiqua" w:hAnsi="Book Antiqua" w:cs="Book Antiqua"/>
          <w:color w:val="000000"/>
        </w:rPr>
        <w:lastRenderedPageBreak/>
        <w:t>Because marijuana use remains illegal in many states in the U</w:t>
      </w:r>
      <w:r w:rsidR="003314F1" w:rsidRPr="00D40ECC">
        <w:rPr>
          <w:rFonts w:ascii="Book Antiqua" w:eastAsia="Book Antiqua" w:hAnsi="Book Antiqua" w:cs="Book Antiqua"/>
          <w:color w:val="000000"/>
        </w:rPr>
        <w:t>nited States</w:t>
      </w:r>
      <w:r w:rsidRPr="00D40ECC">
        <w:rPr>
          <w:rFonts w:ascii="Book Antiqua" w:eastAsia="Book Antiqua" w:hAnsi="Book Antiqua" w:cs="Book Antiqua"/>
          <w:color w:val="000000"/>
        </w:rPr>
        <w:t xml:space="preserve">, most marijuana consumed is often not produced under a controlled setting. Therefore, marijuana varies in its contents and has a risk of containing other chemical contaminants, and it also varies in the amounts of active </w:t>
      </w:r>
      <w:proofErr w:type="gramStart"/>
      <w:r w:rsidRPr="00D40ECC">
        <w:rPr>
          <w:rFonts w:ascii="Book Antiqua" w:eastAsia="Book Antiqua" w:hAnsi="Book Antiqua" w:cs="Book Antiqua"/>
          <w:color w:val="000000"/>
        </w:rPr>
        <w:t>cannabinoids</w:t>
      </w:r>
      <w:r w:rsidR="003314F1" w:rsidRPr="00D40ECC">
        <w:rPr>
          <w:rFonts w:ascii="Book Antiqua" w:eastAsia="Book Antiqua" w:hAnsi="Book Antiqua" w:cs="Book Antiqua"/>
          <w:color w:val="000000"/>
          <w:vertAlign w:val="superscript"/>
        </w:rPr>
        <w:t>[</w:t>
      </w:r>
      <w:proofErr w:type="gramEnd"/>
      <w:r w:rsidR="003314F1" w:rsidRPr="00D40ECC">
        <w:rPr>
          <w:rFonts w:ascii="Book Antiqua" w:eastAsia="Book Antiqua" w:hAnsi="Book Antiqua" w:cs="Book Antiqua"/>
          <w:color w:val="000000"/>
          <w:vertAlign w:val="superscript"/>
        </w:rPr>
        <w:t>23]</w:t>
      </w:r>
      <w:r w:rsidRPr="00D40ECC">
        <w:rPr>
          <w:rFonts w:ascii="Book Antiqua" w:eastAsia="Book Antiqua" w:hAnsi="Book Antiqua" w:cs="Book Antiqua"/>
          <w:color w:val="000000"/>
        </w:rPr>
        <w:t xml:space="preserve">. Different modes of administration along with dynamic pharmacokinetic processes of cannabinoids lead to different </w:t>
      </w:r>
      <w:proofErr w:type="spellStart"/>
      <w:r w:rsidRPr="00D40ECC">
        <w:rPr>
          <w:rFonts w:ascii="Book Antiqua" w:eastAsia="Book Antiqua" w:hAnsi="Book Antiqua" w:cs="Book Antiqua"/>
          <w:color w:val="000000"/>
        </w:rPr>
        <w:t>bioavailabilities</w:t>
      </w:r>
      <w:proofErr w:type="spellEnd"/>
      <w:r w:rsidRPr="00D40ECC">
        <w:rPr>
          <w:rFonts w:ascii="Book Antiqua" w:eastAsia="Book Antiqua" w:hAnsi="Book Antiqua" w:cs="Book Antiqua"/>
          <w:color w:val="000000"/>
        </w:rPr>
        <w:t xml:space="preserve"> of active cannabinoids ingested. The most common administration route is smoking through cigarettes, pipes, or water </w:t>
      </w:r>
      <w:proofErr w:type="gramStart"/>
      <w:r w:rsidRPr="00D40ECC">
        <w:rPr>
          <w:rFonts w:ascii="Book Antiqua" w:eastAsia="Book Antiqua" w:hAnsi="Book Antiqua" w:cs="Book Antiqua"/>
          <w:color w:val="000000"/>
        </w:rPr>
        <w:t>pipes</w:t>
      </w:r>
      <w:r w:rsidR="003314F1" w:rsidRPr="00D40ECC">
        <w:rPr>
          <w:rFonts w:ascii="Book Antiqua" w:eastAsia="Book Antiqua" w:hAnsi="Book Antiqua" w:cs="Book Antiqua"/>
          <w:color w:val="000000"/>
          <w:vertAlign w:val="superscript"/>
        </w:rPr>
        <w:t>[</w:t>
      </w:r>
      <w:proofErr w:type="gramEnd"/>
      <w:r w:rsidR="003314F1" w:rsidRPr="00D40ECC">
        <w:rPr>
          <w:rFonts w:ascii="Book Antiqua" w:eastAsia="Book Antiqua" w:hAnsi="Book Antiqua" w:cs="Book Antiqua"/>
          <w:color w:val="000000"/>
          <w:vertAlign w:val="superscript"/>
        </w:rPr>
        <w:t>24]</w:t>
      </w:r>
      <w:r w:rsidRPr="00D40ECC">
        <w:rPr>
          <w:rFonts w:ascii="Book Antiqua" w:eastAsia="Book Antiqua" w:hAnsi="Book Antiqua" w:cs="Book Antiqua"/>
          <w:color w:val="000000"/>
        </w:rPr>
        <w:t xml:space="preserve">. Smoking is the principal route of cannabis administration as it provides a rapid and efficient delivery to the brain, and the ability to titrate dose to the desired </w:t>
      </w:r>
      <w:proofErr w:type="gramStart"/>
      <w:r w:rsidRPr="00D40ECC">
        <w:rPr>
          <w:rFonts w:ascii="Book Antiqua" w:eastAsia="Book Antiqua" w:hAnsi="Book Antiqua" w:cs="Book Antiqua"/>
          <w:color w:val="000000"/>
        </w:rPr>
        <w:t>effect</w:t>
      </w:r>
      <w:r w:rsidR="003314F1" w:rsidRPr="00D40ECC">
        <w:rPr>
          <w:rFonts w:ascii="Book Antiqua" w:eastAsia="Book Antiqua" w:hAnsi="Book Antiqua" w:cs="Book Antiqua"/>
          <w:color w:val="000000"/>
          <w:vertAlign w:val="superscript"/>
        </w:rPr>
        <w:t>[</w:t>
      </w:r>
      <w:proofErr w:type="gramEnd"/>
      <w:r w:rsidR="003314F1" w:rsidRPr="00D40ECC">
        <w:rPr>
          <w:rFonts w:ascii="Book Antiqua" w:eastAsia="Book Antiqua" w:hAnsi="Book Antiqua" w:cs="Book Antiqua"/>
          <w:color w:val="000000"/>
          <w:vertAlign w:val="superscript"/>
        </w:rPr>
        <w:t>25]</w:t>
      </w:r>
      <w:r w:rsidRPr="00D40ECC">
        <w:rPr>
          <w:rFonts w:ascii="Book Antiqua" w:eastAsia="Book Antiqua" w:hAnsi="Book Antiqua" w:cs="Book Antiqua"/>
          <w:color w:val="000000"/>
        </w:rPr>
        <w:t>. The different inhalation methods lead to inconsistent delivery of cannabinoid</w:t>
      </w:r>
      <w:r w:rsidR="00050A8E" w:rsidRPr="00D40ECC">
        <w:rPr>
          <w:rFonts w:ascii="Book Antiqua" w:eastAsia="Book Antiqua" w:hAnsi="Book Antiqua" w:cs="Book Antiqua"/>
          <w:color w:val="000000"/>
        </w:rPr>
        <w:t>s</w:t>
      </w:r>
      <w:r w:rsidRPr="00D40ECC">
        <w:rPr>
          <w:rFonts w:ascii="Book Antiqua" w:eastAsia="Book Antiqua" w:hAnsi="Book Antiqua" w:cs="Book Antiqua"/>
          <w:color w:val="000000"/>
        </w:rPr>
        <w:t xml:space="preserve"> in the body, thus making control of the dose of active cannabinoids </w:t>
      </w:r>
      <w:proofErr w:type="gramStart"/>
      <w:r w:rsidRPr="00D40ECC">
        <w:rPr>
          <w:rFonts w:ascii="Book Antiqua" w:eastAsia="Book Antiqua" w:hAnsi="Book Antiqua" w:cs="Book Antiqua"/>
          <w:color w:val="000000"/>
        </w:rPr>
        <w:t>difficult</w:t>
      </w:r>
      <w:r w:rsidR="003314F1" w:rsidRPr="00D40ECC">
        <w:rPr>
          <w:rFonts w:ascii="Book Antiqua" w:eastAsia="Book Antiqua" w:hAnsi="Book Antiqua" w:cs="Book Antiqua"/>
          <w:color w:val="000000"/>
          <w:vertAlign w:val="superscript"/>
        </w:rPr>
        <w:t>[</w:t>
      </w:r>
      <w:proofErr w:type="gramEnd"/>
      <w:r w:rsidR="003314F1" w:rsidRPr="00D40ECC">
        <w:rPr>
          <w:rFonts w:ascii="Book Antiqua" w:eastAsia="Book Antiqua" w:hAnsi="Book Antiqua" w:cs="Book Antiqua"/>
          <w:color w:val="000000"/>
          <w:vertAlign w:val="superscript"/>
        </w:rPr>
        <w:t>23]</w:t>
      </w:r>
      <w:r w:rsidRPr="00D40ECC">
        <w:rPr>
          <w:rFonts w:ascii="Book Antiqua" w:eastAsia="Book Antiqua" w:hAnsi="Book Antiqua" w:cs="Book Antiqua"/>
          <w:color w:val="000000"/>
        </w:rPr>
        <w:t xml:space="preserve">. Oral administration of cannabis involves </w:t>
      </w:r>
      <w:r w:rsidR="00050A8E" w:rsidRPr="00D40ECC">
        <w:rPr>
          <w:rFonts w:ascii="Book Antiqua" w:eastAsia="Book Antiqua" w:hAnsi="Book Antiqua" w:cs="Book Antiqua"/>
          <w:color w:val="000000"/>
        </w:rPr>
        <w:t xml:space="preserve">a </w:t>
      </w:r>
      <w:r w:rsidRPr="00D40ECC">
        <w:rPr>
          <w:rFonts w:ascii="Book Antiqua" w:eastAsia="Book Antiqua" w:hAnsi="Book Antiqua" w:cs="Book Antiqua"/>
          <w:color w:val="000000"/>
        </w:rPr>
        <w:t xml:space="preserve">slower absorption, and therefore it has </w:t>
      </w:r>
      <w:r w:rsidR="00050A8E" w:rsidRPr="00D40ECC">
        <w:rPr>
          <w:rFonts w:ascii="Book Antiqua" w:eastAsia="Book Antiqua" w:hAnsi="Book Antiqua" w:cs="Book Antiqua"/>
          <w:color w:val="000000"/>
        </w:rPr>
        <w:t>a s</w:t>
      </w:r>
      <w:r w:rsidRPr="00D40ECC">
        <w:rPr>
          <w:rFonts w:ascii="Book Antiqua" w:eastAsia="Book Antiqua" w:hAnsi="Book Antiqua" w:cs="Book Antiqua"/>
          <w:color w:val="000000"/>
        </w:rPr>
        <w:t>lower, more-delayed peak of THC, one of the primary psychoactive component</w:t>
      </w:r>
      <w:r w:rsidR="00050A8E" w:rsidRPr="00D40ECC">
        <w:rPr>
          <w:rFonts w:ascii="Book Antiqua" w:eastAsia="Book Antiqua" w:hAnsi="Book Antiqua" w:cs="Book Antiqua"/>
          <w:color w:val="000000"/>
        </w:rPr>
        <w:t>s</w:t>
      </w:r>
      <w:r w:rsidRPr="00D40ECC">
        <w:rPr>
          <w:rFonts w:ascii="Book Antiqua" w:eastAsia="Book Antiqua" w:hAnsi="Book Antiqua" w:cs="Book Antiqua"/>
          <w:color w:val="000000"/>
        </w:rPr>
        <w:t xml:space="preserve"> of </w:t>
      </w:r>
      <w:proofErr w:type="gramStart"/>
      <w:r w:rsidRPr="00D40ECC">
        <w:rPr>
          <w:rFonts w:ascii="Book Antiqua" w:eastAsia="Book Antiqua" w:hAnsi="Book Antiqua" w:cs="Book Antiqua"/>
          <w:color w:val="000000"/>
        </w:rPr>
        <w:t>cannabis</w:t>
      </w:r>
      <w:r w:rsidR="003314F1" w:rsidRPr="00D40ECC">
        <w:rPr>
          <w:rFonts w:ascii="Book Antiqua" w:eastAsia="Book Antiqua" w:hAnsi="Book Antiqua" w:cs="Book Antiqua"/>
          <w:color w:val="000000"/>
          <w:vertAlign w:val="superscript"/>
        </w:rPr>
        <w:t>[</w:t>
      </w:r>
      <w:proofErr w:type="gramEnd"/>
      <w:r w:rsidR="003314F1" w:rsidRPr="00D40ECC">
        <w:rPr>
          <w:rFonts w:ascii="Book Antiqua" w:eastAsia="Book Antiqua" w:hAnsi="Book Antiqua" w:cs="Book Antiqua"/>
          <w:color w:val="000000"/>
          <w:vertAlign w:val="superscript"/>
        </w:rPr>
        <w:t>25]</w:t>
      </w:r>
      <w:r w:rsidRPr="00D40ECC">
        <w:rPr>
          <w:rFonts w:ascii="Book Antiqua" w:eastAsia="Book Antiqua" w:hAnsi="Book Antiqua" w:cs="Book Antiqua"/>
          <w:color w:val="000000"/>
        </w:rPr>
        <w:t xml:space="preserve">. Wall </w:t>
      </w:r>
      <w:r w:rsidRPr="00D40ECC">
        <w:rPr>
          <w:rFonts w:ascii="Book Antiqua" w:eastAsia="Book Antiqua" w:hAnsi="Book Antiqua" w:cs="Book Antiqua"/>
          <w:i/>
          <w:iCs/>
          <w:color w:val="000000"/>
        </w:rPr>
        <w:t xml:space="preserve">et </w:t>
      </w:r>
      <w:proofErr w:type="gramStart"/>
      <w:r w:rsidRPr="00D40ECC">
        <w:rPr>
          <w:rFonts w:ascii="Book Antiqua" w:eastAsia="Book Antiqua" w:hAnsi="Book Antiqua" w:cs="Book Antiqua"/>
          <w:i/>
          <w:iCs/>
          <w:color w:val="000000"/>
        </w:rPr>
        <w:t>al</w:t>
      </w:r>
      <w:r w:rsidR="003314F1" w:rsidRPr="00D40ECC">
        <w:rPr>
          <w:rFonts w:ascii="Book Antiqua" w:eastAsia="Book Antiqua" w:hAnsi="Book Antiqua" w:cs="Book Antiqua"/>
          <w:color w:val="000000"/>
          <w:vertAlign w:val="superscript"/>
        </w:rPr>
        <w:t>[</w:t>
      </w:r>
      <w:proofErr w:type="gramEnd"/>
      <w:r w:rsidR="003314F1" w:rsidRPr="00D40ECC">
        <w:rPr>
          <w:rFonts w:ascii="Book Antiqua" w:eastAsia="Book Antiqua" w:hAnsi="Book Antiqua" w:cs="Book Antiqua"/>
          <w:color w:val="000000"/>
          <w:vertAlign w:val="superscript"/>
        </w:rPr>
        <w:t>26]</w:t>
      </w:r>
      <w:r w:rsidRPr="00D40ECC">
        <w:rPr>
          <w:rFonts w:ascii="Book Antiqua" w:eastAsia="Book Antiqua" w:hAnsi="Book Antiqua" w:cs="Book Antiqua"/>
          <w:color w:val="000000"/>
        </w:rPr>
        <w:t xml:space="preserve"> reported oral THC bioavailability as 10</w:t>
      </w:r>
      <w:r w:rsidR="003314F1"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-20%. Therefore, many cannabis users prefer smoking due to a quick onset of effects, but smoking is generally not recommended for therapeutic </w:t>
      </w:r>
      <w:proofErr w:type="gramStart"/>
      <w:r w:rsidRPr="00D40ECC">
        <w:rPr>
          <w:rFonts w:ascii="Book Antiqua" w:eastAsia="Book Antiqua" w:hAnsi="Book Antiqua" w:cs="Book Antiqua"/>
          <w:color w:val="000000"/>
        </w:rPr>
        <w:t>use</w:t>
      </w:r>
      <w:r w:rsidR="003314F1" w:rsidRPr="00D40ECC">
        <w:rPr>
          <w:rFonts w:ascii="Book Antiqua" w:eastAsia="Book Antiqua" w:hAnsi="Book Antiqua" w:cs="Book Antiqua"/>
          <w:color w:val="000000"/>
          <w:vertAlign w:val="superscript"/>
        </w:rPr>
        <w:t>[</w:t>
      </w:r>
      <w:proofErr w:type="gramEnd"/>
      <w:r w:rsidR="003314F1" w:rsidRPr="00D40ECC">
        <w:rPr>
          <w:rFonts w:ascii="Book Antiqua" w:eastAsia="Book Antiqua" w:hAnsi="Book Antiqua" w:cs="Book Antiqua"/>
          <w:color w:val="000000"/>
          <w:vertAlign w:val="superscript"/>
        </w:rPr>
        <w:t>25]</w:t>
      </w:r>
      <w:r w:rsidRPr="00D40ECC">
        <w:rPr>
          <w:rFonts w:ascii="Book Antiqua" w:eastAsia="Book Antiqua" w:hAnsi="Book Antiqua" w:cs="Book Antiqua"/>
          <w:color w:val="000000"/>
        </w:rPr>
        <w:t xml:space="preserve">. Unfortunately, the mode of cannabis use is not systematically recorded in the </w:t>
      </w:r>
      <w:r w:rsidR="00D6388C" w:rsidRPr="00D40ECC">
        <w:rPr>
          <w:rFonts w:ascii="Book Antiqua" w:eastAsia="Book Antiqua" w:hAnsi="Book Antiqua" w:cs="Book Antiqua"/>
          <w:color w:val="000000"/>
        </w:rPr>
        <w:t>NIS</w:t>
      </w:r>
      <w:r w:rsidRPr="00D40ECC">
        <w:rPr>
          <w:rFonts w:ascii="Book Antiqua" w:eastAsia="Book Antiqua" w:hAnsi="Book Antiqua" w:cs="Book Antiqua"/>
          <w:color w:val="000000"/>
        </w:rPr>
        <w:t xml:space="preserve">, and our retrospective study would </w:t>
      </w:r>
      <w:r w:rsidR="00050A8E" w:rsidRPr="00D40ECC">
        <w:rPr>
          <w:rFonts w:ascii="Book Antiqua" w:eastAsia="Book Antiqua" w:hAnsi="Book Antiqua" w:cs="Book Antiqua"/>
          <w:color w:val="000000"/>
        </w:rPr>
        <w:t xml:space="preserve">be </w:t>
      </w:r>
      <w:r w:rsidRPr="00D40ECC">
        <w:rPr>
          <w:rFonts w:ascii="Book Antiqua" w:eastAsia="Book Antiqua" w:hAnsi="Book Antiqua" w:cs="Book Antiqua"/>
          <w:color w:val="000000"/>
        </w:rPr>
        <w:t>unlikely to reliably capture mode data to compare different modes in the cannabis group. A large prospective</w:t>
      </w:r>
      <w:r w:rsidR="00050A8E" w:rsidRPr="00D40ECC">
        <w:rPr>
          <w:rFonts w:ascii="Book Antiqua" w:eastAsia="Book Antiqua" w:hAnsi="Book Antiqua" w:cs="Book Antiqua"/>
          <w:color w:val="000000"/>
        </w:rPr>
        <w:t xml:space="preserve"> study</w:t>
      </w:r>
      <w:r w:rsidRPr="00D40ECC">
        <w:rPr>
          <w:rFonts w:ascii="Book Antiqua" w:eastAsia="Book Antiqua" w:hAnsi="Book Antiqua" w:cs="Book Antiqua"/>
          <w:color w:val="000000"/>
        </w:rPr>
        <w:t xml:space="preserve"> in which mode and dose of cannabis would be ascertained and monitored would be of interest to study the effects of dose and mode on the clinical outcomes. </w:t>
      </w:r>
    </w:p>
    <w:p w14:paraId="2C5DCC57" w14:textId="35B8606C" w:rsidR="00292C3F" w:rsidRPr="00D40ECC" w:rsidRDefault="00292C3F" w:rsidP="005638C6">
      <w:pPr>
        <w:spacing w:line="360" w:lineRule="auto"/>
        <w:ind w:firstLineChars="200" w:firstLine="480"/>
        <w:jc w:val="both"/>
        <w:rPr>
          <w:rFonts w:ascii="Book Antiqua" w:hAnsi="Book Antiqua"/>
        </w:rPr>
      </w:pPr>
      <w:r w:rsidRPr="00D40ECC">
        <w:rPr>
          <w:rFonts w:ascii="Book Antiqua" w:eastAsia="Calibri" w:hAnsi="Book Antiqua" w:cs="Calibri"/>
        </w:rPr>
        <w:t>The patients who used cannabis had higher prevalence of ascites compared to non-cannabis group (OR</w:t>
      </w:r>
      <w:r w:rsidR="00D469B1" w:rsidRPr="00D40ECC">
        <w:rPr>
          <w:rFonts w:ascii="Book Antiqua" w:eastAsia="Calibri" w:hAnsi="Book Antiqua" w:cs="Calibri"/>
        </w:rPr>
        <w:t xml:space="preserve"> </w:t>
      </w:r>
      <w:r w:rsidR="00DD6267" w:rsidRPr="00D40ECC">
        <w:rPr>
          <w:rFonts w:ascii="Book Antiqua" w:eastAsia="Calibri" w:hAnsi="Book Antiqua" w:cs="Calibri"/>
        </w:rPr>
        <w:t>1.25</w:t>
      </w:r>
      <w:r w:rsidR="00C51116" w:rsidRPr="00D40ECC">
        <w:rPr>
          <w:rFonts w:ascii="Book Antiqua" w:eastAsia="Calibri" w:hAnsi="Book Antiqua" w:cs="Calibri"/>
        </w:rPr>
        <w:t>;</w:t>
      </w:r>
      <w:r w:rsidRPr="00D40ECC">
        <w:rPr>
          <w:rFonts w:ascii="Book Antiqua" w:eastAsia="Calibri" w:hAnsi="Book Antiqua" w:cs="Calibri"/>
        </w:rPr>
        <w:t xml:space="preserve"> 95%CI</w:t>
      </w:r>
      <w:r w:rsidR="00D6388C" w:rsidRPr="00D40ECC">
        <w:rPr>
          <w:rFonts w:ascii="Book Antiqua" w:eastAsia="宋体" w:hAnsi="Book Antiqua" w:cs="宋体"/>
          <w:lang w:eastAsia="zh-CN"/>
        </w:rPr>
        <w:t>:</w:t>
      </w:r>
      <w:r w:rsidR="008E18F6" w:rsidRPr="00D40ECC">
        <w:rPr>
          <w:rFonts w:ascii="Book Antiqua" w:eastAsia="宋体" w:hAnsi="Book Antiqua" w:cs="宋体"/>
          <w:lang w:eastAsia="zh-CN"/>
        </w:rPr>
        <w:t xml:space="preserve"> </w:t>
      </w:r>
      <w:r w:rsidR="00DD6267" w:rsidRPr="00D40ECC">
        <w:rPr>
          <w:rFonts w:ascii="Book Antiqua" w:eastAsia="宋体" w:hAnsi="Book Antiqua" w:cs="宋体"/>
          <w:lang w:eastAsia="zh-CN"/>
        </w:rPr>
        <w:t>1.02</w:t>
      </w:r>
      <w:r w:rsidRPr="00D40ECC">
        <w:rPr>
          <w:rFonts w:ascii="Book Antiqua" w:eastAsia="Calibri" w:hAnsi="Book Antiqua" w:cs="Calibri"/>
        </w:rPr>
        <w:t>-1.51). Possible explanations for this finding can be related to 1) hypoalbuminemia due to the toxicity of cannabis use or 2) lower body mass, which is a potential indicator for inadequate nutritional status. Hypoalbuminemia was described as a spectrum of toxic reactions from intravenous</w:t>
      </w:r>
      <w:r w:rsidRPr="00D40ECC">
        <w:rPr>
          <w:rFonts w:ascii="Book Antiqua" w:eastAsia="Calibri" w:hAnsi="Book Antiqua" w:cs="Calibri"/>
          <w:highlight w:val="yellow"/>
        </w:rPr>
        <w:t xml:space="preserve"> </w:t>
      </w:r>
      <w:r w:rsidRPr="00D40ECC">
        <w:rPr>
          <w:rFonts w:ascii="Book Antiqua" w:eastAsia="Calibri" w:hAnsi="Book Antiqua" w:cs="Calibri"/>
        </w:rPr>
        <w:t xml:space="preserve">cannabis use along with fulminant gastroenteritis, toxic hepatitis, acute renal failure, electrolyte disturbances, leukocytosis, anemia, and relative thrombocytopenia from a study of 4 cases of intravenous cannabis use by Payne </w:t>
      </w:r>
      <w:r w:rsidRPr="00D40ECC">
        <w:rPr>
          <w:rFonts w:ascii="Book Antiqua" w:eastAsia="Calibri" w:hAnsi="Book Antiqua" w:cs="Calibri"/>
          <w:i/>
          <w:iCs/>
        </w:rPr>
        <w:t xml:space="preserve">et </w:t>
      </w:r>
      <w:proofErr w:type="gramStart"/>
      <w:r w:rsidRPr="00D40ECC">
        <w:rPr>
          <w:rFonts w:ascii="Book Antiqua" w:eastAsia="Calibri" w:hAnsi="Book Antiqua" w:cs="Calibri"/>
          <w:i/>
          <w:iCs/>
        </w:rPr>
        <w:t>al</w:t>
      </w:r>
      <w:r w:rsidR="00D6388C" w:rsidRPr="00D40ECC">
        <w:rPr>
          <w:rFonts w:ascii="Book Antiqua" w:eastAsia="Calibri" w:hAnsi="Book Antiqua" w:cs="Calibri"/>
          <w:vertAlign w:val="superscript"/>
        </w:rPr>
        <w:t>[</w:t>
      </w:r>
      <w:proofErr w:type="gramEnd"/>
      <w:r w:rsidR="005638C6" w:rsidRPr="00D40ECC">
        <w:rPr>
          <w:rFonts w:ascii="Book Antiqua" w:eastAsia="Calibri" w:hAnsi="Book Antiqua" w:cs="Calibri"/>
          <w:vertAlign w:val="superscript"/>
        </w:rPr>
        <w:t>27</w:t>
      </w:r>
      <w:r w:rsidR="00D6388C" w:rsidRPr="00D40ECC">
        <w:rPr>
          <w:rFonts w:ascii="Book Antiqua" w:eastAsia="Calibri" w:hAnsi="Book Antiqua" w:cs="Calibri"/>
          <w:vertAlign w:val="superscript"/>
        </w:rPr>
        <w:t>]</w:t>
      </w:r>
      <w:r w:rsidRPr="00D40ECC">
        <w:rPr>
          <w:rFonts w:ascii="Book Antiqua" w:eastAsia="Calibri" w:hAnsi="Book Antiqua" w:cs="Calibri"/>
        </w:rPr>
        <w:t xml:space="preserve"> in 1975. Serum albumin is </w:t>
      </w:r>
      <w:r w:rsidRPr="00D40ECC">
        <w:rPr>
          <w:rFonts w:ascii="Book Antiqua" w:eastAsia="Calibri" w:hAnsi="Book Antiqua" w:cs="Calibri"/>
        </w:rPr>
        <w:lastRenderedPageBreak/>
        <w:t xml:space="preserve">the most abundant plasma protein and therefore binding to albumin is a key determinant of the drug efficacy, distribution and possible toxicity of </w:t>
      </w:r>
      <w:proofErr w:type="gramStart"/>
      <w:r w:rsidRPr="00D40ECC">
        <w:rPr>
          <w:rFonts w:ascii="Book Antiqua" w:eastAsia="Calibri" w:hAnsi="Book Antiqua" w:cs="Calibri"/>
        </w:rPr>
        <w:t>cannabinoids</w:t>
      </w:r>
      <w:r w:rsidR="00D6388C" w:rsidRPr="00D40ECC">
        <w:rPr>
          <w:rFonts w:ascii="Book Antiqua" w:eastAsia="Calibri" w:hAnsi="Book Antiqua" w:cs="Calibri"/>
          <w:vertAlign w:val="superscript"/>
        </w:rPr>
        <w:t>[</w:t>
      </w:r>
      <w:proofErr w:type="gramEnd"/>
      <w:r w:rsidR="00D6388C" w:rsidRPr="00D40ECC">
        <w:rPr>
          <w:rFonts w:ascii="Book Antiqua" w:eastAsia="Calibri" w:hAnsi="Book Antiqua" w:cs="Calibri"/>
          <w:vertAlign w:val="superscript"/>
        </w:rPr>
        <w:t>28]</w:t>
      </w:r>
      <w:r w:rsidRPr="00D40ECC">
        <w:rPr>
          <w:rFonts w:ascii="Book Antiqua" w:eastAsia="Calibri" w:hAnsi="Book Antiqua" w:cs="Calibri"/>
        </w:rPr>
        <w:t xml:space="preserve">. The increase in plasma albumin may reduce the unbound fraction of cannabinoids, which further reduces the efficacy of the </w:t>
      </w:r>
      <w:proofErr w:type="gramStart"/>
      <w:r w:rsidRPr="00D40ECC">
        <w:rPr>
          <w:rFonts w:ascii="Book Antiqua" w:eastAsia="Calibri" w:hAnsi="Book Antiqua" w:cs="Calibri"/>
        </w:rPr>
        <w:t>drug</w:t>
      </w:r>
      <w:r w:rsidR="00D6388C" w:rsidRPr="00D40ECC">
        <w:rPr>
          <w:rFonts w:ascii="Book Antiqua" w:eastAsia="Calibri" w:hAnsi="Book Antiqua" w:cs="Calibri"/>
          <w:vertAlign w:val="superscript"/>
        </w:rPr>
        <w:t>[</w:t>
      </w:r>
      <w:proofErr w:type="gramEnd"/>
      <w:r w:rsidR="00D6388C" w:rsidRPr="00D40ECC">
        <w:rPr>
          <w:rFonts w:ascii="Book Antiqua" w:eastAsia="Calibri" w:hAnsi="Book Antiqua" w:cs="Calibri"/>
          <w:vertAlign w:val="superscript"/>
        </w:rPr>
        <w:t>28]</w:t>
      </w:r>
      <w:r w:rsidRPr="00D40ECC">
        <w:rPr>
          <w:rFonts w:ascii="Book Antiqua" w:eastAsia="Calibri" w:hAnsi="Book Antiqua" w:cs="Calibri"/>
        </w:rPr>
        <w:t>.</w:t>
      </w:r>
      <w:r w:rsidR="00034203" w:rsidRPr="00D40ECC">
        <w:rPr>
          <w:rFonts w:ascii="Book Antiqua" w:eastAsia="Calibri" w:hAnsi="Book Antiqua" w:cs="Calibri"/>
          <w:vertAlign w:val="superscript"/>
        </w:rPr>
        <w:t xml:space="preserve"> </w:t>
      </w:r>
      <w:r w:rsidRPr="00D40ECC">
        <w:rPr>
          <w:rFonts w:ascii="Book Antiqua" w:eastAsia="Calibri" w:hAnsi="Book Antiqua" w:cs="Calibri"/>
        </w:rPr>
        <w:t xml:space="preserve">Along the same reasoning, it is conceivable to hypothesize more cannabinoid toxicity in patients with hypoalbuminemia due to more unbound cannabinoids. A study by </w:t>
      </w:r>
      <w:proofErr w:type="spellStart"/>
      <w:r w:rsidR="00F30000" w:rsidRPr="00D40ECC">
        <w:rPr>
          <w:rFonts w:ascii="Book Antiqua" w:hAnsi="Book Antiqua"/>
        </w:rPr>
        <w:t>Blüml</w:t>
      </w:r>
      <w:proofErr w:type="spellEnd"/>
      <w:r w:rsidRPr="00D40ECC">
        <w:rPr>
          <w:rFonts w:ascii="Book Antiqua" w:eastAsia="Calibri" w:hAnsi="Book Antiqua" w:cs="Calibri"/>
        </w:rPr>
        <w:t xml:space="preserve"> </w:t>
      </w:r>
      <w:r w:rsidRPr="00D40ECC">
        <w:rPr>
          <w:rFonts w:ascii="Book Antiqua" w:eastAsia="Calibri" w:hAnsi="Book Antiqua" w:cs="Calibri"/>
          <w:i/>
          <w:iCs/>
        </w:rPr>
        <w:t xml:space="preserve">et </w:t>
      </w:r>
      <w:proofErr w:type="gramStart"/>
      <w:r w:rsidRPr="00D40ECC">
        <w:rPr>
          <w:rFonts w:ascii="Book Antiqua" w:eastAsia="Calibri" w:hAnsi="Book Antiqua" w:cs="Calibri"/>
          <w:i/>
          <w:iCs/>
        </w:rPr>
        <w:t>al</w:t>
      </w:r>
      <w:r w:rsidR="00AF0AF8" w:rsidRPr="00D40ECC">
        <w:rPr>
          <w:rFonts w:ascii="Book Antiqua" w:eastAsia="Calibri" w:hAnsi="Book Antiqua" w:cs="Calibri"/>
          <w:vertAlign w:val="superscript"/>
        </w:rPr>
        <w:t>[</w:t>
      </w:r>
      <w:proofErr w:type="gramEnd"/>
      <w:r w:rsidR="005638C6" w:rsidRPr="00D40ECC">
        <w:rPr>
          <w:rFonts w:ascii="Book Antiqua" w:eastAsia="Calibri" w:hAnsi="Book Antiqua" w:cs="Calibri"/>
          <w:vertAlign w:val="superscript"/>
        </w:rPr>
        <w:t>29</w:t>
      </w:r>
      <w:r w:rsidR="00AF0AF8" w:rsidRPr="00D40ECC">
        <w:rPr>
          <w:rFonts w:ascii="Book Antiqua" w:eastAsia="Calibri" w:hAnsi="Book Antiqua" w:cs="Calibri"/>
          <w:vertAlign w:val="superscript"/>
        </w:rPr>
        <w:t>]</w:t>
      </w:r>
      <w:r w:rsidRPr="00D40ECC">
        <w:rPr>
          <w:rFonts w:ascii="Book Antiqua" w:eastAsia="Calibri" w:hAnsi="Book Antiqua" w:cs="Calibri"/>
        </w:rPr>
        <w:t xml:space="preserve"> showed an inverse relationship between body mass index (BMI) and illicit drug use including cannabis use among young males, and therefore along with the toxicity of high-dose cannabis use, hypoalbuminemia from poor nutritional status may explain higher rate of ascites in cannabis users due to the low oncotic pressure from hypoalbuminemia. The forementioned explanation for hypoalbuminemia can partly explain the isolated finding of higher rates of ascites in cannabis users without higher rates of portal hypertension, varices and variceal bleeding and cirrhosis. Another explanation of such finding can be related to a lack of long-term follow-up. As the NIS is limited to hospitalized data, a spectrum of clinical presentations of decompensated cirrhosis such as varices and variceal bleeding and actual clinical diagnosis of cirrhosis</w:t>
      </w:r>
      <w:r w:rsidR="00DD6267" w:rsidRPr="00D40ECC">
        <w:rPr>
          <w:rFonts w:ascii="Book Antiqua" w:eastAsia="Calibri" w:hAnsi="Book Antiqua" w:cs="Calibri"/>
        </w:rPr>
        <w:t xml:space="preserve"> outside of hospital</w:t>
      </w:r>
      <w:r w:rsidRPr="00D40ECC">
        <w:rPr>
          <w:rFonts w:ascii="Book Antiqua" w:eastAsia="Calibri" w:hAnsi="Book Antiqua" w:cs="Calibri"/>
        </w:rPr>
        <w:t xml:space="preserve"> may not be captured in our study design. Further studies with a long-term follow-up investigating cannabis use in patients with NAFLD are warranted to further evaluate the rates of clinical manifestations of decompensated cirrhosis.</w:t>
      </w:r>
    </w:p>
    <w:p w14:paraId="5B77DA47" w14:textId="76A4457D" w:rsidR="00292C3F" w:rsidRPr="00D40ECC" w:rsidRDefault="00292C3F" w:rsidP="005638C6">
      <w:pPr>
        <w:spacing w:line="360" w:lineRule="auto"/>
        <w:ind w:firstLineChars="200" w:firstLine="480"/>
        <w:jc w:val="both"/>
        <w:rPr>
          <w:rFonts w:ascii="Book Antiqua" w:eastAsia="Calibri" w:hAnsi="Book Antiqua" w:cs="Calibri"/>
        </w:rPr>
      </w:pPr>
      <w:r w:rsidRPr="00D40ECC">
        <w:rPr>
          <w:rFonts w:ascii="Book Antiqua" w:eastAsia="Calibri" w:hAnsi="Book Antiqua" w:cs="Calibri"/>
        </w:rPr>
        <w:t>The patients with cannabis group had a higher rate of ascites compared to the non-cannabis group despite higher baseline rates of metabolic risks in non-cannabis group such as diabetes, hyperlipidemia, and obesity. This suggests that cannabis may not be a magic bullet for the management of NAFLD. In cannabis group, higher comorbidity index was an independent risk factor for ascites, and this is expected as older patients with more comorbidity are associated with worse prognosis in patients with chronic liver diseases. In non-cannabis group, age and higher comorbidity were again independent risk factors for ascites. However, strikingly obesity (</w:t>
      </w:r>
      <w:proofErr w:type="spellStart"/>
      <w:r w:rsidRPr="00D40ECC">
        <w:rPr>
          <w:rFonts w:ascii="Book Antiqua" w:eastAsia="Calibri" w:hAnsi="Book Antiqua" w:cs="Calibri"/>
        </w:rPr>
        <w:t>aOR</w:t>
      </w:r>
      <w:proofErr w:type="spellEnd"/>
      <w:r w:rsidRPr="00D40ECC">
        <w:rPr>
          <w:rFonts w:ascii="Book Antiqua" w:eastAsia="Calibri" w:hAnsi="Book Antiqua" w:cs="Calibri"/>
        </w:rPr>
        <w:t xml:space="preserve"> 0.61</w:t>
      </w:r>
      <w:r w:rsidR="005301F5" w:rsidRPr="00D40ECC">
        <w:rPr>
          <w:rFonts w:ascii="Book Antiqua" w:eastAsia="Calibri" w:hAnsi="Book Antiqua" w:cs="Calibri"/>
        </w:rPr>
        <w:t>;</w:t>
      </w:r>
      <w:r w:rsidRPr="00D40ECC">
        <w:rPr>
          <w:rFonts w:ascii="Book Antiqua" w:eastAsia="Calibri" w:hAnsi="Book Antiqua" w:cs="Calibri"/>
        </w:rPr>
        <w:t xml:space="preserve"> 95%CI</w:t>
      </w:r>
      <w:r w:rsidR="00186EFB" w:rsidRPr="00D40ECC">
        <w:rPr>
          <w:rFonts w:ascii="Book Antiqua" w:eastAsia="Calibri" w:hAnsi="Book Antiqua" w:cs="Calibri"/>
        </w:rPr>
        <w:t>:</w:t>
      </w:r>
      <w:r w:rsidRPr="00D40ECC">
        <w:rPr>
          <w:rFonts w:ascii="Book Antiqua" w:eastAsia="Calibri" w:hAnsi="Book Antiqua" w:cs="Calibri"/>
        </w:rPr>
        <w:t xml:space="preserve"> 0.46-0.81) and hyperlipidemia (</w:t>
      </w:r>
      <w:proofErr w:type="spellStart"/>
      <w:r w:rsidRPr="00D40ECC">
        <w:rPr>
          <w:rFonts w:ascii="Book Antiqua" w:eastAsia="Calibri" w:hAnsi="Book Antiqua" w:cs="Calibri"/>
        </w:rPr>
        <w:t>aOR</w:t>
      </w:r>
      <w:proofErr w:type="spellEnd"/>
      <w:r w:rsidRPr="00D40ECC">
        <w:rPr>
          <w:rFonts w:ascii="Book Antiqua" w:eastAsia="Calibri" w:hAnsi="Book Antiqua" w:cs="Calibri"/>
        </w:rPr>
        <w:t xml:space="preserve"> 0.59</w:t>
      </w:r>
      <w:r w:rsidR="00A37B78" w:rsidRPr="00D40ECC">
        <w:rPr>
          <w:rFonts w:ascii="Book Antiqua" w:eastAsia="Calibri" w:hAnsi="Book Antiqua" w:cs="Calibri"/>
        </w:rPr>
        <w:t>;</w:t>
      </w:r>
      <w:r w:rsidRPr="00D40ECC">
        <w:rPr>
          <w:rFonts w:ascii="Book Antiqua" w:eastAsia="Calibri" w:hAnsi="Book Antiqua" w:cs="Calibri"/>
        </w:rPr>
        <w:t xml:space="preserve"> 95%CI</w:t>
      </w:r>
      <w:r w:rsidR="00A37B78" w:rsidRPr="00D40ECC">
        <w:rPr>
          <w:rFonts w:ascii="Book Antiqua" w:eastAsia="Calibri" w:hAnsi="Book Antiqua" w:cs="Calibri"/>
        </w:rPr>
        <w:t>:</w:t>
      </w:r>
      <w:r w:rsidRPr="00D40ECC">
        <w:rPr>
          <w:rFonts w:ascii="Book Antiqua" w:eastAsia="Calibri" w:hAnsi="Book Antiqua" w:cs="Calibri"/>
        </w:rPr>
        <w:t xml:space="preserve"> 0.44-0.88) were independent protective factors against ascites in patients with NAFLD who did not use cannabis. A possible </w:t>
      </w:r>
      <w:r w:rsidRPr="00D40ECC">
        <w:rPr>
          <w:rFonts w:ascii="Book Antiqua" w:eastAsia="Calibri" w:hAnsi="Book Antiqua" w:cs="Calibri"/>
        </w:rPr>
        <w:lastRenderedPageBreak/>
        <w:t xml:space="preserve">explanation for this finding can be related to nutritional status in patients with ascites. Metabolic derangements such as obesity and insulin resistance predispose to </w:t>
      </w:r>
      <w:proofErr w:type="gramStart"/>
      <w:r w:rsidRPr="00D40ECC">
        <w:rPr>
          <w:rFonts w:ascii="Book Antiqua" w:eastAsia="Calibri" w:hAnsi="Book Antiqua" w:cs="Calibri"/>
        </w:rPr>
        <w:t>NAFLD</w:t>
      </w:r>
      <w:r w:rsidR="004869DA" w:rsidRPr="00D40ECC">
        <w:rPr>
          <w:rFonts w:ascii="Book Antiqua" w:eastAsia="Calibri" w:hAnsi="Book Antiqua" w:cs="Calibri"/>
          <w:vertAlign w:val="superscript"/>
        </w:rPr>
        <w:t>[</w:t>
      </w:r>
      <w:proofErr w:type="gramEnd"/>
      <w:r w:rsidR="005638C6" w:rsidRPr="00D40ECC">
        <w:rPr>
          <w:rFonts w:ascii="Book Antiqua" w:eastAsia="Calibri" w:hAnsi="Book Antiqua" w:cs="Calibri"/>
          <w:vertAlign w:val="superscript"/>
        </w:rPr>
        <w:t>30</w:t>
      </w:r>
      <w:r w:rsidR="004869DA" w:rsidRPr="00D40ECC">
        <w:rPr>
          <w:rFonts w:ascii="Book Antiqua" w:eastAsia="Calibri" w:hAnsi="Book Antiqua" w:cs="Calibri"/>
          <w:vertAlign w:val="superscript"/>
        </w:rPr>
        <w:t>]</w:t>
      </w:r>
      <w:r w:rsidRPr="00BA163B">
        <w:rPr>
          <w:rFonts w:ascii="Book Antiqua" w:eastAsia="Calibri" w:hAnsi="Book Antiqua" w:cs="Calibri"/>
        </w:rPr>
        <w:t xml:space="preserve">, </w:t>
      </w:r>
      <w:r w:rsidRPr="00D40ECC">
        <w:rPr>
          <w:rFonts w:ascii="Book Antiqua" w:eastAsia="Calibri" w:hAnsi="Book Antiqua" w:cs="Calibri"/>
        </w:rPr>
        <w:t xml:space="preserve">and therefore they are risk factors for development of NAFLD. </w:t>
      </w:r>
      <w:bookmarkStart w:id="1" w:name="_Hlk49263952"/>
      <w:r w:rsidRPr="00D40ECC">
        <w:rPr>
          <w:rFonts w:ascii="Book Antiqua" w:eastAsia="Calibri" w:hAnsi="Book Antiqua" w:cs="Calibri"/>
        </w:rPr>
        <w:t xml:space="preserve">However, at terminal stage of liver disease with evidence of decompensation such as ascites, the increased BMI and appropriate albumin levels can be protective against developing ascites. Previous studies showed that muscle wasting was worse in obese </w:t>
      </w:r>
      <w:proofErr w:type="gramStart"/>
      <w:r w:rsidRPr="00D40ECC">
        <w:rPr>
          <w:rFonts w:ascii="Book Antiqua" w:eastAsia="Calibri" w:hAnsi="Book Antiqua" w:cs="Calibri"/>
        </w:rPr>
        <w:t>patients</w:t>
      </w:r>
      <w:r w:rsidR="004869DA" w:rsidRPr="00D40ECC">
        <w:rPr>
          <w:rFonts w:ascii="Book Antiqua" w:eastAsia="Calibri" w:hAnsi="Book Antiqua" w:cs="Calibri"/>
          <w:vertAlign w:val="superscript"/>
        </w:rPr>
        <w:t>[</w:t>
      </w:r>
      <w:proofErr w:type="gramEnd"/>
      <w:r w:rsidR="005638C6" w:rsidRPr="00D40ECC">
        <w:rPr>
          <w:rFonts w:ascii="Book Antiqua" w:eastAsia="Calibri" w:hAnsi="Book Antiqua" w:cs="Calibri"/>
          <w:vertAlign w:val="superscript"/>
        </w:rPr>
        <w:t>31</w:t>
      </w:r>
      <w:r w:rsidR="004869DA" w:rsidRPr="00D40ECC">
        <w:rPr>
          <w:rFonts w:ascii="Book Antiqua" w:eastAsia="Calibri" w:hAnsi="Book Antiqua" w:cs="Calibri"/>
          <w:vertAlign w:val="superscript"/>
        </w:rPr>
        <w:t>]</w:t>
      </w:r>
      <w:r w:rsidRPr="00D40ECC">
        <w:rPr>
          <w:rFonts w:ascii="Book Antiqua" w:eastAsia="Calibri" w:hAnsi="Book Antiqua" w:cs="Calibri"/>
        </w:rPr>
        <w:t xml:space="preserve"> with cirrhosis, and these patients are at high risk for fat-and water-soluble vitamin depletion</w:t>
      </w:r>
      <w:r w:rsidR="004869DA" w:rsidRPr="00D40ECC">
        <w:rPr>
          <w:rFonts w:ascii="Book Antiqua" w:eastAsia="Calibri" w:hAnsi="Book Antiqua" w:cs="Calibri"/>
          <w:vertAlign w:val="superscript"/>
        </w:rPr>
        <w:t>[</w:t>
      </w:r>
      <w:r w:rsidR="005638C6" w:rsidRPr="00D40ECC">
        <w:rPr>
          <w:rFonts w:ascii="Book Antiqua" w:eastAsia="Calibri" w:hAnsi="Book Antiqua" w:cs="Calibri"/>
          <w:vertAlign w:val="superscript"/>
        </w:rPr>
        <w:t>32</w:t>
      </w:r>
      <w:r w:rsidR="004869DA" w:rsidRPr="00D40ECC">
        <w:rPr>
          <w:rFonts w:ascii="Book Antiqua" w:eastAsia="Calibri" w:hAnsi="Book Antiqua" w:cs="Calibri"/>
          <w:vertAlign w:val="superscript"/>
        </w:rPr>
        <w:t>]</w:t>
      </w:r>
      <w:r w:rsidRPr="00D40ECC">
        <w:rPr>
          <w:rFonts w:ascii="Book Antiqua" w:eastAsia="Calibri" w:hAnsi="Book Antiqua" w:cs="Calibri"/>
        </w:rPr>
        <w:t xml:space="preserve">. Therefore, our finding of the association between obesity and reduced prevalence of ascites is surprising. However, a study by Li </w:t>
      </w:r>
      <w:r w:rsidRPr="00D40ECC">
        <w:rPr>
          <w:rFonts w:ascii="Book Antiqua" w:eastAsia="Calibri" w:hAnsi="Book Antiqua" w:cs="Calibri"/>
          <w:i/>
          <w:iCs/>
        </w:rPr>
        <w:t xml:space="preserve">et </w:t>
      </w:r>
      <w:proofErr w:type="gramStart"/>
      <w:r w:rsidRPr="00D40ECC">
        <w:rPr>
          <w:rFonts w:ascii="Book Antiqua" w:eastAsia="Calibri" w:hAnsi="Book Antiqua" w:cs="Calibri"/>
          <w:i/>
          <w:iCs/>
        </w:rPr>
        <w:t>al</w:t>
      </w:r>
      <w:r w:rsidR="004869DA" w:rsidRPr="00D40ECC">
        <w:rPr>
          <w:rFonts w:ascii="Book Antiqua" w:eastAsia="Calibri" w:hAnsi="Book Antiqua" w:cs="Calibri"/>
          <w:vertAlign w:val="superscript"/>
        </w:rPr>
        <w:t>[</w:t>
      </w:r>
      <w:proofErr w:type="gramEnd"/>
      <w:r w:rsidR="005638C6" w:rsidRPr="00D40ECC">
        <w:rPr>
          <w:rFonts w:ascii="Book Antiqua" w:eastAsia="Calibri" w:hAnsi="Book Antiqua" w:cs="Calibri"/>
          <w:vertAlign w:val="superscript"/>
        </w:rPr>
        <w:t>33</w:t>
      </w:r>
      <w:r w:rsidR="004869DA" w:rsidRPr="00D40ECC">
        <w:rPr>
          <w:rFonts w:ascii="Book Antiqua" w:eastAsia="Calibri" w:hAnsi="Book Antiqua" w:cs="Calibri"/>
          <w:vertAlign w:val="superscript"/>
        </w:rPr>
        <w:t>]</w:t>
      </w:r>
      <w:r w:rsidRPr="00D40ECC">
        <w:rPr>
          <w:rFonts w:ascii="Book Antiqua" w:eastAsia="Calibri" w:hAnsi="Book Antiqua" w:cs="Calibri"/>
        </w:rPr>
        <w:t xml:space="preserve"> showed that patients with higher BMI had lower rates of liver-related mortality compared to lower BMI among patients with cirrhosis and hepatocellular carcinoma. We were not able to measure nutritional status in our study</w:t>
      </w:r>
      <w:r w:rsidR="00050A8E" w:rsidRPr="00D40ECC">
        <w:rPr>
          <w:rFonts w:ascii="Book Antiqua" w:eastAsia="Calibri" w:hAnsi="Book Antiqua" w:cs="Calibri"/>
        </w:rPr>
        <w:t>;</w:t>
      </w:r>
      <w:r w:rsidRPr="00D40ECC">
        <w:rPr>
          <w:rFonts w:ascii="Book Antiqua" w:eastAsia="Calibri" w:hAnsi="Book Antiqua" w:cs="Calibri"/>
        </w:rPr>
        <w:t xml:space="preserve"> therefore although obesity often co-exists with malnutrition, we can speculate that our study population with an obesity diagnosis may have better nutrition than those without obesity. </w:t>
      </w:r>
    </w:p>
    <w:bookmarkEnd w:id="1"/>
    <w:p w14:paraId="1FFDCC7B" w14:textId="507A6805" w:rsidR="00292C3F" w:rsidRPr="00D40ECC" w:rsidRDefault="00292C3F" w:rsidP="005638C6">
      <w:pPr>
        <w:spacing w:line="360" w:lineRule="auto"/>
        <w:ind w:firstLineChars="200" w:firstLine="480"/>
        <w:jc w:val="both"/>
        <w:rPr>
          <w:rFonts w:ascii="Book Antiqua" w:eastAsia="Calibri" w:hAnsi="Book Antiqua" w:cs="Calibri"/>
        </w:rPr>
      </w:pPr>
      <w:r w:rsidRPr="00D40ECC">
        <w:rPr>
          <w:rFonts w:ascii="Book Antiqua" w:eastAsia="Calibri" w:hAnsi="Book Antiqua" w:cs="Calibri"/>
        </w:rPr>
        <w:t xml:space="preserve">Patients with cirrhosis are at higher risk for poor tolerance of fasting, and therefore aggressive energy restriction is avoided in these </w:t>
      </w:r>
      <w:proofErr w:type="gramStart"/>
      <w:r w:rsidRPr="00D40ECC">
        <w:rPr>
          <w:rFonts w:ascii="Book Antiqua" w:eastAsia="Calibri" w:hAnsi="Book Antiqua" w:cs="Calibri"/>
        </w:rPr>
        <w:t>patients</w:t>
      </w:r>
      <w:r w:rsidR="00F30000" w:rsidRPr="00D40ECC">
        <w:rPr>
          <w:rFonts w:ascii="Book Antiqua" w:eastAsia="Calibri" w:hAnsi="Book Antiqua" w:cs="Calibri"/>
          <w:vertAlign w:val="superscript"/>
        </w:rPr>
        <w:t>[</w:t>
      </w:r>
      <w:proofErr w:type="gramEnd"/>
      <w:r w:rsidR="00F30000" w:rsidRPr="00D40ECC">
        <w:rPr>
          <w:rFonts w:ascii="Book Antiqua" w:eastAsia="Calibri" w:hAnsi="Book Antiqua" w:cs="Calibri"/>
          <w:vertAlign w:val="superscript"/>
        </w:rPr>
        <w:t>34]</w:t>
      </w:r>
      <w:r w:rsidRPr="00D40ECC">
        <w:rPr>
          <w:rFonts w:ascii="Book Antiqua" w:eastAsia="Calibri" w:hAnsi="Book Antiqua" w:cs="Calibri"/>
        </w:rPr>
        <w:t xml:space="preserve">. Due to the risk of sarcopenia with weight loss, patients who are advised to lose weight should be monitored for changes in body muscle mass and muscle </w:t>
      </w:r>
      <w:proofErr w:type="gramStart"/>
      <w:r w:rsidRPr="00D40ECC">
        <w:rPr>
          <w:rFonts w:ascii="Book Antiqua" w:eastAsia="Calibri" w:hAnsi="Book Antiqua" w:cs="Calibri"/>
        </w:rPr>
        <w:t>strength</w:t>
      </w:r>
      <w:r w:rsidR="00F30000" w:rsidRPr="00D40ECC">
        <w:rPr>
          <w:rFonts w:ascii="Book Antiqua" w:eastAsia="Calibri" w:hAnsi="Book Antiqua" w:cs="Calibri"/>
          <w:vertAlign w:val="superscript"/>
        </w:rPr>
        <w:t>[</w:t>
      </w:r>
      <w:proofErr w:type="gramEnd"/>
      <w:r w:rsidR="00F30000" w:rsidRPr="00D40ECC">
        <w:rPr>
          <w:rFonts w:ascii="Book Antiqua" w:eastAsia="Calibri" w:hAnsi="Book Antiqua" w:cs="Calibri"/>
          <w:vertAlign w:val="superscript"/>
        </w:rPr>
        <w:t>34]</w:t>
      </w:r>
      <w:r w:rsidRPr="00D40ECC">
        <w:rPr>
          <w:rFonts w:ascii="Book Antiqua" w:eastAsia="Calibri" w:hAnsi="Book Antiqua" w:cs="Calibri"/>
        </w:rPr>
        <w:t>. Therefore, increased BMI in the setting of end</w:t>
      </w:r>
      <w:r w:rsidR="00050A8E" w:rsidRPr="00D40ECC">
        <w:rPr>
          <w:rFonts w:ascii="Book Antiqua" w:eastAsia="Calibri" w:hAnsi="Book Antiqua" w:cs="Calibri"/>
        </w:rPr>
        <w:t>-</w:t>
      </w:r>
      <w:r w:rsidRPr="00D40ECC">
        <w:rPr>
          <w:rFonts w:ascii="Book Antiqua" w:eastAsia="Calibri" w:hAnsi="Book Antiqua" w:cs="Calibri"/>
        </w:rPr>
        <w:t xml:space="preserve">stage liver disease may suggest better nutritional status compared to non-obese patients. In the meantime, sarcopenic obesity is associated with a higher rate of mortality in patients with cirrhosis, and therefore further distinction between </w:t>
      </w:r>
      <w:proofErr w:type="spellStart"/>
      <w:r w:rsidRPr="00D40ECC">
        <w:rPr>
          <w:rFonts w:ascii="Book Antiqua" w:eastAsia="Calibri" w:hAnsi="Book Antiqua" w:cs="Calibri"/>
        </w:rPr>
        <w:t>sarco</w:t>
      </w:r>
      <w:proofErr w:type="spellEnd"/>
      <w:r w:rsidRPr="00D40ECC">
        <w:rPr>
          <w:rFonts w:ascii="Book Antiqua" w:eastAsia="Calibri" w:hAnsi="Book Antiqua" w:cs="Calibri"/>
        </w:rPr>
        <w:t xml:space="preserve"> obesity and obesity is warranted. The impairment of liver lipogenesis is prominent in decompensated NAFLD, and </w:t>
      </w:r>
      <w:proofErr w:type="gramStart"/>
      <w:r w:rsidR="00050A8E" w:rsidRPr="00D40ECC">
        <w:rPr>
          <w:rFonts w:ascii="Book Antiqua" w:eastAsia="Calibri" w:hAnsi="Book Antiqua" w:cs="Calibri"/>
        </w:rPr>
        <w:t xml:space="preserve">subsequently </w:t>
      </w:r>
      <w:r w:rsidRPr="00D40ECC">
        <w:rPr>
          <w:rFonts w:ascii="Book Antiqua" w:eastAsia="Calibri" w:hAnsi="Book Antiqua" w:cs="Calibri"/>
        </w:rPr>
        <w:t>low levels of cholesterol in advanced NAFLD is</w:t>
      </w:r>
      <w:proofErr w:type="gramEnd"/>
      <w:r w:rsidRPr="00D40ECC">
        <w:rPr>
          <w:rFonts w:ascii="Book Antiqua" w:eastAsia="Calibri" w:hAnsi="Book Antiqua" w:cs="Calibri"/>
        </w:rPr>
        <w:t xml:space="preserve"> not surprising. Therefore, in patients with decompensated NAFLD as seen with ascites, hyperlipidemia and obesity can be associated with less prevalence of ascites due to a better nutritional status in this vulnerable population with advanced liver disease. </w:t>
      </w:r>
    </w:p>
    <w:p w14:paraId="669A59BB" w14:textId="60C64C5D" w:rsidR="00292C3F" w:rsidRPr="00D40ECC" w:rsidRDefault="00292C3F" w:rsidP="005638C6">
      <w:pPr>
        <w:spacing w:line="360" w:lineRule="auto"/>
        <w:ind w:firstLineChars="200" w:firstLine="480"/>
        <w:jc w:val="both"/>
        <w:rPr>
          <w:rFonts w:ascii="Book Antiqua" w:eastAsia="Calibri" w:hAnsi="Book Antiqua" w:cs="Calibri"/>
        </w:rPr>
      </w:pPr>
      <w:r w:rsidRPr="00D40ECC">
        <w:rPr>
          <w:rFonts w:ascii="Book Antiqua" w:eastAsia="Calibri" w:hAnsi="Book Antiqua" w:cs="Calibri"/>
        </w:rPr>
        <w:t>Among cannabis users, hyperlipidemia was an independent risk factor for ascites (</w:t>
      </w:r>
      <w:proofErr w:type="spellStart"/>
      <w:r w:rsidRPr="00D40ECC">
        <w:rPr>
          <w:rFonts w:ascii="Book Antiqua" w:eastAsia="Calibri" w:hAnsi="Book Antiqua" w:cs="Calibri"/>
        </w:rPr>
        <w:t>aOR</w:t>
      </w:r>
      <w:proofErr w:type="spellEnd"/>
      <w:r w:rsidR="008E18F6" w:rsidRPr="00D40ECC">
        <w:rPr>
          <w:rFonts w:ascii="Book Antiqua" w:eastAsia="Calibri" w:hAnsi="Book Antiqua" w:cs="Calibri"/>
        </w:rPr>
        <w:t xml:space="preserve"> </w:t>
      </w:r>
      <w:r w:rsidR="00212F8F" w:rsidRPr="00D40ECC">
        <w:rPr>
          <w:rFonts w:ascii="Book Antiqua" w:eastAsia="Calibri" w:hAnsi="Book Antiqua" w:cs="Calibri"/>
        </w:rPr>
        <w:t>1.53</w:t>
      </w:r>
      <w:r w:rsidR="00730A53" w:rsidRPr="00D40ECC">
        <w:rPr>
          <w:rFonts w:ascii="Book Antiqua" w:eastAsia="Calibri" w:hAnsi="Book Antiqua" w:cs="Calibri"/>
        </w:rPr>
        <w:t>;</w:t>
      </w:r>
      <w:r w:rsidRPr="00D40ECC">
        <w:rPr>
          <w:rFonts w:ascii="Book Antiqua" w:eastAsia="Calibri" w:hAnsi="Book Antiqua" w:cs="Calibri"/>
        </w:rPr>
        <w:t xml:space="preserve"> 95%CI</w:t>
      </w:r>
      <w:r w:rsidR="00A7795E" w:rsidRPr="00D40ECC">
        <w:rPr>
          <w:rFonts w:ascii="Book Antiqua" w:eastAsia="Calibri" w:hAnsi="Book Antiqua" w:cs="Calibri"/>
        </w:rPr>
        <w:t>:</w:t>
      </w:r>
      <w:r w:rsidRPr="00D40ECC">
        <w:rPr>
          <w:rFonts w:ascii="Book Antiqua" w:eastAsia="Calibri" w:hAnsi="Book Antiqua" w:cs="Calibri"/>
        </w:rPr>
        <w:t xml:space="preserve"> </w:t>
      </w:r>
      <w:r w:rsidR="00212F8F" w:rsidRPr="00D40ECC">
        <w:rPr>
          <w:rFonts w:ascii="Book Antiqua" w:eastAsia="Calibri" w:hAnsi="Book Antiqua" w:cs="Calibri"/>
        </w:rPr>
        <w:t>1.08</w:t>
      </w:r>
      <w:r w:rsidR="008E18F6" w:rsidRPr="00D40ECC">
        <w:rPr>
          <w:rFonts w:ascii="Book Antiqua" w:eastAsia="Calibri" w:hAnsi="Book Antiqua" w:cs="Calibri"/>
        </w:rPr>
        <w:t>-</w:t>
      </w:r>
      <w:r w:rsidR="00212F8F" w:rsidRPr="00D40ECC">
        <w:rPr>
          <w:rFonts w:ascii="Book Antiqua" w:eastAsia="Calibri" w:hAnsi="Book Antiqua" w:cs="Calibri"/>
        </w:rPr>
        <w:t>2.17</w:t>
      </w:r>
      <w:r w:rsidRPr="00D40ECC">
        <w:rPr>
          <w:rFonts w:ascii="Book Antiqua" w:eastAsia="Calibri" w:hAnsi="Book Antiqua" w:cs="Calibri"/>
        </w:rPr>
        <w:t xml:space="preserve">). Previous few studies showed significantly diminished </w:t>
      </w:r>
      <w:r w:rsidRPr="00D40ECC">
        <w:rPr>
          <w:rFonts w:ascii="Book Antiqua" w:eastAsia="Calibri" w:hAnsi="Book Antiqua" w:cs="Calibri"/>
        </w:rPr>
        <w:lastRenderedPageBreak/>
        <w:t xml:space="preserve">level of serum </w:t>
      </w:r>
      <w:r w:rsidR="00CF0F34" w:rsidRPr="00D40ECC">
        <w:rPr>
          <w:rFonts w:ascii="Book Antiqua" w:eastAsia="Calibri" w:hAnsi="Book Antiqua" w:cs="Calibri"/>
        </w:rPr>
        <w:t>high-density lipoprotein</w:t>
      </w:r>
      <w:r w:rsidRPr="00D40ECC">
        <w:rPr>
          <w:rFonts w:ascii="Book Antiqua" w:eastAsia="Calibri" w:hAnsi="Book Antiqua" w:cs="Calibri"/>
        </w:rPr>
        <w:t xml:space="preserve">, </w:t>
      </w:r>
      <w:r w:rsidR="00CF0F34" w:rsidRPr="00D40ECC">
        <w:rPr>
          <w:rFonts w:ascii="Book Antiqua" w:eastAsia="Calibri" w:hAnsi="Book Antiqua" w:cs="Calibri"/>
        </w:rPr>
        <w:t>low</w:t>
      </w:r>
      <w:r w:rsidR="00050A8E" w:rsidRPr="00D40ECC">
        <w:rPr>
          <w:rFonts w:ascii="Book Antiqua" w:eastAsia="Calibri" w:hAnsi="Book Antiqua" w:cs="Calibri"/>
        </w:rPr>
        <w:t>-</w:t>
      </w:r>
      <w:r w:rsidR="00CF0F34" w:rsidRPr="00D40ECC">
        <w:rPr>
          <w:rFonts w:ascii="Book Antiqua" w:eastAsia="Calibri" w:hAnsi="Book Antiqua" w:cs="Calibri"/>
        </w:rPr>
        <w:t>density lipoprotein</w:t>
      </w:r>
      <w:r w:rsidRPr="00D40ECC">
        <w:rPr>
          <w:rFonts w:ascii="Book Antiqua" w:eastAsia="Calibri" w:hAnsi="Book Antiqua" w:cs="Calibri"/>
        </w:rPr>
        <w:t xml:space="preserve">, and total cholesterol in liver </w:t>
      </w:r>
      <w:proofErr w:type="gramStart"/>
      <w:r w:rsidRPr="00D40ECC">
        <w:rPr>
          <w:rFonts w:ascii="Book Antiqua" w:eastAsia="Calibri" w:hAnsi="Book Antiqua" w:cs="Calibri"/>
        </w:rPr>
        <w:t>cirrhosis</w:t>
      </w:r>
      <w:r w:rsidR="00F30000" w:rsidRPr="00D40ECC">
        <w:rPr>
          <w:rFonts w:ascii="Book Antiqua" w:eastAsia="Calibri" w:hAnsi="Book Antiqua" w:cs="Calibri"/>
          <w:vertAlign w:val="superscript"/>
        </w:rPr>
        <w:t>[</w:t>
      </w:r>
      <w:proofErr w:type="gramEnd"/>
      <w:r w:rsidR="00F30000" w:rsidRPr="00D40ECC">
        <w:rPr>
          <w:rFonts w:ascii="Book Antiqua" w:eastAsia="Calibri" w:hAnsi="Book Antiqua" w:cs="Calibri"/>
          <w:vertAlign w:val="superscript"/>
        </w:rPr>
        <w:t>35,36]</w:t>
      </w:r>
      <w:r w:rsidRPr="00D40ECC">
        <w:rPr>
          <w:rFonts w:ascii="Book Antiqua" w:eastAsia="Calibri" w:hAnsi="Book Antiqua" w:cs="Calibri"/>
        </w:rPr>
        <w:t xml:space="preserve">. Similarly, some studies showed </w:t>
      </w:r>
      <w:r w:rsidR="00050A8E" w:rsidRPr="00D40ECC">
        <w:rPr>
          <w:rFonts w:ascii="Book Antiqua" w:eastAsia="Calibri" w:hAnsi="Book Antiqua" w:cs="Calibri"/>
        </w:rPr>
        <w:t xml:space="preserve">a </w:t>
      </w:r>
      <w:r w:rsidRPr="00D40ECC">
        <w:rPr>
          <w:rFonts w:ascii="Book Antiqua" w:eastAsia="Calibri" w:hAnsi="Book Antiqua" w:cs="Calibri"/>
        </w:rPr>
        <w:t xml:space="preserve">decrease in triglyceride in </w:t>
      </w:r>
      <w:proofErr w:type="gramStart"/>
      <w:r w:rsidRPr="00D40ECC">
        <w:rPr>
          <w:rFonts w:ascii="Book Antiqua" w:eastAsia="Calibri" w:hAnsi="Book Antiqua" w:cs="Calibri"/>
        </w:rPr>
        <w:t>cirrhosis</w:t>
      </w:r>
      <w:r w:rsidR="00F30000" w:rsidRPr="00D40ECC">
        <w:rPr>
          <w:rFonts w:ascii="Book Antiqua" w:eastAsia="Calibri" w:hAnsi="Book Antiqua" w:cs="Calibri"/>
          <w:vertAlign w:val="superscript"/>
        </w:rPr>
        <w:t>[</w:t>
      </w:r>
      <w:proofErr w:type="gramEnd"/>
      <w:r w:rsidR="00F30000" w:rsidRPr="00D40ECC">
        <w:rPr>
          <w:rFonts w:ascii="Book Antiqua" w:eastAsia="Calibri" w:hAnsi="Book Antiqua" w:cs="Calibri"/>
          <w:vertAlign w:val="superscript"/>
        </w:rPr>
        <w:t>36]</w:t>
      </w:r>
      <w:r w:rsidRPr="00D40ECC">
        <w:rPr>
          <w:rFonts w:ascii="Book Antiqua" w:eastAsia="Calibri" w:hAnsi="Book Antiqua" w:cs="Calibri"/>
        </w:rPr>
        <w:t xml:space="preserve">. Liver biosynthesis is reduced with </w:t>
      </w:r>
      <w:r w:rsidR="00050A8E" w:rsidRPr="00D40ECC">
        <w:rPr>
          <w:rFonts w:ascii="Book Antiqua" w:eastAsia="Calibri" w:hAnsi="Book Antiqua" w:cs="Calibri"/>
        </w:rPr>
        <w:t xml:space="preserve">the </w:t>
      </w:r>
      <w:r w:rsidRPr="00D40ECC">
        <w:rPr>
          <w:rFonts w:ascii="Book Antiqua" w:eastAsia="Calibri" w:hAnsi="Book Antiqua" w:cs="Calibri"/>
        </w:rPr>
        <w:t xml:space="preserve">progression of </w:t>
      </w:r>
      <w:proofErr w:type="gramStart"/>
      <w:r w:rsidRPr="00D40ECC">
        <w:rPr>
          <w:rFonts w:ascii="Book Antiqua" w:eastAsia="Calibri" w:hAnsi="Book Antiqua" w:cs="Calibri"/>
        </w:rPr>
        <w:t>cirrhosis</w:t>
      </w:r>
      <w:r w:rsidR="00F30000" w:rsidRPr="00D40ECC">
        <w:rPr>
          <w:rFonts w:ascii="Book Antiqua" w:eastAsia="Calibri" w:hAnsi="Book Antiqua" w:cs="Calibri"/>
          <w:vertAlign w:val="superscript"/>
        </w:rPr>
        <w:t>[</w:t>
      </w:r>
      <w:proofErr w:type="gramEnd"/>
      <w:r w:rsidR="00F30000" w:rsidRPr="00D40ECC">
        <w:rPr>
          <w:rFonts w:ascii="Book Antiqua" w:eastAsia="Calibri" w:hAnsi="Book Antiqua" w:cs="Calibri"/>
          <w:vertAlign w:val="superscript"/>
        </w:rPr>
        <w:t>37]</w:t>
      </w:r>
      <w:r w:rsidRPr="00D40ECC">
        <w:rPr>
          <w:rFonts w:ascii="Book Antiqua" w:eastAsia="Calibri" w:hAnsi="Book Antiqua" w:cs="Calibri"/>
        </w:rPr>
        <w:t xml:space="preserve">. Although there were mixed findings of the relationship between cholesterol values and cirrhosis, our findings are compatible with the abovementioned relationship. </w:t>
      </w:r>
    </w:p>
    <w:p w14:paraId="4A714CF9" w14:textId="12F3E232" w:rsidR="00292C3F" w:rsidRPr="00D40ECC" w:rsidRDefault="00292C3F" w:rsidP="005638C6">
      <w:pPr>
        <w:spacing w:line="360" w:lineRule="auto"/>
        <w:ind w:firstLineChars="200" w:firstLine="480"/>
        <w:jc w:val="both"/>
        <w:rPr>
          <w:rFonts w:ascii="Book Antiqua" w:eastAsia="Calibri" w:hAnsi="Book Antiqua" w:cs="Calibri"/>
        </w:rPr>
      </w:pPr>
      <w:r w:rsidRPr="00D40ECC">
        <w:rPr>
          <w:rFonts w:ascii="Book Antiqua" w:eastAsia="Calibri" w:hAnsi="Book Antiqua" w:cs="Calibri"/>
        </w:rPr>
        <w:t xml:space="preserve">This is the national retrospective study to evaluate the clinical effects of cannabis among hospitalized patients with NAFLD at </w:t>
      </w:r>
      <w:r w:rsidR="00050A8E" w:rsidRPr="00D40ECC">
        <w:rPr>
          <w:rFonts w:ascii="Book Antiqua" w:eastAsia="Calibri" w:hAnsi="Book Antiqua" w:cs="Calibri"/>
        </w:rPr>
        <w:t xml:space="preserve">the </w:t>
      </w:r>
      <w:r w:rsidRPr="00D40ECC">
        <w:rPr>
          <w:rFonts w:ascii="Book Antiqua" w:eastAsia="Calibri" w:hAnsi="Book Antiqua" w:cs="Calibri"/>
        </w:rPr>
        <w:t>national level. Strengths of our manuscript are a large sample size as well as the use of case</w:t>
      </w:r>
      <w:r w:rsidR="00050A8E" w:rsidRPr="00D40ECC">
        <w:rPr>
          <w:rFonts w:ascii="Book Antiqua" w:eastAsia="Calibri" w:hAnsi="Book Antiqua" w:cs="Calibri"/>
        </w:rPr>
        <w:t>-</w:t>
      </w:r>
      <w:r w:rsidRPr="00D40ECC">
        <w:rPr>
          <w:rFonts w:ascii="Book Antiqua" w:eastAsia="Calibri" w:hAnsi="Book Antiqua" w:cs="Calibri"/>
        </w:rPr>
        <w:t xml:space="preserve">control matching analysis, where the groups are matched on age, sex, race, comorbidity. To address potential confounding factors, we also examined diabetes, hyperlipidemia, </w:t>
      </w:r>
      <w:proofErr w:type="gramStart"/>
      <w:r w:rsidRPr="00D40ECC">
        <w:rPr>
          <w:rFonts w:ascii="Book Antiqua" w:eastAsia="Calibri" w:hAnsi="Book Antiqua" w:cs="Calibri"/>
        </w:rPr>
        <w:t>obesity</w:t>
      </w:r>
      <w:proofErr w:type="gramEnd"/>
      <w:r w:rsidRPr="00D40ECC">
        <w:rPr>
          <w:rFonts w:ascii="Book Antiqua" w:eastAsia="Calibri" w:hAnsi="Book Antiqua" w:cs="Calibri"/>
        </w:rPr>
        <w:t xml:space="preserve"> as co-variates in multi-variate analysis. </w:t>
      </w:r>
    </w:p>
    <w:p w14:paraId="77A2D7D4" w14:textId="72BA23E6" w:rsidR="00292C3F" w:rsidRPr="00D40ECC" w:rsidRDefault="00292C3F" w:rsidP="005638C6">
      <w:pPr>
        <w:spacing w:line="360" w:lineRule="auto"/>
        <w:ind w:firstLineChars="200" w:firstLine="480"/>
        <w:jc w:val="both"/>
        <w:rPr>
          <w:rFonts w:ascii="Book Antiqua" w:eastAsia="Calibri" w:hAnsi="Book Antiqua" w:cs="Calibri"/>
        </w:rPr>
      </w:pPr>
      <w:r w:rsidRPr="00D40ECC">
        <w:rPr>
          <w:rFonts w:ascii="Book Antiqua" w:eastAsia="Calibri" w:hAnsi="Book Antiqua" w:cs="Calibri"/>
        </w:rPr>
        <w:t xml:space="preserve">Despite these strengths, our study has some limitations that are mainly associated with the nature of large population database studies, in which patients are typically not routinely tested for cannabis use upon admission, and the diagnosis of cannabis use is often made from patient reports. Therefore, unless patients are forthcoming with their caregivers regarding cannabis use, cannabis use may be missed or under-coded. The NIS also relies on accurate billing by clinicians to </w:t>
      </w:r>
      <w:r w:rsidR="004A403D" w:rsidRPr="00D40ECC">
        <w:rPr>
          <w:rFonts w:ascii="Book Antiqua" w:eastAsia="Calibri" w:hAnsi="Book Antiqua" w:cs="Calibri"/>
        </w:rPr>
        <w:t>accurately record diseases</w:t>
      </w:r>
      <w:r w:rsidRPr="00D40ECC">
        <w:rPr>
          <w:rFonts w:ascii="Book Antiqua" w:eastAsia="Calibri" w:hAnsi="Book Antiqua" w:cs="Calibri"/>
        </w:rPr>
        <w:t xml:space="preserve"> and complications, </w:t>
      </w:r>
      <w:r w:rsidR="004A403D" w:rsidRPr="00D40ECC">
        <w:rPr>
          <w:rFonts w:ascii="Book Antiqua" w:eastAsia="Calibri" w:hAnsi="Book Antiqua" w:cs="Calibri"/>
        </w:rPr>
        <w:t xml:space="preserve">which may lead to an underestimate of diagnosis. </w:t>
      </w:r>
      <w:r w:rsidR="007D41D4" w:rsidRPr="00D40ECC">
        <w:rPr>
          <w:rFonts w:ascii="Book Antiqua" w:eastAsia="Calibri" w:hAnsi="Book Antiqua" w:cs="Calibri"/>
        </w:rPr>
        <w:t>In addition, monitoring long-term clinical outcomes, such as liver-related complications not recorded in NIS, remains challenging.</w:t>
      </w:r>
    </w:p>
    <w:p w14:paraId="5346D286" w14:textId="3D3EC505" w:rsidR="00A77B3E" w:rsidRPr="00D40ECC" w:rsidRDefault="00292C3F" w:rsidP="005638C6">
      <w:pPr>
        <w:spacing w:line="360" w:lineRule="auto"/>
        <w:ind w:firstLineChars="200" w:firstLine="480"/>
        <w:jc w:val="both"/>
        <w:rPr>
          <w:rFonts w:ascii="Book Antiqua" w:hAnsi="Book Antiqua"/>
        </w:rPr>
      </w:pPr>
      <w:r w:rsidRPr="00D40ECC">
        <w:rPr>
          <w:rFonts w:ascii="Book Antiqua" w:eastAsia="Calibri" w:hAnsi="Book Antiqua" w:cs="Calibri"/>
        </w:rPr>
        <w:t xml:space="preserve">Another limitation of this study is the inability to characterize different concentrations or modes of cannabis administration. 94.1% of the cannabis users were coded under non-dependent use, and due to the limited sample size, we could not provide dose-dependent data. A possible explanation for the low baseline percentage of dependent cannabis use is a lack of available data, limited current routine clinician assessment, or truly low number of patients who abuse cannabis. We were unable to characterize the concentrations and effects of each cannabinoid, as well as the dose-dependent effects of these cannabinoids. Long-term randomized controlled studies with </w:t>
      </w:r>
      <w:r w:rsidRPr="00D40ECC">
        <w:rPr>
          <w:rFonts w:ascii="Book Antiqua" w:eastAsia="Calibri" w:hAnsi="Book Antiqua" w:cs="Calibri"/>
        </w:rPr>
        <w:lastRenderedPageBreak/>
        <w:t xml:space="preserve">different levels of cannabinoid types and amounts are warranted to better understand each cannabinoid’s effects on the cannabinoid system in the body. </w:t>
      </w:r>
      <w:r w:rsidRPr="00D40ECC">
        <w:rPr>
          <w:rFonts w:ascii="Book Antiqua" w:eastAsia="Book Antiqua" w:hAnsi="Book Antiqua" w:cs="Book Antiqua"/>
          <w:color w:val="000000"/>
        </w:rPr>
        <w:t xml:space="preserve"> </w:t>
      </w:r>
    </w:p>
    <w:p w14:paraId="5F07519E" w14:textId="77777777" w:rsidR="00A77B3E" w:rsidRPr="00D40ECC" w:rsidRDefault="00A77B3E" w:rsidP="005638C6">
      <w:pPr>
        <w:spacing w:line="360" w:lineRule="auto"/>
        <w:jc w:val="both"/>
        <w:rPr>
          <w:rFonts w:ascii="Book Antiqua" w:hAnsi="Book Antiqua"/>
        </w:rPr>
      </w:pPr>
    </w:p>
    <w:p w14:paraId="36D30CAA"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caps/>
          <w:color w:val="000000"/>
          <w:u w:val="single"/>
        </w:rPr>
        <w:t>CONCLUSION</w:t>
      </w:r>
    </w:p>
    <w:p w14:paraId="5999AFAC"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In conclusion, this was the first database study investigating progressive liver disease-related clinical outcomes in hospitalized patients with NAFLD. Cannabis was associated with higher rates of ascites, but there was no statistical difference in the prevalence of portal hypertension, varices and variceal bleeding, and cirrhosis. In the cannabis group, hyperlipidemia was an independent risk factor for ascites but in non-cannabis group hyperlipidemia and obesity were independent protective factors against ascites. A large prospective study in which mode and dose of cannabis would be ascertained and monitored would be of interest.</w:t>
      </w:r>
    </w:p>
    <w:p w14:paraId="77F5321F" w14:textId="77777777" w:rsidR="00A77B3E" w:rsidRPr="00D40ECC" w:rsidRDefault="00A77B3E" w:rsidP="005638C6">
      <w:pPr>
        <w:spacing w:line="360" w:lineRule="auto"/>
        <w:jc w:val="both"/>
        <w:rPr>
          <w:rFonts w:ascii="Book Antiqua" w:hAnsi="Book Antiqua"/>
        </w:rPr>
      </w:pPr>
    </w:p>
    <w:p w14:paraId="1490CAE5"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caps/>
          <w:color w:val="000000"/>
          <w:u w:val="single"/>
        </w:rPr>
        <w:t>ARTICLE HIGHLIGHTS</w:t>
      </w:r>
    </w:p>
    <w:p w14:paraId="11C481F2"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i/>
          <w:color w:val="000000"/>
        </w:rPr>
        <w:t>Research background</w:t>
      </w:r>
    </w:p>
    <w:p w14:paraId="3AB9D0B8" w14:textId="5F5799EA"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 xml:space="preserve">The impact of cannabis on the progression of chronic liver diseases has been unclear in prior studies. Systemic reviews showed no association between the increased prevalence of hepatic fibrosis and cannabis use, but cannabis use was still associated with a reduced prevalence of </w:t>
      </w:r>
      <w:r w:rsidR="00AD0482" w:rsidRPr="00D40ECC">
        <w:rPr>
          <w:rFonts w:ascii="Book Antiqua" w:eastAsia="Book Antiqua" w:hAnsi="Book Antiqua" w:cs="Book Antiqua"/>
          <w:color w:val="000000"/>
        </w:rPr>
        <w:t>nonalcoholic fatty liver disease</w:t>
      </w:r>
      <w:r w:rsidRPr="00D40ECC">
        <w:rPr>
          <w:rFonts w:ascii="Book Antiqua" w:eastAsia="Book Antiqua" w:hAnsi="Book Antiqua" w:cs="Book Antiqua"/>
          <w:color w:val="000000"/>
        </w:rPr>
        <w:t xml:space="preserve">. </w:t>
      </w:r>
    </w:p>
    <w:p w14:paraId="0588F857" w14:textId="77777777" w:rsidR="00A77B3E" w:rsidRPr="00D40ECC" w:rsidRDefault="00A77B3E" w:rsidP="005638C6">
      <w:pPr>
        <w:spacing w:line="360" w:lineRule="auto"/>
        <w:jc w:val="both"/>
        <w:rPr>
          <w:rFonts w:ascii="Book Antiqua" w:hAnsi="Book Antiqua"/>
        </w:rPr>
      </w:pPr>
    </w:p>
    <w:p w14:paraId="72ABDEBF"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i/>
          <w:color w:val="000000"/>
        </w:rPr>
        <w:t>Research motivation</w:t>
      </w:r>
    </w:p>
    <w:p w14:paraId="468D279E" w14:textId="5A478CFA"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 xml:space="preserve">Because of the modulatory effects of cannabis on risk factors for the development of </w:t>
      </w:r>
      <w:r w:rsidR="00730A53" w:rsidRPr="00D40ECC">
        <w:rPr>
          <w:rFonts w:ascii="Book Antiqua" w:eastAsia="Book Antiqua" w:hAnsi="Book Antiqua" w:cs="Book Antiqua"/>
          <w:color w:val="000000"/>
        </w:rPr>
        <w:t>nonalcoholic fatty liver disease (</w:t>
      </w:r>
      <w:r w:rsidRPr="00D40ECC">
        <w:rPr>
          <w:rFonts w:ascii="Book Antiqua" w:eastAsia="Book Antiqua" w:hAnsi="Book Antiqua" w:cs="Book Antiqua"/>
          <w:color w:val="000000"/>
        </w:rPr>
        <w:t>NAFLD</w:t>
      </w:r>
      <w:r w:rsidR="00730A53" w:rsidRPr="00D40ECC">
        <w:rPr>
          <w:rFonts w:ascii="Book Antiqua" w:eastAsia="Book Antiqua" w:hAnsi="Book Antiqua" w:cs="Book Antiqua"/>
          <w:color w:val="000000"/>
        </w:rPr>
        <w:t>)</w:t>
      </w:r>
      <w:r w:rsidRPr="00D40ECC">
        <w:rPr>
          <w:rFonts w:ascii="Book Antiqua" w:eastAsia="Book Antiqua" w:hAnsi="Book Antiqua" w:cs="Book Antiqua"/>
          <w:color w:val="000000"/>
        </w:rPr>
        <w:t xml:space="preserve">, we wanted to measure the correlation between cannabis use and clinical outcomes related to chronic liver diseases. Without clear evidence between the cannabis use and progression of established NAFLD, it is critical for clinicians to educate the patients on the use of cannabis due to limited evidence on cannabinoid effects. Therefore, our study is motivated to alert clinicians of the possible relevance of ascertainment of cannabis use, which in turn might alter future </w:t>
      </w:r>
      <w:r w:rsidRPr="00D40ECC">
        <w:rPr>
          <w:rFonts w:ascii="Book Antiqua" w:eastAsia="Book Antiqua" w:hAnsi="Book Antiqua" w:cs="Book Antiqua"/>
          <w:color w:val="000000"/>
        </w:rPr>
        <w:lastRenderedPageBreak/>
        <w:t>routine assessments to further probe about cannabis use, especially in light of trends showing recent increases in use in the U</w:t>
      </w:r>
      <w:r w:rsidR="00C17663" w:rsidRPr="00D40ECC">
        <w:rPr>
          <w:rFonts w:ascii="Book Antiqua" w:eastAsia="Book Antiqua" w:hAnsi="Book Antiqua" w:cs="Book Antiqua"/>
          <w:color w:val="000000"/>
        </w:rPr>
        <w:t>nited States</w:t>
      </w:r>
      <w:r w:rsidRPr="00D40ECC">
        <w:rPr>
          <w:rFonts w:ascii="Book Antiqua" w:eastAsia="Book Antiqua" w:hAnsi="Book Antiqua" w:cs="Book Antiqua"/>
          <w:color w:val="000000"/>
        </w:rPr>
        <w:t xml:space="preserve">. </w:t>
      </w:r>
    </w:p>
    <w:p w14:paraId="3035B755" w14:textId="77777777" w:rsidR="00A77B3E" w:rsidRPr="00D40ECC" w:rsidRDefault="00A77B3E" w:rsidP="005638C6">
      <w:pPr>
        <w:spacing w:line="360" w:lineRule="auto"/>
        <w:jc w:val="both"/>
        <w:rPr>
          <w:rFonts w:ascii="Book Antiqua" w:hAnsi="Book Antiqua"/>
        </w:rPr>
      </w:pPr>
    </w:p>
    <w:p w14:paraId="17C7170A"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i/>
          <w:color w:val="000000"/>
        </w:rPr>
        <w:t>Research objectives</w:t>
      </w:r>
    </w:p>
    <w:p w14:paraId="4BCBA855" w14:textId="7E764DE2"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 xml:space="preserve">Our study aimed to assess the association between cannabis use and clinical liver-related outcomes among hospitalized patients with NAFLD. </w:t>
      </w:r>
    </w:p>
    <w:p w14:paraId="5F05AC94" w14:textId="77777777" w:rsidR="00A77B3E" w:rsidRPr="00D40ECC" w:rsidRDefault="00A77B3E" w:rsidP="005638C6">
      <w:pPr>
        <w:spacing w:line="360" w:lineRule="auto"/>
        <w:jc w:val="both"/>
        <w:rPr>
          <w:rFonts w:ascii="Book Antiqua" w:hAnsi="Book Antiqua"/>
        </w:rPr>
      </w:pPr>
    </w:p>
    <w:p w14:paraId="77BA9296"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i/>
          <w:color w:val="000000"/>
        </w:rPr>
        <w:t>Research methods</w:t>
      </w:r>
    </w:p>
    <w:p w14:paraId="4B96891D" w14:textId="0F118049"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In our study, we performed a retrospective matched cohort study for hospitalized adult patients with NAFLD. Case-control matching at a ratio of one case to two controls was performed based on sex, age, race, and comorbidities to adjust for confounders. The liver-related complications including portal hypertension, ascites, varices</w:t>
      </w:r>
      <w:r w:rsidR="00C17663"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 xml:space="preserve">and variceal bleeding, and cirrhosis were measured and compared between two groups. </w:t>
      </w:r>
    </w:p>
    <w:p w14:paraId="69170ADA" w14:textId="77777777" w:rsidR="00A77B3E" w:rsidRPr="00D40ECC" w:rsidRDefault="00A77B3E" w:rsidP="005638C6">
      <w:pPr>
        <w:spacing w:line="360" w:lineRule="auto"/>
        <w:jc w:val="both"/>
        <w:rPr>
          <w:rFonts w:ascii="Book Antiqua" w:hAnsi="Book Antiqua"/>
        </w:rPr>
      </w:pPr>
    </w:p>
    <w:p w14:paraId="34084DEC"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i/>
          <w:color w:val="000000"/>
        </w:rPr>
        <w:t>Research results</w:t>
      </w:r>
    </w:p>
    <w:p w14:paraId="3DA232D2" w14:textId="2D733B39"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 xml:space="preserve">The cannabis group had a higher prevalence of ascites compared to patients with NAFLD who did not use cannabis. Obesity and hyperlipidemia were independent protective effects against ascites in the non-cannabis group. </w:t>
      </w:r>
    </w:p>
    <w:p w14:paraId="12848533" w14:textId="77777777" w:rsidR="00A77B3E" w:rsidRPr="00D40ECC" w:rsidRDefault="00A77B3E" w:rsidP="005638C6">
      <w:pPr>
        <w:spacing w:line="360" w:lineRule="auto"/>
        <w:jc w:val="both"/>
        <w:rPr>
          <w:rFonts w:ascii="Book Antiqua" w:hAnsi="Book Antiqua"/>
        </w:rPr>
      </w:pPr>
    </w:p>
    <w:p w14:paraId="00F6A004"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i/>
          <w:color w:val="000000"/>
        </w:rPr>
        <w:t>Research conclusions</w:t>
      </w:r>
    </w:p>
    <w:p w14:paraId="10656C8F"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Cannabis use was associated with higher rates of ascites despite higher rates of metabolic risks in the non-cannabis group such as diabetes, hyperlipidemia, and obesity. This suggests that cannabis may not be a magic bullet for the management of NAFLD, and therefore judicious use of cannabis in advanced NAFLD is warranted.</w:t>
      </w:r>
    </w:p>
    <w:p w14:paraId="1E0258C8" w14:textId="77777777" w:rsidR="00A77B3E" w:rsidRPr="00D40ECC" w:rsidRDefault="00A77B3E" w:rsidP="005638C6">
      <w:pPr>
        <w:spacing w:line="360" w:lineRule="auto"/>
        <w:jc w:val="both"/>
        <w:rPr>
          <w:rFonts w:ascii="Book Antiqua" w:hAnsi="Book Antiqua"/>
        </w:rPr>
      </w:pPr>
    </w:p>
    <w:p w14:paraId="5B14C3CA"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i/>
          <w:color w:val="000000"/>
        </w:rPr>
        <w:t>Research perspectives</w:t>
      </w:r>
    </w:p>
    <w:p w14:paraId="46A7F762" w14:textId="38B3D738"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 xml:space="preserve">A large prospective study in which mode and dose of cannabis use would be warranted to further explore the effects of administration mode and dose of cannabis on the liver-related clinical complications. </w:t>
      </w:r>
    </w:p>
    <w:p w14:paraId="34CA486A" w14:textId="77777777" w:rsidR="00A77B3E" w:rsidRPr="00D40ECC" w:rsidRDefault="00A77B3E" w:rsidP="005638C6">
      <w:pPr>
        <w:spacing w:line="360" w:lineRule="auto"/>
        <w:jc w:val="both"/>
        <w:rPr>
          <w:rFonts w:ascii="Book Antiqua" w:hAnsi="Book Antiqua"/>
        </w:rPr>
      </w:pPr>
    </w:p>
    <w:p w14:paraId="4F48CDDE" w14:textId="4DA8082F" w:rsidR="00A77B3E" w:rsidRPr="00D40ECC" w:rsidRDefault="00292C3F" w:rsidP="005638C6">
      <w:pPr>
        <w:spacing w:line="360" w:lineRule="auto"/>
        <w:jc w:val="both"/>
        <w:rPr>
          <w:rFonts w:ascii="Book Antiqua" w:eastAsia="Book Antiqua" w:hAnsi="Book Antiqua" w:cs="Book Antiqua"/>
          <w:b/>
          <w:color w:val="000000"/>
        </w:rPr>
      </w:pPr>
      <w:r w:rsidRPr="00D40ECC">
        <w:rPr>
          <w:rFonts w:ascii="Book Antiqua" w:eastAsia="Book Antiqua" w:hAnsi="Book Antiqua" w:cs="Book Antiqua"/>
          <w:b/>
          <w:color w:val="000000"/>
        </w:rPr>
        <w:t>REFERENCES</w:t>
      </w:r>
    </w:p>
    <w:p w14:paraId="0C6EEDF2" w14:textId="77777777" w:rsidR="00D17D65" w:rsidRPr="00D40ECC" w:rsidRDefault="00D17D65" w:rsidP="005638C6">
      <w:pPr>
        <w:spacing w:line="360" w:lineRule="auto"/>
        <w:jc w:val="both"/>
        <w:rPr>
          <w:rFonts w:ascii="Book Antiqua" w:hAnsi="Book Antiqua"/>
        </w:rPr>
      </w:pPr>
      <w:r w:rsidRPr="00D40ECC">
        <w:rPr>
          <w:rFonts w:ascii="Book Antiqua" w:hAnsi="Book Antiqua"/>
        </w:rPr>
        <w:t xml:space="preserve">1 </w:t>
      </w:r>
      <w:proofErr w:type="spellStart"/>
      <w:r w:rsidRPr="00D40ECC">
        <w:rPr>
          <w:rFonts w:ascii="Book Antiqua" w:hAnsi="Book Antiqua"/>
          <w:b/>
          <w:bCs/>
        </w:rPr>
        <w:t>Alswat</w:t>
      </w:r>
      <w:proofErr w:type="spellEnd"/>
      <w:r w:rsidRPr="00D40ECC">
        <w:rPr>
          <w:rFonts w:ascii="Book Antiqua" w:hAnsi="Book Antiqua"/>
          <w:b/>
          <w:bCs/>
        </w:rPr>
        <w:t xml:space="preserve"> KA</w:t>
      </w:r>
      <w:r w:rsidRPr="00D40ECC">
        <w:rPr>
          <w:rFonts w:ascii="Book Antiqua" w:hAnsi="Book Antiqua"/>
        </w:rPr>
        <w:t xml:space="preserve">, </w:t>
      </w:r>
      <w:proofErr w:type="spellStart"/>
      <w:r w:rsidRPr="00D40ECC">
        <w:rPr>
          <w:rFonts w:ascii="Book Antiqua" w:hAnsi="Book Antiqua"/>
        </w:rPr>
        <w:t>Fallatah</w:t>
      </w:r>
      <w:proofErr w:type="spellEnd"/>
      <w:r w:rsidRPr="00D40ECC">
        <w:rPr>
          <w:rFonts w:ascii="Book Antiqua" w:hAnsi="Book Antiqua"/>
        </w:rPr>
        <w:t xml:space="preserve"> HI, Al-</w:t>
      </w:r>
      <w:proofErr w:type="spellStart"/>
      <w:r w:rsidRPr="00D40ECC">
        <w:rPr>
          <w:rFonts w:ascii="Book Antiqua" w:hAnsi="Book Antiqua"/>
        </w:rPr>
        <w:t>Judaibi</w:t>
      </w:r>
      <w:proofErr w:type="spellEnd"/>
      <w:r w:rsidRPr="00D40ECC">
        <w:rPr>
          <w:rFonts w:ascii="Book Antiqua" w:hAnsi="Book Antiqua"/>
        </w:rPr>
        <w:t xml:space="preserve"> B, </w:t>
      </w:r>
      <w:proofErr w:type="spellStart"/>
      <w:r w:rsidRPr="00D40ECC">
        <w:rPr>
          <w:rFonts w:ascii="Book Antiqua" w:hAnsi="Book Antiqua"/>
        </w:rPr>
        <w:t>Elsiesy</w:t>
      </w:r>
      <w:proofErr w:type="spellEnd"/>
      <w:r w:rsidRPr="00D40ECC">
        <w:rPr>
          <w:rFonts w:ascii="Book Antiqua" w:hAnsi="Book Antiqua"/>
        </w:rPr>
        <w:t xml:space="preserve"> HA, Al-</w:t>
      </w:r>
      <w:proofErr w:type="spellStart"/>
      <w:r w:rsidRPr="00D40ECC">
        <w:rPr>
          <w:rFonts w:ascii="Book Antiqua" w:hAnsi="Book Antiqua"/>
        </w:rPr>
        <w:t>Hamoudi</w:t>
      </w:r>
      <w:proofErr w:type="spellEnd"/>
      <w:r w:rsidRPr="00D40ECC">
        <w:rPr>
          <w:rFonts w:ascii="Book Antiqua" w:hAnsi="Book Antiqua"/>
        </w:rPr>
        <w:t xml:space="preserve"> WK, </w:t>
      </w:r>
      <w:proofErr w:type="spellStart"/>
      <w:r w:rsidRPr="00D40ECC">
        <w:rPr>
          <w:rFonts w:ascii="Book Antiqua" w:hAnsi="Book Antiqua"/>
        </w:rPr>
        <w:t>Qutub</w:t>
      </w:r>
      <w:proofErr w:type="spellEnd"/>
      <w:r w:rsidRPr="00D40ECC">
        <w:rPr>
          <w:rFonts w:ascii="Book Antiqua" w:hAnsi="Book Antiqua"/>
        </w:rPr>
        <w:t xml:space="preserve"> AN, </w:t>
      </w:r>
      <w:proofErr w:type="spellStart"/>
      <w:r w:rsidRPr="00D40ECC">
        <w:rPr>
          <w:rFonts w:ascii="Book Antiqua" w:hAnsi="Book Antiqua"/>
        </w:rPr>
        <w:t>Alturaify</w:t>
      </w:r>
      <w:proofErr w:type="spellEnd"/>
      <w:r w:rsidRPr="00D40ECC">
        <w:rPr>
          <w:rFonts w:ascii="Book Antiqua" w:hAnsi="Book Antiqua"/>
        </w:rPr>
        <w:t xml:space="preserve"> N, Al-</w:t>
      </w:r>
      <w:proofErr w:type="spellStart"/>
      <w:r w:rsidRPr="00D40ECC">
        <w:rPr>
          <w:rFonts w:ascii="Book Antiqua" w:hAnsi="Book Antiqua"/>
        </w:rPr>
        <w:t>Osaimi</w:t>
      </w:r>
      <w:proofErr w:type="spellEnd"/>
      <w:r w:rsidRPr="00D40ECC">
        <w:rPr>
          <w:rFonts w:ascii="Book Antiqua" w:hAnsi="Book Antiqua"/>
        </w:rPr>
        <w:t xml:space="preserve"> A. Position statement on the diagnosis and management of non-alcoholic fatty liver disease. </w:t>
      </w:r>
      <w:r w:rsidRPr="00D40ECC">
        <w:rPr>
          <w:rFonts w:ascii="Book Antiqua" w:hAnsi="Book Antiqua"/>
          <w:i/>
          <w:iCs/>
        </w:rPr>
        <w:t>Saudi Med J</w:t>
      </w:r>
      <w:r w:rsidRPr="00D40ECC">
        <w:rPr>
          <w:rFonts w:ascii="Book Antiqua" w:hAnsi="Book Antiqua"/>
        </w:rPr>
        <w:t xml:space="preserve"> 2019; </w:t>
      </w:r>
      <w:r w:rsidRPr="00D40ECC">
        <w:rPr>
          <w:rFonts w:ascii="Book Antiqua" w:hAnsi="Book Antiqua"/>
          <w:b/>
          <w:bCs/>
        </w:rPr>
        <w:t>40</w:t>
      </w:r>
      <w:r w:rsidRPr="00D40ECC">
        <w:rPr>
          <w:rFonts w:ascii="Book Antiqua" w:hAnsi="Book Antiqua"/>
        </w:rPr>
        <w:t>: 531-540 [PMID: 31219486 DOI: 10.15537/smj.2019.6.23980]</w:t>
      </w:r>
    </w:p>
    <w:p w14:paraId="16AB1FAE" w14:textId="77777777" w:rsidR="00D17D65" w:rsidRPr="00D40ECC" w:rsidRDefault="00D17D65" w:rsidP="005638C6">
      <w:pPr>
        <w:spacing w:line="360" w:lineRule="auto"/>
        <w:jc w:val="both"/>
        <w:rPr>
          <w:rFonts w:ascii="Book Antiqua" w:hAnsi="Book Antiqua"/>
        </w:rPr>
      </w:pPr>
      <w:proofErr w:type="gramStart"/>
      <w:r w:rsidRPr="00D40ECC">
        <w:rPr>
          <w:rFonts w:ascii="Book Antiqua" w:hAnsi="Book Antiqua"/>
        </w:rPr>
        <w:t xml:space="preserve">2 </w:t>
      </w:r>
      <w:proofErr w:type="spellStart"/>
      <w:r w:rsidRPr="00D40ECC">
        <w:rPr>
          <w:rFonts w:ascii="Book Antiqua" w:hAnsi="Book Antiqua"/>
          <w:b/>
          <w:bCs/>
        </w:rPr>
        <w:t>Patsenker</w:t>
      </w:r>
      <w:proofErr w:type="spellEnd"/>
      <w:r w:rsidRPr="00D40ECC">
        <w:rPr>
          <w:rFonts w:ascii="Book Antiqua" w:hAnsi="Book Antiqua"/>
          <w:b/>
          <w:bCs/>
        </w:rPr>
        <w:t xml:space="preserve"> E</w:t>
      </w:r>
      <w:r w:rsidRPr="00D40ECC">
        <w:rPr>
          <w:rFonts w:ascii="Book Antiqua" w:hAnsi="Book Antiqua"/>
        </w:rPr>
        <w:t xml:space="preserve">, </w:t>
      </w:r>
      <w:proofErr w:type="spellStart"/>
      <w:r w:rsidRPr="00D40ECC">
        <w:rPr>
          <w:rFonts w:ascii="Book Antiqua" w:hAnsi="Book Antiqua"/>
        </w:rPr>
        <w:t>Stickel</w:t>
      </w:r>
      <w:proofErr w:type="spellEnd"/>
      <w:r w:rsidRPr="00D40ECC">
        <w:rPr>
          <w:rFonts w:ascii="Book Antiqua" w:hAnsi="Book Antiqua"/>
        </w:rPr>
        <w:t xml:space="preserve"> F. Cannabinoids in liver diseases.</w:t>
      </w:r>
      <w:proofErr w:type="gramEnd"/>
      <w:r w:rsidRPr="00D40ECC">
        <w:rPr>
          <w:rFonts w:ascii="Book Antiqua" w:hAnsi="Book Antiqua"/>
        </w:rPr>
        <w:t xml:space="preserve"> </w:t>
      </w:r>
      <w:r w:rsidRPr="00D40ECC">
        <w:rPr>
          <w:rFonts w:ascii="Book Antiqua" w:hAnsi="Book Antiqua"/>
          <w:i/>
          <w:iCs/>
        </w:rPr>
        <w:t>Clin Liver Dis (Hoboken)</w:t>
      </w:r>
      <w:r w:rsidRPr="00D40ECC">
        <w:rPr>
          <w:rFonts w:ascii="Book Antiqua" w:hAnsi="Book Antiqua"/>
        </w:rPr>
        <w:t xml:space="preserve"> 2016; </w:t>
      </w:r>
      <w:r w:rsidRPr="00D40ECC">
        <w:rPr>
          <w:rFonts w:ascii="Book Antiqua" w:hAnsi="Book Antiqua"/>
          <w:b/>
          <w:bCs/>
        </w:rPr>
        <w:t>7</w:t>
      </w:r>
      <w:r w:rsidRPr="00D40ECC">
        <w:rPr>
          <w:rFonts w:ascii="Book Antiqua" w:hAnsi="Book Antiqua"/>
        </w:rPr>
        <w:t>: 21-25 [PMID: 31041021 DOI: 10.1002/cld.527]</w:t>
      </w:r>
    </w:p>
    <w:p w14:paraId="3DEB039E" w14:textId="77777777" w:rsidR="00D17D65" w:rsidRPr="00D40ECC" w:rsidRDefault="00D17D65" w:rsidP="005638C6">
      <w:pPr>
        <w:spacing w:line="360" w:lineRule="auto"/>
        <w:jc w:val="both"/>
        <w:rPr>
          <w:rFonts w:ascii="Book Antiqua" w:hAnsi="Book Antiqua"/>
        </w:rPr>
      </w:pPr>
      <w:r w:rsidRPr="00D40ECC">
        <w:rPr>
          <w:rFonts w:ascii="Book Antiqua" w:hAnsi="Book Antiqua"/>
        </w:rPr>
        <w:t xml:space="preserve">3 </w:t>
      </w:r>
      <w:proofErr w:type="spellStart"/>
      <w:r w:rsidRPr="00D40ECC">
        <w:rPr>
          <w:rFonts w:ascii="Book Antiqua" w:hAnsi="Book Antiqua"/>
          <w:b/>
          <w:bCs/>
        </w:rPr>
        <w:t>Adejumo</w:t>
      </w:r>
      <w:proofErr w:type="spellEnd"/>
      <w:r w:rsidRPr="00D40ECC">
        <w:rPr>
          <w:rFonts w:ascii="Book Antiqua" w:hAnsi="Book Antiqua"/>
          <w:b/>
          <w:bCs/>
        </w:rPr>
        <w:t xml:space="preserve"> AC</w:t>
      </w:r>
      <w:r w:rsidRPr="00D40ECC">
        <w:rPr>
          <w:rFonts w:ascii="Book Antiqua" w:hAnsi="Book Antiqua"/>
        </w:rPr>
        <w:t xml:space="preserve">, </w:t>
      </w:r>
      <w:proofErr w:type="spellStart"/>
      <w:r w:rsidRPr="00D40ECC">
        <w:rPr>
          <w:rFonts w:ascii="Book Antiqua" w:hAnsi="Book Antiqua"/>
        </w:rPr>
        <w:t>Alliu</w:t>
      </w:r>
      <w:proofErr w:type="spellEnd"/>
      <w:r w:rsidRPr="00D40ECC">
        <w:rPr>
          <w:rFonts w:ascii="Book Antiqua" w:hAnsi="Book Antiqua"/>
        </w:rPr>
        <w:t xml:space="preserve"> S, </w:t>
      </w:r>
      <w:proofErr w:type="spellStart"/>
      <w:r w:rsidRPr="00D40ECC">
        <w:rPr>
          <w:rFonts w:ascii="Book Antiqua" w:hAnsi="Book Antiqua"/>
        </w:rPr>
        <w:t>Ajayi</w:t>
      </w:r>
      <w:proofErr w:type="spellEnd"/>
      <w:r w:rsidRPr="00D40ECC">
        <w:rPr>
          <w:rFonts w:ascii="Book Antiqua" w:hAnsi="Book Antiqua"/>
        </w:rPr>
        <w:t xml:space="preserve"> TO, </w:t>
      </w:r>
      <w:proofErr w:type="spellStart"/>
      <w:r w:rsidRPr="00D40ECC">
        <w:rPr>
          <w:rFonts w:ascii="Book Antiqua" w:hAnsi="Book Antiqua"/>
        </w:rPr>
        <w:t>Adejumo</w:t>
      </w:r>
      <w:proofErr w:type="spellEnd"/>
      <w:r w:rsidRPr="00D40ECC">
        <w:rPr>
          <w:rFonts w:ascii="Book Antiqua" w:hAnsi="Book Antiqua"/>
        </w:rPr>
        <w:t xml:space="preserve"> KL, </w:t>
      </w:r>
      <w:proofErr w:type="spellStart"/>
      <w:r w:rsidRPr="00D40ECC">
        <w:rPr>
          <w:rFonts w:ascii="Book Antiqua" w:hAnsi="Book Antiqua"/>
        </w:rPr>
        <w:t>Adegbala</w:t>
      </w:r>
      <w:proofErr w:type="spellEnd"/>
      <w:r w:rsidRPr="00D40ECC">
        <w:rPr>
          <w:rFonts w:ascii="Book Antiqua" w:hAnsi="Book Antiqua"/>
        </w:rPr>
        <w:t xml:space="preserve"> OM, </w:t>
      </w:r>
      <w:proofErr w:type="spellStart"/>
      <w:r w:rsidRPr="00D40ECC">
        <w:rPr>
          <w:rFonts w:ascii="Book Antiqua" w:hAnsi="Book Antiqua"/>
        </w:rPr>
        <w:t>Onyeakusi</w:t>
      </w:r>
      <w:proofErr w:type="spellEnd"/>
      <w:r w:rsidRPr="00D40ECC">
        <w:rPr>
          <w:rFonts w:ascii="Book Antiqua" w:hAnsi="Book Antiqua"/>
        </w:rPr>
        <w:t xml:space="preserve"> NE, </w:t>
      </w:r>
      <w:proofErr w:type="spellStart"/>
      <w:r w:rsidRPr="00D40ECC">
        <w:rPr>
          <w:rFonts w:ascii="Book Antiqua" w:hAnsi="Book Antiqua"/>
        </w:rPr>
        <w:t>Akinjero</w:t>
      </w:r>
      <w:proofErr w:type="spellEnd"/>
      <w:r w:rsidRPr="00D40ECC">
        <w:rPr>
          <w:rFonts w:ascii="Book Antiqua" w:hAnsi="Book Antiqua"/>
        </w:rPr>
        <w:t xml:space="preserve"> AM, </w:t>
      </w:r>
      <w:proofErr w:type="spellStart"/>
      <w:r w:rsidRPr="00D40ECC">
        <w:rPr>
          <w:rFonts w:ascii="Book Antiqua" w:hAnsi="Book Antiqua"/>
        </w:rPr>
        <w:t>Durojaiye</w:t>
      </w:r>
      <w:proofErr w:type="spellEnd"/>
      <w:r w:rsidRPr="00D40ECC">
        <w:rPr>
          <w:rFonts w:ascii="Book Antiqua" w:hAnsi="Book Antiqua"/>
        </w:rPr>
        <w:t xml:space="preserve"> M, </w:t>
      </w:r>
      <w:proofErr w:type="spellStart"/>
      <w:r w:rsidRPr="00D40ECC">
        <w:rPr>
          <w:rFonts w:ascii="Book Antiqua" w:hAnsi="Book Antiqua"/>
        </w:rPr>
        <w:t>Bukong</w:t>
      </w:r>
      <w:proofErr w:type="spellEnd"/>
      <w:r w:rsidRPr="00D40ECC">
        <w:rPr>
          <w:rFonts w:ascii="Book Antiqua" w:hAnsi="Book Antiqua"/>
        </w:rPr>
        <w:t xml:space="preserve"> TN. Cannabis use is associated with reduced prevalence of non-alcoholic fatty liver disease: A cross-sectional study. </w:t>
      </w:r>
      <w:proofErr w:type="spellStart"/>
      <w:r w:rsidRPr="00D40ECC">
        <w:rPr>
          <w:rFonts w:ascii="Book Antiqua" w:hAnsi="Book Antiqua"/>
          <w:i/>
          <w:iCs/>
        </w:rPr>
        <w:t>PLoS</w:t>
      </w:r>
      <w:proofErr w:type="spellEnd"/>
      <w:r w:rsidRPr="00D40ECC">
        <w:rPr>
          <w:rFonts w:ascii="Book Antiqua" w:hAnsi="Book Antiqua"/>
          <w:i/>
          <w:iCs/>
        </w:rPr>
        <w:t xml:space="preserve"> One</w:t>
      </w:r>
      <w:r w:rsidRPr="00D40ECC">
        <w:rPr>
          <w:rFonts w:ascii="Book Antiqua" w:hAnsi="Book Antiqua"/>
        </w:rPr>
        <w:t xml:space="preserve"> 2017; </w:t>
      </w:r>
      <w:r w:rsidRPr="00D40ECC">
        <w:rPr>
          <w:rFonts w:ascii="Book Antiqua" w:hAnsi="Book Antiqua"/>
          <w:b/>
          <w:bCs/>
        </w:rPr>
        <w:t>12</w:t>
      </w:r>
      <w:r w:rsidRPr="00D40ECC">
        <w:rPr>
          <w:rFonts w:ascii="Book Antiqua" w:hAnsi="Book Antiqua"/>
        </w:rPr>
        <w:t>: e0176416 [PMID: 28441459 DOI: 10.1371/journal.pone.0176416]</w:t>
      </w:r>
    </w:p>
    <w:p w14:paraId="7BF6A115" w14:textId="77777777" w:rsidR="00D17D65" w:rsidRPr="00D40ECC" w:rsidRDefault="00D17D65" w:rsidP="005638C6">
      <w:pPr>
        <w:spacing w:line="360" w:lineRule="auto"/>
        <w:jc w:val="both"/>
        <w:rPr>
          <w:rFonts w:ascii="Book Antiqua" w:hAnsi="Book Antiqua"/>
        </w:rPr>
      </w:pPr>
      <w:r w:rsidRPr="00D40ECC">
        <w:rPr>
          <w:rFonts w:ascii="Book Antiqua" w:hAnsi="Book Antiqua"/>
        </w:rPr>
        <w:t xml:space="preserve">4 </w:t>
      </w:r>
      <w:r w:rsidRPr="00D40ECC">
        <w:rPr>
          <w:rFonts w:ascii="Book Antiqua" w:hAnsi="Book Antiqua"/>
          <w:b/>
          <w:bCs/>
        </w:rPr>
        <w:t>Carr RM</w:t>
      </w:r>
      <w:r w:rsidRPr="00D40ECC">
        <w:rPr>
          <w:rFonts w:ascii="Book Antiqua" w:hAnsi="Book Antiqua"/>
        </w:rPr>
        <w:t xml:space="preserve">, </w:t>
      </w:r>
      <w:proofErr w:type="spellStart"/>
      <w:r w:rsidRPr="00D40ECC">
        <w:rPr>
          <w:rFonts w:ascii="Book Antiqua" w:hAnsi="Book Antiqua"/>
        </w:rPr>
        <w:t>Oranu</w:t>
      </w:r>
      <w:proofErr w:type="spellEnd"/>
      <w:r w:rsidRPr="00D40ECC">
        <w:rPr>
          <w:rFonts w:ascii="Book Antiqua" w:hAnsi="Book Antiqua"/>
        </w:rPr>
        <w:t xml:space="preserve"> A, </w:t>
      </w:r>
      <w:proofErr w:type="spellStart"/>
      <w:r w:rsidRPr="00D40ECC">
        <w:rPr>
          <w:rFonts w:ascii="Book Antiqua" w:hAnsi="Book Antiqua"/>
        </w:rPr>
        <w:t>Khungar</w:t>
      </w:r>
      <w:proofErr w:type="spellEnd"/>
      <w:r w:rsidRPr="00D40ECC">
        <w:rPr>
          <w:rFonts w:ascii="Book Antiqua" w:hAnsi="Book Antiqua"/>
        </w:rPr>
        <w:t xml:space="preserve"> V. Nonalcoholic Fatty Liver Disease: Pathophysiology and Management. </w:t>
      </w:r>
      <w:r w:rsidRPr="00D40ECC">
        <w:rPr>
          <w:rFonts w:ascii="Book Antiqua" w:hAnsi="Book Antiqua"/>
          <w:i/>
          <w:iCs/>
        </w:rPr>
        <w:t>Gastroenterol Clin North Am</w:t>
      </w:r>
      <w:r w:rsidRPr="00D40ECC">
        <w:rPr>
          <w:rFonts w:ascii="Book Antiqua" w:hAnsi="Book Antiqua"/>
        </w:rPr>
        <w:t xml:space="preserve"> 2016; </w:t>
      </w:r>
      <w:r w:rsidRPr="00D40ECC">
        <w:rPr>
          <w:rFonts w:ascii="Book Antiqua" w:hAnsi="Book Antiqua"/>
          <w:b/>
          <w:bCs/>
        </w:rPr>
        <w:t>45</w:t>
      </w:r>
      <w:r w:rsidRPr="00D40ECC">
        <w:rPr>
          <w:rFonts w:ascii="Book Antiqua" w:hAnsi="Book Antiqua"/>
        </w:rPr>
        <w:t>: 639-652 [PMID: 27837778 DOI: 10.1016/j.gtc.2016.07.003]</w:t>
      </w:r>
    </w:p>
    <w:p w14:paraId="3F8E96EB" w14:textId="2282BE30" w:rsidR="00D17D65" w:rsidRPr="00D40ECC" w:rsidRDefault="00D17D65" w:rsidP="005638C6">
      <w:pPr>
        <w:spacing w:line="360" w:lineRule="auto"/>
        <w:jc w:val="both"/>
        <w:rPr>
          <w:rFonts w:ascii="Book Antiqua" w:hAnsi="Book Antiqua"/>
        </w:rPr>
      </w:pPr>
      <w:proofErr w:type="gramStart"/>
      <w:r w:rsidRPr="00D40ECC">
        <w:rPr>
          <w:rFonts w:ascii="Book Antiqua" w:hAnsi="Book Antiqua"/>
        </w:rPr>
        <w:t xml:space="preserve">5 </w:t>
      </w:r>
      <w:r w:rsidRPr="00D40ECC">
        <w:rPr>
          <w:rFonts w:ascii="Book Antiqua" w:hAnsi="Book Antiqua"/>
          <w:b/>
          <w:bCs/>
        </w:rPr>
        <w:t>Fu Z</w:t>
      </w:r>
      <w:r w:rsidRPr="00D40ECC">
        <w:rPr>
          <w:rFonts w:ascii="Book Antiqua" w:hAnsi="Book Antiqua"/>
        </w:rPr>
        <w:t>, Gilbert ER, Liu D. Regulation of insulin synthesis and secretion and pancreatic Beta-cell dysfunction in diabetes.</w:t>
      </w:r>
      <w:proofErr w:type="gramEnd"/>
      <w:r w:rsidRPr="00D40ECC">
        <w:rPr>
          <w:rFonts w:ascii="Book Antiqua" w:hAnsi="Book Antiqua"/>
        </w:rPr>
        <w:t xml:space="preserve"> </w:t>
      </w:r>
      <w:proofErr w:type="spellStart"/>
      <w:r w:rsidRPr="00D40ECC">
        <w:rPr>
          <w:rFonts w:ascii="Book Antiqua" w:hAnsi="Book Antiqua"/>
          <w:i/>
          <w:iCs/>
        </w:rPr>
        <w:t>Curr</w:t>
      </w:r>
      <w:proofErr w:type="spellEnd"/>
      <w:r w:rsidRPr="00D40ECC">
        <w:rPr>
          <w:rFonts w:ascii="Book Antiqua" w:hAnsi="Book Antiqua"/>
          <w:i/>
          <w:iCs/>
        </w:rPr>
        <w:t xml:space="preserve"> Diabetes Rev</w:t>
      </w:r>
      <w:r w:rsidRPr="00D40ECC">
        <w:rPr>
          <w:rFonts w:ascii="Book Antiqua" w:hAnsi="Book Antiqua"/>
        </w:rPr>
        <w:t xml:space="preserve"> 2013; </w:t>
      </w:r>
      <w:r w:rsidRPr="00D40ECC">
        <w:rPr>
          <w:rFonts w:ascii="Book Antiqua" w:hAnsi="Book Antiqua"/>
          <w:b/>
          <w:bCs/>
        </w:rPr>
        <w:t>9</w:t>
      </w:r>
      <w:r w:rsidRPr="00D40ECC">
        <w:rPr>
          <w:rFonts w:ascii="Book Antiqua" w:hAnsi="Book Antiqua"/>
        </w:rPr>
        <w:t>: 25-53 [PMID: 22974359</w:t>
      </w:r>
      <w:r w:rsidR="00AB6147" w:rsidRPr="00D40ECC">
        <w:rPr>
          <w:rFonts w:ascii="Book Antiqua" w:hAnsi="Book Antiqua"/>
          <w:lang w:eastAsia="zh-CN"/>
        </w:rPr>
        <w:t xml:space="preserve"> DOI: 10.2174/157339913804143225</w:t>
      </w:r>
      <w:r w:rsidRPr="00D40ECC">
        <w:rPr>
          <w:rFonts w:ascii="Book Antiqua" w:hAnsi="Book Antiqua"/>
        </w:rPr>
        <w:t>]</w:t>
      </w:r>
    </w:p>
    <w:p w14:paraId="5C408B9D" w14:textId="77777777" w:rsidR="00D17D65" w:rsidRPr="00D40ECC" w:rsidRDefault="00D17D65" w:rsidP="005638C6">
      <w:pPr>
        <w:spacing w:line="360" w:lineRule="auto"/>
        <w:jc w:val="both"/>
        <w:rPr>
          <w:rFonts w:ascii="Book Antiqua" w:hAnsi="Book Antiqua"/>
        </w:rPr>
      </w:pPr>
      <w:r w:rsidRPr="00D40ECC">
        <w:rPr>
          <w:rFonts w:ascii="Book Antiqua" w:hAnsi="Book Antiqua"/>
        </w:rPr>
        <w:t xml:space="preserve">6 </w:t>
      </w:r>
      <w:r w:rsidRPr="00D40ECC">
        <w:rPr>
          <w:rFonts w:ascii="Book Antiqua" w:hAnsi="Book Antiqua"/>
          <w:b/>
          <w:bCs/>
        </w:rPr>
        <w:t>Kim D</w:t>
      </w:r>
      <w:r w:rsidRPr="00D40ECC">
        <w:rPr>
          <w:rFonts w:ascii="Book Antiqua" w:hAnsi="Book Antiqua"/>
        </w:rPr>
        <w:t xml:space="preserve">, Kim W, Kwak MS, Chung GE, </w:t>
      </w:r>
      <w:proofErr w:type="spellStart"/>
      <w:r w:rsidRPr="00D40ECC">
        <w:rPr>
          <w:rFonts w:ascii="Book Antiqua" w:hAnsi="Book Antiqua"/>
        </w:rPr>
        <w:t>Yim</w:t>
      </w:r>
      <w:proofErr w:type="spellEnd"/>
      <w:r w:rsidRPr="00D40ECC">
        <w:rPr>
          <w:rFonts w:ascii="Book Antiqua" w:hAnsi="Book Antiqua"/>
        </w:rPr>
        <w:t xml:space="preserve"> JY, Ahmed A. Inverse association of marijuana use with nonalcoholic fatty liver disease among adults in the United States. </w:t>
      </w:r>
      <w:proofErr w:type="spellStart"/>
      <w:r w:rsidRPr="00D40ECC">
        <w:rPr>
          <w:rFonts w:ascii="Book Antiqua" w:hAnsi="Book Antiqua"/>
          <w:i/>
          <w:iCs/>
        </w:rPr>
        <w:t>PLoS</w:t>
      </w:r>
      <w:proofErr w:type="spellEnd"/>
      <w:r w:rsidRPr="00D40ECC">
        <w:rPr>
          <w:rFonts w:ascii="Book Antiqua" w:hAnsi="Book Antiqua"/>
          <w:i/>
          <w:iCs/>
        </w:rPr>
        <w:t xml:space="preserve"> One</w:t>
      </w:r>
      <w:r w:rsidRPr="00D40ECC">
        <w:rPr>
          <w:rFonts w:ascii="Book Antiqua" w:hAnsi="Book Antiqua"/>
        </w:rPr>
        <w:t xml:space="preserve"> 2017; </w:t>
      </w:r>
      <w:r w:rsidRPr="00D40ECC">
        <w:rPr>
          <w:rFonts w:ascii="Book Antiqua" w:hAnsi="Book Antiqua"/>
          <w:b/>
          <w:bCs/>
        </w:rPr>
        <w:t>12</w:t>
      </w:r>
      <w:r w:rsidRPr="00D40ECC">
        <w:rPr>
          <w:rFonts w:ascii="Book Antiqua" w:hAnsi="Book Antiqua"/>
        </w:rPr>
        <w:t>: e0186702 [PMID: 29049354 DOI: 10.1371/journal.pone.0186702]</w:t>
      </w:r>
    </w:p>
    <w:p w14:paraId="3338E27F" w14:textId="77777777" w:rsidR="00D17D65" w:rsidRPr="00D40ECC" w:rsidRDefault="00D17D65" w:rsidP="005638C6">
      <w:pPr>
        <w:spacing w:line="360" w:lineRule="auto"/>
        <w:jc w:val="both"/>
        <w:rPr>
          <w:rFonts w:ascii="Book Antiqua" w:hAnsi="Book Antiqua"/>
        </w:rPr>
      </w:pPr>
      <w:r w:rsidRPr="00D40ECC">
        <w:rPr>
          <w:rFonts w:ascii="Book Antiqua" w:hAnsi="Book Antiqua"/>
        </w:rPr>
        <w:t xml:space="preserve">7 </w:t>
      </w:r>
      <w:r w:rsidRPr="00D40ECC">
        <w:rPr>
          <w:rFonts w:ascii="Book Antiqua" w:hAnsi="Book Antiqua"/>
          <w:b/>
          <w:bCs/>
        </w:rPr>
        <w:t>Farooqui MT</w:t>
      </w:r>
      <w:r w:rsidRPr="00D40ECC">
        <w:rPr>
          <w:rFonts w:ascii="Book Antiqua" w:hAnsi="Book Antiqua"/>
        </w:rPr>
        <w:t xml:space="preserve">, Khan MA, </w:t>
      </w:r>
      <w:proofErr w:type="spellStart"/>
      <w:r w:rsidRPr="00D40ECC">
        <w:rPr>
          <w:rFonts w:ascii="Book Antiqua" w:hAnsi="Book Antiqua"/>
        </w:rPr>
        <w:t>Cholankeril</w:t>
      </w:r>
      <w:proofErr w:type="spellEnd"/>
      <w:r w:rsidRPr="00D40ECC">
        <w:rPr>
          <w:rFonts w:ascii="Book Antiqua" w:hAnsi="Book Antiqua"/>
        </w:rPr>
        <w:t xml:space="preserve"> G, Khan Z, Mohammed Abdul MK, Li AA, Shah N, Wu L, </w:t>
      </w:r>
      <w:proofErr w:type="spellStart"/>
      <w:r w:rsidRPr="00D40ECC">
        <w:rPr>
          <w:rFonts w:ascii="Book Antiqua" w:hAnsi="Book Antiqua"/>
        </w:rPr>
        <w:t>Haq</w:t>
      </w:r>
      <w:proofErr w:type="spellEnd"/>
      <w:r w:rsidRPr="00D40ECC">
        <w:rPr>
          <w:rFonts w:ascii="Book Antiqua" w:hAnsi="Book Antiqua"/>
        </w:rPr>
        <w:t xml:space="preserve"> K, </w:t>
      </w:r>
      <w:proofErr w:type="spellStart"/>
      <w:r w:rsidRPr="00D40ECC">
        <w:rPr>
          <w:rFonts w:ascii="Book Antiqua" w:hAnsi="Book Antiqua"/>
        </w:rPr>
        <w:t>Solanki</w:t>
      </w:r>
      <w:proofErr w:type="spellEnd"/>
      <w:r w:rsidRPr="00D40ECC">
        <w:rPr>
          <w:rFonts w:ascii="Book Antiqua" w:hAnsi="Book Antiqua"/>
        </w:rPr>
        <w:t xml:space="preserve"> S, Kim D, Ahmed A. Marijuana is not associated with progression of hepatic fibrosis in liver disease: a systematic review and meta-analysis. </w:t>
      </w:r>
      <w:r w:rsidRPr="00D40ECC">
        <w:rPr>
          <w:rFonts w:ascii="Book Antiqua" w:hAnsi="Book Antiqua"/>
          <w:i/>
          <w:iCs/>
        </w:rPr>
        <w:t>Eur J Gastroenterol Hepatol</w:t>
      </w:r>
      <w:r w:rsidRPr="00D40ECC">
        <w:rPr>
          <w:rFonts w:ascii="Book Antiqua" w:hAnsi="Book Antiqua"/>
        </w:rPr>
        <w:t xml:space="preserve"> 2019; </w:t>
      </w:r>
      <w:r w:rsidRPr="00D40ECC">
        <w:rPr>
          <w:rFonts w:ascii="Book Antiqua" w:hAnsi="Book Antiqua"/>
          <w:b/>
          <w:bCs/>
        </w:rPr>
        <w:t>31</w:t>
      </w:r>
      <w:r w:rsidRPr="00D40ECC">
        <w:rPr>
          <w:rFonts w:ascii="Book Antiqua" w:hAnsi="Book Antiqua"/>
        </w:rPr>
        <w:t>: 149-156 [PMID: 30234644 DOI: 10.1097/MEG.0000000000001263]</w:t>
      </w:r>
    </w:p>
    <w:p w14:paraId="28560186" w14:textId="77777777" w:rsidR="00D17D65" w:rsidRPr="00D40ECC" w:rsidRDefault="00D17D65" w:rsidP="005638C6">
      <w:pPr>
        <w:spacing w:line="360" w:lineRule="auto"/>
        <w:jc w:val="both"/>
        <w:rPr>
          <w:rFonts w:ascii="Book Antiqua" w:hAnsi="Book Antiqua"/>
        </w:rPr>
      </w:pPr>
      <w:r w:rsidRPr="00D40ECC">
        <w:rPr>
          <w:rFonts w:ascii="Book Antiqua" w:hAnsi="Book Antiqua"/>
        </w:rPr>
        <w:t xml:space="preserve">8 </w:t>
      </w:r>
      <w:proofErr w:type="spellStart"/>
      <w:r w:rsidRPr="00D40ECC">
        <w:rPr>
          <w:rFonts w:ascii="Book Antiqua" w:hAnsi="Book Antiqua"/>
          <w:b/>
          <w:bCs/>
        </w:rPr>
        <w:t>Hézode</w:t>
      </w:r>
      <w:proofErr w:type="spellEnd"/>
      <w:r w:rsidRPr="00D40ECC">
        <w:rPr>
          <w:rFonts w:ascii="Book Antiqua" w:hAnsi="Book Antiqua"/>
          <w:b/>
          <w:bCs/>
        </w:rPr>
        <w:t xml:space="preserve"> C</w:t>
      </w:r>
      <w:r w:rsidRPr="00D40ECC">
        <w:rPr>
          <w:rFonts w:ascii="Book Antiqua" w:hAnsi="Book Antiqua"/>
        </w:rPr>
        <w:t xml:space="preserve">, </w:t>
      </w:r>
      <w:proofErr w:type="spellStart"/>
      <w:r w:rsidRPr="00D40ECC">
        <w:rPr>
          <w:rFonts w:ascii="Book Antiqua" w:hAnsi="Book Antiqua"/>
        </w:rPr>
        <w:t>Roudot-Thoraval</w:t>
      </w:r>
      <w:proofErr w:type="spellEnd"/>
      <w:r w:rsidRPr="00D40ECC">
        <w:rPr>
          <w:rFonts w:ascii="Book Antiqua" w:hAnsi="Book Antiqua"/>
        </w:rPr>
        <w:t xml:space="preserve"> F, Nguyen S, </w:t>
      </w:r>
      <w:proofErr w:type="spellStart"/>
      <w:r w:rsidRPr="00D40ECC">
        <w:rPr>
          <w:rFonts w:ascii="Book Antiqua" w:hAnsi="Book Antiqua"/>
        </w:rPr>
        <w:t>Grenard</w:t>
      </w:r>
      <w:proofErr w:type="spellEnd"/>
      <w:r w:rsidRPr="00D40ECC">
        <w:rPr>
          <w:rFonts w:ascii="Book Antiqua" w:hAnsi="Book Antiqua"/>
        </w:rPr>
        <w:t xml:space="preserve"> P, </w:t>
      </w:r>
      <w:proofErr w:type="spellStart"/>
      <w:r w:rsidRPr="00D40ECC">
        <w:rPr>
          <w:rFonts w:ascii="Book Antiqua" w:hAnsi="Book Antiqua"/>
        </w:rPr>
        <w:t>Julien</w:t>
      </w:r>
      <w:proofErr w:type="spellEnd"/>
      <w:r w:rsidRPr="00D40ECC">
        <w:rPr>
          <w:rFonts w:ascii="Book Antiqua" w:hAnsi="Book Antiqua"/>
        </w:rPr>
        <w:t xml:space="preserve"> B, </w:t>
      </w:r>
      <w:proofErr w:type="spellStart"/>
      <w:r w:rsidRPr="00D40ECC">
        <w:rPr>
          <w:rFonts w:ascii="Book Antiqua" w:hAnsi="Book Antiqua"/>
        </w:rPr>
        <w:t>Zafrani</w:t>
      </w:r>
      <w:proofErr w:type="spellEnd"/>
      <w:r w:rsidRPr="00D40ECC">
        <w:rPr>
          <w:rFonts w:ascii="Book Antiqua" w:hAnsi="Book Antiqua"/>
        </w:rPr>
        <w:t xml:space="preserve"> ES, </w:t>
      </w:r>
      <w:proofErr w:type="spellStart"/>
      <w:r w:rsidRPr="00D40ECC">
        <w:rPr>
          <w:rFonts w:ascii="Book Antiqua" w:hAnsi="Book Antiqua"/>
        </w:rPr>
        <w:t>Pawlotsky</w:t>
      </w:r>
      <w:proofErr w:type="spellEnd"/>
      <w:r w:rsidRPr="00D40ECC">
        <w:rPr>
          <w:rFonts w:ascii="Book Antiqua" w:hAnsi="Book Antiqua"/>
        </w:rPr>
        <w:t xml:space="preserve"> JM, </w:t>
      </w:r>
      <w:proofErr w:type="spellStart"/>
      <w:r w:rsidRPr="00D40ECC">
        <w:rPr>
          <w:rFonts w:ascii="Book Antiqua" w:hAnsi="Book Antiqua"/>
        </w:rPr>
        <w:t>Dhumeaux</w:t>
      </w:r>
      <w:proofErr w:type="spellEnd"/>
      <w:r w:rsidRPr="00D40ECC">
        <w:rPr>
          <w:rFonts w:ascii="Book Antiqua" w:hAnsi="Book Antiqua"/>
        </w:rPr>
        <w:t xml:space="preserve"> D, </w:t>
      </w:r>
      <w:proofErr w:type="spellStart"/>
      <w:r w:rsidRPr="00D40ECC">
        <w:rPr>
          <w:rFonts w:ascii="Book Antiqua" w:hAnsi="Book Antiqua"/>
        </w:rPr>
        <w:t>Lotersztajn</w:t>
      </w:r>
      <w:proofErr w:type="spellEnd"/>
      <w:r w:rsidRPr="00D40ECC">
        <w:rPr>
          <w:rFonts w:ascii="Book Antiqua" w:hAnsi="Book Antiqua"/>
        </w:rPr>
        <w:t xml:space="preserve"> S, </w:t>
      </w:r>
      <w:proofErr w:type="spellStart"/>
      <w:r w:rsidRPr="00D40ECC">
        <w:rPr>
          <w:rFonts w:ascii="Book Antiqua" w:hAnsi="Book Antiqua"/>
        </w:rPr>
        <w:t>Mallat</w:t>
      </w:r>
      <w:proofErr w:type="spellEnd"/>
      <w:r w:rsidRPr="00D40ECC">
        <w:rPr>
          <w:rFonts w:ascii="Book Antiqua" w:hAnsi="Book Antiqua"/>
        </w:rPr>
        <w:t xml:space="preserve"> A. Daily cannabis smoking as a risk factor for </w:t>
      </w:r>
      <w:r w:rsidRPr="00D40ECC">
        <w:rPr>
          <w:rFonts w:ascii="Book Antiqua" w:hAnsi="Book Antiqua"/>
        </w:rPr>
        <w:lastRenderedPageBreak/>
        <w:t xml:space="preserve">progression of fibrosis in chronic hepatitis C. </w:t>
      </w:r>
      <w:r w:rsidRPr="00D40ECC">
        <w:rPr>
          <w:rFonts w:ascii="Book Antiqua" w:hAnsi="Book Antiqua"/>
          <w:i/>
          <w:iCs/>
        </w:rPr>
        <w:t>Hepatology</w:t>
      </w:r>
      <w:r w:rsidRPr="00D40ECC">
        <w:rPr>
          <w:rFonts w:ascii="Book Antiqua" w:hAnsi="Book Antiqua"/>
        </w:rPr>
        <w:t xml:space="preserve"> 2005; </w:t>
      </w:r>
      <w:r w:rsidRPr="00D40ECC">
        <w:rPr>
          <w:rFonts w:ascii="Book Antiqua" w:hAnsi="Book Antiqua"/>
          <w:b/>
          <w:bCs/>
        </w:rPr>
        <w:t>42</w:t>
      </w:r>
      <w:r w:rsidRPr="00D40ECC">
        <w:rPr>
          <w:rFonts w:ascii="Book Antiqua" w:hAnsi="Book Antiqua"/>
        </w:rPr>
        <w:t>: 63-71 [PMID: 15892090 DOI: 10.1002/hep.20733]</w:t>
      </w:r>
    </w:p>
    <w:p w14:paraId="06852DED" w14:textId="77777777" w:rsidR="00D17D65" w:rsidRPr="00D40ECC" w:rsidRDefault="00D17D65" w:rsidP="005638C6">
      <w:pPr>
        <w:spacing w:line="360" w:lineRule="auto"/>
        <w:jc w:val="both"/>
        <w:rPr>
          <w:rFonts w:ascii="Book Antiqua" w:hAnsi="Book Antiqua"/>
        </w:rPr>
      </w:pPr>
      <w:r w:rsidRPr="00D40ECC">
        <w:rPr>
          <w:rFonts w:ascii="Book Antiqua" w:hAnsi="Book Antiqua"/>
        </w:rPr>
        <w:t xml:space="preserve">9 </w:t>
      </w:r>
      <w:r w:rsidRPr="00D40ECC">
        <w:rPr>
          <w:rFonts w:ascii="Book Antiqua" w:hAnsi="Book Antiqua"/>
          <w:b/>
          <w:bCs/>
        </w:rPr>
        <w:t>Ishida JH</w:t>
      </w:r>
      <w:r w:rsidRPr="00D40ECC">
        <w:rPr>
          <w:rFonts w:ascii="Book Antiqua" w:hAnsi="Book Antiqua"/>
        </w:rPr>
        <w:t xml:space="preserve">, Peters MG, Jin C, Louie K, Tan V, </w:t>
      </w:r>
      <w:proofErr w:type="spellStart"/>
      <w:r w:rsidRPr="00D40ECC">
        <w:rPr>
          <w:rFonts w:ascii="Book Antiqua" w:hAnsi="Book Antiqua"/>
        </w:rPr>
        <w:t>Bacchetti</w:t>
      </w:r>
      <w:proofErr w:type="spellEnd"/>
      <w:r w:rsidRPr="00D40ECC">
        <w:rPr>
          <w:rFonts w:ascii="Book Antiqua" w:hAnsi="Book Antiqua"/>
        </w:rPr>
        <w:t xml:space="preserve"> P, </w:t>
      </w:r>
      <w:proofErr w:type="spellStart"/>
      <w:r w:rsidRPr="00D40ECC">
        <w:rPr>
          <w:rFonts w:ascii="Book Antiqua" w:hAnsi="Book Antiqua"/>
        </w:rPr>
        <w:t>Terrault</w:t>
      </w:r>
      <w:proofErr w:type="spellEnd"/>
      <w:r w:rsidRPr="00D40ECC">
        <w:rPr>
          <w:rFonts w:ascii="Book Antiqua" w:hAnsi="Book Antiqua"/>
        </w:rPr>
        <w:t xml:space="preserve"> NA. Influence of cannabis use on severity of hepatitis C disease. </w:t>
      </w:r>
      <w:r w:rsidRPr="00D40ECC">
        <w:rPr>
          <w:rFonts w:ascii="Book Antiqua" w:hAnsi="Book Antiqua"/>
          <w:i/>
          <w:iCs/>
        </w:rPr>
        <w:t>Clin Gastroenterol Hepatol</w:t>
      </w:r>
      <w:r w:rsidRPr="00D40ECC">
        <w:rPr>
          <w:rFonts w:ascii="Book Antiqua" w:hAnsi="Book Antiqua"/>
        </w:rPr>
        <w:t xml:space="preserve"> 2008; </w:t>
      </w:r>
      <w:r w:rsidRPr="00D40ECC">
        <w:rPr>
          <w:rFonts w:ascii="Book Antiqua" w:hAnsi="Book Antiqua"/>
          <w:b/>
          <w:bCs/>
        </w:rPr>
        <w:t>6</w:t>
      </w:r>
      <w:r w:rsidRPr="00D40ECC">
        <w:rPr>
          <w:rFonts w:ascii="Book Antiqua" w:hAnsi="Book Antiqua"/>
        </w:rPr>
        <w:t>: 69-75 [PMID: 18166478 DOI: 10.1016/j.cgh.2007.10.021]</w:t>
      </w:r>
    </w:p>
    <w:p w14:paraId="3E3F9213" w14:textId="77777777" w:rsidR="00D17D65" w:rsidRPr="00D40ECC" w:rsidRDefault="00D17D65" w:rsidP="005638C6">
      <w:pPr>
        <w:spacing w:line="360" w:lineRule="auto"/>
        <w:jc w:val="both"/>
        <w:rPr>
          <w:rFonts w:ascii="Book Antiqua" w:hAnsi="Book Antiqua"/>
        </w:rPr>
      </w:pPr>
      <w:r w:rsidRPr="00D40ECC">
        <w:rPr>
          <w:rFonts w:ascii="Book Antiqua" w:hAnsi="Book Antiqua"/>
        </w:rPr>
        <w:t xml:space="preserve">10 </w:t>
      </w:r>
      <w:r w:rsidRPr="00D40ECC">
        <w:rPr>
          <w:rFonts w:ascii="Book Antiqua" w:hAnsi="Book Antiqua"/>
          <w:b/>
          <w:bCs/>
        </w:rPr>
        <w:t xml:space="preserve">Healthcare Cost and Utilization Project (HCUP). </w:t>
      </w:r>
      <w:proofErr w:type="gramStart"/>
      <w:r w:rsidRPr="00D40ECC">
        <w:rPr>
          <w:rFonts w:ascii="Book Antiqua" w:hAnsi="Book Antiqua"/>
          <w:bCs/>
        </w:rPr>
        <w:t xml:space="preserve">HCUP </w:t>
      </w:r>
      <w:proofErr w:type="spellStart"/>
      <w:r w:rsidRPr="00D40ECC">
        <w:rPr>
          <w:rFonts w:ascii="Book Antiqua" w:hAnsi="Book Antiqua"/>
          <w:bCs/>
        </w:rPr>
        <w:t>Elixhauser</w:t>
      </w:r>
      <w:proofErr w:type="spellEnd"/>
      <w:r w:rsidRPr="00D40ECC">
        <w:rPr>
          <w:rFonts w:ascii="Book Antiqua" w:hAnsi="Book Antiqua"/>
          <w:bCs/>
        </w:rPr>
        <w:t xml:space="preserve"> Comorbidity Software,</w:t>
      </w:r>
      <w:r w:rsidRPr="00D40ECC">
        <w:rPr>
          <w:rFonts w:ascii="Book Antiqua" w:hAnsi="Book Antiqua"/>
        </w:rPr>
        <w:t xml:space="preserve"> </w:t>
      </w:r>
      <w:proofErr w:type="spellStart"/>
      <w:r w:rsidRPr="00D40ECC">
        <w:rPr>
          <w:rFonts w:ascii="Book Antiqua" w:hAnsi="Book Antiqua"/>
        </w:rPr>
        <w:t>Verson</w:t>
      </w:r>
      <w:proofErr w:type="spellEnd"/>
      <w:r w:rsidRPr="00D40ECC">
        <w:rPr>
          <w:rFonts w:ascii="Book Antiqua" w:hAnsi="Book Antiqua"/>
        </w:rPr>
        <w:t xml:space="preserve"> 3.7 [Internet].</w:t>
      </w:r>
      <w:proofErr w:type="gramEnd"/>
      <w:r w:rsidRPr="00D40ECC">
        <w:rPr>
          <w:rFonts w:ascii="Book Antiqua" w:hAnsi="Book Antiqua"/>
        </w:rPr>
        <w:t xml:space="preserve"> </w:t>
      </w:r>
      <w:proofErr w:type="gramStart"/>
      <w:r w:rsidRPr="00D40ECC">
        <w:rPr>
          <w:rFonts w:ascii="Book Antiqua" w:hAnsi="Book Antiqua"/>
        </w:rPr>
        <w:t xml:space="preserve">Agency </w:t>
      </w:r>
      <w:proofErr w:type="spellStart"/>
      <w:r w:rsidRPr="00D40ECC">
        <w:rPr>
          <w:rFonts w:ascii="Book Antiqua" w:hAnsi="Book Antiqua"/>
        </w:rPr>
        <w:t>Healthc</w:t>
      </w:r>
      <w:proofErr w:type="spellEnd"/>
      <w:r w:rsidRPr="00D40ECC">
        <w:rPr>
          <w:rFonts w:ascii="Book Antiqua" w:hAnsi="Book Antiqua"/>
        </w:rPr>
        <w:t>.</w:t>
      </w:r>
      <w:proofErr w:type="gramEnd"/>
      <w:r w:rsidRPr="00D40ECC">
        <w:rPr>
          <w:rFonts w:ascii="Book Antiqua" w:hAnsi="Book Antiqua"/>
        </w:rPr>
        <w:t xml:space="preserve"> </w:t>
      </w:r>
      <w:proofErr w:type="gramStart"/>
      <w:r w:rsidRPr="00D40ECC">
        <w:rPr>
          <w:rFonts w:ascii="Book Antiqua" w:hAnsi="Book Antiqua"/>
        </w:rPr>
        <w:t>Res. Qual. 2017; Rockville, MD.</w:t>
      </w:r>
      <w:proofErr w:type="gramEnd"/>
      <w:r w:rsidRPr="00D40ECC">
        <w:rPr>
          <w:rFonts w:ascii="Book Antiqua" w:hAnsi="Book Antiqua"/>
        </w:rPr>
        <w:t xml:space="preserve"> 2017. Available from: http://www.hcup-us.ahrq.gov/toolssoftware/comorbidity/comorbidity.jsp</w:t>
      </w:r>
    </w:p>
    <w:p w14:paraId="27D3A67D" w14:textId="77777777" w:rsidR="00D17D65" w:rsidRPr="00D40ECC" w:rsidRDefault="00D17D65" w:rsidP="005638C6">
      <w:pPr>
        <w:spacing w:line="360" w:lineRule="auto"/>
        <w:jc w:val="both"/>
        <w:rPr>
          <w:rFonts w:ascii="Book Antiqua" w:hAnsi="Book Antiqua"/>
        </w:rPr>
      </w:pPr>
      <w:r w:rsidRPr="00D40ECC">
        <w:rPr>
          <w:rFonts w:ascii="Book Antiqua" w:hAnsi="Book Antiqua"/>
        </w:rPr>
        <w:t xml:space="preserve">11 </w:t>
      </w:r>
      <w:proofErr w:type="spellStart"/>
      <w:r w:rsidRPr="00D40ECC">
        <w:rPr>
          <w:rFonts w:ascii="Book Antiqua" w:hAnsi="Book Antiqua"/>
          <w:b/>
          <w:bCs/>
        </w:rPr>
        <w:t>Elixhauser</w:t>
      </w:r>
      <w:proofErr w:type="spellEnd"/>
      <w:r w:rsidRPr="00D40ECC">
        <w:rPr>
          <w:rFonts w:ascii="Book Antiqua" w:hAnsi="Book Antiqua"/>
          <w:b/>
          <w:bCs/>
        </w:rPr>
        <w:t xml:space="preserve"> A</w:t>
      </w:r>
      <w:r w:rsidRPr="00D40ECC">
        <w:rPr>
          <w:rFonts w:ascii="Book Antiqua" w:hAnsi="Book Antiqua"/>
        </w:rPr>
        <w:t xml:space="preserve">, Steiner C, Harris DR, Coffey RM. Comorbidity measures for use with administrative data. </w:t>
      </w:r>
      <w:r w:rsidRPr="00D40ECC">
        <w:rPr>
          <w:rFonts w:ascii="Book Antiqua" w:hAnsi="Book Antiqua"/>
          <w:i/>
          <w:iCs/>
        </w:rPr>
        <w:t>Med Care</w:t>
      </w:r>
      <w:r w:rsidRPr="00D40ECC">
        <w:rPr>
          <w:rFonts w:ascii="Book Antiqua" w:hAnsi="Book Antiqua"/>
        </w:rPr>
        <w:t xml:space="preserve"> 1998; </w:t>
      </w:r>
      <w:r w:rsidRPr="00D40ECC">
        <w:rPr>
          <w:rFonts w:ascii="Book Antiqua" w:hAnsi="Book Antiqua"/>
          <w:b/>
          <w:bCs/>
        </w:rPr>
        <w:t>36</w:t>
      </w:r>
      <w:r w:rsidRPr="00D40ECC">
        <w:rPr>
          <w:rFonts w:ascii="Book Antiqua" w:hAnsi="Book Antiqua"/>
        </w:rPr>
        <w:t>: 8-27 [PMID: 9431328 DOI: 10.1097/00005650-199801000-00004]</w:t>
      </w:r>
    </w:p>
    <w:p w14:paraId="7DA6DD1A" w14:textId="77777777" w:rsidR="00D17D65" w:rsidRPr="00D40ECC" w:rsidRDefault="00D17D65" w:rsidP="005638C6">
      <w:pPr>
        <w:spacing w:line="360" w:lineRule="auto"/>
        <w:jc w:val="both"/>
        <w:rPr>
          <w:rFonts w:ascii="Book Antiqua" w:hAnsi="Book Antiqua"/>
          <w:lang w:val="pt-BR"/>
        </w:rPr>
      </w:pPr>
      <w:r w:rsidRPr="00D40ECC">
        <w:rPr>
          <w:rFonts w:ascii="Book Antiqua" w:hAnsi="Book Antiqua"/>
        </w:rPr>
        <w:t xml:space="preserve">12 </w:t>
      </w:r>
      <w:proofErr w:type="spellStart"/>
      <w:r w:rsidRPr="00D40ECC">
        <w:rPr>
          <w:rFonts w:ascii="Book Antiqua" w:hAnsi="Book Antiqua"/>
          <w:b/>
          <w:bCs/>
        </w:rPr>
        <w:t>Rotundo</w:t>
      </w:r>
      <w:proofErr w:type="spellEnd"/>
      <w:r w:rsidRPr="00D40ECC">
        <w:rPr>
          <w:rFonts w:ascii="Book Antiqua" w:hAnsi="Book Antiqua"/>
          <w:b/>
          <w:bCs/>
        </w:rPr>
        <w:t xml:space="preserve"> L</w:t>
      </w:r>
      <w:r w:rsidRPr="00D40ECC">
        <w:rPr>
          <w:rFonts w:ascii="Book Antiqua" w:hAnsi="Book Antiqua"/>
        </w:rPr>
        <w:t xml:space="preserve">, </w:t>
      </w:r>
      <w:proofErr w:type="spellStart"/>
      <w:r w:rsidRPr="00D40ECC">
        <w:rPr>
          <w:rFonts w:ascii="Book Antiqua" w:hAnsi="Book Antiqua"/>
        </w:rPr>
        <w:t>Afridi</w:t>
      </w:r>
      <w:proofErr w:type="spellEnd"/>
      <w:r w:rsidRPr="00D40ECC">
        <w:rPr>
          <w:rFonts w:ascii="Book Antiqua" w:hAnsi="Book Antiqua"/>
        </w:rPr>
        <w:t xml:space="preserve"> F, </w:t>
      </w:r>
      <w:proofErr w:type="spellStart"/>
      <w:r w:rsidRPr="00D40ECC">
        <w:rPr>
          <w:rFonts w:ascii="Book Antiqua" w:hAnsi="Book Antiqua"/>
        </w:rPr>
        <w:t>Feurdean</w:t>
      </w:r>
      <w:proofErr w:type="spellEnd"/>
      <w:r w:rsidRPr="00D40ECC">
        <w:rPr>
          <w:rFonts w:ascii="Book Antiqua" w:hAnsi="Book Antiqua"/>
        </w:rPr>
        <w:t xml:space="preserve"> M, </w:t>
      </w:r>
      <w:proofErr w:type="spellStart"/>
      <w:r w:rsidRPr="00D40ECC">
        <w:rPr>
          <w:rFonts w:ascii="Book Antiqua" w:hAnsi="Book Antiqua"/>
        </w:rPr>
        <w:t>Ahlawat</w:t>
      </w:r>
      <w:proofErr w:type="spellEnd"/>
      <w:r w:rsidRPr="00D40ECC">
        <w:rPr>
          <w:rFonts w:ascii="Book Antiqua" w:hAnsi="Book Antiqua"/>
        </w:rPr>
        <w:t xml:space="preserve"> S. Effect of hospital teaching status on endoscopic retrograde cholangiopancreatography mortality and complications in the USA. </w:t>
      </w:r>
      <w:r w:rsidRPr="00D40ECC">
        <w:rPr>
          <w:rFonts w:ascii="Book Antiqua" w:hAnsi="Book Antiqua"/>
          <w:i/>
          <w:iCs/>
          <w:lang w:val="pt-BR"/>
        </w:rPr>
        <w:t>Surg Endosc</w:t>
      </w:r>
      <w:r w:rsidRPr="00D40ECC">
        <w:rPr>
          <w:rFonts w:ascii="Book Antiqua" w:hAnsi="Book Antiqua"/>
          <w:lang w:val="pt-BR"/>
        </w:rPr>
        <w:t xml:space="preserve"> 2020; : [PMID: 32030551 DOI: 10.1007/s00464-020-07403-z]</w:t>
      </w:r>
    </w:p>
    <w:p w14:paraId="057D2A88" w14:textId="77777777" w:rsidR="00D17D65" w:rsidRPr="00D40ECC" w:rsidRDefault="00D17D65" w:rsidP="005638C6">
      <w:pPr>
        <w:spacing w:line="360" w:lineRule="auto"/>
        <w:jc w:val="both"/>
        <w:rPr>
          <w:rFonts w:ascii="Book Antiqua" w:hAnsi="Book Antiqua"/>
        </w:rPr>
      </w:pPr>
      <w:r w:rsidRPr="00D40ECC">
        <w:rPr>
          <w:rFonts w:ascii="Book Antiqua" w:hAnsi="Book Antiqua"/>
          <w:lang w:val="pt-BR"/>
        </w:rPr>
        <w:t xml:space="preserve">13 </w:t>
      </w:r>
      <w:r w:rsidRPr="00D40ECC">
        <w:rPr>
          <w:rFonts w:ascii="Book Antiqua" w:hAnsi="Book Antiqua"/>
          <w:b/>
          <w:bCs/>
          <w:lang w:val="pt-BR"/>
        </w:rPr>
        <w:t>Quezada SM</w:t>
      </w:r>
      <w:r w:rsidRPr="00D40ECC">
        <w:rPr>
          <w:rFonts w:ascii="Book Antiqua" w:hAnsi="Book Antiqua"/>
          <w:lang w:val="pt-BR"/>
        </w:rPr>
        <w:t xml:space="preserve">, Cross RK. </w:t>
      </w:r>
      <w:proofErr w:type="gramStart"/>
      <w:r w:rsidRPr="00D40ECC">
        <w:rPr>
          <w:rFonts w:ascii="Book Antiqua" w:hAnsi="Book Antiqua"/>
        </w:rPr>
        <w:t>Cannabis and Turmeric as Complementary Treatments for IBD and Other Digestive Diseases.</w:t>
      </w:r>
      <w:proofErr w:type="gramEnd"/>
      <w:r w:rsidRPr="00D40ECC">
        <w:rPr>
          <w:rFonts w:ascii="Book Antiqua" w:hAnsi="Book Antiqua"/>
        </w:rPr>
        <w:t xml:space="preserve"> </w:t>
      </w:r>
      <w:proofErr w:type="spellStart"/>
      <w:r w:rsidRPr="00D40ECC">
        <w:rPr>
          <w:rFonts w:ascii="Book Antiqua" w:hAnsi="Book Antiqua"/>
          <w:i/>
          <w:iCs/>
        </w:rPr>
        <w:t>Curr</w:t>
      </w:r>
      <w:proofErr w:type="spellEnd"/>
      <w:r w:rsidRPr="00D40ECC">
        <w:rPr>
          <w:rFonts w:ascii="Book Antiqua" w:hAnsi="Book Antiqua"/>
          <w:i/>
          <w:iCs/>
        </w:rPr>
        <w:t xml:space="preserve"> </w:t>
      </w:r>
      <w:proofErr w:type="spellStart"/>
      <w:r w:rsidRPr="00D40ECC">
        <w:rPr>
          <w:rFonts w:ascii="Book Antiqua" w:hAnsi="Book Antiqua"/>
          <w:i/>
          <w:iCs/>
        </w:rPr>
        <w:t>Gastroenterol</w:t>
      </w:r>
      <w:proofErr w:type="spellEnd"/>
      <w:r w:rsidRPr="00D40ECC">
        <w:rPr>
          <w:rFonts w:ascii="Book Antiqua" w:hAnsi="Book Antiqua"/>
          <w:i/>
          <w:iCs/>
        </w:rPr>
        <w:t xml:space="preserve"> Rep</w:t>
      </w:r>
      <w:r w:rsidRPr="00D40ECC">
        <w:rPr>
          <w:rFonts w:ascii="Book Antiqua" w:hAnsi="Book Antiqua"/>
        </w:rPr>
        <w:t xml:space="preserve"> 2019; </w:t>
      </w:r>
      <w:r w:rsidRPr="00D40ECC">
        <w:rPr>
          <w:rFonts w:ascii="Book Antiqua" w:hAnsi="Book Antiqua"/>
          <w:b/>
          <w:bCs/>
        </w:rPr>
        <w:t>21</w:t>
      </w:r>
      <w:r w:rsidRPr="00D40ECC">
        <w:rPr>
          <w:rFonts w:ascii="Book Antiqua" w:hAnsi="Book Antiqua"/>
        </w:rPr>
        <w:t>: 2 [PMID: 30635796 DOI: 10.1007/s11894-019-0670-0]</w:t>
      </w:r>
    </w:p>
    <w:p w14:paraId="2DD54F17" w14:textId="77777777" w:rsidR="00D17D65" w:rsidRPr="00D40ECC" w:rsidRDefault="00D17D65" w:rsidP="005638C6">
      <w:pPr>
        <w:spacing w:line="360" w:lineRule="auto"/>
        <w:jc w:val="both"/>
        <w:rPr>
          <w:rFonts w:ascii="Book Antiqua" w:hAnsi="Book Antiqua"/>
        </w:rPr>
      </w:pPr>
      <w:r w:rsidRPr="00D40ECC">
        <w:rPr>
          <w:rFonts w:ascii="Book Antiqua" w:hAnsi="Book Antiqua"/>
        </w:rPr>
        <w:t xml:space="preserve">14 </w:t>
      </w:r>
      <w:proofErr w:type="spellStart"/>
      <w:r w:rsidRPr="00D40ECC">
        <w:rPr>
          <w:rFonts w:ascii="Book Antiqua" w:hAnsi="Book Antiqua"/>
          <w:b/>
          <w:bCs/>
        </w:rPr>
        <w:t>Esfandyari</w:t>
      </w:r>
      <w:proofErr w:type="spellEnd"/>
      <w:r w:rsidRPr="00D40ECC">
        <w:rPr>
          <w:rFonts w:ascii="Book Antiqua" w:hAnsi="Book Antiqua"/>
          <w:b/>
          <w:bCs/>
        </w:rPr>
        <w:t xml:space="preserve"> T</w:t>
      </w:r>
      <w:r w:rsidRPr="00D40ECC">
        <w:rPr>
          <w:rFonts w:ascii="Book Antiqua" w:hAnsi="Book Antiqua"/>
        </w:rPr>
        <w:t xml:space="preserve">, </w:t>
      </w:r>
      <w:proofErr w:type="spellStart"/>
      <w:r w:rsidRPr="00D40ECC">
        <w:rPr>
          <w:rFonts w:ascii="Book Antiqua" w:hAnsi="Book Antiqua"/>
        </w:rPr>
        <w:t>Camilleri</w:t>
      </w:r>
      <w:proofErr w:type="spellEnd"/>
      <w:r w:rsidRPr="00D40ECC">
        <w:rPr>
          <w:rFonts w:ascii="Book Antiqua" w:hAnsi="Book Antiqua"/>
        </w:rPr>
        <w:t xml:space="preserve"> M, Ferber I, Burton D, Baxter K, </w:t>
      </w:r>
      <w:proofErr w:type="spellStart"/>
      <w:r w:rsidRPr="00D40ECC">
        <w:rPr>
          <w:rFonts w:ascii="Book Antiqua" w:hAnsi="Book Antiqua"/>
        </w:rPr>
        <w:t>Zinsmeister</w:t>
      </w:r>
      <w:proofErr w:type="spellEnd"/>
      <w:r w:rsidRPr="00D40ECC">
        <w:rPr>
          <w:rFonts w:ascii="Book Antiqua" w:hAnsi="Book Antiqua"/>
        </w:rPr>
        <w:t xml:space="preserve"> AR. Effect of a cannabinoid agonist on gastrointestinal transit and postprandial satiation in healthy human subjects: a randomized, placebo-controlled study. </w:t>
      </w:r>
      <w:proofErr w:type="spellStart"/>
      <w:r w:rsidRPr="00D40ECC">
        <w:rPr>
          <w:rFonts w:ascii="Book Antiqua" w:hAnsi="Book Antiqua"/>
          <w:i/>
          <w:iCs/>
        </w:rPr>
        <w:t>Neurogastroenterol</w:t>
      </w:r>
      <w:proofErr w:type="spellEnd"/>
      <w:r w:rsidRPr="00D40ECC">
        <w:rPr>
          <w:rFonts w:ascii="Book Antiqua" w:hAnsi="Book Antiqua"/>
          <w:i/>
          <w:iCs/>
        </w:rPr>
        <w:t xml:space="preserve"> </w:t>
      </w:r>
      <w:proofErr w:type="spellStart"/>
      <w:r w:rsidRPr="00D40ECC">
        <w:rPr>
          <w:rFonts w:ascii="Book Antiqua" w:hAnsi="Book Antiqua"/>
          <w:i/>
          <w:iCs/>
        </w:rPr>
        <w:t>Motil</w:t>
      </w:r>
      <w:proofErr w:type="spellEnd"/>
      <w:r w:rsidRPr="00D40ECC">
        <w:rPr>
          <w:rFonts w:ascii="Book Antiqua" w:hAnsi="Book Antiqua"/>
        </w:rPr>
        <w:t xml:space="preserve"> 2006; </w:t>
      </w:r>
      <w:r w:rsidRPr="00D40ECC">
        <w:rPr>
          <w:rFonts w:ascii="Book Antiqua" w:hAnsi="Book Antiqua"/>
          <w:b/>
          <w:bCs/>
        </w:rPr>
        <w:t>18</w:t>
      </w:r>
      <w:r w:rsidRPr="00D40ECC">
        <w:rPr>
          <w:rFonts w:ascii="Book Antiqua" w:hAnsi="Book Antiqua"/>
        </w:rPr>
        <w:t>: 831-838 [PMID: 16918762 DOI: 10.1111/j.1365-2982.2006.00834.x]</w:t>
      </w:r>
    </w:p>
    <w:p w14:paraId="6B47FB39" w14:textId="4A289970" w:rsidR="00D17D65" w:rsidRPr="00D40ECC" w:rsidRDefault="00D17D65" w:rsidP="005638C6">
      <w:pPr>
        <w:spacing w:line="360" w:lineRule="auto"/>
        <w:jc w:val="both"/>
        <w:rPr>
          <w:rFonts w:ascii="Book Antiqua" w:hAnsi="Book Antiqua"/>
        </w:rPr>
      </w:pPr>
      <w:proofErr w:type="gramStart"/>
      <w:r w:rsidRPr="00D40ECC">
        <w:rPr>
          <w:rFonts w:ascii="Book Antiqua" w:hAnsi="Book Antiqua"/>
        </w:rPr>
        <w:t xml:space="preserve">15 </w:t>
      </w:r>
      <w:proofErr w:type="spellStart"/>
      <w:r w:rsidRPr="00D40ECC">
        <w:rPr>
          <w:rFonts w:ascii="Book Antiqua" w:hAnsi="Book Antiqua"/>
          <w:b/>
          <w:bCs/>
        </w:rPr>
        <w:t>Baldassarre</w:t>
      </w:r>
      <w:proofErr w:type="spellEnd"/>
      <w:r w:rsidRPr="00D40ECC">
        <w:rPr>
          <w:rFonts w:ascii="Book Antiqua" w:hAnsi="Book Antiqua"/>
          <w:b/>
          <w:bCs/>
        </w:rPr>
        <w:t xml:space="preserve"> M</w:t>
      </w:r>
      <w:r w:rsidRPr="00D40ECC">
        <w:rPr>
          <w:rFonts w:ascii="Book Antiqua" w:hAnsi="Book Antiqua"/>
        </w:rPr>
        <w:t xml:space="preserve">, </w:t>
      </w:r>
      <w:proofErr w:type="spellStart"/>
      <w:r w:rsidRPr="00D40ECC">
        <w:rPr>
          <w:rFonts w:ascii="Book Antiqua" w:hAnsi="Book Antiqua"/>
        </w:rPr>
        <w:t>Giannone</w:t>
      </w:r>
      <w:proofErr w:type="spellEnd"/>
      <w:r w:rsidRPr="00D40ECC">
        <w:rPr>
          <w:rFonts w:ascii="Book Antiqua" w:hAnsi="Book Antiqua"/>
        </w:rPr>
        <w:t xml:space="preserve"> FA, Napoli L, </w:t>
      </w:r>
      <w:proofErr w:type="spellStart"/>
      <w:r w:rsidRPr="00D40ECC">
        <w:rPr>
          <w:rFonts w:ascii="Book Antiqua" w:hAnsi="Book Antiqua"/>
        </w:rPr>
        <w:t>Tovoli</w:t>
      </w:r>
      <w:proofErr w:type="spellEnd"/>
      <w:r w:rsidRPr="00D40ECC">
        <w:rPr>
          <w:rFonts w:ascii="Book Antiqua" w:hAnsi="Book Antiqua"/>
        </w:rPr>
        <w:t xml:space="preserve"> A, Ricci CS, </w:t>
      </w:r>
      <w:proofErr w:type="spellStart"/>
      <w:r w:rsidRPr="00D40ECC">
        <w:rPr>
          <w:rFonts w:ascii="Book Antiqua" w:hAnsi="Book Antiqua"/>
        </w:rPr>
        <w:t>Tufoni</w:t>
      </w:r>
      <w:proofErr w:type="spellEnd"/>
      <w:r w:rsidRPr="00D40ECC">
        <w:rPr>
          <w:rFonts w:ascii="Book Antiqua" w:hAnsi="Book Antiqua"/>
        </w:rPr>
        <w:t xml:space="preserve"> M, </w:t>
      </w:r>
      <w:proofErr w:type="spellStart"/>
      <w:r w:rsidRPr="00D40ECC">
        <w:rPr>
          <w:rFonts w:ascii="Book Antiqua" w:hAnsi="Book Antiqua"/>
        </w:rPr>
        <w:t>Caraceni</w:t>
      </w:r>
      <w:proofErr w:type="spellEnd"/>
      <w:r w:rsidRPr="00D40ECC">
        <w:rPr>
          <w:rFonts w:ascii="Book Antiqua" w:hAnsi="Book Antiqua"/>
        </w:rPr>
        <w:t xml:space="preserve"> P.</w:t>
      </w:r>
      <w:proofErr w:type="gramEnd"/>
      <w:r w:rsidRPr="00D40ECC">
        <w:rPr>
          <w:rFonts w:ascii="Book Antiqua" w:hAnsi="Book Antiqua"/>
        </w:rPr>
        <w:t xml:space="preserve"> The endocannabinoid system in advanced liver cirrhosis: pathophysiological implication and future perspectives. </w:t>
      </w:r>
      <w:r w:rsidRPr="00D40ECC">
        <w:rPr>
          <w:rFonts w:ascii="Book Antiqua" w:hAnsi="Book Antiqua"/>
          <w:i/>
          <w:iCs/>
        </w:rPr>
        <w:t>Liver Int</w:t>
      </w:r>
      <w:r w:rsidRPr="00D40ECC">
        <w:rPr>
          <w:rFonts w:ascii="Book Antiqua" w:hAnsi="Book Antiqua"/>
        </w:rPr>
        <w:t xml:space="preserve"> 2013; </w:t>
      </w:r>
      <w:r w:rsidRPr="00D40ECC">
        <w:rPr>
          <w:rFonts w:ascii="Book Antiqua" w:hAnsi="Book Antiqua"/>
          <w:b/>
          <w:bCs/>
        </w:rPr>
        <w:t>33</w:t>
      </w:r>
      <w:r w:rsidRPr="00D40ECC">
        <w:rPr>
          <w:rFonts w:ascii="Book Antiqua" w:hAnsi="Book Antiqua"/>
        </w:rPr>
        <w:t xml:space="preserve">: 1298-1308 [PMID: 23890208 DOI: </w:t>
      </w:r>
      <w:r w:rsidR="00361C27" w:rsidRPr="00D40ECC">
        <w:rPr>
          <w:rFonts w:ascii="Book Antiqua" w:hAnsi="Book Antiqua"/>
        </w:rPr>
        <w:t>10.1111/liv.12263</w:t>
      </w:r>
      <w:r w:rsidRPr="00D40ECC">
        <w:rPr>
          <w:rFonts w:ascii="Book Antiqua" w:hAnsi="Book Antiqua"/>
        </w:rPr>
        <w:t>]</w:t>
      </w:r>
    </w:p>
    <w:p w14:paraId="437D99B1" w14:textId="77777777" w:rsidR="00D17D65" w:rsidRPr="00D40ECC" w:rsidRDefault="00D17D65" w:rsidP="005638C6">
      <w:pPr>
        <w:spacing w:line="360" w:lineRule="auto"/>
        <w:jc w:val="both"/>
        <w:rPr>
          <w:rFonts w:ascii="Book Antiqua" w:hAnsi="Book Antiqua"/>
        </w:rPr>
      </w:pPr>
      <w:r w:rsidRPr="00D40ECC">
        <w:rPr>
          <w:rFonts w:ascii="Book Antiqua" w:hAnsi="Book Antiqua"/>
        </w:rPr>
        <w:t xml:space="preserve">16 </w:t>
      </w:r>
      <w:proofErr w:type="spellStart"/>
      <w:r w:rsidRPr="00D40ECC">
        <w:rPr>
          <w:rFonts w:ascii="Book Antiqua" w:hAnsi="Book Antiqua"/>
          <w:b/>
          <w:bCs/>
        </w:rPr>
        <w:t>Julien</w:t>
      </w:r>
      <w:proofErr w:type="spellEnd"/>
      <w:r w:rsidRPr="00D40ECC">
        <w:rPr>
          <w:rFonts w:ascii="Book Antiqua" w:hAnsi="Book Antiqua"/>
          <w:b/>
          <w:bCs/>
        </w:rPr>
        <w:t xml:space="preserve"> B</w:t>
      </w:r>
      <w:r w:rsidRPr="00D40ECC">
        <w:rPr>
          <w:rFonts w:ascii="Book Antiqua" w:hAnsi="Book Antiqua"/>
        </w:rPr>
        <w:t xml:space="preserve">, </w:t>
      </w:r>
      <w:proofErr w:type="spellStart"/>
      <w:r w:rsidRPr="00D40ECC">
        <w:rPr>
          <w:rFonts w:ascii="Book Antiqua" w:hAnsi="Book Antiqua"/>
        </w:rPr>
        <w:t>Grenard</w:t>
      </w:r>
      <w:proofErr w:type="spellEnd"/>
      <w:r w:rsidRPr="00D40ECC">
        <w:rPr>
          <w:rFonts w:ascii="Book Antiqua" w:hAnsi="Book Antiqua"/>
        </w:rPr>
        <w:t xml:space="preserve"> P, Teixeira-</w:t>
      </w:r>
      <w:proofErr w:type="spellStart"/>
      <w:r w:rsidRPr="00D40ECC">
        <w:rPr>
          <w:rFonts w:ascii="Book Antiqua" w:hAnsi="Book Antiqua"/>
        </w:rPr>
        <w:t>Clerc</w:t>
      </w:r>
      <w:proofErr w:type="spellEnd"/>
      <w:r w:rsidRPr="00D40ECC">
        <w:rPr>
          <w:rFonts w:ascii="Book Antiqua" w:hAnsi="Book Antiqua"/>
        </w:rPr>
        <w:t xml:space="preserve"> F, Van </w:t>
      </w:r>
      <w:proofErr w:type="spellStart"/>
      <w:r w:rsidRPr="00D40ECC">
        <w:rPr>
          <w:rFonts w:ascii="Book Antiqua" w:hAnsi="Book Antiqua"/>
        </w:rPr>
        <w:t>Nhieu</w:t>
      </w:r>
      <w:proofErr w:type="spellEnd"/>
      <w:r w:rsidRPr="00D40ECC">
        <w:rPr>
          <w:rFonts w:ascii="Book Antiqua" w:hAnsi="Book Antiqua"/>
        </w:rPr>
        <w:t xml:space="preserve"> JT, Li L, </w:t>
      </w:r>
      <w:proofErr w:type="spellStart"/>
      <w:r w:rsidRPr="00D40ECC">
        <w:rPr>
          <w:rFonts w:ascii="Book Antiqua" w:hAnsi="Book Antiqua"/>
        </w:rPr>
        <w:t>Karsak</w:t>
      </w:r>
      <w:proofErr w:type="spellEnd"/>
      <w:r w:rsidRPr="00D40ECC">
        <w:rPr>
          <w:rFonts w:ascii="Book Antiqua" w:hAnsi="Book Antiqua"/>
        </w:rPr>
        <w:t xml:space="preserve"> M, Zimmer A, </w:t>
      </w:r>
      <w:proofErr w:type="spellStart"/>
      <w:r w:rsidRPr="00D40ECC">
        <w:rPr>
          <w:rFonts w:ascii="Book Antiqua" w:hAnsi="Book Antiqua"/>
        </w:rPr>
        <w:t>Mallat</w:t>
      </w:r>
      <w:proofErr w:type="spellEnd"/>
      <w:r w:rsidRPr="00D40ECC">
        <w:rPr>
          <w:rFonts w:ascii="Book Antiqua" w:hAnsi="Book Antiqua"/>
        </w:rPr>
        <w:t xml:space="preserve"> A, </w:t>
      </w:r>
      <w:proofErr w:type="spellStart"/>
      <w:r w:rsidRPr="00D40ECC">
        <w:rPr>
          <w:rFonts w:ascii="Book Antiqua" w:hAnsi="Book Antiqua"/>
        </w:rPr>
        <w:t>Lotersztajn</w:t>
      </w:r>
      <w:proofErr w:type="spellEnd"/>
      <w:r w:rsidRPr="00D40ECC">
        <w:rPr>
          <w:rFonts w:ascii="Book Antiqua" w:hAnsi="Book Antiqua"/>
        </w:rPr>
        <w:t xml:space="preserve"> S. Antifibrogenic role of the cannabinoid receptor CB2 in the liver. </w:t>
      </w:r>
      <w:r w:rsidRPr="00D40ECC">
        <w:rPr>
          <w:rFonts w:ascii="Book Antiqua" w:hAnsi="Book Antiqua"/>
          <w:i/>
          <w:iCs/>
        </w:rPr>
        <w:t>Gastroenterology</w:t>
      </w:r>
      <w:r w:rsidRPr="00D40ECC">
        <w:rPr>
          <w:rFonts w:ascii="Book Antiqua" w:hAnsi="Book Antiqua"/>
        </w:rPr>
        <w:t xml:space="preserve"> 2005; </w:t>
      </w:r>
      <w:r w:rsidRPr="00D40ECC">
        <w:rPr>
          <w:rFonts w:ascii="Book Antiqua" w:hAnsi="Book Antiqua"/>
          <w:b/>
          <w:bCs/>
        </w:rPr>
        <w:t>128</w:t>
      </w:r>
      <w:r w:rsidRPr="00D40ECC">
        <w:rPr>
          <w:rFonts w:ascii="Book Antiqua" w:hAnsi="Book Antiqua"/>
        </w:rPr>
        <w:t>: 742-755 [PMID: 15765409 DOI: 10.1053/j.gastro.2004.12.050]</w:t>
      </w:r>
    </w:p>
    <w:p w14:paraId="447DE900" w14:textId="77777777" w:rsidR="00D17D65" w:rsidRPr="00D40ECC" w:rsidRDefault="00D17D65" w:rsidP="005638C6">
      <w:pPr>
        <w:spacing w:line="360" w:lineRule="auto"/>
        <w:jc w:val="both"/>
        <w:rPr>
          <w:rFonts w:ascii="Book Antiqua" w:hAnsi="Book Antiqua"/>
        </w:rPr>
      </w:pPr>
      <w:r w:rsidRPr="00D40ECC">
        <w:rPr>
          <w:rFonts w:ascii="Book Antiqua" w:hAnsi="Book Antiqua"/>
        </w:rPr>
        <w:lastRenderedPageBreak/>
        <w:t xml:space="preserve">17 </w:t>
      </w:r>
      <w:proofErr w:type="spellStart"/>
      <w:r w:rsidRPr="00D40ECC">
        <w:rPr>
          <w:rFonts w:ascii="Book Antiqua" w:hAnsi="Book Antiqua"/>
          <w:b/>
          <w:bCs/>
        </w:rPr>
        <w:t>Lotersztajn</w:t>
      </w:r>
      <w:proofErr w:type="spellEnd"/>
      <w:r w:rsidRPr="00D40ECC">
        <w:rPr>
          <w:rFonts w:ascii="Book Antiqua" w:hAnsi="Book Antiqua"/>
          <w:b/>
          <w:bCs/>
        </w:rPr>
        <w:t xml:space="preserve"> S</w:t>
      </w:r>
      <w:r w:rsidRPr="00D40ECC">
        <w:rPr>
          <w:rFonts w:ascii="Book Antiqua" w:hAnsi="Book Antiqua"/>
        </w:rPr>
        <w:t xml:space="preserve">, </w:t>
      </w:r>
      <w:proofErr w:type="spellStart"/>
      <w:r w:rsidRPr="00D40ECC">
        <w:rPr>
          <w:rFonts w:ascii="Book Antiqua" w:hAnsi="Book Antiqua"/>
        </w:rPr>
        <w:t>Julien</w:t>
      </w:r>
      <w:proofErr w:type="spellEnd"/>
      <w:r w:rsidRPr="00D40ECC">
        <w:rPr>
          <w:rFonts w:ascii="Book Antiqua" w:hAnsi="Book Antiqua"/>
        </w:rPr>
        <w:t xml:space="preserve"> B, Teixeira-</w:t>
      </w:r>
      <w:proofErr w:type="spellStart"/>
      <w:r w:rsidRPr="00D40ECC">
        <w:rPr>
          <w:rFonts w:ascii="Book Antiqua" w:hAnsi="Book Antiqua"/>
        </w:rPr>
        <w:t>Clerc</w:t>
      </w:r>
      <w:proofErr w:type="spellEnd"/>
      <w:r w:rsidRPr="00D40ECC">
        <w:rPr>
          <w:rFonts w:ascii="Book Antiqua" w:hAnsi="Book Antiqua"/>
        </w:rPr>
        <w:t xml:space="preserve"> F, </w:t>
      </w:r>
      <w:proofErr w:type="spellStart"/>
      <w:r w:rsidRPr="00D40ECC">
        <w:rPr>
          <w:rFonts w:ascii="Book Antiqua" w:hAnsi="Book Antiqua"/>
        </w:rPr>
        <w:t>Grenard</w:t>
      </w:r>
      <w:proofErr w:type="spellEnd"/>
      <w:r w:rsidRPr="00D40ECC">
        <w:rPr>
          <w:rFonts w:ascii="Book Antiqua" w:hAnsi="Book Antiqua"/>
        </w:rPr>
        <w:t xml:space="preserve"> P, </w:t>
      </w:r>
      <w:proofErr w:type="spellStart"/>
      <w:r w:rsidRPr="00D40ECC">
        <w:rPr>
          <w:rFonts w:ascii="Book Antiqua" w:hAnsi="Book Antiqua"/>
        </w:rPr>
        <w:t>Mallat</w:t>
      </w:r>
      <w:proofErr w:type="spellEnd"/>
      <w:r w:rsidRPr="00D40ECC">
        <w:rPr>
          <w:rFonts w:ascii="Book Antiqua" w:hAnsi="Book Antiqua"/>
        </w:rPr>
        <w:t xml:space="preserve"> A. Hepatic fibrosis: molecular mechanisms and drug targets. </w:t>
      </w:r>
      <w:proofErr w:type="spellStart"/>
      <w:r w:rsidRPr="00D40ECC">
        <w:rPr>
          <w:rFonts w:ascii="Book Antiqua" w:hAnsi="Book Antiqua"/>
          <w:i/>
          <w:iCs/>
        </w:rPr>
        <w:t>Annu</w:t>
      </w:r>
      <w:proofErr w:type="spellEnd"/>
      <w:r w:rsidRPr="00D40ECC">
        <w:rPr>
          <w:rFonts w:ascii="Book Antiqua" w:hAnsi="Book Antiqua"/>
          <w:i/>
          <w:iCs/>
        </w:rPr>
        <w:t xml:space="preserve"> Rev </w:t>
      </w:r>
      <w:proofErr w:type="spellStart"/>
      <w:r w:rsidRPr="00D40ECC">
        <w:rPr>
          <w:rFonts w:ascii="Book Antiqua" w:hAnsi="Book Antiqua"/>
          <w:i/>
          <w:iCs/>
        </w:rPr>
        <w:t>Pharmacol</w:t>
      </w:r>
      <w:proofErr w:type="spellEnd"/>
      <w:r w:rsidRPr="00D40ECC">
        <w:rPr>
          <w:rFonts w:ascii="Book Antiqua" w:hAnsi="Book Antiqua"/>
          <w:i/>
          <w:iCs/>
        </w:rPr>
        <w:t xml:space="preserve"> </w:t>
      </w:r>
      <w:proofErr w:type="spellStart"/>
      <w:r w:rsidRPr="00D40ECC">
        <w:rPr>
          <w:rFonts w:ascii="Book Antiqua" w:hAnsi="Book Antiqua"/>
          <w:i/>
          <w:iCs/>
        </w:rPr>
        <w:t>Toxicol</w:t>
      </w:r>
      <w:proofErr w:type="spellEnd"/>
      <w:r w:rsidRPr="00D40ECC">
        <w:rPr>
          <w:rFonts w:ascii="Book Antiqua" w:hAnsi="Book Antiqua"/>
        </w:rPr>
        <w:t xml:space="preserve"> 2005; </w:t>
      </w:r>
      <w:r w:rsidRPr="00D40ECC">
        <w:rPr>
          <w:rFonts w:ascii="Book Antiqua" w:hAnsi="Book Antiqua"/>
          <w:b/>
          <w:bCs/>
        </w:rPr>
        <w:t>45</w:t>
      </w:r>
      <w:r w:rsidRPr="00D40ECC">
        <w:rPr>
          <w:rFonts w:ascii="Book Antiqua" w:hAnsi="Book Antiqua"/>
        </w:rPr>
        <w:t>: 605-628 [PMID: 15471534 DOI: 10.1146/annurev.pharmtox.45.120403.095906]</w:t>
      </w:r>
    </w:p>
    <w:p w14:paraId="2D608CB4" w14:textId="77777777" w:rsidR="00D17D65" w:rsidRPr="00D40ECC" w:rsidRDefault="00D17D65" w:rsidP="005638C6">
      <w:pPr>
        <w:spacing w:line="360" w:lineRule="auto"/>
        <w:jc w:val="both"/>
        <w:rPr>
          <w:rFonts w:ascii="Book Antiqua" w:hAnsi="Book Antiqua"/>
        </w:rPr>
      </w:pPr>
      <w:r w:rsidRPr="00D40ECC">
        <w:rPr>
          <w:rFonts w:ascii="Book Antiqua" w:hAnsi="Book Antiqua"/>
        </w:rPr>
        <w:t xml:space="preserve">18 </w:t>
      </w:r>
      <w:r w:rsidRPr="00D40ECC">
        <w:rPr>
          <w:rFonts w:ascii="Book Antiqua" w:hAnsi="Book Antiqua"/>
          <w:b/>
          <w:bCs/>
        </w:rPr>
        <w:t>Xu X</w:t>
      </w:r>
      <w:r w:rsidRPr="00D40ECC">
        <w:rPr>
          <w:rFonts w:ascii="Book Antiqua" w:hAnsi="Book Antiqua"/>
        </w:rPr>
        <w:t xml:space="preserve">, Liu Y, Huang S, Liu G, </w:t>
      </w:r>
      <w:proofErr w:type="spellStart"/>
      <w:r w:rsidRPr="00D40ECC">
        <w:rPr>
          <w:rFonts w:ascii="Book Antiqua" w:hAnsi="Book Antiqua"/>
        </w:rPr>
        <w:t>Xie</w:t>
      </w:r>
      <w:proofErr w:type="spellEnd"/>
      <w:r w:rsidRPr="00D40ECC">
        <w:rPr>
          <w:rFonts w:ascii="Book Antiqua" w:hAnsi="Book Antiqua"/>
        </w:rPr>
        <w:t xml:space="preserve"> C, Zhou J, Fan W, Li Q, Wang Q, Zhong D, Miao X. Overexpression of cannabinoid receptors CB1 and CB2 correlates with improved prognosis of patients with hepatocellular carcinoma. </w:t>
      </w:r>
      <w:r w:rsidRPr="00D40ECC">
        <w:rPr>
          <w:rFonts w:ascii="Book Antiqua" w:hAnsi="Book Antiqua"/>
          <w:i/>
          <w:iCs/>
        </w:rPr>
        <w:t xml:space="preserve">Cancer Genet </w:t>
      </w:r>
      <w:proofErr w:type="spellStart"/>
      <w:r w:rsidRPr="00D40ECC">
        <w:rPr>
          <w:rFonts w:ascii="Book Antiqua" w:hAnsi="Book Antiqua"/>
          <w:i/>
          <w:iCs/>
        </w:rPr>
        <w:t>Cytogenet</w:t>
      </w:r>
      <w:proofErr w:type="spellEnd"/>
      <w:r w:rsidRPr="00D40ECC">
        <w:rPr>
          <w:rFonts w:ascii="Book Antiqua" w:hAnsi="Book Antiqua"/>
        </w:rPr>
        <w:t xml:space="preserve"> 2006; </w:t>
      </w:r>
      <w:r w:rsidRPr="00D40ECC">
        <w:rPr>
          <w:rFonts w:ascii="Book Antiqua" w:hAnsi="Book Antiqua"/>
          <w:b/>
          <w:bCs/>
        </w:rPr>
        <w:t>171</w:t>
      </w:r>
      <w:r w:rsidRPr="00D40ECC">
        <w:rPr>
          <w:rFonts w:ascii="Book Antiqua" w:hAnsi="Book Antiqua"/>
        </w:rPr>
        <w:t>: 31-38 [PMID: 17074588 DOI: 10.1016/j.cancergencyto.2006.06.014]</w:t>
      </w:r>
    </w:p>
    <w:p w14:paraId="6C0297DA" w14:textId="77777777" w:rsidR="00D17D65" w:rsidRPr="00D40ECC" w:rsidRDefault="00D17D65" w:rsidP="005638C6">
      <w:pPr>
        <w:spacing w:line="360" w:lineRule="auto"/>
        <w:jc w:val="both"/>
        <w:rPr>
          <w:rFonts w:ascii="Book Antiqua" w:hAnsi="Book Antiqua"/>
        </w:rPr>
      </w:pPr>
      <w:r w:rsidRPr="00D40ECC">
        <w:rPr>
          <w:rFonts w:ascii="Book Antiqua" w:hAnsi="Book Antiqua"/>
        </w:rPr>
        <w:t xml:space="preserve">19 </w:t>
      </w:r>
      <w:r w:rsidRPr="00D40ECC">
        <w:rPr>
          <w:rFonts w:ascii="Book Antiqua" w:hAnsi="Book Antiqua"/>
          <w:b/>
          <w:bCs/>
        </w:rPr>
        <w:t xml:space="preserve">van der </w:t>
      </w:r>
      <w:proofErr w:type="spellStart"/>
      <w:r w:rsidRPr="00D40ECC">
        <w:rPr>
          <w:rFonts w:ascii="Book Antiqua" w:hAnsi="Book Antiqua"/>
          <w:b/>
          <w:bCs/>
        </w:rPr>
        <w:t>Poorten</w:t>
      </w:r>
      <w:proofErr w:type="spellEnd"/>
      <w:r w:rsidRPr="00D40ECC">
        <w:rPr>
          <w:rFonts w:ascii="Book Antiqua" w:hAnsi="Book Antiqua"/>
          <w:b/>
          <w:bCs/>
        </w:rPr>
        <w:t xml:space="preserve"> D</w:t>
      </w:r>
      <w:r w:rsidRPr="00D40ECC">
        <w:rPr>
          <w:rFonts w:ascii="Book Antiqua" w:hAnsi="Book Antiqua"/>
        </w:rPr>
        <w:t xml:space="preserve">, </w:t>
      </w:r>
      <w:proofErr w:type="spellStart"/>
      <w:r w:rsidRPr="00D40ECC">
        <w:rPr>
          <w:rFonts w:ascii="Book Antiqua" w:hAnsi="Book Antiqua"/>
        </w:rPr>
        <w:t>Shahidi</w:t>
      </w:r>
      <w:proofErr w:type="spellEnd"/>
      <w:r w:rsidRPr="00D40ECC">
        <w:rPr>
          <w:rFonts w:ascii="Book Antiqua" w:hAnsi="Book Antiqua"/>
        </w:rPr>
        <w:t xml:space="preserve"> M, </w:t>
      </w:r>
      <w:proofErr w:type="spellStart"/>
      <w:r w:rsidRPr="00D40ECC">
        <w:rPr>
          <w:rFonts w:ascii="Book Antiqua" w:hAnsi="Book Antiqua"/>
        </w:rPr>
        <w:t>Tay</w:t>
      </w:r>
      <w:proofErr w:type="spellEnd"/>
      <w:r w:rsidRPr="00D40ECC">
        <w:rPr>
          <w:rFonts w:ascii="Book Antiqua" w:hAnsi="Book Antiqua"/>
        </w:rPr>
        <w:t xml:space="preserve"> E, </w:t>
      </w:r>
      <w:proofErr w:type="spellStart"/>
      <w:r w:rsidRPr="00D40ECC">
        <w:rPr>
          <w:rFonts w:ascii="Book Antiqua" w:hAnsi="Book Antiqua"/>
        </w:rPr>
        <w:t>Sesha</w:t>
      </w:r>
      <w:proofErr w:type="spellEnd"/>
      <w:r w:rsidRPr="00D40ECC">
        <w:rPr>
          <w:rFonts w:ascii="Book Antiqua" w:hAnsi="Book Antiqua"/>
        </w:rPr>
        <w:t xml:space="preserve"> J, Tran K, McLeod D, Milliken JS, Ho V, </w:t>
      </w:r>
      <w:proofErr w:type="spellStart"/>
      <w:r w:rsidRPr="00D40ECC">
        <w:rPr>
          <w:rFonts w:ascii="Book Antiqua" w:hAnsi="Book Antiqua"/>
        </w:rPr>
        <w:t>Hebbard</w:t>
      </w:r>
      <w:proofErr w:type="spellEnd"/>
      <w:r w:rsidRPr="00D40ECC">
        <w:rPr>
          <w:rFonts w:ascii="Book Antiqua" w:hAnsi="Book Antiqua"/>
        </w:rPr>
        <w:t xml:space="preserve"> LW, Douglas MW, George J. Hepatitis C virus induces the cannabinoid receptor 1. </w:t>
      </w:r>
      <w:proofErr w:type="spellStart"/>
      <w:r w:rsidRPr="00D40ECC">
        <w:rPr>
          <w:rFonts w:ascii="Book Antiqua" w:hAnsi="Book Antiqua"/>
          <w:i/>
          <w:iCs/>
        </w:rPr>
        <w:t>PLoS</w:t>
      </w:r>
      <w:proofErr w:type="spellEnd"/>
      <w:r w:rsidRPr="00D40ECC">
        <w:rPr>
          <w:rFonts w:ascii="Book Antiqua" w:hAnsi="Book Antiqua"/>
          <w:i/>
          <w:iCs/>
        </w:rPr>
        <w:t xml:space="preserve"> One</w:t>
      </w:r>
      <w:r w:rsidRPr="00D40ECC">
        <w:rPr>
          <w:rFonts w:ascii="Book Antiqua" w:hAnsi="Book Antiqua"/>
        </w:rPr>
        <w:t xml:space="preserve"> 2010; </w:t>
      </w:r>
      <w:r w:rsidRPr="00D40ECC">
        <w:rPr>
          <w:rFonts w:ascii="Book Antiqua" w:hAnsi="Book Antiqua"/>
          <w:b/>
          <w:bCs/>
        </w:rPr>
        <w:t>5</w:t>
      </w:r>
      <w:r w:rsidRPr="00D40ECC">
        <w:rPr>
          <w:rFonts w:ascii="Book Antiqua" w:hAnsi="Book Antiqua"/>
        </w:rPr>
        <w:t>: [PMID: 20862263 DOI: 10.1371/journal.pone.0012841]</w:t>
      </w:r>
    </w:p>
    <w:p w14:paraId="3A886475" w14:textId="27B1D1A0" w:rsidR="00D17D65" w:rsidRPr="00D40ECC" w:rsidRDefault="00D17D65" w:rsidP="005638C6">
      <w:pPr>
        <w:spacing w:line="360" w:lineRule="auto"/>
        <w:jc w:val="both"/>
        <w:rPr>
          <w:rFonts w:ascii="Book Antiqua" w:hAnsi="Book Antiqua"/>
        </w:rPr>
      </w:pPr>
      <w:r w:rsidRPr="00D40ECC">
        <w:rPr>
          <w:rFonts w:ascii="Book Antiqua" w:hAnsi="Book Antiqua"/>
        </w:rPr>
        <w:t xml:space="preserve">20 </w:t>
      </w:r>
      <w:r w:rsidR="009F7106" w:rsidRPr="00D40ECC">
        <w:rPr>
          <w:rFonts w:ascii="Book Antiqua" w:hAnsi="Book Antiqua"/>
          <w:b/>
          <w:bCs/>
        </w:rPr>
        <w:t>Toyoda M,</w:t>
      </w:r>
      <w:r w:rsidR="009F7106" w:rsidRPr="00D40ECC">
        <w:rPr>
          <w:rFonts w:ascii="Book Antiqua" w:hAnsi="Book Antiqua"/>
        </w:rPr>
        <w:t xml:space="preserve"> </w:t>
      </w:r>
      <w:proofErr w:type="spellStart"/>
      <w:r w:rsidR="009F7106" w:rsidRPr="00D40ECC">
        <w:rPr>
          <w:rFonts w:ascii="Book Antiqua" w:hAnsi="Book Antiqua"/>
        </w:rPr>
        <w:t>Kitaoka</w:t>
      </w:r>
      <w:proofErr w:type="spellEnd"/>
      <w:r w:rsidR="009F7106" w:rsidRPr="00D40ECC">
        <w:rPr>
          <w:rFonts w:ascii="Book Antiqua" w:hAnsi="Book Antiqua"/>
        </w:rPr>
        <w:t xml:space="preserve"> A, Machida K, </w:t>
      </w:r>
      <w:proofErr w:type="spellStart"/>
      <w:r w:rsidR="009F7106" w:rsidRPr="00D40ECC">
        <w:rPr>
          <w:rFonts w:ascii="Book Antiqua" w:hAnsi="Book Antiqua"/>
        </w:rPr>
        <w:t>Nishinakagawa</w:t>
      </w:r>
      <w:proofErr w:type="spellEnd"/>
      <w:r w:rsidR="009F7106" w:rsidRPr="00D40ECC">
        <w:rPr>
          <w:rFonts w:ascii="Book Antiqua" w:hAnsi="Book Antiqua"/>
        </w:rPr>
        <w:t xml:space="preserve"> T, </w:t>
      </w:r>
      <w:proofErr w:type="spellStart"/>
      <w:r w:rsidR="009F7106" w:rsidRPr="00D40ECC">
        <w:rPr>
          <w:rFonts w:ascii="Book Antiqua" w:hAnsi="Book Antiqua"/>
        </w:rPr>
        <w:t>Yada</w:t>
      </w:r>
      <w:proofErr w:type="spellEnd"/>
      <w:r w:rsidR="009F7106" w:rsidRPr="00D40ECC">
        <w:rPr>
          <w:rFonts w:ascii="Book Antiqua" w:hAnsi="Book Antiqua"/>
        </w:rPr>
        <w:t xml:space="preserve"> R, </w:t>
      </w:r>
      <w:proofErr w:type="spellStart"/>
      <w:r w:rsidR="009F7106" w:rsidRPr="00D40ECC">
        <w:rPr>
          <w:rFonts w:ascii="Book Antiqua" w:hAnsi="Book Antiqua"/>
        </w:rPr>
        <w:t>Kohjima</w:t>
      </w:r>
      <w:proofErr w:type="spellEnd"/>
      <w:r w:rsidR="009F7106" w:rsidRPr="00D40ECC">
        <w:rPr>
          <w:rFonts w:ascii="Book Antiqua" w:hAnsi="Book Antiqua"/>
        </w:rPr>
        <w:t xml:space="preserve"> M, Kato M, </w:t>
      </w:r>
      <w:proofErr w:type="spellStart"/>
      <w:r w:rsidR="009F7106" w:rsidRPr="00D40ECC">
        <w:rPr>
          <w:rFonts w:ascii="Book Antiqua" w:hAnsi="Book Antiqua"/>
        </w:rPr>
        <w:t>Kotoh</w:t>
      </w:r>
      <w:proofErr w:type="spellEnd"/>
      <w:r w:rsidR="009F7106" w:rsidRPr="00D40ECC">
        <w:rPr>
          <w:rFonts w:ascii="Book Antiqua" w:hAnsi="Book Antiqua"/>
        </w:rPr>
        <w:t xml:space="preserve"> K, Sakamoto N, </w:t>
      </w:r>
      <w:proofErr w:type="spellStart"/>
      <w:r w:rsidR="009F7106" w:rsidRPr="00D40ECC">
        <w:rPr>
          <w:rFonts w:ascii="Book Antiqua" w:hAnsi="Book Antiqua"/>
        </w:rPr>
        <w:t>Shiota</w:t>
      </w:r>
      <w:proofErr w:type="spellEnd"/>
      <w:r w:rsidR="009F7106" w:rsidRPr="00D40ECC">
        <w:rPr>
          <w:rFonts w:ascii="Book Antiqua" w:hAnsi="Book Antiqua"/>
        </w:rPr>
        <w:t xml:space="preserve"> G, </w:t>
      </w:r>
      <w:proofErr w:type="spellStart"/>
      <w:r w:rsidR="009F7106" w:rsidRPr="00D40ECC">
        <w:rPr>
          <w:rFonts w:ascii="Book Antiqua" w:hAnsi="Book Antiqua"/>
        </w:rPr>
        <w:t>Nakamuta</w:t>
      </w:r>
      <w:proofErr w:type="spellEnd"/>
      <w:r w:rsidR="009F7106" w:rsidRPr="00D40ECC">
        <w:rPr>
          <w:rFonts w:ascii="Book Antiqua" w:hAnsi="Book Antiqua"/>
        </w:rPr>
        <w:t xml:space="preserve"> M, Nakashima M, </w:t>
      </w:r>
      <w:proofErr w:type="spellStart"/>
      <w:r w:rsidR="009F7106" w:rsidRPr="00D40ECC">
        <w:rPr>
          <w:rFonts w:ascii="Book Antiqua" w:hAnsi="Book Antiqua"/>
        </w:rPr>
        <w:t>Enjoji</w:t>
      </w:r>
      <w:proofErr w:type="spellEnd"/>
      <w:r w:rsidR="009F7106" w:rsidRPr="00D40ECC">
        <w:rPr>
          <w:rFonts w:ascii="Book Antiqua" w:hAnsi="Book Antiqua"/>
        </w:rPr>
        <w:t xml:space="preserve"> M.</w:t>
      </w:r>
      <w:r w:rsidRPr="00D40ECC">
        <w:rPr>
          <w:rFonts w:ascii="Book Antiqua" w:hAnsi="Book Antiqua"/>
        </w:rPr>
        <w:t xml:space="preserve"> Association between lipid accumulation and the cannabinoid system in Huh7 cells expressing HCV genes. </w:t>
      </w:r>
      <w:r w:rsidRPr="00D40ECC">
        <w:rPr>
          <w:rFonts w:ascii="Book Antiqua" w:hAnsi="Book Antiqua"/>
          <w:i/>
          <w:iCs/>
        </w:rPr>
        <w:t>Int J Mol Med</w:t>
      </w:r>
      <w:r w:rsidRPr="00D40ECC">
        <w:rPr>
          <w:rFonts w:ascii="Book Antiqua" w:hAnsi="Book Antiqua"/>
        </w:rPr>
        <w:t xml:space="preserve"> 2011; </w:t>
      </w:r>
      <w:r w:rsidRPr="00D40ECC">
        <w:rPr>
          <w:rFonts w:ascii="Book Antiqua" w:hAnsi="Book Antiqua"/>
          <w:b/>
          <w:bCs/>
        </w:rPr>
        <w:t>27:</w:t>
      </w:r>
      <w:r w:rsidRPr="00D40ECC">
        <w:rPr>
          <w:rFonts w:ascii="Book Antiqua" w:hAnsi="Book Antiqua"/>
        </w:rPr>
        <w:t xml:space="preserve"> 619-</w:t>
      </w:r>
      <w:r w:rsidR="003F7041" w:rsidRPr="00D40ECC">
        <w:rPr>
          <w:rFonts w:ascii="Book Antiqua" w:hAnsi="Book Antiqua"/>
        </w:rPr>
        <w:t>6</w:t>
      </w:r>
      <w:r w:rsidRPr="00D40ECC">
        <w:rPr>
          <w:rFonts w:ascii="Book Antiqua" w:hAnsi="Book Antiqua"/>
        </w:rPr>
        <w:t>24 [</w:t>
      </w:r>
      <w:r w:rsidR="009F7106" w:rsidRPr="00D40ECC">
        <w:rPr>
          <w:rFonts w:ascii="Book Antiqua" w:hAnsi="Book Antiqua"/>
        </w:rPr>
        <w:t xml:space="preserve">PMID: </w:t>
      </w:r>
      <w:r w:rsidR="001145CF" w:rsidRPr="00D40ECC">
        <w:rPr>
          <w:rFonts w:ascii="Book Antiqua" w:hAnsi="Book Antiqua"/>
        </w:rPr>
        <w:t xml:space="preserve">21331443 </w:t>
      </w:r>
      <w:r w:rsidRPr="00D40ECC">
        <w:rPr>
          <w:rFonts w:ascii="Book Antiqua" w:hAnsi="Book Antiqua"/>
        </w:rPr>
        <w:t>DOI: 10.3892/ijmm.2011.622]</w:t>
      </w:r>
    </w:p>
    <w:p w14:paraId="1D82A377" w14:textId="77777777" w:rsidR="00D17D65" w:rsidRPr="00D40ECC" w:rsidRDefault="00D17D65" w:rsidP="005638C6">
      <w:pPr>
        <w:spacing w:line="360" w:lineRule="auto"/>
        <w:jc w:val="both"/>
        <w:rPr>
          <w:rFonts w:ascii="Book Antiqua" w:hAnsi="Book Antiqua"/>
        </w:rPr>
      </w:pPr>
      <w:r w:rsidRPr="00D40ECC">
        <w:rPr>
          <w:rFonts w:ascii="Book Antiqua" w:hAnsi="Book Antiqua"/>
        </w:rPr>
        <w:t xml:space="preserve">21 </w:t>
      </w:r>
      <w:proofErr w:type="spellStart"/>
      <w:r w:rsidRPr="00D40ECC">
        <w:rPr>
          <w:rFonts w:ascii="Book Antiqua" w:hAnsi="Book Antiqua"/>
          <w:b/>
          <w:bCs/>
        </w:rPr>
        <w:t>Trebicka</w:t>
      </w:r>
      <w:proofErr w:type="spellEnd"/>
      <w:r w:rsidRPr="00D40ECC">
        <w:rPr>
          <w:rFonts w:ascii="Book Antiqua" w:hAnsi="Book Antiqua"/>
          <w:b/>
          <w:bCs/>
        </w:rPr>
        <w:t xml:space="preserve"> J</w:t>
      </w:r>
      <w:r w:rsidRPr="00D40ECC">
        <w:rPr>
          <w:rFonts w:ascii="Book Antiqua" w:hAnsi="Book Antiqua"/>
        </w:rPr>
        <w:t xml:space="preserve">, </w:t>
      </w:r>
      <w:proofErr w:type="spellStart"/>
      <w:r w:rsidRPr="00D40ECC">
        <w:rPr>
          <w:rFonts w:ascii="Book Antiqua" w:hAnsi="Book Antiqua"/>
        </w:rPr>
        <w:t>Racz</w:t>
      </w:r>
      <w:proofErr w:type="spellEnd"/>
      <w:r w:rsidRPr="00D40ECC">
        <w:rPr>
          <w:rFonts w:ascii="Book Antiqua" w:hAnsi="Book Antiqua"/>
        </w:rPr>
        <w:t xml:space="preserve"> I, </w:t>
      </w:r>
      <w:proofErr w:type="spellStart"/>
      <w:r w:rsidRPr="00D40ECC">
        <w:rPr>
          <w:rFonts w:ascii="Book Antiqua" w:hAnsi="Book Antiqua"/>
        </w:rPr>
        <w:t>Siegmund</w:t>
      </w:r>
      <w:proofErr w:type="spellEnd"/>
      <w:r w:rsidRPr="00D40ECC">
        <w:rPr>
          <w:rFonts w:ascii="Book Antiqua" w:hAnsi="Book Antiqua"/>
        </w:rPr>
        <w:t xml:space="preserve"> SV, Cara E, </w:t>
      </w:r>
      <w:proofErr w:type="spellStart"/>
      <w:r w:rsidRPr="00D40ECC">
        <w:rPr>
          <w:rFonts w:ascii="Book Antiqua" w:hAnsi="Book Antiqua"/>
        </w:rPr>
        <w:t>Granzow</w:t>
      </w:r>
      <w:proofErr w:type="spellEnd"/>
      <w:r w:rsidRPr="00D40ECC">
        <w:rPr>
          <w:rFonts w:ascii="Book Antiqua" w:hAnsi="Book Antiqua"/>
        </w:rPr>
        <w:t xml:space="preserve"> M, </w:t>
      </w:r>
      <w:proofErr w:type="spellStart"/>
      <w:r w:rsidRPr="00D40ECC">
        <w:rPr>
          <w:rFonts w:ascii="Book Antiqua" w:hAnsi="Book Antiqua"/>
        </w:rPr>
        <w:t>Schierwagen</w:t>
      </w:r>
      <w:proofErr w:type="spellEnd"/>
      <w:r w:rsidRPr="00D40ECC">
        <w:rPr>
          <w:rFonts w:ascii="Book Antiqua" w:hAnsi="Book Antiqua"/>
        </w:rPr>
        <w:t xml:space="preserve"> R, Klein S, </w:t>
      </w:r>
      <w:proofErr w:type="spellStart"/>
      <w:r w:rsidRPr="00D40ECC">
        <w:rPr>
          <w:rFonts w:ascii="Book Antiqua" w:hAnsi="Book Antiqua"/>
        </w:rPr>
        <w:t>Wojtalla</w:t>
      </w:r>
      <w:proofErr w:type="spellEnd"/>
      <w:r w:rsidRPr="00D40ECC">
        <w:rPr>
          <w:rFonts w:ascii="Book Antiqua" w:hAnsi="Book Antiqua"/>
        </w:rPr>
        <w:t xml:space="preserve"> A, </w:t>
      </w:r>
      <w:proofErr w:type="spellStart"/>
      <w:r w:rsidRPr="00D40ECC">
        <w:rPr>
          <w:rFonts w:ascii="Book Antiqua" w:hAnsi="Book Antiqua"/>
        </w:rPr>
        <w:t>Hennenberg</w:t>
      </w:r>
      <w:proofErr w:type="spellEnd"/>
      <w:r w:rsidRPr="00D40ECC">
        <w:rPr>
          <w:rFonts w:ascii="Book Antiqua" w:hAnsi="Book Antiqua"/>
        </w:rPr>
        <w:t xml:space="preserve"> M, Huss S, Fischer HP, Heller J, Zimmer A, </w:t>
      </w:r>
      <w:proofErr w:type="spellStart"/>
      <w:r w:rsidRPr="00D40ECC">
        <w:rPr>
          <w:rFonts w:ascii="Book Antiqua" w:hAnsi="Book Antiqua"/>
        </w:rPr>
        <w:t>Sauerbruch</w:t>
      </w:r>
      <w:proofErr w:type="spellEnd"/>
      <w:r w:rsidRPr="00D40ECC">
        <w:rPr>
          <w:rFonts w:ascii="Book Antiqua" w:hAnsi="Book Antiqua"/>
        </w:rPr>
        <w:t xml:space="preserve"> T. Role of cannabinoid receptors in alcoholic hepatic injury: steatosis and fibrogenesis are increased in CB2 receptor-deficient mice and decreased in CB1 receptor knockouts. </w:t>
      </w:r>
      <w:r w:rsidRPr="00D40ECC">
        <w:rPr>
          <w:rFonts w:ascii="Book Antiqua" w:hAnsi="Book Antiqua"/>
          <w:i/>
          <w:iCs/>
        </w:rPr>
        <w:t>Liver Int</w:t>
      </w:r>
      <w:r w:rsidRPr="00D40ECC">
        <w:rPr>
          <w:rFonts w:ascii="Book Antiqua" w:hAnsi="Book Antiqua"/>
        </w:rPr>
        <w:t xml:space="preserve"> 2011; </w:t>
      </w:r>
      <w:r w:rsidRPr="00D40ECC">
        <w:rPr>
          <w:rFonts w:ascii="Book Antiqua" w:hAnsi="Book Antiqua"/>
          <w:b/>
          <w:bCs/>
        </w:rPr>
        <w:t>31</w:t>
      </w:r>
      <w:r w:rsidRPr="00D40ECC">
        <w:rPr>
          <w:rFonts w:ascii="Book Antiqua" w:hAnsi="Book Antiqua"/>
        </w:rPr>
        <w:t>: 860-870 [PMID: 21645218 DOI: 10.1111/j.1478-3231.2011.02496.x]</w:t>
      </w:r>
    </w:p>
    <w:p w14:paraId="37C5C03B" w14:textId="70DA718B" w:rsidR="00D17D65" w:rsidRPr="00D40ECC" w:rsidRDefault="00D17D65" w:rsidP="005638C6">
      <w:pPr>
        <w:spacing w:line="360" w:lineRule="auto"/>
        <w:jc w:val="both"/>
        <w:rPr>
          <w:rFonts w:ascii="Book Antiqua" w:hAnsi="Book Antiqua"/>
        </w:rPr>
      </w:pPr>
      <w:r w:rsidRPr="00D40ECC">
        <w:rPr>
          <w:rFonts w:ascii="Book Antiqua" w:hAnsi="Book Antiqua"/>
        </w:rPr>
        <w:t xml:space="preserve">22 </w:t>
      </w:r>
      <w:r w:rsidR="00D02965" w:rsidRPr="00D40ECC">
        <w:rPr>
          <w:rFonts w:ascii="Book Antiqua" w:hAnsi="Book Antiqua"/>
          <w:b/>
          <w:bCs/>
        </w:rPr>
        <w:t>Kirkham TC,</w:t>
      </w:r>
      <w:r w:rsidR="00D02965" w:rsidRPr="00D40ECC">
        <w:rPr>
          <w:rFonts w:ascii="Book Antiqua" w:hAnsi="Book Antiqua"/>
        </w:rPr>
        <w:t xml:space="preserve"> Tucci SA. </w:t>
      </w:r>
      <w:proofErr w:type="gramStart"/>
      <w:r w:rsidR="00D02965" w:rsidRPr="00D40ECC">
        <w:rPr>
          <w:rFonts w:ascii="Book Antiqua" w:hAnsi="Book Antiqua"/>
        </w:rPr>
        <w:t>Endocannabinoids in appetite control and the treatment of obesity.</w:t>
      </w:r>
      <w:proofErr w:type="gramEnd"/>
      <w:r w:rsidR="00D02965" w:rsidRPr="00D40ECC">
        <w:rPr>
          <w:rFonts w:ascii="Book Antiqua" w:hAnsi="Book Antiqua"/>
        </w:rPr>
        <w:t xml:space="preserve"> </w:t>
      </w:r>
      <w:r w:rsidR="00D02965" w:rsidRPr="00D40ECC">
        <w:rPr>
          <w:rFonts w:ascii="Book Antiqua" w:hAnsi="Book Antiqua"/>
          <w:i/>
          <w:iCs/>
        </w:rPr>
        <w:t xml:space="preserve">CNS </w:t>
      </w:r>
      <w:proofErr w:type="spellStart"/>
      <w:r w:rsidR="00D02965" w:rsidRPr="00D40ECC">
        <w:rPr>
          <w:rFonts w:ascii="Book Antiqua" w:hAnsi="Book Antiqua"/>
          <w:i/>
          <w:iCs/>
        </w:rPr>
        <w:t>Neurol</w:t>
      </w:r>
      <w:proofErr w:type="spellEnd"/>
      <w:r w:rsidR="00D02965" w:rsidRPr="00D40ECC">
        <w:rPr>
          <w:rFonts w:ascii="Book Antiqua" w:hAnsi="Book Antiqua"/>
          <w:i/>
          <w:iCs/>
        </w:rPr>
        <w:t xml:space="preserve"> </w:t>
      </w:r>
      <w:proofErr w:type="spellStart"/>
      <w:r w:rsidR="00D02965" w:rsidRPr="00D40ECC">
        <w:rPr>
          <w:rFonts w:ascii="Book Antiqua" w:hAnsi="Book Antiqua"/>
          <w:i/>
          <w:iCs/>
        </w:rPr>
        <w:t>Disord</w:t>
      </w:r>
      <w:proofErr w:type="spellEnd"/>
      <w:r w:rsidR="00D02965" w:rsidRPr="00D40ECC">
        <w:rPr>
          <w:rFonts w:ascii="Book Antiqua" w:hAnsi="Book Antiqua"/>
          <w:i/>
          <w:iCs/>
        </w:rPr>
        <w:t xml:space="preserve"> Drug Targets</w:t>
      </w:r>
      <w:r w:rsidR="00D02965" w:rsidRPr="00D40ECC">
        <w:rPr>
          <w:rFonts w:ascii="Book Antiqua" w:hAnsi="Book Antiqua"/>
        </w:rPr>
        <w:t xml:space="preserve"> 2006; 5: 272-</w:t>
      </w:r>
      <w:r w:rsidR="003F7041" w:rsidRPr="00D40ECC">
        <w:rPr>
          <w:rFonts w:ascii="Book Antiqua" w:hAnsi="Book Antiqua"/>
        </w:rPr>
        <w:t>2</w:t>
      </w:r>
      <w:r w:rsidR="00D02965" w:rsidRPr="00D40ECC">
        <w:rPr>
          <w:rFonts w:ascii="Book Antiqua" w:hAnsi="Book Antiqua"/>
        </w:rPr>
        <w:t xml:space="preserve">92 </w:t>
      </w:r>
      <w:r w:rsidRPr="00D40ECC">
        <w:rPr>
          <w:rFonts w:ascii="Book Antiqua" w:hAnsi="Book Antiqua"/>
        </w:rPr>
        <w:t>[</w:t>
      </w:r>
      <w:r w:rsidR="00D02965" w:rsidRPr="00D40ECC">
        <w:rPr>
          <w:rFonts w:ascii="Book Antiqua" w:hAnsi="Book Antiqua"/>
        </w:rPr>
        <w:t xml:space="preserve">PMID: 16787229 </w:t>
      </w:r>
      <w:r w:rsidRPr="00D40ECC">
        <w:rPr>
          <w:rFonts w:ascii="Book Antiqua" w:hAnsi="Book Antiqua"/>
        </w:rPr>
        <w:t xml:space="preserve">DOI: </w:t>
      </w:r>
      <w:r w:rsidR="00D02965" w:rsidRPr="00D40ECC">
        <w:rPr>
          <w:rFonts w:ascii="Book Antiqua" w:hAnsi="Book Antiqua"/>
        </w:rPr>
        <w:t>10.2174/187152706777452272</w:t>
      </w:r>
      <w:r w:rsidRPr="00D40ECC">
        <w:rPr>
          <w:rFonts w:ascii="Book Antiqua" w:hAnsi="Book Antiqua"/>
        </w:rPr>
        <w:t>]</w:t>
      </w:r>
    </w:p>
    <w:p w14:paraId="386C7385" w14:textId="77777777" w:rsidR="00D17D65" w:rsidRPr="00D40ECC" w:rsidRDefault="00D17D65" w:rsidP="005638C6">
      <w:pPr>
        <w:spacing w:line="360" w:lineRule="auto"/>
        <w:jc w:val="both"/>
        <w:rPr>
          <w:rFonts w:ascii="Book Antiqua" w:hAnsi="Book Antiqua"/>
        </w:rPr>
      </w:pPr>
      <w:r w:rsidRPr="00D40ECC">
        <w:rPr>
          <w:rFonts w:ascii="Book Antiqua" w:hAnsi="Book Antiqua"/>
        </w:rPr>
        <w:t xml:space="preserve">23 </w:t>
      </w:r>
      <w:proofErr w:type="spellStart"/>
      <w:r w:rsidRPr="00D40ECC">
        <w:rPr>
          <w:rFonts w:ascii="Book Antiqua" w:hAnsi="Book Antiqua"/>
          <w:b/>
          <w:bCs/>
        </w:rPr>
        <w:t>Urits</w:t>
      </w:r>
      <w:proofErr w:type="spellEnd"/>
      <w:r w:rsidRPr="00D40ECC">
        <w:rPr>
          <w:rFonts w:ascii="Book Antiqua" w:hAnsi="Book Antiqua"/>
          <w:b/>
          <w:bCs/>
        </w:rPr>
        <w:t xml:space="preserve"> I</w:t>
      </w:r>
      <w:r w:rsidRPr="00D40ECC">
        <w:rPr>
          <w:rFonts w:ascii="Book Antiqua" w:hAnsi="Book Antiqua"/>
        </w:rPr>
        <w:t xml:space="preserve">, </w:t>
      </w:r>
      <w:proofErr w:type="spellStart"/>
      <w:r w:rsidRPr="00D40ECC">
        <w:rPr>
          <w:rFonts w:ascii="Book Antiqua" w:hAnsi="Book Antiqua"/>
        </w:rPr>
        <w:t>Borchart</w:t>
      </w:r>
      <w:proofErr w:type="spellEnd"/>
      <w:r w:rsidRPr="00D40ECC">
        <w:rPr>
          <w:rFonts w:ascii="Book Antiqua" w:hAnsi="Book Antiqua"/>
        </w:rPr>
        <w:t xml:space="preserve"> M, Hasegawa M, </w:t>
      </w:r>
      <w:proofErr w:type="spellStart"/>
      <w:r w:rsidRPr="00D40ECC">
        <w:rPr>
          <w:rFonts w:ascii="Book Antiqua" w:hAnsi="Book Antiqua"/>
        </w:rPr>
        <w:t>Kochanski</w:t>
      </w:r>
      <w:proofErr w:type="spellEnd"/>
      <w:r w:rsidRPr="00D40ECC">
        <w:rPr>
          <w:rFonts w:ascii="Book Antiqua" w:hAnsi="Book Antiqua"/>
        </w:rPr>
        <w:t xml:space="preserve"> J, </w:t>
      </w:r>
      <w:proofErr w:type="spellStart"/>
      <w:r w:rsidRPr="00D40ECC">
        <w:rPr>
          <w:rFonts w:ascii="Book Antiqua" w:hAnsi="Book Antiqua"/>
        </w:rPr>
        <w:t>Orhurhu</w:t>
      </w:r>
      <w:proofErr w:type="spellEnd"/>
      <w:r w:rsidRPr="00D40ECC">
        <w:rPr>
          <w:rFonts w:ascii="Book Antiqua" w:hAnsi="Book Antiqua"/>
        </w:rPr>
        <w:t xml:space="preserve"> V, </w:t>
      </w:r>
      <w:proofErr w:type="spellStart"/>
      <w:r w:rsidRPr="00D40ECC">
        <w:rPr>
          <w:rFonts w:ascii="Book Antiqua" w:hAnsi="Book Antiqua"/>
        </w:rPr>
        <w:t>Viswanath</w:t>
      </w:r>
      <w:proofErr w:type="spellEnd"/>
      <w:r w:rsidRPr="00D40ECC">
        <w:rPr>
          <w:rFonts w:ascii="Book Antiqua" w:hAnsi="Book Antiqua"/>
        </w:rPr>
        <w:t xml:space="preserve"> O. </w:t>
      </w:r>
      <w:proofErr w:type="gramStart"/>
      <w:r w:rsidRPr="00D40ECC">
        <w:rPr>
          <w:rFonts w:ascii="Book Antiqua" w:hAnsi="Book Antiqua"/>
        </w:rPr>
        <w:t>An Update of Current Cannabis-Based Pharmaceuticals in Pain Medicine.</w:t>
      </w:r>
      <w:proofErr w:type="gramEnd"/>
      <w:r w:rsidRPr="00D40ECC">
        <w:rPr>
          <w:rFonts w:ascii="Book Antiqua" w:hAnsi="Book Antiqua"/>
        </w:rPr>
        <w:t xml:space="preserve"> </w:t>
      </w:r>
      <w:r w:rsidRPr="00D40ECC">
        <w:rPr>
          <w:rFonts w:ascii="Book Antiqua" w:hAnsi="Book Antiqua"/>
          <w:i/>
          <w:iCs/>
        </w:rPr>
        <w:t xml:space="preserve">Pain </w:t>
      </w:r>
      <w:proofErr w:type="spellStart"/>
      <w:r w:rsidRPr="00D40ECC">
        <w:rPr>
          <w:rFonts w:ascii="Book Antiqua" w:hAnsi="Book Antiqua"/>
          <w:i/>
          <w:iCs/>
        </w:rPr>
        <w:t>Ther</w:t>
      </w:r>
      <w:proofErr w:type="spellEnd"/>
      <w:r w:rsidRPr="00D40ECC">
        <w:rPr>
          <w:rFonts w:ascii="Book Antiqua" w:hAnsi="Book Antiqua"/>
        </w:rPr>
        <w:t xml:space="preserve"> 2019; </w:t>
      </w:r>
      <w:r w:rsidRPr="00D40ECC">
        <w:rPr>
          <w:rFonts w:ascii="Book Antiqua" w:hAnsi="Book Antiqua"/>
          <w:b/>
          <w:bCs/>
        </w:rPr>
        <w:t>8</w:t>
      </w:r>
      <w:r w:rsidRPr="00D40ECC">
        <w:rPr>
          <w:rFonts w:ascii="Book Antiqua" w:hAnsi="Book Antiqua"/>
        </w:rPr>
        <w:t>: 41-51 [PMID: 30721403 DOI: 10.1007/s40122-019-0114-4]</w:t>
      </w:r>
    </w:p>
    <w:p w14:paraId="33989839" w14:textId="2367FFFC" w:rsidR="00D17D65" w:rsidRPr="00D40ECC" w:rsidRDefault="00D17D65" w:rsidP="005638C6">
      <w:pPr>
        <w:spacing w:line="360" w:lineRule="auto"/>
        <w:jc w:val="both"/>
        <w:rPr>
          <w:rFonts w:ascii="Book Antiqua" w:hAnsi="Book Antiqua"/>
        </w:rPr>
      </w:pPr>
      <w:r w:rsidRPr="00D40ECC">
        <w:rPr>
          <w:rFonts w:ascii="Book Antiqua" w:hAnsi="Book Antiqua"/>
        </w:rPr>
        <w:t xml:space="preserve">24 </w:t>
      </w:r>
      <w:r w:rsidRPr="00D40ECC">
        <w:rPr>
          <w:rFonts w:ascii="Book Antiqua" w:hAnsi="Book Antiqua"/>
          <w:b/>
          <w:bCs/>
        </w:rPr>
        <w:t>Goyal H</w:t>
      </w:r>
      <w:r w:rsidRPr="00D40ECC">
        <w:rPr>
          <w:rFonts w:ascii="Book Antiqua" w:hAnsi="Book Antiqua"/>
        </w:rPr>
        <w:t xml:space="preserve">, Singla U, Gupta U, May E. Role of cannabis in digestive disorders. </w:t>
      </w:r>
      <w:r w:rsidRPr="00D40ECC">
        <w:rPr>
          <w:rFonts w:ascii="Book Antiqua" w:hAnsi="Book Antiqua"/>
          <w:i/>
          <w:iCs/>
        </w:rPr>
        <w:t>Eur J Gastroenterol Hepatol</w:t>
      </w:r>
      <w:r w:rsidRPr="00D40ECC">
        <w:rPr>
          <w:rFonts w:ascii="Book Antiqua" w:hAnsi="Book Antiqua"/>
        </w:rPr>
        <w:t xml:space="preserve"> 2017; </w:t>
      </w:r>
      <w:r w:rsidRPr="00D40ECC">
        <w:rPr>
          <w:rFonts w:ascii="Book Antiqua" w:hAnsi="Book Antiqua"/>
          <w:b/>
          <w:bCs/>
        </w:rPr>
        <w:t>29</w:t>
      </w:r>
      <w:r w:rsidRPr="00D40ECC">
        <w:rPr>
          <w:rFonts w:ascii="Book Antiqua" w:hAnsi="Book Antiqua"/>
        </w:rPr>
        <w:t xml:space="preserve">: 135-143 [PMID: 27792038 DOI: </w:t>
      </w:r>
      <w:r w:rsidR="006D7724" w:rsidRPr="00D40ECC">
        <w:rPr>
          <w:rFonts w:ascii="Book Antiqua" w:hAnsi="Book Antiqua"/>
        </w:rPr>
        <w:t>10.1097/MEG.0000000000000779</w:t>
      </w:r>
      <w:r w:rsidRPr="00D40ECC">
        <w:rPr>
          <w:rFonts w:ascii="Book Antiqua" w:hAnsi="Book Antiqua"/>
        </w:rPr>
        <w:t>]</w:t>
      </w:r>
    </w:p>
    <w:p w14:paraId="0014938F" w14:textId="77777777" w:rsidR="00D17D65" w:rsidRPr="00D40ECC" w:rsidRDefault="00D17D65" w:rsidP="005638C6">
      <w:pPr>
        <w:spacing w:line="360" w:lineRule="auto"/>
        <w:jc w:val="both"/>
        <w:rPr>
          <w:rFonts w:ascii="Book Antiqua" w:hAnsi="Book Antiqua"/>
        </w:rPr>
      </w:pPr>
      <w:proofErr w:type="gramStart"/>
      <w:r w:rsidRPr="00D40ECC">
        <w:rPr>
          <w:rFonts w:ascii="Book Antiqua" w:hAnsi="Book Antiqua"/>
        </w:rPr>
        <w:lastRenderedPageBreak/>
        <w:t xml:space="preserve">25 </w:t>
      </w:r>
      <w:r w:rsidRPr="00D40ECC">
        <w:rPr>
          <w:rFonts w:ascii="Book Antiqua" w:hAnsi="Book Antiqua"/>
          <w:b/>
          <w:bCs/>
        </w:rPr>
        <w:t>Huestis MA</w:t>
      </w:r>
      <w:r w:rsidRPr="00D40ECC">
        <w:rPr>
          <w:rFonts w:ascii="Book Antiqua" w:hAnsi="Book Antiqua"/>
        </w:rPr>
        <w:t>.</w:t>
      </w:r>
      <w:proofErr w:type="gramEnd"/>
      <w:r w:rsidRPr="00D40ECC">
        <w:rPr>
          <w:rFonts w:ascii="Book Antiqua" w:hAnsi="Book Antiqua"/>
        </w:rPr>
        <w:t xml:space="preserve"> </w:t>
      </w:r>
      <w:proofErr w:type="gramStart"/>
      <w:r w:rsidRPr="00D40ECC">
        <w:rPr>
          <w:rFonts w:ascii="Book Antiqua" w:hAnsi="Book Antiqua"/>
        </w:rPr>
        <w:t>Human cannabinoid pharmacokinetics.</w:t>
      </w:r>
      <w:proofErr w:type="gramEnd"/>
      <w:r w:rsidRPr="00D40ECC">
        <w:rPr>
          <w:rFonts w:ascii="Book Antiqua" w:hAnsi="Book Antiqua"/>
        </w:rPr>
        <w:t xml:space="preserve"> </w:t>
      </w:r>
      <w:proofErr w:type="spellStart"/>
      <w:r w:rsidRPr="00D40ECC">
        <w:rPr>
          <w:rFonts w:ascii="Book Antiqua" w:hAnsi="Book Antiqua"/>
          <w:i/>
          <w:iCs/>
        </w:rPr>
        <w:t>Chem</w:t>
      </w:r>
      <w:proofErr w:type="spellEnd"/>
      <w:r w:rsidRPr="00D40ECC">
        <w:rPr>
          <w:rFonts w:ascii="Book Antiqua" w:hAnsi="Book Antiqua"/>
          <w:i/>
          <w:iCs/>
        </w:rPr>
        <w:t xml:space="preserve"> </w:t>
      </w:r>
      <w:proofErr w:type="spellStart"/>
      <w:r w:rsidRPr="00D40ECC">
        <w:rPr>
          <w:rFonts w:ascii="Book Antiqua" w:hAnsi="Book Antiqua"/>
          <w:i/>
          <w:iCs/>
        </w:rPr>
        <w:t>Biodivers</w:t>
      </w:r>
      <w:proofErr w:type="spellEnd"/>
      <w:r w:rsidRPr="00D40ECC">
        <w:rPr>
          <w:rFonts w:ascii="Book Antiqua" w:hAnsi="Book Antiqua"/>
        </w:rPr>
        <w:t xml:space="preserve"> 2007; </w:t>
      </w:r>
      <w:r w:rsidRPr="00D40ECC">
        <w:rPr>
          <w:rFonts w:ascii="Book Antiqua" w:hAnsi="Book Antiqua"/>
          <w:b/>
          <w:bCs/>
        </w:rPr>
        <w:t>4</w:t>
      </w:r>
      <w:r w:rsidRPr="00D40ECC">
        <w:rPr>
          <w:rFonts w:ascii="Book Antiqua" w:hAnsi="Book Antiqua"/>
        </w:rPr>
        <w:t>: 1770-1804 [PMID: 17712819 DOI: 10.1002/cbdv.200790152]</w:t>
      </w:r>
    </w:p>
    <w:p w14:paraId="306D880D" w14:textId="77777777" w:rsidR="00D17D65" w:rsidRPr="00D40ECC" w:rsidRDefault="00D17D65" w:rsidP="005638C6">
      <w:pPr>
        <w:spacing w:line="360" w:lineRule="auto"/>
        <w:jc w:val="both"/>
        <w:rPr>
          <w:rFonts w:ascii="Book Antiqua" w:hAnsi="Book Antiqua"/>
        </w:rPr>
      </w:pPr>
      <w:r w:rsidRPr="00D40ECC">
        <w:rPr>
          <w:rFonts w:ascii="Book Antiqua" w:hAnsi="Book Antiqua"/>
        </w:rPr>
        <w:t xml:space="preserve">26 </w:t>
      </w:r>
      <w:r w:rsidRPr="00D40ECC">
        <w:rPr>
          <w:rFonts w:ascii="Book Antiqua" w:hAnsi="Book Antiqua"/>
          <w:b/>
          <w:bCs/>
        </w:rPr>
        <w:t>Wall ME</w:t>
      </w:r>
      <w:r w:rsidRPr="00D40ECC">
        <w:rPr>
          <w:rFonts w:ascii="Book Antiqua" w:hAnsi="Book Antiqua"/>
        </w:rPr>
        <w:t xml:space="preserve">, Sadler BM, Brine D, Taylor H, Perez-Reyes M. Metabolism, disposition, and kinetics of delta-9-tetrahydrocannabinol in men and women. </w:t>
      </w:r>
      <w:proofErr w:type="spellStart"/>
      <w:r w:rsidRPr="00D40ECC">
        <w:rPr>
          <w:rFonts w:ascii="Book Antiqua" w:hAnsi="Book Antiqua"/>
          <w:i/>
          <w:iCs/>
        </w:rPr>
        <w:t>Clin</w:t>
      </w:r>
      <w:proofErr w:type="spellEnd"/>
      <w:r w:rsidRPr="00D40ECC">
        <w:rPr>
          <w:rFonts w:ascii="Book Antiqua" w:hAnsi="Book Antiqua"/>
          <w:i/>
          <w:iCs/>
        </w:rPr>
        <w:t xml:space="preserve"> </w:t>
      </w:r>
      <w:proofErr w:type="spellStart"/>
      <w:r w:rsidRPr="00D40ECC">
        <w:rPr>
          <w:rFonts w:ascii="Book Antiqua" w:hAnsi="Book Antiqua"/>
          <w:i/>
          <w:iCs/>
        </w:rPr>
        <w:t>Pharmacol</w:t>
      </w:r>
      <w:proofErr w:type="spellEnd"/>
      <w:r w:rsidRPr="00D40ECC">
        <w:rPr>
          <w:rFonts w:ascii="Book Antiqua" w:hAnsi="Book Antiqua"/>
          <w:i/>
          <w:iCs/>
        </w:rPr>
        <w:t xml:space="preserve"> </w:t>
      </w:r>
      <w:proofErr w:type="spellStart"/>
      <w:r w:rsidRPr="00D40ECC">
        <w:rPr>
          <w:rFonts w:ascii="Book Antiqua" w:hAnsi="Book Antiqua"/>
          <w:i/>
          <w:iCs/>
        </w:rPr>
        <w:t>Ther</w:t>
      </w:r>
      <w:proofErr w:type="spellEnd"/>
      <w:r w:rsidRPr="00D40ECC">
        <w:rPr>
          <w:rFonts w:ascii="Book Antiqua" w:hAnsi="Book Antiqua"/>
        </w:rPr>
        <w:t xml:space="preserve"> 1983; </w:t>
      </w:r>
      <w:r w:rsidRPr="00D40ECC">
        <w:rPr>
          <w:rFonts w:ascii="Book Antiqua" w:hAnsi="Book Antiqua"/>
          <w:b/>
          <w:bCs/>
        </w:rPr>
        <w:t>34</w:t>
      </w:r>
      <w:r w:rsidRPr="00D40ECC">
        <w:rPr>
          <w:rFonts w:ascii="Book Antiqua" w:hAnsi="Book Antiqua"/>
        </w:rPr>
        <w:t>: 352-363 [PMID: 6309462 DOI: 10.1038/clpt.1983.179]</w:t>
      </w:r>
    </w:p>
    <w:p w14:paraId="111DDEC8" w14:textId="2301BF07" w:rsidR="004869DA" w:rsidRPr="00D40ECC" w:rsidRDefault="00D17D65" w:rsidP="005638C6">
      <w:pPr>
        <w:pStyle w:val="EndNoteBibliography"/>
        <w:spacing w:after="0" w:line="360" w:lineRule="auto"/>
        <w:jc w:val="both"/>
        <w:rPr>
          <w:rFonts w:ascii="Book Antiqua" w:eastAsiaTheme="minorEastAsia" w:hAnsi="Book Antiqua"/>
          <w:noProof w:val="0"/>
          <w:szCs w:val="24"/>
        </w:rPr>
      </w:pPr>
      <w:r w:rsidRPr="00D40ECC">
        <w:rPr>
          <w:rFonts w:ascii="Book Antiqua" w:hAnsi="Book Antiqua"/>
          <w:szCs w:val="24"/>
        </w:rPr>
        <w:t>2</w:t>
      </w:r>
      <w:r w:rsidRPr="00D40ECC">
        <w:rPr>
          <w:rFonts w:ascii="Book Antiqua" w:eastAsiaTheme="minorEastAsia" w:hAnsi="Book Antiqua"/>
          <w:noProof w:val="0"/>
          <w:szCs w:val="24"/>
        </w:rPr>
        <w:t xml:space="preserve">7 </w:t>
      </w:r>
      <w:r w:rsidR="004869DA" w:rsidRPr="00D40ECC">
        <w:rPr>
          <w:rFonts w:ascii="Book Antiqua" w:eastAsiaTheme="minorEastAsia" w:hAnsi="Book Antiqua"/>
          <w:b/>
          <w:bCs/>
          <w:noProof w:val="0"/>
          <w:szCs w:val="24"/>
        </w:rPr>
        <w:t>Payne RJ,</w:t>
      </w:r>
      <w:r w:rsidR="004869DA" w:rsidRPr="00D40ECC">
        <w:rPr>
          <w:rFonts w:ascii="Book Antiqua" w:eastAsiaTheme="minorEastAsia" w:hAnsi="Book Antiqua"/>
          <w:noProof w:val="0"/>
          <w:szCs w:val="24"/>
        </w:rPr>
        <w:t xml:space="preserve"> Brand SN. </w:t>
      </w:r>
      <w:proofErr w:type="gramStart"/>
      <w:r w:rsidR="004869DA" w:rsidRPr="00D40ECC">
        <w:rPr>
          <w:rFonts w:ascii="Book Antiqua" w:eastAsiaTheme="minorEastAsia" w:hAnsi="Book Antiqua"/>
          <w:noProof w:val="0"/>
          <w:szCs w:val="24"/>
        </w:rPr>
        <w:t>The toxicity of intravenously used marihuana.</w:t>
      </w:r>
      <w:proofErr w:type="gramEnd"/>
      <w:r w:rsidR="004869DA" w:rsidRPr="00D40ECC">
        <w:rPr>
          <w:rFonts w:ascii="Book Antiqua" w:eastAsiaTheme="minorEastAsia" w:hAnsi="Book Antiqua"/>
          <w:noProof w:val="0"/>
          <w:szCs w:val="24"/>
        </w:rPr>
        <w:t xml:space="preserve"> </w:t>
      </w:r>
      <w:r w:rsidR="004869DA" w:rsidRPr="00D40ECC">
        <w:rPr>
          <w:rFonts w:ascii="Book Antiqua" w:eastAsiaTheme="minorEastAsia" w:hAnsi="Book Antiqua"/>
          <w:i/>
          <w:iCs/>
          <w:noProof w:val="0"/>
          <w:szCs w:val="24"/>
        </w:rPr>
        <w:t>JAMA</w:t>
      </w:r>
      <w:r w:rsidR="004869DA" w:rsidRPr="00D40ECC">
        <w:rPr>
          <w:rFonts w:ascii="Book Antiqua" w:eastAsiaTheme="minorEastAsia" w:hAnsi="Book Antiqua"/>
          <w:noProof w:val="0"/>
          <w:szCs w:val="24"/>
        </w:rPr>
        <w:t xml:space="preserve"> 1975; </w:t>
      </w:r>
      <w:r w:rsidR="004869DA" w:rsidRPr="00D40ECC">
        <w:rPr>
          <w:rFonts w:ascii="Book Antiqua" w:eastAsiaTheme="minorEastAsia" w:hAnsi="Book Antiqua"/>
          <w:b/>
          <w:bCs/>
          <w:noProof w:val="0"/>
          <w:szCs w:val="24"/>
        </w:rPr>
        <w:t xml:space="preserve">233: </w:t>
      </w:r>
      <w:r w:rsidR="004869DA" w:rsidRPr="00D40ECC">
        <w:rPr>
          <w:rFonts w:ascii="Book Antiqua" w:eastAsiaTheme="minorEastAsia" w:hAnsi="Book Antiqua"/>
          <w:noProof w:val="0"/>
          <w:szCs w:val="24"/>
        </w:rPr>
        <w:t>351-354 [PMID: 1173650</w:t>
      </w:r>
      <w:r w:rsidR="00AB6147" w:rsidRPr="00D40ECC">
        <w:rPr>
          <w:rFonts w:ascii="Book Antiqua" w:eastAsiaTheme="minorEastAsia" w:hAnsi="Book Antiqua"/>
          <w:noProof w:val="0"/>
          <w:szCs w:val="24"/>
          <w:lang w:eastAsia="zh-CN"/>
        </w:rPr>
        <w:t xml:space="preserve"> DOI: 10.1001/jama.233.4.351</w:t>
      </w:r>
      <w:r w:rsidR="004869DA" w:rsidRPr="00D40ECC">
        <w:rPr>
          <w:rFonts w:ascii="Book Antiqua" w:eastAsiaTheme="minorEastAsia" w:hAnsi="Book Antiqua"/>
          <w:noProof w:val="0"/>
          <w:szCs w:val="24"/>
        </w:rPr>
        <w:t>]</w:t>
      </w:r>
    </w:p>
    <w:p w14:paraId="41F8494A" w14:textId="78F7F4D2" w:rsidR="004869DA" w:rsidRPr="00D40ECC" w:rsidRDefault="004869DA" w:rsidP="005638C6">
      <w:pPr>
        <w:pStyle w:val="EndNoteBibliography"/>
        <w:spacing w:after="0" w:line="360" w:lineRule="auto"/>
        <w:jc w:val="both"/>
        <w:rPr>
          <w:rFonts w:ascii="Book Antiqua" w:eastAsiaTheme="minorEastAsia" w:hAnsi="Book Antiqua"/>
          <w:noProof w:val="0"/>
          <w:szCs w:val="24"/>
        </w:rPr>
      </w:pPr>
      <w:r w:rsidRPr="00D40ECC">
        <w:rPr>
          <w:rFonts w:ascii="Book Antiqua" w:eastAsiaTheme="minorEastAsia" w:hAnsi="Book Antiqua"/>
          <w:noProof w:val="0"/>
          <w:szCs w:val="24"/>
        </w:rPr>
        <w:t>28</w:t>
      </w:r>
      <w:r w:rsidR="00642ABD" w:rsidRPr="00D40ECC">
        <w:rPr>
          <w:rFonts w:ascii="Book Antiqua" w:eastAsiaTheme="minorEastAsia" w:hAnsi="Book Antiqua"/>
          <w:noProof w:val="0"/>
          <w:szCs w:val="24"/>
        </w:rPr>
        <w:t xml:space="preserve"> </w:t>
      </w:r>
      <w:r w:rsidR="00642ABD" w:rsidRPr="00D40ECC">
        <w:rPr>
          <w:rFonts w:ascii="Book Antiqua" w:eastAsiaTheme="minorEastAsia" w:hAnsi="Book Antiqua"/>
          <w:b/>
          <w:bCs/>
          <w:noProof w:val="0"/>
          <w:szCs w:val="24"/>
        </w:rPr>
        <w:t>Leboffe L,</w:t>
      </w:r>
      <w:r w:rsidR="00642ABD" w:rsidRPr="00D40ECC">
        <w:rPr>
          <w:rFonts w:ascii="Book Antiqua" w:eastAsiaTheme="minorEastAsia" w:hAnsi="Book Antiqua"/>
          <w:noProof w:val="0"/>
          <w:szCs w:val="24"/>
        </w:rPr>
        <w:t xml:space="preserve"> di Masi A, Trezza V, Polticelli F, Ascenzi P. Human serum albumin: A modulator of cannabinoid drugs. </w:t>
      </w:r>
      <w:r w:rsidR="00642ABD" w:rsidRPr="00D40ECC">
        <w:rPr>
          <w:rFonts w:ascii="Book Antiqua" w:eastAsiaTheme="minorEastAsia" w:hAnsi="Book Antiqua"/>
          <w:i/>
          <w:iCs/>
          <w:noProof w:val="0"/>
          <w:szCs w:val="24"/>
        </w:rPr>
        <w:t>IUBMB Life</w:t>
      </w:r>
      <w:r w:rsidR="00642ABD" w:rsidRPr="00D40ECC">
        <w:rPr>
          <w:rFonts w:ascii="Book Antiqua" w:eastAsiaTheme="minorEastAsia" w:hAnsi="Book Antiqua"/>
          <w:noProof w:val="0"/>
          <w:szCs w:val="24"/>
        </w:rPr>
        <w:t xml:space="preserve"> 2017; </w:t>
      </w:r>
      <w:r w:rsidR="00642ABD" w:rsidRPr="00D40ECC">
        <w:rPr>
          <w:rFonts w:ascii="Book Antiqua" w:eastAsiaTheme="minorEastAsia" w:hAnsi="Book Antiqua"/>
          <w:b/>
          <w:bCs/>
          <w:noProof w:val="0"/>
          <w:szCs w:val="24"/>
        </w:rPr>
        <w:t>69:</w:t>
      </w:r>
      <w:r w:rsidR="00642ABD" w:rsidRPr="00D40ECC">
        <w:rPr>
          <w:rFonts w:ascii="Book Antiqua" w:eastAsiaTheme="minorEastAsia" w:hAnsi="Book Antiqua"/>
          <w:noProof w:val="0"/>
          <w:szCs w:val="24"/>
        </w:rPr>
        <w:t xml:space="preserve"> 834-840 [PMID: 28976704 DOI: 10.1002/iub.1682]</w:t>
      </w:r>
    </w:p>
    <w:p w14:paraId="4C39BA7B" w14:textId="0742C5FB" w:rsidR="00200F69" w:rsidRPr="00D40ECC" w:rsidRDefault="004869DA" w:rsidP="005638C6">
      <w:pPr>
        <w:pStyle w:val="EndNoteBibliography"/>
        <w:spacing w:after="0" w:line="360" w:lineRule="auto"/>
        <w:jc w:val="both"/>
        <w:rPr>
          <w:rFonts w:ascii="Book Antiqua" w:eastAsiaTheme="minorEastAsia" w:hAnsi="Book Antiqua"/>
          <w:noProof w:val="0"/>
          <w:szCs w:val="24"/>
        </w:rPr>
      </w:pPr>
      <w:r w:rsidRPr="00D40ECC">
        <w:rPr>
          <w:rFonts w:ascii="Book Antiqua" w:hAnsi="Book Antiqua"/>
          <w:szCs w:val="24"/>
          <w:lang w:val="pt-BR"/>
        </w:rPr>
        <w:t>29</w:t>
      </w:r>
      <w:r w:rsidR="00200F69" w:rsidRPr="00D40ECC">
        <w:rPr>
          <w:rFonts w:ascii="Book Antiqua" w:hAnsi="Book Antiqua" w:cs="Segoe UI"/>
          <w:color w:val="212121"/>
          <w:szCs w:val="24"/>
          <w:shd w:val="clear" w:color="auto" w:fill="FFFFFF"/>
          <w:lang w:val="pt-BR"/>
        </w:rPr>
        <w:t xml:space="preserve"> </w:t>
      </w:r>
      <w:r w:rsidR="00200F69" w:rsidRPr="00D40ECC">
        <w:rPr>
          <w:rFonts w:ascii="Book Antiqua" w:eastAsiaTheme="minorEastAsia" w:hAnsi="Book Antiqua"/>
          <w:b/>
          <w:bCs/>
          <w:noProof w:val="0"/>
          <w:szCs w:val="24"/>
          <w:lang w:val="pt-BR"/>
        </w:rPr>
        <w:t>Blüml V</w:t>
      </w:r>
      <w:r w:rsidR="00200F69" w:rsidRPr="00D40ECC">
        <w:rPr>
          <w:rFonts w:ascii="Book Antiqua" w:eastAsiaTheme="minorEastAsia" w:hAnsi="Book Antiqua"/>
          <w:noProof w:val="0"/>
          <w:szCs w:val="24"/>
          <w:lang w:val="pt-BR"/>
        </w:rPr>
        <w:t xml:space="preserve">, Kapusta N, Vyssoki B, Kogoj D, Walter H, Lesch OM. </w:t>
      </w:r>
      <w:proofErr w:type="gramStart"/>
      <w:r w:rsidR="00200F69" w:rsidRPr="00D40ECC">
        <w:rPr>
          <w:rFonts w:ascii="Book Antiqua" w:eastAsiaTheme="minorEastAsia" w:hAnsi="Book Antiqua"/>
          <w:noProof w:val="0"/>
          <w:szCs w:val="24"/>
        </w:rPr>
        <w:t>Relationship between substance use and body mass index in young males.</w:t>
      </w:r>
      <w:proofErr w:type="gramEnd"/>
      <w:r w:rsidR="00200F69" w:rsidRPr="00D40ECC">
        <w:rPr>
          <w:rFonts w:ascii="Book Antiqua" w:eastAsiaTheme="minorEastAsia" w:hAnsi="Book Antiqua"/>
          <w:noProof w:val="0"/>
          <w:szCs w:val="24"/>
        </w:rPr>
        <w:t xml:space="preserve"> </w:t>
      </w:r>
      <w:r w:rsidR="00200F69" w:rsidRPr="00D40ECC">
        <w:rPr>
          <w:rFonts w:ascii="Book Antiqua" w:eastAsiaTheme="minorEastAsia" w:hAnsi="Book Antiqua"/>
          <w:i/>
          <w:iCs/>
          <w:noProof w:val="0"/>
          <w:szCs w:val="24"/>
        </w:rPr>
        <w:t>Am J Addict</w:t>
      </w:r>
      <w:r w:rsidR="00200F69" w:rsidRPr="00D40ECC">
        <w:rPr>
          <w:rFonts w:ascii="Book Antiqua" w:eastAsiaTheme="minorEastAsia" w:hAnsi="Book Antiqua"/>
          <w:noProof w:val="0"/>
          <w:szCs w:val="24"/>
        </w:rPr>
        <w:t xml:space="preserve"> 2012; </w:t>
      </w:r>
      <w:r w:rsidR="00200F69" w:rsidRPr="00D40ECC">
        <w:rPr>
          <w:rFonts w:ascii="Book Antiqua" w:eastAsiaTheme="minorEastAsia" w:hAnsi="Book Antiqua"/>
          <w:b/>
          <w:bCs/>
          <w:noProof w:val="0"/>
          <w:szCs w:val="24"/>
        </w:rPr>
        <w:t>21:</w:t>
      </w:r>
      <w:r w:rsidR="00200F69" w:rsidRPr="00D40ECC">
        <w:rPr>
          <w:rFonts w:ascii="Book Antiqua" w:eastAsiaTheme="minorEastAsia" w:hAnsi="Book Antiqua"/>
          <w:noProof w:val="0"/>
          <w:szCs w:val="24"/>
        </w:rPr>
        <w:t xml:space="preserve"> 72-77 </w:t>
      </w:r>
      <w:r w:rsidR="003F7041" w:rsidRPr="00D40ECC">
        <w:rPr>
          <w:rFonts w:ascii="Book Antiqua" w:eastAsiaTheme="minorEastAsia" w:hAnsi="Book Antiqua"/>
          <w:noProof w:val="0"/>
          <w:szCs w:val="24"/>
        </w:rPr>
        <w:t>[</w:t>
      </w:r>
      <w:r w:rsidR="00200F69" w:rsidRPr="00D40ECC">
        <w:rPr>
          <w:rFonts w:ascii="Book Antiqua" w:eastAsiaTheme="minorEastAsia" w:hAnsi="Book Antiqua"/>
          <w:noProof w:val="0"/>
          <w:szCs w:val="24"/>
        </w:rPr>
        <w:t>PMID: 22211349 DOI: 10.1111/j.1521-0391.2011.00192.x]</w:t>
      </w:r>
    </w:p>
    <w:p w14:paraId="75092FEA" w14:textId="6B02245B" w:rsidR="00D17D65" w:rsidRPr="00D40ECC" w:rsidRDefault="004869DA" w:rsidP="005638C6">
      <w:pPr>
        <w:pStyle w:val="EndNoteBibliography"/>
        <w:spacing w:after="0" w:line="360" w:lineRule="auto"/>
        <w:jc w:val="both"/>
        <w:rPr>
          <w:rFonts w:ascii="Book Antiqua" w:hAnsi="Book Antiqua"/>
          <w:szCs w:val="24"/>
        </w:rPr>
      </w:pPr>
      <w:r w:rsidRPr="00D40ECC">
        <w:rPr>
          <w:rFonts w:ascii="Book Antiqua" w:hAnsi="Book Antiqua"/>
          <w:szCs w:val="24"/>
        </w:rPr>
        <w:t>30</w:t>
      </w:r>
      <w:r w:rsidRPr="00D40ECC">
        <w:rPr>
          <w:rFonts w:ascii="Book Antiqua" w:hAnsi="Book Antiqua"/>
          <w:b/>
          <w:bCs/>
          <w:szCs w:val="24"/>
        </w:rPr>
        <w:t xml:space="preserve"> </w:t>
      </w:r>
      <w:r w:rsidR="00D17D65" w:rsidRPr="00D40ECC">
        <w:rPr>
          <w:rFonts w:ascii="Book Antiqua" w:hAnsi="Book Antiqua"/>
          <w:b/>
          <w:bCs/>
          <w:szCs w:val="24"/>
        </w:rPr>
        <w:t>Katsiki N</w:t>
      </w:r>
      <w:r w:rsidR="00D17D65" w:rsidRPr="00D40ECC">
        <w:rPr>
          <w:rFonts w:ascii="Book Antiqua" w:hAnsi="Book Antiqua"/>
          <w:szCs w:val="24"/>
        </w:rPr>
        <w:t xml:space="preserve">, Mikhailidis DP, Mantzoros CS. Non-alcoholic fatty liver disease and dyslipidemia: An update. </w:t>
      </w:r>
      <w:r w:rsidR="00D17D65" w:rsidRPr="00D40ECC">
        <w:rPr>
          <w:rFonts w:ascii="Book Antiqua" w:hAnsi="Book Antiqua"/>
          <w:i/>
          <w:iCs/>
          <w:szCs w:val="24"/>
        </w:rPr>
        <w:t>Metabolism</w:t>
      </w:r>
      <w:r w:rsidR="00D17D65" w:rsidRPr="00D40ECC">
        <w:rPr>
          <w:rFonts w:ascii="Book Antiqua" w:hAnsi="Book Antiqua"/>
          <w:szCs w:val="24"/>
        </w:rPr>
        <w:t xml:space="preserve"> 2016; </w:t>
      </w:r>
      <w:r w:rsidR="00D17D65" w:rsidRPr="00D40ECC">
        <w:rPr>
          <w:rFonts w:ascii="Book Antiqua" w:hAnsi="Book Antiqua"/>
          <w:b/>
          <w:bCs/>
          <w:szCs w:val="24"/>
        </w:rPr>
        <w:t>65</w:t>
      </w:r>
      <w:r w:rsidR="00D17D65" w:rsidRPr="00D40ECC">
        <w:rPr>
          <w:rFonts w:ascii="Book Antiqua" w:hAnsi="Book Antiqua"/>
          <w:szCs w:val="24"/>
        </w:rPr>
        <w:t>: 1109-1123 [PMID: 27237577 DOI: 10.1016/j.metabol.2016.05.003]</w:t>
      </w:r>
    </w:p>
    <w:p w14:paraId="7C801FA3" w14:textId="3A65CAFF" w:rsidR="00D17D65" w:rsidRPr="00D40ECC" w:rsidRDefault="004869DA" w:rsidP="005638C6">
      <w:pPr>
        <w:spacing w:line="360" w:lineRule="auto"/>
        <w:jc w:val="both"/>
        <w:rPr>
          <w:rFonts w:ascii="Book Antiqua" w:hAnsi="Book Antiqua"/>
        </w:rPr>
      </w:pPr>
      <w:r w:rsidRPr="00D40ECC">
        <w:rPr>
          <w:rFonts w:ascii="Book Antiqua" w:hAnsi="Book Antiqua"/>
        </w:rPr>
        <w:t>31</w:t>
      </w:r>
      <w:r w:rsidR="00D17D65" w:rsidRPr="00D40ECC">
        <w:rPr>
          <w:rFonts w:ascii="Book Antiqua" w:hAnsi="Book Antiqua"/>
        </w:rPr>
        <w:t xml:space="preserve"> </w:t>
      </w:r>
      <w:proofErr w:type="spellStart"/>
      <w:r w:rsidR="00D17D65" w:rsidRPr="00D40ECC">
        <w:rPr>
          <w:rFonts w:ascii="Book Antiqua" w:hAnsi="Book Antiqua"/>
          <w:b/>
          <w:bCs/>
        </w:rPr>
        <w:t>Vidot</w:t>
      </w:r>
      <w:proofErr w:type="spellEnd"/>
      <w:r w:rsidR="00D17D65" w:rsidRPr="00D40ECC">
        <w:rPr>
          <w:rFonts w:ascii="Book Antiqua" w:hAnsi="Book Antiqua"/>
          <w:b/>
          <w:bCs/>
        </w:rPr>
        <w:t xml:space="preserve"> H</w:t>
      </w:r>
      <w:r w:rsidR="00D17D65" w:rsidRPr="00D40ECC">
        <w:rPr>
          <w:rFonts w:ascii="Book Antiqua" w:hAnsi="Book Antiqua"/>
        </w:rPr>
        <w:t xml:space="preserve">, Kline K, Cheng R, </w:t>
      </w:r>
      <w:proofErr w:type="spellStart"/>
      <w:r w:rsidR="00D17D65" w:rsidRPr="00D40ECC">
        <w:rPr>
          <w:rFonts w:ascii="Book Antiqua" w:hAnsi="Book Antiqua"/>
        </w:rPr>
        <w:t>Finegan</w:t>
      </w:r>
      <w:proofErr w:type="spellEnd"/>
      <w:r w:rsidR="00D17D65" w:rsidRPr="00D40ECC">
        <w:rPr>
          <w:rFonts w:ascii="Book Antiqua" w:hAnsi="Book Antiqua"/>
        </w:rPr>
        <w:t xml:space="preserve"> L, Lin A, </w:t>
      </w:r>
      <w:proofErr w:type="spellStart"/>
      <w:r w:rsidR="00D17D65" w:rsidRPr="00D40ECC">
        <w:rPr>
          <w:rFonts w:ascii="Book Antiqua" w:hAnsi="Book Antiqua"/>
        </w:rPr>
        <w:t>Kempler</w:t>
      </w:r>
      <w:proofErr w:type="spellEnd"/>
      <w:r w:rsidR="00D17D65" w:rsidRPr="00D40ECC">
        <w:rPr>
          <w:rFonts w:ascii="Book Antiqua" w:hAnsi="Book Antiqua"/>
        </w:rPr>
        <w:t xml:space="preserve"> E, </w:t>
      </w:r>
      <w:proofErr w:type="spellStart"/>
      <w:r w:rsidR="00D17D65" w:rsidRPr="00D40ECC">
        <w:rPr>
          <w:rFonts w:ascii="Book Antiqua" w:hAnsi="Book Antiqua"/>
        </w:rPr>
        <w:t>Strasser</w:t>
      </w:r>
      <w:proofErr w:type="spellEnd"/>
      <w:r w:rsidR="00D17D65" w:rsidRPr="00D40ECC">
        <w:rPr>
          <w:rFonts w:ascii="Book Antiqua" w:hAnsi="Book Antiqua"/>
        </w:rPr>
        <w:t xml:space="preserve"> SI, Bowen DG, McCaughan GW, Carey S, Allman-</w:t>
      </w:r>
      <w:proofErr w:type="spellStart"/>
      <w:r w:rsidR="00D17D65" w:rsidRPr="00D40ECC">
        <w:rPr>
          <w:rFonts w:ascii="Book Antiqua" w:hAnsi="Book Antiqua"/>
        </w:rPr>
        <w:t>Farinelli</w:t>
      </w:r>
      <w:proofErr w:type="spellEnd"/>
      <w:r w:rsidR="00D17D65" w:rsidRPr="00D40ECC">
        <w:rPr>
          <w:rFonts w:ascii="Book Antiqua" w:hAnsi="Book Antiqua"/>
        </w:rPr>
        <w:t xml:space="preserve"> M, </w:t>
      </w:r>
      <w:proofErr w:type="spellStart"/>
      <w:r w:rsidR="00D17D65" w:rsidRPr="00D40ECC">
        <w:rPr>
          <w:rFonts w:ascii="Book Antiqua" w:hAnsi="Book Antiqua"/>
        </w:rPr>
        <w:t>Shackel</w:t>
      </w:r>
      <w:proofErr w:type="spellEnd"/>
      <w:r w:rsidR="00D17D65" w:rsidRPr="00D40ECC">
        <w:rPr>
          <w:rFonts w:ascii="Book Antiqua" w:hAnsi="Book Antiqua"/>
        </w:rPr>
        <w:t xml:space="preserve"> NA. The Relationship of Obesity, Nutritional Status and Muscle Wasting in Patients Assessed for Liver Transplantation. </w:t>
      </w:r>
      <w:r w:rsidR="00D17D65" w:rsidRPr="00D40ECC">
        <w:rPr>
          <w:rFonts w:ascii="Book Antiqua" w:hAnsi="Book Antiqua"/>
          <w:i/>
          <w:iCs/>
        </w:rPr>
        <w:t>Nutrients</w:t>
      </w:r>
      <w:r w:rsidR="00D17D65" w:rsidRPr="00D40ECC">
        <w:rPr>
          <w:rFonts w:ascii="Book Antiqua" w:hAnsi="Book Antiqua"/>
        </w:rPr>
        <w:t xml:space="preserve"> 2019; </w:t>
      </w:r>
      <w:r w:rsidR="00D17D65" w:rsidRPr="00D40ECC">
        <w:rPr>
          <w:rFonts w:ascii="Book Antiqua" w:hAnsi="Book Antiqua"/>
          <w:b/>
          <w:bCs/>
        </w:rPr>
        <w:t>11</w:t>
      </w:r>
      <w:r w:rsidR="00D17D65" w:rsidRPr="00D40ECC">
        <w:rPr>
          <w:rFonts w:ascii="Book Antiqua" w:hAnsi="Book Antiqua"/>
        </w:rPr>
        <w:t>: [PMID: 31487854 DOI: 10.3390/nu11092097]</w:t>
      </w:r>
    </w:p>
    <w:p w14:paraId="5A4AA554" w14:textId="3927BAE1" w:rsidR="00D17D65" w:rsidRPr="00D40ECC" w:rsidRDefault="004869DA" w:rsidP="005638C6">
      <w:pPr>
        <w:spacing w:line="360" w:lineRule="auto"/>
        <w:jc w:val="both"/>
        <w:rPr>
          <w:rFonts w:ascii="Book Antiqua" w:hAnsi="Book Antiqua"/>
        </w:rPr>
      </w:pPr>
      <w:r w:rsidRPr="00D40ECC">
        <w:rPr>
          <w:rFonts w:ascii="Book Antiqua" w:hAnsi="Book Antiqua"/>
        </w:rPr>
        <w:t>32</w:t>
      </w:r>
      <w:r w:rsidR="00D17D65" w:rsidRPr="00D40ECC">
        <w:rPr>
          <w:rFonts w:ascii="Book Antiqua" w:hAnsi="Book Antiqua"/>
        </w:rPr>
        <w:t xml:space="preserve"> </w:t>
      </w:r>
      <w:proofErr w:type="spellStart"/>
      <w:r w:rsidR="00D17D65" w:rsidRPr="00D40ECC">
        <w:rPr>
          <w:rFonts w:ascii="Book Antiqua" w:hAnsi="Book Antiqua"/>
          <w:b/>
          <w:bCs/>
        </w:rPr>
        <w:t>Schiavo</w:t>
      </w:r>
      <w:proofErr w:type="spellEnd"/>
      <w:r w:rsidR="00D17D65" w:rsidRPr="00D40ECC">
        <w:rPr>
          <w:rFonts w:ascii="Book Antiqua" w:hAnsi="Book Antiqua"/>
          <w:b/>
          <w:bCs/>
        </w:rPr>
        <w:t xml:space="preserve"> L</w:t>
      </w:r>
      <w:r w:rsidR="00D17D65" w:rsidRPr="00D40ECC">
        <w:rPr>
          <w:rFonts w:ascii="Book Antiqua" w:hAnsi="Book Antiqua"/>
        </w:rPr>
        <w:t xml:space="preserve">, </w:t>
      </w:r>
      <w:proofErr w:type="spellStart"/>
      <w:r w:rsidR="00D17D65" w:rsidRPr="00D40ECC">
        <w:rPr>
          <w:rFonts w:ascii="Book Antiqua" w:hAnsi="Book Antiqua"/>
        </w:rPr>
        <w:t>Busetto</w:t>
      </w:r>
      <w:proofErr w:type="spellEnd"/>
      <w:r w:rsidR="00D17D65" w:rsidRPr="00D40ECC">
        <w:rPr>
          <w:rFonts w:ascii="Book Antiqua" w:hAnsi="Book Antiqua"/>
        </w:rPr>
        <w:t xml:space="preserve"> L, </w:t>
      </w:r>
      <w:proofErr w:type="spellStart"/>
      <w:r w:rsidR="00D17D65" w:rsidRPr="00D40ECC">
        <w:rPr>
          <w:rFonts w:ascii="Book Antiqua" w:hAnsi="Book Antiqua"/>
        </w:rPr>
        <w:t>Cesaretti</w:t>
      </w:r>
      <w:proofErr w:type="spellEnd"/>
      <w:r w:rsidR="00D17D65" w:rsidRPr="00D40ECC">
        <w:rPr>
          <w:rFonts w:ascii="Book Antiqua" w:hAnsi="Book Antiqua"/>
        </w:rPr>
        <w:t xml:space="preserve"> M, </w:t>
      </w:r>
      <w:proofErr w:type="spellStart"/>
      <w:r w:rsidR="00D17D65" w:rsidRPr="00D40ECC">
        <w:rPr>
          <w:rFonts w:ascii="Book Antiqua" w:hAnsi="Book Antiqua"/>
        </w:rPr>
        <w:t>Zelber-Sagi</w:t>
      </w:r>
      <w:proofErr w:type="spellEnd"/>
      <w:r w:rsidR="00D17D65" w:rsidRPr="00D40ECC">
        <w:rPr>
          <w:rFonts w:ascii="Book Antiqua" w:hAnsi="Book Antiqua"/>
        </w:rPr>
        <w:t xml:space="preserve"> S, Deutsch L, </w:t>
      </w:r>
      <w:proofErr w:type="spellStart"/>
      <w:r w:rsidR="00D17D65" w:rsidRPr="00D40ECC">
        <w:rPr>
          <w:rFonts w:ascii="Book Antiqua" w:hAnsi="Book Antiqua"/>
        </w:rPr>
        <w:t>Iannelli</w:t>
      </w:r>
      <w:proofErr w:type="spellEnd"/>
      <w:r w:rsidR="00D17D65" w:rsidRPr="00D40ECC">
        <w:rPr>
          <w:rFonts w:ascii="Book Antiqua" w:hAnsi="Book Antiqua"/>
        </w:rPr>
        <w:t xml:space="preserve"> A. Nutritional issues in patients with obesity and cirrhosis. </w:t>
      </w:r>
      <w:r w:rsidR="00D17D65" w:rsidRPr="00D40ECC">
        <w:rPr>
          <w:rFonts w:ascii="Book Antiqua" w:hAnsi="Book Antiqua"/>
          <w:i/>
          <w:iCs/>
        </w:rPr>
        <w:t>World J Gastroenterol</w:t>
      </w:r>
      <w:r w:rsidR="00D17D65" w:rsidRPr="00D40ECC">
        <w:rPr>
          <w:rFonts w:ascii="Book Antiqua" w:hAnsi="Book Antiqua"/>
        </w:rPr>
        <w:t xml:space="preserve"> 2018; </w:t>
      </w:r>
      <w:r w:rsidR="00D17D65" w:rsidRPr="00D40ECC">
        <w:rPr>
          <w:rFonts w:ascii="Book Antiqua" w:hAnsi="Book Antiqua"/>
          <w:b/>
          <w:bCs/>
        </w:rPr>
        <w:t>24</w:t>
      </w:r>
      <w:r w:rsidR="00D17D65" w:rsidRPr="00D40ECC">
        <w:rPr>
          <w:rFonts w:ascii="Book Antiqua" w:hAnsi="Book Antiqua"/>
        </w:rPr>
        <w:t>: 3330-3346 [PMID: 30122874 DOI: 10.3748/wjg.v24.i30.3330]</w:t>
      </w:r>
    </w:p>
    <w:p w14:paraId="7CB55DC1" w14:textId="5BCC7C54" w:rsidR="00D17D65" w:rsidRPr="00D40ECC" w:rsidRDefault="00D17D65" w:rsidP="005638C6">
      <w:pPr>
        <w:spacing w:line="360" w:lineRule="auto"/>
        <w:jc w:val="both"/>
        <w:rPr>
          <w:rFonts w:ascii="Book Antiqua" w:hAnsi="Book Antiqua"/>
        </w:rPr>
      </w:pPr>
      <w:r w:rsidRPr="00D40ECC">
        <w:rPr>
          <w:rFonts w:ascii="Book Antiqua" w:hAnsi="Book Antiqua"/>
        </w:rPr>
        <w:t>3</w:t>
      </w:r>
      <w:r w:rsidR="004869DA" w:rsidRPr="00D40ECC">
        <w:rPr>
          <w:rFonts w:ascii="Book Antiqua" w:hAnsi="Book Antiqua"/>
        </w:rPr>
        <w:t>3</w:t>
      </w:r>
      <w:r w:rsidRPr="00D40ECC">
        <w:rPr>
          <w:rFonts w:ascii="Book Antiqua" w:hAnsi="Book Antiqua"/>
        </w:rPr>
        <w:t xml:space="preserve"> </w:t>
      </w:r>
      <w:r w:rsidRPr="00D40ECC">
        <w:rPr>
          <w:rFonts w:ascii="Book Antiqua" w:hAnsi="Book Antiqua"/>
          <w:b/>
          <w:bCs/>
        </w:rPr>
        <w:t>Li Q</w:t>
      </w:r>
      <w:r w:rsidRPr="00D40ECC">
        <w:rPr>
          <w:rFonts w:ascii="Book Antiqua" w:hAnsi="Book Antiqua"/>
        </w:rPr>
        <w:t xml:space="preserve">, Xing H, Liu D, Li H. Negative impact of low body mass index on liver cirrhosis patients with hepatocellular carcinoma. </w:t>
      </w:r>
      <w:r w:rsidRPr="00D40ECC">
        <w:rPr>
          <w:rFonts w:ascii="Book Antiqua" w:hAnsi="Book Antiqua"/>
          <w:i/>
          <w:iCs/>
        </w:rPr>
        <w:t>World J Surg Oncol</w:t>
      </w:r>
      <w:r w:rsidRPr="00D40ECC">
        <w:rPr>
          <w:rFonts w:ascii="Book Antiqua" w:hAnsi="Book Antiqua"/>
        </w:rPr>
        <w:t xml:space="preserve"> 2015; </w:t>
      </w:r>
      <w:r w:rsidRPr="00D40ECC">
        <w:rPr>
          <w:rFonts w:ascii="Book Antiqua" w:hAnsi="Book Antiqua"/>
          <w:b/>
          <w:bCs/>
        </w:rPr>
        <w:t>13</w:t>
      </w:r>
      <w:r w:rsidRPr="00D40ECC">
        <w:rPr>
          <w:rFonts w:ascii="Book Antiqua" w:hAnsi="Book Antiqua"/>
        </w:rPr>
        <w:t>: 294 [PMID: 26444667 DOI: 10.1186/s12957-015-0713-4]</w:t>
      </w:r>
    </w:p>
    <w:p w14:paraId="54DAB7F0" w14:textId="4BBAC214" w:rsidR="00D17D65" w:rsidRPr="00D40ECC" w:rsidRDefault="00D17D65" w:rsidP="005638C6">
      <w:pPr>
        <w:spacing w:line="360" w:lineRule="auto"/>
        <w:jc w:val="both"/>
        <w:rPr>
          <w:rFonts w:ascii="Book Antiqua" w:hAnsi="Book Antiqua"/>
        </w:rPr>
      </w:pPr>
      <w:r w:rsidRPr="00D40ECC">
        <w:rPr>
          <w:rFonts w:ascii="Book Antiqua" w:hAnsi="Book Antiqua"/>
        </w:rPr>
        <w:t>3</w:t>
      </w:r>
      <w:r w:rsidR="004869DA" w:rsidRPr="00D40ECC">
        <w:rPr>
          <w:rFonts w:ascii="Book Antiqua" w:hAnsi="Book Antiqua"/>
        </w:rPr>
        <w:t>4</w:t>
      </w:r>
      <w:r w:rsidRPr="00D40ECC">
        <w:rPr>
          <w:rFonts w:ascii="Book Antiqua" w:hAnsi="Book Antiqua"/>
        </w:rPr>
        <w:t xml:space="preserve"> </w:t>
      </w:r>
      <w:proofErr w:type="spellStart"/>
      <w:r w:rsidRPr="00D40ECC">
        <w:rPr>
          <w:rFonts w:ascii="Book Antiqua" w:hAnsi="Book Antiqua"/>
          <w:b/>
          <w:bCs/>
        </w:rPr>
        <w:t>Eslamparast</w:t>
      </w:r>
      <w:proofErr w:type="spellEnd"/>
      <w:r w:rsidRPr="00D40ECC">
        <w:rPr>
          <w:rFonts w:ascii="Book Antiqua" w:hAnsi="Book Antiqua"/>
          <w:b/>
          <w:bCs/>
        </w:rPr>
        <w:t xml:space="preserve"> T</w:t>
      </w:r>
      <w:r w:rsidRPr="00D40ECC">
        <w:rPr>
          <w:rFonts w:ascii="Book Antiqua" w:hAnsi="Book Antiqua"/>
        </w:rPr>
        <w:t>, Montano-</w:t>
      </w:r>
      <w:proofErr w:type="spellStart"/>
      <w:r w:rsidRPr="00D40ECC">
        <w:rPr>
          <w:rFonts w:ascii="Book Antiqua" w:hAnsi="Book Antiqua"/>
        </w:rPr>
        <w:t>Loza</w:t>
      </w:r>
      <w:proofErr w:type="spellEnd"/>
      <w:r w:rsidRPr="00D40ECC">
        <w:rPr>
          <w:rFonts w:ascii="Book Antiqua" w:hAnsi="Book Antiqua"/>
        </w:rPr>
        <w:t xml:space="preserve"> AJ, Raman M, Tandon P. Sarcopenic obesity in cirrhosis-The confluence of 2 prognostic titans. </w:t>
      </w:r>
      <w:r w:rsidRPr="00D40ECC">
        <w:rPr>
          <w:rFonts w:ascii="Book Antiqua" w:hAnsi="Book Antiqua"/>
          <w:i/>
          <w:iCs/>
        </w:rPr>
        <w:t>Liver Int</w:t>
      </w:r>
      <w:r w:rsidRPr="00D40ECC">
        <w:rPr>
          <w:rFonts w:ascii="Book Antiqua" w:hAnsi="Book Antiqua"/>
        </w:rPr>
        <w:t xml:space="preserve"> 2018; </w:t>
      </w:r>
      <w:r w:rsidRPr="00D40ECC">
        <w:rPr>
          <w:rFonts w:ascii="Book Antiqua" w:hAnsi="Book Antiqua"/>
          <w:b/>
          <w:bCs/>
        </w:rPr>
        <w:t>38</w:t>
      </w:r>
      <w:r w:rsidRPr="00D40ECC">
        <w:rPr>
          <w:rFonts w:ascii="Book Antiqua" w:hAnsi="Book Antiqua"/>
        </w:rPr>
        <w:t xml:space="preserve">: 1706-1717 [PMID: 29738109 DOI: </w:t>
      </w:r>
      <w:r w:rsidR="00815A30" w:rsidRPr="00D40ECC">
        <w:rPr>
          <w:rFonts w:ascii="Book Antiqua" w:hAnsi="Book Antiqua"/>
        </w:rPr>
        <w:t>10.1111/liv.13876</w:t>
      </w:r>
      <w:r w:rsidRPr="00D40ECC">
        <w:rPr>
          <w:rFonts w:ascii="Book Antiqua" w:hAnsi="Book Antiqua"/>
        </w:rPr>
        <w:t>]</w:t>
      </w:r>
    </w:p>
    <w:p w14:paraId="65CF51B8" w14:textId="61F0016E" w:rsidR="00D17D65" w:rsidRPr="00D40ECC" w:rsidRDefault="00D17D65" w:rsidP="005638C6">
      <w:pPr>
        <w:spacing w:line="360" w:lineRule="auto"/>
        <w:jc w:val="both"/>
        <w:rPr>
          <w:rFonts w:ascii="Book Antiqua" w:hAnsi="Book Antiqua"/>
        </w:rPr>
      </w:pPr>
      <w:r w:rsidRPr="00D40ECC">
        <w:rPr>
          <w:rFonts w:ascii="Book Antiqua" w:hAnsi="Book Antiqua"/>
        </w:rPr>
        <w:lastRenderedPageBreak/>
        <w:t>3</w:t>
      </w:r>
      <w:r w:rsidR="004869DA" w:rsidRPr="00D40ECC">
        <w:rPr>
          <w:rFonts w:ascii="Book Antiqua" w:hAnsi="Book Antiqua"/>
        </w:rPr>
        <w:t>5</w:t>
      </w:r>
      <w:r w:rsidRPr="00D40ECC">
        <w:rPr>
          <w:rFonts w:ascii="Book Antiqua" w:hAnsi="Book Antiqua"/>
        </w:rPr>
        <w:t xml:space="preserve"> </w:t>
      </w:r>
      <w:proofErr w:type="spellStart"/>
      <w:r w:rsidRPr="00D40ECC">
        <w:rPr>
          <w:rFonts w:ascii="Book Antiqua" w:hAnsi="Book Antiqua"/>
          <w:b/>
          <w:bCs/>
        </w:rPr>
        <w:t>Cicognani</w:t>
      </w:r>
      <w:proofErr w:type="spellEnd"/>
      <w:r w:rsidRPr="00D40ECC">
        <w:rPr>
          <w:rFonts w:ascii="Book Antiqua" w:hAnsi="Book Antiqua"/>
          <w:b/>
          <w:bCs/>
        </w:rPr>
        <w:t xml:space="preserve"> C</w:t>
      </w:r>
      <w:r w:rsidRPr="00D40ECC">
        <w:rPr>
          <w:rFonts w:ascii="Book Antiqua" w:hAnsi="Book Antiqua"/>
        </w:rPr>
        <w:t xml:space="preserve">, </w:t>
      </w:r>
      <w:proofErr w:type="spellStart"/>
      <w:r w:rsidRPr="00D40ECC">
        <w:rPr>
          <w:rFonts w:ascii="Book Antiqua" w:hAnsi="Book Antiqua"/>
        </w:rPr>
        <w:t>Malavolti</w:t>
      </w:r>
      <w:proofErr w:type="spellEnd"/>
      <w:r w:rsidRPr="00D40ECC">
        <w:rPr>
          <w:rFonts w:ascii="Book Antiqua" w:hAnsi="Book Antiqua"/>
        </w:rPr>
        <w:t xml:space="preserve"> M, </w:t>
      </w:r>
      <w:proofErr w:type="spellStart"/>
      <w:r w:rsidRPr="00D40ECC">
        <w:rPr>
          <w:rFonts w:ascii="Book Antiqua" w:hAnsi="Book Antiqua"/>
        </w:rPr>
        <w:t>Morselli-Labate</w:t>
      </w:r>
      <w:proofErr w:type="spellEnd"/>
      <w:r w:rsidRPr="00D40ECC">
        <w:rPr>
          <w:rFonts w:ascii="Book Antiqua" w:hAnsi="Book Antiqua"/>
        </w:rPr>
        <w:t xml:space="preserve"> AM, Zamboni L, Sama C, Barbara L. Serum lipid and lipoprotein patterns in patients with liver cirrhosis and chronic active hepatitis. </w:t>
      </w:r>
      <w:r w:rsidRPr="00D40ECC">
        <w:rPr>
          <w:rFonts w:ascii="Book Antiqua" w:hAnsi="Book Antiqua"/>
          <w:i/>
          <w:iCs/>
        </w:rPr>
        <w:t>Arch Intern Med</w:t>
      </w:r>
      <w:r w:rsidRPr="00D40ECC">
        <w:rPr>
          <w:rFonts w:ascii="Book Antiqua" w:hAnsi="Book Antiqua"/>
        </w:rPr>
        <w:t xml:space="preserve"> 1997; </w:t>
      </w:r>
      <w:r w:rsidRPr="00D40ECC">
        <w:rPr>
          <w:rFonts w:ascii="Book Antiqua" w:hAnsi="Book Antiqua"/>
          <w:b/>
          <w:bCs/>
        </w:rPr>
        <w:t>157</w:t>
      </w:r>
      <w:r w:rsidRPr="00D40ECC">
        <w:rPr>
          <w:rFonts w:ascii="Book Antiqua" w:hAnsi="Book Antiqua"/>
        </w:rPr>
        <w:t>: 792-796 [PMID: 9125012 DOI: 10.1001/archinte.1997.00440280120012]</w:t>
      </w:r>
    </w:p>
    <w:p w14:paraId="5D7EF062" w14:textId="29A9DA14" w:rsidR="00D17D65" w:rsidRPr="00D40ECC" w:rsidRDefault="00D17D65" w:rsidP="005638C6">
      <w:pPr>
        <w:spacing w:line="360" w:lineRule="auto"/>
        <w:jc w:val="both"/>
        <w:rPr>
          <w:rFonts w:ascii="Book Antiqua" w:hAnsi="Book Antiqua"/>
        </w:rPr>
      </w:pPr>
      <w:r w:rsidRPr="00D40ECC">
        <w:rPr>
          <w:rFonts w:ascii="Book Antiqua" w:hAnsi="Book Antiqua"/>
        </w:rPr>
        <w:t>3</w:t>
      </w:r>
      <w:r w:rsidR="004869DA" w:rsidRPr="00D40ECC">
        <w:rPr>
          <w:rFonts w:ascii="Book Antiqua" w:hAnsi="Book Antiqua"/>
        </w:rPr>
        <w:t>6</w:t>
      </w:r>
      <w:r w:rsidRPr="00D40ECC">
        <w:rPr>
          <w:rFonts w:ascii="Book Antiqua" w:hAnsi="Book Antiqua"/>
        </w:rPr>
        <w:t xml:space="preserve"> </w:t>
      </w:r>
      <w:proofErr w:type="spellStart"/>
      <w:r w:rsidRPr="00D40ECC">
        <w:rPr>
          <w:rFonts w:ascii="Book Antiqua" w:hAnsi="Book Antiqua"/>
          <w:b/>
          <w:bCs/>
        </w:rPr>
        <w:t>Ghadir</w:t>
      </w:r>
      <w:proofErr w:type="spellEnd"/>
      <w:r w:rsidRPr="00D40ECC">
        <w:rPr>
          <w:rFonts w:ascii="Book Antiqua" w:hAnsi="Book Antiqua"/>
          <w:b/>
          <w:bCs/>
        </w:rPr>
        <w:t xml:space="preserve"> MR</w:t>
      </w:r>
      <w:r w:rsidRPr="00D40ECC">
        <w:rPr>
          <w:rFonts w:ascii="Book Antiqua" w:hAnsi="Book Antiqua"/>
        </w:rPr>
        <w:t xml:space="preserve">, </w:t>
      </w:r>
      <w:proofErr w:type="spellStart"/>
      <w:r w:rsidRPr="00D40ECC">
        <w:rPr>
          <w:rFonts w:ascii="Book Antiqua" w:hAnsi="Book Antiqua"/>
        </w:rPr>
        <w:t>Riahin</w:t>
      </w:r>
      <w:proofErr w:type="spellEnd"/>
      <w:r w:rsidRPr="00D40ECC">
        <w:rPr>
          <w:rFonts w:ascii="Book Antiqua" w:hAnsi="Book Antiqua"/>
        </w:rPr>
        <w:t xml:space="preserve"> AA, </w:t>
      </w:r>
      <w:proofErr w:type="spellStart"/>
      <w:r w:rsidRPr="00D40ECC">
        <w:rPr>
          <w:rFonts w:ascii="Book Antiqua" w:hAnsi="Book Antiqua"/>
        </w:rPr>
        <w:t>Havaspour</w:t>
      </w:r>
      <w:proofErr w:type="spellEnd"/>
      <w:r w:rsidRPr="00D40ECC">
        <w:rPr>
          <w:rFonts w:ascii="Book Antiqua" w:hAnsi="Book Antiqua"/>
        </w:rPr>
        <w:t xml:space="preserve"> A, </w:t>
      </w:r>
      <w:proofErr w:type="spellStart"/>
      <w:r w:rsidRPr="00D40ECC">
        <w:rPr>
          <w:rFonts w:ascii="Book Antiqua" w:hAnsi="Book Antiqua"/>
        </w:rPr>
        <w:t>Nooranipour</w:t>
      </w:r>
      <w:proofErr w:type="spellEnd"/>
      <w:r w:rsidRPr="00D40ECC">
        <w:rPr>
          <w:rFonts w:ascii="Book Antiqua" w:hAnsi="Book Antiqua"/>
        </w:rPr>
        <w:t xml:space="preserve"> M, </w:t>
      </w:r>
      <w:proofErr w:type="spellStart"/>
      <w:r w:rsidRPr="00D40ECC">
        <w:rPr>
          <w:rFonts w:ascii="Book Antiqua" w:hAnsi="Book Antiqua"/>
        </w:rPr>
        <w:t>Habibinejad</w:t>
      </w:r>
      <w:proofErr w:type="spellEnd"/>
      <w:r w:rsidRPr="00D40ECC">
        <w:rPr>
          <w:rFonts w:ascii="Book Antiqua" w:hAnsi="Book Antiqua"/>
        </w:rPr>
        <w:t xml:space="preserve"> AA. </w:t>
      </w:r>
      <w:proofErr w:type="gramStart"/>
      <w:r w:rsidRPr="00D40ECC">
        <w:rPr>
          <w:rFonts w:ascii="Book Antiqua" w:hAnsi="Book Antiqua"/>
        </w:rPr>
        <w:t>The relationship between lipid profile and severity of liver damage in cirrhotic patients.</w:t>
      </w:r>
      <w:proofErr w:type="gramEnd"/>
      <w:r w:rsidRPr="00D40ECC">
        <w:rPr>
          <w:rFonts w:ascii="Book Antiqua" w:hAnsi="Book Antiqua"/>
        </w:rPr>
        <w:t xml:space="preserve"> </w:t>
      </w:r>
      <w:proofErr w:type="spellStart"/>
      <w:r w:rsidRPr="00D40ECC">
        <w:rPr>
          <w:rFonts w:ascii="Book Antiqua" w:hAnsi="Book Antiqua"/>
          <w:i/>
          <w:iCs/>
        </w:rPr>
        <w:t>Hepat</w:t>
      </w:r>
      <w:proofErr w:type="spellEnd"/>
      <w:r w:rsidRPr="00D40ECC">
        <w:rPr>
          <w:rFonts w:ascii="Book Antiqua" w:hAnsi="Book Antiqua"/>
          <w:i/>
          <w:iCs/>
        </w:rPr>
        <w:t xml:space="preserve"> Mon</w:t>
      </w:r>
      <w:r w:rsidRPr="00D40ECC">
        <w:rPr>
          <w:rFonts w:ascii="Book Antiqua" w:hAnsi="Book Antiqua"/>
        </w:rPr>
        <w:t xml:space="preserve"> 2010; </w:t>
      </w:r>
      <w:r w:rsidRPr="00D40ECC">
        <w:rPr>
          <w:rFonts w:ascii="Book Antiqua" w:hAnsi="Book Antiqua"/>
          <w:b/>
          <w:bCs/>
        </w:rPr>
        <w:t>10</w:t>
      </w:r>
      <w:r w:rsidRPr="00D40ECC">
        <w:rPr>
          <w:rFonts w:ascii="Book Antiqua" w:hAnsi="Book Antiqua"/>
        </w:rPr>
        <w:t>: 285-288 [PMID: 22312394]</w:t>
      </w:r>
    </w:p>
    <w:p w14:paraId="69D8D90F" w14:textId="0AEF8CA6" w:rsidR="00D17D65" w:rsidRPr="00D40ECC" w:rsidRDefault="00D17D65" w:rsidP="005638C6">
      <w:pPr>
        <w:spacing w:line="360" w:lineRule="auto"/>
        <w:jc w:val="both"/>
        <w:rPr>
          <w:rFonts w:ascii="Book Antiqua" w:hAnsi="Book Antiqua"/>
        </w:rPr>
      </w:pPr>
      <w:proofErr w:type="gramStart"/>
      <w:r w:rsidRPr="00D40ECC">
        <w:rPr>
          <w:rFonts w:ascii="Book Antiqua" w:hAnsi="Book Antiqua"/>
        </w:rPr>
        <w:t>3</w:t>
      </w:r>
      <w:r w:rsidR="004869DA" w:rsidRPr="00D40ECC">
        <w:rPr>
          <w:rFonts w:ascii="Book Antiqua" w:hAnsi="Book Antiqua"/>
        </w:rPr>
        <w:t>7</w:t>
      </w:r>
      <w:r w:rsidRPr="00D40ECC">
        <w:rPr>
          <w:rFonts w:ascii="Book Antiqua" w:hAnsi="Book Antiqua"/>
        </w:rPr>
        <w:t xml:space="preserve"> </w:t>
      </w:r>
      <w:proofErr w:type="spellStart"/>
      <w:r w:rsidRPr="00D40ECC">
        <w:rPr>
          <w:rFonts w:ascii="Book Antiqua" w:hAnsi="Book Antiqua"/>
          <w:b/>
          <w:bCs/>
        </w:rPr>
        <w:t>Phukan</w:t>
      </w:r>
      <w:proofErr w:type="spellEnd"/>
      <w:r w:rsidRPr="00D40ECC">
        <w:rPr>
          <w:rFonts w:ascii="Book Antiqua" w:hAnsi="Book Antiqua"/>
          <w:b/>
          <w:bCs/>
        </w:rPr>
        <w:t xml:space="preserve"> JP</w:t>
      </w:r>
      <w:r w:rsidRPr="00D40ECC">
        <w:rPr>
          <w:rFonts w:ascii="Book Antiqua" w:hAnsi="Book Antiqua"/>
        </w:rPr>
        <w:t xml:space="preserve">, </w:t>
      </w:r>
      <w:proofErr w:type="spellStart"/>
      <w:r w:rsidRPr="00D40ECC">
        <w:rPr>
          <w:rFonts w:ascii="Book Antiqua" w:hAnsi="Book Antiqua"/>
        </w:rPr>
        <w:t>Sinha</w:t>
      </w:r>
      <w:proofErr w:type="spellEnd"/>
      <w:r w:rsidRPr="00D40ECC">
        <w:rPr>
          <w:rFonts w:ascii="Book Antiqua" w:hAnsi="Book Antiqua"/>
        </w:rPr>
        <w:t xml:space="preserve"> A, Deka JP.</w:t>
      </w:r>
      <w:proofErr w:type="gramEnd"/>
      <w:r w:rsidRPr="00D40ECC">
        <w:rPr>
          <w:rFonts w:ascii="Book Antiqua" w:hAnsi="Book Antiqua"/>
        </w:rPr>
        <w:t xml:space="preserve"> Serum lipid profile in alcoholic cirrhosis: A study in a teaching hospital of north-eastern India. </w:t>
      </w:r>
      <w:r w:rsidRPr="00D40ECC">
        <w:rPr>
          <w:rFonts w:ascii="Book Antiqua" w:hAnsi="Book Antiqua"/>
          <w:i/>
          <w:iCs/>
        </w:rPr>
        <w:t>Niger Med J</w:t>
      </w:r>
      <w:r w:rsidRPr="00D40ECC">
        <w:rPr>
          <w:rFonts w:ascii="Book Antiqua" w:hAnsi="Book Antiqua"/>
        </w:rPr>
        <w:t xml:space="preserve"> 2013; </w:t>
      </w:r>
      <w:r w:rsidRPr="00D40ECC">
        <w:rPr>
          <w:rFonts w:ascii="Book Antiqua" w:hAnsi="Book Antiqua"/>
          <w:b/>
          <w:bCs/>
        </w:rPr>
        <w:t>54</w:t>
      </w:r>
      <w:r w:rsidRPr="00D40ECC">
        <w:rPr>
          <w:rFonts w:ascii="Book Antiqua" w:hAnsi="Book Antiqua"/>
        </w:rPr>
        <w:t>: 5-9 [PMID: 23661892 DOI: 10.4103/0300-1652.108886]</w:t>
      </w:r>
    </w:p>
    <w:p w14:paraId="424ECCEA" w14:textId="77777777" w:rsidR="00D17D65" w:rsidRPr="00D40ECC" w:rsidRDefault="00D17D65" w:rsidP="005638C6">
      <w:pPr>
        <w:spacing w:line="360" w:lineRule="auto"/>
        <w:jc w:val="both"/>
        <w:rPr>
          <w:rFonts w:ascii="Book Antiqua" w:hAnsi="Book Antiqua"/>
        </w:rPr>
      </w:pPr>
    </w:p>
    <w:p w14:paraId="23065403" w14:textId="77777777" w:rsidR="00A77B3E" w:rsidRPr="00D40ECC" w:rsidRDefault="00A77B3E" w:rsidP="005638C6">
      <w:pPr>
        <w:spacing w:line="360" w:lineRule="auto"/>
        <w:jc w:val="both"/>
        <w:rPr>
          <w:rFonts w:ascii="Book Antiqua" w:hAnsi="Book Antiqua"/>
        </w:rPr>
        <w:sectPr w:rsidR="00A77B3E" w:rsidRPr="00D40ECC">
          <w:pgSz w:w="12240" w:h="15840"/>
          <w:pgMar w:top="1440" w:right="1440" w:bottom="1440" w:left="1440" w:header="720" w:footer="720" w:gutter="0"/>
          <w:cols w:space="720"/>
          <w:docGrid w:linePitch="360"/>
        </w:sectPr>
      </w:pPr>
    </w:p>
    <w:p w14:paraId="44D1ACE3"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color w:val="000000"/>
        </w:rPr>
        <w:lastRenderedPageBreak/>
        <w:t>Footnotes</w:t>
      </w:r>
    </w:p>
    <w:p w14:paraId="3AE26A57" w14:textId="313949EB"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bCs/>
          <w:color w:val="000000"/>
        </w:rPr>
        <w:t xml:space="preserve">Institutional review board statement: </w:t>
      </w:r>
      <w:r w:rsidRPr="00D40ECC">
        <w:rPr>
          <w:rFonts w:ascii="Book Antiqua" w:eastAsia="Book Antiqua" w:hAnsi="Book Antiqua" w:cs="Book Antiqua"/>
          <w:color w:val="000000"/>
        </w:rPr>
        <w:t xml:space="preserve">The activities described in our study do not meet the regulatory definition of human </w:t>
      </w:r>
      <w:proofErr w:type="gramStart"/>
      <w:r w:rsidRPr="00D40ECC">
        <w:rPr>
          <w:rFonts w:ascii="Book Antiqua" w:eastAsia="Book Antiqua" w:hAnsi="Book Antiqua" w:cs="Book Antiqua"/>
          <w:color w:val="000000"/>
        </w:rPr>
        <w:t>subjects</w:t>
      </w:r>
      <w:proofErr w:type="gramEnd"/>
      <w:r w:rsidRPr="00D40ECC">
        <w:rPr>
          <w:rFonts w:ascii="Book Antiqua" w:eastAsia="Book Antiqua" w:hAnsi="Book Antiqua" w:cs="Book Antiqua"/>
          <w:color w:val="000000"/>
        </w:rPr>
        <w:t xml:space="preserve"> research, and therefore our study was deemed not requiring approval by Rutgers Institutional Review Board (IRB).</w:t>
      </w:r>
    </w:p>
    <w:p w14:paraId="1B165856" w14:textId="77777777" w:rsidR="00A77B3E" w:rsidRPr="00D40ECC" w:rsidRDefault="00A77B3E" w:rsidP="005638C6">
      <w:pPr>
        <w:spacing w:line="360" w:lineRule="auto"/>
        <w:jc w:val="both"/>
        <w:rPr>
          <w:rFonts w:ascii="Book Antiqua" w:hAnsi="Book Antiqua"/>
        </w:rPr>
      </w:pPr>
    </w:p>
    <w:p w14:paraId="43478EB8" w14:textId="7BAD7F1A"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bCs/>
          <w:color w:val="000000"/>
        </w:rPr>
        <w:t xml:space="preserve">Conflict-of-interest statement: </w:t>
      </w:r>
      <w:r w:rsidRPr="00D40ECC">
        <w:rPr>
          <w:rFonts w:ascii="Book Antiqua" w:eastAsia="Book Antiqua" w:hAnsi="Book Antiqua" w:cs="Book Antiqua"/>
          <w:color w:val="000000"/>
        </w:rPr>
        <w:t xml:space="preserve">Dr. </w:t>
      </w:r>
      <w:proofErr w:type="spellStart"/>
      <w:r w:rsidRPr="00D40ECC">
        <w:rPr>
          <w:rFonts w:ascii="Book Antiqua" w:eastAsia="Book Antiqua" w:hAnsi="Book Antiqua" w:cs="Book Antiqua"/>
          <w:color w:val="000000"/>
        </w:rPr>
        <w:t>Pyrsopoulos</w:t>
      </w:r>
      <w:proofErr w:type="spellEnd"/>
      <w:r w:rsidRPr="00D40ECC">
        <w:rPr>
          <w:rFonts w:ascii="Book Antiqua" w:eastAsia="Book Antiqua" w:hAnsi="Book Antiqua" w:cs="Book Antiqua"/>
          <w:color w:val="000000"/>
        </w:rPr>
        <w:t xml:space="preserve"> is a recipient of research grants from</w:t>
      </w:r>
      <w:r w:rsidR="000F2F07"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Mallinckrodt,</w:t>
      </w:r>
      <w:r w:rsidR="000F2F07"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Valeant,</w:t>
      </w:r>
      <w:r w:rsidR="000F2F07"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Gilead,</w:t>
      </w:r>
      <w:r w:rsidR="000F2F07"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Bayer,</w:t>
      </w:r>
      <w:r w:rsidR="000F2F07" w:rsidRPr="00D40ECC">
        <w:rPr>
          <w:rFonts w:ascii="Book Antiqua" w:eastAsia="Book Antiqua" w:hAnsi="Book Antiqua" w:cs="Book Antiqua"/>
          <w:color w:val="000000"/>
        </w:rPr>
        <w:t xml:space="preserve"> </w:t>
      </w:r>
      <w:proofErr w:type="spellStart"/>
      <w:r w:rsidRPr="00D40ECC">
        <w:rPr>
          <w:rFonts w:ascii="Book Antiqua" w:eastAsia="Book Antiqua" w:hAnsi="Book Antiqua" w:cs="Book Antiqua"/>
          <w:color w:val="000000"/>
        </w:rPr>
        <w:t>Beigene</w:t>
      </w:r>
      <w:proofErr w:type="spellEnd"/>
      <w:r w:rsidRPr="00D40ECC">
        <w:rPr>
          <w:rFonts w:ascii="Book Antiqua" w:eastAsia="Book Antiqua" w:hAnsi="Book Antiqua" w:cs="Book Antiqua"/>
          <w:color w:val="000000"/>
        </w:rPr>
        <w:t>,</w:t>
      </w:r>
      <w:r w:rsidR="000F2F07" w:rsidRPr="00D40ECC">
        <w:rPr>
          <w:rFonts w:ascii="Book Antiqua" w:eastAsia="Book Antiqua" w:hAnsi="Book Antiqua" w:cs="Book Antiqua"/>
          <w:color w:val="000000"/>
        </w:rPr>
        <w:t xml:space="preserve"> </w:t>
      </w:r>
      <w:proofErr w:type="spellStart"/>
      <w:r w:rsidRPr="00D40ECC">
        <w:rPr>
          <w:rFonts w:ascii="Book Antiqua" w:eastAsia="Book Antiqua" w:hAnsi="Book Antiqua" w:cs="Book Antiqua"/>
          <w:color w:val="000000"/>
        </w:rPr>
        <w:t>Genfit</w:t>
      </w:r>
      <w:proofErr w:type="spellEnd"/>
      <w:r w:rsidRPr="00D40ECC">
        <w:rPr>
          <w:rFonts w:ascii="Book Antiqua" w:eastAsia="Book Antiqua" w:hAnsi="Book Antiqua" w:cs="Book Antiqua"/>
          <w:color w:val="000000"/>
        </w:rPr>
        <w:t xml:space="preserve">, Prometheus, </w:t>
      </w:r>
      <w:proofErr w:type="spellStart"/>
      <w:r w:rsidRPr="00D40ECC">
        <w:rPr>
          <w:rFonts w:ascii="Book Antiqua" w:eastAsia="Book Antiqua" w:hAnsi="Book Antiqua" w:cs="Book Antiqua"/>
          <w:color w:val="000000"/>
        </w:rPr>
        <w:t>Grifols</w:t>
      </w:r>
      <w:proofErr w:type="spellEnd"/>
      <w:r w:rsidRPr="00D40ECC">
        <w:rPr>
          <w:rFonts w:ascii="Book Antiqua" w:eastAsia="Book Antiqua" w:hAnsi="Book Antiqua" w:cs="Book Antiqua"/>
          <w:color w:val="000000"/>
        </w:rPr>
        <w:t xml:space="preserve">, Intercept, Zydus, and Eisai. Dr. </w:t>
      </w:r>
      <w:proofErr w:type="spellStart"/>
      <w:r w:rsidRPr="00D40ECC">
        <w:rPr>
          <w:rFonts w:ascii="Book Antiqua" w:eastAsia="Book Antiqua" w:hAnsi="Book Antiqua" w:cs="Book Antiqua"/>
          <w:color w:val="000000"/>
        </w:rPr>
        <w:t>Pyrsopoulos</w:t>
      </w:r>
      <w:proofErr w:type="spellEnd"/>
      <w:r w:rsidRPr="00D40ECC">
        <w:rPr>
          <w:rFonts w:ascii="Book Antiqua" w:eastAsia="Book Antiqua" w:hAnsi="Book Antiqua" w:cs="Book Antiqua"/>
          <w:color w:val="000000"/>
        </w:rPr>
        <w:t xml:space="preserve"> also has served as a consultant for Bayer, and Eisai.</w:t>
      </w:r>
      <w:r w:rsidR="000F2F07" w:rsidRPr="00D40ECC">
        <w:rPr>
          <w:rFonts w:ascii="Book Antiqua" w:eastAsia="Book Antiqua" w:hAnsi="Book Antiqua" w:cs="Book Antiqua"/>
          <w:color w:val="000000"/>
        </w:rPr>
        <w:t xml:space="preserve"> </w:t>
      </w:r>
      <w:r w:rsidRPr="00D40ECC">
        <w:rPr>
          <w:rFonts w:ascii="Book Antiqua" w:eastAsia="Book Antiqua" w:hAnsi="Book Antiqua" w:cs="Book Antiqua"/>
          <w:color w:val="000000"/>
        </w:rPr>
        <w:t>The other authors have no potential conflicts of interest to report.</w:t>
      </w:r>
    </w:p>
    <w:p w14:paraId="4FBAC531" w14:textId="77777777" w:rsidR="00A77B3E" w:rsidRPr="00D40ECC" w:rsidRDefault="00A77B3E" w:rsidP="005638C6">
      <w:pPr>
        <w:spacing w:line="360" w:lineRule="auto"/>
        <w:jc w:val="both"/>
        <w:rPr>
          <w:rFonts w:ascii="Book Antiqua" w:hAnsi="Book Antiqua"/>
        </w:rPr>
      </w:pPr>
    </w:p>
    <w:p w14:paraId="4B2BDAEB"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bCs/>
          <w:color w:val="000000"/>
        </w:rPr>
        <w:t xml:space="preserve">STROBE statement: </w:t>
      </w:r>
      <w:r w:rsidRPr="00D40ECC">
        <w:rPr>
          <w:rFonts w:ascii="Book Antiqua" w:eastAsia="Book Antiqua" w:hAnsi="Book Antiqua" w:cs="Book Antiqua"/>
          <w:color w:val="000000"/>
          <w:shd w:val="clear" w:color="auto" w:fill="FFFFFF"/>
        </w:rPr>
        <w:t>The authors have read the STROBE Statement—a checklist of items, and the manuscript was prepared and revised according to the STROBE Statement—a checklist of items.</w:t>
      </w:r>
    </w:p>
    <w:p w14:paraId="6C7A3559" w14:textId="77777777" w:rsidR="00A77B3E" w:rsidRPr="00D40ECC" w:rsidRDefault="00A77B3E" w:rsidP="005638C6">
      <w:pPr>
        <w:spacing w:line="360" w:lineRule="auto"/>
        <w:jc w:val="both"/>
        <w:rPr>
          <w:rFonts w:ascii="Book Antiqua" w:hAnsi="Book Antiqua"/>
        </w:rPr>
      </w:pPr>
    </w:p>
    <w:p w14:paraId="275D7837"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bCs/>
          <w:color w:val="000000"/>
        </w:rPr>
        <w:t xml:space="preserve">Open-Access: </w:t>
      </w:r>
      <w:r w:rsidRPr="00D40EC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40ECC">
        <w:rPr>
          <w:rFonts w:ascii="Book Antiqua" w:eastAsia="Book Antiqua" w:hAnsi="Book Antiqua" w:cs="Book Antiqua"/>
          <w:color w:val="000000"/>
        </w:rPr>
        <w:t>NonCommercial</w:t>
      </w:r>
      <w:proofErr w:type="spellEnd"/>
      <w:r w:rsidRPr="00D40EC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D9AA93" w14:textId="77777777" w:rsidR="00A77B3E" w:rsidRPr="00D40ECC" w:rsidRDefault="00A77B3E" w:rsidP="005638C6">
      <w:pPr>
        <w:spacing w:line="360" w:lineRule="auto"/>
        <w:jc w:val="both"/>
        <w:rPr>
          <w:rFonts w:ascii="Book Antiqua" w:hAnsi="Book Antiqua"/>
        </w:rPr>
      </w:pPr>
    </w:p>
    <w:p w14:paraId="0471A605" w14:textId="5EF5AA12"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color w:val="000000"/>
        </w:rPr>
        <w:t xml:space="preserve">Manuscript source: </w:t>
      </w:r>
      <w:r w:rsidRPr="00D40ECC">
        <w:rPr>
          <w:rFonts w:ascii="Book Antiqua" w:eastAsia="Book Antiqua" w:hAnsi="Book Antiqua" w:cs="Book Antiqua"/>
          <w:color w:val="000000"/>
        </w:rPr>
        <w:t xml:space="preserve">Unsolicited </w:t>
      </w:r>
      <w:r w:rsidR="00E908B3" w:rsidRPr="00D40ECC">
        <w:rPr>
          <w:rFonts w:ascii="Book Antiqua" w:eastAsia="Book Antiqua" w:hAnsi="Book Antiqua" w:cs="Book Antiqua"/>
          <w:color w:val="000000"/>
        </w:rPr>
        <w:t>m</w:t>
      </w:r>
      <w:r w:rsidRPr="00D40ECC">
        <w:rPr>
          <w:rFonts w:ascii="Book Antiqua" w:eastAsia="Book Antiqua" w:hAnsi="Book Antiqua" w:cs="Book Antiqua"/>
          <w:color w:val="000000"/>
        </w:rPr>
        <w:t>anuscript</w:t>
      </w:r>
    </w:p>
    <w:p w14:paraId="16FAAE6A" w14:textId="77777777" w:rsidR="00A77B3E" w:rsidRPr="00D40ECC" w:rsidRDefault="00A77B3E" w:rsidP="005638C6">
      <w:pPr>
        <w:spacing w:line="360" w:lineRule="auto"/>
        <w:jc w:val="both"/>
        <w:rPr>
          <w:rFonts w:ascii="Book Antiqua" w:hAnsi="Book Antiqua"/>
        </w:rPr>
      </w:pPr>
    </w:p>
    <w:p w14:paraId="2A01CC82"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color w:val="000000"/>
        </w:rPr>
        <w:t xml:space="preserve">Peer-review started: </w:t>
      </w:r>
      <w:r w:rsidRPr="00D40ECC">
        <w:rPr>
          <w:rFonts w:ascii="Book Antiqua" w:eastAsia="Book Antiqua" w:hAnsi="Book Antiqua" w:cs="Book Antiqua"/>
          <w:color w:val="000000"/>
        </w:rPr>
        <w:t>June 4, 2020</w:t>
      </w:r>
    </w:p>
    <w:p w14:paraId="220F7351"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color w:val="000000"/>
        </w:rPr>
        <w:lastRenderedPageBreak/>
        <w:t xml:space="preserve">First decision: </w:t>
      </w:r>
      <w:r w:rsidRPr="00D40ECC">
        <w:rPr>
          <w:rFonts w:ascii="Book Antiqua" w:eastAsia="Book Antiqua" w:hAnsi="Book Antiqua" w:cs="Book Antiqua"/>
          <w:color w:val="000000"/>
        </w:rPr>
        <w:t>July 30, 2020</w:t>
      </w:r>
    </w:p>
    <w:p w14:paraId="45C7A6F8" w14:textId="44EE7DA5"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color w:val="000000"/>
        </w:rPr>
        <w:t xml:space="preserve">Article in press: </w:t>
      </w:r>
      <w:r w:rsidR="008D6979" w:rsidRPr="00D40ECC">
        <w:rPr>
          <w:rFonts w:ascii="Book Antiqua" w:eastAsia="Book Antiqua" w:hAnsi="Book Antiqua" w:cs="Book Antiqua"/>
          <w:bCs/>
          <w:color w:val="000000"/>
        </w:rPr>
        <w:t>October 23, 2020</w:t>
      </w:r>
    </w:p>
    <w:p w14:paraId="175D48F2" w14:textId="77777777" w:rsidR="00A77B3E" w:rsidRPr="00D40ECC" w:rsidRDefault="00A77B3E" w:rsidP="005638C6">
      <w:pPr>
        <w:spacing w:line="360" w:lineRule="auto"/>
        <w:jc w:val="both"/>
        <w:rPr>
          <w:rFonts w:ascii="Book Antiqua" w:hAnsi="Book Antiqua"/>
        </w:rPr>
      </w:pPr>
    </w:p>
    <w:p w14:paraId="70C41F03" w14:textId="5ADFC961"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color w:val="000000"/>
        </w:rPr>
        <w:t xml:space="preserve">Specialty type: </w:t>
      </w:r>
      <w:r w:rsidR="00E908B3" w:rsidRPr="00D40ECC">
        <w:rPr>
          <w:rFonts w:ascii="Book Antiqua" w:eastAsia="微软雅黑" w:hAnsi="Book Antiqua" w:cs="宋体"/>
        </w:rPr>
        <w:t>Gastroenterology and hepatology</w:t>
      </w:r>
    </w:p>
    <w:p w14:paraId="2EE6B1A6"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color w:val="000000"/>
        </w:rPr>
        <w:t xml:space="preserve">Country/Territory of origin: </w:t>
      </w:r>
      <w:r w:rsidRPr="00D40ECC">
        <w:rPr>
          <w:rFonts w:ascii="Book Antiqua" w:eastAsia="Book Antiqua" w:hAnsi="Book Antiqua" w:cs="Book Antiqua"/>
          <w:color w:val="000000"/>
        </w:rPr>
        <w:t>United States</w:t>
      </w:r>
    </w:p>
    <w:p w14:paraId="6339F502"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b/>
          <w:color w:val="000000"/>
        </w:rPr>
        <w:t>Peer-review report’s scientific quality classification</w:t>
      </w:r>
    </w:p>
    <w:p w14:paraId="41794769"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 xml:space="preserve">Grade </w:t>
      </w:r>
      <w:proofErr w:type="gramStart"/>
      <w:r w:rsidRPr="00D40ECC">
        <w:rPr>
          <w:rFonts w:ascii="Book Antiqua" w:eastAsia="Book Antiqua" w:hAnsi="Book Antiqua" w:cs="Book Antiqua"/>
          <w:color w:val="000000"/>
        </w:rPr>
        <w:t>A</w:t>
      </w:r>
      <w:proofErr w:type="gramEnd"/>
      <w:r w:rsidRPr="00D40ECC">
        <w:rPr>
          <w:rFonts w:ascii="Book Antiqua" w:eastAsia="Book Antiqua" w:hAnsi="Book Antiqua" w:cs="Book Antiqua"/>
          <w:color w:val="000000"/>
        </w:rPr>
        <w:t xml:space="preserve"> (Excellent): 0</w:t>
      </w:r>
    </w:p>
    <w:p w14:paraId="64B56062"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Grade B (Very good): 0</w:t>
      </w:r>
    </w:p>
    <w:p w14:paraId="1D3F7641"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Grade C (Good): 0</w:t>
      </w:r>
    </w:p>
    <w:p w14:paraId="26A86F9C" w14:textId="1E57D1E6"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Grade D (Fair): D, D</w:t>
      </w:r>
      <w:r w:rsidR="00E908B3" w:rsidRPr="00D40ECC">
        <w:rPr>
          <w:rFonts w:ascii="Book Antiqua" w:eastAsia="Book Antiqua" w:hAnsi="Book Antiqua" w:cs="Book Antiqua"/>
          <w:color w:val="000000"/>
        </w:rPr>
        <w:t>, D</w:t>
      </w:r>
    </w:p>
    <w:p w14:paraId="26CE7EE7" w14:textId="77777777" w:rsidR="00A77B3E" w:rsidRPr="00D40ECC" w:rsidRDefault="00292C3F" w:rsidP="005638C6">
      <w:pPr>
        <w:spacing w:line="360" w:lineRule="auto"/>
        <w:jc w:val="both"/>
        <w:rPr>
          <w:rFonts w:ascii="Book Antiqua" w:hAnsi="Book Antiqua"/>
        </w:rPr>
      </w:pPr>
      <w:r w:rsidRPr="00D40ECC">
        <w:rPr>
          <w:rFonts w:ascii="Book Antiqua" w:eastAsia="Book Antiqua" w:hAnsi="Book Antiqua" w:cs="Book Antiqua"/>
          <w:color w:val="000000"/>
        </w:rPr>
        <w:t>Grade E (Poor): 0</w:t>
      </w:r>
    </w:p>
    <w:p w14:paraId="5AE7257B" w14:textId="77777777" w:rsidR="00A77B3E" w:rsidRPr="00D40ECC" w:rsidRDefault="00A77B3E" w:rsidP="005638C6">
      <w:pPr>
        <w:spacing w:line="360" w:lineRule="auto"/>
        <w:jc w:val="both"/>
        <w:rPr>
          <w:rFonts w:ascii="Book Antiqua" w:hAnsi="Book Antiqua"/>
        </w:rPr>
      </w:pPr>
    </w:p>
    <w:p w14:paraId="7095B70C" w14:textId="0C61C306" w:rsidR="00A77B3E" w:rsidRPr="00D40ECC" w:rsidRDefault="00292C3F" w:rsidP="005638C6">
      <w:pPr>
        <w:spacing w:line="360" w:lineRule="auto"/>
        <w:jc w:val="both"/>
        <w:rPr>
          <w:rFonts w:ascii="Book Antiqua" w:eastAsia="Book Antiqua" w:hAnsi="Book Antiqua" w:cs="Book Antiqua"/>
          <w:color w:val="000000"/>
        </w:rPr>
      </w:pPr>
      <w:r w:rsidRPr="00D40ECC">
        <w:rPr>
          <w:rFonts w:ascii="Book Antiqua" w:eastAsia="Book Antiqua" w:hAnsi="Book Antiqua" w:cs="Book Antiqua"/>
          <w:b/>
          <w:color w:val="000000"/>
        </w:rPr>
        <w:t xml:space="preserve">P-Reviewer: </w:t>
      </w:r>
      <w:r w:rsidRPr="00D40ECC">
        <w:rPr>
          <w:rFonts w:ascii="Book Antiqua" w:eastAsia="Book Antiqua" w:hAnsi="Book Antiqua" w:cs="Book Antiqua"/>
          <w:color w:val="000000"/>
        </w:rPr>
        <w:t>Chao HW, Moretti R</w:t>
      </w:r>
      <w:r w:rsidRPr="00D40ECC">
        <w:rPr>
          <w:rFonts w:ascii="Book Antiqua" w:eastAsia="Book Antiqua" w:hAnsi="Book Antiqua" w:cs="Book Antiqua"/>
          <w:b/>
          <w:color w:val="000000"/>
        </w:rPr>
        <w:t xml:space="preserve"> S-Editor: </w:t>
      </w:r>
      <w:r w:rsidRPr="00D40ECC">
        <w:rPr>
          <w:rFonts w:ascii="Book Antiqua" w:eastAsia="Book Antiqua" w:hAnsi="Book Antiqua" w:cs="Book Antiqua"/>
          <w:color w:val="000000"/>
        </w:rPr>
        <w:t>Fan JR</w:t>
      </w:r>
      <w:r w:rsidRPr="00D40ECC">
        <w:rPr>
          <w:rFonts w:ascii="Book Antiqua" w:eastAsia="Book Antiqua" w:hAnsi="Book Antiqua" w:cs="Book Antiqua"/>
          <w:b/>
          <w:color w:val="000000"/>
        </w:rPr>
        <w:t xml:space="preserve"> L-Editor:</w:t>
      </w:r>
      <w:r w:rsidRPr="00D40ECC">
        <w:rPr>
          <w:rFonts w:ascii="Book Antiqua" w:eastAsia="Book Antiqua" w:hAnsi="Book Antiqua" w:cs="Book Antiqua"/>
          <w:color w:val="000000"/>
        </w:rPr>
        <w:t xml:space="preserve"> </w:t>
      </w:r>
      <w:r w:rsidR="00AB6147" w:rsidRPr="00D40ECC">
        <w:rPr>
          <w:rFonts w:ascii="Book Antiqua" w:hAnsi="Book Antiqua" w:cs="Book Antiqua"/>
          <w:color w:val="000000"/>
          <w:lang w:eastAsia="zh-CN"/>
        </w:rPr>
        <w:t>A</w:t>
      </w:r>
      <w:r w:rsidRPr="00D40ECC">
        <w:rPr>
          <w:rFonts w:ascii="Book Antiqua" w:eastAsia="Book Antiqua" w:hAnsi="Book Antiqua" w:cs="Book Antiqua"/>
          <w:color w:val="000000"/>
        </w:rPr>
        <w:t xml:space="preserve"> </w:t>
      </w:r>
      <w:r w:rsidRPr="00D40ECC">
        <w:rPr>
          <w:rFonts w:ascii="Book Antiqua" w:eastAsia="Book Antiqua" w:hAnsi="Book Antiqua" w:cs="Book Antiqua"/>
          <w:b/>
          <w:color w:val="000000"/>
        </w:rPr>
        <w:t xml:space="preserve">P-Editor: </w:t>
      </w:r>
      <w:r w:rsidR="00AB6147" w:rsidRPr="00D40ECC">
        <w:rPr>
          <w:rFonts w:ascii="Book Antiqua" w:eastAsia="Book Antiqua" w:hAnsi="Book Antiqua" w:cs="Book Antiqua"/>
          <w:color w:val="000000"/>
        </w:rPr>
        <w:t>Wang LL</w:t>
      </w:r>
    </w:p>
    <w:p w14:paraId="219233D3" w14:textId="7DD58739" w:rsidR="00A820C4" w:rsidRPr="00D40ECC" w:rsidRDefault="00A820C4" w:rsidP="005638C6">
      <w:pPr>
        <w:spacing w:line="360" w:lineRule="auto"/>
        <w:jc w:val="both"/>
        <w:textAlignment w:val="baseline"/>
        <w:rPr>
          <w:rFonts w:ascii="Book Antiqua" w:eastAsia="Times New Roman" w:hAnsi="Book Antiqua" w:cs="Segoe UI"/>
          <w:b/>
          <w:bCs/>
        </w:rPr>
      </w:pPr>
      <w:r w:rsidRPr="00D40ECC">
        <w:rPr>
          <w:rFonts w:ascii="Book Antiqua" w:eastAsia="Book Antiqua" w:hAnsi="Book Antiqua" w:cs="Book Antiqua"/>
          <w:b/>
          <w:color w:val="000000"/>
        </w:rPr>
        <w:br w:type="page"/>
      </w:r>
      <w:r w:rsidRPr="00D40ECC">
        <w:rPr>
          <w:rFonts w:ascii="Book Antiqua" w:eastAsia="Times New Roman" w:hAnsi="Book Antiqua" w:cs="Times"/>
          <w:b/>
          <w:bCs/>
        </w:rPr>
        <w:lastRenderedPageBreak/>
        <w:t>Table 1 Patient demographics, hospital characteristics, and outcomes among patients with nonalcoholic fatty liver disease, by history of cannabis use</w:t>
      </w:r>
    </w:p>
    <w:tbl>
      <w:tblPr>
        <w:tblW w:w="1176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828"/>
        <w:gridCol w:w="2719"/>
        <w:gridCol w:w="3881"/>
        <w:gridCol w:w="1338"/>
      </w:tblGrid>
      <w:tr w:rsidR="00000E98" w:rsidRPr="00D40ECC" w14:paraId="46F56F20" w14:textId="77777777" w:rsidTr="00000E98">
        <w:tc>
          <w:tcPr>
            <w:tcW w:w="3828" w:type="dxa"/>
            <w:tcBorders>
              <w:top w:val="single" w:sz="4" w:space="0" w:color="auto"/>
            </w:tcBorders>
            <w:shd w:val="clear" w:color="auto" w:fill="auto"/>
          </w:tcPr>
          <w:p w14:paraId="60B0DB89" w14:textId="77777777" w:rsidR="00000E98" w:rsidRPr="00D40ECC" w:rsidRDefault="00000E98" w:rsidP="005638C6">
            <w:pPr>
              <w:spacing w:line="360" w:lineRule="auto"/>
              <w:jc w:val="both"/>
              <w:textAlignment w:val="baseline"/>
              <w:rPr>
                <w:rFonts w:ascii="Book Antiqua" w:eastAsia="Times New Roman" w:hAnsi="Book Antiqua" w:cs="Times"/>
              </w:rPr>
            </w:pPr>
          </w:p>
        </w:tc>
        <w:tc>
          <w:tcPr>
            <w:tcW w:w="2719" w:type="dxa"/>
            <w:tcBorders>
              <w:top w:val="single" w:sz="4" w:space="0" w:color="auto"/>
            </w:tcBorders>
            <w:shd w:val="clear" w:color="auto" w:fill="auto"/>
          </w:tcPr>
          <w:p w14:paraId="7BE3086F" w14:textId="77ECB068" w:rsidR="00000E98" w:rsidRPr="00D40ECC" w:rsidRDefault="00000E98" w:rsidP="005638C6">
            <w:pPr>
              <w:spacing w:line="360" w:lineRule="auto"/>
              <w:jc w:val="both"/>
              <w:textAlignment w:val="baseline"/>
              <w:rPr>
                <w:rFonts w:ascii="Book Antiqua" w:eastAsia="Times New Roman" w:hAnsi="Book Antiqua"/>
              </w:rPr>
            </w:pPr>
            <w:r w:rsidRPr="00D40ECC">
              <w:rPr>
                <w:rFonts w:ascii="Book Antiqua" w:eastAsia="Times New Roman" w:hAnsi="Book Antiqua" w:cs="Times"/>
                <w:b/>
                <w:bCs/>
              </w:rPr>
              <w:t xml:space="preserve">Cannabis users, </w:t>
            </w:r>
            <w:r w:rsidRPr="00D40ECC">
              <w:rPr>
                <w:rFonts w:ascii="Book Antiqua" w:eastAsia="Times New Roman" w:hAnsi="Book Antiqua" w:cs="Times"/>
                <w:b/>
                <w:bCs/>
                <w:i/>
                <w:iCs/>
              </w:rPr>
              <w:t xml:space="preserve">n </w:t>
            </w:r>
            <w:r w:rsidRPr="00D40ECC">
              <w:rPr>
                <w:rFonts w:ascii="Book Antiqua" w:eastAsia="Times New Roman" w:hAnsi="Book Antiqua" w:cs="Times"/>
                <w:b/>
                <w:bCs/>
              </w:rPr>
              <w:t>= 3820</w:t>
            </w:r>
          </w:p>
        </w:tc>
        <w:tc>
          <w:tcPr>
            <w:tcW w:w="3881" w:type="dxa"/>
            <w:tcBorders>
              <w:top w:val="single" w:sz="4" w:space="0" w:color="auto"/>
            </w:tcBorders>
            <w:shd w:val="clear" w:color="auto" w:fill="auto"/>
          </w:tcPr>
          <w:p w14:paraId="4FC77938" w14:textId="31CF98A6" w:rsidR="00000E98" w:rsidRPr="00D40ECC" w:rsidRDefault="00000E98" w:rsidP="005638C6">
            <w:pPr>
              <w:tabs>
                <w:tab w:val="decimal" w:pos="1085"/>
              </w:tabs>
              <w:spacing w:line="360" w:lineRule="auto"/>
              <w:jc w:val="both"/>
              <w:textAlignment w:val="baseline"/>
              <w:rPr>
                <w:rFonts w:ascii="Book Antiqua" w:eastAsia="Times New Roman" w:hAnsi="Book Antiqua"/>
              </w:rPr>
            </w:pPr>
            <w:r w:rsidRPr="00D40ECC">
              <w:rPr>
                <w:rFonts w:ascii="Book Antiqua" w:eastAsia="Times New Roman" w:hAnsi="Book Antiqua" w:cs="Times"/>
                <w:b/>
                <w:bCs/>
              </w:rPr>
              <w:t>Non-cannabis users,</w:t>
            </w:r>
            <w:r w:rsidRPr="00D40ECC">
              <w:rPr>
                <w:rFonts w:ascii="Book Antiqua" w:hAnsi="Book Antiqua" w:cs="Times"/>
                <w:b/>
                <w:bCs/>
                <w:lang w:eastAsia="zh-CN"/>
              </w:rPr>
              <w:t xml:space="preserve"> </w:t>
            </w:r>
            <w:r w:rsidRPr="00D40ECC">
              <w:rPr>
                <w:rFonts w:ascii="Book Antiqua" w:eastAsia="Times New Roman" w:hAnsi="Book Antiqua" w:cs="Times"/>
                <w:b/>
                <w:bCs/>
                <w:i/>
                <w:iCs/>
              </w:rPr>
              <w:t>n</w:t>
            </w:r>
            <w:r w:rsidRPr="00D40ECC">
              <w:rPr>
                <w:rFonts w:ascii="Book Antiqua" w:eastAsia="Times New Roman" w:hAnsi="Book Antiqua" w:cs="Times"/>
                <w:b/>
                <w:bCs/>
              </w:rPr>
              <w:t xml:space="preserve"> = 7625</w:t>
            </w:r>
          </w:p>
        </w:tc>
        <w:tc>
          <w:tcPr>
            <w:tcW w:w="1338" w:type="dxa"/>
            <w:tcBorders>
              <w:top w:val="single" w:sz="4" w:space="0" w:color="auto"/>
            </w:tcBorders>
            <w:shd w:val="clear" w:color="auto" w:fill="auto"/>
          </w:tcPr>
          <w:p w14:paraId="32822C97" w14:textId="0FF88192" w:rsidR="00000E98" w:rsidRPr="00D40ECC" w:rsidRDefault="00000E98" w:rsidP="005638C6">
            <w:pPr>
              <w:tabs>
                <w:tab w:val="decimal" w:pos="446"/>
              </w:tabs>
              <w:spacing w:line="360" w:lineRule="auto"/>
              <w:jc w:val="both"/>
              <w:textAlignment w:val="baseline"/>
              <w:rPr>
                <w:rFonts w:ascii="Book Antiqua" w:eastAsia="Times New Roman" w:hAnsi="Book Antiqua" w:cs="Times"/>
              </w:rPr>
            </w:pPr>
            <w:r w:rsidRPr="00D40ECC">
              <w:rPr>
                <w:rFonts w:ascii="Book Antiqua" w:eastAsia="Times New Roman" w:hAnsi="Book Antiqua" w:cs="Times"/>
                <w:b/>
                <w:bCs/>
                <w:i/>
                <w:iCs/>
              </w:rPr>
              <w:t xml:space="preserve">P </w:t>
            </w:r>
            <w:r w:rsidRPr="00D40ECC">
              <w:rPr>
                <w:rFonts w:ascii="Book Antiqua" w:eastAsia="Times New Roman" w:hAnsi="Book Antiqua" w:cs="Times"/>
                <w:b/>
                <w:bCs/>
              </w:rPr>
              <w:t>value</w:t>
            </w:r>
          </w:p>
        </w:tc>
      </w:tr>
      <w:tr w:rsidR="00000E98" w:rsidRPr="00D40ECC" w14:paraId="1EFF680D" w14:textId="77777777" w:rsidTr="00000E98">
        <w:tc>
          <w:tcPr>
            <w:tcW w:w="3828" w:type="dxa"/>
            <w:tcBorders>
              <w:top w:val="single" w:sz="4" w:space="0" w:color="auto"/>
            </w:tcBorders>
            <w:shd w:val="clear" w:color="auto" w:fill="auto"/>
          </w:tcPr>
          <w:p w14:paraId="6D27204F" w14:textId="7785429E" w:rsidR="00000E98" w:rsidRPr="00D40ECC" w:rsidRDefault="00000E98" w:rsidP="005638C6">
            <w:pPr>
              <w:spacing w:line="360" w:lineRule="auto"/>
              <w:jc w:val="both"/>
              <w:textAlignment w:val="baseline"/>
              <w:rPr>
                <w:rFonts w:ascii="Book Antiqua" w:eastAsia="Times New Roman" w:hAnsi="Book Antiqua" w:cs="Times"/>
              </w:rPr>
            </w:pPr>
            <w:r w:rsidRPr="00D40ECC">
              <w:rPr>
                <w:rFonts w:ascii="Book Antiqua" w:eastAsia="Times New Roman" w:hAnsi="Book Antiqua" w:cs="Times"/>
              </w:rPr>
              <w:t>Sex</w:t>
            </w:r>
          </w:p>
        </w:tc>
        <w:tc>
          <w:tcPr>
            <w:tcW w:w="2719" w:type="dxa"/>
            <w:tcBorders>
              <w:top w:val="single" w:sz="4" w:space="0" w:color="auto"/>
            </w:tcBorders>
            <w:shd w:val="clear" w:color="auto" w:fill="auto"/>
          </w:tcPr>
          <w:p w14:paraId="110F5A0F" w14:textId="77777777" w:rsidR="00000E98" w:rsidRPr="00D40ECC" w:rsidRDefault="00000E98" w:rsidP="005638C6">
            <w:pPr>
              <w:spacing w:line="360" w:lineRule="auto"/>
              <w:jc w:val="both"/>
              <w:textAlignment w:val="baseline"/>
              <w:rPr>
                <w:rFonts w:ascii="Book Antiqua" w:eastAsia="Times New Roman" w:hAnsi="Book Antiqua"/>
              </w:rPr>
            </w:pPr>
          </w:p>
        </w:tc>
        <w:tc>
          <w:tcPr>
            <w:tcW w:w="3881" w:type="dxa"/>
            <w:tcBorders>
              <w:top w:val="single" w:sz="4" w:space="0" w:color="auto"/>
            </w:tcBorders>
            <w:shd w:val="clear" w:color="auto" w:fill="auto"/>
          </w:tcPr>
          <w:p w14:paraId="14FE9F62" w14:textId="77777777" w:rsidR="00000E98" w:rsidRPr="00D40ECC" w:rsidRDefault="00000E98" w:rsidP="005638C6">
            <w:pPr>
              <w:tabs>
                <w:tab w:val="decimal" w:pos="1085"/>
              </w:tabs>
              <w:spacing w:line="360" w:lineRule="auto"/>
              <w:jc w:val="both"/>
              <w:textAlignment w:val="baseline"/>
              <w:rPr>
                <w:rFonts w:ascii="Book Antiqua" w:eastAsia="Times New Roman" w:hAnsi="Book Antiqua"/>
              </w:rPr>
            </w:pPr>
          </w:p>
        </w:tc>
        <w:tc>
          <w:tcPr>
            <w:tcW w:w="1338" w:type="dxa"/>
            <w:tcBorders>
              <w:top w:val="single" w:sz="4" w:space="0" w:color="auto"/>
            </w:tcBorders>
            <w:shd w:val="clear" w:color="auto" w:fill="auto"/>
          </w:tcPr>
          <w:p w14:paraId="07353358" w14:textId="2C6D5C87" w:rsidR="00000E98" w:rsidRPr="00D40ECC" w:rsidRDefault="00000E98" w:rsidP="005638C6">
            <w:pPr>
              <w:tabs>
                <w:tab w:val="decimal" w:pos="446"/>
              </w:tabs>
              <w:spacing w:line="360" w:lineRule="auto"/>
              <w:jc w:val="both"/>
              <w:textAlignment w:val="baseline"/>
              <w:rPr>
                <w:rFonts w:ascii="Book Antiqua" w:eastAsia="Times New Roman" w:hAnsi="Book Antiqua" w:cs="Times"/>
              </w:rPr>
            </w:pPr>
            <w:r w:rsidRPr="00D40ECC">
              <w:rPr>
                <w:rFonts w:ascii="Book Antiqua" w:eastAsia="Times New Roman" w:hAnsi="Book Antiqua" w:cs="Times"/>
              </w:rPr>
              <w:t>NS</w:t>
            </w:r>
            <w:r w:rsidRPr="00D40ECC">
              <w:rPr>
                <w:rFonts w:ascii="Book Antiqua" w:eastAsia="Times New Roman" w:hAnsi="Book Antiqua" w:cs="Times"/>
                <w:vertAlign w:val="superscript"/>
              </w:rPr>
              <w:t>1</w:t>
            </w:r>
          </w:p>
        </w:tc>
      </w:tr>
      <w:tr w:rsidR="00A820C4" w:rsidRPr="00D40ECC" w14:paraId="08E47B75" w14:textId="77777777" w:rsidTr="00000E98">
        <w:tc>
          <w:tcPr>
            <w:tcW w:w="3828" w:type="dxa"/>
            <w:shd w:val="clear" w:color="auto" w:fill="auto"/>
            <w:hideMark/>
          </w:tcPr>
          <w:p w14:paraId="69859159" w14:textId="6A751F7A" w:rsidR="00A820C4" w:rsidRPr="00D40ECC" w:rsidRDefault="00A820C4" w:rsidP="005638C6">
            <w:pPr>
              <w:spacing w:line="360" w:lineRule="auto"/>
              <w:jc w:val="both"/>
              <w:textAlignment w:val="baseline"/>
              <w:rPr>
                <w:rFonts w:ascii="Book Antiqua" w:eastAsia="Times New Roman" w:hAnsi="Book Antiqua"/>
              </w:rPr>
            </w:pPr>
            <w:r w:rsidRPr="00D40ECC">
              <w:rPr>
                <w:rFonts w:ascii="Book Antiqua" w:eastAsia="Times New Roman" w:hAnsi="Book Antiqua" w:cs="Times"/>
              </w:rPr>
              <w:t>Female</w:t>
            </w:r>
          </w:p>
        </w:tc>
        <w:tc>
          <w:tcPr>
            <w:tcW w:w="2719" w:type="dxa"/>
            <w:shd w:val="clear" w:color="auto" w:fill="auto"/>
            <w:hideMark/>
          </w:tcPr>
          <w:p w14:paraId="4425F406"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rPr>
            </w:pPr>
            <w:r w:rsidRPr="00D40ECC">
              <w:rPr>
                <w:rFonts w:ascii="Book Antiqua" w:eastAsia="Times New Roman" w:hAnsi="Book Antiqua" w:cs="Times"/>
              </w:rPr>
              <w:t>36.0%</w:t>
            </w:r>
          </w:p>
        </w:tc>
        <w:tc>
          <w:tcPr>
            <w:tcW w:w="3881" w:type="dxa"/>
            <w:shd w:val="clear" w:color="auto" w:fill="auto"/>
            <w:hideMark/>
          </w:tcPr>
          <w:p w14:paraId="7F0F6B35" w14:textId="546E9BF4" w:rsidR="00A820C4" w:rsidRPr="00D40ECC" w:rsidRDefault="00A820C4" w:rsidP="005638C6">
            <w:pPr>
              <w:tabs>
                <w:tab w:val="decimal" w:pos="9"/>
              </w:tabs>
              <w:spacing w:line="360" w:lineRule="auto"/>
              <w:ind w:firstLineChars="300" w:firstLine="720"/>
              <w:jc w:val="both"/>
              <w:textAlignment w:val="baseline"/>
              <w:rPr>
                <w:rFonts w:ascii="Book Antiqua" w:eastAsia="Times New Roman" w:hAnsi="Book Antiqua"/>
              </w:rPr>
            </w:pPr>
            <w:r w:rsidRPr="00D40ECC">
              <w:rPr>
                <w:rFonts w:ascii="Book Antiqua" w:eastAsia="Times New Roman" w:hAnsi="Book Antiqua" w:cs="Times"/>
              </w:rPr>
              <w:t>36.1%</w:t>
            </w:r>
          </w:p>
        </w:tc>
        <w:tc>
          <w:tcPr>
            <w:tcW w:w="1338" w:type="dxa"/>
            <w:shd w:val="clear" w:color="auto" w:fill="auto"/>
            <w:hideMark/>
          </w:tcPr>
          <w:p w14:paraId="0D90D914" w14:textId="65DE7673" w:rsidR="00A820C4" w:rsidRPr="00D40ECC" w:rsidRDefault="00A820C4" w:rsidP="005638C6">
            <w:pPr>
              <w:tabs>
                <w:tab w:val="decimal" w:pos="446"/>
              </w:tabs>
              <w:spacing w:line="360" w:lineRule="auto"/>
              <w:jc w:val="both"/>
              <w:textAlignment w:val="baseline"/>
              <w:rPr>
                <w:rFonts w:ascii="Book Antiqua" w:eastAsia="Times New Roman" w:hAnsi="Book Antiqua"/>
              </w:rPr>
            </w:pPr>
          </w:p>
        </w:tc>
      </w:tr>
      <w:tr w:rsidR="00A820C4" w:rsidRPr="00D40ECC" w14:paraId="0C3E4B40" w14:textId="77777777" w:rsidTr="00000E98">
        <w:tc>
          <w:tcPr>
            <w:tcW w:w="3828" w:type="dxa"/>
            <w:shd w:val="clear" w:color="auto" w:fill="auto"/>
            <w:hideMark/>
          </w:tcPr>
          <w:p w14:paraId="4060EAE8" w14:textId="2A457A84" w:rsidR="00A820C4" w:rsidRPr="00D40ECC" w:rsidRDefault="00A820C4" w:rsidP="005638C6">
            <w:pPr>
              <w:spacing w:line="360" w:lineRule="auto"/>
              <w:jc w:val="both"/>
              <w:textAlignment w:val="baseline"/>
              <w:rPr>
                <w:rFonts w:ascii="Book Antiqua" w:eastAsia="Times New Roman" w:hAnsi="Book Antiqua"/>
              </w:rPr>
            </w:pPr>
            <w:r w:rsidRPr="00D40ECC">
              <w:rPr>
                <w:rFonts w:ascii="Book Antiqua" w:eastAsia="Times New Roman" w:hAnsi="Book Antiqua" w:cs="Times"/>
              </w:rPr>
              <w:t>Male</w:t>
            </w:r>
          </w:p>
        </w:tc>
        <w:tc>
          <w:tcPr>
            <w:tcW w:w="2719" w:type="dxa"/>
            <w:shd w:val="clear" w:color="auto" w:fill="auto"/>
            <w:hideMark/>
          </w:tcPr>
          <w:p w14:paraId="612090FC" w14:textId="446328D3" w:rsidR="00A820C4" w:rsidRPr="00D40ECC" w:rsidRDefault="00A820C4" w:rsidP="005638C6">
            <w:pPr>
              <w:tabs>
                <w:tab w:val="decimal" w:pos="991"/>
              </w:tabs>
              <w:spacing w:line="360" w:lineRule="auto"/>
              <w:jc w:val="both"/>
              <w:textAlignment w:val="baseline"/>
              <w:rPr>
                <w:rFonts w:ascii="Book Antiqua" w:eastAsia="Times New Roman" w:hAnsi="Book Antiqua"/>
              </w:rPr>
            </w:pPr>
            <w:r w:rsidRPr="00D40ECC">
              <w:rPr>
                <w:rFonts w:ascii="Book Antiqua" w:eastAsia="Times New Roman" w:hAnsi="Book Antiqua" w:cs="Times"/>
              </w:rPr>
              <w:t>64.0%</w:t>
            </w:r>
          </w:p>
        </w:tc>
        <w:tc>
          <w:tcPr>
            <w:tcW w:w="3881" w:type="dxa"/>
            <w:shd w:val="clear" w:color="auto" w:fill="auto"/>
            <w:hideMark/>
          </w:tcPr>
          <w:p w14:paraId="3966F10F" w14:textId="3261BE47" w:rsidR="00A820C4" w:rsidRPr="00D40ECC" w:rsidRDefault="00A820C4" w:rsidP="005638C6">
            <w:pPr>
              <w:tabs>
                <w:tab w:val="decimal" w:pos="9"/>
              </w:tabs>
              <w:spacing w:line="360" w:lineRule="auto"/>
              <w:ind w:firstLineChars="300" w:firstLine="720"/>
              <w:jc w:val="both"/>
              <w:textAlignment w:val="baseline"/>
              <w:rPr>
                <w:rFonts w:ascii="Book Antiqua" w:eastAsia="Times New Roman" w:hAnsi="Book Antiqua"/>
              </w:rPr>
            </w:pPr>
            <w:r w:rsidRPr="00D40ECC">
              <w:rPr>
                <w:rFonts w:ascii="Book Antiqua" w:eastAsia="Times New Roman" w:hAnsi="Book Antiqua" w:cs="Times"/>
              </w:rPr>
              <w:t>63.9%</w:t>
            </w:r>
          </w:p>
        </w:tc>
        <w:tc>
          <w:tcPr>
            <w:tcW w:w="1338" w:type="dxa"/>
            <w:shd w:val="clear" w:color="auto" w:fill="auto"/>
            <w:hideMark/>
          </w:tcPr>
          <w:p w14:paraId="3D3A9A4D" w14:textId="30D5F09A" w:rsidR="00A820C4" w:rsidRPr="00D40ECC" w:rsidRDefault="00A820C4" w:rsidP="005638C6">
            <w:pPr>
              <w:tabs>
                <w:tab w:val="decimal" w:pos="446"/>
              </w:tabs>
              <w:spacing w:line="360" w:lineRule="auto"/>
              <w:jc w:val="both"/>
              <w:textAlignment w:val="baseline"/>
              <w:rPr>
                <w:rFonts w:ascii="Book Antiqua" w:eastAsia="Times New Roman" w:hAnsi="Book Antiqua"/>
              </w:rPr>
            </w:pPr>
          </w:p>
        </w:tc>
      </w:tr>
      <w:tr w:rsidR="00A820C4" w:rsidRPr="00D40ECC" w14:paraId="3D234CE9" w14:textId="77777777" w:rsidTr="00000E98">
        <w:tc>
          <w:tcPr>
            <w:tcW w:w="3828" w:type="dxa"/>
            <w:shd w:val="clear" w:color="auto" w:fill="auto"/>
            <w:hideMark/>
          </w:tcPr>
          <w:p w14:paraId="4CD99078" w14:textId="52C8C661" w:rsidR="00A820C4" w:rsidRPr="00D40ECC" w:rsidRDefault="00A820C4" w:rsidP="005638C6">
            <w:pPr>
              <w:spacing w:line="360" w:lineRule="auto"/>
              <w:jc w:val="both"/>
              <w:textAlignment w:val="baseline"/>
              <w:rPr>
                <w:rFonts w:ascii="Book Antiqua" w:eastAsia="Times New Roman" w:hAnsi="Book Antiqua"/>
              </w:rPr>
            </w:pPr>
            <w:r w:rsidRPr="00D40ECC">
              <w:rPr>
                <w:rFonts w:ascii="Book Antiqua" w:eastAsia="Times New Roman" w:hAnsi="Book Antiqua" w:cs="Times"/>
              </w:rPr>
              <w:t xml:space="preserve">Patient </w:t>
            </w:r>
            <w:r w:rsidR="00CB3B00" w:rsidRPr="00D40ECC">
              <w:rPr>
                <w:rFonts w:ascii="Book Antiqua" w:eastAsia="Times New Roman" w:hAnsi="Book Antiqua" w:cs="Times"/>
              </w:rPr>
              <w:t>a</w:t>
            </w:r>
            <w:r w:rsidRPr="00D40ECC">
              <w:rPr>
                <w:rFonts w:ascii="Book Antiqua" w:eastAsia="Times New Roman" w:hAnsi="Book Antiqua" w:cs="Times"/>
              </w:rPr>
              <w:t>ge, mean</w:t>
            </w:r>
            <w:r w:rsidR="00CB3B00" w:rsidRPr="00D40ECC">
              <w:rPr>
                <w:rFonts w:ascii="Book Antiqua" w:eastAsia="Times New Roman" w:hAnsi="Book Antiqua" w:cs="Times"/>
              </w:rPr>
              <w:t xml:space="preserve"> </w:t>
            </w:r>
            <w:r w:rsidRPr="00D40ECC">
              <w:rPr>
                <w:rFonts w:ascii="Book Antiqua" w:eastAsia="Times New Roman" w:hAnsi="Book Antiqua" w:cs="Times"/>
              </w:rPr>
              <w:t>(SD)</w:t>
            </w:r>
          </w:p>
        </w:tc>
        <w:tc>
          <w:tcPr>
            <w:tcW w:w="2719" w:type="dxa"/>
            <w:shd w:val="clear" w:color="auto" w:fill="auto"/>
            <w:hideMark/>
          </w:tcPr>
          <w:p w14:paraId="51882A9A"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rPr>
            </w:pPr>
            <w:r w:rsidRPr="00D40ECC">
              <w:rPr>
                <w:rFonts w:ascii="Book Antiqua" w:eastAsia="Times New Roman" w:hAnsi="Book Antiqua" w:cs="Times"/>
              </w:rPr>
              <w:t>41.4</w:t>
            </w:r>
            <w:r w:rsidRPr="00D40ECC">
              <w:rPr>
                <w:rFonts w:ascii="Book Antiqua" w:eastAsia="Times New Roman" w:hAnsi="Book Antiqua"/>
              </w:rPr>
              <w:t xml:space="preserve"> </w:t>
            </w:r>
            <w:r w:rsidRPr="00D40ECC">
              <w:rPr>
                <w:rFonts w:ascii="Book Antiqua" w:eastAsia="Times New Roman" w:hAnsi="Book Antiqua" w:cs="Times"/>
              </w:rPr>
              <w:t>(12.9)</w:t>
            </w:r>
          </w:p>
        </w:tc>
        <w:tc>
          <w:tcPr>
            <w:tcW w:w="3881" w:type="dxa"/>
            <w:shd w:val="clear" w:color="auto" w:fill="auto"/>
            <w:hideMark/>
          </w:tcPr>
          <w:p w14:paraId="6FD73C12" w14:textId="3C27CCE6" w:rsidR="00A820C4" w:rsidRPr="00D40ECC" w:rsidRDefault="00A820C4" w:rsidP="005638C6">
            <w:pPr>
              <w:tabs>
                <w:tab w:val="left" w:pos="909"/>
                <w:tab w:val="decimal" w:pos="1175"/>
              </w:tabs>
              <w:spacing w:line="360" w:lineRule="auto"/>
              <w:ind w:firstLineChars="200" w:firstLine="480"/>
              <w:jc w:val="both"/>
              <w:textAlignment w:val="baseline"/>
              <w:rPr>
                <w:rFonts w:ascii="Book Antiqua" w:eastAsia="Times New Roman" w:hAnsi="Book Antiqua"/>
              </w:rPr>
            </w:pPr>
            <w:r w:rsidRPr="00D40ECC">
              <w:rPr>
                <w:rFonts w:ascii="Book Antiqua" w:eastAsia="Times New Roman" w:hAnsi="Book Antiqua" w:cs="Times"/>
              </w:rPr>
              <w:t>42.0</w:t>
            </w:r>
            <w:r w:rsidRPr="00D40ECC">
              <w:rPr>
                <w:rFonts w:ascii="Book Antiqua" w:eastAsia="Times New Roman" w:hAnsi="Book Antiqua"/>
              </w:rPr>
              <w:t xml:space="preserve"> (12.9)</w:t>
            </w:r>
          </w:p>
        </w:tc>
        <w:tc>
          <w:tcPr>
            <w:tcW w:w="1338" w:type="dxa"/>
            <w:shd w:val="clear" w:color="auto" w:fill="auto"/>
            <w:hideMark/>
          </w:tcPr>
          <w:p w14:paraId="2F286E7C" w14:textId="27756F59" w:rsidR="00A820C4" w:rsidRPr="00D40ECC" w:rsidRDefault="00A820C4" w:rsidP="00000E98">
            <w:pPr>
              <w:tabs>
                <w:tab w:val="decimal" w:pos="266"/>
              </w:tabs>
              <w:spacing w:line="360" w:lineRule="auto"/>
              <w:textAlignment w:val="baseline"/>
              <w:rPr>
                <w:rFonts w:ascii="Book Antiqua" w:eastAsia="Times New Roman" w:hAnsi="Book Antiqua"/>
              </w:rPr>
            </w:pPr>
            <w:r w:rsidRPr="00D40ECC">
              <w:rPr>
                <w:rFonts w:ascii="Book Antiqua" w:eastAsia="Times New Roman" w:hAnsi="Book Antiqua" w:cs="Times"/>
              </w:rPr>
              <w:t>0.03</w:t>
            </w:r>
            <w:r w:rsidRPr="00D40ECC">
              <w:rPr>
                <w:rFonts w:ascii="Book Antiqua" w:eastAsia="Times New Roman" w:hAnsi="Book Antiqua" w:cs="Times"/>
                <w:vertAlign w:val="superscript"/>
              </w:rPr>
              <w:t>2</w:t>
            </w:r>
          </w:p>
        </w:tc>
      </w:tr>
      <w:tr w:rsidR="00A820C4" w:rsidRPr="00D40ECC" w14:paraId="2AAD6D19" w14:textId="77777777" w:rsidTr="00000E98">
        <w:tc>
          <w:tcPr>
            <w:tcW w:w="3828" w:type="dxa"/>
            <w:shd w:val="clear" w:color="auto" w:fill="auto"/>
          </w:tcPr>
          <w:p w14:paraId="0E4A5386" w14:textId="1721055F" w:rsidR="00A820C4" w:rsidRPr="00D40ECC" w:rsidRDefault="00A820C4" w:rsidP="005638C6">
            <w:pPr>
              <w:spacing w:line="360" w:lineRule="auto"/>
              <w:jc w:val="both"/>
              <w:textAlignment w:val="baseline"/>
              <w:rPr>
                <w:rFonts w:ascii="Book Antiqua" w:eastAsia="Times New Roman" w:hAnsi="Book Antiqua" w:cs="Times"/>
              </w:rPr>
            </w:pPr>
            <w:r w:rsidRPr="00D40ECC">
              <w:rPr>
                <w:rFonts w:ascii="Book Antiqua" w:eastAsia="Times New Roman" w:hAnsi="Book Antiqua" w:cs="Times"/>
              </w:rPr>
              <w:t xml:space="preserve">Patient </w:t>
            </w:r>
            <w:r w:rsidR="00CB3B00" w:rsidRPr="00D40ECC">
              <w:rPr>
                <w:rFonts w:ascii="Book Antiqua" w:eastAsia="Times New Roman" w:hAnsi="Book Antiqua" w:cs="Times"/>
              </w:rPr>
              <w:t>a</w:t>
            </w:r>
            <w:r w:rsidRPr="00D40ECC">
              <w:rPr>
                <w:rFonts w:ascii="Book Antiqua" w:eastAsia="Times New Roman" w:hAnsi="Book Antiqua" w:cs="Times"/>
              </w:rPr>
              <w:t>ge, in 10 y</w:t>
            </w:r>
            <w:r w:rsidR="00FC0331" w:rsidRPr="00D40ECC">
              <w:rPr>
                <w:rFonts w:ascii="Book Antiqua" w:eastAsia="Times New Roman" w:hAnsi="Book Antiqua" w:cs="Times"/>
              </w:rPr>
              <w:t>ea</w:t>
            </w:r>
            <w:r w:rsidRPr="00D40ECC">
              <w:rPr>
                <w:rFonts w:ascii="Book Antiqua" w:eastAsia="Times New Roman" w:hAnsi="Book Antiqua" w:cs="Times"/>
              </w:rPr>
              <w:t>r</w:t>
            </w:r>
            <w:r w:rsidR="00FC0331" w:rsidRPr="00D40ECC">
              <w:rPr>
                <w:rFonts w:ascii="Book Antiqua" w:eastAsia="Times New Roman" w:hAnsi="Book Antiqua" w:cs="Times"/>
              </w:rPr>
              <w:t>s</w:t>
            </w:r>
            <w:r w:rsidRPr="00D40ECC">
              <w:rPr>
                <w:rFonts w:ascii="Book Antiqua" w:eastAsia="Times New Roman" w:hAnsi="Book Antiqua" w:cs="Times"/>
              </w:rPr>
              <w:t xml:space="preserve"> age groups</w:t>
            </w:r>
            <w:r w:rsidRPr="00D40ECC">
              <w:rPr>
                <w:rFonts w:ascii="Book Antiqua" w:eastAsia="Times New Roman" w:hAnsi="Book Antiqua" w:cs="Times"/>
                <w:vertAlign w:val="superscript"/>
              </w:rPr>
              <w:t>3</w:t>
            </w:r>
          </w:p>
        </w:tc>
        <w:tc>
          <w:tcPr>
            <w:tcW w:w="2719" w:type="dxa"/>
            <w:shd w:val="clear" w:color="auto" w:fill="auto"/>
          </w:tcPr>
          <w:p w14:paraId="5472FD17"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cs="Times"/>
              </w:rPr>
            </w:pPr>
          </w:p>
        </w:tc>
        <w:tc>
          <w:tcPr>
            <w:tcW w:w="3881" w:type="dxa"/>
            <w:shd w:val="clear" w:color="auto" w:fill="auto"/>
          </w:tcPr>
          <w:p w14:paraId="5A644B26" w14:textId="77777777" w:rsidR="00A820C4" w:rsidRPr="00D40ECC" w:rsidRDefault="00A820C4" w:rsidP="005638C6">
            <w:pPr>
              <w:tabs>
                <w:tab w:val="left" w:pos="909"/>
                <w:tab w:val="decimal" w:pos="1175"/>
              </w:tabs>
              <w:spacing w:line="360" w:lineRule="auto"/>
              <w:jc w:val="both"/>
              <w:textAlignment w:val="baseline"/>
              <w:rPr>
                <w:rFonts w:ascii="Book Antiqua" w:eastAsia="Times New Roman" w:hAnsi="Book Antiqua" w:cs="Times"/>
              </w:rPr>
            </w:pPr>
          </w:p>
        </w:tc>
        <w:tc>
          <w:tcPr>
            <w:tcW w:w="1338" w:type="dxa"/>
            <w:shd w:val="clear" w:color="auto" w:fill="auto"/>
          </w:tcPr>
          <w:p w14:paraId="54A3CAF1" w14:textId="5F3D6BF1" w:rsidR="00A820C4" w:rsidRPr="00D40ECC" w:rsidRDefault="00A820C4" w:rsidP="00000E98">
            <w:pPr>
              <w:tabs>
                <w:tab w:val="decimal" w:pos="266"/>
              </w:tabs>
              <w:spacing w:line="360" w:lineRule="auto"/>
              <w:jc w:val="both"/>
              <w:textAlignment w:val="baseline"/>
              <w:rPr>
                <w:rFonts w:ascii="Book Antiqua" w:eastAsia="Times New Roman" w:hAnsi="Book Antiqua" w:cs="Times"/>
              </w:rPr>
            </w:pPr>
            <w:r w:rsidRPr="00D40ECC">
              <w:rPr>
                <w:rFonts w:ascii="Book Antiqua" w:eastAsia="Times New Roman" w:hAnsi="Book Antiqua" w:cs="Times"/>
              </w:rPr>
              <w:t>NS</w:t>
            </w:r>
            <w:r w:rsidRPr="00D40ECC">
              <w:rPr>
                <w:rFonts w:ascii="Book Antiqua" w:hAnsi="Book Antiqua" w:cs="Times"/>
                <w:vertAlign w:val="superscript"/>
              </w:rPr>
              <w:t>4</w:t>
            </w:r>
          </w:p>
        </w:tc>
      </w:tr>
      <w:tr w:rsidR="00A820C4" w:rsidRPr="00D40ECC" w14:paraId="3483E2FA" w14:textId="77777777" w:rsidTr="00000E98">
        <w:tc>
          <w:tcPr>
            <w:tcW w:w="3828" w:type="dxa"/>
            <w:shd w:val="clear" w:color="auto" w:fill="auto"/>
            <w:hideMark/>
          </w:tcPr>
          <w:p w14:paraId="5A3F20FC" w14:textId="4F85B575" w:rsidR="00A820C4" w:rsidRPr="00D40ECC" w:rsidRDefault="00A820C4" w:rsidP="005638C6">
            <w:pPr>
              <w:spacing w:line="360" w:lineRule="auto"/>
              <w:jc w:val="both"/>
              <w:textAlignment w:val="baseline"/>
              <w:rPr>
                <w:rFonts w:ascii="Book Antiqua" w:eastAsia="Times New Roman" w:hAnsi="Book Antiqua"/>
              </w:rPr>
            </w:pPr>
            <w:r w:rsidRPr="00D40ECC">
              <w:rPr>
                <w:rFonts w:ascii="Book Antiqua" w:eastAsia="Times New Roman" w:hAnsi="Book Antiqua" w:cs="Times"/>
              </w:rPr>
              <w:t>18-27</w:t>
            </w:r>
          </w:p>
        </w:tc>
        <w:tc>
          <w:tcPr>
            <w:tcW w:w="2719" w:type="dxa"/>
            <w:shd w:val="clear" w:color="auto" w:fill="auto"/>
            <w:hideMark/>
          </w:tcPr>
          <w:p w14:paraId="42E159A2"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rPr>
            </w:pPr>
            <w:r w:rsidRPr="00D40ECC">
              <w:rPr>
                <w:rFonts w:ascii="Book Antiqua" w:eastAsia="Times New Roman" w:hAnsi="Book Antiqua" w:cs="Times"/>
              </w:rPr>
              <w:t>16.8%</w:t>
            </w:r>
          </w:p>
        </w:tc>
        <w:tc>
          <w:tcPr>
            <w:tcW w:w="3881" w:type="dxa"/>
            <w:shd w:val="clear" w:color="auto" w:fill="auto"/>
            <w:hideMark/>
          </w:tcPr>
          <w:p w14:paraId="5A387FE1" w14:textId="578F2C8F" w:rsidR="00A820C4" w:rsidRPr="00D40ECC" w:rsidRDefault="00A820C4" w:rsidP="005638C6">
            <w:pPr>
              <w:tabs>
                <w:tab w:val="decimal" w:pos="909"/>
              </w:tabs>
              <w:spacing w:line="360" w:lineRule="auto"/>
              <w:jc w:val="both"/>
              <w:textAlignment w:val="baseline"/>
              <w:rPr>
                <w:rFonts w:ascii="Book Antiqua" w:eastAsia="Times New Roman" w:hAnsi="Book Antiqua"/>
              </w:rPr>
            </w:pPr>
            <w:r w:rsidRPr="00D40ECC">
              <w:rPr>
                <w:rFonts w:ascii="Book Antiqua" w:eastAsia="Times New Roman" w:hAnsi="Book Antiqua" w:cs="Times"/>
              </w:rPr>
              <w:t>16.6%</w:t>
            </w:r>
          </w:p>
        </w:tc>
        <w:tc>
          <w:tcPr>
            <w:tcW w:w="1338" w:type="dxa"/>
            <w:shd w:val="clear" w:color="auto" w:fill="auto"/>
            <w:hideMark/>
          </w:tcPr>
          <w:p w14:paraId="448EC762" w14:textId="2AAD48BC" w:rsidR="00A820C4" w:rsidRPr="00D40ECC" w:rsidRDefault="00A820C4" w:rsidP="005638C6">
            <w:pPr>
              <w:tabs>
                <w:tab w:val="decimal" w:pos="266"/>
              </w:tabs>
              <w:spacing w:line="360" w:lineRule="auto"/>
              <w:jc w:val="both"/>
              <w:textAlignment w:val="baseline"/>
              <w:rPr>
                <w:rFonts w:ascii="Book Antiqua" w:eastAsia="Times New Roman" w:hAnsi="Book Antiqua"/>
              </w:rPr>
            </w:pPr>
          </w:p>
        </w:tc>
      </w:tr>
      <w:tr w:rsidR="00A820C4" w:rsidRPr="00D40ECC" w14:paraId="3EB75178" w14:textId="77777777" w:rsidTr="00000E98">
        <w:tc>
          <w:tcPr>
            <w:tcW w:w="3828" w:type="dxa"/>
            <w:shd w:val="clear" w:color="auto" w:fill="auto"/>
            <w:hideMark/>
          </w:tcPr>
          <w:p w14:paraId="42A76BA2" w14:textId="54CC2585" w:rsidR="00A820C4" w:rsidRPr="00D40ECC" w:rsidRDefault="00A820C4" w:rsidP="005638C6">
            <w:pPr>
              <w:spacing w:line="360" w:lineRule="auto"/>
              <w:jc w:val="both"/>
              <w:textAlignment w:val="baseline"/>
              <w:rPr>
                <w:rFonts w:ascii="Book Antiqua" w:eastAsia="Times New Roman" w:hAnsi="Book Antiqua"/>
              </w:rPr>
            </w:pPr>
            <w:r w:rsidRPr="00D40ECC">
              <w:rPr>
                <w:rFonts w:ascii="Book Antiqua" w:eastAsia="Times New Roman" w:hAnsi="Book Antiqua" w:cs="Times"/>
              </w:rPr>
              <w:t>28-37</w:t>
            </w:r>
          </w:p>
        </w:tc>
        <w:tc>
          <w:tcPr>
            <w:tcW w:w="2719" w:type="dxa"/>
            <w:shd w:val="clear" w:color="auto" w:fill="auto"/>
            <w:hideMark/>
          </w:tcPr>
          <w:p w14:paraId="2BD90563"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rPr>
            </w:pPr>
            <w:r w:rsidRPr="00D40ECC">
              <w:rPr>
                <w:rFonts w:ascii="Book Antiqua" w:eastAsia="Times New Roman" w:hAnsi="Book Antiqua" w:cs="Times"/>
              </w:rPr>
              <w:t>25.3%</w:t>
            </w:r>
          </w:p>
        </w:tc>
        <w:tc>
          <w:tcPr>
            <w:tcW w:w="3881" w:type="dxa"/>
            <w:shd w:val="clear" w:color="auto" w:fill="auto"/>
            <w:hideMark/>
          </w:tcPr>
          <w:p w14:paraId="3FB07125" w14:textId="36C83543" w:rsidR="00A820C4" w:rsidRPr="00D40ECC" w:rsidRDefault="00A820C4" w:rsidP="005638C6">
            <w:pPr>
              <w:tabs>
                <w:tab w:val="decimal" w:pos="909"/>
              </w:tabs>
              <w:spacing w:line="360" w:lineRule="auto"/>
              <w:jc w:val="both"/>
              <w:textAlignment w:val="baseline"/>
              <w:rPr>
                <w:rFonts w:ascii="Book Antiqua" w:eastAsia="Times New Roman" w:hAnsi="Book Antiqua"/>
              </w:rPr>
            </w:pPr>
            <w:r w:rsidRPr="00D40ECC">
              <w:rPr>
                <w:rFonts w:ascii="Book Antiqua" w:eastAsia="Times New Roman" w:hAnsi="Book Antiqua" w:cs="Times"/>
              </w:rPr>
              <w:t>25.3%</w:t>
            </w:r>
          </w:p>
        </w:tc>
        <w:tc>
          <w:tcPr>
            <w:tcW w:w="1338" w:type="dxa"/>
            <w:shd w:val="clear" w:color="auto" w:fill="auto"/>
            <w:hideMark/>
          </w:tcPr>
          <w:p w14:paraId="6EF16B89" w14:textId="39B00BEE" w:rsidR="00A820C4" w:rsidRPr="00D40ECC" w:rsidRDefault="00A820C4" w:rsidP="005638C6">
            <w:pPr>
              <w:tabs>
                <w:tab w:val="decimal" w:pos="266"/>
              </w:tabs>
              <w:spacing w:line="360" w:lineRule="auto"/>
              <w:jc w:val="both"/>
              <w:textAlignment w:val="baseline"/>
              <w:rPr>
                <w:rFonts w:ascii="Book Antiqua" w:eastAsia="Times New Roman" w:hAnsi="Book Antiqua"/>
              </w:rPr>
            </w:pPr>
          </w:p>
        </w:tc>
      </w:tr>
      <w:tr w:rsidR="00A820C4" w:rsidRPr="00D40ECC" w14:paraId="285E2361" w14:textId="77777777" w:rsidTr="00000E98">
        <w:tc>
          <w:tcPr>
            <w:tcW w:w="3828" w:type="dxa"/>
            <w:shd w:val="clear" w:color="auto" w:fill="auto"/>
            <w:hideMark/>
          </w:tcPr>
          <w:p w14:paraId="19BD3540" w14:textId="31C672F7" w:rsidR="00A820C4" w:rsidRPr="00D40ECC" w:rsidRDefault="00A820C4" w:rsidP="005638C6">
            <w:pPr>
              <w:spacing w:line="360" w:lineRule="auto"/>
              <w:jc w:val="both"/>
              <w:textAlignment w:val="baseline"/>
              <w:rPr>
                <w:rFonts w:ascii="Book Antiqua" w:eastAsia="Times New Roman" w:hAnsi="Book Antiqua"/>
              </w:rPr>
            </w:pPr>
            <w:r w:rsidRPr="00D40ECC">
              <w:rPr>
                <w:rFonts w:ascii="Book Antiqua" w:eastAsia="Times New Roman" w:hAnsi="Book Antiqua" w:cs="Times"/>
              </w:rPr>
              <w:t>38-47</w:t>
            </w:r>
          </w:p>
        </w:tc>
        <w:tc>
          <w:tcPr>
            <w:tcW w:w="2719" w:type="dxa"/>
            <w:shd w:val="clear" w:color="auto" w:fill="auto"/>
            <w:hideMark/>
          </w:tcPr>
          <w:p w14:paraId="0AB084C3"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rPr>
            </w:pPr>
            <w:r w:rsidRPr="00D40ECC">
              <w:rPr>
                <w:rFonts w:ascii="Book Antiqua" w:eastAsia="Times New Roman" w:hAnsi="Book Antiqua" w:cs="Times"/>
              </w:rPr>
              <w:t>20.4%</w:t>
            </w:r>
          </w:p>
        </w:tc>
        <w:tc>
          <w:tcPr>
            <w:tcW w:w="3881" w:type="dxa"/>
            <w:shd w:val="clear" w:color="auto" w:fill="auto"/>
            <w:hideMark/>
          </w:tcPr>
          <w:p w14:paraId="30E1DC45" w14:textId="25354ED7" w:rsidR="00A820C4" w:rsidRPr="00D40ECC" w:rsidRDefault="00A820C4" w:rsidP="005638C6">
            <w:pPr>
              <w:tabs>
                <w:tab w:val="decimal" w:pos="909"/>
              </w:tabs>
              <w:spacing w:line="360" w:lineRule="auto"/>
              <w:jc w:val="both"/>
              <w:textAlignment w:val="baseline"/>
              <w:rPr>
                <w:rFonts w:ascii="Book Antiqua" w:eastAsia="Times New Roman" w:hAnsi="Book Antiqua"/>
              </w:rPr>
            </w:pPr>
            <w:r w:rsidRPr="00D40ECC">
              <w:rPr>
                <w:rFonts w:ascii="Book Antiqua" w:eastAsia="Times New Roman" w:hAnsi="Book Antiqua" w:cs="Times"/>
              </w:rPr>
              <w:t>20.5%</w:t>
            </w:r>
          </w:p>
        </w:tc>
        <w:tc>
          <w:tcPr>
            <w:tcW w:w="1338" w:type="dxa"/>
            <w:shd w:val="clear" w:color="auto" w:fill="auto"/>
            <w:hideMark/>
          </w:tcPr>
          <w:p w14:paraId="63CC1C14" w14:textId="091E512C" w:rsidR="00A820C4" w:rsidRPr="00D40ECC" w:rsidRDefault="00A820C4" w:rsidP="005638C6">
            <w:pPr>
              <w:tabs>
                <w:tab w:val="decimal" w:pos="266"/>
              </w:tabs>
              <w:spacing w:line="360" w:lineRule="auto"/>
              <w:jc w:val="both"/>
              <w:textAlignment w:val="baseline"/>
              <w:rPr>
                <w:rFonts w:ascii="Book Antiqua" w:eastAsia="Times New Roman" w:hAnsi="Book Antiqua"/>
              </w:rPr>
            </w:pPr>
          </w:p>
        </w:tc>
      </w:tr>
      <w:tr w:rsidR="00A820C4" w:rsidRPr="00D40ECC" w14:paraId="5CE21934" w14:textId="77777777" w:rsidTr="00000E98">
        <w:tc>
          <w:tcPr>
            <w:tcW w:w="3828" w:type="dxa"/>
            <w:shd w:val="clear" w:color="auto" w:fill="auto"/>
            <w:hideMark/>
          </w:tcPr>
          <w:p w14:paraId="3E7FFA3C" w14:textId="6B1CA7E6" w:rsidR="00A820C4" w:rsidRPr="00D40ECC" w:rsidRDefault="00A820C4" w:rsidP="005638C6">
            <w:pPr>
              <w:spacing w:line="360" w:lineRule="auto"/>
              <w:jc w:val="both"/>
              <w:textAlignment w:val="baseline"/>
              <w:rPr>
                <w:rFonts w:ascii="Book Antiqua" w:eastAsia="Times New Roman" w:hAnsi="Book Antiqua"/>
              </w:rPr>
            </w:pPr>
            <w:r w:rsidRPr="00D40ECC">
              <w:rPr>
                <w:rFonts w:ascii="Book Antiqua" w:eastAsia="Times New Roman" w:hAnsi="Book Antiqua" w:cs="Times"/>
              </w:rPr>
              <w:t>48-57</w:t>
            </w:r>
          </w:p>
        </w:tc>
        <w:tc>
          <w:tcPr>
            <w:tcW w:w="2719" w:type="dxa"/>
            <w:shd w:val="clear" w:color="auto" w:fill="auto"/>
            <w:hideMark/>
          </w:tcPr>
          <w:p w14:paraId="4EAF99E6"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rPr>
            </w:pPr>
            <w:r w:rsidRPr="00D40ECC">
              <w:rPr>
                <w:rFonts w:ascii="Book Antiqua" w:eastAsia="Times New Roman" w:hAnsi="Book Antiqua" w:cs="Times"/>
              </w:rPr>
              <w:t>25.8%</w:t>
            </w:r>
          </w:p>
        </w:tc>
        <w:tc>
          <w:tcPr>
            <w:tcW w:w="3881" w:type="dxa"/>
            <w:shd w:val="clear" w:color="auto" w:fill="auto"/>
            <w:hideMark/>
          </w:tcPr>
          <w:p w14:paraId="41AFFF0C" w14:textId="4562151F" w:rsidR="00A820C4" w:rsidRPr="00D40ECC" w:rsidRDefault="00A820C4" w:rsidP="005638C6">
            <w:pPr>
              <w:tabs>
                <w:tab w:val="decimal" w:pos="909"/>
              </w:tabs>
              <w:spacing w:line="360" w:lineRule="auto"/>
              <w:jc w:val="both"/>
              <w:textAlignment w:val="baseline"/>
              <w:rPr>
                <w:rFonts w:ascii="Book Antiqua" w:eastAsia="Times New Roman" w:hAnsi="Book Antiqua"/>
              </w:rPr>
            </w:pPr>
            <w:r w:rsidRPr="00D40ECC">
              <w:rPr>
                <w:rFonts w:ascii="Book Antiqua" w:eastAsia="Times New Roman" w:hAnsi="Book Antiqua" w:cs="Times"/>
              </w:rPr>
              <w:t>25.8%</w:t>
            </w:r>
          </w:p>
        </w:tc>
        <w:tc>
          <w:tcPr>
            <w:tcW w:w="1338" w:type="dxa"/>
            <w:shd w:val="clear" w:color="auto" w:fill="auto"/>
            <w:hideMark/>
          </w:tcPr>
          <w:p w14:paraId="17D837D1" w14:textId="5ED115C2" w:rsidR="00A820C4" w:rsidRPr="00D40ECC" w:rsidRDefault="00A820C4" w:rsidP="005638C6">
            <w:pPr>
              <w:tabs>
                <w:tab w:val="decimal" w:pos="266"/>
              </w:tabs>
              <w:spacing w:line="360" w:lineRule="auto"/>
              <w:jc w:val="both"/>
              <w:textAlignment w:val="baseline"/>
              <w:rPr>
                <w:rFonts w:ascii="Book Antiqua" w:eastAsia="Times New Roman" w:hAnsi="Book Antiqua"/>
              </w:rPr>
            </w:pPr>
          </w:p>
        </w:tc>
      </w:tr>
      <w:tr w:rsidR="00A820C4" w:rsidRPr="00D40ECC" w14:paraId="5C1C9165" w14:textId="77777777" w:rsidTr="00000E98">
        <w:tc>
          <w:tcPr>
            <w:tcW w:w="3828" w:type="dxa"/>
            <w:shd w:val="clear" w:color="auto" w:fill="auto"/>
            <w:hideMark/>
          </w:tcPr>
          <w:p w14:paraId="68EDB648" w14:textId="163CA8F8" w:rsidR="00A820C4" w:rsidRPr="00D40ECC" w:rsidRDefault="00A820C4" w:rsidP="005638C6">
            <w:pPr>
              <w:spacing w:line="360" w:lineRule="auto"/>
              <w:jc w:val="both"/>
              <w:textAlignment w:val="baseline"/>
              <w:rPr>
                <w:rFonts w:ascii="Book Antiqua" w:eastAsia="Times New Roman" w:hAnsi="Book Antiqua"/>
              </w:rPr>
            </w:pPr>
            <w:r w:rsidRPr="00D40ECC">
              <w:rPr>
                <w:rFonts w:ascii="Book Antiqua" w:eastAsia="Times New Roman" w:hAnsi="Book Antiqua" w:cs="Times"/>
              </w:rPr>
              <w:t>58-67</w:t>
            </w:r>
          </w:p>
        </w:tc>
        <w:tc>
          <w:tcPr>
            <w:tcW w:w="2719" w:type="dxa"/>
            <w:shd w:val="clear" w:color="auto" w:fill="auto"/>
            <w:hideMark/>
          </w:tcPr>
          <w:p w14:paraId="0276D28F"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rPr>
            </w:pPr>
            <w:r w:rsidRPr="00D40ECC">
              <w:rPr>
                <w:rFonts w:ascii="Book Antiqua" w:eastAsia="Times New Roman" w:hAnsi="Book Antiqua" w:cs="Times"/>
              </w:rPr>
              <w:t>11.0%</w:t>
            </w:r>
          </w:p>
        </w:tc>
        <w:tc>
          <w:tcPr>
            <w:tcW w:w="3881" w:type="dxa"/>
            <w:shd w:val="clear" w:color="auto" w:fill="auto"/>
            <w:hideMark/>
          </w:tcPr>
          <w:p w14:paraId="237868BB" w14:textId="4AC1D7E1" w:rsidR="00A820C4" w:rsidRPr="00D40ECC" w:rsidRDefault="00A820C4" w:rsidP="005638C6">
            <w:pPr>
              <w:tabs>
                <w:tab w:val="decimal" w:pos="909"/>
              </w:tabs>
              <w:spacing w:line="360" w:lineRule="auto"/>
              <w:jc w:val="both"/>
              <w:textAlignment w:val="baseline"/>
              <w:rPr>
                <w:rFonts w:ascii="Book Antiqua" w:eastAsia="Times New Roman" w:hAnsi="Book Antiqua"/>
              </w:rPr>
            </w:pPr>
            <w:r w:rsidRPr="00D40ECC">
              <w:rPr>
                <w:rFonts w:ascii="Book Antiqua" w:eastAsia="Times New Roman" w:hAnsi="Book Antiqua" w:cs="Times"/>
              </w:rPr>
              <w:t>11.0%</w:t>
            </w:r>
          </w:p>
        </w:tc>
        <w:tc>
          <w:tcPr>
            <w:tcW w:w="1338" w:type="dxa"/>
            <w:shd w:val="clear" w:color="auto" w:fill="auto"/>
            <w:hideMark/>
          </w:tcPr>
          <w:p w14:paraId="5D568AED" w14:textId="0983BE6A" w:rsidR="00A820C4" w:rsidRPr="00D40ECC" w:rsidRDefault="00A820C4" w:rsidP="005638C6">
            <w:pPr>
              <w:tabs>
                <w:tab w:val="decimal" w:pos="266"/>
              </w:tabs>
              <w:spacing w:line="360" w:lineRule="auto"/>
              <w:jc w:val="both"/>
              <w:textAlignment w:val="baseline"/>
              <w:rPr>
                <w:rFonts w:ascii="Book Antiqua" w:eastAsia="Times New Roman" w:hAnsi="Book Antiqua"/>
              </w:rPr>
            </w:pPr>
          </w:p>
        </w:tc>
      </w:tr>
      <w:tr w:rsidR="00A820C4" w:rsidRPr="00D40ECC" w14:paraId="5BE58B64" w14:textId="77777777" w:rsidTr="00000E98">
        <w:tc>
          <w:tcPr>
            <w:tcW w:w="3828" w:type="dxa"/>
            <w:shd w:val="clear" w:color="auto" w:fill="auto"/>
            <w:hideMark/>
          </w:tcPr>
          <w:p w14:paraId="4F02ADBA" w14:textId="302ADE61" w:rsidR="00A820C4" w:rsidRPr="00D40ECC" w:rsidRDefault="00A820C4" w:rsidP="005638C6">
            <w:pPr>
              <w:spacing w:line="360" w:lineRule="auto"/>
              <w:jc w:val="both"/>
              <w:textAlignment w:val="baseline"/>
              <w:rPr>
                <w:rFonts w:ascii="Book Antiqua" w:eastAsia="Times New Roman" w:hAnsi="Book Antiqua"/>
              </w:rPr>
            </w:pPr>
            <w:r w:rsidRPr="00D40ECC">
              <w:rPr>
                <w:rFonts w:ascii="Book Antiqua" w:eastAsia="Times New Roman" w:hAnsi="Book Antiqua" w:cs="Times"/>
              </w:rPr>
              <w:t>68-77</w:t>
            </w:r>
          </w:p>
        </w:tc>
        <w:tc>
          <w:tcPr>
            <w:tcW w:w="2719" w:type="dxa"/>
            <w:shd w:val="clear" w:color="auto" w:fill="auto"/>
            <w:hideMark/>
          </w:tcPr>
          <w:p w14:paraId="34CF90D6"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rPr>
            </w:pPr>
            <w:r w:rsidRPr="00D40ECC">
              <w:rPr>
                <w:rFonts w:ascii="Book Antiqua" w:eastAsia="Times New Roman" w:hAnsi="Book Antiqua" w:cs="Times"/>
              </w:rPr>
              <w:t>0.8%</w:t>
            </w:r>
          </w:p>
        </w:tc>
        <w:tc>
          <w:tcPr>
            <w:tcW w:w="3881" w:type="dxa"/>
            <w:shd w:val="clear" w:color="auto" w:fill="auto"/>
            <w:hideMark/>
          </w:tcPr>
          <w:p w14:paraId="19F43A89" w14:textId="72FF6490" w:rsidR="00A820C4" w:rsidRPr="00D40ECC" w:rsidRDefault="00A820C4" w:rsidP="005638C6">
            <w:pPr>
              <w:tabs>
                <w:tab w:val="decimal" w:pos="909"/>
              </w:tabs>
              <w:spacing w:line="360" w:lineRule="auto"/>
              <w:jc w:val="both"/>
              <w:textAlignment w:val="baseline"/>
              <w:rPr>
                <w:rFonts w:ascii="Book Antiqua" w:eastAsia="Times New Roman" w:hAnsi="Book Antiqua"/>
              </w:rPr>
            </w:pPr>
            <w:r w:rsidRPr="00D40ECC">
              <w:rPr>
                <w:rFonts w:ascii="Book Antiqua" w:eastAsia="Times New Roman" w:hAnsi="Book Antiqua" w:cs="Times"/>
              </w:rPr>
              <w:t>0.8%</w:t>
            </w:r>
          </w:p>
        </w:tc>
        <w:tc>
          <w:tcPr>
            <w:tcW w:w="1338" w:type="dxa"/>
            <w:shd w:val="clear" w:color="auto" w:fill="auto"/>
            <w:hideMark/>
          </w:tcPr>
          <w:p w14:paraId="4976569C" w14:textId="1E2C9CA9" w:rsidR="00A820C4" w:rsidRPr="00D40ECC" w:rsidRDefault="00A820C4" w:rsidP="005638C6">
            <w:pPr>
              <w:tabs>
                <w:tab w:val="decimal" w:pos="266"/>
              </w:tabs>
              <w:spacing w:line="360" w:lineRule="auto"/>
              <w:jc w:val="both"/>
              <w:textAlignment w:val="baseline"/>
              <w:rPr>
                <w:rFonts w:ascii="Book Antiqua" w:eastAsia="Times New Roman" w:hAnsi="Book Antiqua"/>
              </w:rPr>
            </w:pPr>
          </w:p>
        </w:tc>
      </w:tr>
      <w:tr w:rsidR="00A820C4" w:rsidRPr="00D40ECC" w14:paraId="660096B4" w14:textId="77777777" w:rsidTr="00000E98">
        <w:tc>
          <w:tcPr>
            <w:tcW w:w="3828" w:type="dxa"/>
            <w:shd w:val="clear" w:color="auto" w:fill="auto"/>
            <w:hideMark/>
          </w:tcPr>
          <w:p w14:paraId="10216AAD" w14:textId="6A7C40FA" w:rsidR="00A820C4" w:rsidRPr="00D40ECC" w:rsidRDefault="00A820C4" w:rsidP="005638C6">
            <w:pPr>
              <w:spacing w:line="360" w:lineRule="auto"/>
              <w:jc w:val="both"/>
              <w:textAlignment w:val="baseline"/>
              <w:rPr>
                <w:rFonts w:ascii="Book Antiqua" w:eastAsia="Times New Roman" w:hAnsi="Book Antiqua"/>
              </w:rPr>
            </w:pPr>
            <w:r w:rsidRPr="00D40ECC">
              <w:rPr>
                <w:rFonts w:ascii="Book Antiqua" w:eastAsia="Times New Roman" w:hAnsi="Book Antiqua" w:cs="Times"/>
              </w:rPr>
              <w:t>Race/</w:t>
            </w:r>
            <w:r w:rsidR="00D373D5" w:rsidRPr="00D40ECC">
              <w:rPr>
                <w:rFonts w:ascii="Book Antiqua" w:eastAsia="Times New Roman" w:hAnsi="Book Antiqua" w:cs="Times"/>
              </w:rPr>
              <w:t>e</w:t>
            </w:r>
            <w:r w:rsidRPr="00D40ECC">
              <w:rPr>
                <w:rFonts w:ascii="Book Antiqua" w:eastAsia="Times New Roman" w:hAnsi="Book Antiqua" w:cs="Times"/>
              </w:rPr>
              <w:t>thnicity</w:t>
            </w:r>
          </w:p>
        </w:tc>
        <w:tc>
          <w:tcPr>
            <w:tcW w:w="2719" w:type="dxa"/>
            <w:shd w:val="clear" w:color="auto" w:fill="auto"/>
            <w:hideMark/>
          </w:tcPr>
          <w:p w14:paraId="6D061F2D" w14:textId="77777777" w:rsidR="00A820C4" w:rsidRPr="00D40ECC" w:rsidRDefault="00A820C4" w:rsidP="005638C6">
            <w:pPr>
              <w:tabs>
                <w:tab w:val="decimal" w:pos="631"/>
                <w:tab w:val="decimal" w:pos="991"/>
              </w:tabs>
              <w:spacing w:line="360" w:lineRule="auto"/>
              <w:jc w:val="both"/>
              <w:textAlignment w:val="baseline"/>
              <w:rPr>
                <w:rFonts w:ascii="Book Antiqua" w:eastAsia="Times New Roman" w:hAnsi="Book Antiqua"/>
              </w:rPr>
            </w:pPr>
          </w:p>
        </w:tc>
        <w:tc>
          <w:tcPr>
            <w:tcW w:w="3881" w:type="dxa"/>
            <w:shd w:val="clear" w:color="auto" w:fill="auto"/>
            <w:hideMark/>
          </w:tcPr>
          <w:p w14:paraId="1EE6E142" w14:textId="02C36EC8" w:rsidR="00A820C4" w:rsidRPr="00D40ECC" w:rsidRDefault="00A820C4" w:rsidP="005638C6">
            <w:pPr>
              <w:tabs>
                <w:tab w:val="decimal" w:pos="909"/>
                <w:tab w:val="decimal" w:pos="995"/>
              </w:tabs>
              <w:spacing w:line="360" w:lineRule="auto"/>
              <w:jc w:val="both"/>
              <w:textAlignment w:val="baseline"/>
              <w:rPr>
                <w:rFonts w:ascii="Book Antiqua" w:eastAsia="Times New Roman" w:hAnsi="Book Antiqua"/>
              </w:rPr>
            </w:pPr>
          </w:p>
        </w:tc>
        <w:tc>
          <w:tcPr>
            <w:tcW w:w="1338" w:type="dxa"/>
            <w:shd w:val="clear" w:color="auto" w:fill="auto"/>
            <w:hideMark/>
          </w:tcPr>
          <w:p w14:paraId="1A5C67A3" w14:textId="3082C30E" w:rsidR="00A820C4" w:rsidRPr="00D40ECC" w:rsidRDefault="00A820C4" w:rsidP="00000E98">
            <w:pPr>
              <w:tabs>
                <w:tab w:val="decimal" w:pos="266"/>
              </w:tabs>
              <w:spacing w:line="360" w:lineRule="auto"/>
              <w:jc w:val="both"/>
              <w:textAlignment w:val="baseline"/>
              <w:rPr>
                <w:rFonts w:ascii="Book Antiqua" w:eastAsia="Times New Roman" w:hAnsi="Book Antiqua"/>
              </w:rPr>
            </w:pPr>
            <w:r w:rsidRPr="00D40ECC">
              <w:rPr>
                <w:rFonts w:ascii="Book Antiqua" w:eastAsia="Times New Roman" w:hAnsi="Book Antiqua" w:cs="Times"/>
              </w:rPr>
              <w:t>NS</w:t>
            </w:r>
            <w:r w:rsidRPr="00D40ECC">
              <w:rPr>
                <w:rFonts w:ascii="Book Antiqua" w:hAnsi="Book Antiqua"/>
                <w:vertAlign w:val="superscript"/>
              </w:rPr>
              <w:t>4</w:t>
            </w:r>
          </w:p>
        </w:tc>
      </w:tr>
      <w:tr w:rsidR="00A820C4" w:rsidRPr="00D40ECC" w14:paraId="2879AF1E" w14:textId="77777777" w:rsidTr="00000E98">
        <w:tc>
          <w:tcPr>
            <w:tcW w:w="3828" w:type="dxa"/>
            <w:shd w:val="clear" w:color="auto" w:fill="auto"/>
            <w:hideMark/>
          </w:tcPr>
          <w:p w14:paraId="3FA263F6" w14:textId="1A85E101" w:rsidR="00A820C4" w:rsidRPr="00D40ECC" w:rsidRDefault="00A820C4" w:rsidP="005638C6">
            <w:pPr>
              <w:spacing w:line="360" w:lineRule="auto"/>
              <w:jc w:val="both"/>
              <w:textAlignment w:val="baseline"/>
              <w:rPr>
                <w:rFonts w:ascii="Book Antiqua" w:eastAsia="Times New Roman" w:hAnsi="Book Antiqua"/>
              </w:rPr>
            </w:pPr>
            <w:r w:rsidRPr="00D40ECC">
              <w:rPr>
                <w:rFonts w:ascii="Book Antiqua" w:eastAsia="Times New Roman" w:hAnsi="Book Antiqua" w:cs="Times"/>
              </w:rPr>
              <w:t>White</w:t>
            </w:r>
          </w:p>
        </w:tc>
        <w:tc>
          <w:tcPr>
            <w:tcW w:w="2719" w:type="dxa"/>
            <w:shd w:val="clear" w:color="auto" w:fill="auto"/>
            <w:hideMark/>
          </w:tcPr>
          <w:p w14:paraId="53E1B5C6"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rPr>
            </w:pPr>
            <w:r w:rsidRPr="00D40ECC">
              <w:rPr>
                <w:rFonts w:ascii="Book Antiqua" w:eastAsia="Times New Roman" w:hAnsi="Book Antiqua" w:cs="Times"/>
              </w:rPr>
              <w:t>60.6%</w:t>
            </w:r>
          </w:p>
        </w:tc>
        <w:tc>
          <w:tcPr>
            <w:tcW w:w="3881" w:type="dxa"/>
            <w:shd w:val="clear" w:color="auto" w:fill="auto"/>
            <w:hideMark/>
          </w:tcPr>
          <w:p w14:paraId="15074BDE" w14:textId="650318B6" w:rsidR="00A820C4" w:rsidRPr="00D40ECC" w:rsidRDefault="00A820C4" w:rsidP="005638C6">
            <w:pPr>
              <w:tabs>
                <w:tab w:val="decimal" w:pos="909"/>
              </w:tabs>
              <w:spacing w:line="360" w:lineRule="auto"/>
              <w:jc w:val="both"/>
              <w:textAlignment w:val="baseline"/>
              <w:rPr>
                <w:rFonts w:ascii="Book Antiqua" w:eastAsia="Times New Roman" w:hAnsi="Book Antiqua"/>
              </w:rPr>
            </w:pPr>
            <w:r w:rsidRPr="00D40ECC">
              <w:rPr>
                <w:rFonts w:ascii="Book Antiqua" w:eastAsia="Times New Roman" w:hAnsi="Book Antiqua" w:cs="Times"/>
              </w:rPr>
              <w:t>60.7%</w:t>
            </w:r>
          </w:p>
        </w:tc>
        <w:tc>
          <w:tcPr>
            <w:tcW w:w="1338" w:type="dxa"/>
            <w:shd w:val="clear" w:color="auto" w:fill="auto"/>
            <w:hideMark/>
          </w:tcPr>
          <w:p w14:paraId="53F63C71" w14:textId="2381CAC0" w:rsidR="00A820C4" w:rsidRPr="00D40ECC" w:rsidRDefault="00A820C4" w:rsidP="005638C6">
            <w:pPr>
              <w:tabs>
                <w:tab w:val="decimal" w:pos="266"/>
              </w:tabs>
              <w:spacing w:line="360" w:lineRule="auto"/>
              <w:jc w:val="both"/>
              <w:textAlignment w:val="baseline"/>
              <w:rPr>
                <w:rFonts w:ascii="Book Antiqua" w:eastAsia="Times New Roman" w:hAnsi="Book Antiqua"/>
              </w:rPr>
            </w:pPr>
          </w:p>
        </w:tc>
      </w:tr>
      <w:tr w:rsidR="00A820C4" w:rsidRPr="00D40ECC" w14:paraId="3209B557" w14:textId="77777777" w:rsidTr="00000E98">
        <w:tc>
          <w:tcPr>
            <w:tcW w:w="3828" w:type="dxa"/>
            <w:shd w:val="clear" w:color="auto" w:fill="auto"/>
            <w:hideMark/>
          </w:tcPr>
          <w:p w14:paraId="5F3FD33C" w14:textId="1D15B410" w:rsidR="00A820C4" w:rsidRPr="00D40ECC" w:rsidRDefault="00A820C4" w:rsidP="005638C6">
            <w:pPr>
              <w:spacing w:line="360" w:lineRule="auto"/>
              <w:jc w:val="both"/>
              <w:textAlignment w:val="baseline"/>
              <w:rPr>
                <w:rFonts w:ascii="Book Antiqua" w:eastAsia="Times New Roman" w:hAnsi="Book Antiqua"/>
              </w:rPr>
            </w:pPr>
            <w:r w:rsidRPr="00D40ECC">
              <w:rPr>
                <w:rFonts w:ascii="Book Antiqua" w:eastAsia="Times New Roman" w:hAnsi="Book Antiqua" w:cs="Times"/>
              </w:rPr>
              <w:t>Black</w:t>
            </w:r>
          </w:p>
        </w:tc>
        <w:tc>
          <w:tcPr>
            <w:tcW w:w="2719" w:type="dxa"/>
            <w:shd w:val="clear" w:color="auto" w:fill="auto"/>
            <w:hideMark/>
          </w:tcPr>
          <w:p w14:paraId="2E978D9F"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rPr>
            </w:pPr>
            <w:r w:rsidRPr="00D40ECC">
              <w:rPr>
                <w:rFonts w:ascii="Book Antiqua" w:eastAsia="Times New Roman" w:hAnsi="Book Antiqua" w:cs="Times"/>
              </w:rPr>
              <w:t>21.6%</w:t>
            </w:r>
          </w:p>
        </w:tc>
        <w:tc>
          <w:tcPr>
            <w:tcW w:w="3881" w:type="dxa"/>
            <w:shd w:val="clear" w:color="auto" w:fill="auto"/>
            <w:hideMark/>
          </w:tcPr>
          <w:p w14:paraId="0720EB06" w14:textId="42D7FC85" w:rsidR="00A820C4" w:rsidRPr="00D40ECC" w:rsidRDefault="00A820C4" w:rsidP="005638C6">
            <w:pPr>
              <w:tabs>
                <w:tab w:val="decimal" w:pos="909"/>
              </w:tabs>
              <w:spacing w:line="360" w:lineRule="auto"/>
              <w:jc w:val="both"/>
              <w:textAlignment w:val="baseline"/>
              <w:rPr>
                <w:rFonts w:ascii="Book Antiqua" w:eastAsia="Times New Roman" w:hAnsi="Book Antiqua"/>
              </w:rPr>
            </w:pPr>
            <w:r w:rsidRPr="00D40ECC">
              <w:rPr>
                <w:rFonts w:ascii="Book Antiqua" w:eastAsia="Times New Roman" w:hAnsi="Book Antiqua" w:cs="Times"/>
              </w:rPr>
              <w:t>21.6%</w:t>
            </w:r>
          </w:p>
        </w:tc>
        <w:tc>
          <w:tcPr>
            <w:tcW w:w="1338" w:type="dxa"/>
            <w:shd w:val="clear" w:color="auto" w:fill="auto"/>
            <w:hideMark/>
          </w:tcPr>
          <w:p w14:paraId="14E50BFD" w14:textId="454BF959" w:rsidR="00A820C4" w:rsidRPr="00D40ECC" w:rsidRDefault="00A820C4" w:rsidP="005638C6">
            <w:pPr>
              <w:tabs>
                <w:tab w:val="decimal" w:pos="266"/>
              </w:tabs>
              <w:spacing w:line="360" w:lineRule="auto"/>
              <w:jc w:val="both"/>
              <w:textAlignment w:val="baseline"/>
              <w:rPr>
                <w:rFonts w:ascii="Book Antiqua" w:eastAsia="Times New Roman" w:hAnsi="Book Antiqua"/>
              </w:rPr>
            </w:pPr>
          </w:p>
        </w:tc>
      </w:tr>
      <w:tr w:rsidR="00A820C4" w:rsidRPr="00D40ECC" w14:paraId="5A697880" w14:textId="77777777" w:rsidTr="00000E98">
        <w:tc>
          <w:tcPr>
            <w:tcW w:w="3828" w:type="dxa"/>
            <w:shd w:val="clear" w:color="auto" w:fill="auto"/>
            <w:hideMark/>
          </w:tcPr>
          <w:p w14:paraId="397E8892" w14:textId="64A99557" w:rsidR="00A820C4" w:rsidRPr="00D40ECC" w:rsidRDefault="00A820C4" w:rsidP="005638C6">
            <w:pPr>
              <w:spacing w:line="360" w:lineRule="auto"/>
              <w:jc w:val="both"/>
              <w:textAlignment w:val="baseline"/>
              <w:rPr>
                <w:rFonts w:ascii="Book Antiqua" w:eastAsia="Times New Roman" w:hAnsi="Book Antiqua"/>
              </w:rPr>
            </w:pPr>
            <w:r w:rsidRPr="00D40ECC">
              <w:rPr>
                <w:rFonts w:ascii="Book Antiqua" w:eastAsia="Times New Roman" w:hAnsi="Book Antiqua" w:cs="Times"/>
              </w:rPr>
              <w:t>Hispanic</w:t>
            </w:r>
          </w:p>
        </w:tc>
        <w:tc>
          <w:tcPr>
            <w:tcW w:w="2719" w:type="dxa"/>
            <w:shd w:val="clear" w:color="auto" w:fill="auto"/>
            <w:hideMark/>
          </w:tcPr>
          <w:p w14:paraId="464A2B32"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rPr>
            </w:pPr>
            <w:r w:rsidRPr="00D40ECC">
              <w:rPr>
                <w:rFonts w:ascii="Book Antiqua" w:eastAsia="Times New Roman" w:hAnsi="Book Antiqua" w:cs="Times"/>
              </w:rPr>
              <w:t>13.9%</w:t>
            </w:r>
          </w:p>
        </w:tc>
        <w:tc>
          <w:tcPr>
            <w:tcW w:w="3881" w:type="dxa"/>
            <w:shd w:val="clear" w:color="auto" w:fill="auto"/>
            <w:hideMark/>
          </w:tcPr>
          <w:p w14:paraId="2667F50F" w14:textId="6CBE8BB9" w:rsidR="00A820C4" w:rsidRPr="00D40ECC" w:rsidRDefault="00A820C4" w:rsidP="005638C6">
            <w:pPr>
              <w:tabs>
                <w:tab w:val="decimal" w:pos="909"/>
              </w:tabs>
              <w:spacing w:line="360" w:lineRule="auto"/>
              <w:jc w:val="both"/>
              <w:textAlignment w:val="baseline"/>
              <w:rPr>
                <w:rFonts w:ascii="Book Antiqua" w:eastAsia="Times New Roman" w:hAnsi="Book Antiqua"/>
              </w:rPr>
            </w:pPr>
            <w:r w:rsidRPr="00D40ECC">
              <w:rPr>
                <w:rFonts w:ascii="Book Antiqua" w:eastAsia="Times New Roman" w:hAnsi="Book Antiqua" w:cs="Times"/>
              </w:rPr>
              <w:t>13.9%</w:t>
            </w:r>
          </w:p>
        </w:tc>
        <w:tc>
          <w:tcPr>
            <w:tcW w:w="1338" w:type="dxa"/>
            <w:shd w:val="clear" w:color="auto" w:fill="auto"/>
            <w:hideMark/>
          </w:tcPr>
          <w:p w14:paraId="7D30F665" w14:textId="0EA99DC2" w:rsidR="00A820C4" w:rsidRPr="00D40ECC" w:rsidRDefault="00A820C4" w:rsidP="005638C6">
            <w:pPr>
              <w:tabs>
                <w:tab w:val="decimal" w:pos="266"/>
              </w:tabs>
              <w:spacing w:line="360" w:lineRule="auto"/>
              <w:jc w:val="both"/>
              <w:textAlignment w:val="baseline"/>
              <w:rPr>
                <w:rFonts w:ascii="Book Antiqua" w:eastAsia="Times New Roman" w:hAnsi="Book Antiqua"/>
              </w:rPr>
            </w:pPr>
          </w:p>
        </w:tc>
      </w:tr>
      <w:tr w:rsidR="00A820C4" w:rsidRPr="00D40ECC" w14:paraId="263A06DC" w14:textId="77777777" w:rsidTr="00000E98">
        <w:tc>
          <w:tcPr>
            <w:tcW w:w="3828" w:type="dxa"/>
            <w:shd w:val="clear" w:color="auto" w:fill="auto"/>
            <w:hideMark/>
          </w:tcPr>
          <w:p w14:paraId="1B40B16D" w14:textId="44135A33" w:rsidR="00A820C4" w:rsidRPr="00D40ECC" w:rsidRDefault="00A820C4" w:rsidP="005638C6">
            <w:pPr>
              <w:spacing w:line="360" w:lineRule="auto"/>
              <w:jc w:val="both"/>
              <w:textAlignment w:val="baseline"/>
              <w:rPr>
                <w:rFonts w:ascii="Book Antiqua" w:eastAsia="Times New Roman" w:hAnsi="Book Antiqua"/>
              </w:rPr>
            </w:pPr>
            <w:r w:rsidRPr="00D40ECC">
              <w:rPr>
                <w:rFonts w:ascii="Book Antiqua" w:eastAsia="Times New Roman" w:hAnsi="Book Antiqua" w:cs="Times"/>
              </w:rPr>
              <w:t xml:space="preserve">Asian or </w:t>
            </w:r>
            <w:r w:rsidR="00D373D5" w:rsidRPr="00D40ECC">
              <w:rPr>
                <w:rFonts w:ascii="Book Antiqua" w:eastAsia="Times New Roman" w:hAnsi="Book Antiqua" w:cs="Times"/>
              </w:rPr>
              <w:t>p</w:t>
            </w:r>
            <w:r w:rsidRPr="00D40ECC">
              <w:rPr>
                <w:rFonts w:ascii="Book Antiqua" w:eastAsia="Times New Roman" w:hAnsi="Book Antiqua" w:cs="Times"/>
              </w:rPr>
              <w:t xml:space="preserve">acific </w:t>
            </w:r>
            <w:r w:rsidR="00D373D5" w:rsidRPr="00D40ECC">
              <w:rPr>
                <w:rFonts w:ascii="Book Antiqua" w:eastAsia="Times New Roman" w:hAnsi="Book Antiqua" w:cs="Times"/>
              </w:rPr>
              <w:t>i</w:t>
            </w:r>
            <w:r w:rsidRPr="00D40ECC">
              <w:rPr>
                <w:rFonts w:ascii="Book Antiqua" w:eastAsia="Times New Roman" w:hAnsi="Book Antiqua" w:cs="Times"/>
              </w:rPr>
              <w:t>slander</w:t>
            </w:r>
          </w:p>
        </w:tc>
        <w:tc>
          <w:tcPr>
            <w:tcW w:w="2719" w:type="dxa"/>
            <w:shd w:val="clear" w:color="auto" w:fill="auto"/>
            <w:hideMark/>
          </w:tcPr>
          <w:p w14:paraId="1BE35DCB"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rPr>
            </w:pPr>
            <w:r w:rsidRPr="00D40ECC">
              <w:rPr>
                <w:rFonts w:ascii="Book Antiqua" w:eastAsia="Times New Roman" w:hAnsi="Book Antiqua" w:cs="Times"/>
              </w:rPr>
              <w:t>0.4%</w:t>
            </w:r>
          </w:p>
        </w:tc>
        <w:tc>
          <w:tcPr>
            <w:tcW w:w="3881" w:type="dxa"/>
            <w:shd w:val="clear" w:color="auto" w:fill="auto"/>
            <w:hideMark/>
          </w:tcPr>
          <w:p w14:paraId="7C91FB40" w14:textId="65B1B01F" w:rsidR="00A820C4" w:rsidRPr="00D40ECC" w:rsidRDefault="00A820C4" w:rsidP="005638C6">
            <w:pPr>
              <w:tabs>
                <w:tab w:val="decimal" w:pos="909"/>
              </w:tabs>
              <w:spacing w:line="360" w:lineRule="auto"/>
              <w:jc w:val="both"/>
              <w:textAlignment w:val="baseline"/>
              <w:rPr>
                <w:rFonts w:ascii="Book Antiqua" w:eastAsia="Times New Roman" w:hAnsi="Book Antiqua"/>
              </w:rPr>
            </w:pPr>
            <w:r w:rsidRPr="00D40ECC">
              <w:rPr>
                <w:rFonts w:ascii="Book Antiqua" w:eastAsia="Times New Roman" w:hAnsi="Book Antiqua" w:cs="Times"/>
              </w:rPr>
              <w:t>0.4%</w:t>
            </w:r>
          </w:p>
        </w:tc>
        <w:tc>
          <w:tcPr>
            <w:tcW w:w="1338" w:type="dxa"/>
            <w:shd w:val="clear" w:color="auto" w:fill="auto"/>
            <w:hideMark/>
          </w:tcPr>
          <w:p w14:paraId="0760C389" w14:textId="1C15C776" w:rsidR="00A820C4" w:rsidRPr="00D40ECC" w:rsidRDefault="00A820C4" w:rsidP="005638C6">
            <w:pPr>
              <w:tabs>
                <w:tab w:val="decimal" w:pos="266"/>
              </w:tabs>
              <w:spacing w:line="360" w:lineRule="auto"/>
              <w:jc w:val="both"/>
              <w:textAlignment w:val="baseline"/>
              <w:rPr>
                <w:rFonts w:ascii="Book Antiqua" w:eastAsia="Times New Roman" w:hAnsi="Book Antiqua"/>
              </w:rPr>
            </w:pPr>
          </w:p>
        </w:tc>
      </w:tr>
      <w:tr w:rsidR="00A820C4" w:rsidRPr="00D40ECC" w14:paraId="4F9F63A0" w14:textId="77777777" w:rsidTr="00000E98">
        <w:tc>
          <w:tcPr>
            <w:tcW w:w="3828" w:type="dxa"/>
            <w:shd w:val="clear" w:color="auto" w:fill="auto"/>
            <w:hideMark/>
          </w:tcPr>
          <w:p w14:paraId="1B25E038" w14:textId="32E854E1" w:rsidR="00A820C4" w:rsidRPr="00D40ECC" w:rsidRDefault="00A820C4" w:rsidP="005638C6">
            <w:pPr>
              <w:spacing w:line="360" w:lineRule="auto"/>
              <w:jc w:val="both"/>
              <w:textAlignment w:val="baseline"/>
              <w:rPr>
                <w:rFonts w:ascii="Book Antiqua" w:eastAsia="Times New Roman" w:hAnsi="Book Antiqua"/>
              </w:rPr>
            </w:pPr>
            <w:r w:rsidRPr="00D40ECC">
              <w:rPr>
                <w:rFonts w:ascii="Book Antiqua" w:eastAsia="Times New Roman" w:hAnsi="Book Antiqua" w:cs="Times"/>
              </w:rPr>
              <w:t>Native American</w:t>
            </w:r>
          </w:p>
        </w:tc>
        <w:tc>
          <w:tcPr>
            <w:tcW w:w="2719" w:type="dxa"/>
            <w:shd w:val="clear" w:color="auto" w:fill="auto"/>
            <w:hideMark/>
          </w:tcPr>
          <w:p w14:paraId="171783F6"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rPr>
            </w:pPr>
            <w:r w:rsidRPr="00D40ECC">
              <w:rPr>
                <w:rFonts w:ascii="Book Antiqua" w:eastAsia="Times New Roman" w:hAnsi="Book Antiqua" w:cs="Times"/>
              </w:rPr>
              <w:t>0.9%</w:t>
            </w:r>
          </w:p>
        </w:tc>
        <w:tc>
          <w:tcPr>
            <w:tcW w:w="3881" w:type="dxa"/>
            <w:shd w:val="clear" w:color="auto" w:fill="auto"/>
            <w:hideMark/>
          </w:tcPr>
          <w:p w14:paraId="7C2E3002" w14:textId="5B765542" w:rsidR="00A820C4" w:rsidRPr="00D40ECC" w:rsidRDefault="00A820C4" w:rsidP="005638C6">
            <w:pPr>
              <w:tabs>
                <w:tab w:val="decimal" w:pos="909"/>
              </w:tabs>
              <w:spacing w:line="360" w:lineRule="auto"/>
              <w:jc w:val="both"/>
              <w:textAlignment w:val="baseline"/>
              <w:rPr>
                <w:rFonts w:ascii="Book Antiqua" w:eastAsia="Times New Roman" w:hAnsi="Book Antiqua"/>
              </w:rPr>
            </w:pPr>
            <w:r w:rsidRPr="00D40ECC">
              <w:rPr>
                <w:rFonts w:ascii="Book Antiqua" w:eastAsia="Times New Roman" w:hAnsi="Book Antiqua" w:cs="Times"/>
              </w:rPr>
              <w:t>0.9%</w:t>
            </w:r>
          </w:p>
        </w:tc>
        <w:tc>
          <w:tcPr>
            <w:tcW w:w="1338" w:type="dxa"/>
            <w:shd w:val="clear" w:color="auto" w:fill="auto"/>
            <w:hideMark/>
          </w:tcPr>
          <w:p w14:paraId="12F4AD0C" w14:textId="0A91C540" w:rsidR="00A820C4" w:rsidRPr="00D40ECC" w:rsidRDefault="00A820C4" w:rsidP="005638C6">
            <w:pPr>
              <w:tabs>
                <w:tab w:val="decimal" w:pos="266"/>
              </w:tabs>
              <w:spacing w:line="360" w:lineRule="auto"/>
              <w:jc w:val="both"/>
              <w:textAlignment w:val="baseline"/>
              <w:rPr>
                <w:rFonts w:ascii="Book Antiqua" w:eastAsia="Times New Roman" w:hAnsi="Book Antiqua"/>
              </w:rPr>
            </w:pPr>
          </w:p>
        </w:tc>
      </w:tr>
      <w:tr w:rsidR="00A820C4" w:rsidRPr="00D40ECC" w14:paraId="0A17FDBA" w14:textId="77777777" w:rsidTr="00000E98">
        <w:tc>
          <w:tcPr>
            <w:tcW w:w="3828" w:type="dxa"/>
            <w:shd w:val="clear" w:color="auto" w:fill="auto"/>
            <w:hideMark/>
          </w:tcPr>
          <w:p w14:paraId="30BDC8CB" w14:textId="6DC4C2B3" w:rsidR="00A820C4" w:rsidRPr="00D40ECC" w:rsidRDefault="00A820C4" w:rsidP="005638C6">
            <w:pPr>
              <w:spacing w:line="360" w:lineRule="auto"/>
              <w:jc w:val="both"/>
              <w:textAlignment w:val="baseline"/>
              <w:rPr>
                <w:rFonts w:ascii="Book Antiqua" w:eastAsia="Times New Roman" w:hAnsi="Book Antiqua"/>
              </w:rPr>
            </w:pPr>
            <w:r w:rsidRPr="00D40ECC">
              <w:rPr>
                <w:rFonts w:ascii="Book Antiqua" w:eastAsia="Times New Roman" w:hAnsi="Book Antiqua" w:cs="Times"/>
              </w:rPr>
              <w:lastRenderedPageBreak/>
              <w:t>Others</w:t>
            </w:r>
          </w:p>
        </w:tc>
        <w:tc>
          <w:tcPr>
            <w:tcW w:w="2719" w:type="dxa"/>
            <w:shd w:val="clear" w:color="auto" w:fill="auto"/>
            <w:hideMark/>
          </w:tcPr>
          <w:p w14:paraId="7BCCDB26"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rPr>
            </w:pPr>
            <w:r w:rsidRPr="00D40ECC">
              <w:rPr>
                <w:rFonts w:ascii="Book Antiqua" w:eastAsia="Times New Roman" w:hAnsi="Book Antiqua" w:cs="Times"/>
              </w:rPr>
              <w:t>2.6%</w:t>
            </w:r>
          </w:p>
        </w:tc>
        <w:tc>
          <w:tcPr>
            <w:tcW w:w="3881" w:type="dxa"/>
            <w:shd w:val="clear" w:color="auto" w:fill="auto"/>
            <w:hideMark/>
          </w:tcPr>
          <w:p w14:paraId="7D0044FA" w14:textId="123D79CC" w:rsidR="00A820C4" w:rsidRPr="00D40ECC" w:rsidRDefault="00A820C4" w:rsidP="005638C6">
            <w:pPr>
              <w:tabs>
                <w:tab w:val="decimal" w:pos="909"/>
              </w:tabs>
              <w:spacing w:line="360" w:lineRule="auto"/>
              <w:jc w:val="both"/>
              <w:textAlignment w:val="baseline"/>
              <w:rPr>
                <w:rFonts w:ascii="Book Antiqua" w:eastAsia="Times New Roman" w:hAnsi="Book Antiqua"/>
              </w:rPr>
            </w:pPr>
            <w:r w:rsidRPr="00D40ECC">
              <w:rPr>
                <w:rFonts w:ascii="Book Antiqua" w:eastAsia="Times New Roman" w:hAnsi="Book Antiqua" w:cs="Times"/>
              </w:rPr>
              <w:t>2.4%</w:t>
            </w:r>
          </w:p>
        </w:tc>
        <w:tc>
          <w:tcPr>
            <w:tcW w:w="1338" w:type="dxa"/>
            <w:shd w:val="clear" w:color="auto" w:fill="auto"/>
            <w:hideMark/>
          </w:tcPr>
          <w:p w14:paraId="0E63148C" w14:textId="1548D163" w:rsidR="00A820C4" w:rsidRPr="00D40ECC" w:rsidRDefault="00A820C4" w:rsidP="005638C6">
            <w:pPr>
              <w:tabs>
                <w:tab w:val="decimal" w:pos="266"/>
              </w:tabs>
              <w:spacing w:line="360" w:lineRule="auto"/>
              <w:jc w:val="both"/>
              <w:textAlignment w:val="baseline"/>
              <w:rPr>
                <w:rFonts w:ascii="Book Antiqua" w:eastAsia="Times New Roman" w:hAnsi="Book Antiqua"/>
              </w:rPr>
            </w:pPr>
          </w:p>
        </w:tc>
      </w:tr>
      <w:tr w:rsidR="00A820C4" w:rsidRPr="00D40ECC" w14:paraId="20128A12" w14:textId="77777777" w:rsidTr="00000E98">
        <w:tc>
          <w:tcPr>
            <w:tcW w:w="3828" w:type="dxa"/>
            <w:shd w:val="clear" w:color="auto" w:fill="auto"/>
            <w:hideMark/>
          </w:tcPr>
          <w:p w14:paraId="556D8B41" w14:textId="2F73B8C8" w:rsidR="00A820C4" w:rsidRPr="00D40ECC" w:rsidRDefault="00CF0F34" w:rsidP="005638C6">
            <w:pPr>
              <w:spacing w:line="360" w:lineRule="auto"/>
              <w:jc w:val="both"/>
              <w:textAlignment w:val="baseline"/>
              <w:rPr>
                <w:rFonts w:ascii="Book Antiqua" w:eastAsia="Times New Roman" w:hAnsi="Book Antiqua"/>
              </w:rPr>
            </w:pPr>
            <w:r w:rsidRPr="00D40ECC">
              <w:rPr>
                <w:rFonts w:ascii="Book Antiqua" w:eastAsia="Times New Roman" w:hAnsi="Book Antiqua" w:cs="Times"/>
              </w:rPr>
              <w:t>ECI</w:t>
            </w:r>
            <w:r w:rsidR="00A820C4" w:rsidRPr="00D40ECC">
              <w:rPr>
                <w:rFonts w:ascii="Book Antiqua" w:eastAsia="Times New Roman" w:hAnsi="Book Antiqua" w:cs="Times"/>
              </w:rPr>
              <w:t>, mean (SD)</w:t>
            </w:r>
          </w:p>
        </w:tc>
        <w:tc>
          <w:tcPr>
            <w:tcW w:w="2719" w:type="dxa"/>
            <w:shd w:val="clear" w:color="auto" w:fill="auto"/>
            <w:hideMark/>
          </w:tcPr>
          <w:p w14:paraId="66842FC7" w14:textId="72C483FD" w:rsidR="00A820C4" w:rsidRPr="00D40ECC" w:rsidRDefault="00A820C4" w:rsidP="005638C6">
            <w:pPr>
              <w:tabs>
                <w:tab w:val="decimal" w:pos="991"/>
              </w:tabs>
              <w:spacing w:line="360" w:lineRule="auto"/>
              <w:jc w:val="both"/>
              <w:textAlignment w:val="baseline"/>
              <w:rPr>
                <w:rFonts w:ascii="Book Antiqua" w:eastAsia="Times New Roman" w:hAnsi="Book Antiqua"/>
              </w:rPr>
            </w:pPr>
            <w:r w:rsidRPr="00D40ECC">
              <w:rPr>
                <w:rFonts w:ascii="Book Antiqua" w:eastAsia="Times New Roman" w:hAnsi="Book Antiqua" w:cs="Times"/>
              </w:rPr>
              <w:t>2.1 (9.4)</w:t>
            </w:r>
          </w:p>
        </w:tc>
        <w:tc>
          <w:tcPr>
            <w:tcW w:w="3881" w:type="dxa"/>
            <w:shd w:val="clear" w:color="auto" w:fill="auto"/>
            <w:hideMark/>
          </w:tcPr>
          <w:p w14:paraId="7829C619" w14:textId="791769A9" w:rsidR="00A820C4" w:rsidRPr="00D40ECC" w:rsidRDefault="00A820C4" w:rsidP="005638C6">
            <w:pPr>
              <w:tabs>
                <w:tab w:val="decimal" w:pos="909"/>
              </w:tabs>
              <w:spacing w:line="360" w:lineRule="auto"/>
              <w:jc w:val="both"/>
              <w:textAlignment w:val="baseline"/>
              <w:rPr>
                <w:rFonts w:ascii="Book Antiqua" w:eastAsia="Times New Roman" w:hAnsi="Book Antiqua"/>
              </w:rPr>
            </w:pPr>
            <w:r w:rsidRPr="00D40ECC">
              <w:rPr>
                <w:rFonts w:ascii="Book Antiqua" w:eastAsia="Times New Roman" w:hAnsi="Book Antiqua" w:cs="Times"/>
              </w:rPr>
              <w:t>3.6 (8.1)</w:t>
            </w:r>
          </w:p>
        </w:tc>
        <w:tc>
          <w:tcPr>
            <w:tcW w:w="1338" w:type="dxa"/>
            <w:shd w:val="clear" w:color="auto" w:fill="auto"/>
            <w:hideMark/>
          </w:tcPr>
          <w:p w14:paraId="75A1A0FE" w14:textId="146C3B8A" w:rsidR="00A820C4" w:rsidRPr="00D40ECC" w:rsidRDefault="00A820C4" w:rsidP="005638C6">
            <w:pPr>
              <w:spacing w:line="360" w:lineRule="auto"/>
              <w:jc w:val="both"/>
              <w:rPr>
                <w:rFonts w:ascii="Book Antiqua" w:hAnsi="Book Antiqua"/>
                <w:vertAlign w:val="superscript"/>
              </w:rPr>
            </w:pPr>
            <w:r w:rsidRPr="00D40ECC">
              <w:rPr>
                <w:rFonts w:ascii="Book Antiqua" w:eastAsia="Times New Roman" w:hAnsi="Book Antiqua" w:cs="Times"/>
              </w:rPr>
              <w:t>&lt;</w:t>
            </w:r>
            <w:r w:rsidR="00F07030" w:rsidRPr="00D40ECC">
              <w:rPr>
                <w:rFonts w:ascii="Book Antiqua" w:eastAsia="Times New Roman" w:hAnsi="Book Antiqua" w:cs="Times"/>
              </w:rPr>
              <w:t xml:space="preserve"> </w:t>
            </w:r>
            <w:r w:rsidRPr="00D40ECC">
              <w:rPr>
                <w:rFonts w:ascii="Book Antiqua" w:eastAsia="Times New Roman" w:hAnsi="Book Antiqua" w:cs="Times"/>
              </w:rPr>
              <w:t>0.01</w:t>
            </w:r>
            <w:r w:rsidRPr="00D40ECC">
              <w:rPr>
                <w:rFonts w:ascii="Book Antiqua" w:hAnsi="Book Antiqua" w:cs="Times"/>
                <w:vertAlign w:val="superscript"/>
              </w:rPr>
              <w:t>2</w:t>
            </w:r>
          </w:p>
          <w:p w14:paraId="54AA307A" w14:textId="77777777" w:rsidR="00A820C4" w:rsidRPr="00D40ECC" w:rsidRDefault="00A820C4" w:rsidP="005638C6">
            <w:pPr>
              <w:tabs>
                <w:tab w:val="decimal" w:pos="266"/>
              </w:tabs>
              <w:spacing w:line="360" w:lineRule="auto"/>
              <w:jc w:val="both"/>
              <w:textAlignment w:val="baseline"/>
              <w:rPr>
                <w:rFonts w:ascii="Book Antiqua" w:eastAsia="Times New Roman" w:hAnsi="Book Antiqua"/>
              </w:rPr>
            </w:pPr>
          </w:p>
        </w:tc>
      </w:tr>
      <w:tr w:rsidR="00D40ECC" w:rsidRPr="00D40ECC" w14:paraId="733C777E" w14:textId="77777777" w:rsidTr="00000E98">
        <w:tc>
          <w:tcPr>
            <w:tcW w:w="3828" w:type="dxa"/>
            <w:shd w:val="clear" w:color="auto" w:fill="auto"/>
          </w:tcPr>
          <w:p w14:paraId="55570F54" w14:textId="703332CF" w:rsidR="00D40ECC" w:rsidRPr="00D40ECC" w:rsidRDefault="00D40ECC" w:rsidP="005638C6">
            <w:pPr>
              <w:spacing w:line="360" w:lineRule="auto"/>
              <w:jc w:val="both"/>
              <w:textAlignment w:val="baseline"/>
              <w:rPr>
                <w:rFonts w:ascii="Book Antiqua" w:eastAsia="Times New Roman" w:hAnsi="Book Antiqua" w:cs="Times"/>
              </w:rPr>
            </w:pPr>
            <w:r w:rsidRPr="00D40ECC">
              <w:rPr>
                <w:rFonts w:ascii="Book Antiqua" w:eastAsia="Times New Roman" w:hAnsi="Book Antiqua" w:cs="Times"/>
              </w:rPr>
              <w:t>ECI, by category</w:t>
            </w:r>
          </w:p>
        </w:tc>
        <w:tc>
          <w:tcPr>
            <w:tcW w:w="2719" w:type="dxa"/>
            <w:shd w:val="clear" w:color="auto" w:fill="auto"/>
          </w:tcPr>
          <w:p w14:paraId="07F3FC29" w14:textId="77777777" w:rsidR="00D40ECC" w:rsidRPr="00D40ECC" w:rsidRDefault="00D40ECC" w:rsidP="005638C6">
            <w:pPr>
              <w:tabs>
                <w:tab w:val="decimal" w:pos="991"/>
              </w:tabs>
              <w:spacing w:line="360" w:lineRule="auto"/>
              <w:jc w:val="both"/>
              <w:textAlignment w:val="baseline"/>
              <w:rPr>
                <w:rFonts w:ascii="Book Antiqua" w:eastAsia="Times New Roman" w:hAnsi="Book Antiqua" w:cs="Times"/>
              </w:rPr>
            </w:pPr>
          </w:p>
        </w:tc>
        <w:tc>
          <w:tcPr>
            <w:tcW w:w="3881" w:type="dxa"/>
            <w:shd w:val="clear" w:color="auto" w:fill="auto"/>
          </w:tcPr>
          <w:p w14:paraId="361D60ED" w14:textId="77777777" w:rsidR="00D40ECC" w:rsidRPr="00D40ECC" w:rsidRDefault="00D40ECC" w:rsidP="005638C6">
            <w:pPr>
              <w:tabs>
                <w:tab w:val="decimal" w:pos="909"/>
              </w:tabs>
              <w:spacing w:line="360" w:lineRule="auto"/>
              <w:jc w:val="both"/>
              <w:textAlignment w:val="baseline"/>
              <w:rPr>
                <w:rFonts w:ascii="Book Antiqua" w:eastAsia="Times New Roman" w:hAnsi="Book Antiqua" w:cs="Times"/>
              </w:rPr>
            </w:pPr>
          </w:p>
        </w:tc>
        <w:tc>
          <w:tcPr>
            <w:tcW w:w="1338" w:type="dxa"/>
            <w:shd w:val="clear" w:color="auto" w:fill="auto"/>
          </w:tcPr>
          <w:p w14:paraId="201C2823" w14:textId="3457D323" w:rsidR="00D40ECC" w:rsidRPr="00D40ECC" w:rsidRDefault="00D40ECC" w:rsidP="005638C6">
            <w:pPr>
              <w:spacing w:line="360" w:lineRule="auto"/>
              <w:jc w:val="both"/>
              <w:rPr>
                <w:rFonts w:ascii="Book Antiqua" w:eastAsia="Times New Roman" w:hAnsi="Book Antiqua" w:cs="Times"/>
              </w:rPr>
            </w:pPr>
            <w:r w:rsidRPr="00D40ECC">
              <w:rPr>
                <w:rFonts w:ascii="Book Antiqua" w:eastAsia="Times New Roman" w:hAnsi="Book Antiqua" w:cs="Times"/>
              </w:rPr>
              <w:t>NS</w:t>
            </w:r>
            <w:r w:rsidRPr="00D40ECC">
              <w:rPr>
                <w:rFonts w:ascii="Book Antiqua" w:hAnsi="Book Antiqua" w:cs="Times"/>
                <w:vertAlign w:val="superscript"/>
              </w:rPr>
              <w:t>4</w:t>
            </w:r>
          </w:p>
        </w:tc>
      </w:tr>
      <w:tr w:rsidR="00A820C4" w:rsidRPr="00D40ECC" w14:paraId="63F448A1" w14:textId="77777777" w:rsidTr="00000E98">
        <w:tc>
          <w:tcPr>
            <w:tcW w:w="3828" w:type="dxa"/>
            <w:shd w:val="clear" w:color="auto" w:fill="auto"/>
            <w:hideMark/>
          </w:tcPr>
          <w:p w14:paraId="516749BE" w14:textId="0E0A6B90" w:rsidR="00A820C4" w:rsidRPr="00D40ECC" w:rsidRDefault="00A820C4" w:rsidP="005638C6">
            <w:pPr>
              <w:spacing w:line="360" w:lineRule="auto"/>
              <w:jc w:val="both"/>
              <w:textAlignment w:val="baseline"/>
              <w:rPr>
                <w:rFonts w:ascii="Book Antiqua" w:eastAsia="Times New Roman" w:hAnsi="Book Antiqua"/>
              </w:rPr>
            </w:pPr>
            <w:r w:rsidRPr="00D40ECC">
              <w:rPr>
                <w:rFonts w:ascii="Book Antiqua" w:eastAsia="Times New Roman" w:hAnsi="Book Antiqua" w:cs="Calibri"/>
                <w:color w:val="000000"/>
              </w:rPr>
              <w:t>≤ 0</w:t>
            </w:r>
          </w:p>
        </w:tc>
        <w:tc>
          <w:tcPr>
            <w:tcW w:w="2719" w:type="dxa"/>
            <w:shd w:val="clear" w:color="auto" w:fill="auto"/>
            <w:hideMark/>
          </w:tcPr>
          <w:p w14:paraId="0284E042"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rPr>
            </w:pPr>
            <w:r w:rsidRPr="00D40ECC">
              <w:rPr>
                <w:rFonts w:ascii="Book Antiqua" w:eastAsia="Times New Roman" w:hAnsi="Book Antiqua" w:cs="Calibri"/>
                <w:color w:val="000000"/>
              </w:rPr>
              <w:t>47.6%</w:t>
            </w:r>
          </w:p>
        </w:tc>
        <w:tc>
          <w:tcPr>
            <w:tcW w:w="3881" w:type="dxa"/>
            <w:shd w:val="clear" w:color="auto" w:fill="auto"/>
            <w:hideMark/>
          </w:tcPr>
          <w:p w14:paraId="3E9BFC79" w14:textId="77777777" w:rsidR="00A820C4" w:rsidRPr="00D40ECC" w:rsidRDefault="00A820C4" w:rsidP="005638C6">
            <w:pPr>
              <w:tabs>
                <w:tab w:val="decimal" w:pos="909"/>
              </w:tabs>
              <w:spacing w:line="360" w:lineRule="auto"/>
              <w:jc w:val="both"/>
              <w:textAlignment w:val="baseline"/>
              <w:rPr>
                <w:rFonts w:ascii="Book Antiqua" w:eastAsia="Times New Roman" w:hAnsi="Book Antiqua"/>
              </w:rPr>
            </w:pPr>
            <w:r w:rsidRPr="00D40ECC">
              <w:rPr>
                <w:rFonts w:ascii="Book Antiqua" w:eastAsia="Times New Roman" w:hAnsi="Book Antiqua" w:cs="Calibri"/>
                <w:color w:val="000000"/>
              </w:rPr>
              <w:t>47.7%</w:t>
            </w:r>
          </w:p>
        </w:tc>
        <w:tc>
          <w:tcPr>
            <w:tcW w:w="1338" w:type="dxa"/>
            <w:shd w:val="clear" w:color="auto" w:fill="auto"/>
            <w:hideMark/>
          </w:tcPr>
          <w:p w14:paraId="01318627" w14:textId="5576DBE1" w:rsidR="00A820C4" w:rsidRPr="00D40ECC" w:rsidRDefault="00A820C4" w:rsidP="005638C6">
            <w:pPr>
              <w:tabs>
                <w:tab w:val="decimal" w:pos="266"/>
              </w:tabs>
              <w:spacing w:line="360" w:lineRule="auto"/>
              <w:jc w:val="both"/>
              <w:textAlignment w:val="baseline"/>
              <w:rPr>
                <w:rFonts w:ascii="Book Antiqua" w:eastAsia="Times New Roman" w:hAnsi="Book Antiqua"/>
              </w:rPr>
            </w:pPr>
          </w:p>
        </w:tc>
      </w:tr>
      <w:tr w:rsidR="00A820C4" w:rsidRPr="00D40ECC" w14:paraId="5C70BE9C" w14:textId="77777777" w:rsidTr="00000E98">
        <w:tc>
          <w:tcPr>
            <w:tcW w:w="3828" w:type="dxa"/>
            <w:shd w:val="clear" w:color="auto" w:fill="auto"/>
            <w:hideMark/>
          </w:tcPr>
          <w:p w14:paraId="2D9326C0" w14:textId="77777777" w:rsidR="00A820C4" w:rsidRPr="00D40ECC" w:rsidRDefault="00A820C4" w:rsidP="005638C6">
            <w:pPr>
              <w:spacing w:line="360" w:lineRule="auto"/>
              <w:jc w:val="both"/>
              <w:textAlignment w:val="baseline"/>
              <w:rPr>
                <w:rFonts w:ascii="Book Antiqua" w:eastAsia="Times New Roman" w:hAnsi="Book Antiqua"/>
              </w:rPr>
            </w:pPr>
            <w:r w:rsidRPr="00D40ECC">
              <w:rPr>
                <w:rFonts w:ascii="Book Antiqua" w:eastAsia="Times New Roman" w:hAnsi="Book Antiqua" w:cs="Calibri"/>
                <w:color w:val="000000"/>
              </w:rPr>
              <w:t>1-5</w:t>
            </w:r>
          </w:p>
        </w:tc>
        <w:tc>
          <w:tcPr>
            <w:tcW w:w="2719" w:type="dxa"/>
            <w:shd w:val="clear" w:color="auto" w:fill="auto"/>
            <w:hideMark/>
          </w:tcPr>
          <w:p w14:paraId="01426607"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rPr>
            </w:pPr>
            <w:r w:rsidRPr="00D40ECC">
              <w:rPr>
                <w:rFonts w:ascii="Book Antiqua" w:eastAsia="Times New Roman" w:hAnsi="Book Antiqua" w:cs="Calibri"/>
                <w:color w:val="000000"/>
              </w:rPr>
              <w:t>15.8%</w:t>
            </w:r>
          </w:p>
        </w:tc>
        <w:tc>
          <w:tcPr>
            <w:tcW w:w="3881" w:type="dxa"/>
            <w:shd w:val="clear" w:color="auto" w:fill="auto"/>
            <w:hideMark/>
          </w:tcPr>
          <w:p w14:paraId="6B50B896" w14:textId="77777777" w:rsidR="00A820C4" w:rsidRPr="00D40ECC" w:rsidRDefault="00A820C4" w:rsidP="005638C6">
            <w:pPr>
              <w:tabs>
                <w:tab w:val="decimal" w:pos="909"/>
              </w:tabs>
              <w:spacing w:line="360" w:lineRule="auto"/>
              <w:jc w:val="both"/>
              <w:textAlignment w:val="baseline"/>
              <w:rPr>
                <w:rFonts w:ascii="Book Antiqua" w:eastAsia="Times New Roman" w:hAnsi="Book Antiqua"/>
              </w:rPr>
            </w:pPr>
            <w:r w:rsidRPr="00D40ECC">
              <w:rPr>
                <w:rFonts w:ascii="Book Antiqua" w:eastAsia="Times New Roman" w:hAnsi="Book Antiqua" w:cs="Calibri"/>
                <w:color w:val="000000"/>
              </w:rPr>
              <w:t>15.9%</w:t>
            </w:r>
          </w:p>
        </w:tc>
        <w:tc>
          <w:tcPr>
            <w:tcW w:w="1338" w:type="dxa"/>
            <w:shd w:val="clear" w:color="auto" w:fill="auto"/>
            <w:hideMark/>
          </w:tcPr>
          <w:p w14:paraId="12C64C7B" w14:textId="40CD2F7B" w:rsidR="00A820C4" w:rsidRPr="00D40ECC" w:rsidRDefault="00A820C4" w:rsidP="005638C6">
            <w:pPr>
              <w:tabs>
                <w:tab w:val="decimal" w:pos="266"/>
              </w:tabs>
              <w:spacing w:line="360" w:lineRule="auto"/>
              <w:jc w:val="both"/>
              <w:textAlignment w:val="baseline"/>
              <w:rPr>
                <w:rFonts w:ascii="Book Antiqua" w:eastAsia="Times New Roman" w:hAnsi="Book Antiqua"/>
              </w:rPr>
            </w:pPr>
          </w:p>
        </w:tc>
      </w:tr>
      <w:tr w:rsidR="00A820C4" w:rsidRPr="00D40ECC" w14:paraId="06EC1872" w14:textId="77777777" w:rsidTr="00000E98">
        <w:tc>
          <w:tcPr>
            <w:tcW w:w="3828" w:type="dxa"/>
            <w:shd w:val="clear" w:color="auto" w:fill="auto"/>
            <w:hideMark/>
          </w:tcPr>
          <w:p w14:paraId="6C4D3BCA" w14:textId="77777777" w:rsidR="00A820C4" w:rsidRPr="00D40ECC" w:rsidRDefault="00A820C4" w:rsidP="005638C6">
            <w:pPr>
              <w:spacing w:line="360" w:lineRule="auto"/>
              <w:jc w:val="both"/>
              <w:textAlignment w:val="baseline"/>
              <w:rPr>
                <w:rFonts w:ascii="Book Antiqua" w:eastAsia="Times New Roman" w:hAnsi="Book Antiqua"/>
              </w:rPr>
            </w:pPr>
            <w:r w:rsidRPr="00D40ECC">
              <w:rPr>
                <w:rFonts w:ascii="Book Antiqua" w:eastAsia="Times New Roman" w:hAnsi="Book Antiqua" w:cs="Calibri"/>
                <w:color w:val="000000"/>
              </w:rPr>
              <w:t>6-10</w:t>
            </w:r>
          </w:p>
        </w:tc>
        <w:tc>
          <w:tcPr>
            <w:tcW w:w="2719" w:type="dxa"/>
            <w:shd w:val="clear" w:color="auto" w:fill="auto"/>
            <w:hideMark/>
          </w:tcPr>
          <w:p w14:paraId="69FB9B68"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rPr>
            </w:pPr>
            <w:r w:rsidRPr="00D40ECC">
              <w:rPr>
                <w:rFonts w:ascii="Book Antiqua" w:eastAsia="Times New Roman" w:hAnsi="Book Antiqua" w:cs="Calibri"/>
                <w:color w:val="000000"/>
              </w:rPr>
              <w:t>19.6%</w:t>
            </w:r>
          </w:p>
        </w:tc>
        <w:tc>
          <w:tcPr>
            <w:tcW w:w="3881" w:type="dxa"/>
            <w:shd w:val="clear" w:color="auto" w:fill="auto"/>
            <w:hideMark/>
          </w:tcPr>
          <w:p w14:paraId="7485DBB1" w14:textId="77777777" w:rsidR="00A820C4" w:rsidRPr="00D40ECC" w:rsidRDefault="00A820C4" w:rsidP="005638C6">
            <w:pPr>
              <w:tabs>
                <w:tab w:val="decimal" w:pos="909"/>
              </w:tabs>
              <w:spacing w:line="360" w:lineRule="auto"/>
              <w:jc w:val="both"/>
              <w:textAlignment w:val="baseline"/>
              <w:rPr>
                <w:rFonts w:ascii="Book Antiqua" w:eastAsia="Times New Roman" w:hAnsi="Book Antiqua"/>
              </w:rPr>
            </w:pPr>
            <w:r w:rsidRPr="00D40ECC">
              <w:rPr>
                <w:rFonts w:ascii="Book Antiqua" w:eastAsia="Times New Roman" w:hAnsi="Book Antiqua" w:cs="Calibri"/>
                <w:color w:val="000000"/>
              </w:rPr>
              <w:t>19.5%</w:t>
            </w:r>
          </w:p>
        </w:tc>
        <w:tc>
          <w:tcPr>
            <w:tcW w:w="1338" w:type="dxa"/>
            <w:shd w:val="clear" w:color="auto" w:fill="auto"/>
            <w:hideMark/>
          </w:tcPr>
          <w:p w14:paraId="4E49F941" w14:textId="1AA3560E" w:rsidR="00A820C4" w:rsidRPr="00D40ECC" w:rsidRDefault="00A820C4" w:rsidP="005638C6">
            <w:pPr>
              <w:tabs>
                <w:tab w:val="decimal" w:pos="266"/>
              </w:tabs>
              <w:spacing w:line="360" w:lineRule="auto"/>
              <w:jc w:val="both"/>
              <w:textAlignment w:val="baseline"/>
              <w:rPr>
                <w:rFonts w:ascii="Book Antiqua" w:eastAsia="Times New Roman" w:hAnsi="Book Antiqua"/>
              </w:rPr>
            </w:pPr>
          </w:p>
        </w:tc>
      </w:tr>
      <w:tr w:rsidR="00A820C4" w:rsidRPr="00D40ECC" w14:paraId="49CA7D6D" w14:textId="77777777" w:rsidTr="00000E98">
        <w:tc>
          <w:tcPr>
            <w:tcW w:w="3828" w:type="dxa"/>
            <w:shd w:val="clear" w:color="auto" w:fill="auto"/>
          </w:tcPr>
          <w:p w14:paraId="2A727B1F" w14:textId="77777777" w:rsidR="00A820C4" w:rsidRPr="00D40ECC" w:rsidRDefault="00A820C4" w:rsidP="005638C6">
            <w:pPr>
              <w:spacing w:line="360" w:lineRule="auto"/>
              <w:jc w:val="both"/>
              <w:textAlignment w:val="baseline"/>
              <w:rPr>
                <w:rFonts w:ascii="Book Antiqua" w:eastAsia="Times New Roman" w:hAnsi="Book Antiqua" w:cs="Times"/>
              </w:rPr>
            </w:pPr>
            <w:r w:rsidRPr="00D40ECC">
              <w:rPr>
                <w:rFonts w:ascii="Book Antiqua" w:eastAsia="Times New Roman" w:hAnsi="Book Antiqua" w:cs="Calibri"/>
                <w:color w:val="000000"/>
              </w:rPr>
              <w:t>11 or higher</w:t>
            </w:r>
          </w:p>
        </w:tc>
        <w:tc>
          <w:tcPr>
            <w:tcW w:w="2719" w:type="dxa"/>
            <w:shd w:val="clear" w:color="auto" w:fill="auto"/>
          </w:tcPr>
          <w:p w14:paraId="04EA2676"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cs="Times"/>
              </w:rPr>
            </w:pPr>
            <w:r w:rsidRPr="00D40ECC">
              <w:rPr>
                <w:rFonts w:ascii="Book Antiqua" w:eastAsia="Times New Roman" w:hAnsi="Book Antiqua" w:cs="Calibri"/>
                <w:color w:val="000000"/>
              </w:rPr>
              <w:t>16.9%</w:t>
            </w:r>
          </w:p>
        </w:tc>
        <w:tc>
          <w:tcPr>
            <w:tcW w:w="3881" w:type="dxa"/>
            <w:shd w:val="clear" w:color="auto" w:fill="auto"/>
          </w:tcPr>
          <w:p w14:paraId="25D23A4F" w14:textId="77777777" w:rsidR="00A820C4" w:rsidRPr="00D40ECC" w:rsidRDefault="00A820C4" w:rsidP="005638C6">
            <w:pPr>
              <w:tabs>
                <w:tab w:val="decimal" w:pos="909"/>
              </w:tabs>
              <w:spacing w:line="360" w:lineRule="auto"/>
              <w:jc w:val="both"/>
              <w:textAlignment w:val="baseline"/>
              <w:rPr>
                <w:rFonts w:ascii="Book Antiqua" w:eastAsia="Times New Roman" w:hAnsi="Book Antiqua" w:cs="Times"/>
              </w:rPr>
            </w:pPr>
            <w:r w:rsidRPr="00D40ECC">
              <w:rPr>
                <w:rFonts w:ascii="Book Antiqua" w:eastAsia="Times New Roman" w:hAnsi="Book Antiqua" w:cs="Calibri"/>
                <w:color w:val="000000"/>
              </w:rPr>
              <w:t>16.9%</w:t>
            </w:r>
          </w:p>
        </w:tc>
        <w:tc>
          <w:tcPr>
            <w:tcW w:w="1338" w:type="dxa"/>
            <w:shd w:val="clear" w:color="auto" w:fill="auto"/>
          </w:tcPr>
          <w:p w14:paraId="0D13C072" w14:textId="77777777" w:rsidR="00A820C4" w:rsidRPr="00D40ECC" w:rsidRDefault="00A820C4" w:rsidP="005638C6">
            <w:pPr>
              <w:tabs>
                <w:tab w:val="decimal" w:pos="266"/>
              </w:tabs>
              <w:spacing w:line="360" w:lineRule="auto"/>
              <w:jc w:val="both"/>
              <w:textAlignment w:val="baseline"/>
              <w:rPr>
                <w:rFonts w:ascii="Book Antiqua" w:eastAsia="Times New Roman" w:hAnsi="Book Antiqua" w:cs="Times"/>
              </w:rPr>
            </w:pPr>
          </w:p>
        </w:tc>
      </w:tr>
      <w:tr w:rsidR="00A820C4" w:rsidRPr="00D40ECC" w14:paraId="14410345" w14:textId="77777777" w:rsidTr="00000E98">
        <w:tc>
          <w:tcPr>
            <w:tcW w:w="3828" w:type="dxa"/>
            <w:shd w:val="clear" w:color="auto" w:fill="auto"/>
            <w:hideMark/>
          </w:tcPr>
          <w:p w14:paraId="783A9849" w14:textId="77777777" w:rsidR="00A820C4" w:rsidRPr="00D40ECC" w:rsidRDefault="00A820C4" w:rsidP="005638C6">
            <w:pPr>
              <w:spacing w:line="360" w:lineRule="auto"/>
              <w:jc w:val="both"/>
              <w:textAlignment w:val="baseline"/>
              <w:rPr>
                <w:rFonts w:ascii="Book Antiqua" w:eastAsia="Times New Roman" w:hAnsi="Book Antiqua"/>
              </w:rPr>
            </w:pPr>
            <w:r w:rsidRPr="00D40ECC">
              <w:rPr>
                <w:rFonts w:ascii="Book Antiqua" w:eastAsia="Times New Roman" w:hAnsi="Book Antiqua" w:cs="Calibri"/>
                <w:color w:val="000000"/>
              </w:rPr>
              <w:t>Insurance</w:t>
            </w:r>
          </w:p>
        </w:tc>
        <w:tc>
          <w:tcPr>
            <w:tcW w:w="2719" w:type="dxa"/>
            <w:shd w:val="clear" w:color="auto" w:fill="auto"/>
            <w:hideMark/>
          </w:tcPr>
          <w:p w14:paraId="7AF1129D" w14:textId="77777777" w:rsidR="00A820C4" w:rsidRPr="00D40ECC" w:rsidRDefault="00A820C4" w:rsidP="005638C6">
            <w:pPr>
              <w:tabs>
                <w:tab w:val="decimal" w:pos="631"/>
                <w:tab w:val="decimal" w:pos="991"/>
              </w:tabs>
              <w:spacing w:line="360" w:lineRule="auto"/>
              <w:jc w:val="both"/>
              <w:textAlignment w:val="baseline"/>
              <w:rPr>
                <w:rFonts w:ascii="Book Antiqua" w:eastAsia="Times New Roman" w:hAnsi="Book Antiqua"/>
              </w:rPr>
            </w:pPr>
          </w:p>
        </w:tc>
        <w:tc>
          <w:tcPr>
            <w:tcW w:w="3881" w:type="dxa"/>
            <w:shd w:val="clear" w:color="auto" w:fill="auto"/>
            <w:hideMark/>
          </w:tcPr>
          <w:p w14:paraId="0D641909" w14:textId="77777777" w:rsidR="00A820C4" w:rsidRPr="00D40ECC" w:rsidRDefault="00A820C4" w:rsidP="005638C6">
            <w:pPr>
              <w:tabs>
                <w:tab w:val="decimal" w:pos="909"/>
                <w:tab w:val="decimal" w:pos="995"/>
              </w:tabs>
              <w:spacing w:line="360" w:lineRule="auto"/>
              <w:jc w:val="both"/>
              <w:textAlignment w:val="baseline"/>
              <w:rPr>
                <w:rFonts w:ascii="Book Antiqua" w:eastAsia="Times New Roman" w:hAnsi="Book Antiqua"/>
              </w:rPr>
            </w:pPr>
          </w:p>
        </w:tc>
        <w:tc>
          <w:tcPr>
            <w:tcW w:w="1338" w:type="dxa"/>
            <w:shd w:val="clear" w:color="auto" w:fill="auto"/>
            <w:hideMark/>
          </w:tcPr>
          <w:p w14:paraId="54211575" w14:textId="071828AB" w:rsidR="00A820C4" w:rsidRPr="00D40ECC" w:rsidRDefault="00A820C4" w:rsidP="005638C6">
            <w:pPr>
              <w:tabs>
                <w:tab w:val="decimal" w:pos="266"/>
              </w:tabs>
              <w:spacing w:line="360" w:lineRule="auto"/>
              <w:ind w:firstLineChars="100" w:firstLine="240"/>
              <w:jc w:val="both"/>
              <w:textAlignment w:val="baseline"/>
              <w:rPr>
                <w:rFonts w:ascii="Book Antiqua" w:eastAsia="Times New Roman" w:hAnsi="Book Antiqua"/>
              </w:rPr>
            </w:pPr>
            <w:r w:rsidRPr="00D40ECC">
              <w:rPr>
                <w:rFonts w:ascii="Book Antiqua" w:eastAsia="Times New Roman" w:hAnsi="Book Antiqua" w:cs="Calibri"/>
                <w:color w:val="000000"/>
              </w:rPr>
              <w:t>&lt;</w:t>
            </w:r>
            <w:r w:rsidR="00D373D5" w:rsidRPr="00D40ECC">
              <w:rPr>
                <w:rFonts w:ascii="Book Antiqua" w:eastAsia="Times New Roman" w:hAnsi="Book Antiqua" w:cs="Calibri"/>
                <w:color w:val="000000"/>
              </w:rPr>
              <w:t xml:space="preserve"> </w:t>
            </w:r>
            <w:r w:rsidRPr="00D40ECC">
              <w:rPr>
                <w:rFonts w:ascii="Book Antiqua" w:eastAsia="Times New Roman" w:hAnsi="Book Antiqua" w:cs="Calibri"/>
                <w:color w:val="000000"/>
              </w:rPr>
              <w:t>0.05</w:t>
            </w:r>
            <w:r w:rsidRPr="00D40ECC">
              <w:rPr>
                <w:rFonts w:ascii="Book Antiqua" w:hAnsi="Book Antiqua" w:cs="Calibri"/>
                <w:color w:val="000000"/>
                <w:vertAlign w:val="superscript"/>
              </w:rPr>
              <w:t>4</w:t>
            </w:r>
          </w:p>
        </w:tc>
      </w:tr>
      <w:tr w:rsidR="00A820C4" w:rsidRPr="00D40ECC" w14:paraId="316A6A91" w14:textId="77777777" w:rsidTr="00000E98">
        <w:tc>
          <w:tcPr>
            <w:tcW w:w="3828" w:type="dxa"/>
            <w:shd w:val="clear" w:color="auto" w:fill="auto"/>
          </w:tcPr>
          <w:p w14:paraId="1D2738C6" w14:textId="77777777" w:rsidR="00A820C4" w:rsidRPr="00D40ECC" w:rsidRDefault="00A820C4" w:rsidP="005638C6">
            <w:pPr>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Medicare</w:t>
            </w:r>
          </w:p>
        </w:tc>
        <w:tc>
          <w:tcPr>
            <w:tcW w:w="2719" w:type="dxa"/>
            <w:shd w:val="clear" w:color="auto" w:fill="auto"/>
          </w:tcPr>
          <w:p w14:paraId="04B9BB15"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rPr>
            </w:pPr>
            <w:r w:rsidRPr="00D40ECC">
              <w:rPr>
                <w:rFonts w:ascii="Book Antiqua" w:eastAsia="Times New Roman" w:hAnsi="Book Antiqua" w:cs="Calibri"/>
                <w:color w:val="000000"/>
              </w:rPr>
              <w:t>16.6%</w:t>
            </w:r>
          </w:p>
        </w:tc>
        <w:tc>
          <w:tcPr>
            <w:tcW w:w="3881" w:type="dxa"/>
            <w:shd w:val="clear" w:color="auto" w:fill="auto"/>
          </w:tcPr>
          <w:p w14:paraId="644ABC1D" w14:textId="77777777" w:rsidR="00A820C4" w:rsidRPr="00D40ECC" w:rsidRDefault="00A820C4" w:rsidP="005638C6">
            <w:pPr>
              <w:tabs>
                <w:tab w:val="decimal" w:pos="909"/>
              </w:tabs>
              <w:spacing w:line="360" w:lineRule="auto"/>
              <w:jc w:val="both"/>
              <w:textAlignment w:val="baseline"/>
              <w:rPr>
                <w:rFonts w:ascii="Book Antiqua" w:eastAsia="Times New Roman" w:hAnsi="Book Antiqua"/>
              </w:rPr>
            </w:pPr>
            <w:r w:rsidRPr="00D40ECC">
              <w:rPr>
                <w:rFonts w:ascii="Book Antiqua" w:eastAsia="Times New Roman" w:hAnsi="Book Antiqua" w:cs="Calibri"/>
                <w:color w:val="000000"/>
              </w:rPr>
              <w:t>17.2%</w:t>
            </w:r>
          </w:p>
        </w:tc>
        <w:tc>
          <w:tcPr>
            <w:tcW w:w="1338" w:type="dxa"/>
            <w:shd w:val="clear" w:color="auto" w:fill="auto"/>
          </w:tcPr>
          <w:p w14:paraId="221F9A2D" w14:textId="77777777" w:rsidR="00A820C4" w:rsidRPr="00D40ECC" w:rsidRDefault="00A820C4" w:rsidP="005638C6">
            <w:pPr>
              <w:tabs>
                <w:tab w:val="decimal" w:pos="266"/>
              </w:tabs>
              <w:spacing w:line="360" w:lineRule="auto"/>
              <w:jc w:val="both"/>
              <w:textAlignment w:val="baseline"/>
              <w:rPr>
                <w:rFonts w:ascii="Book Antiqua" w:eastAsia="Times New Roman" w:hAnsi="Book Antiqua" w:cs="Calibri"/>
                <w:color w:val="000000"/>
              </w:rPr>
            </w:pPr>
          </w:p>
        </w:tc>
      </w:tr>
      <w:tr w:rsidR="00A820C4" w:rsidRPr="00D40ECC" w14:paraId="1E86D8ED" w14:textId="77777777" w:rsidTr="00000E98">
        <w:tc>
          <w:tcPr>
            <w:tcW w:w="3828" w:type="dxa"/>
            <w:shd w:val="clear" w:color="auto" w:fill="auto"/>
          </w:tcPr>
          <w:p w14:paraId="5A871BAF" w14:textId="77777777" w:rsidR="00A820C4" w:rsidRPr="00D40ECC" w:rsidRDefault="00A820C4" w:rsidP="005638C6">
            <w:pPr>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Medicaid</w:t>
            </w:r>
          </w:p>
        </w:tc>
        <w:tc>
          <w:tcPr>
            <w:tcW w:w="2719" w:type="dxa"/>
            <w:shd w:val="clear" w:color="auto" w:fill="auto"/>
          </w:tcPr>
          <w:p w14:paraId="0C3DEEB4"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42.8%</w:t>
            </w:r>
          </w:p>
        </w:tc>
        <w:tc>
          <w:tcPr>
            <w:tcW w:w="3881" w:type="dxa"/>
            <w:shd w:val="clear" w:color="auto" w:fill="auto"/>
          </w:tcPr>
          <w:p w14:paraId="3EFB38F8" w14:textId="77777777" w:rsidR="00A820C4" w:rsidRPr="00D40ECC" w:rsidRDefault="00A820C4" w:rsidP="005638C6">
            <w:pPr>
              <w:tabs>
                <w:tab w:val="decimal" w:pos="909"/>
              </w:tabs>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30.5%</w:t>
            </w:r>
          </w:p>
        </w:tc>
        <w:tc>
          <w:tcPr>
            <w:tcW w:w="1338" w:type="dxa"/>
            <w:shd w:val="clear" w:color="auto" w:fill="auto"/>
          </w:tcPr>
          <w:p w14:paraId="46C56A2B" w14:textId="77777777" w:rsidR="00A820C4" w:rsidRPr="00D40ECC" w:rsidRDefault="00A820C4" w:rsidP="005638C6">
            <w:pPr>
              <w:tabs>
                <w:tab w:val="decimal" w:pos="266"/>
              </w:tabs>
              <w:spacing w:line="360" w:lineRule="auto"/>
              <w:jc w:val="both"/>
              <w:textAlignment w:val="baseline"/>
              <w:rPr>
                <w:rFonts w:ascii="Book Antiqua" w:eastAsia="Times New Roman" w:hAnsi="Book Antiqua" w:cs="Calibri"/>
                <w:color w:val="000000"/>
              </w:rPr>
            </w:pPr>
          </w:p>
        </w:tc>
      </w:tr>
      <w:tr w:rsidR="00A820C4" w:rsidRPr="00D40ECC" w14:paraId="005CCFF0" w14:textId="77777777" w:rsidTr="00000E98">
        <w:tc>
          <w:tcPr>
            <w:tcW w:w="3828" w:type="dxa"/>
            <w:shd w:val="clear" w:color="auto" w:fill="auto"/>
          </w:tcPr>
          <w:p w14:paraId="363CC5C1" w14:textId="77777777" w:rsidR="00A820C4" w:rsidRPr="00D40ECC" w:rsidRDefault="00A820C4" w:rsidP="005638C6">
            <w:pPr>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Private</w:t>
            </w:r>
          </w:p>
        </w:tc>
        <w:tc>
          <w:tcPr>
            <w:tcW w:w="2719" w:type="dxa"/>
            <w:shd w:val="clear" w:color="auto" w:fill="auto"/>
          </w:tcPr>
          <w:p w14:paraId="547B45CB"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21.9%</w:t>
            </w:r>
          </w:p>
        </w:tc>
        <w:tc>
          <w:tcPr>
            <w:tcW w:w="3881" w:type="dxa"/>
            <w:shd w:val="clear" w:color="auto" w:fill="auto"/>
          </w:tcPr>
          <w:p w14:paraId="18315DEE" w14:textId="77777777" w:rsidR="00A820C4" w:rsidRPr="00D40ECC" w:rsidRDefault="00A820C4" w:rsidP="005638C6">
            <w:pPr>
              <w:tabs>
                <w:tab w:val="decimal" w:pos="909"/>
              </w:tabs>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42.6%</w:t>
            </w:r>
          </w:p>
        </w:tc>
        <w:tc>
          <w:tcPr>
            <w:tcW w:w="1338" w:type="dxa"/>
            <w:shd w:val="clear" w:color="auto" w:fill="auto"/>
          </w:tcPr>
          <w:p w14:paraId="38ED3D7E" w14:textId="77777777" w:rsidR="00A820C4" w:rsidRPr="00D40ECC" w:rsidRDefault="00A820C4" w:rsidP="005638C6">
            <w:pPr>
              <w:tabs>
                <w:tab w:val="decimal" w:pos="266"/>
              </w:tabs>
              <w:spacing w:line="360" w:lineRule="auto"/>
              <w:jc w:val="both"/>
              <w:textAlignment w:val="baseline"/>
              <w:rPr>
                <w:rFonts w:ascii="Book Antiqua" w:eastAsia="Times New Roman" w:hAnsi="Book Antiqua" w:cs="Calibri"/>
                <w:color w:val="000000"/>
              </w:rPr>
            </w:pPr>
          </w:p>
        </w:tc>
      </w:tr>
      <w:tr w:rsidR="00A820C4" w:rsidRPr="00D40ECC" w14:paraId="3CDB1D24" w14:textId="77777777" w:rsidTr="00000E98">
        <w:tc>
          <w:tcPr>
            <w:tcW w:w="3828" w:type="dxa"/>
            <w:shd w:val="clear" w:color="auto" w:fill="auto"/>
          </w:tcPr>
          <w:p w14:paraId="03A1D068" w14:textId="77777777" w:rsidR="00A820C4" w:rsidRPr="00D40ECC" w:rsidRDefault="00A820C4" w:rsidP="005638C6">
            <w:pPr>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Self-Pay</w:t>
            </w:r>
          </w:p>
        </w:tc>
        <w:tc>
          <w:tcPr>
            <w:tcW w:w="2719" w:type="dxa"/>
            <w:shd w:val="clear" w:color="auto" w:fill="auto"/>
          </w:tcPr>
          <w:p w14:paraId="71C4CB52"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13.4%</w:t>
            </w:r>
          </w:p>
        </w:tc>
        <w:tc>
          <w:tcPr>
            <w:tcW w:w="3881" w:type="dxa"/>
            <w:shd w:val="clear" w:color="auto" w:fill="auto"/>
          </w:tcPr>
          <w:p w14:paraId="25B8F114" w14:textId="77777777" w:rsidR="00A820C4" w:rsidRPr="00D40ECC" w:rsidRDefault="00A820C4" w:rsidP="005638C6">
            <w:pPr>
              <w:tabs>
                <w:tab w:val="decimal" w:pos="909"/>
              </w:tabs>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6.0%</w:t>
            </w:r>
          </w:p>
        </w:tc>
        <w:tc>
          <w:tcPr>
            <w:tcW w:w="1338" w:type="dxa"/>
            <w:shd w:val="clear" w:color="auto" w:fill="auto"/>
          </w:tcPr>
          <w:p w14:paraId="43054955" w14:textId="77777777" w:rsidR="00A820C4" w:rsidRPr="00D40ECC" w:rsidRDefault="00A820C4" w:rsidP="005638C6">
            <w:pPr>
              <w:tabs>
                <w:tab w:val="decimal" w:pos="266"/>
              </w:tabs>
              <w:spacing w:line="360" w:lineRule="auto"/>
              <w:jc w:val="both"/>
              <w:textAlignment w:val="baseline"/>
              <w:rPr>
                <w:rFonts w:ascii="Book Antiqua" w:eastAsia="Times New Roman" w:hAnsi="Book Antiqua" w:cs="Calibri"/>
                <w:color w:val="000000"/>
              </w:rPr>
            </w:pPr>
          </w:p>
        </w:tc>
      </w:tr>
      <w:tr w:rsidR="00A820C4" w:rsidRPr="00D40ECC" w14:paraId="0B36B5B9" w14:textId="77777777" w:rsidTr="00000E98">
        <w:tc>
          <w:tcPr>
            <w:tcW w:w="3828" w:type="dxa"/>
            <w:shd w:val="clear" w:color="auto" w:fill="auto"/>
          </w:tcPr>
          <w:p w14:paraId="3CF9D10F" w14:textId="77777777" w:rsidR="00A820C4" w:rsidRPr="00D40ECC" w:rsidRDefault="00A820C4" w:rsidP="005638C6">
            <w:pPr>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Others</w:t>
            </w:r>
          </w:p>
        </w:tc>
        <w:tc>
          <w:tcPr>
            <w:tcW w:w="2719" w:type="dxa"/>
            <w:shd w:val="clear" w:color="auto" w:fill="auto"/>
          </w:tcPr>
          <w:p w14:paraId="56D60444"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5.4%</w:t>
            </w:r>
            <w:r w:rsidRPr="00D40ECC">
              <w:rPr>
                <w:rFonts w:ascii="Book Antiqua" w:eastAsia="Times New Roman" w:hAnsi="Book Antiqua" w:cs="Calibri"/>
                <w:color w:val="000000"/>
                <w:vertAlign w:val="superscript"/>
              </w:rPr>
              <w:t>5</w:t>
            </w:r>
          </w:p>
        </w:tc>
        <w:tc>
          <w:tcPr>
            <w:tcW w:w="3881" w:type="dxa"/>
            <w:shd w:val="clear" w:color="auto" w:fill="auto"/>
          </w:tcPr>
          <w:p w14:paraId="6B6E7A0B" w14:textId="77777777" w:rsidR="00A820C4" w:rsidRPr="00D40ECC" w:rsidRDefault="00A820C4" w:rsidP="005638C6">
            <w:pPr>
              <w:tabs>
                <w:tab w:val="decimal" w:pos="909"/>
              </w:tabs>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3.7%</w:t>
            </w:r>
          </w:p>
        </w:tc>
        <w:tc>
          <w:tcPr>
            <w:tcW w:w="1338" w:type="dxa"/>
            <w:shd w:val="clear" w:color="auto" w:fill="auto"/>
          </w:tcPr>
          <w:p w14:paraId="084CF3EE" w14:textId="77777777" w:rsidR="00A820C4" w:rsidRPr="00D40ECC" w:rsidRDefault="00A820C4" w:rsidP="005638C6">
            <w:pPr>
              <w:tabs>
                <w:tab w:val="decimal" w:pos="266"/>
              </w:tabs>
              <w:spacing w:line="360" w:lineRule="auto"/>
              <w:jc w:val="both"/>
              <w:textAlignment w:val="baseline"/>
              <w:rPr>
                <w:rFonts w:ascii="Book Antiqua" w:eastAsia="Times New Roman" w:hAnsi="Book Antiqua" w:cs="Calibri"/>
                <w:color w:val="000000"/>
              </w:rPr>
            </w:pPr>
          </w:p>
        </w:tc>
      </w:tr>
      <w:tr w:rsidR="00A820C4" w:rsidRPr="00D40ECC" w14:paraId="44AD723C" w14:textId="77777777" w:rsidTr="00000E98">
        <w:tc>
          <w:tcPr>
            <w:tcW w:w="3828" w:type="dxa"/>
            <w:shd w:val="clear" w:color="auto" w:fill="auto"/>
          </w:tcPr>
          <w:p w14:paraId="4CE63FE4" w14:textId="04B10161" w:rsidR="00A820C4" w:rsidRPr="00D40ECC" w:rsidRDefault="00A820C4" w:rsidP="005638C6">
            <w:pPr>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 xml:space="preserve">Cannabis </w:t>
            </w:r>
            <w:r w:rsidR="000B441F" w:rsidRPr="00D40ECC">
              <w:rPr>
                <w:rFonts w:ascii="Book Antiqua" w:eastAsia="Times New Roman" w:hAnsi="Book Antiqua" w:cs="Calibri"/>
                <w:color w:val="000000"/>
              </w:rPr>
              <w:t>a</w:t>
            </w:r>
            <w:r w:rsidRPr="00D40ECC">
              <w:rPr>
                <w:rFonts w:ascii="Book Antiqua" w:eastAsia="Times New Roman" w:hAnsi="Book Antiqua" w:cs="Calibri"/>
                <w:color w:val="000000"/>
              </w:rPr>
              <w:t>buse</w:t>
            </w:r>
          </w:p>
        </w:tc>
        <w:tc>
          <w:tcPr>
            <w:tcW w:w="2719" w:type="dxa"/>
            <w:shd w:val="clear" w:color="auto" w:fill="auto"/>
          </w:tcPr>
          <w:p w14:paraId="382DE4D2" w14:textId="77777777" w:rsidR="00A820C4" w:rsidRPr="00D40ECC" w:rsidRDefault="00A820C4" w:rsidP="005638C6">
            <w:pPr>
              <w:tabs>
                <w:tab w:val="decimal" w:pos="631"/>
                <w:tab w:val="decimal" w:pos="991"/>
              </w:tabs>
              <w:spacing w:line="360" w:lineRule="auto"/>
              <w:jc w:val="both"/>
              <w:textAlignment w:val="baseline"/>
              <w:rPr>
                <w:rFonts w:ascii="Book Antiqua" w:eastAsia="Times New Roman" w:hAnsi="Book Antiqua" w:cs="Calibri"/>
                <w:color w:val="000000"/>
              </w:rPr>
            </w:pPr>
          </w:p>
        </w:tc>
        <w:tc>
          <w:tcPr>
            <w:tcW w:w="3881" w:type="dxa"/>
            <w:shd w:val="clear" w:color="auto" w:fill="auto"/>
          </w:tcPr>
          <w:p w14:paraId="53B021B5" w14:textId="77777777" w:rsidR="00A820C4" w:rsidRPr="00D40ECC" w:rsidRDefault="00A820C4" w:rsidP="005638C6">
            <w:pPr>
              <w:tabs>
                <w:tab w:val="decimal" w:pos="909"/>
                <w:tab w:val="decimal" w:pos="1252"/>
              </w:tabs>
              <w:spacing w:line="360" w:lineRule="auto"/>
              <w:jc w:val="both"/>
              <w:textAlignment w:val="baseline"/>
              <w:rPr>
                <w:rFonts w:ascii="Book Antiqua" w:eastAsia="Times New Roman" w:hAnsi="Book Antiqua" w:cs="Calibri"/>
                <w:color w:val="000000"/>
              </w:rPr>
            </w:pPr>
          </w:p>
        </w:tc>
        <w:tc>
          <w:tcPr>
            <w:tcW w:w="1338" w:type="dxa"/>
            <w:shd w:val="clear" w:color="auto" w:fill="auto"/>
          </w:tcPr>
          <w:p w14:paraId="2709F94B" w14:textId="77777777" w:rsidR="00A820C4" w:rsidRPr="00D40ECC" w:rsidRDefault="00A820C4" w:rsidP="005638C6">
            <w:pPr>
              <w:tabs>
                <w:tab w:val="decimal" w:pos="266"/>
              </w:tabs>
              <w:spacing w:line="360" w:lineRule="auto"/>
              <w:jc w:val="both"/>
              <w:textAlignment w:val="baseline"/>
              <w:rPr>
                <w:rFonts w:ascii="Book Antiqua" w:eastAsia="Times New Roman" w:hAnsi="Book Antiqua" w:cs="Calibri"/>
                <w:color w:val="000000"/>
              </w:rPr>
            </w:pPr>
          </w:p>
        </w:tc>
      </w:tr>
      <w:tr w:rsidR="00A820C4" w:rsidRPr="00D40ECC" w14:paraId="200AA2A7" w14:textId="77777777" w:rsidTr="00000E98">
        <w:tc>
          <w:tcPr>
            <w:tcW w:w="3828" w:type="dxa"/>
            <w:shd w:val="clear" w:color="auto" w:fill="auto"/>
          </w:tcPr>
          <w:p w14:paraId="4D044648" w14:textId="07291ECC" w:rsidR="00A820C4" w:rsidRPr="00D40ECC" w:rsidRDefault="00A820C4" w:rsidP="005638C6">
            <w:pPr>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Non-dependent use</w:t>
            </w:r>
          </w:p>
        </w:tc>
        <w:tc>
          <w:tcPr>
            <w:tcW w:w="2719" w:type="dxa"/>
            <w:shd w:val="clear" w:color="auto" w:fill="auto"/>
          </w:tcPr>
          <w:p w14:paraId="380913DF" w14:textId="77777777" w:rsidR="00A820C4" w:rsidRPr="00D40ECC" w:rsidRDefault="00A820C4" w:rsidP="005638C6">
            <w:pPr>
              <w:tabs>
                <w:tab w:val="decimal" w:pos="811"/>
                <w:tab w:val="decimal" w:pos="991"/>
              </w:tabs>
              <w:spacing w:line="360" w:lineRule="auto"/>
              <w:ind w:left="811"/>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94.1%</w:t>
            </w:r>
          </w:p>
        </w:tc>
        <w:tc>
          <w:tcPr>
            <w:tcW w:w="3881" w:type="dxa"/>
            <w:shd w:val="clear" w:color="auto" w:fill="auto"/>
          </w:tcPr>
          <w:p w14:paraId="4F4C1213" w14:textId="4F8F2511" w:rsidR="00A820C4" w:rsidRPr="00D40ECC" w:rsidRDefault="00A820C4" w:rsidP="005638C6">
            <w:pPr>
              <w:tabs>
                <w:tab w:val="decimal" w:pos="909"/>
              </w:tabs>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0 (by definition)</w:t>
            </w:r>
          </w:p>
        </w:tc>
        <w:tc>
          <w:tcPr>
            <w:tcW w:w="1338" w:type="dxa"/>
            <w:shd w:val="clear" w:color="auto" w:fill="auto"/>
          </w:tcPr>
          <w:p w14:paraId="345E485B" w14:textId="77777777" w:rsidR="00A820C4" w:rsidRPr="00D40ECC" w:rsidRDefault="00A820C4" w:rsidP="005638C6">
            <w:pPr>
              <w:tabs>
                <w:tab w:val="decimal" w:pos="266"/>
              </w:tabs>
              <w:spacing w:line="360" w:lineRule="auto"/>
              <w:jc w:val="both"/>
              <w:textAlignment w:val="baseline"/>
              <w:rPr>
                <w:rFonts w:ascii="Book Antiqua" w:eastAsia="Times New Roman" w:hAnsi="Book Antiqua" w:cs="Calibri"/>
                <w:color w:val="000000"/>
              </w:rPr>
            </w:pPr>
          </w:p>
        </w:tc>
      </w:tr>
      <w:tr w:rsidR="00A820C4" w:rsidRPr="00D40ECC" w14:paraId="56AD6E7B" w14:textId="77777777" w:rsidTr="00000E98">
        <w:tc>
          <w:tcPr>
            <w:tcW w:w="3828" w:type="dxa"/>
            <w:shd w:val="clear" w:color="auto" w:fill="auto"/>
          </w:tcPr>
          <w:p w14:paraId="530EA11B" w14:textId="77777777" w:rsidR="00A820C4" w:rsidRPr="00D40ECC" w:rsidRDefault="00A820C4" w:rsidP="005638C6">
            <w:pPr>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Dependent use</w:t>
            </w:r>
          </w:p>
        </w:tc>
        <w:tc>
          <w:tcPr>
            <w:tcW w:w="2719" w:type="dxa"/>
            <w:shd w:val="clear" w:color="auto" w:fill="auto"/>
          </w:tcPr>
          <w:p w14:paraId="73476ABD"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5.9%</w:t>
            </w:r>
          </w:p>
        </w:tc>
        <w:tc>
          <w:tcPr>
            <w:tcW w:w="3881" w:type="dxa"/>
            <w:shd w:val="clear" w:color="auto" w:fill="auto"/>
          </w:tcPr>
          <w:p w14:paraId="15D6BE03" w14:textId="418DD66A" w:rsidR="00A820C4" w:rsidRPr="00D40ECC" w:rsidRDefault="00A820C4" w:rsidP="005638C6">
            <w:pPr>
              <w:tabs>
                <w:tab w:val="decimal" w:pos="909"/>
              </w:tabs>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0 (by definition)</w:t>
            </w:r>
          </w:p>
        </w:tc>
        <w:tc>
          <w:tcPr>
            <w:tcW w:w="1338" w:type="dxa"/>
            <w:shd w:val="clear" w:color="auto" w:fill="auto"/>
          </w:tcPr>
          <w:p w14:paraId="6A443B8D" w14:textId="77777777" w:rsidR="00A820C4" w:rsidRPr="00D40ECC" w:rsidRDefault="00A820C4" w:rsidP="005638C6">
            <w:pPr>
              <w:tabs>
                <w:tab w:val="decimal" w:pos="266"/>
              </w:tabs>
              <w:spacing w:line="360" w:lineRule="auto"/>
              <w:jc w:val="both"/>
              <w:textAlignment w:val="baseline"/>
              <w:rPr>
                <w:rFonts w:ascii="Book Antiqua" w:eastAsia="Times New Roman" w:hAnsi="Book Antiqua" w:cs="Calibri"/>
                <w:color w:val="000000"/>
              </w:rPr>
            </w:pPr>
          </w:p>
        </w:tc>
      </w:tr>
      <w:tr w:rsidR="00A820C4" w:rsidRPr="00D40ECC" w14:paraId="76AABD7A" w14:textId="77777777" w:rsidTr="00000E98">
        <w:tc>
          <w:tcPr>
            <w:tcW w:w="3828" w:type="dxa"/>
            <w:shd w:val="clear" w:color="auto" w:fill="auto"/>
          </w:tcPr>
          <w:p w14:paraId="47750AFC" w14:textId="35C32966" w:rsidR="00A820C4" w:rsidRPr="00D40ECC" w:rsidRDefault="00A820C4" w:rsidP="005638C6">
            <w:pPr>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Length of stay (days)</w:t>
            </w:r>
          </w:p>
        </w:tc>
        <w:tc>
          <w:tcPr>
            <w:tcW w:w="2719" w:type="dxa"/>
            <w:shd w:val="clear" w:color="auto" w:fill="auto"/>
          </w:tcPr>
          <w:p w14:paraId="7AA5F887" w14:textId="194E2ED8" w:rsidR="00A820C4" w:rsidRPr="00D40ECC" w:rsidRDefault="00A820C4" w:rsidP="005638C6">
            <w:pPr>
              <w:tabs>
                <w:tab w:val="decimal" w:pos="991"/>
              </w:tabs>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5.1</w:t>
            </w:r>
          </w:p>
        </w:tc>
        <w:tc>
          <w:tcPr>
            <w:tcW w:w="3881" w:type="dxa"/>
            <w:shd w:val="clear" w:color="auto" w:fill="auto"/>
          </w:tcPr>
          <w:p w14:paraId="410D6CBD" w14:textId="6767CB04" w:rsidR="00A820C4" w:rsidRPr="00D40ECC" w:rsidRDefault="00A820C4" w:rsidP="005638C6">
            <w:pPr>
              <w:tabs>
                <w:tab w:val="decimal" w:pos="909"/>
              </w:tabs>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4.9</w:t>
            </w:r>
          </w:p>
        </w:tc>
        <w:tc>
          <w:tcPr>
            <w:tcW w:w="1338" w:type="dxa"/>
            <w:shd w:val="clear" w:color="auto" w:fill="auto"/>
          </w:tcPr>
          <w:p w14:paraId="246FF8DB" w14:textId="44DCD873" w:rsidR="00A820C4" w:rsidRPr="00D40ECC" w:rsidRDefault="00A820C4" w:rsidP="005638C6">
            <w:pPr>
              <w:spacing w:line="360" w:lineRule="auto"/>
              <w:jc w:val="both"/>
              <w:rPr>
                <w:rFonts w:ascii="Book Antiqua" w:hAnsi="Book Antiqua"/>
                <w:vertAlign w:val="superscript"/>
              </w:rPr>
            </w:pPr>
            <w:r w:rsidRPr="00D40ECC">
              <w:rPr>
                <w:rFonts w:ascii="Book Antiqua" w:eastAsia="Times New Roman" w:hAnsi="Book Antiqua" w:cs="Calibri"/>
                <w:color w:val="000000"/>
              </w:rPr>
              <w:t>0.18</w:t>
            </w:r>
            <w:r w:rsidRPr="00D40ECC">
              <w:rPr>
                <w:rFonts w:ascii="Book Antiqua" w:hAnsi="Book Antiqua" w:cs="Calibri"/>
                <w:color w:val="000000"/>
                <w:vertAlign w:val="superscript"/>
              </w:rPr>
              <w:t>2</w:t>
            </w:r>
          </w:p>
        </w:tc>
      </w:tr>
      <w:tr w:rsidR="00A820C4" w:rsidRPr="00D40ECC" w14:paraId="69145924" w14:textId="77777777" w:rsidTr="00000E98">
        <w:trPr>
          <w:trHeight w:val="408"/>
        </w:trPr>
        <w:tc>
          <w:tcPr>
            <w:tcW w:w="3828" w:type="dxa"/>
            <w:shd w:val="clear" w:color="auto" w:fill="auto"/>
          </w:tcPr>
          <w:p w14:paraId="538998AC" w14:textId="51D0E3D8" w:rsidR="00A820C4" w:rsidRPr="00D40ECC" w:rsidRDefault="00A820C4" w:rsidP="005638C6">
            <w:pPr>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 xml:space="preserve">Total </w:t>
            </w:r>
            <w:r w:rsidR="000B441F" w:rsidRPr="00D40ECC">
              <w:rPr>
                <w:rFonts w:ascii="Book Antiqua" w:eastAsia="Times New Roman" w:hAnsi="Book Antiqua" w:cs="Calibri"/>
                <w:color w:val="000000"/>
              </w:rPr>
              <w:t>h</w:t>
            </w:r>
            <w:r w:rsidRPr="00D40ECC">
              <w:rPr>
                <w:rFonts w:ascii="Book Antiqua" w:eastAsia="Times New Roman" w:hAnsi="Book Antiqua" w:cs="Calibri"/>
                <w:color w:val="000000"/>
              </w:rPr>
              <w:t xml:space="preserve">ospitalization </w:t>
            </w:r>
            <w:r w:rsidR="000B441F" w:rsidRPr="00D40ECC">
              <w:rPr>
                <w:rFonts w:ascii="Book Antiqua" w:eastAsia="Times New Roman" w:hAnsi="Book Antiqua" w:cs="Calibri"/>
                <w:color w:val="000000"/>
              </w:rPr>
              <w:t>c</w:t>
            </w:r>
            <w:r w:rsidRPr="00D40ECC">
              <w:rPr>
                <w:rFonts w:ascii="Book Antiqua" w:eastAsia="Times New Roman" w:hAnsi="Book Antiqua" w:cs="Calibri"/>
                <w:color w:val="000000"/>
              </w:rPr>
              <w:t>harges</w:t>
            </w:r>
          </w:p>
        </w:tc>
        <w:tc>
          <w:tcPr>
            <w:tcW w:w="2719" w:type="dxa"/>
            <w:shd w:val="clear" w:color="auto" w:fill="auto"/>
          </w:tcPr>
          <w:p w14:paraId="48BFD2B6" w14:textId="14D13B95" w:rsidR="00A820C4" w:rsidRPr="00D40ECC" w:rsidRDefault="00A820C4" w:rsidP="005638C6">
            <w:pPr>
              <w:tabs>
                <w:tab w:val="decimal" w:pos="271"/>
                <w:tab w:val="decimal" w:pos="361"/>
                <w:tab w:val="decimal" w:pos="991"/>
              </w:tabs>
              <w:spacing w:line="360" w:lineRule="auto"/>
              <w:ind w:firstLineChars="200" w:firstLine="480"/>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$42503</w:t>
            </w:r>
          </w:p>
        </w:tc>
        <w:tc>
          <w:tcPr>
            <w:tcW w:w="3881" w:type="dxa"/>
            <w:shd w:val="clear" w:color="auto" w:fill="auto"/>
          </w:tcPr>
          <w:p w14:paraId="587A885F" w14:textId="39E7836B" w:rsidR="00A820C4" w:rsidRPr="00D40ECC" w:rsidRDefault="00A820C4" w:rsidP="005638C6">
            <w:pPr>
              <w:tabs>
                <w:tab w:val="decimal" w:pos="909"/>
                <w:tab w:val="decimal" w:pos="995"/>
              </w:tabs>
              <w:spacing w:line="360" w:lineRule="auto"/>
              <w:ind w:firstLineChars="200" w:firstLine="480"/>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$43183</w:t>
            </w:r>
          </w:p>
        </w:tc>
        <w:tc>
          <w:tcPr>
            <w:tcW w:w="1338" w:type="dxa"/>
            <w:shd w:val="clear" w:color="auto" w:fill="auto"/>
          </w:tcPr>
          <w:p w14:paraId="632DA4B3" w14:textId="1CA9F41B" w:rsidR="00A820C4" w:rsidRPr="00D40ECC" w:rsidRDefault="00A820C4" w:rsidP="005638C6">
            <w:pPr>
              <w:spacing w:line="360" w:lineRule="auto"/>
              <w:jc w:val="both"/>
              <w:rPr>
                <w:rFonts w:ascii="Book Antiqua" w:eastAsia="Times New Roman" w:hAnsi="Book Antiqua" w:cs="Calibri"/>
                <w:color w:val="000000"/>
              </w:rPr>
            </w:pPr>
            <w:r w:rsidRPr="00D40ECC">
              <w:rPr>
                <w:rFonts w:ascii="Book Antiqua" w:eastAsia="Times New Roman" w:hAnsi="Book Antiqua" w:cs="Calibri"/>
                <w:color w:val="000000"/>
              </w:rPr>
              <w:t>NS</w:t>
            </w:r>
            <w:r w:rsidRPr="00D40ECC">
              <w:rPr>
                <w:rFonts w:ascii="Book Antiqua" w:hAnsi="Book Antiqua" w:cs="Calibri"/>
                <w:color w:val="000000"/>
                <w:vertAlign w:val="superscript"/>
              </w:rPr>
              <w:t>2</w:t>
            </w:r>
          </w:p>
        </w:tc>
      </w:tr>
      <w:tr w:rsidR="00A820C4" w:rsidRPr="00D40ECC" w14:paraId="1B0FB838" w14:textId="77777777" w:rsidTr="00000E98">
        <w:tc>
          <w:tcPr>
            <w:tcW w:w="3828" w:type="dxa"/>
            <w:shd w:val="clear" w:color="auto" w:fill="auto"/>
          </w:tcPr>
          <w:p w14:paraId="4CACAC6B" w14:textId="77777777" w:rsidR="00A820C4" w:rsidRPr="00D40ECC" w:rsidRDefault="00A820C4" w:rsidP="005638C6">
            <w:pPr>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Comorbidities</w:t>
            </w:r>
          </w:p>
        </w:tc>
        <w:tc>
          <w:tcPr>
            <w:tcW w:w="2719" w:type="dxa"/>
            <w:shd w:val="clear" w:color="auto" w:fill="auto"/>
          </w:tcPr>
          <w:p w14:paraId="175F65C2" w14:textId="77777777" w:rsidR="00A820C4" w:rsidRPr="00D40ECC" w:rsidRDefault="00A820C4" w:rsidP="005638C6">
            <w:pPr>
              <w:tabs>
                <w:tab w:val="decimal" w:pos="271"/>
                <w:tab w:val="decimal" w:pos="361"/>
                <w:tab w:val="decimal" w:pos="991"/>
              </w:tabs>
              <w:spacing w:line="360" w:lineRule="auto"/>
              <w:jc w:val="both"/>
              <w:textAlignment w:val="baseline"/>
              <w:rPr>
                <w:rFonts w:ascii="Book Antiqua" w:eastAsia="Times New Roman" w:hAnsi="Book Antiqua" w:cs="Calibri"/>
                <w:color w:val="000000"/>
              </w:rPr>
            </w:pPr>
          </w:p>
        </w:tc>
        <w:tc>
          <w:tcPr>
            <w:tcW w:w="3881" w:type="dxa"/>
            <w:shd w:val="clear" w:color="auto" w:fill="auto"/>
          </w:tcPr>
          <w:p w14:paraId="41CF71A2" w14:textId="77777777" w:rsidR="00A820C4" w:rsidRPr="00D40ECC" w:rsidRDefault="00A820C4" w:rsidP="005638C6">
            <w:pPr>
              <w:tabs>
                <w:tab w:val="decimal" w:pos="909"/>
                <w:tab w:val="decimal" w:pos="995"/>
              </w:tabs>
              <w:spacing w:line="360" w:lineRule="auto"/>
              <w:jc w:val="both"/>
              <w:textAlignment w:val="baseline"/>
              <w:rPr>
                <w:rFonts w:ascii="Book Antiqua" w:eastAsia="Times New Roman" w:hAnsi="Book Antiqua" w:cs="Calibri"/>
                <w:color w:val="000000"/>
              </w:rPr>
            </w:pPr>
          </w:p>
        </w:tc>
        <w:tc>
          <w:tcPr>
            <w:tcW w:w="1338" w:type="dxa"/>
            <w:shd w:val="clear" w:color="auto" w:fill="auto"/>
          </w:tcPr>
          <w:p w14:paraId="4E47297E" w14:textId="77777777" w:rsidR="00A820C4" w:rsidRPr="00D40ECC" w:rsidRDefault="00A820C4" w:rsidP="005638C6">
            <w:pPr>
              <w:tabs>
                <w:tab w:val="decimal" w:pos="266"/>
              </w:tabs>
              <w:spacing w:line="360" w:lineRule="auto"/>
              <w:jc w:val="both"/>
              <w:textAlignment w:val="baseline"/>
              <w:rPr>
                <w:rFonts w:ascii="Book Antiqua" w:eastAsia="Times New Roman" w:hAnsi="Book Antiqua" w:cs="Calibri"/>
                <w:color w:val="000000"/>
              </w:rPr>
            </w:pPr>
          </w:p>
        </w:tc>
      </w:tr>
      <w:tr w:rsidR="00A820C4" w:rsidRPr="00D40ECC" w14:paraId="025145E3" w14:textId="77777777" w:rsidTr="00000E98">
        <w:tc>
          <w:tcPr>
            <w:tcW w:w="3828" w:type="dxa"/>
            <w:shd w:val="clear" w:color="auto" w:fill="auto"/>
          </w:tcPr>
          <w:p w14:paraId="451AEFF8" w14:textId="77777777" w:rsidR="00A820C4" w:rsidRPr="00D40ECC" w:rsidRDefault="00A820C4" w:rsidP="005638C6">
            <w:pPr>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lastRenderedPageBreak/>
              <w:t>Diabetes</w:t>
            </w:r>
          </w:p>
        </w:tc>
        <w:tc>
          <w:tcPr>
            <w:tcW w:w="2719" w:type="dxa"/>
            <w:shd w:val="clear" w:color="auto" w:fill="auto"/>
          </w:tcPr>
          <w:p w14:paraId="3574DCB4"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29.2%</w:t>
            </w:r>
          </w:p>
        </w:tc>
        <w:tc>
          <w:tcPr>
            <w:tcW w:w="3881" w:type="dxa"/>
            <w:shd w:val="clear" w:color="auto" w:fill="auto"/>
          </w:tcPr>
          <w:p w14:paraId="5F43B689" w14:textId="77777777" w:rsidR="00A820C4" w:rsidRPr="00D40ECC" w:rsidRDefault="00A820C4" w:rsidP="005638C6">
            <w:pPr>
              <w:tabs>
                <w:tab w:val="decimal" w:pos="909"/>
              </w:tabs>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34.8%</w:t>
            </w:r>
          </w:p>
        </w:tc>
        <w:tc>
          <w:tcPr>
            <w:tcW w:w="1338" w:type="dxa"/>
            <w:shd w:val="clear" w:color="auto" w:fill="auto"/>
          </w:tcPr>
          <w:p w14:paraId="43BE9B1B" w14:textId="0AB3B840" w:rsidR="00A820C4" w:rsidRPr="00D40ECC" w:rsidRDefault="00A820C4" w:rsidP="005638C6">
            <w:pPr>
              <w:tabs>
                <w:tab w:val="decimal" w:pos="266"/>
              </w:tabs>
              <w:spacing w:line="360" w:lineRule="auto"/>
              <w:ind w:firstLineChars="100" w:firstLine="240"/>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&lt;</w:t>
            </w:r>
            <w:r w:rsidR="00D373D5" w:rsidRPr="00D40ECC">
              <w:rPr>
                <w:rFonts w:ascii="Book Antiqua" w:eastAsia="Times New Roman" w:hAnsi="Book Antiqua" w:cs="Calibri"/>
                <w:color w:val="000000"/>
              </w:rPr>
              <w:t xml:space="preserve"> </w:t>
            </w:r>
            <w:r w:rsidRPr="00D40ECC">
              <w:rPr>
                <w:rFonts w:ascii="Book Antiqua" w:eastAsia="Times New Roman" w:hAnsi="Book Antiqua" w:cs="Calibri"/>
                <w:color w:val="000000"/>
              </w:rPr>
              <w:t>0.05</w:t>
            </w:r>
            <w:r w:rsidR="007858AD" w:rsidRPr="00D40ECC">
              <w:rPr>
                <w:rFonts w:ascii="Book Antiqua" w:eastAsia="Times New Roman" w:hAnsi="Book Antiqua" w:cs="Calibri"/>
                <w:color w:val="000000"/>
                <w:vertAlign w:val="superscript"/>
              </w:rPr>
              <w:t>5</w:t>
            </w:r>
          </w:p>
        </w:tc>
      </w:tr>
      <w:tr w:rsidR="00A820C4" w:rsidRPr="00D40ECC" w14:paraId="5773C327" w14:textId="77777777" w:rsidTr="00000E98">
        <w:tc>
          <w:tcPr>
            <w:tcW w:w="3828" w:type="dxa"/>
            <w:shd w:val="clear" w:color="auto" w:fill="auto"/>
          </w:tcPr>
          <w:p w14:paraId="02F2B83C" w14:textId="77777777" w:rsidR="00A820C4" w:rsidRPr="00D40ECC" w:rsidRDefault="00A820C4" w:rsidP="005638C6">
            <w:pPr>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Obesity</w:t>
            </w:r>
          </w:p>
        </w:tc>
        <w:tc>
          <w:tcPr>
            <w:tcW w:w="2719" w:type="dxa"/>
            <w:shd w:val="clear" w:color="auto" w:fill="auto"/>
          </w:tcPr>
          <w:p w14:paraId="34929411"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29.5%</w:t>
            </w:r>
          </w:p>
        </w:tc>
        <w:tc>
          <w:tcPr>
            <w:tcW w:w="3881" w:type="dxa"/>
            <w:shd w:val="clear" w:color="auto" w:fill="auto"/>
          </w:tcPr>
          <w:p w14:paraId="76471879" w14:textId="77777777" w:rsidR="00A820C4" w:rsidRPr="00D40ECC" w:rsidRDefault="00A820C4" w:rsidP="005638C6">
            <w:pPr>
              <w:tabs>
                <w:tab w:val="decimal" w:pos="909"/>
              </w:tabs>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49.4%</w:t>
            </w:r>
          </w:p>
        </w:tc>
        <w:tc>
          <w:tcPr>
            <w:tcW w:w="1338" w:type="dxa"/>
            <w:shd w:val="clear" w:color="auto" w:fill="auto"/>
          </w:tcPr>
          <w:p w14:paraId="2082DD62" w14:textId="2CE36F37" w:rsidR="00A820C4" w:rsidRPr="00D40ECC" w:rsidRDefault="00A820C4" w:rsidP="005638C6">
            <w:pPr>
              <w:tabs>
                <w:tab w:val="decimal" w:pos="266"/>
              </w:tabs>
              <w:spacing w:line="360" w:lineRule="auto"/>
              <w:ind w:firstLineChars="100" w:firstLine="240"/>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&lt;</w:t>
            </w:r>
            <w:r w:rsidR="00D373D5" w:rsidRPr="00D40ECC">
              <w:rPr>
                <w:rFonts w:ascii="Book Antiqua" w:eastAsia="Times New Roman" w:hAnsi="Book Antiqua" w:cs="Calibri"/>
                <w:color w:val="000000"/>
              </w:rPr>
              <w:t xml:space="preserve"> </w:t>
            </w:r>
            <w:r w:rsidRPr="00D40ECC">
              <w:rPr>
                <w:rFonts w:ascii="Book Antiqua" w:eastAsia="Times New Roman" w:hAnsi="Book Antiqua" w:cs="Calibri"/>
                <w:color w:val="000000"/>
              </w:rPr>
              <w:t>0.05</w:t>
            </w:r>
            <w:r w:rsidR="007858AD" w:rsidRPr="00D40ECC">
              <w:rPr>
                <w:rFonts w:ascii="Book Antiqua" w:eastAsia="Times New Roman" w:hAnsi="Book Antiqua" w:cs="Calibri"/>
                <w:color w:val="000000"/>
                <w:vertAlign w:val="superscript"/>
              </w:rPr>
              <w:t>5</w:t>
            </w:r>
          </w:p>
        </w:tc>
      </w:tr>
      <w:tr w:rsidR="00A820C4" w:rsidRPr="00D40ECC" w14:paraId="6A7172B4" w14:textId="77777777" w:rsidTr="00000E98">
        <w:tc>
          <w:tcPr>
            <w:tcW w:w="3828" w:type="dxa"/>
            <w:shd w:val="clear" w:color="auto" w:fill="auto"/>
          </w:tcPr>
          <w:p w14:paraId="0F12A51C" w14:textId="77777777" w:rsidR="00A820C4" w:rsidRPr="00D40ECC" w:rsidRDefault="00A820C4" w:rsidP="005638C6">
            <w:pPr>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Hyperlipidemia</w:t>
            </w:r>
          </w:p>
        </w:tc>
        <w:tc>
          <w:tcPr>
            <w:tcW w:w="2719" w:type="dxa"/>
            <w:shd w:val="clear" w:color="auto" w:fill="auto"/>
          </w:tcPr>
          <w:p w14:paraId="5954D2E6"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24.2%</w:t>
            </w:r>
          </w:p>
        </w:tc>
        <w:tc>
          <w:tcPr>
            <w:tcW w:w="3881" w:type="dxa"/>
            <w:shd w:val="clear" w:color="auto" w:fill="auto"/>
          </w:tcPr>
          <w:p w14:paraId="262BB672" w14:textId="77777777" w:rsidR="00A820C4" w:rsidRPr="00D40ECC" w:rsidRDefault="00A820C4" w:rsidP="005638C6">
            <w:pPr>
              <w:tabs>
                <w:tab w:val="decimal" w:pos="909"/>
              </w:tabs>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32.4%</w:t>
            </w:r>
          </w:p>
        </w:tc>
        <w:tc>
          <w:tcPr>
            <w:tcW w:w="1338" w:type="dxa"/>
            <w:shd w:val="clear" w:color="auto" w:fill="auto"/>
          </w:tcPr>
          <w:p w14:paraId="7602F4AC" w14:textId="6162865C" w:rsidR="00A820C4" w:rsidRPr="00D40ECC" w:rsidRDefault="00A820C4" w:rsidP="005638C6">
            <w:pPr>
              <w:tabs>
                <w:tab w:val="decimal" w:pos="266"/>
              </w:tabs>
              <w:spacing w:line="360" w:lineRule="auto"/>
              <w:ind w:firstLineChars="100" w:firstLine="240"/>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&lt;</w:t>
            </w:r>
            <w:r w:rsidR="00D373D5" w:rsidRPr="00D40ECC">
              <w:rPr>
                <w:rFonts w:ascii="Book Antiqua" w:eastAsia="Times New Roman" w:hAnsi="Book Antiqua" w:cs="Calibri"/>
                <w:color w:val="000000"/>
              </w:rPr>
              <w:t xml:space="preserve"> </w:t>
            </w:r>
            <w:r w:rsidRPr="00D40ECC">
              <w:rPr>
                <w:rFonts w:ascii="Book Antiqua" w:eastAsia="Times New Roman" w:hAnsi="Book Antiqua" w:cs="Calibri"/>
                <w:color w:val="000000"/>
              </w:rPr>
              <w:t>0.05</w:t>
            </w:r>
            <w:r w:rsidR="00F07030" w:rsidRPr="00D40ECC">
              <w:rPr>
                <w:rFonts w:ascii="Book Antiqua" w:eastAsia="Times New Roman" w:hAnsi="Book Antiqua" w:cs="Calibri"/>
                <w:color w:val="000000"/>
                <w:vertAlign w:val="superscript"/>
              </w:rPr>
              <w:t>5</w:t>
            </w:r>
          </w:p>
        </w:tc>
      </w:tr>
      <w:tr w:rsidR="00A820C4" w:rsidRPr="00D40ECC" w14:paraId="36549FAC" w14:textId="77777777" w:rsidTr="00000E98">
        <w:tc>
          <w:tcPr>
            <w:tcW w:w="3828" w:type="dxa"/>
            <w:shd w:val="clear" w:color="auto" w:fill="auto"/>
          </w:tcPr>
          <w:p w14:paraId="1D4A45EC" w14:textId="29AF0A09" w:rsidR="00A820C4" w:rsidRPr="00D40ECC" w:rsidRDefault="00A820C4" w:rsidP="005638C6">
            <w:pPr>
              <w:spacing w:line="360" w:lineRule="auto"/>
              <w:jc w:val="both"/>
              <w:textAlignment w:val="baseline"/>
              <w:rPr>
                <w:rFonts w:ascii="Book Antiqua" w:eastAsia="Times New Roman" w:hAnsi="Book Antiqua" w:cs="Calibri"/>
                <w:color w:val="000000"/>
              </w:rPr>
            </w:pPr>
            <w:r w:rsidRPr="00D40ECC">
              <w:rPr>
                <w:rFonts w:ascii="Book Antiqua" w:eastAsia="Times New Roman" w:hAnsi="Book Antiqua" w:cs="Calibri"/>
                <w:color w:val="000000"/>
              </w:rPr>
              <w:t xml:space="preserve">Clinical </w:t>
            </w:r>
            <w:r w:rsidR="000B441F" w:rsidRPr="00D40ECC">
              <w:rPr>
                <w:rFonts w:ascii="Book Antiqua" w:eastAsia="Times New Roman" w:hAnsi="Book Antiqua" w:cs="Calibri"/>
                <w:color w:val="000000"/>
              </w:rPr>
              <w:t>o</w:t>
            </w:r>
            <w:r w:rsidRPr="00D40ECC">
              <w:rPr>
                <w:rFonts w:ascii="Book Antiqua" w:eastAsia="Times New Roman" w:hAnsi="Book Antiqua" w:cs="Calibri"/>
                <w:color w:val="000000"/>
              </w:rPr>
              <w:t>utcomes</w:t>
            </w:r>
          </w:p>
        </w:tc>
        <w:tc>
          <w:tcPr>
            <w:tcW w:w="2719" w:type="dxa"/>
            <w:shd w:val="clear" w:color="auto" w:fill="auto"/>
          </w:tcPr>
          <w:p w14:paraId="4569431B" w14:textId="77777777" w:rsidR="00A820C4" w:rsidRPr="00D40ECC" w:rsidRDefault="00A820C4" w:rsidP="005638C6">
            <w:pPr>
              <w:tabs>
                <w:tab w:val="decimal" w:pos="991"/>
              </w:tabs>
              <w:spacing w:line="360" w:lineRule="auto"/>
              <w:jc w:val="both"/>
              <w:textAlignment w:val="baseline"/>
              <w:rPr>
                <w:rFonts w:ascii="Book Antiqua" w:eastAsia="Times New Roman" w:hAnsi="Book Antiqua" w:cs="Calibri"/>
                <w:color w:val="000000"/>
              </w:rPr>
            </w:pPr>
          </w:p>
        </w:tc>
        <w:tc>
          <w:tcPr>
            <w:tcW w:w="3881" w:type="dxa"/>
            <w:shd w:val="clear" w:color="auto" w:fill="auto"/>
          </w:tcPr>
          <w:p w14:paraId="72402A83" w14:textId="77777777" w:rsidR="00A820C4" w:rsidRPr="00D40ECC" w:rsidRDefault="00A820C4" w:rsidP="005638C6">
            <w:pPr>
              <w:tabs>
                <w:tab w:val="decimal" w:pos="909"/>
              </w:tabs>
              <w:spacing w:line="360" w:lineRule="auto"/>
              <w:jc w:val="both"/>
              <w:textAlignment w:val="baseline"/>
              <w:rPr>
                <w:rFonts w:ascii="Book Antiqua" w:eastAsia="Times New Roman" w:hAnsi="Book Antiqua" w:cs="Calibri"/>
                <w:color w:val="000000"/>
              </w:rPr>
            </w:pPr>
          </w:p>
        </w:tc>
        <w:tc>
          <w:tcPr>
            <w:tcW w:w="1338" w:type="dxa"/>
            <w:shd w:val="clear" w:color="auto" w:fill="auto"/>
          </w:tcPr>
          <w:p w14:paraId="22ABDD47" w14:textId="77777777" w:rsidR="00A820C4" w:rsidRPr="00D40ECC" w:rsidRDefault="00A820C4" w:rsidP="005638C6">
            <w:pPr>
              <w:tabs>
                <w:tab w:val="decimal" w:pos="266"/>
              </w:tabs>
              <w:spacing w:line="360" w:lineRule="auto"/>
              <w:jc w:val="both"/>
              <w:textAlignment w:val="baseline"/>
              <w:rPr>
                <w:rFonts w:ascii="Book Antiqua" w:eastAsia="Times New Roman" w:hAnsi="Book Antiqua" w:cs="Calibri"/>
                <w:color w:val="000000"/>
              </w:rPr>
            </w:pPr>
          </w:p>
        </w:tc>
      </w:tr>
      <w:tr w:rsidR="00A820C4" w:rsidRPr="00D40ECC" w14:paraId="001AE9A3" w14:textId="77777777" w:rsidTr="00000E98">
        <w:tc>
          <w:tcPr>
            <w:tcW w:w="3828" w:type="dxa"/>
            <w:shd w:val="clear" w:color="auto" w:fill="auto"/>
          </w:tcPr>
          <w:p w14:paraId="677E49C5" w14:textId="39B5118D" w:rsidR="00A820C4" w:rsidRPr="00D40ECC" w:rsidRDefault="00A820C4" w:rsidP="005638C6">
            <w:pPr>
              <w:spacing w:line="360" w:lineRule="auto"/>
              <w:jc w:val="both"/>
              <w:rPr>
                <w:rFonts w:ascii="Book Antiqua" w:eastAsia="Times New Roman" w:hAnsi="Book Antiqua" w:cs="Calibri"/>
                <w:color w:val="000000"/>
              </w:rPr>
            </w:pPr>
            <w:r w:rsidRPr="00D40ECC">
              <w:rPr>
                <w:rFonts w:ascii="Book Antiqua" w:eastAsia="Times New Roman" w:hAnsi="Book Antiqua" w:cs="Calibri"/>
                <w:color w:val="000000"/>
              </w:rPr>
              <w:t xml:space="preserve">Portal </w:t>
            </w:r>
            <w:r w:rsidR="000B441F" w:rsidRPr="00D40ECC">
              <w:rPr>
                <w:rFonts w:ascii="Book Antiqua" w:eastAsia="Times New Roman" w:hAnsi="Book Antiqua" w:cs="Calibri"/>
                <w:color w:val="000000"/>
              </w:rPr>
              <w:t>h</w:t>
            </w:r>
            <w:r w:rsidRPr="00D40ECC">
              <w:rPr>
                <w:rFonts w:ascii="Book Antiqua" w:eastAsia="Times New Roman" w:hAnsi="Book Antiqua" w:cs="Calibri"/>
                <w:color w:val="000000"/>
              </w:rPr>
              <w:t>ypertension</w:t>
            </w:r>
          </w:p>
        </w:tc>
        <w:tc>
          <w:tcPr>
            <w:tcW w:w="2719" w:type="dxa"/>
            <w:shd w:val="clear" w:color="auto" w:fill="auto"/>
          </w:tcPr>
          <w:p w14:paraId="72E104EC" w14:textId="77777777" w:rsidR="00A820C4" w:rsidRPr="00D40ECC" w:rsidRDefault="00A820C4" w:rsidP="005638C6">
            <w:pPr>
              <w:spacing w:line="360" w:lineRule="auto"/>
              <w:ind w:firstLineChars="200" w:firstLine="480"/>
              <w:jc w:val="both"/>
              <w:rPr>
                <w:rFonts w:ascii="Book Antiqua" w:eastAsia="Times New Roman" w:hAnsi="Book Antiqua" w:cs="Calibri"/>
                <w:color w:val="000000"/>
              </w:rPr>
            </w:pPr>
            <w:r w:rsidRPr="00D40ECC">
              <w:rPr>
                <w:rFonts w:ascii="Book Antiqua" w:eastAsia="Times New Roman" w:hAnsi="Book Antiqua" w:cs="Calibri"/>
                <w:color w:val="000000"/>
              </w:rPr>
              <w:t>80 (2.1%)</w:t>
            </w:r>
          </w:p>
        </w:tc>
        <w:tc>
          <w:tcPr>
            <w:tcW w:w="3881" w:type="dxa"/>
            <w:shd w:val="clear" w:color="auto" w:fill="auto"/>
          </w:tcPr>
          <w:p w14:paraId="3D86C353" w14:textId="77777777" w:rsidR="00A820C4" w:rsidRPr="00D40ECC" w:rsidRDefault="00A820C4" w:rsidP="005638C6">
            <w:pPr>
              <w:spacing w:line="360" w:lineRule="auto"/>
              <w:ind w:firstLineChars="200" w:firstLine="480"/>
              <w:jc w:val="both"/>
              <w:rPr>
                <w:rFonts w:ascii="Book Antiqua" w:eastAsia="Times New Roman" w:hAnsi="Book Antiqua" w:cs="Calibri"/>
                <w:color w:val="000000"/>
              </w:rPr>
            </w:pPr>
            <w:r w:rsidRPr="00D40ECC">
              <w:rPr>
                <w:rFonts w:ascii="Book Antiqua" w:eastAsia="Times New Roman" w:hAnsi="Book Antiqua" w:cs="Calibri"/>
                <w:color w:val="000000"/>
              </w:rPr>
              <w:t>165 (2.2%)</w:t>
            </w:r>
          </w:p>
        </w:tc>
        <w:tc>
          <w:tcPr>
            <w:tcW w:w="1338" w:type="dxa"/>
            <w:shd w:val="clear" w:color="auto" w:fill="auto"/>
          </w:tcPr>
          <w:p w14:paraId="76002F13" w14:textId="204D9E71" w:rsidR="00A820C4" w:rsidRPr="00D40ECC" w:rsidRDefault="00A820C4" w:rsidP="005638C6">
            <w:pPr>
              <w:spacing w:line="360" w:lineRule="auto"/>
              <w:ind w:firstLineChars="200" w:firstLine="480"/>
              <w:jc w:val="both"/>
              <w:rPr>
                <w:rFonts w:ascii="Book Antiqua" w:eastAsia="Times New Roman" w:hAnsi="Book Antiqua" w:cs="Calibri"/>
                <w:color w:val="000000"/>
              </w:rPr>
            </w:pPr>
            <w:r w:rsidRPr="00D40ECC">
              <w:rPr>
                <w:rFonts w:ascii="Book Antiqua" w:eastAsia="Times New Roman" w:hAnsi="Book Antiqua" w:cs="Calibri"/>
                <w:color w:val="000000"/>
              </w:rPr>
              <w:t>NS</w:t>
            </w:r>
            <w:r w:rsidR="007858AD" w:rsidRPr="00D40ECC">
              <w:rPr>
                <w:rFonts w:ascii="Book Antiqua" w:eastAsia="Times New Roman" w:hAnsi="Book Antiqua" w:cs="Calibri"/>
                <w:color w:val="000000"/>
                <w:vertAlign w:val="superscript"/>
              </w:rPr>
              <w:t>5</w:t>
            </w:r>
          </w:p>
        </w:tc>
      </w:tr>
      <w:tr w:rsidR="00A820C4" w:rsidRPr="00D40ECC" w14:paraId="7DE8D7D4" w14:textId="77777777" w:rsidTr="00000E98">
        <w:tc>
          <w:tcPr>
            <w:tcW w:w="3828" w:type="dxa"/>
            <w:shd w:val="clear" w:color="auto" w:fill="auto"/>
          </w:tcPr>
          <w:p w14:paraId="2381BDE6" w14:textId="77777777" w:rsidR="00A820C4" w:rsidRPr="00D40ECC" w:rsidRDefault="00A820C4" w:rsidP="005638C6">
            <w:pPr>
              <w:spacing w:line="360" w:lineRule="auto"/>
              <w:jc w:val="both"/>
              <w:rPr>
                <w:rFonts w:ascii="Book Antiqua" w:eastAsia="Times New Roman" w:hAnsi="Book Antiqua" w:cs="Calibri"/>
                <w:color w:val="000000"/>
              </w:rPr>
            </w:pPr>
            <w:r w:rsidRPr="00D40ECC">
              <w:rPr>
                <w:rFonts w:ascii="Book Antiqua" w:eastAsia="Times New Roman" w:hAnsi="Book Antiqua" w:cs="Calibri"/>
                <w:color w:val="000000"/>
              </w:rPr>
              <w:t>Ascites</w:t>
            </w:r>
          </w:p>
        </w:tc>
        <w:tc>
          <w:tcPr>
            <w:tcW w:w="2719" w:type="dxa"/>
            <w:shd w:val="clear" w:color="auto" w:fill="auto"/>
          </w:tcPr>
          <w:p w14:paraId="435EF66D" w14:textId="77777777" w:rsidR="00A820C4" w:rsidRPr="00D40ECC" w:rsidRDefault="00A820C4" w:rsidP="005638C6">
            <w:pPr>
              <w:spacing w:line="360" w:lineRule="auto"/>
              <w:ind w:firstLineChars="200" w:firstLine="480"/>
              <w:jc w:val="both"/>
              <w:rPr>
                <w:rFonts w:ascii="Book Antiqua" w:eastAsia="Times New Roman" w:hAnsi="Book Antiqua" w:cs="Calibri"/>
                <w:color w:val="000000"/>
              </w:rPr>
            </w:pPr>
            <w:r w:rsidRPr="00D40ECC">
              <w:rPr>
                <w:rFonts w:ascii="Book Antiqua" w:eastAsia="Times New Roman" w:hAnsi="Book Antiqua" w:cs="Calibri"/>
                <w:color w:val="000000"/>
              </w:rPr>
              <w:t>170 (4.5%)</w:t>
            </w:r>
          </w:p>
        </w:tc>
        <w:tc>
          <w:tcPr>
            <w:tcW w:w="3881" w:type="dxa"/>
            <w:shd w:val="clear" w:color="auto" w:fill="auto"/>
          </w:tcPr>
          <w:p w14:paraId="2D207B9B" w14:textId="77777777" w:rsidR="00A820C4" w:rsidRPr="00D40ECC" w:rsidRDefault="00A820C4" w:rsidP="005638C6">
            <w:pPr>
              <w:spacing w:line="360" w:lineRule="auto"/>
              <w:ind w:firstLineChars="200" w:firstLine="480"/>
              <w:jc w:val="both"/>
              <w:rPr>
                <w:rFonts w:ascii="Book Antiqua" w:eastAsia="Times New Roman" w:hAnsi="Book Antiqua" w:cs="Calibri"/>
                <w:color w:val="000000"/>
              </w:rPr>
            </w:pPr>
            <w:r w:rsidRPr="00D40ECC">
              <w:rPr>
                <w:rFonts w:ascii="Book Antiqua" w:eastAsia="Times New Roman" w:hAnsi="Book Antiqua" w:cs="Calibri"/>
                <w:color w:val="000000"/>
              </w:rPr>
              <w:t>275 (3.6%)</w:t>
            </w:r>
          </w:p>
        </w:tc>
        <w:tc>
          <w:tcPr>
            <w:tcW w:w="1338" w:type="dxa"/>
            <w:shd w:val="clear" w:color="auto" w:fill="auto"/>
          </w:tcPr>
          <w:p w14:paraId="5232B223" w14:textId="69903D4E" w:rsidR="00A820C4" w:rsidRPr="00D40ECC" w:rsidRDefault="00A820C4" w:rsidP="005638C6">
            <w:pPr>
              <w:spacing w:line="360" w:lineRule="auto"/>
              <w:ind w:firstLineChars="200" w:firstLine="480"/>
              <w:jc w:val="both"/>
              <w:rPr>
                <w:rFonts w:ascii="Book Antiqua" w:eastAsia="Times New Roman" w:hAnsi="Book Antiqua" w:cs="Calibri"/>
                <w:color w:val="000000"/>
              </w:rPr>
            </w:pPr>
            <w:r w:rsidRPr="00D40ECC">
              <w:rPr>
                <w:rFonts w:ascii="Book Antiqua" w:eastAsia="Times New Roman" w:hAnsi="Book Antiqua" w:cs="Calibri"/>
                <w:color w:val="000000"/>
              </w:rPr>
              <w:t>0.03</w:t>
            </w:r>
            <w:r w:rsidR="007858AD" w:rsidRPr="00D40ECC">
              <w:rPr>
                <w:rFonts w:ascii="Book Antiqua" w:eastAsia="Times New Roman" w:hAnsi="Book Antiqua" w:cs="Calibri"/>
                <w:color w:val="000000"/>
                <w:vertAlign w:val="superscript"/>
              </w:rPr>
              <w:t>5</w:t>
            </w:r>
          </w:p>
        </w:tc>
      </w:tr>
      <w:tr w:rsidR="00A820C4" w:rsidRPr="00D40ECC" w14:paraId="7F47344C" w14:textId="77777777" w:rsidTr="00000E98">
        <w:tc>
          <w:tcPr>
            <w:tcW w:w="3828" w:type="dxa"/>
            <w:shd w:val="clear" w:color="auto" w:fill="auto"/>
          </w:tcPr>
          <w:p w14:paraId="68ACEE87" w14:textId="77777777" w:rsidR="00A820C4" w:rsidRPr="00D40ECC" w:rsidRDefault="00A820C4" w:rsidP="005638C6">
            <w:pPr>
              <w:spacing w:line="360" w:lineRule="auto"/>
              <w:jc w:val="both"/>
              <w:rPr>
                <w:rFonts w:ascii="Book Antiqua" w:eastAsia="Times New Roman" w:hAnsi="Book Antiqua" w:cs="Calibri"/>
                <w:color w:val="000000"/>
              </w:rPr>
            </w:pPr>
            <w:r w:rsidRPr="00D40ECC">
              <w:rPr>
                <w:rFonts w:ascii="Book Antiqua" w:eastAsia="Times New Roman" w:hAnsi="Book Antiqua" w:cs="Calibri"/>
                <w:color w:val="000000"/>
              </w:rPr>
              <w:t>Varices and variceal bleeding</w:t>
            </w:r>
          </w:p>
        </w:tc>
        <w:tc>
          <w:tcPr>
            <w:tcW w:w="2719" w:type="dxa"/>
            <w:shd w:val="clear" w:color="auto" w:fill="auto"/>
          </w:tcPr>
          <w:p w14:paraId="4D479D77" w14:textId="77777777" w:rsidR="00A820C4" w:rsidRPr="00D40ECC" w:rsidRDefault="00A820C4" w:rsidP="005638C6">
            <w:pPr>
              <w:spacing w:line="360" w:lineRule="auto"/>
              <w:ind w:firstLineChars="200" w:firstLine="480"/>
              <w:jc w:val="both"/>
              <w:rPr>
                <w:rFonts w:ascii="Book Antiqua" w:eastAsia="Times New Roman" w:hAnsi="Book Antiqua" w:cs="Calibri"/>
                <w:color w:val="000000"/>
              </w:rPr>
            </w:pPr>
            <w:r w:rsidRPr="00D40ECC">
              <w:rPr>
                <w:rFonts w:ascii="Book Antiqua" w:eastAsia="Times New Roman" w:hAnsi="Book Antiqua" w:cs="Calibri"/>
                <w:color w:val="000000"/>
              </w:rPr>
              <w:t>50 (1.3%)</w:t>
            </w:r>
          </w:p>
        </w:tc>
        <w:tc>
          <w:tcPr>
            <w:tcW w:w="3881" w:type="dxa"/>
            <w:shd w:val="clear" w:color="auto" w:fill="auto"/>
          </w:tcPr>
          <w:p w14:paraId="4F70B1B3" w14:textId="77777777" w:rsidR="00A820C4" w:rsidRPr="00D40ECC" w:rsidRDefault="00A820C4" w:rsidP="005638C6">
            <w:pPr>
              <w:spacing w:line="360" w:lineRule="auto"/>
              <w:ind w:firstLineChars="200" w:firstLine="480"/>
              <w:jc w:val="both"/>
              <w:rPr>
                <w:rFonts w:ascii="Book Antiqua" w:eastAsia="Times New Roman" w:hAnsi="Book Antiqua" w:cs="Calibri"/>
                <w:color w:val="000000"/>
              </w:rPr>
            </w:pPr>
            <w:r w:rsidRPr="00D40ECC">
              <w:rPr>
                <w:rFonts w:ascii="Book Antiqua" w:eastAsia="Times New Roman" w:hAnsi="Book Antiqua" w:cs="Calibri"/>
                <w:color w:val="000000"/>
              </w:rPr>
              <w:t>130 (1.7%)</w:t>
            </w:r>
          </w:p>
        </w:tc>
        <w:tc>
          <w:tcPr>
            <w:tcW w:w="1338" w:type="dxa"/>
            <w:shd w:val="clear" w:color="auto" w:fill="auto"/>
          </w:tcPr>
          <w:p w14:paraId="315E0734" w14:textId="7CE492EF" w:rsidR="00A820C4" w:rsidRPr="00D40ECC" w:rsidRDefault="00A820C4" w:rsidP="005638C6">
            <w:pPr>
              <w:spacing w:line="360" w:lineRule="auto"/>
              <w:ind w:firstLineChars="200" w:firstLine="480"/>
              <w:jc w:val="both"/>
              <w:rPr>
                <w:rFonts w:ascii="Book Antiqua" w:eastAsia="Times New Roman" w:hAnsi="Book Antiqua" w:cs="Calibri"/>
                <w:color w:val="000000"/>
              </w:rPr>
            </w:pPr>
            <w:r w:rsidRPr="00D40ECC">
              <w:rPr>
                <w:rFonts w:ascii="Book Antiqua" w:eastAsia="Times New Roman" w:hAnsi="Book Antiqua" w:cs="Calibri"/>
                <w:color w:val="000000"/>
              </w:rPr>
              <w:t>0.11</w:t>
            </w:r>
            <w:r w:rsidR="007858AD" w:rsidRPr="00D40ECC">
              <w:rPr>
                <w:rFonts w:ascii="Book Antiqua" w:eastAsia="Times New Roman" w:hAnsi="Book Antiqua" w:cs="Calibri"/>
                <w:color w:val="000000"/>
                <w:vertAlign w:val="superscript"/>
              </w:rPr>
              <w:t>5</w:t>
            </w:r>
          </w:p>
        </w:tc>
      </w:tr>
      <w:tr w:rsidR="00A820C4" w:rsidRPr="00D40ECC" w14:paraId="2914BAA0" w14:textId="77777777" w:rsidTr="00000E98">
        <w:tc>
          <w:tcPr>
            <w:tcW w:w="3828" w:type="dxa"/>
            <w:shd w:val="clear" w:color="auto" w:fill="auto"/>
          </w:tcPr>
          <w:p w14:paraId="69AE42B7" w14:textId="77777777" w:rsidR="00A820C4" w:rsidRPr="00D40ECC" w:rsidRDefault="00A820C4" w:rsidP="005638C6">
            <w:pPr>
              <w:spacing w:line="360" w:lineRule="auto"/>
              <w:jc w:val="both"/>
              <w:rPr>
                <w:rFonts w:ascii="Book Antiqua" w:eastAsia="Times New Roman" w:hAnsi="Book Antiqua" w:cs="Calibri"/>
                <w:color w:val="000000"/>
              </w:rPr>
            </w:pPr>
            <w:r w:rsidRPr="00D40ECC">
              <w:rPr>
                <w:rFonts w:ascii="Book Antiqua" w:eastAsia="Times New Roman" w:hAnsi="Book Antiqua" w:cs="Calibri"/>
                <w:color w:val="000000"/>
              </w:rPr>
              <w:t>Cirrhosis</w:t>
            </w:r>
          </w:p>
        </w:tc>
        <w:tc>
          <w:tcPr>
            <w:tcW w:w="2719" w:type="dxa"/>
            <w:shd w:val="clear" w:color="auto" w:fill="auto"/>
          </w:tcPr>
          <w:p w14:paraId="5D42511A" w14:textId="77777777" w:rsidR="00A820C4" w:rsidRPr="00D40ECC" w:rsidRDefault="00A820C4" w:rsidP="005638C6">
            <w:pPr>
              <w:spacing w:line="360" w:lineRule="auto"/>
              <w:ind w:firstLineChars="200" w:firstLine="480"/>
              <w:jc w:val="both"/>
              <w:rPr>
                <w:rFonts w:ascii="Book Antiqua" w:eastAsia="Times New Roman" w:hAnsi="Book Antiqua" w:cs="Calibri"/>
                <w:color w:val="000000"/>
              </w:rPr>
            </w:pPr>
            <w:r w:rsidRPr="00D40ECC">
              <w:rPr>
                <w:rFonts w:ascii="Book Antiqua" w:eastAsia="Times New Roman" w:hAnsi="Book Antiqua" w:cs="Calibri"/>
                <w:color w:val="000000"/>
              </w:rPr>
              <w:t>140 (3.7%)</w:t>
            </w:r>
          </w:p>
        </w:tc>
        <w:tc>
          <w:tcPr>
            <w:tcW w:w="3881" w:type="dxa"/>
            <w:shd w:val="clear" w:color="auto" w:fill="auto"/>
          </w:tcPr>
          <w:p w14:paraId="542E3E7E" w14:textId="77777777" w:rsidR="00A820C4" w:rsidRPr="00D40ECC" w:rsidRDefault="00A820C4" w:rsidP="005638C6">
            <w:pPr>
              <w:spacing w:line="360" w:lineRule="auto"/>
              <w:ind w:firstLineChars="200" w:firstLine="480"/>
              <w:jc w:val="both"/>
              <w:rPr>
                <w:rFonts w:ascii="Book Antiqua" w:eastAsia="Times New Roman" w:hAnsi="Book Antiqua" w:cs="Calibri"/>
                <w:color w:val="000000"/>
              </w:rPr>
            </w:pPr>
            <w:r w:rsidRPr="00D40ECC">
              <w:rPr>
                <w:rFonts w:ascii="Book Antiqua" w:eastAsia="Times New Roman" w:hAnsi="Book Antiqua" w:cs="Calibri"/>
                <w:color w:val="000000"/>
              </w:rPr>
              <w:t>275 (3.6%)</w:t>
            </w:r>
          </w:p>
        </w:tc>
        <w:tc>
          <w:tcPr>
            <w:tcW w:w="1338" w:type="dxa"/>
            <w:shd w:val="clear" w:color="auto" w:fill="auto"/>
          </w:tcPr>
          <w:p w14:paraId="0D203EC5" w14:textId="782A4C0C" w:rsidR="00A820C4" w:rsidRPr="00D40ECC" w:rsidRDefault="00A820C4" w:rsidP="005638C6">
            <w:pPr>
              <w:spacing w:line="360" w:lineRule="auto"/>
              <w:ind w:firstLineChars="200" w:firstLine="480"/>
              <w:jc w:val="both"/>
              <w:rPr>
                <w:rFonts w:ascii="Book Antiqua" w:eastAsia="Times New Roman" w:hAnsi="Book Antiqua" w:cs="Calibri"/>
                <w:color w:val="000000"/>
              </w:rPr>
            </w:pPr>
            <w:r w:rsidRPr="00D40ECC">
              <w:rPr>
                <w:rFonts w:ascii="Book Antiqua" w:eastAsia="Times New Roman" w:hAnsi="Book Antiqua" w:cs="Calibri"/>
                <w:color w:val="000000"/>
              </w:rPr>
              <w:t>NS</w:t>
            </w:r>
            <w:r w:rsidR="007858AD" w:rsidRPr="00D40ECC">
              <w:rPr>
                <w:rFonts w:ascii="Book Antiqua" w:eastAsia="Times New Roman" w:hAnsi="Book Antiqua" w:cs="Calibri"/>
                <w:color w:val="000000"/>
                <w:vertAlign w:val="superscript"/>
              </w:rPr>
              <w:t>5</w:t>
            </w:r>
          </w:p>
        </w:tc>
      </w:tr>
    </w:tbl>
    <w:p w14:paraId="31653D12" w14:textId="77777777" w:rsidR="00AB6147" w:rsidRPr="00D40ECC" w:rsidRDefault="00A820C4" w:rsidP="00652DF5">
      <w:pPr>
        <w:spacing w:line="360" w:lineRule="auto"/>
        <w:jc w:val="both"/>
        <w:textAlignment w:val="baseline"/>
        <w:rPr>
          <w:rFonts w:ascii="Book Antiqua" w:hAnsi="Book Antiqua" w:cs="Calibri"/>
          <w:lang w:eastAsia="zh-CN"/>
        </w:rPr>
      </w:pPr>
      <w:proofErr w:type="gramStart"/>
      <w:r w:rsidRPr="00D40ECC">
        <w:rPr>
          <w:rFonts w:ascii="Book Antiqua" w:eastAsia="Times New Roman" w:hAnsi="Book Antiqua" w:cs="Calibri"/>
          <w:vertAlign w:val="superscript"/>
        </w:rPr>
        <w:t>1</w:t>
      </w:r>
      <w:r w:rsidRPr="00D40ECC">
        <w:rPr>
          <w:rFonts w:ascii="Book Antiqua" w:eastAsia="Times New Roman" w:hAnsi="Book Antiqua" w:cs="Calibri"/>
        </w:rPr>
        <w:t>Chi-square, 2-tailed</w:t>
      </w:r>
      <w:r w:rsidR="00AB6147" w:rsidRPr="00D40ECC">
        <w:rPr>
          <w:rFonts w:ascii="Book Antiqua" w:hAnsi="Book Antiqua" w:cs="Calibri"/>
          <w:lang w:eastAsia="zh-CN"/>
        </w:rPr>
        <w:t>.</w:t>
      </w:r>
      <w:proofErr w:type="gramEnd"/>
      <w:r w:rsidR="0061210D" w:rsidRPr="00D40ECC">
        <w:rPr>
          <w:rFonts w:ascii="Book Antiqua" w:hAnsi="Book Antiqua" w:cs="Calibri"/>
          <w:lang w:eastAsia="zh-CN"/>
        </w:rPr>
        <w:t xml:space="preserve"> </w:t>
      </w:r>
    </w:p>
    <w:p w14:paraId="3B30E448" w14:textId="77777777" w:rsidR="00AB6147" w:rsidRPr="00D40ECC" w:rsidRDefault="00A820C4" w:rsidP="00652DF5">
      <w:pPr>
        <w:spacing w:line="360" w:lineRule="auto"/>
        <w:jc w:val="both"/>
        <w:textAlignment w:val="baseline"/>
        <w:rPr>
          <w:rFonts w:ascii="Book Antiqua" w:hAnsi="Book Antiqua" w:cs="Calibri"/>
          <w:lang w:eastAsia="zh-CN"/>
        </w:rPr>
      </w:pPr>
      <w:proofErr w:type="gramStart"/>
      <w:r w:rsidRPr="00D40ECC">
        <w:rPr>
          <w:rFonts w:ascii="Book Antiqua" w:eastAsia="Times New Roman" w:hAnsi="Book Antiqua" w:cs="Calibri"/>
          <w:vertAlign w:val="superscript"/>
        </w:rPr>
        <w:t>2</w:t>
      </w:r>
      <w:r w:rsidRPr="00D40ECC">
        <w:rPr>
          <w:rFonts w:ascii="Book Antiqua" w:eastAsia="Times New Roman" w:hAnsi="Book Antiqua" w:cs="Calibri"/>
        </w:rPr>
        <w:t xml:space="preserve">Student </w:t>
      </w:r>
      <w:r w:rsidR="00860561" w:rsidRPr="00D40ECC">
        <w:rPr>
          <w:rFonts w:ascii="Book Antiqua" w:eastAsia="Times New Roman" w:hAnsi="Book Antiqua" w:cs="Calibri"/>
          <w:i/>
        </w:rPr>
        <w:t>t</w:t>
      </w:r>
      <w:r w:rsidR="00860561" w:rsidRPr="00D40ECC">
        <w:rPr>
          <w:rFonts w:ascii="Book Antiqua" w:eastAsia="Times New Roman" w:hAnsi="Book Antiqua" w:cs="Calibri"/>
        </w:rPr>
        <w:t>-</w:t>
      </w:r>
      <w:r w:rsidRPr="00D40ECC">
        <w:rPr>
          <w:rFonts w:ascii="Book Antiqua" w:eastAsia="Times New Roman" w:hAnsi="Book Antiqua" w:cs="Calibri"/>
        </w:rPr>
        <w:t>test, 2-tailed</w:t>
      </w:r>
      <w:r w:rsidR="00AB6147" w:rsidRPr="00D40ECC">
        <w:rPr>
          <w:rFonts w:ascii="Book Antiqua" w:hAnsi="Book Antiqua" w:cs="Calibri"/>
          <w:lang w:eastAsia="zh-CN"/>
        </w:rPr>
        <w:t>.</w:t>
      </w:r>
      <w:proofErr w:type="gramEnd"/>
    </w:p>
    <w:p w14:paraId="52DE6C5E" w14:textId="77777777" w:rsidR="00AB6147" w:rsidRPr="00D40ECC" w:rsidRDefault="00A820C4" w:rsidP="00652DF5">
      <w:pPr>
        <w:spacing w:line="360" w:lineRule="auto"/>
        <w:jc w:val="both"/>
        <w:textAlignment w:val="baseline"/>
        <w:rPr>
          <w:rFonts w:ascii="Book Antiqua" w:hAnsi="Book Antiqua" w:cs="Calibri"/>
          <w:lang w:eastAsia="zh-CN"/>
        </w:rPr>
      </w:pPr>
      <w:r w:rsidRPr="00D40ECC">
        <w:rPr>
          <w:rFonts w:ascii="Book Antiqua" w:eastAsia="Times New Roman" w:hAnsi="Book Antiqua" w:cs="Calibri"/>
          <w:vertAlign w:val="superscript"/>
        </w:rPr>
        <w:t>3</w:t>
      </w:r>
      <w:r w:rsidRPr="00D40ECC">
        <w:rPr>
          <w:rFonts w:ascii="Book Antiqua" w:eastAsia="Times New Roman" w:hAnsi="Book Antiqua" w:cs="Calibri"/>
        </w:rPr>
        <w:t xml:space="preserve">Patient ages ranged from 18 to </w:t>
      </w:r>
      <w:proofErr w:type="gramStart"/>
      <w:r w:rsidRPr="00D40ECC">
        <w:rPr>
          <w:rFonts w:ascii="Book Antiqua" w:eastAsia="Times New Roman" w:hAnsi="Book Antiqua" w:cs="Calibri"/>
        </w:rPr>
        <w:t>73</w:t>
      </w:r>
      <w:r w:rsidR="00B818ED" w:rsidRPr="00D40ECC">
        <w:rPr>
          <w:rFonts w:ascii="Book Antiqua" w:eastAsia="Times New Roman" w:hAnsi="Book Antiqua" w:cs="Calibri"/>
        </w:rPr>
        <w:t>,</w:t>
      </w:r>
      <w:proofErr w:type="gramEnd"/>
      <w:r w:rsidRPr="00D40ECC">
        <w:rPr>
          <w:rFonts w:ascii="Book Antiqua" w:eastAsia="Times New Roman" w:hAnsi="Book Antiqua" w:cs="Calibri"/>
        </w:rPr>
        <w:t xml:space="preserve"> there was no one over 78</w:t>
      </w:r>
      <w:r w:rsidR="00AB6147" w:rsidRPr="00D40ECC">
        <w:rPr>
          <w:rFonts w:ascii="Book Antiqua" w:hAnsi="Book Antiqua" w:cs="Calibri"/>
          <w:lang w:eastAsia="zh-CN"/>
        </w:rPr>
        <w:t>.</w:t>
      </w:r>
    </w:p>
    <w:p w14:paraId="4D988125" w14:textId="77777777" w:rsidR="00AB6147" w:rsidRPr="00D40ECC" w:rsidRDefault="00A820C4" w:rsidP="00652DF5">
      <w:pPr>
        <w:spacing w:line="360" w:lineRule="auto"/>
        <w:jc w:val="both"/>
        <w:textAlignment w:val="baseline"/>
        <w:rPr>
          <w:rFonts w:ascii="Book Antiqua" w:hAnsi="Book Antiqua"/>
          <w:lang w:eastAsia="zh-CN"/>
        </w:rPr>
      </w:pPr>
      <w:r w:rsidRPr="00D40ECC">
        <w:rPr>
          <w:rFonts w:ascii="Book Antiqua" w:eastAsia="Times New Roman" w:hAnsi="Book Antiqua" w:cs="Calibri"/>
          <w:vertAlign w:val="superscript"/>
        </w:rPr>
        <w:t>4</w:t>
      </w:r>
      <w:r w:rsidRPr="00D40ECC">
        <w:rPr>
          <w:rFonts w:ascii="Book Antiqua" w:eastAsia="Times New Roman" w:hAnsi="Book Antiqua" w:cs="Calibri"/>
        </w:rPr>
        <w:t xml:space="preserve">Chi-square, 2-tailed, for 2 by </w:t>
      </w:r>
      <w:r w:rsidRPr="00D40ECC">
        <w:rPr>
          <w:rFonts w:ascii="Book Antiqua" w:eastAsia="Times New Roman" w:hAnsi="Book Antiqua" w:cs="Calibri"/>
          <w:i/>
          <w:iCs/>
        </w:rPr>
        <w:t>n</w:t>
      </w:r>
      <w:r w:rsidRPr="00D40ECC">
        <w:rPr>
          <w:rFonts w:ascii="Book Antiqua" w:eastAsia="Times New Roman" w:hAnsi="Book Antiqua" w:cs="Calibri"/>
        </w:rPr>
        <w:t xml:space="preserve"> table: </w:t>
      </w:r>
      <w:r w:rsidR="00B818ED" w:rsidRPr="00D40ECC">
        <w:rPr>
          <w:rFonts w:ascii="Book Antiqua" w:hAnsi="Book Antiqua"/>
        </w:rPr>
        <w:t>S</w:t>
      </w:r>
      <w:r w:rsidRPr="00D40ECC">
        <w:rPr>
          <w:rFonts w:ascii="Book Antiqua" w:hAnsi="Book Antiqua"/>
        </w:rPr>
        <w:t>tatistical significance demonstrates that the two groups differ</w:t>
      </w:r>
      <w:r w:rsidR="00AB6147" w:rsidRPr="00D40ECC">
        <w:rPr>
          <w:rFonts w:ascii="Book Antiqua" w:hAnsi="Book Antiqua"/>
          <w:lang w:eastAsia="zh-CN"/>
        </w:rPr>
        <w:t>.</w:t>
      </w:r>
    </w:p>
    <w:p w14:paraId="27F03DD4" w14:textId="6E9F480C" w:rsidR="00652DF5" w:rsidRPr="00D40ECC" w:rsidRDefault="007858AD" w:rsidP="00652DF5">
      <w:pPr>
        <w:spacing w:line="360" w:lineRule="auto"/>
        <w:jc w:val="both"/>
        <w:textAlignment w:val="baseline"/>
        <w:rPr>
          <w:rFonts w:ascii="Book Antiqua" w:eastAsia="Times New Roman" w:hAnsi="Book Antiqua" w:cs="Times"/>
        </w:rPr>
      </w:pPr>
      <w:r w:rsidRPr="00D40ECC">
        <w:rPr>
          <w:rFonts w:ascii="Book Antiqua" w:eastAsia="Times New Roman" w:hAnsi="Book Antiqua" w:cs="Calibri"/>
          <w:vertAlign w:val="superscript"/>
        </w:rPr>
        <w:t>5</w:t>
      </w:r>
      <w:r w:rsidR="00A820C4" w:rsidRPr="00D40ECC">
        <w:rPr>
          <w:rFonts w:ascii="Book Antiqua" w:hAnsi="Book Antiqua"/>
        </w:rPr>
        <w:t xml:space="preserve">Condition absent </w:t>
      </w:r>
      <w:proofErr w:type="spellStart"/>
      <w:r w:rsidR="00A820C4" w:rsidRPr="00D40ECC">
        <w:rPr>
          <w:rFonts w:ascii="Book Antiqua" w:hAnsi="Book Antiqua"/>
          <w:i/>
          <w:iCs/>
        </w:rPr>
        <w:t>vs</w:t>
      </w:r>
      <w:proofErr w:type="spellEnd"/>
      <w:r w:rsidR="00A820C4" w:rsidRPr="00D40ECC">
        <w:rPr>
          <w:rFonts w:ascii="Book Antiqua" w:hAnsi="Book Antiqua"/>
        </w:rPr>
        <w:t xml:space="preserve"> present in the 2 groups, chi-square, 2-tailed.</w:t>
      </w:r>
      <w:r w:rsidR="0061210D" w:rsidRPr="00D40ECC">
        <w:rPr>
          <w:rFonts w:ascii="Book Antiqua" w:hAnsi="Book Antiqua"/>
        </w:rPr>
        <w:t xml:space="preserve"> </w:t>
      </w:r>
      <w:r w:rsidR="0061210D" w:rsidRPr="00D40ECC">
        <w:rPr>
          <w:rFonts w:ascii="Book Antiqua" w:eastAsia="Times New Roman" w:hAnsi="Book Antiqua" w:cs="Calibri"/>
        </w:rPr>
        <w:t>NS: Not statistically significant</w:t>
      </w:r>
      <w:r w:rsidR="00CF0F34" w:rsidRPr="00D40ECC">
        <w:rPr>
          <w:rFonts w:ascii="Book Antiqua" w:eastAsia="Times New Roman" w:hAnsi="Book Antiqua" w:cs="Times"/>
        </w:rPr>
        <w:t xml:space="preserve">; ECI: </w:t>
      </w:r>
      <w:proofErr w:type="spellStart"/>
      <w:r w:rsidR="00652DF5" w:rsidRPr="00D40ECC">
        <w:rPr>
          <w:rFonts w:ascii="Book Antiqua" w:eastAsia="Times New Roman" w:hAnsi="Book Antiqua" w:cs="Times"/>
        </w:rPr>
        <w:t>Elixhauser</w:t>
      </w:r>
      <w:proofErr w:type="spellEnd"/>
      <w:r w:rsidR="00652DF5" w:rsidRPr="00D40ECC">
        <w:rPr>
          <w:rFonts w:ascii="Book Antiqua" w:eastAsia="Times New Roman" w:hAnsi="Book Antiqua" w:cs="Times"/>
        </w:rPr>
        <w:t xml:space="preserve"> comorbidity index.</w:t>
      </w:r>
    </w:p>
    <w:p w14:paraId="4C8D88B3" w14:textId="70B9EE1A" w:rsidR="00A820C4" w:rsidRPr="00D40ECC" w:rsidRDefault="00A820C4" w:rsidP="005638C6">
      <w:pPr>
        <w:spacing w:line="360" w:lineRule="auto"/>
        <w:jc w:val="both"/>
        <w:textAlignment w:val="baseline"/>
        <w:rPr>
          <w:rFonts w:ascii="Book Antiqua" w:hAnsi="Book Antiqua"/>
          <w:b/>
          <w:bCs/>
        </w:rPr>
      </w:pPr>
      <w:r w:rsidRPr="00D40ECC">
        <w:rPr>
          <w:rFonts w:ascii="Book Antiqua" w:hAnsi="Book Antiqua"/>
          <w:b/>
          <w:bCs/>
        </w:rPr>
        <w:br w:type="page"/>
      </w:r>
      <w:r w:rsidRPr="00D40ECC">
        <w:rPr>
          <w:rFonts w:ascii="Book Antiqua" w:hAnsi="Book Antiqua"/>
          <w:b/>
          <w:bCs/>
        </w:rPr>
        <w:lastRenderedPageBreak/>
        <w:t xml:space="preserve">Table 2 Independent predictors of ascites among patients with </w:t>
      </w:r>
      <w:r w:rsidR="009436A2" w:rsidRPr="00D40ECC">
        <w:rPr>
          <w:rFonts w:ascii="Book Antiqua" w:eastAsia="Times New Roman" w:hAnsi="Book Antiqua" w:cs="Times"/>
          <w:b/>
          <w:bCs/>
        </w:rPr>
        <w:t>nonalcoholic fatty liver disease</w:t>
      </w:r>
      <w:r w:rsidRPr="00D40ECC">
        <w:rPr>
          <w:rFonts w:ascii="Book Antiqua" w:hAnsi="Book Antiqua"/>
          <w:b/>
          <w:bCs/>
        </w:rPr>
        <w:t>, stratified by cannabis use history</w:t>
      </w:r>
    </w:p>
    <w:tbl>
      <w:tblPr>
        <w:tblStyle w:val="a6"/>
        <w:tblW w:w="128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346"/>
        <w:gridCol w:w="816"/>
        <w:gridCol w:w="1540"/>
        <w:gridCol w:w="816"/>
        <w:gridCol w:w="1921"/>
        <w:gridCol w:w="1346"/>
        <w:gridCol w:w="816"/>
        <w:gridCol w:w="1540"/>
        <w:gridCol w:w="816"/>
      </w:tblGrid>
      <w:tr w:rsidR="000A4CF7" w:rsidRPr="00D40ECC" w14:paraId="3A5FA2DB" w14:textId="77777777" w:rsidTr="00637810">
        <w:tc>
          <w:tcPr>
            <w:tcW w:w="6439" w:type="dxa"/>
            <w:gridSpan w:val="5"/>
            <w:tcBorders>
              <w:top w:val="single" w:sz="4" w:space="0" w:color="auto"/>
              <w:bottom w:val="single" w:sz="4" w:space="0" w:color="auto"/>
            </w:tcBorders>
          </w:tcPr>
          <w:p w14:paraId="3128419B" w14:textId="14D4C4AA" w:rsidR="000A4CF7" w:rsidRPr="00D40ECC" w:rsidRDefault="000A4CF7" w:rsidP="005638C6">
            <w:pPr>
              <w:spacing w:line="360" w:lineRule="auto"/>
              <w:jc w:val="both"/>
              <w:textAlignment w:val="baseline"/>
              <w:rPr>
                <w:rFonts w:ascii="Book Antiqua" w:hAnsi="Book Antiqua"/>
                <w:b/>
                <w:bCs/>
              </w:rPr>
            </w:pPr>
            <w:r w:rsidRPr="00D40ECC">
              <w:rPr>
                <w:rFonts w:ascii="Book Antiqua" w:hAnsi="Book Antiqua"/>
                <w:b/>
                <w:bCs/>
              </w:rPr>
              <w:t>Cannabis users (</w:t>
            </w:r>
            <w:r w:rsidR="00F46C7E" w:rsidRPr="00D40ECC">
              <w:rPr>
                <w:rFonts w:ascii="Book Antiqua" w:hAnsi="Book Antiqua"/>
                <w:b/>
                <w:bCs/>
                <w:i/>
                <w:iCs/>
              </w:rPr>
              <w:t>n</w:t>
            </w:r>
            <w:r w:rsidRPr="00D40ECC">
              <w:rPr>
                <w:rFonts w:ascii="Book Antiqua" w:hAnsi="Book Antiqua"/>
                <w:b/>
                <w:bCs/>
              </w:rPr>
              <w:t xml:space="preserve"> = 3820)</w:t>
            </w:r>
          </w:p>
        </w:tc>
        <w:tc>
          <w:tcPr>
            <w:tcW w:w="6439" w:type="dxa"/>
            <w:gridSpan w:val="5"/>
            <w:tcBorders>
              <w:top w:val="single" w:sz="4" w:space="0" w:color="auto"/>
              <w:bottom w:val="single" w:sz="4" w:space="0" w:color="auto"/>
            </w:tcBorders>
          </w:tcPr>
          <w:p w14:paraId="1E40E360" w14:textId="4B918827" w:rsidR="000A4CF7" w:rsidRPr="00D40ECC" w:rsidRDefault="000A4CF7" w:rsidP="005638C6">
            <w:pPr>
              <w:spacing w:line="360" w:lineRule="auto"/>
              <w:jc w:val="both"/>
              <w:textAlignment w:val="baseline"/>
              <w:rPr>
                <w:rFonts w:ascii="Book Antiqua" w:hAnsi="Book Antiqua"/>
                <w:b/>
                <w:bCs/>
              </w:rPr>
            </w:pPr>
            <w:r w:rsidRPr="00D40ECC">
              <w:rPr>
                <w:rFonts w:ascii="Book Antiqua" w:hAnsi="Book Antiqua"/>
                <w:b/>
                <w:bCs/>
              </w:rPr>
              <w:t>Non-cannabis users (</w:t>
            </w:r>
            <w:r w:rsidR="00EF7E1F" w:rsidRPr="00D40ECC">
              <w:rPr>
                <w:rFonts w:ascii="Book Antiqua" w:hAnsi="Book Antiqua"/>
                <w:b/>
                <w:bCs/>
                <w:i/>
                <w:iCs/>
              </w:rPr>
              <w:t>n</w:t>
            </w:r>
            <w:r w:rsidRPr="00D40ECC">
              <w:rPr>
                <w:rFonts w:ascii="Book Antiqua" w:hAnsi="Book Antiqua"/>
                <w:b/>
                <w:bCs/>
              </w:rPr>
              <w:t xml:space="preserve"> = 7625)</w:t>
            </w:r>
          </w:p>
        </w:tc>
      </w:tr>
      <w:tr w:rsidR="00594912" w:rsidRPr="00D40ECC" w14:paraId="52B898CE" w14:textId="77777777" w:rsidTr="00A949DF">
        <w:tc>
          <w:tcPr>
            <w:tcW w:w="1921" w:type="dxa"/>
            <w:tcBorders>
              <w:top w:val="single" w:sz="4" w:space="0" w:color="auto"/>
              <w:bottom w:val="single" w:sz="4" w:space="0" w:color="auto"/>
            </w:tcBorders>
            <w:vAlign w:val="bottom"/>
          </w:tcPr>
          <w:p w14:paraId="01F78241" w14:textId="73F58AF4" w:rsidR="000A4CF7" w:rsidRPr="00D40ECC" w:rsidRDefault="000A4CF7" w:rsidP="005638C6">
            <w:pPr>
              <w:spacing w:line="360" w:lineRule="auto"/>
              <w:jc w:val="both"/>
              <w:textAlignment w:val="baseline"/>
              <w:rPr>
                <w:rFonts w:ascii="Book Antiqua" w:hAnsi="Book Antiqua"/>
                <w:b/>
                <w:bCs/>
              </w:rPr>
            </w:pPr>
            <w:r w:rsidRPr="00D40ECC">
              <w:rPr>
                <w:rFonts w:ascii="Book Antiqua" w:hAnsi="Book Antiqua"/>
                <w:b/>
                <w:bCs/>
              </w:rPr>
              <w:t>Ascites</w:t>
            </w:r>
          </w:p>
        </w:tc>
        <w:tc>
          <w:tcPr>
            <w:tcW w:w="1346" w:type="dxa"/>
            <w:tcBorders>
              <w:top w:val="single" w:sz="4" w:space="0" w:color="auto"/>
              <w:bottom w:val="single" w:sz="4" w:space="0" w:color="auto"/>
            </w:tcBorders>
            <w:vAlign w:val="bottom"/>
          </w:tcPr>
          <w:p w14:paraId="0F4CB129" w14:textId="4217DD29" w:rsidR="000A4CF7" w:rsidRPr="00D40ECC" w:rsidRDefault="000A4CF7" w:rsidP="00D40ECC">
            <w:pPr>
              <w:spacing w:line="360" w:lineRule="auto"/>
              <w:jc w:val="both"/>
              <w:textAlignment w:val="baseline"/>
              <w:rPr>
                <w:rFonts w:ascii="Book Antiqua" w:hAnsi="Book Antiqua"/>
                <w:b/>
                <w:bCs/>
              </w:rPr>
            </w:pPr>
            <w:r w:rsidRPr="00D40ECC">
              <w:rPr>
                <w:rFonts w:ascii="Book Antiqua" w:hAnsi="Book Antiqua"/>
                <w:b/>
                <w:bCs/>
              </w:rPr>
              <w:t>OR (95%CI)</w:t>
            </w:r>
          </w:p>
        </w:tc>
        <w:tc>
          <w:tcPr>
            <w:tcW w:w="816" w:type="dxa"/>
            <w:tcBorders>
              <w:top w:val="single" w:sz="4" w:space="0" w:color="auto"/>
              <w:bottom w:val="single" w:sz="4" w:space="0" w:color="auto"/>
            </w:tcBorders>
            <w:vAlign w:val="bottom"/>
          </w:tcPr>
          <w:p w14:paraId="0C35388F" w14:textId="1C518739" w:rsidR="000A4CF7" w:rsidRPr="00D40ECC" w:rsidRDefault="000A4CF7" w:rsidP="005638C6">
            <w:pPr>
              <w:spacing w:line="360" w:lineRule="auto"/>
              <w:jc w:val="both"/>
              <w:textAlignment w:val="baseline"/>
              <w:rPr>
                <w:rFonts w:ascii="Book Antiqua" w:hAnsi="Book Antiqua"/>
                <w:b/>
                <w:bCs/>
              </w:rPr>
            </w:pPr>
            <w:r w:rsidRPr="00D40ECC">
              <w:rPr>
                <w:rFonts w:ascii="Book Antiqua" w:hAnsi="Book Antiqua"/>
                <w:b/>
                <w:bCs/>
                <w:i/>
                <w:iCs/>
              </w:rPr>
              <w:t>P</w:t>
            </w:r>
            <w:r w:rsidRPr="00D40ECC">
              <w:rPr>
                <w:rFonts w:ascii="Book Antiqua" w:hAnsi="Book Antiqua"/>
                <w:b/>
                <w:bCs/>
              </w:rPr>
              <w:t xml:space="preserve"> value</w:t>
            </w:r>
          </w:p>
        </w:tc>
        <w:tc>
          <w:tcPr>
            <w:tcW w:w="1540" w:type="dxa"/>
            <w:tcBorders>
              <w:top w:val="single" w:sz="4" w:space="0" w:color="auto"/>
              <w:bottom w:val="single" w:sz="4" w:space="0" w:color="auto"/>
            </w:tcBorders>
            <w:vAlign w:val="bottom"/>
          </w:tcPr>
          <w:p w14:paraId="70C77514" w14:textId="288C4EA1" w:rsidR="000A4CF7" w:rsidRPr="00D40ECC" w:rsidRDefault="000A4CF7" w:rsidP="00D40ECC">
            <w:pPr>
              <w:spacing w:line="360" w:lineRule="auto"/>
              <w:jc w:val="both"/>
              <w:textAlignment w:val="baseline"/>
              <w:rPr>
                <w:rFonts w:ascii="Book Antiqua" w:hAnsi="Book Antiqua"/>
                <w:b/>
                <w:bCs/>
              </w:rPr>
            </w:pPr>
            <w:proofErr w:type="spellStart"/>
            <w:r w:rsidRPr="00D40ECC">
              <w:rPr>
                <w:rFonts w:ascii="Book Antiqua" w:hAnsi="Book Antiqua"/>
                <w:b/>
                <w:bCs/>
              </w:rPr>
              <w:t>aOR</w:t>
            </w:r>
            <w:proofErr w:type="spellEnd"/>
            <w:r w:rsidRPr="00D40ECC">
              <w:rPr>
                <w:rFonts w:ascii="Book Antiqua" w:hAnsi="Book Antiqua"/>
                <w:b/>
                <w:bCs/>
              </w:rPr>
              <w:t xml:space="preserve"> (95%CI)</w:t>
            </w:r>
          </w:p>
        </w:tc>
        <w:tc>
          <w:tcPr>
            <w:tcW w:w="816" w:type="dxa"/>
            <w:tcBorders>
              <w:top w:val="single" w:sz="4" w:space="0" w:color="auto"/>
              <w:bottom w:val="single" w:sz="4" w:space="0" w:color="auto"/>
            </w:tcBorders>
            <w:vAlign w:val="bottom"/>
          </w:tcPr>
          <w:p w14:paraId="2EE363C6" w14:textId="41DADD26" w:rsidR="000A4CF7" w:rsidRPr="00D40ECC" w:rsidRDefault="000A4CF7" w:rsidP="005638C6">
            <w:pPr>
              <w:spacing w:line="360" w:lineRule="auto"/>
              <w:jc w:val="both"/>
              <w:textAlignment w:val="baseline"/>
              <w:rPr>
                <w:rFonts w:ascii="Book Antiqua" w:hAnsi="Book Antiqua"/>
                <w:b/>
                <w:bCs/>
              </w:rPr>
            </w:pPr>
            <w:r w:rsidRPr="00D40ECC">
              <w:rPr>
                <w:rFonts w:ascii="Book Antiqua" w:hAnsi="Book Antiqua"/>
                <w:b/>
                <w:bCs/>
                <w:i/>
                <w:iCs/>
              </w:rPr>
              <w:t>P</w:t>
            </w:r>
            <w:r w:rsidRPr="00D40ECC">
              <w:rPr>
                <w:rFonts w:ascii="Book Antiqua" w:hAnsi="Book Antiqua"/>
                <w:b/>
                <w:bCs/>
              </w:rPr>
              <w:t xml:space="preserve"> value</w:t>
            </w:r>
          </w:p>
        </w:tc>
        <w:tc>
          <w:tcPr>
            <w:tcW w:w="1921" w:type="dxa"/>
            <w:tcBorders>
              <w:top w:val="single" w:sz="4" w:space="0" w:color="auto"/>
              <w:bottom w:val="single" w:sz="4" w:space="0" w:color="auto"/>
            </w:tcBorders>
            <w:vAlign w:val="bottom"/>
          </w:tcPr>
          <w:p w14:paraId="64775ECC" w14:textId="67C1A0EA" w:rsidR="000A4CF7" w:rsidRPr="00D40ECC" w:rsidRDefault="000A4CF7" w:rsidP="005638C6">
            <w:pPr>
              <w:spacing w:line="360" w:lineRule="auto"/>
              <w:jc w:val="both"/>
              <w:textAlignment w:val="baseline"/>
              <w:rPr>
                <w:rFonts w:ascii="Book Antiqua" w:hAnsi="Book Antiqua"/>
                <w:b/>
                <w:bCs/>
              </w:rPr>
            </w:pPr>
            <w:r w:rsidRPr="00D40ECC">
              <w:rPr>
                <w:rFonts w:ascii="Book Antiqua" w:hAnsi="Book Antiqua"/>
                <w:b/>
                <w:bCs/>
              </w:rPr>
              <w:t>Ascites</w:t>
            </w:r>
          </w:p>
        </w:tc>
        <w:tc>
          <w:tcPr>
            <w:tcW w:w="1346" w:type="dxa"/>
            <w:tcBorders>
              <w:top w:val="single" w:sz="4" w:space="0" w:color="auto"/>
              <w:bottom w:val="single" w:sz="4" w:space="0" w:color="auto"/>
            </w:tcBorders>
            <w:vAlign w:val="bottom"/>
          </w:tcPr>
          <w:p w14:paraId="527C96F8" w14:textId="284BBB96" w:rsidR="000A4CF7" w:rsidRPr="00D40ECC" w:rsidRDefault="000A4CF7" w:rsidP="00D40ECC">
            <w:pPr>
              <w:spacing w:line="360" w:lineRule="auto"/>
              <w:jc w:val="both"/>
              <w:textAlignment w:val="baseline"/>
              <w:rPr>
                <w:rFonts w:ascii="Book Antiqua" w:hAnsi="Book Antiqua"/>
                <w:b/>
                <w:bCs/>
              </w:rPr>
            </w:pPr>
            <w:r w:rsidRPr="00D40ECC">
              <w:rPr>
                <w:rFonts w:ascii="Book Antiqua" w:hAnsi="Book Antiqua"/>
                <w:b/>
                <w:bCs/>
              </w:rPr>
              <w:t>OR (95%CI)</w:t>
            </w:r>
          </w:p>
        </w:tc>
        <w:tc>
          <w:tcPr>
            <w:tcW w:w="816" w:type="dxa"/>
            <w:tcBorders>
              <w:top w:val="single" w:sz="4" w:space="0" w:color="auto"/>
              <w:bottom w:val="single" w:sz="4" w:space="0" w:color="auto"/>
            </w:tcBorders>
            <w:vAlign w:val="bottom"/>
          </w:tcPr>
          <w:p w14:paraId="10B8804A" w14:textId="64F61BCB" w:rsidR="000A4CF7" w:rsidRPr="00D40ECC" w:rsidRDefault="000A4CF7" w:rsidP="005638C6">
            <w:pPr>
              <w:spacing w:line="360" w:lineRule="auto"/>
              <w:jc w:val="both"/>
              <w:textAlignment w:val="baseline"/>
              <w:rPr>
                <w:rFonts w:ascii="Book Antiqua" w:hAnsi="Book Antiqua"/>
                <w:b/>
                <w:bCs/>
              </w:rPr>
            </w:pPr>
            <w:r w:rsidRPr="00D40ECC">
              <w:rPr>
                <w:rFonts w:ascii="Book Antiqua" w:hAnsi="Book Antiqua"/>
                <w:b/>
                <w:bCs/>
                <w:i/>
                <w:iCs/>
              </w:rPr>
              <w:t>P</w:t>
            </w:r>
            <w:r w:rsidRPr="00D40ECC">
              <w:rPr>
                <w:rFonts w:ascii="Book Antiqua" w:hAnsi="Book Antiqua"/>
                <w:b/>
                <w:bCs/>
              </w:rPr>
              <w:t xml:space="preserve"> value</w:t>
            </w:r>
          </w:p>
        </w:tc>
        <w:tc>
          <w:tcPr>
            <w:tcW w:w="1540" w:type="dxa"/>
            <w:tcBorders>
              <w:top w:val="single" w:sz="4" w:space="0" w:color="auto"/>
              <w:bottom w:val="single" w:sz="4" w:space="0" w:color="auto"/>
            </w:tcBorders>
            <w:vAlign w:val="bottom"/>
          </w:tcPr>
          <w:p w14:paraId="111E4258" w14:textId="7C68231C" w:rsidR="000A4CF7" w:rsidRPr="00D40ECC" w:rsidRDefault="000A4CF7" w:rsidP="00D40ECC">
            <w:pPr>
              <w:spacing w:line="360" w:lineRule="auto"/>
              <w:jc w:val="both"/>
              <w:textAlignment w:val="baseline"/>
              <w:rPr>
                <w:rFonts w:ascii="Book Antiqua" w:hAnsi="Book Antiqua"/>
                <w:b/>
                <w:bCs/>
              </w:rPr>
            </w:pPr>
            <w:proofErr w:type="spellStart"/>
            <w:r w:rsidRPr="00D40ECC">
              <w:rPr>
                <w:rFonts w:ascii="Book Antiqua" w:hAnsi="Book Antiqua"/>
                <w:b/>
                <w:bCs/>
              </w:rPr>
              <w:t>aOR</w:t>
            </w:r>
            <w:proofErr w:type="spellEnd"/>
            <w:r w:rsidRPr="00D40ECC">
              <w:rPr>
                <w:rFonts w:ascii="Book Antiqua" w:hAnsi="Book Antiqua"/>
                <w:b/>
                <w:bCs/>
              </w:rPr>
              <w:t xml:space="preserve"> (95%CI)</w:t>
            </w:r>
          </w:p>
        </w:tc>
        <w:tc>
          <w:tcPr>
            <w:tcW w:w="816" w:type="dxa"/>
            <w:tcBorders>
              <w:top w:val="single" w:sz="4" w:space="0" w:color="auto"/>
              <w:bottom w:val="single" w:sz="4" w:space="0" w:color="auto"/>
            </w:tcBorders>
            <w:vAlign w:val="bottom"/>
          </w:tcPr>
          <w:p w14:paraId="50E3EAEE" w14:textId="031286DB" w:rsidR="000A4CF7" w:rsidRPr="00D40ECC" w:rsidRDefault="000A4CF7" w:rsidP="005638C6">
            <w:pPr>
              <w:spacing w:line="360" w:lineRule="auto"/>
              <w:jc w:val="both"/>
              <w:textAlignment w:val="baseline"/>
              <w:rPr>
                <w:rFonts w:ascii="Book Antiqua" w:hAnsi="Book Antiqua"/>
                <w:b/>
                <w:bCs/>
              </w:rPr>
            </w:pPr>
            <w:r w:rsidRPr="00D40ECC">
              <w:rPr>
                <w:rFonts w:ascii="Book Antiqua" w:hAnsi="Book Antiqua"/>
                <w:b/>
                <w:bCs/>
                <w:i/>
                <w:iCs/>
              </w:rPr>
              <w:t>P</w:t>
            </w:r>
            <w:r w:rsidRPr="00D40ECC">
              <w:rPr>
                <w:rFonts w:ascii="Book Antiqua" w:hAnsi="Book Antiqua"/>
                <w:b/>
                <w:bCs/>
              </w:rPr>
              <w:t xml:space="preserve"> value</w:t>
            </w:r>
          </w:p>
        </w:tc>
      </w:tr>
      <w:tr w:rsidR="00594912" w:rsidRPr="00D40ECC" w14:paraId="7DB705A3" w14:textId="77777777" w:rsidTr="00A949DF">
        <w:tc>
          <w:tcPr>
            <w:tcW w:w="1921" w:type="dxa"/>
            <w:tcBorders>
              <w:top w:val="single" w:sz="4" w:space="0" w:color="auto"/>
            </w:tcBorders>
          </w:tcPr>
          <w:p w14:paraId="0ECB09B4" w14:textId="77777777" w:rsidR="000A4CF7" w:rsidRPr="00D40ECC" w:rsidRDefault="000A4CF7" w:rsidP="005638C6">
            <w:pPr>
              <w:spacing w:line="360" w:lineRule="auto"/>
              <w:jc w:val="both"/>
              <w:textAlignment w:val="baseline"/>
              <w:rPr>
                <w:rFonts w:ascii="Book Antiqua" w:hAnsi="Book Antiqua"/>
                <w:b/>
                <w:bCs/>
              </w:rPr>
            </w:pPr>
          </w:p>
        </w:tc>
        <w:tc>
          <w:tcPr>
            <w:tcW w:w="1346" w:type="dxa"/>
            <w:tcBorders>
              <w:top w:val="single" w:sz="4" w:space="0" w:color="auto"/>
            </w:tcBorders>
            <w:vAlign w:val="bottom"/>
          </w:tcPr>
          <w:p w14:paraId="1E400354" w14:textId="2241C36E" w:rsidR="000A4CF7" w:rsidRPr="00D40ECC" w:rsidRDefault="000A4CF7" w:rsidP="005638C6">
            <w:pPr>
              <w:spacing w:line="360" w:lineRule="auto"/>
              <w:jc w:val="both"/>
              <w:textAlignment w:val="baseline"/>
              <w:rPr>
                <w:rFonts w:ascii="Book Antiqua" w:hAnsi="Book Antiqua"/>
                <w:b/>
                <w:bCs/>
              </w:rPr>
            </w:pPr>
            <w:r w:rsidRPr="00D40ECC">
              <w:rPr>
                <w:rFonts w:ascii="Book Antiqua" w:eastAsia="Times New Roman" w:hAnsi="Book Antiqua" w:cs="Calibri"/>
                <w:color w:val="000000"/>
              </w:rPr>
              <w:t>Univariate logistic regression</w:t>
            </w:r>
          </w:p>
        </w:tc>
        <w:tc>
          <w:tcPr>
            <w:tcW w:w="816" w:type="dxa"/>
            <w:tcBorders>
              <w:top w:val="single" w:sz="4" w:space="0" w:color="auto"/>
            </w:tcBorders>
            <w:vAlign w:val="bottom"/>
          </w:tcPr>
          <w:p w14:paraId="18CC6531" w14:textId="77777777" w:rsidR="000A4CF7" w:rsidRPr="00D40ECC" w:rsidRDefault="000A4CF7" w:rsidP="005638C6">
            <w:pPr>
              <w:spacing w:line="360" w:lineRule="auto"/>
              <w:jc w:val="both"/>
              <w:textAlignment w:val="baseline"/>
              <w:rPr>
                <w:rFonts w:ascii="Book Antiqua" w:hAnsi="Book Antiqua"/>
                <w:b/>
                <w:bCs/>
              </w:rPr>
            </w:pPr>
          </w:p>
        </w:tc>
        <w:tc>
          <w:tcPr>
            <w:tcW w:w="1540" w:type="dxa"/>
            <w:tcBorders>
              <w:top w:val="single" w:sz="4" w:space="0" w:color="auto"/>
            </w:tcBorders>
            <w:vAlign w:val="bottom"/>
          </w:tcPr>
          <w:p w14:paraId="7452BAB3" w14:textId="4FF31652" w:rsidR="000A4CF7" w:rsidRPr="00D40ECC" w:rsidRDefault="000A4CF7" w:rsidP="005638C6">
            <w:pPr>
              <w:spacing w:line="360" w:lineRule="auto"/>
              <w:jc w:val="both"/>
              <w:textAlignment w:val="baseline"/>
              <w:rPr>
                <w:rFonts w:ascii="Book Antiqua" w:hAnsi="Book Antiqua"/>
                <w:b/>
                <w:bCs/>
              </w:rPr>
            </w:pPr>
            <w:r w:rsidRPr="00D40ECC">
              <w:rPr>
                <w:rFonts w:ascii="Book Antiqua" w:eastAsia="Times New Roman" w:hAnsi="Book Antiqua" w:cs="Calibri"/>
                <w:color w:val="000000"/>
              </w:rPr>
              <w:t>Multivariate logistic regression</w:t>
            </w:r>
            <w:r w:rsidRPr="00D40ECC">
              <w:rPr>
                <w:rFonts w:ascii="Book Antiqua" w:eastAsia="Times New Roman" w:hAnsi="Book Antiqua" w:cs="Calibri"/>
                <w:color w:val="000000"/>
                <w:vertAlign w:val="superscript"/>
              </w:rPr>
              <w:t>1</w:t>
            </w:r>
          </w:p>
        </w:tc>
        <w:tc>
          <w:tcPr>
            <w:tcW w:w="816" w:type="dxa"/>
            <w:tcBorders>
              <w:top w:val="single" w:sz="4" w:space="0" w:color="auto"/>
            </w:tcBorders>
          </w:tcPr>
          <w:p w14:paraId="24D1642F" w14:textId="77777777" w:rsidR="000A4CF7" w:rsidRPr="00D40ECC" w:rsidRDefault="000A4CF7" w:rsidP="005638C6">
            <w:pPr>
              <w:spacing w:line="360" w:lineRule="auto"/>
              <w:jc w:val="both"/>
              <w:textAlignment w:val="baseline"/>
              <w:rPr>
                <w:rFonts w:ascii="Book Antiqua" w:hAnsi="Book Antiqua"/>
                <w:b/>
                <w:bCs/>
              </w:rPr>
            </w:pPr>
          </w:p>
        </w:tc>
        <w:tc>
          <w:tcPr>
            <w:tcW w:w="1921" w:type="dxa"/>
            <w:tcBorders>
              <w:top w:val="single" w:sz="4" w:space="0" w:color="auto"/>
            </w:tcBorders>
          </w:tcPr>
          <w:p w14:paraId="0FFD1BFF" w14:textId="77777777" w:rsidR="000A4CF7" w:rsidRPr="00D40ECC" w:rsidRDefault="000A4CF7" w:rsidP="005638C6">
            <w:pPr>
              <w:spacing w:line="360" w:lineRule="auto"/>
              <w:jc w:val="both"/>
              <w:textAlignment w:val="baseline"/>
              <w:rPr>
                <w:rFonts w:ascii="Book Antiqua" w:hAnsi="Book Antiqua"/>
                <w:b/>
                <w:bCs/>
              </w:rPr>
            </w:pPr>
          </w:p>
        </w:tc>
        <w:tc>
          <w:tcPr>
            <w:tcW w:w="1346" w:type="dxa"/>
            <w:tcBorders>
              <w:top w:val="single" w:sz="4" w:space="0" w:color="auto"/>
            </w:tcBorders>
            <w:vAlign w:val="bottom"/>
          </w:tcPr>
          <w:p w14:paraId="7C27AC99" w14:textId="1EE292DC" w:rsidR="000A4CF7" w:rsidRPr="00D40ECC" w:rsidRDefault="000A4CF7" w:rsidP="005638C6">
            <w:pPr>
              <w:spacing w:line="360" w:lineRule="auto"/>
              <w:jc w:val="both"/>
              <w:textAlignment w:val="baseline"/>
              <w:rPr>
                <w:rFonts w:ascii="Book Antiqua" w:hAnsi="Book Antiqua"/>
                <w:b/>
                <w:bCs/>
              </w:rPr>
            </w:pPr>
            <w:r w:rsidRPr="00D40ECC">
              <w:rPr>
                <w:rFonts w:ascii="Book Antiqua" w:eastAsia="Times New Roman" w:hAnsi="Book Antiqua" w:cs="Calibri"/>
                <w:color w:val="000000"/>
              </w:rPr>
              <w:t>Univariate logistic regression</w:t>
            </w:r>
          </w:p>
        </w:tc>
        <w:tc>
          <w:tcPr>
            <w:tcW w:w="816" w:type="dxa"/>
            <w:tcBorders>
              <w:top w:val="single" w:sz="4" w:space="0" w:color="auto"/>
            </w:tcBorders>
            <w:vAlign w:val="bottom"/>
          </w:tcPr>
          <w:p w14:paraId="191554CF" w14:textId="77777777" w:rsidR="000A4CF7" w:rsidRPr="00D40ECC" w:rsidRDefault="000A4CF7" w:rsidP="005638C6">
            <w:pPr>
              <w:spacing w:line="360" w:lineRule="auto"/>
              <w:jc w:val="both"/>
              <w:textAlignment w:val="baseline"/>
              <w:rPr>
                <w:rFonts w:ascii="Book Antiqua" w:hAnsi="Book Antiqua"/>
                <w:b/>
                <w:bCs/>
              </w:rPr>
            </w:pPr>
          </w:p>
        </w:tc>
        <w:tc>
          <w:tcPr>
            <w:tcW w:w="1540" w:type="dxa"/>
            <w:tcBorders>
              <w:top w:val="single" w:sz="4" w:space="0" w:color="auto"/>
            </w:tcBorders>
            <w:vAlign w:val="bottom"/>
          </w:tcPr>
          <w:p w14:paraId="626339FA" w14:textId="7528C9ED" w:rsidR="000A4CF7" w:rsidRPr="00D40ECC" w:rsidRDefault="000A4CF7" w:rsidP="005638C6">
            <w:pPr>
              <w:spacing w:line="360" w:lineRule="auto"/>
              <w:jc w:val="both"/>
              <w:textAlignment w:val="baseline"/>
              <w:rPr>
                <w:rFonts w:ascii="Book Antiqua" w:hAnsi="Book Antiqua"/>
                <w:b/>
                <w:bCs/>
              </w:rPr>
            </w:pPr>
            <w:r w:rsidRPr="00D40ECC">
              <w:rPr>
                <w:rFonts w:ascii="Book Antiqua" w:eastAsia="Times New Roman" w:hAnsi="Book Antiqua" w:cs="Calibri"/>
                <w:color w:val="000000"/>
              </w:rPr>
              <w:t>Multivariate logistic regression</w:t>
            </w:r>
            <w:r w:rsidRPr="00D40ECC">
              <w:rPr>
                <w:rFonts w:ascii="Book Antiqua" w:eastAsia="Times New Roman" w:hAnsi="Book Antiqua" w:cs="Calibri"/>
                <w:color w:val="000000"/>
                <w:vertAlign w:val="superscript"/>
              </w:rPr>
              <w:t>1</w:t>
            </w:r>
          </w:p>
        </w:tc>
        <w:tc>
          <w:tcPr>
            <w:tcW w:w="816" w:type="dxa"/>
            <w:tcBorders>
              <w:top w:val="single" w:sz="4" w:space="0" w:color="auto"/>
            </w:tcBorders>
          </w:tcPr>
          <w:p w14:paraId="13B40F2E" w14:textId="77777777" w:rsidR="000A4CF7" w:rsidRPr="00D40ECC" w:rsidRDefault="000A4CF7" w:rsidP="005638C6">
            <w:pPr>
              <w:spacing w:line="360" w:lineRule="auto"/>
              <w:jc w:val="both"/>
              <w:textAlignment w:val="baseline"/>
              <w:rPr>
                <w:rFonts w:ascii="Book Antiqua" w:hAnsi="Book Antiqua"/>
                <w:b/>
                <w:bCs/>
              </w:rPr>
            </w:pPr>
          </w:p>
        </w:tc>
      </w:tr>
      <w:tr w:rsidR="00594912" w:rsidRPr="00D40ECC" w14:paraId="46C8FFE2" w14:textId="77777777" w:rsidTr="0036133B">
        <w:trPr>
          <w:trHeight w:val="1141"/>
        </w:trPr>
        <w:tc>
          <w:tcPr>
            <w:tcW w:w="1921" w:type="dxa"/>
            <w:vAlign w:val="bottom"/>
          </w:tcPr>
          <w:p w14:paraId="71604BAD" w14:textId="78EFD2FB"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Diabetes</w:t>
            </w:r>
          </w:p>
        </w:tc>
        <w:tc>
          <w:tcPr>
            <w:tcW w:w="1346" w:type="dxa"/>
            <w:vAlign w:val="bottom"/>
          </w:tcPr>
          <w:p w14:paraId="164429A8" w14:textId="237DE85D"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1.17 (0.84-1.62)</w:t>
            </w:r>
          </w:p>
        </w:tc>
        <w:tc>
          <w:tcPr>
            <w:tcW w:w="816" w:type="dxa"/>
            <w:vAlign w:val="bottom"/>
          </w:tcPr>
          <w:p w14:paraId="4FFEC49B" w14:textId="3047F0F5"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NS</w:t>
            </w:r>
          </w:p>
        </w:tc>
        <w:tc>
          <w:tcPr>
            <w:tcW w:w="1540" w:type="dxa"/>
            <w:vAlign w:val="bottom"/>
          </w:tcPr>
          <w:p w14:paraId="7BC95F72" w14:textId="77777777" w:rsidR="000D14D7" w:rsidRPr="00D40ECC" w:rsidRDefault="000D14D7" w:rsidP="005638C6">
            <w:pPr>
              <w:spacing w:line="360" w:lineRule="auto"/>
              <w:jc w:val="both"/>
              <w:textAlignment w:val="baseline"/>
              <w:rPr>
                <w:rFonts w:ascii="Book Antiqua" w:hAnsi="Book Antiqua"/>
                <w:b/>
                <w:bCs/>
              </w:rPr>
            </w:pPr>
          </w:p>
        </w:tc>
        <w:tc>
          <w:tcPr>
            <w:tcW w:w="816" w:type="dxa"/>
            <w:vAlign w:val="bottom"/>
          </w:tcPr>
          <w:p w14:paraId="775FA341" w14:textId="77777777" w:rsidR="000D14D7" w:rsidRPr="00D40ECC" w:rsidRDefault="000D14D7" w:rsidP="005638C6">
            <w:pPr>
              <w:spacing w:line="360" w:lineRule="auto"/>
              <w:jc w:val="both"/>
              <w:textAlignment w:val="baseline"/>
              <w:rPr>
                <w:rFonts w:ascii="Book Antiqua" w:hAnsi="Book Antiqua"/>
                <w:b/>
                <w:bCs/>
              </w:rPr>
            </w:pPr>
          </w:p>
        </w:tc>
        <w:tc>
          <w:tcPr>
            <w:tcW w:w="1921" w:type="dxa"/>
            <w:vAlign w:val="bottom"/>
          </w:tcPr>
          <w:p w14:paraId="2B06E4C8" w14:textId="36CF54AE"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Diabetes</w:t>
            </w:r>
          </w:p>
        </w:tc>
        <w:tc>
          <w:tcPr>
            <w:tcW w:w="1346" w:type="dxa"/>
            <w:vAlign w:val="bottom"/>
          </w:tcPr>
          <w:p w14:paraId="4283A359" w14:textId="433CA7F8"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1.16 (0.91-1.49)</w:t>
            </w:r>
          </w:p>
        </w:tc>
        <w:tc>
          <w:tcPr>
            <w:tcW w:w="816" w:type="dxa"/>
            <w:vAlign w:val="bottom"/>
          </w:tcPr>
          <w:p w14:paraId="4F1E6D3D" w14:textId="09049CF4"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0.23</w:t>
            </w:r>
          </w:p>
        </w:tc>
        <w:tc>
          <w:tcPr>
            <w:tcW w:w="1540" w:type="dxa"/>
            <w:vAlign w:val="bottom"/>
          </w:tcPr>
          <w:p w14:paraId="5D51AA2E" w14:textId="77777777" w:rsidR="000D14D7" w:rsidRPr="00D40ECC" w:rsidRDefault="000D14D7" w:rsidP="005638C6">
            <w:pPr>
              <w:spacing w:line="360" w:lineRule="auto"/>
              <w:jc w:val="both"/>
              <w:textAlignment w:val="baseline"/>
              <w:rPr>
                <w:rFonts w:ascii="Book Antiqua" w:hAnsi="Book Antiqua"/>
                <w:b/>
                <w:bCs/>
              </w:rPr>
            </w:pPr>
          </w:p>
        </w:tc>
        <w:tc>
          <w:tcPr>
            <w:tcW w:w="816" w:type="dxa"/>
            <w:vAlign w:val="bottom"/>
          </w:tcPr>
          <w:p w14:paraId="20FA8B91" w14:textId="77777777" w:rsidR="000D14D7" w:rsidRPr="00D40ECC" w:rsidRDefault="000D14D7" w:rsidP="005638C6">
            <w:pPr>
              <w:spacing w:line="360" w:lineRule="auto"/>
              <w:jc w:val="both"/>
              <w:textAlignment w:val="baseline"/>
              <w:rPr>
                <w:rFonts w:ascii="Book Antiqua" w:hAnsi="Book Antiqua"/>
                <w:b/>
                <w:bCs/>
              </w:rPr>
            </w:pPr>
          </w:p>
        </w:tc>
      </w:tr>
      <w:tr w:rsidR="00594912" w:rsidRPr="00D40ECC" w14:paraId="34CA784E" w14:textId="77777777" w:rsidTr="00A949DF">
        <w:tc>
          <w:tcPr>
            <w:tcW w:w="1921" w:type="dxa"/>
            <w:vAlign w:val="bottom"/>
          </w:tcPr>
          <w:p w14:paraId="280D6283" w14:textId="52F3B12F"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Obesity</w:t>
            </w:r>
          </w:p>
        </w:tc>
        <w:tc>
          <w:tcPr>
            <w:tcW w:w="1346" w:type="dxa"/>
            <w:vAlign w:val="bottom"/>
          </w:tcPr>
          <w:p w14:paraId="2488F42A" w14:textId="69E12B2B"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1.00 (0.71-1.40)</w:t>
            </w:r>
          </w:p>
        </w:tc>
        <w:tc>
          <w:tcPr>
            <w:tcW w:w="816" w:type="dxa"/>
            <w:vAlign w:val="bottom"/>
          </w:tcPr>
          <w:p w14:paraId="350BA80E" w14:textId="7E41FB51"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NS</w:t>
            </w:r>
          </w:p>
        </w:tc>
        <w:tc>
          <w:tcPr>
            <w:tcW w:w="1540" w:type="dxa"/>
            <w:vAlign w:val="bottom"/>
          </w:tcPr>
          <w:p w14:paraId="1B3AEECA" w14:textId="77777777" w:rsidR="000D14D7" w:rsidRPr="00D40ECC" w:rsidRDefault="000D14D7" w:rsidP="005638C6">
            <w:pPr>
              <w:spacing w:line="360" w:lineRule="auto"/>
              <w:jc w:val="both"/>
              <w:textAlignment w:val="baseline"/>
              <w:rPr>
                <w:rFonts w:ascii="Book Antiqua" w:hAnsi="Book Antiqua"/>
                <w:b/>
                <w:bCs/>
              </w:rPr>
            </w:pPr>
          </w:p>
        </w:tc>
        <w:tc>
          <w:tcPr>
            <w:tcW w:w="816" w:type="dxa"/>
            <w:vAlign w:val="bottom"/>
          </w:tcPr>
          <w:p w14:paraId="3EE77CB8" w14:textId="77777777" w:rsidR="000D14D7" w:rsidRPr="00D40ECC" w:rsidRDefault="000D14D7" w:rsidP="005638C6">
            <w:pPr>
              <w:spacing w:line="360" w:lineRule="auto"/>
              <w:jc w:val="both"/>
              <w:textAlignment w:val="baseline"/>
              <w:rPr>
                <w:rFonts w:ascii="Book Antiqua" w:hAnsi="Book Antiqua"/>
                <w:b/>
                <w:bCs/>
              </w:rPr>
            </w:pPr>
          </w:p>
        </w:tc>
        <w:tc>
          <w:tcPr>
            <w:tcW w:w="1921" w:type="dxa"/>
            <w:vAlign w:val="bottom"/>
          </w:tcPr>
          <w:p w14:paraId="51A887AB" w14:textId="4AF07313"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Obesity</w:t>
            </w:r>
          </w:p>
        </w:tc>
        <w:tc>
          <w:tcPr>
            <w:tcW w:w="1346" w:type="dxa"/>
            <w:vAlign w:val="bottom"/>
          </w:tcPr>
          <w:p w14:paraId="49698961" w14:textId="1105F78A"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0.41 (0.31-0.53)</w:t>
            </w:r>
          </w:p>
        </w:tc>
        <w:tc>
          <w:tcPr>
            <w:tcW w:w="816" w:type="dxa"/>
            <w:vAlign w:val="bottom"/>
          </w:tcPr>
          <w:p w14:paraId="70C83B68" w14:textId="24CE7605"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&lt;</w:t>
            </w:r>
            <w:r w:rsidR="00450466" w:rsidRPr="00D40ECC">
              <w:rPr>
                <w:rFonts w:ascii="Book Antiqua" w:hAnsi="Book Antiqua"/>
              </w:rPr>
              <w:t xml:space="preserve"> </w:t>
            </w:r>
            <w:r w:rsidRPr="00D40ECC">
              <w:rPr>
                <w:rFonts w:ascii="Book Antiqua" w:hAnsi="Book Antiqua"/>
              </w:rPr>
              <w:t>0.01</w:t>
            </w:r>
          </w:p>
        </w:tc>
        <w:tc>
          <w:tcPr>
            <w:tcW w:w="1540" w:type="dxa"/>
            <w:vAlign w:val="bottom"/>
          </w:tcPr>
          <w:p w14:paraId="4C9BF792" w14:textId="77612D9A"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0.61 (0.46-0.81)</w:t>
            </w:r>
          </w:p>
        </w:tc>
        <w:tc>
          <w:tcPr>
            <w:tcW w:w="816" w:type="dxa"/>
            <w:vAlign w:val="bottom"/>
          </w:tcPr>
          <w:p w14:paraId="1675805F" w14:textId="734A5C61"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&lt;</w:t>
            </w:r>
            <w:r w:rsidR="00637810" w:rsidRPr="00D40ECC">
              <w:rPr>
                <w:rFonts w:ascii="Book Antiqua" w:hAnsi="Book Antiqua"/>
              </w:rPr>
              <w:t xml:space="preserve"> </w:t>
            </w:r>
            <w:r w:rsidRPr="00D40ECC">
              <w:rPr>
                <w:rFonts w:ascii="Book Antiqua" w:hAnsi="Book Antiqua"/>
              </w:rPr>
              <w:t>0.01</w:t>
            </w:r>
          </w:p>
        </w:tc>
      </w:tr>
      <w:tr w:rsidR="00594912" w:rsidRPr="00D40ECC" w14:paraId="73554C55" w14:textId="77777777" w:rsidTr="00A949DF">
        <w:trPr>
          <w:trHeight w:val="1181"/>
        </w:trPr>
        <w:tc>
          <w:tcPr>
            <w:tcW w:w="1921" w:type="dxa"/>
            <w:vAlign w:val="bottom"/>
          </w:tcPr>
          <w:p w14:paraId="5676203A" w14:textId="44534571"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Hyperlipidemia</w:t>
            </w:r>
          </w:p>
        </w:tc>
        <w:tc>
          <w:tcPr>
            <w:tcW w:w="1346" w:type="dxa"/>
            <w:vAlign w:val="bottom"/>
          </w:tcPr>
          <w:p w14:paraId="0CBF2D63" w14:textId="499BD2FF"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1.32 (0.94-1.85)</w:t>
            </w:r>
          </w:p>
        </w:tc>
        <w:tc>
          <w:tcPr>
            <w:tcW w:w="816" w:type="dxa"/>
            <w:vAlign w:val="bottom"/>
          </w:tcPr>
          <w:p w14:paraId="1D3CDA0D" w14:textId="79FA5D65"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0.11</w:t>
            </w:r>
          </w:p>
        </w:tc>
        <w:tc>
          <w:tcPr>
            <w:tcW w:w="1540" w:type="dxa"/>
            <w:vAlign w:val="bottom"/>
          </w:tcPr>
          <w:p w14:paraId="4285E935" w14:textId="6BC83CC3"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1.5</w:t>
            </w:r>
            <w:r w:rsidR="008B158A" w:rsidRPr="00D40ECC">
              <w:rPr>
                <w:rFonts w:ascii="Book Antiqua" w:hAnsi="Book Antiqua"/>
              </w:rPr>
              <w:t>3</w:t>
            </w:r>
            <w:r w:rsidRPr="00D40ECC">
              <w:rPr>
                <w:rFonts w:ascii="Book Antiqua" w:hAnsi="Book Antiqua"/>
              </w:rPr>
              <w:t xml:space="preserve"> (</w:t>
            </w:r>
            <w:r w:rsidR="008B158A" w:rsidRPr="00D40ECC">
              <w:rPr>
                <w:rFonts w:ascii="Book Antiqua" w:hAnsi="Book Antiqua"/>
              </w:rPr>
              <w:t>1.08</w:t>
            </w:r>
            <w:r w:rsidRPr="00D40ECC">
              <w:rPr>
                <w:rFonts w:ascii="Book Antiqua" w:hAnsi="Book Antiqua"/>
              </w:rPr>
              <w:t>-</w:t>
            </w:r>
            <w:r w:rsidR="008B158A" w:rsidRPr="00D40ECC">
              <w:rPr>
                <w:rFonts w:ascii="Book Antiqua" w:hAnsi="Book Antiqua"/>
              </w:rPr>
              <w:t>2.17</w:t>
            </w:r>
            <w:r w:rsidRPr="00D40ECC">
              <w:rPr>
                <w:rFonts w:ascii="Book Antiqua" w:hAnsi="Book Antiqua"/>
              </w:rPr>
              <w:t>)</w:t>
            </w:r>
          </w:p>
        </w:tc>
        <w:tc>
          <w:tcPr>
            <w:tcW w:w="816" w:type="dxa"/>
            <w:vAlign w:val="bottom"/>
          </w:tcPr>
          <w:p w14:paraId="265070D8" w14:textId="7BD00830"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0.0</w:t>
            </w:r>
            <w:r w:rsidR="008B158A" w:rsidRPr="00D40ECC">
              <w:rPr>
                <w:rFonts w:ascii="Book Antiqua" w:hAnsi="Book Antiqua"/>
              </w:rPr>
              <w:t>2</w:t>
            </w:r>
          </w:p>
        </w:tc>
        <w:tc>
          <w:tcPr>
            <w:tcW w:w="1921" w:type="dxa"/>
            <w:vAlign w:val="bottom"/>
          </w:tcPr>
          <w:p w14:paraId="7705D918" w14:textId="057B6DE8"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Hyperlipidemia</w:t>
            </w:r>
          </w:p>
        </w:tc>
        <w:tc>
          <w:tcPr>
            <w:tcW w:w="1346" w:type="dxa"/>
            <w:vAlign w:val="bottom"/>
          </w:tcPr>
          <w:p w14:paraId="36666AA0" w14:textId="5CBCB2CB"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0.57 (0.43-0.77)</w:t>
            </w:r>
          </w:p>
        </w:tc>
        <w:tc>
          <w:tcPr>
            <w:tcW w:w="816" w:type="dxa"/>
            <w:vAlign w:val="bottom"/>
          </w:tcPr>
          <w:p w14:paraId="12154E2D" w14:textId="1F9256FD"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&lt;</w:t>
            </w:r>
            <w:r w:rsidR="00450466" w:rsidRPr="00D40ECC">
              <w:rPr>
                <w:rFonts w:ascii="Book Antiqua" w:hAnsi="Book Antiqua"/>
              </w:rPr>
              <w:t xml:space="preserve"> </w:t>
            </w:r>
            <w:r w:rsidRPr="00D40ECC">
              <w:rPr>
                <w:rFonts w:ascii="Book Antiqua" w:hAnsi="Book Antiqua"/>
              </w:rPr>
              <w:t>0.01</w:t>
            </w:r>
          </w:p>
        </w:tc>
        <w:tc>
          <w:tcPr>
            <w:tcW w:w="1540" w:type="dxa"/>
            <w:vAlign w:val="bottom"/>
          </w:tcPr>
          <w:p w14:paraId="5664C3DA" w14:textId="5762945B"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0.59 (0.44-0.80)</w:t>
            </w:r>
          </w:p>
        </w:tc>
        <w:tc>
          <w:tcPr>
            <w:tcW w:w="816" w:type="dxa"/>
            <w:vAlign w:val="bottom"/>
          </w:tcPr>
          <w:p w14:paraId="72BA622D" w14:textId="06C6F1C6"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&lt;</w:t>
            </w:r>
            <w:r w:rsidR="00637810" w:rsidRPr="00D40ECC">
              <w:rPr>
                <w:rFonts w:ascii="Book Antiqua" w:hAnsi="Book Antiqua"/>
              </w:rPr>
              <w:t xml:space="preserve"> </w:t>
            </w:r>
            <w:r w:rsidRPr="00D40ECC">
              <w:rPr>
                <w:rFonts w:ascii="Book Antiqua" w:hAnsi="Book Antiqua"/>
              </w:rPr>
              <w:t>0.01</w:t>
            </w:r>
          </w:p>
        </w:tc>
      </w:tr>
      <w:tr w:rsidR="00594912" w:rsidRPr="00D40ECC" w14:paraId="7D13641E" w14:textId="77777777" w:rsidTr="00A949DF">
        <w:trPr>
          <w:trHeight w:val="1283"/>
        </w:trPr>
        <w:tc>
          <w:tcPr>
            <w:tcW w:w="1921" w:type="dxa"/>
            <w:vAlign w:val="bottom"/>
          </w:tcPr>
          <w:p w14:paraId="2A5E5FFA" w14:textId="19F167C4"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Age (continuous)</w:t>
            </w:r>
          </w:p>
        </w:tc>
        <w:tc>
          <w:tcPr>
            <w:tcW w:w="1346" w:type="dxa"/>
            <w:vAlign w:val="bottom"/>
          </w:tcPr>
          <w:p w14:paraId="0194C07B" w14:textId="5D267B94"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0.99 (0.98-1.01)</w:t>
            </w:r>
          </w:p>
        </w:tc>
        <w:tc>
          <w:tcPr>
            <w:tcW w:w="816" w:type="dxa"/>
            <w:vAlign w:val="bottom"/>
          </w:tcPr>
          <w:p w14:paraId="42A8ED2D" w14:textId="285FD181"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0.22</w:t>
            </w:r>
          </w:p>
        </w:tc>
        <w:tc>
          <w:tcPr>
            <w:tcW w:w="1540" w:type="dxa"/>
            <w:vAlign w:val="bottom"/>
          </w:tcPr>
          <w:p w14:paraId="659F9D8E" w14:textId="77777777" w:rsidR="000D14D7" w:rsidRPr="00D40ECC" w:rsidRDefault="000D14D7" w:rsidP="005638C6">
            <w:pPr>
              <w:spacing w:line="360" w:lineRule="auto"/>
              <w:jc w:val="both"/>
              <w:textAlignment w:val="baseline"/>
              <w:rPr>
                <w:rFonts w:ascii="Book Antiqua" w:hAnsi="Book Antiqua"/>
                <w:b/>
                <w:bCs/>
              </w:rPr>
            </w:pPr>
          </w:p>
        </w:tc>
        <w:tc>
          <w:tcPr>
            <w:tcW w:w="816" w:type="dxa"/>
            <w:vAlign w:val="bottom"/>
          </w:tcPr>
          <w:p w14:paraId="376C3D75" w14:textId="77777777" w:rsidR="000D14D7" w:rsidRPr="00D40ECC" w:rsidRDefault="000D14D7" w:rsidP="005638C6">
            <w:pPr>
              <w:spacing w:line="360" w:lineRule="auto"/>
              <w:jc w:val="both"/>
              <w:textAlignment w:val="baseline"/>
              <w:rPr>
                <w:rFonts w:ascii="Book Antiqua" w:hAnsi="Book Antiqua"/>
                <w:b/>
                <w:bCs/>
              </w:rPr>
            </w:pPr>
          </w:p>
        </w:tc>
        <w:tc>
          <w:tcPr>
            <w:tcW w:w="1921" w:type="dxa"/>
            <w:vAlign w:val="bottom"/>
          </w:tcPr>
          <w:p w14:paraId="4E7E886C" w14:textId="6B341420"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Age (continuous)</w:t>
            </w:r>
          </w:p>
        </w:tc>
        <w:tc>
          <w:tcPr>
            <w:tcW w:w="1346" w:type="dxa"/>
            <w:vAlign w:val="bottom"/>
          </w:tcPr>
          <w:p w14:paraId="674465AF" w14:textId="345BCCA6"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1.02 (0.01-1.03)</w:t>
            </w:r>
          </w:p>
        </w:tc>
        <w:tc>
          <w:tcPr>
            <w:tcW w:w="816" w:type="dxa"/>
            <w:vAlign w:val="bottom"/>
          </w:tcPr>
          <w:p w14:paraId="45FDCB3B" w14:textId="4304397A"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&lt;</w:t>
            </w:r>
            <w:r w:rsidR="00450466" w:rsidRPr="00D40ECC">
              <w:rPr>
                <w:rFonts w:ascii="Book Antiqua" w:hAnsi="Book Antiqua"/>
              </w:rPr>
              <w:t xml:space="preserve"> </w:t>
            </w:r>
            <w:r w:rsidRPr="00D40ECC">
              <w:rPr>
                <w:rFonts w:ascii="Book Antiqua" w:hAnsi="Book Antiqua"/>
              </w:rPr>
              <w:t>0.01</w:t>
            </w:r>
          </w:p>
        </w:tc>
        <w:tc>
          <w:tcPr>
            <w:tcW w:w="1540" w:type="dxa"/>
            <w:vAlign w:val="bottom"/>
          </w:tcPr>
          <w:p w14:paraId="346A7C69" w14:textId="22C24CC7"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1.02 (1.01-1.03)</w:t>
            </w:r>
          </w:p>
        </w:tc>
        <w:tc>
          <w:tcPr>
            <w:tcW w:w="816" w:type="dxa"/>
            <w:vAlign w:val="bottom"/>
          </w:tcPr>
          <w:p w14:paraId="7433AA26" w14:textId="1935E836"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&lt;</w:t>
            </w:r>
            <w:r w:rsidR="00637810" w:rsidRPr="00D40ECC">
              <w:rPr>
                <w:rFonts w:ascii="Book Antiqua" w:hAnsi="Book Antiqua"/>
              </w:rPr>
              <w:t xml:space="preserve"> </w:t>
            </w:r>
            <w:r w:rsidRPr="00D40ECC">
              <w:rPr>
                <w:rFonts w:ascii="Book Antiqua" w:hAnsi="Book Antiqua"/>
              </w:rPr>
              <w:t>0.01</w:t>
            </w:r>
          </w:p>
        </w:tc>
      </w:tr>
      <w:tr w:rsidR="000D14D7" w:rsidRPr="00D40ECC" w14:paraId="6B2BA151" w14:textId="77777777" w:rsidTr="00A949DF">
        <w:trPr>
          <w:trHeight w:val="1132"/>
        </w:trPr>
        <w:tc>
          <w:tcPr>
            <w:tcW w:w="1921" w:type="dxa"/>
            <w:vAlign w:val="bottom"/>
          </w:tcPr>
          <w:p w14:paraId="6530324C" w14:textId="7EF51B8D"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Race/ethnicity (categoric)</w:t>
            </w:r>
          </w:p>
        </w:tc>
        <w:tc>
          <w:tcPr>
            <w:tcW w:w="1346" w:type="dxa"/>
            <w:vAlign w:val="bottom"/>
          </w:tcPr>
          <w:p w14:paraId="05067FBB" w14:textId="77777777" w:rsidR="000D14D7" w:rsidRPr="00D40ECC" w:rsidRDefault="000D14D7" w:rsidP="005638C6">
            <w:pPr>
              <w:spacing w:line="360" w:lineRule="auto"/>
              <w:jc w:val="both"/>
              <w:textAlignment w:val="baseline"/>
              <w:rPr>
                <w:rFonts w:ascii="Book Antiqua" w:hAnsi="Book Antiqua"/>
                <w:b/>
                <w:bCs/>
              </w:rPr>
            </w:pPr>
          </w:p>
        </w:tc>
        <w:tc>
          <w:tcPr>
            <w:tcW w:w="816" w:type="dxa"/>
            <w:vAlign w:val="bottom"/>
          </w:tcPr>
          <w:p w14:paraId="655ECE8C" w14:textId="77777777" w:rsidR="000D14D7" w:rsidRPr="00D40ECC" w:rsidRDefault="000D14D7" w:rsidP="005638C6">
            <w:pPr>
              <w:spacing w:line="360" w:lineRule="auto"/>
              <w:jc w:val="both"/>
              <w:textAlignment w:val="baseline"/>
              <w:rPr>
                <w:rFonts w:ascii="Book Antiqua" w:hAnsi="Book Antiqua"/>
                <w:b/>
                <w:bCs/>
              </w:rPr>
            </w:pPr>
          </w:p>
        </w:tc>
        <w:tc>
          <w:tcPr>
            <w:tcW w:w="1540" w:type="dxa"/>
            <w:vAlign w:val="bottom"/>
          </w:tcPr>
          <w:p w14:paraId="0126B1BF" w14:textId="77777777" w:rsidR="000D14D7" w:rsidRPr="00D40ECC" w:rsidRDefault="000D14D7" w:rsidP="005638C6">
            <w:pPr>
              <w:spacing w:line="360" w:lineRule="auto"/>
              <w:jc w:val="both"/>
              <w:textAlignment w:val="baseline"/>
              <w:rPr>
                <w:rFonts w:ascii="Book Antiqua" w:hAnsi="Book Antiqua"/>
                <w:b/>
                <w:bCs/>
              </w:rPr>
            </w:pPr>
          </w:p>
        </w:tc>
        <w:tc>
          <w:tcPr>
            <w:tcW w:w="816" w:type="dxa"/>
            <w:vAlign w:val="bottom"/>
          </w:tcPr>
          <w:p w14:paraId="447D9A8B" w14:textId="77777777" w:rsidR="000D14D7" w:rsidRPr="00D40ECC" w:rsidRDefault="000D14D7" w:rsidP="005638C6">
            <w:pPr>
              <w:spacing w:line="360" w:lineRule="auto"/>
              <w:jc w:val="both"/>
              <w:textAlignment w:val="baseline"/>
              <w:rPr>
                <w:rFonts w:ascii="Book Antiqua" w:hAnsi="Book Antiqua"/>
                <w:b/>
                <w:bCs/>
              </w:rPr>
            </w:pPr>
          </w:p>
        </w:tc>
        <w:tc>
          <w:tcPr>
            <w:tcW w:w="1921" w:type="dxa"/>
            <w:vAlign w:val="bottom"/>
          </w:tcPr>
          <w:p w14:paraId="219E9C24" w14:textId="47F50E54"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Race/ethnicity (categoric)</w:t>
            </w:r>
          </w:p>
        </w:tc>
        <w:tc>
          <w:tcPr>
            <w:tcW w:w="1346" w:type="dxa"/>
            <w:vAlign w:val="bottom"/>
          </w:tcPr>
          <w:p w14:paraId="5CD8E79E" w14:textId="77777777" w:rsidR="000D14D7" w:rsidRPr="00D40ECC" w:rsidRDefault="000D14D7" w:rsidP="005638C6">
            <w:pPr>
              <w:spacing w:line="360" w:lineRule="auto"/>
              <w:jc w:val="both"/>
              <w:textAlignment w:val="baseline"/>
              <w:rPr>
                <w:rFonts w:ascii="Book Antiqua" w:hAnsi="Book Antiqua"/>
                <w:b/>
                <w:bCs/>
              </w:rPr>
            </w:pPr>
          </w:p>
        </w:tc>
        <w:tc>
          <w:tcPr>
            <w:tcW w:w="816" w:type="dxa"/>
            <w:vAlign w:val="bottom"/>
          </w:tcPr>
          <w:p w14:paraId="083A90BD" w14:textId="77777777" w:rsidR="000D14D7" w:rsidRPr="00D40ECC" w:rsidRDefault="000D14D7" w:rsidP="005638C6">
            <w:pPr>
              <w:spacing w:line="360" w:lineRule="auto"/>
              <w:jc w:val="both"/>
              <w:textAlignment w:val="baseline"/>
              <w:rPr>
                <w:rFonts w:ascii="Book Antiqua" w:hAnsi="Book Antiqua"/>
                <w:b/>
                <w:bCs/>
              </w:rPr>
            </w:pPr>
          </w:p>
        </w:tc>
        <w:tc>
          <w:tcPr>
            <w:tcW w:w="1540" w:type="dxa"/>
            <w:vAlign w:val="bottom"/>
          </w:tcPr>
          <w:p w14:paraId="49CF4B32" w14:textId="77777777" w:rsidR="000D14D7" w:rsidRPr="00D40ECC" w:rsidRDefault="000D14D7" w:rsidP="005638C6">
            <w:pPr>
              <w:spacing w:line="360" w:lineRule="auto"/>
              <w:jc w:val="both"/>
              <w:textAlignment w:val="baseline"/>
              <w:rPr>
                <w:rFonts w:ascii="Book Antiqua" w:hAnsi="Book Antiqua"/>
                <w:b/>
                <w:bCs/>
              </w:rPr>
            </w:pPr>
          </w:p>
        </w:tc>
        <w:tc>
          <w:tcPr>
            <w:tcW w:w="816" w:type="dxa"/>
            <w:vAlign w:val="bottom"/>
          </w:tcPr>
          <w:p w14:paraId="3084A145" w14:textId="77777777" w:rsidR="000D14D7" w:rsidRPr="00D40ECC" w:rsidRDefault="000D14D7" w:rsidP="005638C6">
            <w:pPr>
              <w:spacing w:line="360" w:lineRule="auto"/>
              <w:jc w:val="both"/>
              <w:textAlignment w:val="baseline"/>
              <w:rPr>
                <w:rFonts w:ascii="Book Antiqua" w:hAnsi="Book Antiqua"/>
                <w:b/>
                <w:bCs/>
              </w:rPr>
            </w:pPr>
          </w:p>
        </w:tc>
      </w:tr>
      <w:tr w:rsidR="000D14D7" w:rsidRPr="00D40ECC" w14:paraId="1490FD6F" w14:textId="77777777" w:rsidTr="00A949DF">
        <w:tc>
          <w:tcPr>
            <w:tcW w:w="1921" w:type="dxa"/>
            <w:vAlign w:val="bottom"/>
          </w:tcPr>
          <w:p w14:paraId="38C86510" w14:textId="1C2EDA53"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lastRenderedPageBreak/>
              <w:t>White</w:t>
            </w:r>
          </w:p>
        </w:tc>
        <w:tc>
          <w:tcPr>
            <w:tcW w:w="1346" w:type="dxa"/>
            <w:vAlign w:val="bottom"/>
          </w:tcPr>
          <w:p w14:paraId="7AD9F0B9" w14:textId="4C7A5D6C"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Reference</w:t>
            </w:r>
          </w:p>
        </w:tc>
        <w:tc>
          <w:tcPr>
            <w:tcW w:w="816" w:type="dxa"/>
            <w:vAlign w:val="bottom"/>
          </w:tcPr>
          <w:p w14:paraId="15F4E837" w14:textId="77777777" w:rsidR="000D14D7" w:rsidRPr="00D40ECC" w:rsidRDefault="000D14D7" w:rsidP="005638C6">
            <w:pPr>
              <w:spacing w:line="360" w:lineRule="auto"/>
              <w:jc w:val="both"/>
              <w:textAlignment w:val="baseline"/>
              <w:rPr>
                <w:rFonts w:ascii="Book Antiqua" w:hAnsi="Book Antiqua"/>
                <w:b/>
                <w:bCs/>
              </w:rPr>
            </w:pPr>
          </w:p>
        </w:tc>
        <w:tc>
          <w:tcPr>
            <w:tcW w:w="1540" w:type="dxa"/>
            <w:vAlign w:val="bottom"/>
          </w:tcPr>
          <w:p w14:paraId="6F7D34F5" w14:textId="77777777" w:rsidR="000D14D7" w:rsidRPr="00D40ECC" w:rsidRDefault="000D14D7" w:rsidP="005638C6">
            <w:pPr>
              <w:spacing w:line="360" w:lineRule="auto"/>
              <w:jc w:val="both"/>
              <w:textAlignment w:val="baseline"/>
              <w:rPr>
                <w:rFonts w:ascii="Book Antiqua" w:hAnsi="Book Antiqua"/>
                <w:b/>
                <w:bCs/>
              </w:rPr>
            </w:pPr>
          </w:p>
        </w:tc>
        <w:tc>
          <w:tcPr>
            <w:tcW w:w="816" w:type="dxa"/>
            <w:vAlign w:val="bottom"/>
          </w:tcPr>
          <w:p w14:paraId="316596F0" w14:textId="77777777" w:rsidR="000D14D7" w:rsidRPr="00D40ECC" w:rsidRDefault="000D14D7" w:rsidP="005638C6">
            <w:pPr>
              <w:spacing w:line="360" w:lineRule="auto"/>
              <w:jc w:val="both"/>
              <w:textAlignment w:val="baseline"/>
              <w:rPr>
                <w:rFonts w:ascii="Book Antiqua" w:hAnsi="Book Antiqua"/>
                <w:b/>
                <w:bCs/>
              </w:rPr>
            </w:pPr>
          </w:p>
        </w:tc>
        <w:tc>
          <w:tcPr>
            <w:tcW w:w="1921" w:type="dxa"/>
            <w:vAlign w:val="bottom"/>
          </w:tcPr>
          <w:p w14:paraId="215C3973" w14:textId="1F338C5A"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White</w:t>
            </w:r>
          </w:p>
        </w:tc>
        <w:tc>
          <w:tcPr>
            <w:tcW w:w="1346" w:type="dxa"/>
            <w:vAlign w:val="bottom"/>
          </w:tcPr>
          <w:p w14:paraId="6A14B675" w14:textId="3B630476"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Reference</w:t>
            </w:r>
          </w:p>
        </w:tc>
        <w:tc>
          <w:tcPr>
            <w:tcW w:w="816" w:type="dxa"/>
            <w:vAlign w:val="bottom"/>
          </w:tcPr>
          <w:p w14:paraId="37A8A3DC" w14:textId="77777777" w:rsidR="000D14D7" w:rsidRPr="00D40ECC" w:rsidRDefault="000D14D7" w:rsidP="005638C6">
            <w:pPr>
              <w:spacing w:line="360" w:lineRule="auto"/>
              <w:jc w:val="both"/>
              <w:textAlignment w:val="baseline"/>
              <w:rPr>
                <w:rFonts w:ascii="Book Antiqua" w:hAnsi="Book Antiqua"/>
                <w:b/>
                <w:bCs/>
              </w:rPr>
            </w:pPr>
          </w:p>
        </w:tc>
        <w:tc>
          <w:tcPr>
            <w:tcW w:w="1540" w:type="dxa"/>
            <w:vAlign w:val="bottom"/>
          </w:tcPr>
          <w:p w14:paraId="5BA30457" w14:textId="77777777" w:rsidR="000D14D7" w:rsidRPr="00D40ECC" w:rsidRDefault="000D14D7" w:rsidP="005638C6">
            <w:pPr>
              <w:spacing w:line="360" w:lineRule="auto"/>
              <w:jc w:val="both"/>
              <w:textAlignment w:val="baseline"/>
              <w:rPr>
                <w:rFonts w:ascii="Book Antiqua" w:hAnsi="Book Antiqua"/>
                <w:b/>
                <w:bCs/>
              </w:rPr>
            </w:pPr>
          </w:p>
        </w:tc>
        <w:tc>
          <w:tcPr>
            <w:tcW w:w="816" w:type="dxa"/>
            <w:vAlign w:val="bottom"/>
          </w:tcPr>
          <w:p w14:paraId="17EA5A25" w14:textId="77777777" w:rsidR="000D14D7" w:rsidRPr="00D40ECC" w:rsidRDefault="000D14D7" w:rsidP="005638C6">
            <w:pPr>
              <w:spacing w:line="360" w:lineRule="auto"/>
              <w:jc w:val="both"/>
              <w:textAlignment w:val="baseline"/>
              <w:rPr>
                <w:rFonts w:ascii="Book Antiqua" w:hAnsi="Book Antiqua"/>
                <w:b/>
                <w:bCs/>
              </w:rPr>
            </w:pPr>
          </w:p>
        </w:tc>
      </w:tr>
      <w:tr w:rsidR="000D14D7" w:rsidRPr="00D40ECC" w14:paraId="45236DED" w14:textId="77777777" w:rsidTr="00A949DF">
        <w:tc>
          <w:tcPr>
            <w:tcW w:w="1921" w:type="dxa"/>
            <w:vAlign w:val="bottom"/>
          </w:tcPr>
          <w:p w14:paraId="6E31C949" w14:textId="0D5EC5B7"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Black</w:t>
            </w:r>
          </w:p>
        </w:tc>
        <w:tc>
          <w:tcPr>
            <w:tcW w:w="1346" w:type="dxa"/>
            <w:vAlign w:val="bottom"/>
          </w:tcPr>
          <w:p w14:paraId="0703EEFB" w14:textId="07D3A9EB"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1.13 (0.78-1.64)</w:t>
            </w:r>
          </w:p>
        </w:tc>
        <w:tc>
          <w:tcPr>
            <w:tcW w:w="816" w:type="dxa"/>
            <w:vAlign w:val="bottom"/>
          </w:tcPr>
          <w:p w14:paraId="3CF3D798" w14:textId="5E2A44D5"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NS</w:t>
            </w:r>
          </w:p>
        </w:tc>
        <w:tc>
          <w:tcPr>
            <w:tcW w:w="1540" w:type="dxa"/>
            <w:vAlign w:val="bottom"/>
          </w:tcPr>
          <w:p w14:paraId="71A2B5D6" w14:textId="77777777" w:rsidR="000D14D7" w:rsidRPr="00D40ECC" w:rsidRDefault="000D14D7" w:rsidP="005638C6">
            <w:pPr>
              <w:spacing w:line="360" w:lineRule="auto"/>
              <w:jc w:val="both"/>
              <w:textAlignment w:val="baseline"/>
              <w:rPr>
                <w:rFonts w:ascii="Book Antiqua" w:hAnsi="Book Antiqua"/>
                <w:b/>
                <w:bCs/>
              </w:rPr>
            </w:pPr>
          </w:p>
        </w:tc>
        <w:tc>
          <w:tcPr>
            <w:tcW w:w="816" w:type="dxa"/>
            <w:vAlign w:val="bottom"/>
          </w:tcPr>
          <w:p w14:paraId="0A26C7DC" w14:textId="77777777" w:rsidR="000D14D7" w:rsidRPr="00D40ECC" w:rsidRDefault="000D14D7" w:rsidP="005638C6">
            <w:pPr>
              <w:spacing w:line="360" w:lineRule="auto"/>
              <w:jc w:val="both"/>
              <w:textAlignment w:val="baseline"/>
              <w:rPr>
                <w:rFonts w:ascii="Book Antiqua" w:hAnsi="Book Antiqua"/>
                <w:b/>
                <w:bCs/>
              </w:rPr>
            </w:pPr>
          </w:p>
        </w:tc>
        <w:tc>
          <w:tcPr>
            <w:tcW w:w="1921" w:type="dxa"/>
            <w:vAlign w:val="bottom"/>
          </w:tcPr>
          <w:p w14:paraId="0CCDF2CE" w14:textId="179C1863"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Black</w:t>
            </w:r>
          </w:p>
        </w:tc>
        <w:tc>
          <w:tcPr>
            <w:tcW w:w="1346" w:type="dxa"/>
            <w:vAlign w:val="bottom"/>
          </w:tcPr>
          <w:p w14:paraId="53E87EEF" w14:textId="60AEF835"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0.80 (0.58-1.10)</w:t>
            </w:r>
          </w:p>
        </w:tc>
        <w:tc>
          <w:tcPr>
            <w:tcW w:w="816" w:type="dxa"/>
            <w:vAlign w:val="bottom"/>
          </w:tcPr>
          <w:p w14:paraId="195A7636" w14:textId="33750530"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0.16</w:t>
            </w:r>
          </w:p>
        </w:tc>
        <w:tc>
          <w:tcPr>
            <w:tcW w:w="1540" w:type="dxa"/>
            <w:vAlign w:val="bottom"/>
          </w:tcPr>
          <w:p w14:paraId="3E75B1DC" w14:textId="77777777" w:rsidR="000D14D7" w:rsidRPr="00D40ECC" w:rsidRDefault="000D14D7" w:rsidP="005638C6">
            <w:pPr>
              <w:spacing w:line="360" w:lineRule="auto"/>
              <w:jc w:val="both"/>
              <w:textAlignment w:val="baseline"/>
              <w:rPr>
                <w:rFonts w:ascii="Book Antiqua" w:hAnsi="Book Antiqua"/>
                <w:b/>
                <w:bCs/>
              </w:rPr>
            </w:pPr>
          </w:p>
        </w:tc>
        <w:tc>
          <w:tcPr>
            <w:tcW w:w="816" w:type="dxa"/>
            <w:vAlign w:val="bottom"/>
          </w:tcPr>
          <w:p w14:paraId="44352042" w14:textId="77777777" w:rsidR="000D14D7" w:rsidRPr="00D40ECC" w:rsidRDefault="000D14D7" w:rsidP="005638C6">
            <w:pPr>
              <w:spacing w:line="360" w:lineRule="auto"/>
              <w:jc w:val="both"/>
              <w:textAlignment w:val="baseline"/>
              <w:rPr>
                <w:rFonts w:ascii="Book Antiqua" w:hAnsi="Book Antiqua"/>
                <w:b/>
                <w:bCs/>
              </w:rPr>
            </w:pPr>
          </w:p>
        </w:tc>
      </w:tr>
      <w:tr w:rsidR="000D14D7" w:rsidRPr="00D40ECC" w14:paraId="020CC94F" w14:textId="77777777" w:rsidTr="00A949DF">
        <w:tc>
          <w:tcPr>
            <w:tcW w:w="1921" w:type="dxa"/>
            <w:vAlign w:val="bottom"/>
          </w:tcPr>
          <w:p w14:paraId="34915DEA" w14:textId="169F7C85"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Hispanic</w:t>
            </w:r>
          </w:p>
        </w:tc>
        <w:tc>
          <w:tcPr>
            <w:tcW w:w="1346" w:type="dxa"/>
            <w:vAlign w:val="bottom"/>
          </w:tcPr>
          <w:p w14:paraId="47CC9C78" w14:textId="7F78A552"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0.87 (0.53-1.42)</w:t>
            </w:r>
          </w:p>
        </w:tc>
        <w:tc>
          <w:tcPr>
            <w:tcW w:w="816" w:type="dxa"/>
            <w:vAlign w:val="bottom"/>
          </w:tcPr>
          <w:p w14:paraId="0F9B85DB" w14:textId="526B4508"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NS</w:t>
            </w:r>
          </w:p>
        </w:tc>
        <w:tc>
          <w:tcPr>
            <w:tcW w:w="1540" w:type="dxa"/>
            <w:vAlign w:val="bottom"/>
          </w:tcPr>
          <w:p w14:paraId="5C6AE95D" w14:textId="77777777" w:rsidR="000D14D7" w:rsidRPr="00D40ECC" w:rsidRDefault="000D14D7" w:rsidP="005638C6">
            <w:pPr>
              <w:spacing w:line="360" w:lineRule="auto"/>
              <w:jc w:val="both"/>
              <w:textAlignment w:val="baseline"/>
              <w:rPr>
                <w:rFonts w:ascii="Book Antiqua" w:hAnsi="Book Antiqua"/>
                <w:b/>
                <w:bCs/>
              </w:rPr>
            </w:pPr>
          </w:p>
        </w:tc>
        <w:tc>
          <w:tcPr>
            <w:tcW w:w="816" w:type="dxa"/>
            <w:vAlign w:val="bottom"/>
          </w:tcPr>
          <w:p w14:paraId="0C878794" w14:textId="77777777" w:rsidR="000D14D7" w:rsidRPr="00D40ECC" w:rsidRDefault="000D14D7" w:rsidP="005638C6">
            <w:pPr>
              <w:spacing w:line="360" w:lineRule="auto"/>
              <w:jc w:val="both"/>
              <w:textAlignment w:val="baseline"/>
              <w:rPr>
                <w:rFonts w:ascii="Book Antiqua" w:hAnsi="Book Antiqua"/>
                <w:b/>
                <w:bCs/>
              </w:rPr>
            </w:pPr>
          </w:p>
        </w:tc>
        <w:tc>
          <w:tcPr>
            <w:tcW w:w="1921" w:type="dxa"/>
            <w:vAlign w:val="bottom"/>
          </w:tcPr>
          <w:p w14:paraId="4668F6BB" w14:textId="5A605093"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Hispanic</w:t>
            </w:r>
          </w:p>
        </w:tc>
        <w:tc>
          <w:tcPr>
            <w:tcW w:w="1346" w:type="dxa"/>
            <w:vAlign w:val="bottom"/>
          </w:tcPr>
          <w:p w14:paraId="43CE4617" w14:textId="2B54C68D"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1.00 (0.70-1.42)</w:t>
            </w:r>
          </w:p>
        </w:tc>
        <w:tc>
          <w:tcPr>
            <w:tcW w:w="816" w:type="dxa"/>
            <w:vAlign w:val="bottom"/>
          </w:tcPr>
          <w:p w14:paraId="5B63B83F" w14:textId="6E51C6F8"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NS</w:t>
            </w:r>
          </w:p>
        </w:tc>
        <w:tc>
          <w:tcPr>
            <w:tcW w:w="1540" w:type="dxa"/>
            <w:vAlign w:val="bottom"/>
          </w:tcPr>
          <w:p w14:paraId="1BA02533" w14:textId="77777777" w:rsidR="000D14D7" w:rsidRPr="00D40ECC" w:rsidRDefault="000D14D7" w:rsidP="005638C6">
            <w:pPr>
              <w:spacing w:line="360" w:lineRule="auto"/>
              <w:jc w:val="both"/>
              <w:textAlignment w:val="baseline"/>
              <w:rPr>
                <w:rFonts w:ascii="Book Antiqua" w:hAnsi="Book Antiqua"/>
                <w:b/>
                <w:bCs/>
              </w:rPr>
            </w:pPr>
          </w:p>
        </w:tc>
        <w:tc>
          <w:tcPr>
            <w:tcW w:w="816" w:type="dxa"/>
            <w:vAlign w:val="bottom"/>
          </w:tcPr>
          <w:p w14:paraId="69BFE6F9" w14:textId="77777777" w:rsidR="000D14D7" w:rsidRPr="00D40ECC" w:rsidRDefault="000D14D7" w:rsidP="005638C6">
            <w:pPr>
              <w:spacing w:line="360" w:lineRule="auto"/>
              <w:jc w:val="both"/>
              <w:textAlignment w:val="baseline"/>
              <w:rPr>
                <w:rFonts w:ascii="Book Antiqua" w:hAnsi="Book Antiqua"/>
                <w:b/>
                <w:bCs/>
              </w:rPr>
            </w:pPr>
          </w:p>
        </w:tc>
      </w:tr>
      <w:tr w:rsidR="00594912" w:rsidRPr="00D40ECC" w14:paraId="424C619A" w14:textId="77777777" w:rsidTr="00A949DF">
        <w:tc>
          <w:tcPr>
            <w:tcW w:w="1921" w:type="dxa"/>
            <w:vAlign w:val="bottom"/>
          </w:tcPr>
          <w:p w14:paraId="6BF4DDE3" w14:textId="1F3E2A12"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 xml:space="preserve">Asian or pacific </w:t>
            </w:r>
            <w:r w:rsidR="00BE375E" w:rsidRPr="00D40ECC">
              <w:rPr>
                <w:rFonts w:ascii="Book Antiqua" w:hAnsi="Book Antiqua"/>
                <w:lang w:eastAsia="zh-CN"/>
              </w:rPr>
              <w:t>i</w:t>
            </w:r>
            <w:r w:rsidRPr="00D40ECC">
              <w:rPr>
                <w:rFonts w:ascii="Book Antiqua" w:hAnsi="Book Antiqua"/>
              </w:rPr>
              <w:t>slander</w:t>
            </w:r>
          </w:p>
        </w:tc>
        <w:tc>
          <w:tcPr>
            <w:tcW w:w="1346" w:type="dxa"/>
            <w:vAlign w:val="bottom"/>
          </w:tcPr>
          <w:p w14:paraId="2BF14B92" w14:textId="0B34A639" w:rsidR="000D14D7" w:rsidRPr="00D40ECC" w:rsidRDefault="00BE375E" w:rsidP="005638C6">
            <w:pPr>
              <w:spacing w:line="360" w:lineRule="auto"/>
              <w:jc w:val="both"/>
              <w:textAlignment w:val="baseline"/>
              <w:rPr>
                <w:rFonts w:ascii="Book Antiqua" w:hAnsi="Book Antiqua"/>
                <w:b/>
                <w:bCs/>
                <w:vertAlign w:val="superscript"/>
              </w:rPr>
            </w:pPr>
            <w:r w:rsidRPr="00D40ECC">
              <w:rPr>
                <w:rFonts w:ascii="Book Antiqua" w:hAnsi="Book Antiqua"/>
                <w:vertAlign w:val="superscript"/>
              </w:rPr>
              <w:t>1</w:t>
            </w:r>
          </w:p>
        </w:tc>
        <w:tc>
          <w:tcPr>
            <w:tcW w:w="816" w:type="dxa"/>
            <w:vAlign w:val="bottom"/>
          </w:tcPr>
          <w:p w14:paraId="62ECEE7D" w14:textId="77777777" w:rsidR="000D14D7" w:rsidRPr="00D40ECC" w:rsidRDefault="000D14D7" w:rsidP="005638C6">
            <w:pPr>
              <w:spacing w:line="360" w:lineRule="auto"/>
              <w:jc w:val="both"/>
              <w:textAlignment w:val="baseline"/>
              <w:rPr>
                <w:rFonts w:ascii="Book Antiqua" w:hAnsi="Book Antiqua"/>
                <w:b/>
                <w:bCs/>
              </w:rPr>
            </w:pPr>
          </w:p>
        </w:tc>
        <w:tc>
          <w:tcPr>
            <w:tcW w:w="1540" w:type="dxa"/>
            <w:vAlign w:val="bottom"/>
          </w:tcPr>
          <w:p w14:paraId="36861212" w14:textId="77777777" w:rsidR="000D14D7" w:rsidRPr="00D40ECC" w:rsidRDefault="000D14D7" w:rsidP="005638C6">
            <w:pPr>
              <w:spacing w:line="360" w:lineRule="auto"/>
              <w:jc w:val="both"/>
              <w:textAlignment w:val="baseline"/>
              <w:rPr>
                <w:rFonts w:ascii="Book Antiqua" w:hAnsi="Book Antiqua"/>
                <w:b/>
                <w:bCs/>
              </w:rPr>
            </w:pPr>
          </w:p>
        </w:tc>
        <w:tc>
          <w:tcPr>
            <w:tcW w:w="816" w:type="dxa"/>
            <w:vAlign w:val="bottom"/>
          </w:tcPr>
          <w:p w14:paraId="506FFC27" w14:textId="77777777" w:rsidR="000D14D7" w:rsidRPr="00D40ECC" w:rsidRDefault="000D14D7" w:rsidP="005638C6">
            <w:pPr>
              <w:spacing w:line="360" w:lineRule="auto"/>
              <w:jc w:val="both"/>
              <w:textAlignment w:val="baseline"/>
              <w:rPr>
                <w:rFonts w:ascii="Book Antiqua" w:hAnsi="Book Antiqua"/>
                <w:b/>
                <w:bCs/>
              </w:rPr>
            </w:pPr>
          </w:p>
        </w:tc>
        <w:tc>
          <w:tcPr>
            <w:tcW w:w="1921" w:type="dxa"/>
            <w:vAlign w:val="bottom"/>
          </w:tcPr>
          <w:p w14:paraId="7329462C" w14:textId="582862BD"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 xml:space="preserve">Asian or pacific </w:t>
            </w:r>
            <w:r w:rsidR="00D270D8" w:rsidRPr="00D40ECC">
              <w:rPr>
                <w:rFonts w:ascii="Book Antiqua" w:hAnsi="Book Antiqua"/>
              </w:rPr>
              <w:t>i</w:t>
            </w:r>
            <w:r w:rsidRPr="00D40ECC">
              <w:rPr>
                <w:rFonts w:ascii="Book Antiqua" w:hAnsi="Book Antiqua"/>
              </w:rPr>
              <w:t>slander</w:t>
            </w:r>
          </w:p>
        </w:tc>
        <w:tc>
          <w:tcPr>
            <w:tcW w:w="1346" w:type="dxa"/>
            <w:vAlign w:val="bottom"/>
          </w:tcPr>
          <w:p w14:paraId="1175F64E" w14:textId="5F424AA5" w:rsidR="000D14D7" w:rsidRPr="00D40ECC" w:rsidRDefault="00BE375E" w:rsidP="005638C6">
            <w:pPr>
              <w:spacing w:line="360" w:lineRule="auto"/>
              <w:jc w:val="both"/>
              <w:textAlignment w:val="baseline"/>
              <w:rPr>
                <w:rFonts w:ascii="Book Antiqua" w:hAnsi="Book Antiqua"/>
                <w:b/>
                <w:bCs/>
                <w:vertAlign w:val="superscript"/>
              </w:rPr>
            </w:pPr>
            <w:r w:rsidRPr="00D40ECC">
              <w:rPr>
                <w:rFonts w:ascii="Book Antiqua" w:hAnsi="Book Antiqua"/>
                <w:vertAlign w:val="superscript"/>
              </w:rPr>
              <w:t>1</w:t>
            </w:r>
          </w:p>
        </w:tc>
        <w:tc>
          <w:tcPr>
            <w:tcW w:w="816" w:type="dxa"/>
            <w:vAlign w:val="bottom"/>
          </w:tcPr>
          <w:p w14:paraId="7576CC99" w14:textId="77777777" w:rsidR="000D14D7" w:rsidRPr="00D40ECC" w:rsidRDefault="000D14D7" w:rsidP="005638C6">
            <w:pPr>
              <w:spacing w:line="360" w:lineRule="auto"/>
              <w:jc w:val="both"/>
              <w:textAlignment w:val="baseline"/>
              <w:rPr>
                <w:rFonts w:ascii="Book Antiqua" w:hAnsi="Book Antiqua"/>
                <w:b/>
                <w:bCs/>
              </w:rPr>
            </w:pPr>
          </w:p>
        </w:tc>
        <w:tc>
          <w:tcPr>
            <w:tcW w:w="1540" w:type="dxa"/>
            <w:vAlign w:val="bottom"/>
          </w:tcPr>
          <w:p w14:paraId="6994079C" w14:textId="77777777" w:rsidR="000D14D7" w:rsidRPr="00D40ECC" w:rsidRDefault="000D14D7" w:rsidP="005638C6">
            <w:pPr>
              <w:spacing w:line="360" w:lineRule="auto"/>
              <w:jc w:val="both"/>
              <w:textAlignment w:val="baseline"/>
              <w:rPr>
                <w:rFonts w:ascii="Book Antiqua" w:hAnsi="Book Antiqua"/>
                <w:b/>
                <w:bCs/>
              </w:rPr>
            </w:pPr>
          </w:p>
        </w:tc>
        <w:tc>
          <w:tcPr>
            <w:tcW w:w="816" w:type="dxa"/>
            <w:vAlign w:val="bottom"/>
          </w:tcPr>
          <w:p w14:paraId="6EF4D997" w14:textId="77777777" w:rsidR="000D14D7" w:rsidRPr="00D40ECC" w:rsidRDefault="000D14D7" w:rsidP="005638C6">
            <w:pPr>
              <w:spacing w:line="360" w:lineRule="auto"/>
              <w:jc w:val="both"/>
              <w:textAlignment w:val="baseline"/>
              <w:rPr>
                <w:rFonts w:ascii="Book Antiqua" w:hAnsi="Book Antiqua"/>
                <w:b/>
                <w:bCs/>
              </w:rPr>
            </w:pPr>
          </w:p>
        </w:tc>
      </w:tr>
      <w:tr w:rsidR="000D14D7" w:rsidRPr="00D40ECC" w14:paraId="136D810A" w14:textId="77777777" w:rsidTr="00A949DF">
        <w:tc>
          <w:tcPr>
            <w:tcW w:w="1921" w:type="dxa"/>
            <w:vAlign w:val="bottom"/>
          </w:tcPr>
          <w:p w14:paraId="11408063" w14:textId="67EE379F"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Native American</w:t>
            </w:r>
          </w:p>
        </w:tc>
        <w:tc>
          <w:tcPr>
            <w:tcW w:w="1346" w:type="dxa"/>
            <w:vAlign w:val="bottom"/>
          </w:tcPr>
          <w:p w14:paraId="7289FDF9" w14:textId="3DAEF9E3" w:rsidR="000D14D7" w:rsidRPr="00D40ECC" w:rsidRDefault="00450466" w:rsidP="005638C6">
            <w:pPr>
              <w:spacing w:line="360" w:lineRule="auto"/>
              <w:jc w:val="both"/>
              <w:textAlignment w:val="baseline"/>
              <w:rPr>
                <w:rFonts w:ascii="Book Antiqua" w:hAnsi="Book Antiqua"/>
                <w:b/>
                <w:bCs/>
                <w:vertAlign w:val="superscript"/>
              </w:rPr>
            </w:pPr>
            <w:r w:rsidRPr="00D40ECC">
              <w:rPr>
                <w:rFonts w:ascii="Book Antiqua" w:hAnsi="Book Antiqua"/>
                <w:vertAlign w:val="superscript"/>
              </w:rPr>
              <w:t>2</w:t>
            </w:r>
          </w:p>
        </w:tc>
        <w:tc>
          <w:tcPr>
            <w:tcW w:w="816" w:type="dxa"/>
            <w:vAlign w:val="bottom"/>
          </w:tcPr>
          <w:p w14:paraId="32E13983" w14:textId="77777777" w:rsidR="000D14D7" w:rsidRPr="00D40ECC" w:rsidRDefault="000D14D7" w:rsidP="005638C6">
            <w:pPr>
              <w:spacing w:line="360" w:lineRule="auto"/>
              <w:jc w:val="both"/>
              <w:textAlignment w:val="baseline"/>
              <w:rPr>
                <w:rFonts w:ascii="Book Antiqua" w:hAnsi="Book Antiqua"/>
                <w:b/>
                <w:bCs/>
              </w:rPr>
            </w:pPr>
          </w:p>
        </w:tc>
        <w:tc>
          <w:tcPr>
            <w:tcW w:w="1540" w:type="dxa"/>
            <w:vAlign w:val="bottom"/>
          </w:tcPr>
          <w:p w14:paraId="05681A67" w14:textId="77777777" w:rsidR="000D14D7" w:rsidRPr="00D40ECC" w:rsidRDefault="000D14D7" w:rsidP="005638C6">
            <w:pPr>
              <w:spacing w:line="360" w:lineRule="auto"/>
              <w:jc w:val="both"/>
              <w:textAlignment w:val="baseline"/>
              <w:rPr>
                <w:rFonts w:ascii="Book Antiqua" w:hAnsi="Book Antiqua"/>
                <w:b/>
                <w:bCs/>
              </w:rPr>
            </w:pPr>
          </w:p>
        </w:tc>
        <w:tc>
          <w:tcPr>
            <w:tcW w:w="816" w:type="dxa"/>
            <w:vAlign w:val="bottom"/>
          </w:tcPr>
          <w:p w14:paraId="05C9A3A9" w14:textId="77777777" w:rsidR="000D14D7" w:rsidRPr="00D40ECC" w:rsidRDefault="000D14D7" w:rsidP="005638C6">
            <w:pPr>
              <w:spacing w:line="360" w:lineRule="auto"/>
              <w:jc w:val="both"/>
              <w:textAlignment w:val="baseline"/>
              <w:rPr>
                <w:rFonts w:ascii="Book Antiqua" w:hAnsi="Book Antiqua"/>
                <w:b/>
                <w:bCs/>
              </w:rPr>
            </w:pPr>
          </w:p>
        </w:tc>
        <w:tc>
          <w:tcPr>
            <w:tcW w:w="1921" w:type="dxa"/>
            <w:vAlign w:val="bottom"/>
          </w:tcPr>
          <w:p w14:paraId="23982D63" w14:textId="6796E982"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Native American</w:t>
            </w:r>
          </w:p>
        </w:tc>
        <w:tc>
          <w:tcPr>
            <w:tcW w:w="1346" w:type="dxa"/>
            <w:vAlign w:val="bottom"/>
          </w:tcPr>
          <w:p w14:paraId="20120223" w14:textId="20FF2643"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1.96 (0.78-4.92)</w:t>
            </w:r>
          </w:p>
        </w:tc>
        <w:tc>
          <w:tcPr>
            <w:tcW w:w="816" w:type="dxa"/>
            <w:vAlign w:val="bottom"/>
          </w:tcPr>
          <w:p w14:paraId="6DE8C404" w14:textId="776B9C86"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0.15</w:t>
            </w:r>
          </w:p>
        </w:tc>
        <w:tc>
          <w:tcPr>
            <w:tcW w:w="1540" w:type="dxa"/>
            <w:vAlign w:val="bottom"/>
          </w:tcPr>
          <w:p w14:paraId="15B4BC5A" w14:textId="7660A5C1"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2.60 (1.03-6.61)</w:t>
            </w:r>
          </w:p>
        </w:tc>
        <w:tc>
          <w:tcPr>
            <w:tcW w:w="816" w:type="dxa"/>
            <w:vAlign w:val="bottom"/>
          </w:tcPr>
          <w:p w14:paraId="51AA7594" w14:textId="74C3DEA9"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0.04</w:t>
            </w:r>
          </w:p>
        </w:tc>
      </w:tr>
      <w:tr w:rsidR="000D14D7" w:rsidRPr="00D40ECC" w14:paraId="3920AC62" w14:textId="77777777" w:rsidTr="0036133B">
        <w:trPr>
          <w:trHeight w:val="1077"/>
        </w:trPr>
        <w:tc>
          <w:tcPr>
            <w:tcW w:w="1921" w:type="dxa"/>
            <w:vAlign w:val="bottom"/>
          </w:tcPr>
          <w:p w14:paraId="5D85279F" w14:textId="6CBFF6FC"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Others</w:t>
            </w:r>
          </w:p>
        </w:tc>
        <w:tc>
          <w:tcPr>
            <w:tcW w:w="1346" w:type="dxa"/>
            <w:vAlign w:val="bottom"/>
          </w:tcPr>
          <w:p w14:paraId="584DDAD9" w14:textId="1B7302A8"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2.46 (1.24-4.87)</w:t>
            </w:r>
          </w:p>
        </w:tc>
        <w:tc>
          <w:tcPr>
            <w:tcW w:w="816" w:type="dxa"/>
            <w:vAlign w:val="bottom"/>
          </w:tcPr>
          <w:p w14:paraId="3DD199BD" w14:textId="2639AA18"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0.01</w:t>
            </w:r>
          </w:p>
        </w:tc>
        <w:tc>
          <w:tcPr>
            <w:tcW w:w="1540" w:type="dxa"/>
            <w:vAlign w:val="bottom"/>
          </w:tcPr>
          <w:p w14:paraId="2D03B882" w14:textId="1E08C925"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2.</w:t>
            </w:r>
            <w:r w:rsidR="008B158A" w:rsidRPr="00D40ECC">
              <w:rPr>
                <w:rFonts w:ascii="Book Antiqua" w:hAnsi="Book Antiqua"/>
              </w:rPr>
              <w:t>57</w:t>
            </w:r>
            <w:r w:rsidRPr="00D40ECC">
              <w:rPr>
                <w:rFonts w:ascii="Book Antiqua" w:hAnsi="Book Antiqua"/>
              </w:rPr>
              <w:t xml:space="preserve"> (</w:t>
            </w:r>
            <w:r w:rsidR="008B158A" w:rsidRPr="00D40ECC">
              <w:rPr>
                <w:rFonts w:ascii="Book Antiqua" w:hAnsi="Book Antiqua"/>
              </w:rPr>
              <w:t>1.24</w:t>
            </w:r>
            <w:r w:rsidRPr="00D40ECC">
              <w:rPr>
                <w:rFonts w:ascii="Book Antiqua" w:hAnsi="Book Antiqua"/>
              </w:rPr>
              <w:t>-</w:t>
            </w:r>
            <w:r w:rsidR="008B158A" w:rsidRPr="00D40ECC">
              <w:rPr>
                <w:rFonts w:ascii="Book Antiqua" w:hAnsi="Book Antiqua"/>
              </w:rPr>
              <w:t>5.31</w:t>
            </w:r>
            <w:r w:rsidRPr="00D40ECC">
              <w:rPr>
                <w:rFonts w:ascii="Book Antiqua" w:hAnsi="Book Antiqua"/>
              </w:rPr>
              <w:t>)</w:t>
            </w:r>
          </w:p>
        </w:tc>
        <w:tc>
          <w:tcPr>
            <w:tcW w:w="816" w:type="dxa"/>
            <w:vAlign w:val="bottom"/>
          </w:tcPr>
          <w:p w14:paraId="02CA2CB2" w14:textId="4A54E034"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0.01</w:t>
            </w:r>
          </w:p>
        </w:tc>
        <w:tc>
          <w:tcPr>
            <w:tcW w:w="1921" w:type="dxa"/>
            <w:vAlign w:val="bottom"/>
          </w:tcPr>
          <w:p w14:paraId="2121577F" w14:textId="238913C5"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Others</w:t>
            </w:r>
          </w:p>
        </w:tc>
        <w:tc>
          <w:tcPr>
            <w:tcW w:w="1346" w:type="dxa"/>
            <w:vAlign w:val="bottom"/>
          </w:tcPr>
          <w:p w14:paraId="17266AC6" w14:textId="1941FBD9"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0.71 (0.29-1.74)</w:t>
            </w:r>
          </w:p>
        </w:tc>
        <w:tc>
          <w:tcPr>
            <w:tcW w:w="816" w:type="dxa"/>
            <w:vAlign w:val="bottom"/>
          </w:tcPr>
          <w:p w14:paraId="37DAEAEC" w14:textId="13677074"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NS</w:t>
            </w:r>
          </w:p>
        </w:tc>
        <w:tc>
          <w:tcPr>
            <w:tcW w:w="1540" w:type="dxa"/>
            <w:vAlign w:val="bottom"/>
          </w:tcPr>
          <w:p w14:paraId="64733407" w14:textId="77777777" w:rsidR="000D14D7" w:rsidRPr="00D40ECC" w:rsidRDefault="000D14D7" w:rsidP="005638C6">
            <w:pPr>
              <w:spacing w:line="360" w:lineRule="auto"/>
              <w:jc w:val="both"/>
              <w:textAlignment w:val="baseline"/>
              <w:rPr>
                <w:rFonts w:ascii="Book Antiqua" w:hAnsi="Book Antiqua"/>
                <w:b/>
                <w:bCs/>
              </w:rPr>
            </w:pPr>
          </w:p>
        </w:tc>
        <w:tc>
          <w:tcPr>
            <w:tcW w:w="816" w:type="dxa"/>
            <w:vAlign w:val="bottom"/>
          </w:tcPr>
          <w:p w14:paraId="329FD7A5" w14:textId="77777777" w:rsidR="000D14D7" w:rsidRPr="00D40ECC" w:rsidRDefault="000D14D7" w:rsidP="005638C6">
            <w:pPr>
              <w:spacing w:line="360" w:lineRule="auto"/>
              <w:jc w:val="both"/>
              <w:textAlignment w:val="baseline"/>
              <w:rPr>
                <w:rFonts w:ascii="Book Antiqua" w:hAnsi="Book Antiqua"/>
                <w:b/>
                <w:bCs/>
              </w:rPr>
            </w:pPr>
          </w:p>
        </w:tc>
      </w:tr>
      <w:tr w:rsidR="000D14D7" w:rsidRPr="00D40ECC" w14:paraId="54F65D1C" w14:textId="77777777" w:rsidTr="00A949DF">
        <w:tc>
          <w:tcPr>
            <w:tcW w:w="1921" w:type="dxa"/>
            <w:vAlign w:val="bottom"/>
          </w:tcPr>
          <w:p w14:paraId="3174E988" w14:textId="3529FA51"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Comorbidity (continuous)</w:t>
            </w:r>
          </w:p>
        </w:tc>
        <w:tc>
          <w:tcPr>
            <w:tcW w:w="1346" w:type="dxa"/>
            <w:vAlign w:val="bottom"/>
          </w:tcPr>
          <w:p w14:paraId="6D2FE44A" w14:textId="2674BD95"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1.08 (1.07-1.10)</w:t>
            </w:r>
          </w:p>
        </w:tc>
        <w:tc>
          <w:tcPr>
            <w:tcW w:w="816" w:type="dxa"/>
            <w:vAlign w:val="bottom"/>
          </w:tcPr>
          <w:p w14:paraId="6155DB93" w14:textId="3DF96CC4"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&lt;</w:t>
            </w:r>
            <w:r w:rsidR="00450466" w:rsidRPr="00D40ECC">
              <w:rPr>
                <w:rFonts w:ascii="Book Antiqua" w:hAnsi="Book Antiqua"/>
              </w:rPr>
              <w:t xml:space="preserve"> </w:t>
            </w:r>
            <w:r w:rsidRPr="00D40ECC">
              <w:rPr>
                <w:rFonts w:ascii="Book Antiqua" w:hAnsi="Book Antiqua"/>
              </w:rPr>
              <w:t>0.01</w:t>
            </w:r>
          </w:p>
        </w:tc>
        <w:tc>
          <w:tcPr>
            <w:tcW w:w="1540" w:type="dxa"/>
            <w:vAlign w:val="bottom"/>
          </w:tcPr>
          <w:p w14:paraId="35D5776F" w14:textId="1362DF12"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1.08 (1.07-1.10)</w:t>
            </w:r>
          </w:p>
        </w:tc>
        <w:tc>
          <w:tcPr>
            <w:tcW w:w="816" w:type="dxa"/>
            <w:vAlign w:val="bottom"/>
          </w:tcPr>
          <w:p w14:paraId="5953BFC7" w14:textId="628907B4"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&lt;</w:t>
            </w:r>
            <w:r w:rsidR="00450466" w:rsidRPr="00D40ECC">
              <w:rPr>
                <w:rFonts w:ascii="Book Antiqua" w:hAnsi="Book Antiqua"/>
              </w:rPr>
              <w:t xml:space="preserve"> </w:t>
            </w:r>
            <w:r w:rsidRPr="00D40ECC">
              <w:rPr>
                <w:rFonts w:ascii="Book Antiqua" w:hAnsi="Book Antiqua"/>
              </w:rPr>
              <w:t>0.01</w:t>
            </w:r>
          </w:p>
        </w:tc>
        <w:tc>
          <w:tcPr>
            <w:tcW w:w="1921" w:type="dxa"/>
            <w:vAlign w:val="bottom"/>
          </w:tcPr>
          <w:p w14:paraId="7CF1290E" w14:textId="5CC8237D"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Comorbidity (continuous)</w:t>
            </w:r>
          </w:p>
        </w:tc>
        <w:tc>
          <w:tcPr>
            <w:tcW w:w="1346" w:type="dxa"/>
            <w:vAlign w:val="bottom"/>
          </w:tcPr>
          <w:p w14:paraId="4AC0F047" w14:textId="0251C399"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1.06 (1.05-1.07)</w:t>
            </w:r>
          </w:p>
        </w:tc>
        <w:tc>
          <w:tcPr>
            <w:tcW w:w="816" w:type="dxa"/>
            <w:vAlign w:val="bottom"/>
          </w:tcPr>
          <w:p w14:paraId="66CEA6BD" w14:textId="67C95864"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&lt;</w:t>
            </w:r>
            <w:r w:rsidR="00450466" w:rsidRPr="00D40ECC">
              <w:rPr>
                <w:rFonts w:ascii="Book Antiqua" w:hAnsi="Book Antiqua"/>
              </w:rPr>
              <w:t xml:space="preserve"> </w:t>
            </w:r>
            <w:r w:rsidRPr="00D40ECC">
              <w:rPr>
                <w:rFonts w:ascii="Book Antiqua" w:hAnsi="Book Antiqua"/>
              </w:rPr>
              <w:t>0.01</w:t>
            </w:r>
          </w:p>
        </w:tc>
        <w:tc>
          <w:tcPr>
            <w:tcW w:w="1540" w:type="dxa"/>
            <w:vAlign w:val="bottom"/>
          </w:tcPr>
          <w:p w14:paraId="20DF7D6C" w14:textId="6C6330E1"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1.05 (1.04-1.06)</w:t>
            </w:r>
          </w:p>
        </w:tc>
        <w:tc>
          <w:tcPr>
            <w:tcW w:w="816" w:type="dxa"/>
            <w:vAlign w:val="bottom"/>
          </w:tcPr>
          <w:p w14:paraId="38DB6D21" w14:textId="3250D85C"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&lt;</w:t>
            </w:r>
            <w:r w:rsidR="00450466" w:rsidRPr="00D40ECC">
              <w:rPr>
                <w:rFonts w:ascii="Book Antiqua" w:hAnsi="Book Antiqua"/>
              </w:rPr>
              <w:t xml:space="preserve"> </w:t>
            </w:r>
            <w:r w:rsidRPr="00D40ECC">
              <w:rPr>
                <w:rFonts w:ascii="Book Antiqua" w:hAnsi="Book Antiqua"/>
              </w:rPr>
              <w:t>0.01</w:t>
            </w:r>
          </w:p>
        </w:tc>
      </w:tr>
      <w:tr w:rsidR="000D14D7" w:rsidRPr="00D40ECC" w14:paraId="79B51F2A" w14:textId="77777777" w:rsidTr="00A949DF">
        <w:tc>
          <w:tcPr>
            <w:tcW w:w="1921" w:type="dxa"/>
            <w:vAlign w:val="bottom"/>
          </w:tcPr>
          <w:p w14:paraId="192D2640" w14:textId="534F5621"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Sex (female)</w:t>
            </w:r>
          </w:p>
        </w:tc>
        <w:tc>
          <w:tcPr>
            <w:tcW w:w="1346" w:type="dxa"/>
            <w:vAlign w:val="bottom"/>
          </w:tcPr>
          <w:p w14:paraId="742119EC" w14:textId="2DAE6749" w:rsidR="000D14D7" w:rsidRPr="00D40ECC" w:rsidRDefault="008B158A" w:rsidP="005638C6">
            <w:pPr>
              <w:spacing w:line="360" w:lineRule="auto"/>
              <w:jc w:val="both"/>
              <w:textAlignment w:val="baseline"/>
              <w:rPr>
                <w:rFonts w:ascii="Book Antiqua" w:hAnsi="Book Antiqua"/>
                <w:b/>
                <w:bCs/>
              </w:rPr>
            </w:pPr>
            <w:r w:rsidRPr="00D40ECC">
              <w:rPr>
                <w:rFonts w:ascii="Book Antiqua" w:hAnsi="Book Antiqua"/>
              </w:rPr>
              <w:t>0.80</w:t>
            </w:r>
            <w:r w:rsidR="008E18F6" w:rsidRPr="00D40ECC">
              <w:rPr>
                <w:rFonts w:ascii="Book Antiqua" w:hAnsi="Book Antiqua"/>
              </w:rPr>
              <w:t xml:space="preserve"> </w:t>
            </w:r>
            <w:r w:rsidR="000D14D7" w:rsidRPr="00D40ECC">
              <w:rPr>
                <w:rFonts w:ascii="Book Antiqua" w:hAnsi="Book Antiqua"/>
              </w:rPr>
              <w:t>(</w:t>
            </w:r>
            <w:r w:rsidRPr="00D40ECC">
              <w:rPr>
                <w:rFonts w:ascii="Book Antiqua" w:hAnsi="Book Antiqua"/>
              </w:rPr>
              <w:t>0.58</w:t>
            </w:r>
            <w:r w:rsidR="008E18F6" w:rsidRPr="00D40ECC">
              <w:rPr>
                <w:rFonts w:ascii="Book Antiqua" w:hAnsi="Book Antiqua"/>
              </w:rPr>
              <w:t>-</w:t>
            </w:r>
            <w:r w:rsidRPr="00D40ECC">
              <w:rPr>
                <w:rFonts w:ascii="Book Antiqua" w:hAnsi="Book Antiqua"/>
              </w:rPr>
              <w:t>1.09</w:t>
            </w:r>
            <w:r w:rsidR="000D14D7" w:rsidRPr="00D40ECC">
              <w:rPr>
                <w:rFonts w:ascii="Book Antiqua" w:hAnsi="Book Antiqua"/>
              </w:rPr>
              <w:t>)</w:t>
            </w:r>
          </w:p>
        </w:tc>
        <w:tc>
          <w:tcPr>
            <w:tcW w:w="816" w:type="dxa"/>
            <w:vAlign w:val="bottom"/>
          </w:tcPr>
          <w:p w14:paraId="34EC672D" w14:textId="3CD5616F"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0.15</w:t>
            </w:r>
          </w:p>
        </w:tc>
        <w:tc>
          <w:tcPr>
            <w:tcW w:w="1540" w:type="dxa"/>
            <w:vAlign w:val="bottom"/>
          </w:tcPr>
          <w:p w14:paraId="6C3EE750" w14:textId="73BA9BD5" w:rsidR="000D14D7" w:rsidRPr="00D40ECC" w:rsidRDefault="000D14D7" w:rsidP="005638C6">
            <w:pPr>
              <w:spacing w:line="360" w:lineRule="auto"/>
              <w:jc w:val="both"/>
              <w:textAlignment w:val="baseline"/>
              <w:rPr>
                <w:rFonts w:ascii="Book Antiqua" w:hAnsi="Book Antiqua"/>
                <w:b/>
                <w:bCs/>
              </w:rPr>
            </w:pPr>
          </w:p>
        </w:tc>
        <w:tc>
          <w:tcPr>
            <w:tcW w:w="816" w:type="dxa"/>
            <w:vAlign w:val="bottom"/>
          </w:tcPr>
          <w:p w14:paraId="443CCA38" w14:textId="58F931E3" w:rsidR="000D14D7" w:rsidRPr="00D40ECC" w:rsidRDefault="000D14D7" w:rsidP="005638C6">
            <w:pPr>
              <w:spacing w:line="360" w:lineRule="auto"/>
              <w:jc w:val="both"/>
              <w:textAlignment w:val="baseline"/>
              <w:rPr>
                <w:rFonts w:ascii="Book Antiqua" w:hAnsi="Book Antiqua"/>
                <w:b/>
                <w:bCs/>
              </w:rPr>
            </w:pPr>
          </w:p>
        </w:tc>
        <w:tc>
          <w:tcPr>
            <w:tcW w:w="1921" w:type="dxa"/>
            <w:vAlign w:val="bottom"/>
          </w:tcPr>
          <w:p w14:paraId="6B269E62" w14:textId="050651B9"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Sex (female)</w:t>
            </w:r>
          </w:p>
        </w:tc>
        <w:tc>
          <w:tcPr>
            <w:tcW w:w="1346" w:type="dxa"/>
            <w:vAlign w:val="bottom"/>
          </w:tcPr>
          <w:p w14:paraId="4396FFDA" w14:textId="7D50DB07" w:rsidR="000D14D7" w:rsidRPr="00D40ECC" w:rsidRDefault="008B158A" w:rsidP="005638C6">
            <w:pPr>
              <w:spacing w:line="360" w:lineRule="auto"/>
              <w:jc w:val="both"/>
              <w:textAlignment w:val="baseline"/>
              <w:rPr>
                <w:rFonts w:ascii="Book Antiqua" w:hAnsi="Book Antiqua"/>
                <w:b/>
                <w:bCs/>
              </w:rPr>
            </w:pPr>
            <w:r w:rsidRPr="00D40ECC">
              <w:rPr>
                <w:rFonts w:ascii="Book Antiqua" w:hAnsi="Book Antiqua"/>
              </w:rPr>
              <w:t>0.99</w:t>
            </w:r>
            <w:r w:rsidR="000D14D7" w:rsidRPr="00D40ECC">
              <w:rPr>
                <w:rFonts w:ascii="Book Antiqua" w:hAnsi="Book Antiqua"/>
              </w:rPr>
              <w:t xml:space="preserve"> (</w:t>
            </w:r>
            <w:r w:rsidRPr="00D40ECC">
              <w:rPr>
                <w:rFonts w:ascii="Book Antiqua" w:hAnsi="Book Antiqua"/>
              </w:rPr>
              <w:t>0.77</w:t>
            </w:r>
            <w:r w:rsidR="000D14D7" w:rsidRPr="00D40ECC">
              <w:rPr>
                <w:rFonts w:ascii="Book Antiqua" w:hAnsi="Book Antiqua"/>
              </w:rPr>
              <w:t>-</w:t>
            </w:r>
            <w:r w:rsidRPr="00D40ECC">
              <w:rPr>
                <w:rFonts w:ascii="Book Antiqua" w:hAnsi="Book Antiqua"/>
              </w:rPr>
              <w:t>1.27</w:t>
            </w:r>
            <w:r w:rsidR="000D14D7" w:rsidRPr="00D40ECC">
              <w:rPr>
                <w:rFonts w:ascii="Book Antiqua" w:hAnsi="Book Antiqua"/>
              </w:rPr>
              <w:t>)</w:t>
            </w:r>
          </w:p>
        </w:tc>
        <w:tc>
          <w:tcPr>
            <w:tcW w:w="816" w:type="dxa"/>
            <w:vAlign w:val="bottom"/>
          </w:tcPr>
          <w:p w14:paraId="12E2178E" w14:textId="1B3BDE3E" w:rsidR="000D14D7" w:rsidRPr="00D40ECC" w:rsidRDefault="000D14D7" w:rsidP="005638C6">
            <w:pPr>
              <w:spacing w:line="360" w:lineRule="auto"/>
              <w:jc w:val="both"/>
              <w:textAlignment w:val="baseline"/>
              <w:rPr>
                <w:rFonts w:ascii="Book Antiqua" w:hAnsi="Book Antiqua"/>
                <w:b/>
                <w:bCs/>
              </w:rPr>
            </w:pPr>
            <w:r w:rsidRPr="00D40ECC">
              <w:rPr>
                <w:rFonts w:ascii="Book Antiqua" w:hAnsi="Book Antiqua"/>
              </w:rPr>
              <w:t>NS</w:t>
            </w:r>
          </w:p>
        </w:tc>
        <w:tc>
          <w:tcPr>
            <w:tcW w:w="1540" w:type="dxa"/>
            <w:vAlign w:val="bottom"/>
          </w:tcPr>
          <w:p w14:paraId="06AE4F66" w14:textId="77777777" w:rsidR="000D14D7" w:rsidRPr="00D40ECC" w:rsidRDefault="000D14D7" w:rsidP="005638C6">
            <w:pPr>
              <w:spacing w:line="360" w:lineRule="auto"/>
              <w:jc w:val="both"/>
              <w:textAlignment w:val="baseline"/>
              <w:rPr>
                <w:rFonts w:ascii="Book Antiqua" w:hAnsi="Book Antiqua"/>
                <w:b/>
                <w:bCs/>
              </w:rPr>
            </w:pPr>
          </w:p>
        </w:tc>
        <w:tc>
          <w:tcPr>
            <w:tcW w:w="816" w:type="dxa"/>
            <w:vAlign w:val="bottom"/>
          </w:tcPr>
          <w:p w14:paraId="6828A0FE" w14:textId="77777777" w:rsidR="000D14D7" w:rsidRPr="00D40ECC" w:rsidRDefault="000D14D7" w:rsidP="005638C6">
            <w:pPr>
              <w:spacing w:line="360" w:lineRule="auto"/>
              <w:jc w:val="both"/>
              <w:textAlignment w:val="baseline"/>
              <w:rPr>
                <w:rFonts w:ascii="Book Antiqua" w:hAnsi="Book Antiqua"/>
                <w:b/>
                <w:bCs/>
              </w:rPr>
            </w:pPr>
          </w:p>
        </w:tc>
      </w:tr>
    </w:tbl>
    <w:p w14:paraId="6A60C690" w14:textId="77777777" w:rsidR="00AB6147" w:rsidRPr="00D40ECC" w:rsidRDefault="00A820C4" w:rsidP="00BE375E">
      <w:pPr>
        <w:spacing w:line="360" w:lineRule="auto"/>
        <w:jc w:val="both"/>
        <w:textAlignment w:val="baseline"/>
        <w:rPr>
          <w:rFonts w:ascii="Book Antiqua" w:hAnsi="Book Antiqua"/>
          <w:lang w:eastAsia="zh-CN"/>
        </w:rPr>
      </w:pPr>
      <w:r w:rsidRPr="00D40ECC">
        <w:rPr>
          <w:rFonts w:ascii="Book Antiqua" w:hAnsi="Book Antiqua"/>
          <w:vertAlign w:val="superscript"/>
        </w:rPr>
        <w:t>1</w:t>
      </w:r>
      <w:r w:rsidRPr="00D40ECC">
        <w:rPr>
          <w:rFonts w:ascii="Book Antiqua" w:hAnsi="Book Antiqua"/>
        </w:rPr>
        <w:t xml:space="preserve">Univariate analysis with screening </w:t>
      </w:r>
      <w:r w:rsidRPr="00D40ECC">
        <w:rPr>
          <w:rFonts w:ascii="Book Antiqua" w:hAnsi="Book Antiqua"/>
          <w:i/>
          <w:iCs/>
        </w:rPr>
        <w:t>P</w:t>
      </w:r>
      <w:r w:rsidR="00450466" w:rsidRPr="00D40ECC">
        <w:rPr>
          <w:rFonts w:ascii="Book Antiqua" w:hAnsi="Book Antiqua"/>
        </w:rPr>
        <w:t xml:space="preserve"> </w:t>
      </w:r>
      <w:r w:rsidRPr="00D40ECC">
        <w:rPr>
          <w:rFonts w:ascii="Book Antiqua" w:hAnsi="Book Antiqua"/>
        </w:rPr>
        <w:t>&lt;</w:t>
      </w:r>
      <w:r w:rsidR="00450466" w:rsidRPr="00D40ECC">
        <w:rPr>
          <w:rFonts w:ascii="Book Antiqua" w:hAnsi="Book Antiqua"/>
        </w:rPr>
        <w:t xml:space="preserve"> </w:t>
      </w:r>
      <w:r w:rsidRPr="00D40ECC">
        <w:rPr>
          <w:rFonts w:ascii="Book Antiqua" w:hAnsi="Book Antiqua"/>
        </w:rPr>
        <w:t>0.02 was used to determine variables to include in the final multivariate analysis. Hyperlipidemia, Race/ethnicity, comorbidity index, and sex included in the regression</w:t>
      </w:r>
      <w:r w:rsidR="00AB6147" w:rsidRPr="00D40ECC">
        <w:rPr>
          <w:rFonts w:ascii="Book Antiqua" w:hAnsi="Book Antiqua"/>
          <w:lang w:eastAsia="zh-CN"/>
        </w:rPr>
        <w:t>.</w:t>
      </w:r>
    </w:p>
    <w:p w14:paraId="0173240E" w14:textId="754090A4" w:rsidR="00A820C4" w:rsidRPr="00D40ECC" w:rsidRDefault="00A820C4" w:rsidP="00BE375E">
      <w:pPr>
        <w:spacing w:line="360" w:lineRule="auto"/>
        <w:jc w:val="both"/>
        <w:textAlignment w:val="baseline"/>
        <w:rPr>
          <w:rFonts w:ascii="Book Antiqua" w:eastAsia="Times New Roman" w:hAnsi="Book Antiqua" w:cs="Calibri"/>
        </w:rPr>
      </w:pPr>
      <w:r w:rsidRPr="00D40ECC">
        <w:rPr>
          <w:rFonts w:ascii="Book Antiqua" w:hAnsi="Book Antiqua"/>
          <w:vertAlign w:val="superscript"/>
        </w:rPr>
        <w:t>2</w:t>
      </w:r>
      <w:r w:rsidRPr="00D40ECC">
        <w:rPr>
          <w:rFonts w:ascii="Book Antiqua" w:hAnsi="Book Antiqua"/>
        </w:rPr>
        <w:t xml:space="preserve">Univariate analysis with screening </w:t>
      </w:r>
      <w:r w:rsidRPr="00D40ECC">
        <w:rPr>
          <w:rFonts w:ascii="Book Antiqua" w:hAnsi="Book Antiqua"/>
          <w:i/>
          <w:iCs/>
        </w:rPr>
        <w:t>P</w:t>
      </w:r>
      <w:r w:rsidR="00450466" w:rsidRPr="00D40ECC">
        <w:rPr>
          <w:rFonts w:ascii="Book Antiqua" w:hAnsi="Book Antiqua"/>
        </w:rPr>
        <w:t xml:space="preserve"> </w:t>
      </w:r>
      <w:r w:rsidRPr="00D40ECC">
        <w:rPr>
          <w:rFonts w:ascii="Book Antiqua" w:hAnsi="Book Antiqua"/>
        </w:rPr>
        <w:t>&lt;</w:t>
      </w:r>
      <w:r w:rsidR="00450466" w:rsidRPr="00D40ECC">
        <w:rPr>
          <w:rFonts w:ascii="Book Antiqua" w:hAnsi="Book Antiqua"/>
        </w:rPr>
        <w:t xml:space="preserve"> </w:t>
      </w:r>
      <w:r w:rsidRPr="00D40ECC">
        <w:rPr>
          <w:rFonts w:ascii="Book Antiqua" w:hAnsi="Book Antiqua"/>
        </w:rPr>
        <w:t>0.02 was used again, and obesity, hyperlipidemia, age, race/ethnicity, and comorbidity index were included in the multivariate regressi</w:t>
      </w:r>
      <w:r w:rsidR="00212F8F" w:rsidRPr="00D40ECC">
        <w:rPr>
          <w:rFonts w:ascii="Book Antiqua" w:hAnsi="Book Antiqua"/>
        </w:rPr>
        <w:t>on</w:t>
      </w:r>
      <w:r w:rsidR="00450466" w:rsidRPr="00D40ECC">
        <w:rPr>
          <w:rFonts w:ascii="Book Antiqua" w:hAnsi="Book Antiqua"/>
        </w:rPr>
        <w:t xml:space="preserve">. </w:t>
      </w:r>
      <w:r w:rsidR="00450466" w:rsidRPr="00D40ECC">
        <w:rPr>
          <w:rFonts w:ascii="Book Antiqua" w:eastAsia="Times New Roman" w:hAnsi="Book Antiqua" w:cs="Calibri"/>
        </w:rPr>
        <w:t>NS: Not statistically significant.</w:t>
      </w:r>
    </w:p>
    <w:sectPr w:rsidR="00A820C4" w:rsidRPr="00D40ECC" w:rsidSect="000A4CF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0F9CC" w14:textId="77777777" w:rsidR="00D774A5" w:rsidRDefault="00D774A5" w:rsidP="00A820C4">
      <w:r>
        <w:separator/>
      </w:r>
    </w:p>
  </w:endnote>
  <w:endnote w:type="continuationSeparator" w:id="0">
    <w:p w14:paraId="7DCA41B5" w14:textId="77777777" w:rsidR="00D774A5" w:rsidRDefault="00D774A5" w:rsidP="00A8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93941" w14:textId="77777777" w:rsidR="00D469B1" w:rsidRPr="00A820C4" w:rsidRDefault="00D469B1" w:rsidP="00A820C4">
    <w:pPr>
      <w:pStyle w:val="a5"/>
      <w:jc w:val="right"/>
      <w:rPr>
        <w:rFonts w:ascii="Book Antiqua" w:hAnsi="Book Antiqua"/>
        <w:color w:val="000000" w:themeColor="text1"/>
        <w:sz w:val="24"/>
        <w:szCs w:val="24"/>
      </w:rPr>
    </w:pPr>
    <w:r w:rsidRPr="00A820C4">
      <w:rPr>
        <w:rFonts w:ascii="Book Antiqua" w:hAnsi="Book Antiqua"/>
        <w:color w:val="000000" w:themeColor="text1"/>
        <w:sz w:val="24"/>
        <w:szCs w:val="24"/>
        <w:lang w:val="zh-CN" w:eastAsia="zh-CN"/>
      </w:rPr>
      <w:t xml:space="preserve"> </w:t>
    </w:r>
    <w:r w:rsidRPr="00A820C4">
      <w:rPr>
        <w:rFonts w:ascii="Book Antiqua" w:hAnsi="Book Antiqua"/>
        <w:color w:val="000000" w:themeColor="text1"/>
        <w:sz w:val="24"/>
        <w:szCs w:val="24"/>
      </w:rPr>
      <w:fldChar w:fldCharType="begin"/>
    </w:r>
    <w:r w:rsidRPr="00A820C4">
      <w:rPr>
        <w:rFonts w:ascii="Book Antiqua" w:hAnsi="Book Antiqua"/>
        <w:color w:val="000000" w:themeColor="text1"/>
        <w:sz w:val="24"/>
        <w:szCs w:val="24"/>
      </w:rPr>
      <w:instrText>PAGE  \* Arabic  \* MERGEFORMAT</w:instrText>
    </w:r>
    <w:r w:rsidRPr="00A820C4">
      <w:rPr>
        <w:rFonts w:ascii="Book Antiqua" w:hAnsi="Book Antiqua"/>
        <w:color w:val="000000" w:themeColor="text1"/>
        <w:sz w:val="24"/>
        <w:szCs w:val="24"/>
      </w:rPr>
      <w:fldChar w:fldCharType="separate"/>
    </w:r>
    <w:r w:rsidR="00067DA8" w:rsidRPr="00067DA8">
      <w:rPr>
        <w:rFonts w:ascii="Book Antiqua" w:hAnsi="Book Antiqua"/>
        <w:noProof/>
        <w:color w:val="000000" w:themeColor="text1"/>
        <w:sz w:val="24"/>
        <w:szCs w:val="24"/>
        <w:lang w:val="zh-CN" w:eastAsia="zh-CN"/>
      </w:rPr>
      <w:t>4</w:t>
    </w:r>
    <w:r w:rsidRPr="00A820C4">
      <w:rPr>
        <w:rFonts w:ascii="Book Antiqua" w:hAnsi="Book Antiqua"/>
        <w:color w:val="000000" w:themeColor="text1"/>
        <w:sz w:val="24"/>
        <w:szCs w:val="24"/>
      </w:rPr>
      <w:fldChar w:fldCharType="end"/>
    </w:r>
    <w:r w:rsidRPr="00A820C4">
      <w:rPr>
        <w:rFonts w:ascii="Book Antiqua" w:hAnsi="Book Antiqua"/>
        <w:color w:val="000000" w:themeColor="text1"/>
        <w:sz w:val="24"/>
        <w:szCs w:val="24"/>
        <w:lang w:val="zh-CN" w:eastAsia="zh-CN"/>
      </w:rPr>
      <w:t xml:space="preserve"> / </w:t>
    </w:r>
    <w:r w:rsidRPr="00A820C4">
      <w:rPr>
        <w:rFonts w:ascii="Book Antiqua" w:hAnsi="Book Antiqua"/>
        <w:color w:val="000000" w:themeColor="text1"/>
        <w:sz w:val="24"/>
        <w:szCs w:val="24"/>
      </w:rPr>
      <w:fldChar w:fldCharType="begin"/>
    </w:r>
    <w:r w:rsidRPr="00A820C4">
      <w:rPr>
        <w:rFonts w:ascii="Book Antiqua" w:hAnsi="Book Antiqua"/>
        <w:color w:val="000000" w:themeColor="text1"/>
        <w:sz w:val="24"/>
        <w:szCs w:val="24"/>
      </w:rPr>
      <w:instrText>NUMPAGES  \* Arabic  \* MERGEFORMAT</w:instrText>
    </w:r>
    <w:r w:rsidRPr="00A820C4">
      <w:rPr>
        <w:rFonts w:ascii="Book Antiqua" w:hAnsi="Book Antiqua"/>
        <w:color w:val="000000" w:themeColor="text1"/>
        <w:sz w:val="24"/>
        <w:szCs w:val="24"/>
      </w:rPr>
      <w:fldChar w:fldCharType="separate"/>
    </w:r>
    <w:r w:rsidR="00067DA8" w:rsidRPr="00067DA8">
      <w:rPr>
        <w:rFonts w:ascii="Book Antiqua" w:hAnsi="Book Antiqua"/>
        <w:noProof/>
        <w:color w:val="000000" w:themeColor="text1"/>
        <w:sz w:val="24"/>
        <w:szCs w:val="24"/>
        <w:lang w:val="zh-CN" w:eastAsia="zh-CN"/>
      </w:rPr>
      <w:t>28</w:t>
    </w:r>
    <w:r w:rsidRPr="00A820C4">
      <w:rPr>
        <w:rFonts w:ascii="Book Antiqua" w:hAnsi="Book Antiqua"/>
        <w:color w:val="000000" w:themeColor="text1"/>
        <w:sz w:val="24"/>
        <w:szCs w:val="24"/>
      </w:rPr>
      <w:fldChar w:fldCharType="end"/>
    </w:r>
  </w:p>
  <w:p w14:paraId="4CFE20AA" w14:textId="77777777" w:rsidR="00D469B1" w:rsidRDefault="00D469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47751" w14:textId="77777777" w:rsidR="00D774A5" w:rsidRDefault="00D774A5" w:rsidP="00A820C4">
      <w:r>
        <w:separator/>
      </w:r>
    </w:p>
  </w:footnote>
  <w:footnote w:type="continuationSeparator" w:id="0">
    <w:p w14:paraId="1DBA5746" w14:textId="77777777" w:rsidR="00D774A5" w:rsidRDefault="00D774A5" w:rsidP="00A82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Gastro Hepatol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awwxdpbv5v5serero5p59oetza09dsz50d&quot;&gt;NALFD_cannabis&lt;record-ids&gt;&lt;item&gt;37&lt;/item&gt;&lt;item&gt;42&lt;/item&gt;&lt;item&gt;43&lt;/item&gt;&lt;item&gt;44&lt;/item&gt;&lt;item&gt;48&lt;/item&gt;&lt;item&gt;51&lt;/item&gt;&lt;item&gt;53&lt;/item&gt;&lt;/record-ids&gt;&lt;/item&gt;&lt;/Libraries&gt;"/>
  </w:docVars>
  <w:rsids>
    <w:rsidRoot w:val="00A77B3E"/>
    <w:rsid w:val="00000E98"/>
    <w:rsid w:val="00001770"/>
    <w:rsid w:val="00012746"/>
    <w:rsid w:val="00034203"/>
    <w:rsid w:val="00050A8E"/>
    <w:rsid w:val="00067DA8"/>
    <w:rsid w:val="000A4CF7"/>
    <w:rsid w:val="000B441F"/>
    <w:rsid w:val="000D14D7"/>
    <w:rsid w:val="000D3387"/>
    <w:rsid w:val="000F2F07"/>
    <w:rsid w:val="0010142A"/>
    <w:rsid w:val="001145CF"/>
    <w:rsid w:val="00114EC1"/>
    <w:rsid w:val="001271BA"/>
    <w:rsid w:val="001419D0"/>
    <w:rsid w:val="00186EFB"/>
    <w:rsid w:val="001C3E50"/>
    <w:rsid w:val="001E0926"/>
    <w:rsid w:val="001F3BEF"/>
    <w:rsid w:val="00200F69"/>
    <w:rsid w:val="00212F8F"/>
    <w:rsid w:val="00213ED2"/>
    <w:rsid w:val="00231497"/>
    <w:rsid w:val="00247E25"/>
    <w:rsid w:val="00247EA7"/>
    <w:rsid w:val="00291E84"/>
    <w:rsid w:val="00292C3F"/>
    <w:rsid w:val="002C0111"/>
    <w:rsid w:val="002C7E75"/>
    <w:rsid w:val="00323B1F"/>
    <w:rsid w:val="003314F1"/>
    <w:rsid w:val="00336AF7"/>
    <w:rsid w:val="00350B72"/>
    <w:rsid w:val="00351E14"/>
    <w:rsid w:val="00353A8B"/>
    <w:rsid w:val="0036133B"/>
    <w:rsid w:val="00361C27"/>
    <w:rsid w:val="003754BD"/>
    <w:rsid w:val="00380524"/>
    <w:rsid w:val="003A55DD"/>
    <w:rsid w:val="003A7193"/>
    <w:rsid w:val="003F3E8A"/>
    <w:rsid w:val="003F7041"/>
    <w:rsid w:val="004007F5"/>
    <w:rsid w:val="00417919"/>
    <w:rsid w:val="00450466"/>
    <w:rsid w:val="004679EE"/>
    <w:rsid w:val="004869DA"/>
    <w:rsid w:val="004A403D"/>
    <w:rsid w:val="00505D90"/>
    <w:rsid w:val="00512492"/>
    <w:rsid w:val="005301F5"/>
    <w:rsid w:val="005432ED"/>
    <w:rsid w:val="00551721"/>
    <w:rsid w:val="005638C6"/>
    <w:rsid w:val="00564D0D"/>
    <w:rsid w:val="00594912"/>
    <w:rsid w:val="00596407"/>
    <w:rsid w:val="00596638"/>
    <w:rsid w:val="005A4AA3"/>
    <w:rsid w:val="005B62B6"/>
    <w:rsid w:val="005E1692"/>
    <w:rsid w:val="005E6C6B"/>
    <w:rsid w:val="00611761"/>
    <w:rsid w:val="0061210D"/>
    <w:rsid w:val="00621505"/>
    <w:rsid w:val="00637810"/>
    <w:rsid w:val="00642ABD"/>
    <w:rsid w:val="00652DF5"/>
    <w:rsid w:val="006C348B"/>
    <w:rsid w:val="006D7724"/>
    <w:rsid w:val="006E1976"/>
    <w:rsid w:val="00730A53"/>
    <w:rsid w:val="007858AD"/>
    <w:rsid w:val="00791E4F"/>
    <w:rsid w:val="00793488"/>
    <w:rsid w:val="00796921"/>
    <w:rsid w:val="007A5FBD"/>
    <w:rsid w:val="007C0138"/>
    <w:rsid w:val="007D41D4"/>
    <w:rsid w:val="007E7DFB"/>
    <w:rsid w:val="00806E64"/>
    <w:rsid w:val="00807F2A"/>
    <w:rsid w:val="00815A30"/>
    <w:rsid w:val="00854678"/>
    <w:rsid w:val="00860561"/>
    <w:rsid w:val="008678E3"/>
    <w:rsid w:val="0087255A"/>
    <w:rsid w:val="008728AA"/>
    <w:rsid w:val="008871DE"/>
    <w:rsid w:val="00893EF3"/>
    <w:rsid w:val="008A7CF7"/>
    <w:rsid w:val="008B158A"/>
    <w:rsid w:val="008B2E31"/>
    <w:rsid w:val="008D6979"/>
    <w:rsid w:val="008E18F6"/>
    <w:rsid w:val="009178F9"/>
    <w:rsid w:val="0092690D"/>
    <w:rsid w:val="00932703"/>
    <w:rsid w:val="009436A2"/>
    <w:rsid w:val="009A01BA"/>
    <w:rsid w:val="009D6774"/>
    <w:rsid w:val="009E767C"/>
    <w:rsid w:val="009F7106"/>
    <w:rsid w:val="00A37B78"/>
    <w:rsid w:val="00A5762A"/>
    <w:rsid w:val="00A64AB5"/>
    <w:rsid w:val="00A7795E"/>
    <w:rsid w:val="00A77B3E"/>
    <w:rsid w:val="00A820C4"/>
    <w:rsid w:val="00A8754B"/>
    <w:rsid w:val="00A949DF"/>
    <w:rsid w:val="00AB6147"/>
    <w:rsid w:val="00AD0482"/>
    <w:rsid w:val="00AD6A81"/>
    <w:rsid w:val="00AF0AF8"/>
    <w:rsid w:val="00AF0D39"/>
    <w:rsid w:val="00AF6C04"/>
    <w:rsid w:val="00B25399"/>
    <w:rsid w:val="00B6065D"/>
    <w:rsid w:val="00B62E1C"/>
    <w:rsid w:val="00B75770"/>
    <w:rsid w:val="00B818ED"/>
    <w:rsid w:val="00BA163B"/>
    <w:rsid w:val="00BB2813"/>
    <w:rsid w:val="00BB6853"/>
    <w:rsid w:val="00BD4999"/>
    <w:rsid w:val="00BE375E"/>
    <w:rsid w:val="00BE4DC7"/>
    <w:rsid w:val="00C17663"/>
    <w:rsid w:val="00C51116"/>
    <w:rsid w:val="00C64CA0"/>
    <w:rsid w:val="00C74FB5"/>
    <w:rsid w:val="00CA2A55"/>
    <w:rsid w:val="00CB3B00"/>
    <w:rsid w:val="00CB61F9"/>
    <w:rsid w:val="00CE2CBD"/>
    <w:rsid w:val="00CF0F34"/>
    <w:rsid w:val="00D02965"/>
    <w:rsid w:val="00D17D65"/>
    <w:rsid w:val="00D270D8"/>
    <w:rsid w:val="00D3367B"/>
    <w:rsid w:val="00D373D5"/>
    <w:rsid w:val="00D40ECC"/>
    <w:rsid w:val="00D469B1"/>
    <w:rsid w:val="00D6388C"/>
    <w:rsid w:val="00D774A5"/>
    <w:rsid w:val="00DD54FF"/>
    <w:rsid w:val="00DD6267"/>
    <w:rsid w:val="00E026A1"/>
    <w:rsid w:val="00E04027"/>
    <w:rsid w:val="00E13391"/>
    <w:rsid w:val="00E3314F"/>
    <w:rsid w:val="00E45C58"/>
    <w:rsid w:val="00E80264"/>
    <w:rsid w:val="00E87F99"/>
    <w:rsid w:val="00E908B3"/>
    <w:rsid w:val="00E93BDA"/>
    <w:rsid w:val="00E959EA"/>
    <w:rsid w:val="00EA3C53"/>
    <w:rsid w:val="00EC6381"/>
    <w:rsid w:val="00ED299D"/>
    <w:rsid w:val="00ED63B8"/>
    <w:rsid w:val="00EF7B02"/>
    <w:rsid w:val="00EF7E1F"/>
    <w:rsid w:val="00F07030"/>
    <w:rsid w:val="00F30000"/>
    <w:rsid w:val="00F32E68"/>
    <w:rsid w:val="00F46C7E"/>
    <w:rsid w:val="00F5613D"/>
    <w:rsid w:val="00FC0331"/>
    <w:rsid w:val="00FD749D"/>
    <w:rsid w:val="00FD7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1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A820C4"/>
    <w:pPr>
      <w:spacing w:after="160"/>
    </w:pPr>
    <w:rPr>
      <w:rFonts w:asciiTheme="minorHAnsi" w:eastAsia="Batang" w:hAnsiTheme="minorHAnsi" w:cstheme="minorBidi"/>
      <w:sz w:val="20"/>
      <w:szCs w:val="20"/>
    </w:rPr>
  </w:style>
  <w:style w:type="character" w:customStyle="1" w:styleId="Char">
    <w:name w:val="批注文字 Char"/>
    <w:basedOn w:val="a0"/>
    <w:link w:val="a3"/>
    <w:uiPriority w:val="99"/>
    <w:rsid w:val="00A820C4"/>
    <w:rPr>
      <w:rFonts w:asciiTheme="minorHAnsi" w:eastAsia="Batang" w:hAnsiTheme="minorHAnsi" w:cstheme="minorBidi"/>
    </w:rPr>
  </w:style>
  <w:style w:type="paragraph" w:styleId="a4">
    <w:name w:val="header"/>
    <w:basedOn w:val="a"/>
    <w:link w:val="Char0"/>
    <w:unhideWhenUsed/>
    <w:rsid w:val="00A820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820C4"/>
    <w:rPr>
      <w:sz w:val="18"/>
      <w:szCs w:val="18"/>
    </w:rPr>
  </w:style>
  <w:style w:type="paragraph" w:styleId="a5">
    <w:name w:val="footer"/>
    <w:basedOn w:val="a"/>
    <w:link w:val="Char1"/>
    <w:uiPriority w:val="99"/>
    <w:unhideWhenUsed/>
    <w:rsid w:val="00A820C4"/>
    <w:pPr>
      <w:tabs>
        <w:tab w:val="center" w:pos="4153"/>
        <w:tab w:val="right" w:pos="8306"/>
      </w:tabs>
      <w:snapToGrid w:val="0"/>
    </w:pPr>
    <w:rPr>
      <w:sz w:val="18"/>
      <w:szCs w:val="18"/>
    </w:rPr>
  </w:style>
  <w:style w:type="character" w:customStyle="1" w:styleId="Char1">
    <w:name w:val="页脚 Char"/>
    <w:basedOn w:val="a0"/>
    <w:link w:val="a5"/>
    <w:uiPriority w:val="99"/>
    <w:rsid w:val="00A820C4"/>
    <w:rPr>
      <w:sz w:val="18"/>
      <w:szCs w:val="18"/>
    </w:rPr>
  </w:style>
  <w:style w:type="table" w:styleId="a6">
    <w:name w:val="Table Grid"/>
    <w:basedOn w:val="a1"/>
    <w:rsid w:val="000A4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link w:val="EndNoteBibliographyChar"/>
    <w:rsid w:val="004869DA"/>
    <w:pPr>
      <w:spacing w:after="160"/>
    </w:pPr>
    <w:rPr>
      <w:rFonts w:eastAsia="Batang"/>
      <w:noProof/>
      <w:szCs w:val="22"/>
    </w:rPr>
  </w:style>
  <w:style w:type="character" w:customStyle="1" w:styleId="EndNoteBibliographyChar">
    <w:name w:val="EndNote Bibliography Char"/>
    <w:basedOn w:val="a0"/>
    <w:link w:val="EndNoteBibliography"/>
    <w:rsid w:val="004869DA"/>
    <w:rPr>
      <w:rFonts w:eastAsia="Batang"/>
      <w:noProof/>
      <w:sz w:val="24"/>
      <w:szCs w:val="22"/>
    </w:rPr>
  </w:style>
  <w:style w:type="character" w:styleId="a7">
    <w:name w:val="annotation reference"/>
    <w:basedOn w:val="a0"/>
    <w:semiHidden/>
    <w:unhideWhenUsed/>
    <w:rsid w:val="00034203"/>
    <w:rPr>
      <w:sz w:val="16"/>
      <w:szCs w:val="16"/>
    </w:rPr>
  </w:style>
  <w:style w:type="paragraph" w:styleId="a8">
    <w:name w:val="annotation subject"/>
    <w:basedOn w:val="a3"/>
    <w:next w:val="a3"/>
    <w:link w:val="Char2"/>
    <w:semiHidden/>
    <w:unhideWhenUsed/>
    <w:rsid w:val="00034203"/>
    <w:pPr>
      <w:spacing w:after="0"/>
    </w:pPr>
    <w:rPr>
      <w:rFonts w:ascii="Times New Roman" w:eastAsiaTheme="minorEastAsia" w:hAnsi="Times New Roman" w:cs="Times New Roman"/>
      <w:b/>
      <w:bCs/>
    </w:rPr>
  </w:style>
  <w:style w:type="character" w:customStyle="1" w:styleId="Char2">
    <w:name w:val="批注主题 Char"/>
    <w:basedOn w:val="Char"/>
    <w:link w:val="a8"/>
    <w:semiHidden/>
    <w:rsid w:val="00034203"/>
    <w:rPr>
      <w:rFonts w:asciiTheme="minorHAnsi" w:eastAsia="Batang" w:hAnsiTheme="minorHAnsi" w:cstheme="minorBidi"/>
      <w:b/>
      <w:bCs/>
    </w:rPr>
  </w:style>
  <w:style w:type="paragraph" w:styleId="a9">
    <w:name w:val="Balloon Text"/>
    <w:basedOn w:val="a"/>
    <w:link w:val="Char3"/>
    <w:rsid w:val="00034203"/>
    <w:rPr>
      <w:rFonts w:ascii="Segoe UI" w:hAnsi="Segoe UI" w:cs="Segoe UI"/>
      <w:sz w:val="18"/>
      <w:szCs w:val="18"/>
    </w:rPr>
  </w:style>
  <w:style w:type="character" w:customStyle="1" w:styleId="Char3">
    <w:name w:val="批注框文本 Char"/>
    <w:basedOn w:val="a0"/>
    <w:link w:val="a9"/>
    <w:rsid w:val="00034203"/>
    <w:rPr>
      <w:rFonts w:ascii="Segoe UI" w:hAnsi="Segoe UI" w:cs="Segoe UI"/>
      <w:sz w:val="18"/>
      <w:szCs w:val="18"/>
    </w:rPr>
  </w:style>
  <w:style w:type="paragraph" w:customStyle="1" w:styleId="EndNoteBibliographyTitle">
    <w:name w:val="EndNote Bibliography Title"/>
    <w:basedOn w:val="a"/>
    <w:link w:val="EndNoteBibliographyTitleChar"/>
    <w:rsid w:val="00034203"/>
    <w:pPr>
      <w:jc w:val="center"/>
    </w:pPr>
    <w:rPr>
      <w:noProof/>
    </w:rPr>
  </w:style>
  <w:style w:type="character" w:customStyle="1" w:styleId="EndNoteBibliographyTitleChar">
    <w:name w:val="EndNote Bibliography Title Char"/>
    <w:basedOn w:val="a0"/>
    <w:link w:val="EndNoteBibliographyTitle"/>
    <w:rsid w:val="00034203"/>
    <w:rPr>
      <w:noProof/>
      <w:sz w:val="24"/>
      <w:szCs w:val="24"/>
    </w:rPr>
  </w:style>
  <w:style w:type="paragraph" w:styleId="aa">
    <w:name w:val="Revision"/>
    <w:hidden/>
    <w:uiPriority w:val="99"/>
    <w:semiHidden/>
    <w:rsid w:val="00D469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A820C4"/>
    <w:pPr>
      <w:spacing w:after="160"/>
    </w:pPr>
    <w:rPr>
      <w:rFonts w:asciiTheme="minorHAnsi" w:eastAsia="Batang" w:hAnsiTheme="minorHAnsi" w:cstheme="minorBidi"/>
      <w:sz w:val="20"/>
      <w:szCs w:val="20"/>
    </w:rPr>
  </w:style>
  <w:style w:type="character" w:customStyle="1" w:styleId="Char">
    <w:name w:val="批注文字 Char"/>
    <w:basedOn w:val="a0"/>
    <w:link w:val="a3"/>
    <w:uiPriority w:val="99"/>
    <w:rsid w:val="00A820C4"/>
    <w:rPr>
      <w:rFonts w:asciiTheme="minorHAnsi" w:eastAsia="Batang" w:hAnsiTheme="minorHAnsi" w:cstheme="minorBidi"/>
    </w:rPr>
  </w:style>
  <w:style w:type="paragraph" w:styleId="a4">
    <w:name w:val="header"/>
    <w:basedOn w:val="a"/>
    <w:link w:val="Char0"/>
    <w:unhideWhenUsed/>
    <w:rsid w:val="00A820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820C4"/>
    <w:rPr>
      <w:sz w:val="18"/>
      <w:szCs w:val="18"/>
    </w:rPr>
  </w:style>
  <w:style w:type="paragraph" w:styleId="a5">
    <w:name w:val="footer"/>
    <w:basedOn w:val="a"/>
    <w:link w:val="Char1"/>
    <w:uiPriority w:val="99"/>
    <w:unhideWhenUsed/>
    <w:rsid w:val="00A820C4"/>
    <w:pPr>
      <w:tabs>
        <w:tab w:val="center" w:pos="4153"/>
        <w:tab w:val="right" w:pos="8306"/>
      </w:tabs>
      <w:snapToGrid w:val="0"/>
    </w:pPr>
    <w:rPr>
      <w:sz w:val="18"/>
      <w:szCs w:val="18"/>
    </w:rPr>
  </w:style>
  <w:style w:type="character" w:customStyle="1" w:styleId="Char1">
    <w:name w:val="页脚 Char"/>
    <w:basedOn w:val="a0"/>
    <w:link w:val="a5"/>
    <w:uiPriority w:val="99"/>
    <w:rsid w:val="00A820C4"/>
    <w:rPr>
      <w:sz w:val="18"/>
      <w:szCs w:val="18"/>
    </w:rPr>
  </w:style>
  <w:style w:type="table" w:styleId="a6">
    <w:name w:val="Table Grid"/>
    <w:basedOn w:val="a1"/>
    <w:rsid w:val="000A4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link w:val="EndNoteBibliographyChar"/>
    <w:rsid w:val="004869DA"/>
    <w:pPr>
      <w:spacing w:after="160"/>
    </w:pPr>
    <w:rPr>
      <w:rFonts w:eastAsia="Batang"/>
      <w:noProof/>
      <w:szCs w:val="22"/>
    </w:rPr>
  </w:style>
  <w:style w:type="character" w:customStyle="1" w:styleId="EndNoteBibliographyChar">
    <w:name w:val="EndNote Bibliography Char"/>
    <w:basedOn w:val="a0"/>
    <w:link w:val="EndNoteBibliography"/>
    <w:rsid w:val="004869DA"/>
    <w:rPr>
      <w:rFonts w:eastAsia="Batang"/>
      <w:noProof/>
      <w:sz w:val="24"/>
      <w:szCs w:val="22"/>
    </w:rPr>
  </w:style>
  <w:style w:type="character" w:styleId="a7">
    <w:name w:val="annotation reference"/>
    <w:basedOn w:val="a0"/>
    <w:semiHidden/>
    <w:unhideWhenUsed/>
    <w:rsid w:val="00034203"/>
    <w:rPr>
      <w:sz w:val="16"/>
      <w:szCs w:val="16"/>
    </w:rPr>
  </w:style>
  <w:style w:type="paragraph" w:styleId="a8">
    <w:name w:val="annotation subject"/>
    <w:basedOn w:val="a3"/>
    <w:next w:val="a3"/>
    <w:link w:val="Char2"/>
    <w:semiHidden/>
    <w:unhideWhenUsed/>
    <w:rsid w:val="00034203"/>
    <w:pPr>
      <w:spacing w:after="0"/>
    </w:pPr>
    <w:rPr>
      <w:rFonts w:ascii="Times New Roman" w:eastAsiaTheme="minorEastAsia" w:hAnsi="Times New Roman" w:cs="Times New Roman"/>
      <w:b/>
      <w:bCs/>
    </w:rPr>
  </w:style>
  <w:style w:type="character" w:customStyle="1" w:styleId="Char2">
    <w:name w:val="批注主题 Char"/>
    <w:basedOn w:val="Char"/>
    <w:link w:val="a8"/>
    <w:semiHidden/>
    <w:rsid w:val="00034203"/>
    <w:rPr>
      <w:rFonts w:asciiTheme="minorHAnsi" w:eastAsia="Batang" w:hAnsiTheme="minorHAnsi" w:cstheme="minorBidi"/>
      <w:b/>
      <w:bCs/>
    </w:rPr>
  </w:style>
  <w:style w:type="paragraph" w:styleId="a9">
    <w:name w:val="Balloon Text"/>
    <w:basedOn w:val="a"/>
    <w:link w:val="Char3"/>
    <w:rsid w:val="00034203"/>
    <w:rPr>
      <w:rFonts w:ascii="Segoe UI" w:hAnsi="Segoe UI" w:cs="Segoe UI"/>
      <w:sz w:val="18"/>
      <w:szCs w:val="18"/>
    </w:rPr>
  </w:style>
  <w:style w:type="character" w:customStyle="1" w:styleId="Char3">
    <w:name w:val="批注框文本 Char"/>
    <w:basedOn w:val="a0"/>
    <w:link w:val="a9"/>
    <w:rsid w:val="00034203"/>
    <w:rPr>
      <w:rFonts w:ascii="Segoe UI" w:hAnsi="Segoe UI" w:cs="Segoe UI"/>
      <w:sz w:val="18"/>
      <w:szCs w:val="18"/>
    </w:rPr>
  </w:style>
  <w:style w:type="paragraph" w:customStyle="1" w:styleId="EndNoteBibliographyTitle">
    <w:name w:val="EndNote Bibliography Title"/>
    <w:basedOn w:val="a"/>
    <w:link w:val="EndNoteBibliographyTitleChar"/>
    <w:rsid w:val="00034203"/>
    <w:pPr>
      <w:jc w:val="center"/>
    </w:pPr>
    <w:rPr>
      <w:noProof/>
    </w:rPr>
  </w:style>
  <w:style w:type="character" w:customStyle="1" w:styleId="EndNoteBibliographyTitleChar">
    <w:name w:val="EndNote Bibliography Title Char"/>
    <w:basedOn w:val="a0"/>
    <w:link w:val="EndNoteBibliographyTitle"/>
    <w:rsid w:val="00034203"/>
    <w:rPr>
      <w:noProof/>
      <w:sz w:val="24"/>
      <w:szCs w:val="24"/>
    </w:rPr>
  </w:style>
  <w:style w:type="paragraph" w:styleId="aa">
    <w:name w:val="Revision"/>
    <w:hidden/>
    <w:uiPriority w:val="99"/>
    <w:semiHidden/>
    <w:rsid w:val="00D469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D713A-E429-40D6-9490-127B4D7A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28</Pages>
  <Words>6662</Words>
  <Characters>37976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马玉杰</cp:lastModifiedBy>
  <cp:revision>19</cp:revision>
  <dcterms:created xsi:type="dcterms:W3CDTF">2020-10-23T21:56:00Z</dcterms:created>
  <dcterms:modified xsi:type="dcterms:W3CDTF">2020-11-21T01:51:00Z</dcterms:modified>
</cp:coreProperties>
</file>