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Hepatology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66973</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ORIGINAL ARTICLE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Retrospective Cohort Study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Impact of biliary complications on quality of life in live-donor liver transplant recipients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Guirguis </w:t>
      </w:r>
      <w:r>
        <w:rPr>
          <w:rFonts w:hint="eastAsia" w:ascii="Book Antiqua" w:hAnsi="Book Antiqua" w:cs="Book Antiqua"/>
          <w:color w:val="000000"/>
          <w:highlight w:val="none"/>
          <w:lang w:eastAsia="zh-CN"/>
        </w:rPr>
        <w:t xml:space="preserve">RN </w:t>
      </w:r>
      <w:r>
        <w:rPr>
          <w:rFonts w:hint="eastAsia" w:ascii="Book Antiqua" w:hAnsi="Book Antiqua" w:cs="Book Antiqua"/>
          <w:i/>
          <w:color w:val="000000"/>
          <w:highlight w:val="none"/>
          <w:lang w:eastAsia="zh-CN"/>
        </w:rPr>
        <w:t>et al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Impact of biliary complications on HRQoL post-LDLT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Reginia Nabil Guirguis, Ehab Hasan Nashaat, Azza Emam Yassin, Wesam Ahmed Ibrahim, Shereen A Saleh, Mohamed Bahaa, Mahmoud El-Meteini, Mohamed Fathy, Hany Mansour Dabbous, Iman Fawzy Montasser, Manar Salah, Ghada Abdelrahman Mohamed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Reginia Nabil Guirguis, Ehab Hasan Nashaat, Azza Emam Yassin, Wesam Ahmed Ibrahim, Shereen A Saleh, Ghada Abdelrahman Mohamed, </w:t>
      </w:r>
      <w:r>
        <w:rPr>
          <w:rFonts w:ascii="Book Antiqua" w:hAnsi="Book Antiqua" w:eastAsia="Book Antiqua" w:cs="Book Antiqua"/>
          <w:color w:val="000000"/>
          <w:highlight w:val="none"/>
        </w:rPr>
        <w:t>Department of Internal Medicine, Gastroenterology and Hepatology Unit, Faculty of Medicine, Ain Shams University, Cairo 11591, Egypt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Mohamed Bahaa, Mahmoud El-Meteini, Mohamed Fathy, </w:t>
      </w:r>
      <w:r>
        <w:rPr>
          <w:rFonts w:ascii="Book Antiqua" w:hAnsi="Book Antiqua" w:eastAsia="Book Antiqua" w:cs="Book Antiqua"/>
          <w:color w:val="000000"/>
          <w:highlight w:val="none"/>
        </w:rPr>
        <w:t>Department of General Surgery, Faculty of Medicine, Ain Shams University, Cairo 11591, Egypt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Hany Mansour Dabbous, Iman Fawzy Montasser, Manar Salah, </w:t>
      </w:r>
      <w:r>
        <w:rPr>
          <w:rFonts w:ascii="Book Antiqua" w:hAnsi="Book Antiqua" w:eastAsia="Book Antiqua" w:cs="Book Antiqua"/>
          <w:color w:val="000000"/>
          <w:highlight w:val="none"/>
        </w:rPr>
        <w:t>Department of Tropical Medicine, Faculty of Medicine, Ain Shams University, Cairo 11591, Egypt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Guirguis RN, Nashaat EH, Yassin AE, Ibrahim WA, Saleh SA, Bahaa MM designed the study; Bahaa MM, El-Meteini M, Fathy M performed the surgical operation; Guirguis RN, Dabbous HM, Montasser IF, Salah M performed the perioperative management; Guirguis RN participated in the acquisition of data; Guirguis RN, Nashaat EH, Yassin AE, Ibrahim WA, Saleh SA, Mohamed GA participated in the analysis and interpretation of the data; Guirguis RN, Saleh SA, Bahaa MM, Mohamed GA revised the article critically for important intellectual content; Mohamed GA wrote the manuscript.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Ghada Abdelrahman Mohamed, MD, Lecturer, </w:t>
      </w:r>
      <w:r>
        <w:rPr>
          <w:rFonts w:ascii="Book Antiqua" w:hAnsi="Book Antiqua" w:eastAsia="Book Antiqua" w:cs="Book Antiqua"/>
          <w:color w:val="000000"/>
          <w:highlight w:val="none"/>
        </w:rPr>
        <w:t>Department of Internal Medicine, Gastroenterology and Hepatology Unit, Faculty of Medicine, Ain Shams University, El Khalifa El-Maamon St., Abbassia, Cairo 11591, Egypt. ghadaabdelrahman@med.asu.edu.eg</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April 11,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cs="Book Antiqua"/>
          <w:bCs/>
          <w:color w:val="000000"/>
          <w:highlight w:val="none"/>
          <w:lang w:eastAsia="zh-CN"/>
        </w:rPr>
        <w:t>June 23,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color w:val="000000"/>
          <w:highlight w:val="none"/>
        </w:rPr>
        <w:t>September 23,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rPr>
        <w:t>Oct</w:t>
      </w:r>
      <w:r>
        <w:rPr>
          <w:rFonts w:hint="eastAsia" w:ascii="Book Antiqua" w:hAnsi="Book Antiqua" w:eastAsia="宋体" w:cs="Book Antiqua"/>
          <w:b w:val="0"/>
          <w:bCs w:val="0"/>
          <w:color w:val="000000"/>
          <w:lang w:val="en-US" w:eastAsia="zh-CN"/>
        </w:rPr>
        <w:t>ober</w:t>
      </w:r>
      <w:r>
        <w:rPr>
          <w:rFonts w:ascii="Book Antiqua" w:hAnsi="Book Antiqua" w:eastAsia="Book Antiqua" w:cs="Book Antiqua"/>
          <w:b w:val="0"/>
          <w:bCs w:val="0"/>
          <w:color w:val="000000"/>
          <w:highlight w:val="none"/>
        </w:rPr>
        <w:t xml:space="preserve"> 27</w:t>
      </w:r>
      <w:r>
        <w:rPr>
          <w:rFonts w:hint="eastAsia" w:ascii="Book Antiqua" w:hAnsi="Book Antiqua" w:eastAsia="宋体" w:cs="Book Antiqua"/>
          <w:b w:val="0"/>
          <w:bCs w:val="0"/>
          <w:color w:val="000000"/>
          <w:highlight w:val="none"/>
          <w:lang w:val="en-US" w:eastAsia="zh-CN"/>
        </w:rPr>
        <w:t>, 2021</w:t>
      </w:r>
    </w:p>
    <w:p>
      <w:pPr>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BACKGROUND</w:t>
      </w:r>
    </w:p>
    <w:p>
      <w:pPr>
        <w:spacing w:line="360" w:lineRule="auto"/>
        <w:jc w:val="both"/>
        <w:rPr>
          <w:rFonts w:ascii="Book Antiqua" w:hAnsi="Book Antiqua"/>
          <w:highlight w:val="none"/>
          <w:lang w:eastAsia="zh-CN"/>
        </w:rPr>
      </w:pPr>
      <w:r>
        <w:rPr>
          <w:rFonts w:ascii="Book Antiqua" w:hAnsi="Book Antiqua" w:eastAsia="Book Antiqua" w:cs="Book Antiqua"/>
          <w:color w:val="000000"/>
          <w:highlight w:val="none"/>
        </w:rPr>
        <w:t xml:space="preserve">Despite significant advancements in liver transplantation (LT) surgical procedures and perioperative care, post-LT biliary complications (BCs) remain a significant source of morbidity, mortality, and graft failure. In addition, data are conflicting regarding the health-related quality of life (HRQoL) of LT recipients. Thus, the success of LT should be considered in terms of both the survival and recovery of HRQoL.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AIM</w:t>
      </w:r>
    </w:p>
    <w:p>
      <w:pPr>
        <w:spacing w:line="360" w:lineRule="auto"/>
        <w:jc w:val="both"/>
        <w:rPr>
          <w:rFonts w:ascii="Book Antiqua" w:hAnsi="Book Antiqua"/>
          <w:highlight w:val="none"/>
        </w:rPr>
      </w:pP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o assess the impact of BCs on the HRQoL of live-donor LT recipients (LDLT-Rs).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METHODS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We retrospectively analysed data for 25 LDLT-Rs who developed BCs post-LT between January 2011 and December 2016 at our institution. The Short Form 12 version 2 (SF 12v2) health survey was used to assess their HRQoL. We also included 25 LDLT-Rs without any post-LT complications as a control group.</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RESULTS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scores for HRQoL of LDLT-Rs who developed BCs were significantly higher than the norm-based scores in the domains of physical functioning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0.003), role-physical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bodily pain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0.003), general health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0.004), social functioning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0.005), role-emotional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and mental health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No significant difference between the two groups regarding vitality was detected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1.000). The LDLT-Rs with BCs had significantly lower scores than LDLT-Rs without BCs in all HRQoL domains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and the mental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and physical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0.0002) component summary scores.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The development of BCs in LDLT-Rs causes a lower range of improvement in HRQoL.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Live-donor liver transplantation; Quality of life; The Short Form 12 version 2; Cirrhosis; Biliary complications; Mental health</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highlight w:val="none"/>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highlight w:val="none"/>
        </w:rPr>
        <w:t xml:space="preserve">Guirguis RN, Nashaat EH, Yassin AE, Ibrahim WA, Saleh SA, Bahaa M, El-Meteini M, Fathy M, Dabbous HM, Montasser IF, Salah M, Mohamed GA. Impact of biliary complications on quality of life in live-donor liver transplant recipients.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2021; </w:t>
      </w:r>
      <w:r>
        <w:rPr>
          <w:rFonts w:hint="eastAsia" w:ascii="Book Antiqua" w:hAnsi="Book Antiqua" w:eastAsia="Book Antiqua" w:cs="Book Antiqua"/>
          <w:color w:val="000000"/>
          <w:highlight w:val="none"/>
        </w:rPr>
        <w:t xml:space="preserve">13(10): </w:t>
      </w:r>
      <w:r>
        <w:rPr>
          <w:rFonts w:hint="default" w:ascii="Book Antiqua" w:hAnsi="Book Antiqua" w:eastAsia="Book Antiqua" w:cs="Book Antiqua"/>
          <w:i w:val="0"/>
          <w:iCs w:val="0"/>
          <w:color w:val="000000"/>
          <w:kern w:val="0"/>
          <w:sz w:val="24"/>
          <w:szCs w:val="24"/>
          <w:u w:val="none"/>
          <w:lang w:val="en-US" w:eastAsia="zh-CN" w:bidi="ar"/>
        </w:rPr>
        <w:t>1405-1416</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xml:space="preserve"> https://www.wjgnet.com/1948-5182/full/v13/i10/</w:t>
      </w:r>
      <w:r>
        <w:rPr>
          <w:rFonts w:hint="eastAsia" w:ascii="Book Antiqua" w:hAnsi="Book Antiqua" w:eastAsia="宋体" w:cs="Book Antiqua"/>
          <w:color w:val="000000"/>
          <w:highlight w:val="none"/>
          <w:lang w:val="en-US" w:eastAsia="zh-CN"/>
        </w:rPr>
        <w:t>1405</w:t>
      </w:r>
      <w:r>
        <w:rPr>
          <w:rFonts w:hint="eastAsia" w:ascii="Book Antiqua" w:hAnsi="Book Antiqua" w:eastAsia="Book Antiqua" w:cs="Book Antiqua"/>
          <w:color w:val="000000"/>
          <w:highlight w:val="none"/>
        </w:rPr>
        <w:t xml:space="preserve">.htm </w:t>
      </w:r>
    </w:p>
    <w:p>
      <w:pPr>
        <w:spacing w:line="360" w:lineRule="auto"/>
        <w:jc w:val="both"/>
        <w:rPr>
          <w:rFonts w:hint="default" w:ascii="Book Antiqua" w:hAnsi="Book Antiqua" w:eastAsia="宋体"/>
          <w:highlight w:val="none"/>
          <w:lang w:val="en-US" w:eastAsia="zh-CN"/>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xml:space="preserve"> https://dx.doi.org/10.4254/wjh.v13.i10.</w:t>
      </w:r>
      <w:r>
        <w:rPr>
          <w:rFonts w:hint="eastAsia" w:ascii="Book Antiqua" w:hAnsi="Book Antiqua" w:eastAsia="宋体" w:cs="Book Antiqua"/>
          <w:color w:val="000000"/>
          <w:highlight w:val="none"/>
          <w:lang w:val="en-US" w:eastAsia="zh-CN"/>
        </w:rPr>
        <w:t>1405</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We retrospectively analysed data for 25 Live-donor liver transplantation recipients (LDLT-Rs) with biliary complications (BCs) and described their health-related quality of life (HRQoL) using the Short Form 12 version 2</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health survey. All scores for HRQoL domains of LDLT-Rs with BCs were significantly higher than the norm-based scores except for vitality. The LDLT-Rs with BCs had significantly lower scores than LDLT-Rs without BCs in all HRQoL domains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and in the mental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and physical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0.0002) component summary scores. We conclude that the development of BCs in LDLT-Rs causes a lower range of improvement in HRQoL.</w:t>
      </w:r>
    </w:p>
    <w:p>
      <w:pPr>
        <w:spacing w:line="360" w:lineRule="auto"/>
        <w:jc w:val="both"/>
        <w:rPr>
          <w:rFonts w:ascii="Book Antiqua" w:hAnsi="Book Antiqua"/>
          <w:highlight w:val="none"/>
        </w:rPr>
      </w:pPr>
    </w:p>
    <w:p>
      <w:pPr>
        <w:rPr>
          <w:rFonts w:ascii="Book Antiqua" w:hAnsi="Book Antiqua" w:eastAsia="Book Antiqua" w:cs="Book Antiqua"/>
          <w:b/>
          <w:caps/>
          <w:color w:val="000000"/>
          <w:highlight w:val="none"/>
          <w:u w:val="single"/>
        </w:rPr>
      </w:pPr>
      <w:r>
        <w:rPr>
          <w:rFonts w:ascii="Book Antiqua" w:hAnsi="Book Antiqua" w:eastAsia="Book Antiqua" w:cs="Book Antiqua"/>
          <w:b/>
          <w:caps/>
          <w:color w:val="000000"/>
          <w:highlight w:val="none"/>
          <w:u w:val="single"/>
        </w:rPr>
        <w:br w:type="page"/>
      </w: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INTRODUCTION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Health-related quality of life (HRQoL) is a multidimensional model reflecting the domains of social, mental, emotional, and physical health</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More than 50 different HRQoL tools have been used in liver transplant (LT) research</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and no golden standard instrument has existed until now</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These tools can be classified into generic and disease-specific tools</w:t>
      </w:r>
      <w:r>
        <w:rPr>
          <w:rFonts w:ascii="Book Antiqua" w:hAnsi="Book Antiqua" w:eastAsia="Book Antiqua" w:cs="Book Antiqua"/>
          <w:color w:val="000000"/>
          <w:highlight w:val="none"/>
          <w:vertAlign w:val="superscript"/>
        </w:rPr>
        <w:t>[3,5]</w:t>
      </w:r>
      <w:r>
        <w:rPr>
          <w:rFonts w:ascii="Book Antiqua" w:hAnsi="Book Antiqua" w:eastAsia="Book Antiqua" w:cs="Book Antiqua"/>
          <w:color w:val="000000"/>
          <w:highlight w:val="none"/>
        </w:rPr>
        <w:t>. Generic HRQoL tools, of which the validated Short Form 36 (SF-36) health survey is the most frequently used for evaluating LT recipients, allow assessments across various medical conditions and health states</w:t>
      </w:r>
      <w:r>
        <w:rPr>
          <w:rFonts w:ascii="Book Antiqua" w:hAnsi="Book Antiqua" w:eastAsia="Book Antiqua" w:cs="Book Antiqua"/>
          <w:color w:val="000000"/>
          <w:highlight w:val="none"/>
          <w:vertAlign w:val="superscript"/>
        </w:rPr>
        <w:t>[6,7]</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Short Form 12 version 2 (SF-12v2) is a validated concise version of the SF-36 version 2 (SF-36v2) with only 12 questions</w:t>
      </w:r>
      <w:r>
        <w:rPr>
          <w:rFonts w:ascii="Book Antiqua" w:hAnsi="Book Antiqua" w:eastAsia="Book Antiqua" w:cs="Book Antiqua"/>
          <w:color w:val="000000"/>
          <w:highlight w:val="none"/>
          <w:vertAlign w:val="superscript"/>
        </w:rPr>
        <w:t>[8,9]</w:t>
      </w:r>
      <w:r>
        <w:rPr>
          <w:rFonts w:ascii="Book Antiqua" w:hAnsi="Book Antiqua" w:eastAsia="Book Antiqua" w:cs="Book Antiqua"/>
          <w:color w:val="000000"/>
          <w:highlight w:val="none"/>
        </w:rPr>
        <w:t xml:space="preserve">. Similar to the SF-36v2, it evaluates the same eight dimensions of HRQoL covering the previous 4 wk: </w:t>
      </w:r>
      <w:r>
        <w:rPr>
          <w:rFonts w:hint="eastAsia" w:ascii="Book Antiqua" w:hAnsi="Book Antiqua" w:cs="Book Antiqua"/>
          <w:color w:val="000000"/>
          <w:highlight w:val="none"/>
          <w:lang w:eastAsia="zh-CN"/>
        </w:rPr>
        <w:t>G</w:t>
      </w:r>
      <w:r>
        <w:rPr>
          <w:rFonts w:ascii="Book Antiqua" w:hAnsi="Book Antiqua" w:eastAsia="Book Antiqua" w:cs="Book Antiqua"/>
          <w:color w:val="000000"/>
          <w:highlight w:val="none"/>
        </w:rPr>
        <w:t>eneral health, bodily pain, physical functioning, role physical, vitality, role emotional, mental health, and social functioning. Physical Component Summary (PCS) and Mental Component Summary (MCS) scores were created from patient responses</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The sum of scores ranges from 0 to 100, where 0 indicates the worst state of health and 100 indicates the best state of health</w:t>
      </w:r>
      <w:r>
        <w:rPr>
          <w:rFonts w:ascii="Book Antiqua" w:hAnsi="Book Antiqua" w:eastAsia="Book Antiqua" w:cs="Book Antiqua"/>
          <w:color w:val="000000"/>
          <w:highlight w:val="none"/>
          <w:vertAlign w:val="superscript"/>
        </w:rPr>
        <w:t>[10,11]</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The data are conflicting regarding the HRQoL of LT recipients. The heterogeneity between studies regarding the type of graft, diversity of included patients, and health survey precludes definitive conclusions</w:t>
      </w:r>
      <w:r>
        <w:rPr>
          <w:rFonts w:ascii="Book Antiqua" w:hAnsi="Book Antiqua" w:eastAsia="Book Antiqua" w:cs="Book Antiqua"/>
          <w:color w:val="000000"/>
          <w:highlight w:val="none"/>
          <w:vertAlign w:val="superscript"/>
        </w:rPr>
        <w:t>[4,12]</w:t>
      </w:r>
      <w:r>
        <w:rPr>
          <w:rFonts w:ascii="Book Antiqua" w:hAnsi="Book Antiqua" w:eastAsia="Book Antiqua" w:cs="Book Antiqua"/>
          <w:color w:val="000000"/>
          <w:highlight w:val="none"/>
        </w:rPr>
        <w:t>. In addition, an overlap exists between the primary liver disease and LT process with diverse events during peri- and postoperative management.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The global assessment of HRQoL after LT usually confirms improvement compared with pretransplant status</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however, it may remain suboptimal compared to the general population due to post-LT complications, recurrence of primary liver disease, or adverse effects of immunosuppressants</w:t>
      </w:r>
      <w:r>
        <w:rPr>
          <w:rFonts w:ascii="Book Antiqua" w:hAnsi="Book Antiqua" w:eastAsia="Book Antiqua" w:cs="Book Antiqua"/>
          <w:color w:val="000000"/>
          <w:highlight w:val="none"/>
          <w:vertAlign w:val="superscript"/>
        </w:rPr>
        <w:t>[14-17]</w:t>
      </w:r>
      <w:r>
        <w:rPr>
          <w:rFonts w:ascii="Book Antiqua" w:hAnsi="Book Antiqua" w:eastAsia="Book Antiqua" w:cs="Book Antiqua"/>
          <w:color w:val="000000"/>
          <w:highlight w:val="none"/>
        </w:rPr>
        <w:t>. In addition, cirrhosis leads to loss of muscle mass, sarcopenia, malnutrition, and physical impairment that manifest as physical frailty, increasing the risk of pretransplant mortality</w:t>
      </w:r>
      <w:r>
        <w:rPr>
          <w:rFonts w:ascii="Book Antiqua" w:hAnsi="Book Antiqua" w:eastAsia="Book Antiqua" w:cs="Book Antiqua"/>
          <w:color w:val="000000"/>
          <w:highlight w:val="none"/>
          <w:vertAlign w:val="superscript"/>
        </w:rPr>
        <w:t>[18-20]</w:t>
      </w:r>
      <w:r>
        <w:rPr>
          <w:rFonts w:ascii="Book Antiqua" w:hAnsi="Book Antiqua" w:eastAsia="Book Antiqua" w:cs="Book Antiqua"/>
          <w:color w:val="000000"/>
          <w:highlight w:val="none"/>
        </w:rPr>
        <w:t xml:space="preserve"> and delayed improvement of physical functioning post-LT</w:t>
      </w:r>
      <w:r>
        <w:rPr>
          <w:rFonts w:ascii="Book Antiqua" w:hAnsi="Book Antiqua" w:eastAsia="Book Antiqua" w:cs="Book Antiqua"/>
          <w:color w:val="000000"/>
          <w:highlight w:val="none"/>
          <w:vertAlign w:val="superscript"/>
        </w:rPr>
        <w:t>[21-23]</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Fatigue affects up to 50% of patients with chronic liver disease; moreover, it demonstrates a significant association with poor HRQoL</w:t>
      </w:r>
      <w:r>
        <w:rPr>
          <w:rFonts w:ascii="Book Antiqua" w:hAnsi="Book Antiqua" w:eastAsia="Book Antiqua" w:cs="Book Antiqua"/>
          <w:color w:val="000000"/>
          <w:highlight w:val="none"/>
          <w:vertAlign w:val="superscript"/>
        </w:rPr>
        <w:t>[24,25]</w:t>
      </w:r>
      <w:r>
        <w:rPr>
          <w:rFonts w:ascii="Book Antiqua" w:hAnsi="Book Antiqua" w:eastAsia="Book Antiqua" w:cs="Book Antiqua"/>
          <w:color w:val="000000"/>
          <w:highlight w:val="none"/>
        </w:rPr>
        <w:t>. It also affects up to 60% of LT recipients</w:t>
      </w:r>
      <w:r>
        <w:rPr>
          <w:rFonts w:ascii="Book Antiqua" w:hAnsi="Book Antiqua" w:eastAsia="Book Antiqua" w:cs="Book Antiqua"/>
          <w:color w:val="000000"/>
          <w:highlight w:val="none"/>
          <w:vertAlign w:val="superscript"/>
        </w:rPr>
        <w:t>[26]</w:t>
      </w:r>
      <w:r>
        <w:rPr>
          <w:rFonts w:ascii="Book Antiqua" w:hAnsi="Book Antiqua" w:eastAsia="Book Antiqua" w:cs="Book Antiqua"/>
          <w:color w:val="000000"/>
          <w:highlight w:val="none"/>
        </w:rPr>
        <w:t>. It is a complex symptom that may be influenced by physical and mental states, including poor sleep quality, anxiety, and depression</w:t>
      </w:r>
      <w:r>
        <w:rPr>
          <w:rFonts w:ascii="Book Antiqua" w:hAnsi="Book Antiqua" w:eastAsia="Book Antiqua" w:cs="Book Antiqua"/>
          <w:color w:val="000000"/>
          <w:highlight w:val="none"/>
          <w:vertAlign w:val="superscript"/>
        </w:rPr>
        <w:t>[27]</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The LT candidates often have impaired HRQoL with a high prevalence of anxiety and depressive symptoms</w:t>
      </w:r>
      <w:r>
        <w:rPr>
          <w:rFonts w:ascii="Book Antiqua" w:hAnsi="Book Antiqua" w:eastAsia="Book Antiqua" w:cs="Book Antiqua"/>
          <w:color w:val="000000"/>
          <w:highlight w:val="none"/>
          <w:vertAlign w:val="superscript"/>
        </w:rPr>
        <w:t>[28,29]</w:t>
      </w:r>
      <w:r>
        <w:rPr>
          <w:rFonts w:ascii="Book Antiqua" w:hAnsi="Book Antiqua" w:eastAsia="Book Antiqua" w:cs="Book Antiqua"/>
          <w:color w:val="000000"/>
          <w:highlight w:val="none"/>
        </w:rPr>
        <w:t>. Moreover, LT was considered as post-traumatic stress disorder and was also found to be associated with anxiety and depression, which may further impair the HRQoL of LT recipients</w:t>
      </w:r>
      <w:r>
        <w:rPr>
          <w:rFonts w:ascii="Book Antiqua" w:hAnsi="Book Antiqua" w:eastAsia="Book Antiqua" w:cs="Book Antiqua"/>
          <w:color w:val="000000"/>
          <w:highlight w:val="none"/>
          <w:vertAlign w:val="superscript"/>
        </w:rPr>
        <w:t>[30-33]</w:t>
      </w:r>
      <w:r>
        <w:rPr>
          <w:rFonts w:ascii="Book Antiqua" w:hAnsi="Book Antiqua" w:eastAsia="Book Antiqua" w:cs="Book Antiqua"/>
          <w:color w:val="000000"/>
          <w:highlight w:val="none"/>
        </w:rPr>
        <w:t xml:space="preserve">.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In the light of the above, HRQoL should be considered in terms of the outcome after LT</w:t>
      </w:r>
      <w:r>
        <w:rPr>
          <w:rFonts w:ascii="Book Antiqua" w:hAnsi="Book Antiqua" w:eastAsia="Book Antiqua" w:cs="Book Antiqua"/>
          <w:color w:val="000000"/>
          <w:highlight w:val="none"/>
          <w:vertAlign w:val="superscript"/>
        </w:rPr>
        <w:t>[34,35]</w:t>
      </w:r>
      <w:r>
        <w:rPr>
          <w:rFonts w:ascii="Book Antiqua" w:hAnsi="Book Antiqua" w:eastAsia="Book Antiqua" w:cs="Book Antiqua"/>
          <w:color w:val="000000"/>
          <w:highlight w:val="none"/>
        </w:rPr>
        <w:t>. Hence, we aimed to assess the impact of biliary complications (BCs) on the HRQoL of live-donor LT recipients (LDLT-Rs).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MATERIALS AND METHODS</w:t>
      </w: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Study design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We retrospectively analysed all LDLT-Rs at Ain Shams Centre for Organ Transplantation, Ain Shams Specialised Hospital, Cairo, Egypt, between January 2011 and December 2016. During this period, 215 adult patients underwent right-lobe LDLT at our centre. We included LDLT-Rs who developed BCs post-LT. We excluded LDLT-Rs with any of the following situations: cholestatic liver diseases (primary biliary cirrhosis or primary sclerosing cholangitis), vascular complications, acute or chronic rejection, recurrent hepatitis C virus (HCV) infection, graft failure, failure to follow up for at least one year post-LT, or patients who refused to participate in the research. As a result, 25 LDLT-Rs with BCs were included in the final analysis. We enrolled 25 LDLT-Rs who did not develop any post-LT complications as a control group. LT recipients were assessed at least 12 months post-LT, with median follow up duration of 5.5 years (range: 12 mo - 8 years).</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This study was performed per the ethical principles of the declaration of Helsinki and was approved by the ethical committee of the Faculty of Medicine, Ain Shams University (No: FMASU MD 187/2016), which waived the requirement of informed consent due to the retrospective nature of the research</w:t>
      </w:r>
      <w:r>
        <w:rPr>
          <w:rFonts w:ascii="Book Antiqua" w:hAnsi="Book Antiqua" w:eastAsia="Book Antiqua" w:cs="Book Antiqua"/>
          <w:color w:val="000000"/>
          <w:highlight w:val="none"/>
          <w:shd w:val="clear" w:color="auto" w:fill="FCFCFC"/>
        </w:rPr>
        <w:t>.</w:t>
      </w:r>
    </w:p>
    <w:p>
      <w:pPr>
        <w:spacing w:line="360" w:lineRule="auto"/>
        <w:jc w:val="both"/>
        <w:rPr>
          <w:rFonts w:ascii="Book Antiqua" w:hAnsi="Book Antiqua"/>
          <w:highlight w:val="none"/>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 xml:space="preserve">Quality-of-life assessment </w:t>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Eligible LDLT-Rs were invited to fulfil the SF-12v2 questionnaire during follow-up visits after obtaining verbal consent. We used anonymous questionnaires to ensure strict confidentiality. The SF-12v2 includes 12 questions: one question on general health perceptions, two questions concerning physical functioning, two questions on role limitations because of physical health problems, one question on bodily pain, one question on vitality, two questions on role limitations, one question on social functioning, and two questions on general mental health.</w:t>
      </w:r>
    </w:p>
    <w:p>
      <w:pPr>
        <w:spacing w:line="360" w:lineRule="auto"/>
        <w:jc w:val="both"/>
        <w:rPr>
          <w:rFonts w:ascii="Book Antiqua" w:hAnsi="Book Antiqua"/>
          <w:highlight w:val="none"/>
          <w:lang w:eastAsia="zh-CN"/>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 xml:space="preserve">Statistical </w:t>
      </w:r>
      <w:r>
        <w:rPr>
          <w:rFonts w:ascii="Book Antiqua" w:hAnsi="Book Antiqua" w:cs="Book Antiqua"/>
          <w:b/>
          <w:bCs/>
          <w:i/>
          <w:color w:val="000000"/>
          <w:highlight w:val="none"/>
          <w:lang w:eastAsia="zh-CN"/>
        </w:rPr>
        <w:t>analysis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The data were analysed using IBM SPSS Statistics (v. 23; IBM Corp., Armonk, New York). Nonparametric numerical variables are presented as the median and interquartile range. Nominal variables are presented as the number and percentage. Ordinal data were analysed using the chi-squared test for trends. Two-sided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-values &lt; 0.05 were considered statistically significant.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RESULTS</w:t>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 xml:space="preserve">This study included 25 adult right-lobe LDLT-Rs who experienced BCs. At the time of LT, the mean age of the recipients was 52 ± 7 years, and 19 (76%) recipients were male. Cirrhosis due to HCV was the most common indication for LT in 21 patients (84%; Tables 1 and 2). </w:t>
      </w:r>
    </w:p>
    <w:p>
      <w:pPr>
        <w:spacing w:line="360" w:lineRule="auto"/>
        <w:jc w:val="both"/>
        <w:rPr>
          <w:rFonts w:ascii="Book Antiqua" w:hAnsi="Book Antiqua"/>
          <w:highlight w:val="none"/>
          <w:lang w:eastAsia="zh-CN"/>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Development and management of biliary complications</w:t>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Among the 25 LDLT-Rs included in this study, minor biliary leakage occurred in 15 recipients (83.3%) and stopped spontaneously without further management. In only three (16.6%) recipients, pigtail insertion and further interventional management were needed. Moreover, 25 recipients developed a biliary infection, mainly occurring early (23; 92%) and in one to two episodes in 16 (64%) recipients (Table 1). Further, 20 (80%) recipients developed biliary stricture, most of which presented in one to two episodes (13; 65%). The development of BCs caused a prolonged hospital stay (median = 46 days; range: 15 - 67 days), with nine (36%) patients needing ≥ three episodes of admission. Concerning the management of BCs, endoscopic retrograde cholangiopancreatography (ERCP) with stenting ± dilatation was done for 20 (80%) recipients, with seven (28%) recipients needing ≥ three ERCP sessions. Percutaneous transhepatic cholangiography was needed for only three (12%) recipients, with one recipient requiring another session. These methods only failed in one recipient who needed surgical reconstruction of the biliary stricture (Table 1).</w:t>
      </w:r>
    </w:p>
    <w:p>
      <w:pPr>
        <w:spacing w:line="360" w:lineRule="auto"/>
        <w:jc w:val="both"/>
        <w:rPr>
          <w:rFonts w:ascii="Book Antiqua" w:hAnsi="Book Antiqua"/>
          <w:highlight w:val="none"/>
          <w:lang w:eastAsia="zh-CN"/>
        </w:rPr>
      </w:pPr>
    </w:p>
    <w:p>
      <w:pPr>
        <w:spacing w:line="360" w:lineRule="auto"/>
        <w:jc w:val="both"/>
        <w:rPr>
          <w:rFonts w:ascii="Book Antiqua" w:hAnsi="Book Antiqua"/>
          <w:i/>
          <w:highlight w:val="none"/>
        </w:rPr>
      </w:pPr>
      <w:r>
        <w:rPr>
          <w:rFonts w:ascii="Book Antiqua" w:hAnsi="Book Antiqua" w:eastAsia="Book Antiqua" w:cs="Book Antiqua"/>
          <w:b/>
          <w:bCs/>
          <w:i/>
          <w:color w:val="000000"/>
          <w:highlight w:val="none"/>
        </w:rPr>
        <w:t>Health-related quality of life</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scores of HRQoL of LDLT-Rs with BCs were significantly higher than the norm-based scores in the domains of physical functioning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0.003), role-physical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bodily pain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0.003), general health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0.004), social functioning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0.005), role-emotional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and mental health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In contrast, no significant difference was found between the two groups regarding vitality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1.000; Table 3 and Figure 1). The LDLT-Rs with BCs had significantly lower scores than LDLT-Rs without BCs in all HRQoL domains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and in the mental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and physical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0.0002) component summary scores (Tables 4</w:t>
      </w:r>
      <w:r>
        <w:rPr>
          <w:rFonts w:hint="eastAsia" w:ascii="Book Antiqua" w:hAnsi="Book Antiqua" w:cs="Book Antiqua"/>
          <w:color w:val="000000"/>
          <w:highlight w:val="none"/>
          <w:lang w:eastAsia="zh-CN"/>
        </w:rPr>
        <w:t xml:space="preserve"> and </w:t>
      </w:r>
      <w:r>
        <w:rPr>
          <w:rFonts w:ascii="Book Antiqua" w:hAnsi="Book Antiqua" w:eastAsia="Book Antiqua" w:cs="Book Antiqua"/>
          <w:color w:val="000000"/>
          <w:highlight w:val="none"/>
        </w:rPr>
        <w:t>5</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Figures 1</w:t>
      </w:r>
      <w:r>
        <w:rPr>
          <w:rFonts w:hint="eastAsia" w:ascii="Book Antiqua" w:hAnsi="Book Antiqua" w:cs="Book Antiqua"/>
          <w:color w:val="000000"/>
          <w:highlight w:val="none"/>
          <w:lang w:eastAsia="zh-CN"/>
        </w:rPr>
        <w:t xml:space="preserve"> and </w:t>
      </w:r>
      <w:r>
        <w:rPr>
          <w:rFonts w:ascii="Book Antiqua" w:hAnsi="Book Antiqua" w:eastAsia="Book Antiqua" w:cs="Book Antiqua"/>
          <w:color w:val="000000"/>
          <w:highlight w:val="none"/>
        </w:rPr>
        <w:t>2).</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DISCUSSION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Despite the considerable advances in LT surgical techniques and perioperative care, post-LT BCs remain a significant source of morbidity, mortality, and graft failure</w:t>
      </w:r>
      <w:r>
        <w:rPr>
          <w:rFonts w:ascii="Book Antiqua" w:hAnsi="Book Antiqua" w:eastAsia="Book Antiqua" w:cs="Book Antiqua"/>
          <w:color w:val="000000"/>
          <w:highlight w:val="none"/>
          <w:vertAlign w:val="superscript"/>
        </w:rPr>
        <w:t>[36]</w:t>
      </w:r>
      <w:r>
        <w:rPr>
          <w:rFonts w:ascii="Book Antiqua" w:hAnsi="Book Antiqua" w:eastAsia="Book Antiqua" w:cs="Book Antiqua"/>
          <w:color w:val="000000"/>
          <w:highlight w:val="none"/>
        </w:rPr>
        <w:t>. To our knowledge, no previous study has specifically assessed the impact of BCs on the HRQoL of LDLT-Rs. In our study, LDLT-Rs with BCs had significantly higher HRQoL domain scores except for the vitality domain than norm-based scores; however, those patients gained a significantly lower range of improvement in HRQoL domains with lower MCS and PCS scores than those without BCs. This result can be attributed to more prolonged and frequent hospital admission and expectation reduction with anxiety, stress, and depression</w:t>
      </w:r>
      <w:r>
        <w:rPr>
          <w:rFonts w:ascii="Book Antiqua" w:hAnsi="Book Antiqua" w:eastAsia="Book Antiqua" w:cs="Book Antiqua"/>
          <w:color w:val="000000"/>
          <w:highlight w:val="none"/>
          <w:vertAlign w:val="superscript"/>
        </w:rPr>
        <w:t>[37]</w:t>
      </w:r>
      <w:r>
        <w:rPr>
          <w:rFonts w:ascii="Book Antiqua" w:hAnsi="Book Antiqua" w:eastAsia="Book Antiqua" w:cs="Book Antiqua"/>
          <w:color w:val="000000"/>
          <w:highlight w:val="none"/>
        </w:rPr>
        <w:t>. In agreement with the current results, the published literature has observed the positive effects of LT on the recipients’ HRQoL</w:t>
      </w:r>
      <w:r>
        <w:rPr>
          <w:rFonts w:ascii="Book Antiqua" w:hAnsi="Book Antiqua" w:eastAsia="Book Antiqua" w:cs="Book Antiqua"/>
          <w:color w:val="000000"/>
          <w:highlight w:val="none"/>
          <w:vertAlign w:val="superscript"/>
        </w:rPr>
        <w:t>[12,37-40]</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Similar to the present study</w:t>
      </w:r>
      <w:r>
        <w:rPr>
          <w:rFonts w:ascii="Book Antiqua" w:hAnsi="Book Antiqua" w:eastAsia="Book Antiqua" w:cs="Book Antiqua"/>
          <w:color w:val="000000"/>
          <w:highlight w:val="none"/>
          <w:vertAlign w:val="superscript"/>
        </w:rPr>
        <w:t>[41]</w:t>
      </w:r>
      <w:r>
        <w:rPr>
          <w:rFonts w:ascii="Book Antiqua" w:hAnsi="Book Antiqua" w:eastAsia="Book Antiqua" w:cs="Book Antiqua"/>
          <w:color w:val="000000"/>
          <w:highlight w:val="none"/>
        </w:rPr>
        <w:t>, other authors have assessed the LT recipients’ HRQoL using the WHOQOL</w:t>
      </w:r>
      <w:r>
        <w:rPr>
          <w:rFonts w:ascii="Book Antiqua" w:hAnsi="Book Antiqua" w:eastAsia="Book Antiqua" w:cs="Book Antiqua"/>
          <w:color w:val="000000"/>
          <w:highlight w:val="none"/>
        </w:rPr>
        <w:noBreakHyphen/>
      </w:r>
      <w:r>
        <w:rPr>
          <w:rFonts w:ascii="Book Antiqua" w:hAnsi="Book Antiqua" w:eastAsia="Book Antiqua" w:cs="Book Antiqua"/>
          <w:color w:val="000000"/>
          <w:highlight w:val="none"/>
        </w:rPr>
        <w:t>BREF questionnaire</w:t>
      </w:r>
      <w:r>
        <w:rPr>
          <w:rFonts w:ascii="Book Antiqua" w:hAnsi="Book Antiqua" w:eastAsia="Book Antiqua" w:cs="Book Antiqua"/>
          <w:color w:val="000000"/>
          <w:highlight w:val="none"/>
          <w:vertAlign w:val="superscript"/>
        </w:rPr>
        <w:t>[42]</w:t>
      </w:r>
      <w:r>
        <w:rPr>
          <w:rFonts w:ascii="Book Antiqua" w:hAnsi="Book Antiqua" w:eastAsia="Book Antiqua" w:cs="Book Antiqua"/>
          <w:color w:val="000000"/>
          <w:highlight w:val="none"/>
        </w:rPr>
        <w:t xml:space="preserve"> and Transplant Effects Questionnaire</w:t>
      </w:r>
      <w:r>
        <w:rPr>
          <w:rFonts w:ascii="Book Antiqua" w:hAnsi="Book Antiqua" w:eastAsia="Book Antiqua" w:cs="Book Antiqua"/>
          <w:color w:val="000000"/>
          <w:highlight w:val="none"/>
          <w:vertAlign w:val="superscript"/>
        </w:rPr>
        <w:t>[43]</w:t>
      </w:r>
      <w:r>
        <w:rPr>
          <w:rFonts w:ascii="Book Antiqua" w:hAnsi="Book Antiqua" w:eastAsia="Book Antiqua" w:cs="Book Antiqua"/>
          <w:color w:val="000000"/>
          <w:highlight w:val="none"/>
        </w:rPr>
        <w:t xml:space="preserve"> and concluded that LT recipients, especially those who received LDLT, reported the highest level of HRQoL in all four dimensions of HRQoL in comparison to those with other organ transplantation.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In partial agreement with the current study, a review of 32 studies and 5402 patients found that the overall HRQoL scores of LT recipients remain improved and equivalent to the general population in the long term. However, physical functioning continues to be inferior to the general population despite a noticeable improvement from preoperative physical functioning</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Similarly, a review article of 31 publications reported improved overall HRQoL and physical functioning in deceased donor LT (DDLT) adult recipients during the first 2 years, which remains stable in the long term but does not reach the level of the general population</w:t>
      </w:r>
      <w:r>
        <w:rPr>
          <w:rFonts w:ascii="Book Antiqua" w:hAnsi="Book Antiqua" w:eastAsia="Book Antiqua" w:cs="Book Antiqua"/>
          <w:color w:val="000000"/>
          <w:highlight w:val="none"/>
          <w:vertAlign w:val="superscript"/>
        </w:rPr>
        <w:t>[35]</w:t>
      </w:r>
      <w:r>
        <w:rPr>
          <w:rFonts w:ascii="Book Antiqua" w:hAnsi="Book Antiqua" w:eastAsia="Book Antiqua" w:cs="Book Antiqua"/>
          <w:color w:val="000000"/>
          <w:highlight w:val="none"/>
        </w:rPr>
        <w:t xml:space="preserve">. Additionally, Sullivan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[44]</w:t>
      </w:r>
      <w:r>
        <w:rPr>
          <w:rFonts w:ascii="Book Antiqua" w:hAnsi="Book Antiqua" w:eastAsia="Book Antiqua" w:cs="Book Antiqua"/>
          <w:color w:val="000000"/>
          <w:highlight w:val="none"/>
        </w:rPr>
        <w:t xml:space="preserve"> assessed the HRQoL two decades after DDLT using the SF-12 survey. In adult survivors, the MCS score (54.6) was equivalent to that of the general population; however, the PCS score (39.3) remained below average. This outcome can be explained by the presence of comorbidities, primary liver disease severity, postoperative morbidity, and graft type</w:t>
      </w:r>
      <w:r>
        <w:rPr>
          <w:rFonts w:ascii="Book Antiqua" w:hAnsi="Book Antiqua" w:eastAsia="Book Antiqua" w:cs="Book Antiqua"/>
          <w:color w:val="000000"/>
          <w:highlight w:val="none"/>
          <w:vertAlign w:val="superscript"/>
        </w:rPr>
        <w:t>[20,33]</w:t>
      </w:r>
      <w:r>
        <w:rPr>
          <w:rFonts w:ascii="Book Antiqua" w:hAnsi="Book Antiqua" w:eastAsia="Book Antiqua" w:cs="Book Antiqua"/>
          <w:color w:val="000000"/>
          <w:highlight w:val="none"/>
        </w:rPr>
        <w:t xml:space="preserve">. Additionally, Dunn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[45]</w:t>
      </w:r>
      <w:r>
        <w:rPr>
          <w:rFonts w:ascii="Book Antiqua" w:hAnsi="Book Antiqua" w:eastAsia="Book Antiqua" w:cs="Book Antiqua"/>
          <w:color w:val="000000"/>
          <w:highlight w:val="none"/>
        </w:rPr>
        <w:t xml:space="preserve"> reported that group exercise activities were correlated with improved physical function, mental health, and HRQoL, independent of comorbidities, for up to 5 years after LT. Therefore, physical activity should be encouraged after LT</w:t>
      </w:r>
      <w:r>
        <w:rPr>
          <w:rFonts w:ascii="Book Antiqua" w:hAnsi="Book Antiqua" w:eastAsia="Book Antiqua" w:cs="Book Antiqua"/>
          <w:color w:val="000000"/>
          <w:highlight w:val="none"/>
          <w:vertAlign w:val="superscript"/>
        </w:rPr>
        <w:t>[46]</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In a study by Casanovas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[47]</w:t>
      </w:r>
      <w:r>
        <w:rPr>
          <w:rFonts w:ascii="Book Antiqua" w:hAnsi="Book Antiqua" w:eastAsia="Book Antiqua" w:cs="Book Antiqua"/>
          <w:color w:val="000000"/>
          <w:highlight w:val="none"/>
        </w:rPr>
        <w:t>, the SF-36 scores of 156 LT candidates were assessed pre- and post-LT. They observed significantly lower patient baseline scores in all HRQoL domains than general population scores, especially in physical health. As early as 3 months till 1-year post-LT, they detected improvement in all SF-36 domains except vitality and social functioning, revealing no significant improvement. Moreover, sleeping problems were observed at the baseline and persisted post-LT. The poor sleep quality frequently noted in cirrhotic patients is known to cause fatigue and impair cognitive and physical functions</w:t>
      </w:r>
      <w:r>
        <w:rPr>
          <w:rFonts w:ascii="Book Antiqua" w:hAnsi="Book Antiqua" w:eastAsia="Book Antiqua" w:cs="Book Antiqua"/>
          <w:color w:val="000000"/>
          <w:highlight w:val="none"/>
          <w:vertAlign w:val="superscript"/>
        </w:rPr>
        <w:t>[48]</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In contrast to our results, Domingos </w:t>
      </w:r>
      <w:r>
        <w:rPr>
          <w:rFonts w:ascii="Book Antiqua" w:hAnsi="Book Antiqua" w:eastAsia="Book Antiqua" w:cs="Book Antiqua"/>
          <w:i/>
          <w:iCs/>
          <w:color w:val="000000"/>
          <w:highlight w:val="none"/>
        </w:rPr>
        <w:t>et</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al</w:t>
      </w:r>
      <w:r>
        <w:rPr>
          <w:rFonts w:ascii="Book Antiqua" w:hAnsi="Book Antiqua" w:eastAsia="Book Antiqua" w:cs="Book Antiqua"/>
          <w:color w:val="000000"/>
          <w:highlight w:val="none"/>
          <w:vertAlign w:val="superscript"/>
        </w:rPr>
        <w:t>[37]</w:t>
      </w:r>
      <w:r>
        <w:rPr>
          <w:rFonts w:ascii="Book Antiqua" w:hAnsi="Book Antiqua" w:eastAsia="Book Antiqua" w:cs="Book Antiqua"/>
          <w:color w:val="000000"/>
          <w:highlight w:val="none"/>
        </w:rPr>
        <w:t xml:space="preserve"> retrospectively assessed the HRQoL of 93 DDLT recipients who survived 10 years post-LT using the SF-36 survey and observed that LT recipients had lower mental health scores than the general population. In all other domains, LT recipients had similar (emotional limitations, pain, and general health status) or superior (physical limitations, social aspects, functional capacity, and vitality) scores than the general population. In addition, Dąbrowska-Bender </w:t>
      </w:r>
      <w:r>
        <w:rPr>
          <w:rFonts w:ascii="Book Antiqua" w:hAnsi="Book Antiqua" w:eastAsia="Book Antiqua" w:cs="Book Antiqua"/>
          <w:i/>
          <w:iCs/>
          <w:color w:val="000000"/>
          <w:highlight w:val="none"/>
        </w:rPr>
        <w:t>et</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al</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 xml:space="preserve"> assessed the SF-36 health survey in 121 DDLT recipients and observed no change in mental health score, whereas significant physical impairment was reported by 18.18% of the recipients. </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 xml:space="preserve">In a study by Annema </w:t>
      </w:r>
      <w:r>
        <w:rPr>
          <w:rFonts w:ascii="Book Antiqua" w:hAnsi="Book Antiqua" w:eastAsia="Book Antiqua" w:cs="Book Antiqua"/>
          <w:i/>
          <w:iCs/>
          <w:color w:val="000000"/>
          <w:highlight w:val="none"/>
        </w:rPr>
        <w:t>et</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al</w:t>
      </w:r>
      <w:r>
        <w:rPr>
          <w:rFonts w:ascii="Book Antiqua" w:hAnsi="Book Antiqua" w:eastAsia="Book Antiqua" w:cs="Book Antiqua"/>
          <w:color w:val="000000"/>
          <w:highlight w:val="none"/>
          <w:vertAlign w:val="superscript"/>
        </w:rPr>
        <w:t>[30]</w:t>
      </w:r>
      <w:r>
        <w:rPr>
          <w:rFonts w:ascii="Book Antiqua" w:hAnsi="Book Antiqua" w:eastAsia="Book Antiqua" w:cs="Book Antiqua"/>
          <w:color w:val="000000"/>
          <w:highlight w:val="none"/>
        </w:rPr>
        <w:t>, LT had a beneficial effect on the mental health of LT recipients by ameliorating anxiety and depression symptom severity. However, recipients with persistent symptoms of anxiety and depression experienced a negative effect on HRQoL and therapeutic adherence. They also observed that persistent anxiety and depression were correlated with the development of BCs and the duration of the hospital stay. Similarly, in another report</w:t>
      </w:r>
      <w:r>
        <w:rPr>
          <w:rFonts w:ascii="Book Antiqua" w:hAnsi="Book Antiqua" w:eastAsia="Book Antiqua" w:cs="Book Antiqua"/>
          <w:color w:val="000000"/>
          <w:highlight w:val="none"/>
          <w:vertAlign w:val="superscript"/>
        </w:rPr>
        <w:t>[49]</w:t>
      </w:r>
      <w:r>
        <w:rPr>
          <w:rFonts w:ascii="Book Antiqua" w:hAnsi="Book Antiqua" w:eastAsia="Book Antiqua" w:cs="Book Antiqua"/>
          <w:color w:val="000000"/>
          <w:highlight w:val="none"/>
        </w:rPr>
        <w:t>, the HRQoL of 82 LT recipients was retrospectively assessed, finding 94% reported high mean scores on HRQoL, the McGill Quality of Life Questionnaire,</w:t>
      </w:r>
      <w:r>
        <w:rPr>
          <w:rFonts w:ascii="Book Antiqua" w:hAnsi="Book Antiqua" w:eastAsia="Book Antiqua" w:cs="Book Antiqua"/>
          <w:color w:val="000000"/>
          <w:highlight w:val="none"/>
          <w:vertAlign w:val="superscript"/>
        </w:rPr>
        <w:t xml:space="preserve"> </w:t>
      </w:r>
      <w:r>
        <w:rPr>
          <w:rFonts w:ascii="Book Antiqua" w:hAnsi="Book Antiqua" w:eastAsia="Book Antiqua" w:cs="Book Antiqua"/>
          <w:color w:val="000000"/>
          <w:highlight w:val="none"/>
        </w:rPr>
        <w:t>and adherence to medications.</w:t>
      </w:r>
      <w:r>
        <w:rPr>
          <w:rFonts w:ascii="Book Antiqua" w:hAnsi="Book Antiqua" w:eastAsia="Book Antiqua" w:cs="Book Antiqua"/>
          <w:color w:val="000000"/>
          <w:highlight w:val="none"/>
          <w:shd w:val="clear" w:color="auto" w:fill="FFFFFF"/>
          <w:rtl/>
        </w:rPr>
        <w:t xml:space="preserve"> </w:t>
      </w:r>
      <w:r>
        <w:rPr>
          <w:rFonts w:ascii="Book Antiqua" w:hAnsi="Book Antiqua" w:eastAsia="Book Antiqua" w:cs="Book Antiqua"/>
          <w:color w:val="000000"/>
          <w:highlight w:val="none"/>
        </w:rPr>
        <w:t>Conversely, patients with a low HRQoL reported anxiety, depression, fatigue, slowing pace, and physical limitations, suggesting that LT recipients who fail to adapt to their post-LT state experienced a decreased ability to tolerate physical symptoms and post-LT complications</w:t>
      </w:r>
      <w:r>
        <w:rPr>
          <w:rFonts w:ascii="Book Antiqua" w:hAnsi="Book Antiqua" w:eastAsia="Book Antiqua" w:cs="Book Antiqua"/>
          <w:color w:val="000000"/>
          <w:highlight w:val="none"/>
          <w:vertAlign w:val="superscript"/>
        </w:rPr>
        <w:t>[50]</w:t>
      </w:r>
      <w:r>
        <w:rPr>
          <w:rFonts w:ascii="Book Antiqua" w:hAnsi="Book Antiqua" w:eastAsia="Book Antiqua" w:cs="Book Antiqua"/>
          <w:color w:val="000000"/>
          <w:highlight w:val="none"/>
        </w:rPr>
        <w:t>.</w:t>
      </w:r>
      <w:r>
        <w:rPr>
          <w:rFonts w:ascii="Book Antiqua" w:hAnsi="Book Antiqua" w:eastAsia="Book Antiqua" w:cs="Book Antiqua"/>
          <w:color w:val="000000"/>
          <w:highlight w:val="none"/>
          <w:shd w:val="clear" w:color="auto" w:fill="FFFFFF"/>
        </w:rPr>
        <w:t xml:space="preserve"> </w:t>
      </w:r>
      <w:r>
        <w:rPr>
          <w:rFonts w:ascii="Book Antiqua" w:hAnsi="Book Antiqua" w:eastAsia="Book Antiqua" w:cs="Book Antiqua"/>
          <w:color w:val="000000"/>
          <w:highlight w:val="none"/>
        </w:rPr>
        <w:t>Other causes for lower mental health scores post-LT are the worry regarding medication side effects, hepatic disease recurrence, and other potential complications</w:t>
      </w:r>
      <w:r>
        <w:rPr>
          <w:rFonts w:ascii="Book Antiqua" w:hAnsi="Book Antiqua" w:eastAsia="Book Antiqua" w:cs="Book Antiqua"/>
          <w:color w:val="000000"/>
          <w:highlight w:val="none"/>
          <w:vertAlign w:val="superscript"/>
        </w:rPr>
        <w:t>[51]</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Candidates for LT may have overly optimistic anticipations for post-LT improvement in their HRQoL. Unfulfillment of these expectations may negatively affect their HRQoL, highlighting the need to help patients expect and understand the outcomes of LT. Moreover, LT candidate education positively affects post-LT HRQoL</w:t>
      </w:r>
      <w:r>
        <w:rPr>
          <w:rFonts w:ascii="Book Antiqua" w:hAnsi="Book Antiqua" w:eastAsia="Book Antiqua" w:cs="Book Antiqua"/>
          <w:color w:val="000000"/>
          <w:highlight w:val="none"/>
          <w:vertAlign w:val="superscript"/>
        </w:rPr>
        <w:t>[40]</w:t>
      </w:r>
      <w:r>
        <w:rPr>
          <w:rFonts w:ascii="Book Antiqua" w:hAnsi="Book Antiqua" w:eastAsia="Book Antiqua" w:cs="Book Antiqua"/>
          <w:color w:val="000000"/>
          <w:highlight w:val="none"/>
        </w:rPr>
        <w:t>. Education is associated with better outcomes and higher patient adherence</w:t>
      </w:r>
      <w:r>
        <w:rPr>
          <w:rFonts w:ascii="Book Antiqua" w:hAnsi="Book Antiqua" w:eastAsia="Book Antiqua" w:cs="Book Antiqua"/>
          <w:color w:val="000000"/>
          <w:highlight w:val="none"/>
          <w:vertAlign w:val="superscript"/>
        </w:rPr>
        <w:t>[52]</w:t>
      </w:r>
      <w:r>
        <w:rPr>
          <w:rFonts w:ascii="Book Antiqua" w:hAnsi="Book Antiqua" w:eastAsia="Book Antiqua" w:cs="Book Antiqua"/>
          <w:color w:val="000000"/>
          <w:highlight w:val="none"/>
        </w:rPr>
        <w:t>.</w:t>
      </w:r>
    </w:p>
    <w:p>
      <w:pPr>
        <w:spacing w:line="360" w:lineRule="auto"/>
        <w:ind w:firstLine="240" w:firstLineChars="100"/>
        <w:jc w:val="both"/>
        <w:rPr>
          <w:rFonts w:ascii="Book Antiqua" w:hAnsi="Book Antiqua"/>
          <w:highlight w:val="none"/>
        </w:rPr>
      </w:pPr>
      <w:r>
        <w:rPr>
          <w:rFonts w:ascii="Book Antiqua" w:hAnsi="Book Antiqua" w:eastAsia="Book Antiqua" w:cs="Book Antiqua"/>
          <w:color w:val="000000"/>
          <w:highlight w:val="none"/>
        </w:rPr>
        <w:t>This study is limited by its retrospective nature and small sample size. More research is required to define the predictors of HRQoL and plan multidisciplinary strategies for HRQoL improvement in LT recipients. According to the current literature, HRQoL should be integrated into the clinical care of LT</w:t>
      </w:r>
      <w:r>
        <w:rPr>
          <w:rFonts w:ascii="Book Antiqua" w:hAnsi="Book Antiqua" w:eastAsia="Book Antiqua" w:cs="Book Antiqua"/>
          <w:color w:val="000000"/>
          <w:highlight w:val="none"/>
          <w:vertAlign w:val="superscript"/>
        </w:rPr>
        <w:t>[53]</w:t>
      </w:r>
      <w:r>
        <w:rPr>
          <w:rFonts w:ascii="Book Antiqua" w:hAnsi="Book Antiqua" w:eastAsia="Book Antiqua" w:cs="Book Antiqua"/>
          <w:color w:val="000000"/>
          <w:highlight w:val="none"/>
        </w:rPr>
        <w:t xml:space="preserve">.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We conclude that the development of BCs in LDLT-Rs causes a lower range of improvement in HRQoL.</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ARTICLE HIGHLIGHTS</w:t>
      </w: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background</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Despite the considerable advances in liver transplantation (LT) surgical techniques and perioperative care, post-LT biliary complications (BCs) remain a significant source of morbidity, mortality, and graft failure. Due to the current high survival rates of LT, the focus has shifted to improving the quality of life of LT recipients.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motivation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data are conflicting regarding the health-related quality of life (HRQoL) of LT recipients.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objectives</w:t>
      </w:r>
    </w:p>
    <w:p>
      <w:pPr>
        <w:spacing w:line="360" w:lineRule="auto"/>
        <w:jc w:val="both"/>
        <w:rPr>
          <w:rFonts w:ascii="Book Antiqua" w:hAnsi="Book Antiqua"/>
          <w:highlight w:val="none"/>
        </w:rPr>
      </w:pP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o assess the impact of BCs on the HRQoL of live-donor LT recipients (LDLT-Rs).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methods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We retrospectively analysed data for 25 LDLT-Rs with BCs and described their HRQoL through the Short Form 12 version 2 (SF-12v2) health survey compared to 25 LDLT-Rs</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without post-LT complications.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results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scores of HRQoL of LDLT-Rs with BCs were significantly higher than the norm-based scores in all HRQoL domains except vitality. The LDLT-Rs with BCs had significantly lower scores than LDLT-Rs without BCs in all HRQoL domains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and in the mental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and physical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0.0002) component summary scores.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conclusions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development of BCs in LDLT-Rs causes a lower range of improvement in HRQoL.</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i/>
          <w:color w:val="000000"/>
          <w:highlight w:val="none"/>
        </w:rPr>
        <w:t>Research perspectives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The assessment of HRQoL should be integrated into the clinical care of LT recipients. Identifying the determinants of HRQoL could improve the management plan of these patients through a multidisciplinary approach.</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1 Health-Related Quality of Life and Well-Being | Healthy People 2020. [cited 20 February 2021]. Available online: https://www.healthypeople.gov/2020/about/foundation-health measures/Health-Related-Quality-of-Life-and-Well-Being</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Haraldstad K</w:t>
      </w:r>
      <w:r>
        <w:rPr>
          <w:rFonts w:ascii="Book Antiqua" w:hAnsi="Book Antiqua" w:eastAsia="Book Antiqua" w:cs="Book Antiqua"/>
          <w:color w:val="000000"/>
          <w:highlight w:val="none"/>
        </w:rPr>
        <w:t xml:space="preserve">, Wahl A, Andenæs R, Andersen JR, Andersen MH, Beisland E, Borge CR, Engebretsen E, Eisemann M, Halvorsrud L, Hanssen TA, Haugstvedt A, Haugland T, Johansen VA, Larsen MH, Løvereide L, Løyland B, Kvarme LG, Moons P, Norekvål TM, Ribu L, Rohde GE, Urstad KH, Helseth S; LIVSFORSK network. A systematic review of quality of life research in medicine and health sciences. </w:t>
      </w:r>
      <w:r>
        <w:rPr>
          <w:rFonts w:ascii="Book Antiqua" w:hAnsi="Book Antiqua" w:eastAsia="Book Antiqua" w:cs="Book Antiqua"/>
          <w:i/>
          <w:iCs/>
          <w:color w:val="000000"/>
          <w:highlight w:val="none"/>
        </w:rPr>
        <w:t>Qual Life Res</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28</w:t>
      </w:r>
      <w:r>
        <w:rPr>
          <w:rFonts w:ascii="Book Antiqua" w:hAnsi="Book Antiqua" w:eastAsia="Book Antiqua" w:cs="Book Antiqua"/>
          <w:color w:val="000000"/>
          <w:highlight w:val="none"/>
        </w:rPr>
        <w:t>: 2641-2650 [PMID: 31187410 DOI: 10.1007/s11136-019-02214-9]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Jay CL</w:t>
      </w:r>
      <w:r>
        <w:rPr>
          <w:rFonts w:ascii="Book Antiqua" w:hAnsi="Book Antiqua" w:eastAsia="Book Antiqua" w:cs="Book Antiqua"/>
          <w:color w:val="000000"/>
          <w:highlight w:val="none"/>
        </w:rPr>
        <w:t xml:space="preserve">, Butt Z, Ladner DP, Skaro AI, Abecassis MM. A review of quality of life instruments used in liver transplantation. </w:t>
      </w:r>
      <w:r>
        <w:rPr>
          <w:rFonts w:ascii="Book Antiqua" w:hAnsi="Book Antiqua" w:eastAsia="Book Antiqua" w:cs="Book Antiqua"/>
          <w:i/>
          <w:iCs/>
          <w:color w:val="000000"/>
          <w:highlight w:val="none"/>
        </w:rPr>
        <w:t>J Hepatol</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51</w:t>
      </w:r>
      <w:r>
        <w:rPr>
          <w:rFonts w:ascii="Book Antiqua" w:hAnsi="Book Antiqua" w:eastAsia="Book Antiqua" w:cs="Book Antiqua"/>
          <w:color w:val="000000"/>
          <w:highlight w:val="none"/>
        </w:rPr>
        <w:t>: 949-959 [PMID: 19775771 DOI: 10.1016/j.jhep.2009.07.010]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Yang LS</w:t>
      </w:r>
      <w:r>
        <w:rPr>
          <w:rFonts w:ascii="Book Antiqua" w:hAnsi="Book Antiqua" w:eastAsia="Book Antiqua" w:cs="Book Antiqua"/>
          <w:color w:val="000000"/>
          <w:highlight w:val="none"/>
        </w:rPr>
        <w:t xml:space="preserve">, Shan LL, Saxena A, Morris DL. Liver transplantation: a systematic review of long-term quality of life. </w:t>
      </w:r>
      <w:r>
        <w:rPr>
          <w:rFonts w:ascii="Book Antiqua" w:hAnsi="Book Antiqua" w:eastAsia="Book Antiqua" w:cs="Book Antiqua"/>
          <w:i/>
          <w:iCs/>
          <w:color w:val="000000"/>
          <w:highlight w:val="none"/>
        </w:rPr>
        <w:t>Liver Int</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34</w:t>
      </w:r>
      <w:r>
        <w:rPr>
          <w:rFonts w:ascii="Book Antiqua" w:hAnsi="Book Antiqua" w:eastAsia="Book Antiqua" w:cs="Book Antiqua"/>
          <w:color w:val="000000"/>
          <w:highlight w:val="none"/>
        </w:rPr>
        <w:t>: 1298-1313 [PMID: 24703371 DOI: 10.1111/liv.12553]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Saab S</w:t>
      </w:r>
      <w:r>
        <w:rPr>
          <w:rFonts w:ascii="Book Antiqua" w:hAnsi="Book Antiqua" w:eastAsia="Book Antiqua" w:cs="Book Antiqua"/>
          <w:color w:val="000000"/>
          <w:highlight w:val="none"/>
        </w:rPr>
        <w:t xml:space="preserve">, Ng V, Landaverde C, Lee SJ, Comulada WS, Arevalo J, Durazo F, Han SH, Younossi Z, Busuttil RW. Development of a disease-specific questionnaire to measure health-related quality of life in liver transplant recipients. </w:t>
      </w:r>
      <w:r>
        <w:rPr>
          <w:rFonts w:ascii="Book Antiqua" w:hAnsi="Book Antiqua" w:eastAsia="Book Antiqua" w:cs="Book Antiqua"/>
          <w:i/>
          <w:iCs/>
          <w:color w:val="000000"/>
          <w:highlight w:val="none"/>
        </w:rPr>
        <w:t>Liver Transpl</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567-579 [PMID: 21506245 DOI: 10.1002/lt.22267]</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6</w:t>
      </w:r>
      <w:r>
        <w:rPr>
          <w:rFonts w:hint="eastAsia" w:ascii="Book Antiqua" w:hAnsi="Book Antiqua" w:cs="Book Antiqua"/>
          <w:color w:val="000000"/>
          <w:highlight w:val="none"/>
          <w:lang w:eastAsia="zh-CN"/>
        </w:rPr>
        <w:t xml:space="preserve"> </w:t>
      </w:r>
      <w:r>
        <w:rPr>
          <w:rFonts w:ascii="Book Antiqua" w:hAnsi="Book Antiqua" w:eastAsia="Book Antiqua" w:cs="Book Antiqua"/>
          <w:b/>
          <w:color w:val="000000"/>
          <w:highlight w:val="none"/>
        </w:rPr>
        <w:t>RAND Corporation</w:t>
      </w:r>
      <w:r>
        <w:rPr>
          <w:rFonts w:ascii="Book Antiqua" w:hAnsi="Book Antiqua" w:eastAsia="Book Antiqua" w:cs="Book Antiqua"/>
          <w:color w:val="000000"/>
          <w:highlight w:val="none"/>
        </w:rPr>
        <w:t>. 36-Item Short Form Survey (SF-36) Scoring Instructions. [cited 20 February 2021]. Available from: https://www.rand.org/health-care/surveys_tools/mos/36-item-short-form/scoring.html</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Ware JE Jr</w:t>
      </w:r>
      <w:r>
        <w:rPr>
          <w:rFonts w:ascii="Book Antiqua" w:hAnsi="Book Antiqua" w:eastAsia="Book Antiqua" w:cs="Book Antiqua"/>
          <w:color w:val="000000"/>
          <w:highlight w:val="none"/>
        </w:rPr>
        <w:t xml:space="preserve">, Sherbourne CD. The MOS 36-item short-form health survey (SF-36). I. Conceptual framework and item selection. </w:t>
      </w:r>
      <w:r>
        <w:rPr>
          <w:rFonts w:ascii="Book Antiqua" w:hAnsi="Book Antiqua" w:eastAsia="Book Antiqua" w:cs="Book Antiqua"/>
          <w:i/>
          <w:iCs/>
          <w:color w:val="000000"/>
          <w:highlight w:val="none"/>
        </w:rPr>
        <w:t>Med Care</w:t>
      </w:r>
      <w:r>
        <w:rPr>
          <w:rFonts w:ascii="Book Antiqua" w:hAnsi="Book Antiqua" w:eastAsia="Book Antiqua" w:cs="Book Antiqua"/>
          <w:color w:val="000000"/>
          <w:highlight w:val="none"/>
        </w:rPr>
        <w:t xml:space="preserve"> 1992; </w:t>
      </w:r>
      <w:r>
        <w:rPr>
          <w:rFonts w:ascii="Book Antiqua" w:hAnsi="Book Antiqua" w:eastAsia="Book Antiqua" w:cs="Book Antiqua"/>
          <w:b/>
          <w:bCs/>
          <w:color w:val="000000"/>
          <w:highlight w:val="none"/>
        </w:rPr>
        <w:t>30</w:t>
      </w:r>
      <w:r>
        <w:rPr>
          <w:rFonts w:ascii="Book Antiqua" w:hAnsi="Book Antiqua" w:eastAsia="Book Antiqua" w:cs="Book Antiqua"/>
          <w:color w:val="000000"/>
          <w:highlight w:val="none"/>
        </w:rPr>
        <w:t>: 473-483 [PMID: 1593914]</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Ware J Jr</w:t>
      </w:r>
      <w:r>
        <w:rPr>
          <w:rFonts w:ascii="Book Antiqua" w:hAnsi="Book Antiqua" w:eastAsia="Book Antiqua" w:cs="Book Antiqua"/>
          <w:color w:val="000000"/>
          <w:highlight w:val="none"/>
        </w:rPr>
        <w:t xml:space="preserve">, Kosinski M, Keller SD. A 12-Item Short-Form Health Survey: construction of scales and preliminary tests of reliability and validity. </w:t>
      </w:r>
      <w:r>
        <w:rPr>
          <w:rFonts w:ascii="Book Antiqua" w:hAnsi="Book Antiqua" w:eastAsia="Book Antiqua" w:cs="Book Antiqua"/>
          <w:i/>
          <w:iCs/>
          <w:color w:val="000000"/>
          <w:highlight w:val="none"/>
        </w:rPr>
        <w:t>Med Care</w:t>
      </w:r>
      <w:r>
        <w:rPr>
          <w:rFonts w:ascii="Book Antiqua" w:hAnsi="Book Antiqua" w:eastAsia="Book Antiqua" w:cs="Book Antiqua"/>
          <w:color w:val="000000"/>
          <w:highlight w:val="none"/>
        </w:rPr>
        <w:t xml:space="preserve"> 1996; </w:t>
      </w:r>
      <w:r>
        <w:rPr>
          <w:rFonts w:ascii="Book Antiqua" w:hAnsi="Book Antiqua" w:eastAsia="Book Antiqua" w:cs="Book Antiqua"/>
          <w:b/>
          <w:bCs/>
          <w:color w:val="000000"/>
          <w:highlight w:val="none"/>
        </w:rPr>
        <w:t>34</w:t>
      </w:r>
      <w:r>
        <w:rPr>
          <w:rFonts w:ascii="Book Antiqua" w:hAnsi="Book Antiqua" w:eastAsia="Book Antiqua" w:cs="Book Antiqua"/>
          <w:color w:val="000000"/>
          <w:highlight w:val="none"/>
        </w:rPr>
        <w:t>: 220-233 [PMID: 8628042 DOI: 10.1097/00005650-199603000-00003]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9</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SF-12 and SF-12v2 Health Survey. [cited 20 February 2021]. Available from: https://www.qualitymetric.com/health-surveys/the-sf-12v2-health-survey/</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Ware JE,</w:t>
      </w:r>
      <w:r>
        <w:rPr>
          <w:rFonts w:ascii="Book Antiqua" w:hAnsi="Book Antiqua" w:eastAsia="Book Antiqua" w:cs="Book Antiqua"/>
          <w:color w:val="000000"/>
          <w:highlight w:val="none"/>
        </w:rPr>
        <w:t xml:space="preserve"> Kosinski M, Turner-Bowker DM, Gandek B. How to Score Version 2 of the SF-12 Health Survey (with a supplement Documenting Version 1)</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Lincoln, RI: Quality Metric Incorporated</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2002</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[DOI:</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10.1023/a:1026179517081]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Maruish ME</w:t>
      </w:r>
      <w:r>
        <w:rPr>
          <w:rFonts w:ascii="Book Antiqua" w:hAnsi="Book Antiqua" w:eastAsia="Book Antiqua" w:cs="Book Antiqua"/>
          <w:bCs/>
          <w:color w:val="000000"/>
          <w:highlight w:val="none"/>
        </w:rPr>
        <w:t>. User’s Manual for the SF-12v2 Health Survey. 3</w:t>
      </w:r>
      <w:r>
        <w:rPr>
          <w:rFonts w:ascii="Book Antiqua" w:hAnsi="Book Antiqua" w:eastAsia="Book Antiqua" w:cs="Book Antiqua"/>
          <w:bCs/>
          <w:color w:val="000000"/>
          <w:highlight w:val="none"/>
          <w:vertAlign w:val="superscript"/>
        </w:rPr>
        <w:t>rd</w:t>
      </w:r>
      <w:r>
        <w:rPr>
          <w:rFonts w:ascii="Book Antiqua" w:hAnsi="Book Antiqua" w:eastAsia="Book Antiqua" w:cs="Book Antiqua"/>
          <w:bCs/>
          <w:color w:val="000000"/>
          <w:highlight w:val="none"/>
        </w:rPr>
        <w:t xml:space="preserve"> ed. Lincoln,</w:t>
      </w:r>
      <w:r>
        <w:rPr>
          <w:rFonts w:ascii="Book Antiqua" w:hAnsi="Book Antiqua" w:eastAsia="Book Antiqua" w:cs="Book Antiqua"/>
          <w:color w:val="000000"/>
          <w:highlight w:val="none"/>
        </w:rPr>
        <w:t xml:space="preserve"> RI: Quality Metric Incorporated</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2012</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[DOI:</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10.1007/978-94-007-0753-5_103826]</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McLean KA</w:t>
      </w:r>
      <w:r>
        <w:rPr>
          <w:rFonts w:ascii="Book Antiqua" w:hAnsi="Book Antiqua" w:eastAsia="Book Antiqua" w:cs="Book Antiqua"/>
          <w:color w:val="000000"/>
          <w:highlight w:val="none"/>
        </w:rPr>
        <w:t xml:space="preserve">, Drake TM, Sgrò A, Camilleri-Brennan J, Knight SR, Ots R, Adair A, Wigmore SJ, Harrison EM. The effect of liver transplantation on patient-centred outcomes: a propensity-score matched analysis. </w:t>
      </w:r>
      <w:r>
        <w:rPr>
          <w:rFonts w:ascii="Book Antiqua" w:hAnsi="Book Antiqua" w:eastAsia="Book Antiqua" w:cs="Book Antiqua"/>
          <w:i/>
          <w:iCs/>
          <w:color w:val="000000"/>
          <w:highlight w:val="none"/>
        </w:rPr>
        <w:t>Transpl Int</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32</w:t>
      </w:r>
      <w:r>
        <w:rPr>
          <w:rFonts w:ascii="Book Antiqua" w:hAnsi="Book Antiqua" w:eastAsia="Book Antiqua" w:cs="Book Antiqua"/>
          <w:color w:val="000000"/>
          <w:highlight w:val="none"/>
        </w:rPr>
        <w:t>: 808-819 [PMID: 30793373 DOI: 10.1111/tri.13416]</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Burra P</w:t>
      </w:r>
      <w:r>
        <w:rPr>
          <w:rFonts w:ascii="Book Antiqua" w:hAnsi="Book Antiqua" w:eastAsia="Book Antiqua" w:cs="Book Antiqua"/>
          <w:color w:val="000000"/>
          <w:highlight w:val="none"/>
        </w:rPr>
        <w:t xml:space="preserve">, Ferrarese A, Feltrin G. Quality of life and adherence in liver transplant recipients. </w:t>
      </w:r>
      <w:r>
        <w:rPr>
          <w:rFonts w:ascii="Book Antiqua" w:hAnsi="Book Antiqua" w:eastAsia="Book Antiqua" w:cs="Book Antiqua"/>
          <w:i/>
          <w:iCs/>
          <w:color w:val="000000"/>
          <w:highlight w:val="none"/>
        </w:rPr>
        <w:t>Minerva Gastroenterol Dietol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64</w:t>
      </w:r>
      <w:r>
        <w:rPr>
          <w:rFonts w:ascii="Book Antiqua" w:hAnsi="Book Antiqua" w:eastAsia="Book Antiqua" w:cs="Book Antiqua"/>
          <w:color w:val="000000"/>
          <w:highlight w:val="none"/>
        </w:rPr>
        <w:t>: 180-186 [PMID: 29160655 DOI: 10.23736/S1121-421X.17.02459-X]</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Burra P</w:t>
      </w:r>
      <w:r>
        <w:rPr>
          <w:rFonts w:ascii="Book Antiqua" w:hAnsi="Book Antiqua" w:eastAsia="Book Antiqua" w:cs="Book Antiqua"/>
          <w:color w:val="000000"/>
          <w:highlight w:val="none"/>
        </w:rPr>
        <w:t xml:space="preserve">, Ferrarese A. Health-related quality of life in liver transplantation: another step forward. </w:t>
      </w:r>
      <w:r>
        <w:rPr>
          <w:rFonts w:ascii="Book Antiqua" w:hAnsi="Book Antiqua" w:eastAsia="Book Antiqua" w:cs="Book Antiqua"/>
          <w:i/>
          <w:iCs/>
          <w:color w:val="000000"/>
          <w:highlight w:val="none"/>
        </w:rPr>
        <w:t>Transpl Int</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32</w:t>
      </w:r>
      <w:r>
        <w:rPr>
          <w:rFonts w:ascii="Book Antiqua" w:hAnsi="Book Antiqua" w:eastAsia="Book Antiqua" w:cs="Book Antiqua"/>
          <w:color w:val="000000"/>
          <w:highlight w:val="none"/>
        </w:rPr>
        <w:t>: 792-793 [PMID: 30924559 DOI: 10.1111/tri.13435]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Dąbrowska-Bender M</w:t>
      </w:r>
      <w:r>
        <w:rPr>
          <w:rFonts w:ascii="Book Antiqua" w:hAnsi="Book Antiqua" w:eastAsia="Book Antiqua" w:cs="Book Antiqua"/>
          <w:color w:val="000000"/>
          <w:highlight w:val="none"/>
        </w:rPr>
        <w:t xml:space="preserve">, Kozaczuk A, Pączek L, Milkiewicz P, Słoniewski R, Staniszewska A. Patient Quality of Life After Liver Transplantation in Terms of Emotional Problems and the Impact of Sociodemographic Factors. </w:t>
      </w:r>
      <w:r>
        <w:rPr>
          <w:rFonts w:ascii="Book Antiqua" w:hAnsi="Book Antiqua" w:eastAsia="Book Antiqua" w:cs="Book Antiqua"/>
          <w:i/>
          <w:iCs/>
          <w:color w:val="000000"/>
          <w:highlight w:val="none"/>
        </w:rPr>
        <w:t>Transplant Proc</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50</w:t>
      </w:r>
      <w:r>
        <w:rPr>
          <w:rFonts w:ascii="Book Antiqua" w:hAnsi="Book Antiqua" w:eastAsia="Book Antiqua" w:cs="Book Antiqua"/>
          <w:color w:val="000000"/>
          <w:highlight w:val="none"/>
        </w:rPr>
        <w:t>: 2031-2038 [PMID: 30177104 DOI: 10.1016/j.transproceed.2018.03.113]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Rodríguez-Perálvarez M</w:t>
      </w:r>
      <w:r>
        <w:rPr>
          <w:rFonts w:ascii="Book Antiqua" w:hAnsi="Book Antiqua" w:eastAsia="Book Antiqua" w:cs="Book Antiqua"/>
          <w:color w:val="000000"/>
          <w:highlight w:val="none"/>
        </w:rPr>
        <w:t xml:space="preserve">, Guerrero-Misas M, Thorburn D, Davidson BR, Tsochatzis E, Gurusamy KS. Maintenance immunosuppression for adults undergoing liver transplantation: a network meta-analysis. </w:t>
      </w:r>
      <w:r>
        <w:rPr>
          <w:rFonts w:ascii="Book Antiqua" w:hAnsi="Book Antiqua" w:eastAsia="Book Antiqua" w:cs="Book Antiqua"/>
          <w:i/>
          <w:iCs/>
          <w:color w:val="000000"/>
          <w:highlight w:val="none"/>
        </w:rPr>
        <w:t>Cochrane Database Syst Rev</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3</w:t>
      </w:r>
      <w:r>
        <w:rPr>
          <w:rFonts w:ascii="Book Antiqua" w:hAnsi="Book Antiqua" w:eastAsia="Book Antiqua" w:cs="Book Antiqua"/>
          <w:color w:val="000000"/>
          <w:highlight w:val="none"/>
        </w:rPr>
        <w:t>: CD011639 [PMID: 28362060 DOI: 10.1002/14651858.CD011639.pub2]</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Amodio P</w:t>
      </w:r>
      <w:r>
        <w:rPr>
          <w:rFonts w:ascii="Book Antiqua" w:hAnsi="Book Antiqua" w:eastAsia="Book Antiqua" w:cs="Book Antiqua"/>
          <w:color w:val="000000"/>
          <w:highlight w:val="none"/>
        </w:rPr>
        <w:t xml:space="preserve">, Salari L, Montagnese S, Schiff S, Neri D, Bianco T, Minazzato L. Hepatitis C virus infection and health-related quality of life. </w:t>
      </w:r>
      <w:r>
        <w:rPr>
          <w:rFonts w:ascii="Book Antiqua" w:hAnsi="Book Antiqua" w:eastAsia="Book Antiqua" w:cs="Book Antiqua"/>
          <w:i/>
          <w:iCs/>
          <w:color w:val="000000"/>
          <w:highlight w:val="none"/>
        </w:rPr>
        <w:t>World J Gastroenterol</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2295-2299 [PMID: 22654420 DOI: 10.3748/wjg.v18.i19.2295]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Bhanji RA</w:t>
      </w:r>
      <w:r>
        <w:rPr>
          <w:rFonts w:ascii="Book Antiqua" w:hAnsi="Book Antiqua" w:eastAsia="Book Antiqua" w:cs="Book Antiqua"/>
          <w:color w:val="000000"/>
          <w:highlight w:val="none"/>
        </w:rPr>
        <w:t xml:space="preserve">, Takahashi N, Moynagh MR, Narayanan P, Angirekula M, Mara KC, Dierkhising RA, Watt KD. The evolution and impact of sarcopenia pre- and post-liver transplantation. </w:t>
      </w:r>
      <w:r>
        <w:rPr>
          <w:rFonts w:ascii="Book Antiqua" w:hAnsi="Book Antiqua" w:eastAsia="Book Antiqua" w:cs="Book Antiqua"/>
          <w:i/>
          <w:iCs/>
          <w:color w:val="000000"/>
          <w:highlight w:val="none"/>
        </w:rPr>
        <w:t>Aliment Pharmacol Ther</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49</w:t>
      </w:r>
      <w:r>
        <w:rPr>
          <w:rFonts w:ascii="Book Antiqua" w:hAnsi="Book Antiqua" w:eastAsia="Book Antiqua" w:cs="Book Antiqua"/>
          <w:color w:val="000000"/>
          <w:highlight w:val="none"/>
        </w:rPr>
        <w:t>: 807-813 [PMID: 30714184 DOI: 10.1111/apt.15161]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Ooi PH</w:t>
      </w:r>
      <w:r>
        <w:rPr>
          <w:rFonts w:ascii="Book Antiqua" w:hAnsi="Book Antiqua" w:eastAsia="Book Antiqua" w:cs="Book Antiqua"/>
          <w:color w:val="000000"/>
          <w:highlight w:val="none"/>
        </w:rPr>
        <w:t xml:space="preserve">, Hager A, Mazurak VC, Dajani K, Bhargava R, Gilmour SM, Mager DR. Sarcopenia in Chronic Liver Disease: Impact on Outcomes. </w:t>
      </w:r>
      <w:r>
        <w:rPr>
          <w:rFonts w:ascii="Book Antiqua" w:hAnsi="Book Antiqua" w:eastAsia="Book Antiqua" w:cs="Book Antiqua"/>
          <w:i/>
          <w:iCs/>
          <w:color w:val="000000"/>
          <w:highlight w:val="none"/>
        </w:rPr>
        <w:t>Liver Transpl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25</w:t>
      </w:r>
      <w:r>
        <w:rPr>
          <w:rFonts w:ascii="Book Antiqua" w:hAnsi="Book Antiqua" w:eastAsia="Book Antiqua" w:cs="Book Antiqua"/>
          <w:color w:val="000000"/>
          <w:highlight w:val="none"/>
        </w:rPr>
        <w:t>: 1422-1438 [PMID: 31242345 DOI: 10.1002/lt.25591]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Tandon P,</w:t>
      </w:r>
      <w:r>
        <w:rPr>
          <w:rFonts w:ascii="Book Antiqua" w:hAnsi="Book Antiqua" w:eastAsia="Book Antiqua" w:cs="Book Antiqua"/>
          <w:color w:val="000000"/>
          <w:highlight w:val="none"/>
        </w:rPr>
        <w:t xml:space="preserve"> Montano-Loza AJ eds. Frailty and Sarcopenia in Cirrhosis. The Basics, the Challenges and the Future. Cham, Switzerland: Springer Nature</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2019: 1-279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Lai JC</w:t>
      </w:r>
      <w:r>
        <w:rPr>
          <w:rFonts w:ascii="Book Antiqua" w:hAnsi="Book Antiqua" w:eastAsia="Book Antiqua" w:cs="Book Antiqua"/>
          <w:color w:val="000000"/>
          <w:highlight w:val="none"/>
        </w:rPr>
        <w:t xml:space="preserve">, Segev DL, McCulloch CE, Covinsky KE, Dodge JL, Feng S. Physical frailty after liver transplantation. </w:t>
      </w:r>
      <w:r>
        <w:rPr>
          <w:rFonts w:ascii="Book Antiqua" w:hAnsi="Book Antiqua" w:eastAsia="Book Antiqua" w:cs="Book Antiqua"/>
          <w:i/>
          <w:iCs/>
          <w:color w:val="000000"/>
          <w:highlight w:val="none"/>
        </w:rPr>
        <w:t>Am J Transplant</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1986-1994 [PMID: 29380529 DOI: 10.1111/ajt.14675]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Dasarathy S</w:t>
      </w:r>
      <w:r>
        <w:rPr>
          <w:rFonts w:ascii="Book Antiqua" w:hAnsi="Book Antiqua" w:eastAsia="Book Antiqua" w:cs="Book Antiqua"/>
          <w:color w:val="000000"/>
          <w:highlight w:val="none"/>
        </w:rPr>
        <w:t xml:space="preserve">, Merli M. Sarcopenia from mechanism to diagnosis and treatment in liver disease. </w:t>
      </w:r>
      <w:r>
        <w:rPr>
          <w:rFonts w:ascii="Book Antiqua" w:hAnsi="Book Antiqua" w:eastAsia="Book Antiqua" w:cs="Book Antiqua"/>
          <w:i/>
          <w:iCs/>
          <w:color w:val="000000"/>
          <w:highlight w:val="none"/>
        </w:rPr>
        <w:t>J Hepatol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65</w:t>
      </w:r>
      <w:r>
        <w:rPr>
          <w:rFonts w:ascii="Book Antiqua" w:hAnsi="Book Antiqua" w:eastAsia="Book Antiqua" w:cs="Book Antiqua"/>
          <w:color w:val="000000"/>
          <w:highlight w:val="none"/>
        </w:rPr>
        <w:t>: 1232-1244 [PMID: 27515775 DOI: 10.1016/j.jhep.2016.07.040]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Davuluri G</w:t>
      </w:r>
      <w:r>
        <w:rPr>
          <w:rFonts w:ascii="Book Antiqua" w:hAnsi="Book Antiqua" w:eastAsia="Book Antiqua" w:cs="Book Antiqua"/>
          <w:color w:val="000000"/>
          <w:highlight w:val="none"/>
        </w:rPr>
        <w:t xml:space="preserve">, Krokowski D, Guan BJ, Kumar A, Thapaliya S, Singh D, Hatzoglou M, Dasarathy S. Metabolic adaptation of skeletal muscle to hyperammonemia drives the beneficial effects of l-leucine in cirrhosis. </w:t>
      </w:r>
      <w:r>
        <w:rPr>
          <w:rFonts w:ascii="Book Antiqua" w:hAnsi="Book Antiqua" w:eastAsia="Book Antiqua" w:cs="Book Antiqua"/>
          <w:i/>
          <w:iCs/>
          <w:color w:val="000000"/>
          <w:highlight w:val="none"/>
        </w:rPr>
        <w:t>J Hepatol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65</w:t>
      </w:r>
      <w:r>
        <w:rPr>
          <w:rFonts w:ascii="Book Antiqua" w:hAnsi="Book Antiqua" w:eastAsia="Book Antiqua" w:cs="Book Antiqua"/>
          <w:color w:val="000000"/>
          <w:highlight w:val="none"/>
        </w:rPr>
        <w:t>: 929-937 [PMID: 27318325 DOI: 10.1016/j.jhep.2016.06.004]</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Barboza KC</w:t>
      </w:r>
      <w:r>
        <w:rPr>
          <w:rFonts w:ascii="Book Antiqua" w:hAnsi="Book Antiqua" w:eastAsia="Book Antiqua" w:cs="Book Antiqua"/>
          <w:color w:val="000000"/>
          <w:highlight w:val="none"/>
        </w:rPr>
        <w:t xml:space="preserve">, Salinas LM, Sahebjam F, Jesudian AB, Weisberg IL, Sigal SH. Impact of depressive symptoms and hepatic encephalopathy on health-related quality of life in cirrhotic hepatitis C patients. </w:t>
      </w:r>
      <w:r>
        <w:rPr>
          <w:rFonts w:ascii="Book Antiqua" w:hAnsi="Book Antiqua" w:eastAsia="Book Antiqua" w:cs="Book Antiqua"/>
          <w:i/>
          <w:iCs/>
          <w:color w:val="000000"/>
          <w:highlight w:val="none"/>
        </w:rPr>
        <w:t>Metab Brain Dis</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31</w:t>
      </w:r>
      <w:r>
        <w:rPr>
          <w:rFonts w:ascii="Book Antiqua" w:hAnsi="Book Antiqua" w:eastAsia="Book Antiqua" w:cs="Book Antiqua"/>
          <w:color w:val="000000"/>
          <w:highlight w:val="none"/>
        </w:rPr>
        <w:t>: 869-880 [PMID: 27032930 DOI: 10.1007/s11011-016-9817-y]</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Jopson L</w:t>
      </w:r>
      <w:r>
        <w:rPr>
          <w:rFonts w:ascii="Book Antiqua" w:hAnsi="Book Antiqua" w:eastAsia="Book Antiqua" w:cs="Book Antiqua"/>
          <w:color w:val="000000"/>
          <w:highlight w:val="none"/>
        </w:rPr>
        <w:t xml:space="preserve">, Dyson JK, Jones DE. Understanding and Treating Fatigue in Primary Biliary Cirrhosis and Primary Sclerosing Cholangitis. </w:t>
      </w:r>
      <w:r>
        <w:rPr>
          <w:rFonts w:ascii="Book Antiqua" w:hAnsi="Book Antiqua" w:eastAsia="Book Antiqua" w:cs="Book Antiqua"/>
          <w:i/>
          <w:iCs/>
          <w:color w:val="000000"/>
          <w:highlight w:val="none"/>
        </w:rPr>
        <w:t>Clin Liver Dis</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131-142 [PMID: 26593295 DOI: 10.1016/j.cld.2015.08.007]</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Elliott C</w:t>
      </w:r>
      <w:r>
        <w:rPr>
          <w:rFonts w:ascii="Book Antiqua" w:hAnsi="Book Antiqua" w:eastAsia="Book Antiqua" w:cs="Book Antiqua"/>
          <w:color w:val="000000"/>
          <w:highlight w:val="none"/>
        </w:rPr>
        <w:t xml:space="preserve">, Frith J, Pairman J, Jones DE, Newton JL. Reduction in functional ability is significant postliver transplantation compared with matched liver disease and community dwelling controls. </w:t>
      </w:r>
      <w:r>
        <w:rPr>
          <w:rFonts w:ascii="Book Antiqua" w:hAnsi="Book Antiqua" w:eastAsia="Book Antiqua" w:cs="Book Antiqua"/>
          <w:i/>
          <w:iCs/>
          <w:color w:val="000000"/>
          <w:highlight w:val="none"/>
        </w:rPr>
        <w:t>Transpl Int</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588-595 [PMID: 21382100 DOI: 10.1111/j.1432-2277.2011.01240.x]</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Kang SH</w:t>
      </w:r>
      <w:r>
        <w:rPr>
          <w:rFonts w:ascii="Book Antiqua" w:hAnsi="Book Antiqua" w:eastAsia="Book Antiqua" w:cs="Book Antiqua"/>
          <w:color w:val="000000"/>
          <w:highlight w:val="none"/>
        </w:rPr>
        <w:t xml:space="preserve">, Choi Y, Han HS, Yoon YS, Cho JY, Kim S, Kim KH, Hyun IG, Shehta A. Fatigue and weakness hinder patient social reintegration after liver transplantation. </w:t>
      </w:r>
      <w:r>
        <w:rPr>
          <w:rFonts w:ascii="Book Antiqua" w:hAnsi="Book Antiqua" w:eastAsia="Book Antiqua" w:cs="Book Antiqua"/>
          <w:i/>
          <w:iCs/>
          <w:color w:val="000000"/>
          <w:highlight w:val="none"/>
        </w:rPr>
        <w:t>Clin Mol Hepatol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402-408 [PMID: 30300990 DOI: 10.3350/cmh.2018.0028]</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Paglione HB</w:t>
      </w:r>
      <w:r>
        <w:rPr>
          <w:rFonts w:ascii="Book Antiqua" w:hAnsi="Book Antiqua" w:eastAsia="Book Antiqua" w:cs="Book Antiqua"/>
          <w:color w:val="000000"/>
          <w:highlight w:val="none"/>
        </w:rPr>
        <w:t xml:space="preserve">, Oliveira PC, Mucci S, Roza BA, Schirmer J. Quality of life, religiosity, and anxiety and depressive symptoms in liver transplantation candidates. </w:t>
      </w:r>
      <w:r>
        <w:rPr>
          <w:rFonts w:ascii="Book Antiqua" w:hAnsi="Book Antiqua" w:eastAsia="Book Antiqua" w:cs="Book Antiqua"/>
          <w:i/>
          <w:iCs/>
          <w:color w:val="000000"/>
          <w:highlight w:val="none"/>
        </w:rPr>
        <w:t>Rev Esc Enferm USP</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53</w:t>
      </w:r>
      <w:r>
        <w:rPr>
          <w:rFonts w:ascii="Book Antiqua" w:hAnsi="Book Antiqua" w:eastAsia="Book Antiqua" w:cs="Book Antiqua"/>
          <w:color w:val="000000"/>
          <w:highlight w:val="none"/>
        </w:rPr>
        <w:t>: e03459 [PMID: 30942299 DOI: 10.1590/S1980-220X2018010203459]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Nusrat S</w:t>
      </w:r>
      <w:r>
        <w:rPr>
          <w:rFonts w:ascii="Book Antiqua" w:hAnsi="Book Antiqua" w:eastAsia="Book Antiqua" w:cs="Book Antiqua"/>
          <w:color w:val="000000"/>
          <w:highlight w:val="none"/>
        </w:rPr>
        <w:t xml:space="preserve">, Khan MS, Fazili J, Madhoun MF. Cirrhosis and its complications: evidence based treatment. </w:t>
      </w:r>
      <w:r>
        <w:rPr>
          <w:rFonts w:ascii="Book Antiqua" w:hAnsi="Book Antiqua" w:eastAsia="Book Antiqua" w:cs="Book Antiqua"/>
          <w:i/>
          <w:iCs/>
          <w:color w:val="000000"/>
          <w:highlight w:val="none"/>
        </w:rPr>
        <w:t>World J Gastroenterol</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5442-5460 [PMID: 24833875 DOI: 10.3748/wjg.v20.i18.5442]</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Annema C</w:t>
      </w:r>
      <w:r>
        <w:rPr>
          <w:rFonts w:ascii="Book Antiqua" w:hAnsi="Book Antiqua" w:eastAsia="Book Antiqua" w:cs="Book Antiqua"/>
          <w:color w:val="000000"/>
          <w:highlight w:val="none"/>
        </w:rPr>
        <w:t xml:space="preserve">, Drent G, Roodbol PF, Stewart RE, Metselaar HJ, van Hoek B, Porte RJ, Ranchor AV. Trajectories of Anxiety and Depression After Liver Transplantation as Related to Outcomes During 2-Year Follow-Up: A Prospective Cohort Study. </w:t>
      </w:r>
      <w:r>
        <w:rPr>
          <w:rFonts w:ascii="Book Antiqua" w:hAnsi="Book Antiqua" w:eastAsia="Book Antiqua" w:cs="Book Antiqua"/>
          <w:i/>
          <w:iCs/>
          <w:color w:val="000000"/>
          <w:highlight w:val="none"/>
        </w:rPr>
        <w:t>Psychosom Med</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80</w:t>
      </w:r>
      <w:r>
        <w:rPr>
          <w:rFonts w:ascii="Book Antiqua" w:hAnsi="Book Antiqua" w:eastAsia="Book Antiqua" w:cs="Book Antiqua"/>
          <w:color w:val="000000"/>
          <w:highlight w:val="none"/>
        </w:rPr>
        <w:t>: 174-183 [PMID: 29112588 DOI: 10.1097/PSY.0000000000000539]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31 </w:t>
      </w:r>
      <w:r>
        <w:rPr>
          <w:rFonts w:ascii="Book Antiqua" w:hAnsi="Book Antiqua" w:eastAsia="Book Antiqua" w:cs="Book Antiqua"/>
          <w:b/>
          <w:bCs/>
          <w:color w:val="000000"/>
          <w:highlight w:val="none"/>
        </w:rPr>
        <w:t>Saracino RM</w:t>
      </w:r>
      <w:r>
        <w:rPr>
          <w:rFonts w:ascii="Book Antiqua" w:hAnsi="Book Antiqua" w:eastAsia="Book Antiqua" w:cs="Book Antiqua"/>
          <w:color w:val="000000"/>
          <w:highlight w:val="none"/>
        </w:rPr>
        <w:t xml:space="preserve">, Jutagir DR, Cunningham A, Foran-Tuller KA, Driscoll MA, Sledge WH, Emre SH, Fehon DC. Psychiatric Comorbidity, Health-Related Quality of Life, and Mental Health Service Utilization Among Patients Awaiting Liver Transplant. </w:t>
      </w:r>
      <w:r>
        <w:rPr>
          <w:rFonts w:ascii="Book Antiqua" w:hAnsi="Book Antiqua" w:eastAsia="Book Antiqua" w:cs="Book Antiqua"/>
          <w:i/>
          <w:iCs/>
          <w:color w:val="000000"/>
          <w:highlight w:val="none"/>
        </w:rPr>
        <w:t>J Pain Symptom Manage</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56</w:t>
      </w:r>
      <w:r>
        <w:rPr>
          <w:rFonts w:ascii="Book Antiqua" w:hAnsi="Book Antiqua" w:eastAsia="Book Antiqua" w:cs="Book Antiqua"/>
          <w:color w:val="000000"/>
          <w:highlight w:val="none"/>
        </w:rPr>
        <w:t>: 44-52 [PMID: 29526612 DOI: 10.1016/j.jpainsymman.2018.03.001]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32 </w:t>
      </w:r>
      <w:r>
        <w:rPr>
          <w:rFonts w:ascii="Book Antiqua" w:hAnsi="Book Antiqua" w:eastAsia="Book Antiqua" w:cs="Book Antiqua"/>
          <w:b/>
          <w:bCs/>
          <w:color w:val="000000"/>
          <w:highlight w:val="none"/>
        </w:rPr>
        <w:t>Annema C</w:t>
      </w:r>
      <w:r>
        <w:rPr>
          <w:rFonts w:ascii="Book Antiqua" w:hAnsi="Book Antiqua" w:eastAsia="Book Antiqua" w:cs="Book Antiqua"/>
          <w:color w:val="000000"/>
          <w:highlight w:val="none"/>
        </w:rPr>
        <w:t xml:space="preserve">, Drent G, Roodbol PF, Metselaar HJ, Van Hoek B, Porte RJ, Schroevers MJ, Ranchor AV. A prospective cohort study on posttraumatic stress disorder in liver transplantation recipients before and after transplantation: Prevalence, symptom occurrence, and intrusive memories. </w:t>
      </w:r>
      <w:r>
        <w:rPr>
          <w:rFonts w:ascii="Book Antiqua" w:hAnsi="Book Antiqua" w:eastAsia="Book Antiqua" w:cs="Book Antiqua"/>
          <w:i/>
          <w:iCs/>
          <w:color w:val="000000"/>
          <w:highlight w:val="none"/>
        </w:rPr>
        <w:t>J Psychosom Res</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95</w:t>
      </w:r>
      <w:r>
        <w:rPr>
          <w:rFonts w:ascii="Book Antiqua" w:hAnsi="Book Antiqua" w:eastAsia="Book Antiqua" w:cs="Book Antiqua"/>
          <w:color w:val="000000"/>
          <w:highlight w:val="none"/>
        </w:rPr>
        <w:t>: 88-93 [PMID: 28185646 DOI: 10.1016/j.jpsychores.2017.01.012]</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33 </w:t>
      </w:r>
      <w:r>
        <w:rPr>
          <w:rFonts w:ascii="Book Antiqua" w:hAnsi="Book Antiqua" w:eastAsia="Book Antiqua" w:cs="Book Antiqua"/>
          <w:b/>
          <w:bCs/>
          <w:color w:val="000000"/>
          <w:highlight w:val="none"/>
        </w:rPr>
        <w:t>Chen PX</w:t>
      </w:r>
      <w:r>
        <w:rPr>
          <w:rFonts w:ascii="Book Antiqua" w:hAnsi="Book Antiqua" w:eastAsia="Book Antiqua" w:cs="Book Antiqua"/>
          <w:color w:val="000000"/>
          <w:highlight w:val="none"/>
        </w:rPr>
        <w:t xml:space="preserve">, Yan LN, Wang WT. Health-related quality of life of 256 recipients after liver transplantation. </w:t>
      </w:r>
      <w:r>
        <w:rPr>
          <w:rFonts w:ascii="Book Antiqua" w:hAnsi="Book Antiqua" w:eastAsia="Book Antiqua" w:cs="Book Antiqua"/>
          <w:i/>
          <w:iCs/>
          <w:color w:val="000000"/>
          <w:highlight w:val="none"/>
        </w:rPr>
        <w:t>World J Gastroenterol</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5114-5121 [PMID: 23049223 DOI: 10.3748/wjg.v18.i36.5114]</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34 </w:t>
      </w:r>
      <w:r>
        <w:rPr>
          <w:rFonts w:ascii="Book Antiqua" w:hAnsi="Book Antiqua" w:eastAsia="Book Antiqua" w:cs="Book Antiqua"/>
          <w:b/>
          <w:color w:val="000000"/>
          <w:highlight w:val="none"/>
        </w:rPr>
        <w:t>European Association for the Study of the Liver</w:t>
      </w:r>
      <w:r>
        <w:rPr>
          <w:rFonts w:ascii="Book Antiqua" w:hAnsi="Book Antiqua" w:eastAsia="Book Antiqua" w:cs="Book Antiqua"/>
          <w:color w:val="000000"/>
          <w:highlight w:val="none"/>
        </w:rPr>
        <w:t>. EASL Clinical Practice Guidelines: Liver transplantation.</w:t>
      </w:r>
      <w:r>
        <w:rPr>
          <w:rFonts w:ascii="Book Antiqua" w:hAnsi="Book Antiqua" w:eastAsia="Book Antiqua" w:cs="Book Antiqua"/>
          <w:i/>
          <w:color w:val="000000"/>
          <w:highlight w:val="none"/>
        </w:rPr>
        <w:t xml:space="preserve"> J Hepatol</w:t>
      </w:r>
      <w:r>
        <w:rPr>
          <w:rFonts w:ascii="Book Antiqua" w:hAnsi="Book Antiqua" w:eastAsia="Book Antiqua" w:cs="Book Antiqua"/>
          <w:color w:val="000000"/>
          <w:highlight w:val="none"/>
        </w:rPr>
        <w:t xml:space="preserve"> 2016; </w:t>
      </w:r>
      <w:r>
        <w:rPr>
          <w:rFonts w:ascii="Book Antiqua" w:hAnsi="Book Antiqua" w:eastAsia="Book Antiqua" w:cs="Book Antiqua"/>
          <w:b/>
          <w:color w:val="000000"/>
          <w:highlight w:val="none"/>
        </w:rPr>
        <w:t>64</w:t>
      </w:r>
      <w:r>
        <w:rPr>
          <w:rFonts w:ascii="Book Antiqua" w:hAnsi="Book Antiqua" w:eastAsia="Book Antiqua" w:cs="Book Antiqua"/>
          <w:color w:val="000000"/>
          <w:highlight w:val="none"/>
        </w:rPr>
        <w:t>: 433-485 [DOI:</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10.1016/j.jhep.2015.10.006]</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35 </w:t>
      </w:r>
      <w:r>
        <w:rPr>
          <w:rFonts w:ascii="Book Antiqua" w:hAnsi="Book Antiqua" w:eastAsia="Book Antiqua" w:cs="Book Antiqua"/>
          <w:b/>
          <w:bCs/>
          <w:color w:val="000000"/>
          <w:highlight w:val="none"/>
        </w:rPr>
        <w:t>Onghena L</w:t>
      </w:r>
      <w:r>
        <w:rPr>
          <w:rFonts w:ascii="Book Antiqua" w:hAnsi="Book Antiqua" w:eastAsia="Book Antiqua" w:cs="Book Antiqua"/>
          <w:color w:val="000000"/>
          <w:highlight w:val="none"/>
        </w:rPr>
        <w:t xml:space="preserve">, Develtere W, Poppe C, Geerts A, Troisi R, Vanlander A, Berrevoet F, Rogiers X, Van Vlierberghe H, Verhelst X. Quality of life after liver transplantation: State of the art.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749-756 [PMID: 27366301 DOI: 10.4254/wjh.v8.i18.749]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36 </w:t>
      </w:r>
      <w:r>
        <w:rPr>
          <w:rFonts w:ascii="Book Antiqua" w:hAnsi="Book Antiqua" w:eastAsia="Book Antiqua" w:cs="Book Antiqua"/>
          <w:b/>
          <w:bCs/>
          <w:color w:val="000000"/>
          <w:highlight w:val="none"/>
        </w:rPr>
        <w:t>Chang JH</w:t>
      </w:r>
      <w:r>
        <w:rPr>
          <w:rFonts w:ascii="Book Antiqua" w:hAnsi="Book Antiqua" w:eastAsia="Book Antiqua" w:cs="Book Antiqua"/>
          <w:color w:val="000000"/>
          <w:highlight w:val="none"/>
        </w:rPr>
        <w:t xml:space="preserve">, Lee I, Choi MG, Han SW. Current diagnosis and treatment of benign biliary strictures after living donor liver transplantation. </w:t>
      </w:r>
      <w:r>
        <w:rPr>
          <w:rFonts w:ascii="Book Antiqua" w:hAnsi="Book Antiqua" w:eastAsia="Book Antiqua" w:cs="Book Antiqua"/>
          <w:i/>
          <w:iCs/>
          <w:color w:val="000000"/>
          <w:highlight w:val="none"/>
        </w:rPr>
        <w:t>World J Gastroenterol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1593-1606 [PMID: 26819525 DOI: 10.3748/wjg.v22.i4.1593]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37 </w:t>
      </w:r>
      <w:r>
        <w:rPr>
          <w:rFonts w:ascii="Book Antiqua" w:hAnsi="Book Antiqua" w:eastAsia="Book Antiqua" w:cs="Book Antiqua"/>
          <w:b/>
          <w:bCs/>
          <w:color w:val="000000"/>
          <w:highlight w:val="none"/>
        </w:rPr>
        <w:t>Domingos MF</w:t>
      </w:r>
      <w:r>
        <w:rPr>
          <w:rFonts w:ascii="Book Antiqua" w:hAnsi="Book Antiqua" w:eastAsia="Book Antiqua" w:cs="Book Antiqua"/>
          <w:color w:val="000000"/>
          <w:highlight w:val="none"/>
        </w:rPr>
        <w:t xml:space="preserve">, Coelho JCU, Nogueira IR, Parolin MB, Matias JEF, De Freitas ACT, Zeni Neto C, Ramos EJB. Quality of Life after 10 Years of Liver Transplantation. </w:t>
      </w:r>
      <w:r>
        <w:rPr>
          <w:rFonts w:ascii="Book Antiqua" w:hAnsi="Book Antiqua" w:eastAsia="Book Antiqua" w:cs="Book Antiqua"/>
          <w:i/>
          <w:iCs/>
          <w:color w:val="000000"/>
          <w:highlight w:val="none"/>
        </w:rPr>
        <w:t>J Gastrointestin Liver Dis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29</w:t>
      </w:r>
      <w:r>
        <w:rPr>
          <w:rFonts w:ascii="Book Antiqua" w:hAnsi="Book Antiqua" w:eastAsia="Book Antiqua" w:cs="Book Antiqua"/>
          <w:color w:val="000000"/>
          <w:highlight w:val="none"/>
        </w:rPr>
        <w:t>: 611-616 [PMID: 33118544 DOI: 10.15403/jgld-2829]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38 </w:t>
      </w:r>
      <w:r>
        <w:rPr>
          <w:rFonts w:ascii="Book Antiqua" w:hAnsi="Book Antiqua" w:eastAsia="Book Antiqua" w:cs="Book Antiqua"/>
          <w:b/>
          <w:bCs/>
          <w:color w:val="000000"/>
          <w:highlight w:val="none"/>
        </w:rPr>
        <w:t>Jover-Aguilar M</w:t>
      </w:r>
      <w:r>
        <w:rPr>
          <w:rFonts w:ascii="Book Antiqua" w:hAnsi="Book Antiqua" w:eastAsia="Book Antiqua" w:cs="Book Antiqua"/>
          <w:color w:val="000000"/>
          <w:highlight w:val="none"/>
        </w:rPr>
        <w:t xml:space="preserve">, Martínez-Alarcón L, Ramis G, Gago FA, Pons JA, Ríos A, Febrero B, García CC, Hiciano Guillermo AI, Ramírez P. Self-Esteem Related to Quality of Life in Patients Over 60 Years Old Who Received an Orthotopic Liver Transplantation More Than 10 Years Ago. </w:t>
      </w:r>
      <w:r>
        <w:rPr>
          <w:rFonts w:ascii="Book Antiqua" w:hAnsi="Book Antiqua" w:eastAsia="Book Antiqua" w:cs="Book Antiqua"/>
          <w:i/>
          <w:iCs/>
          <w:color w:val="000000"/>
          <w:highlight w:val="none"/>
        </w:rPr>
        <w:t>Transplant Proc</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52</w:t>
      </w:r>
      <w:r>
        <w:rPr>
          <w:rFonts w:ascii="Book Antiqua" w:hAnsi="Book Antiqua" w:eastAsia="Book Antiqua" w:cs="Book Antiqua"/>
          <w:color w:val="000000"/>
          <w:highlight w:val="none"/>
        </w:rPr>
        <w:t>: 562-565 [PMID: 32057494 DOI: 10.1016/j.transproceed.2019.12.017]</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39 </w:t>
      </w:r>
      <w:r>
        <w:rPr>
          <w:rFonts w:ascii="Book Antiqua" w:hAnsi="Book Antiqua" w:eastAsia="Book Antiqua" w:cs="Book Antiqua"/>
          <w:b/>
          <w:bCs/>
          <w:color w:val="000000"/>
          <w:highlight w:val="none"/>
        </w:rPr>
        <w:t>Beekman L</w:t>
      </w:r>
      <w:r>
        <w:rPr>
          <w:rFonts w:ascii="Book Antiqua" w:hAnsi="Book Antiqua" w:eastAsia="Book Antiqua" w:cs="Book Antiqua"/>
          <w:color w:val="000000"/>
          <w:highlight w:val="none"/>
        </w:rPr>
        <w:t xml:space="preserve">, Berzigotti A, Banz V. Physical Activity in Liver Transplantation: A Patient's and Physicians' Experience. </w:t>
      </w:r>
      <w:r>
        <w:rPr>
          <w:rFonts w:ascii="Book Antiqua" w:hAnsi="Book Antiqua" w:eastAsia="Book Antiqua" w:cs="Book Antiqua"/>
          <w:i/>
          <w:iCs/>
          <w:color w:val="000000"/>
          <w:highlight w:val="none"/>
        </w:rPr>
        <w:t>Adv Ther</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35</w:t>
      </w:r>
      <w:r>
        <w:rPr>
          <w:rFonts w:ascii="Book Antiqua" w:hAnsi="Book Antiqua" w:eastAsia="Book Antiqua" w:cs="Book Antiqua"/>
          <w:color w:val="000000"/>
          <w:highlight w:val="none"/>
        </w:rPr>
        <w:t>: 1729-1734 [PMID: 30328060 DOI: 10.1007/s12325-018-0797-7]</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40 </w:t>
      </w:r>
      <w:r>
        <w:rPr>
          <w:rFonts w:ascii="Book Antiqua" w:hAnsi="Book Antiqua" w:eastAsia="Book Antiqua" w:cs="Book Antiqua"/>
          <w:b/>
          <w:bCs/>
          <w:color w:val="000000"/>
          <w:highlight w:val="none"/>
        </w:rPr>
        <w:t>Legendre C</w:t>
      </w:r>
      <w:r>
        <w:rPr>
          <w:rFonts w:ascii="Book Antiqua" w:hAnsi="Book Antiqua" w:eastAsia="Book Antiqua" w:cs="Book Antiqua"/>
          <w:color w:val="000000"/>
          <w:highlight w:val="none"/>
        </w:rPr>
        <w:t xml:space="preserve">, Viebahn R, Crespo M, Dor F, Gustafsson B, Samuel U, Karam V, Binet I, Aberg F, De Geest S, Moes DJAR, Tonshoff B, Oppenheimer F, Asberg A, Halleck F, Loupy A, Suesal C. Beyond Survival in Solid Organ Transplantation: A Summary of Expert Presentations from the Sandoz 6th Standalone Transplantation Meeting, 2018. </w:t>
      </w:r>
      <w:r>
        <w:rPr>
          <w:rFonts w:ascii="Book Antiqua" w:hAnsi="Book Antiqua" w:eastAsia="Book Antiqua" w:cs="Book Antiqua"/>
          <w:i/>
          <w:iCs/>
          <w:color w:val="000000"/>
          <w:highlight w:val="none"/>
        </w:rPr>
        <w:t>Transplantation</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103</w:t>
      </w:r>
      <w:r>
        <w:rPr>
          <w:rFonts w:ascii="Book Antiqua" w:hAnsi="Book Antiqua" w:eastAsia="Book Antiqua" w:cs="Book Antiqua"/>
          <w:color w:val="000000"/>
          <w:highlight w:val="none"/>
        </w:rPr>
        <w:t>: S1-S13 [PMID: 31449167 DOI: 10.1097/TP.0000000000002846]</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41 </w:t>
      </w:r>
      <w:r>
        <w:rPr>
          <w:rFonts w:ascii="Book Antiqua" w:hAnsi="Book Antiqua" w:eastAsia="Book Antiqua" w:cs="Book Antiqua"/>
          <w:b/>
          <w:bCs/>
          <w:color w:val="000000"/>
          <w:highlight w:val="none"/>
        </w:rPr>
        <w:t>Tarabeih M</w:t>
      </w:r>
      <w:r>
        <w:rPr>
          <w:rFonts w:ascii="Book Antiqua" w:hAnsi="Book Antiqua" w:eastAsia="Book Antiqua" w:cs="Book Antiqua"/>
          <w:color w:val="000000"/>
          <w:highlight w:val="none"/>
        </w:rPr>
        <w:t xml:space="preserve">, Bokek-Cohen Y, Azuri P. Health-related quality of life of transplant recipients: a comparison between lung, kidney, heart, and liver recipients. </w:t>
      </w:r>
      <w:r>
        <w:rPr>
          <w:rFonts w:ascii="Book Antiqua" w:hAnsi="Book Antiqua" w:eastAsia="Book Antiqua" w:cs="Book Antiqua"/>
          <w:i/>
          <w:iCs/>
          <w:color w:val="000000"/>
          <w:highlight w:val="none"/>
        </w:rPr>
        <w:t>Qual Life Res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29</w:t>
      </w:r>
      <w:r>
        <w:rPr>
          <w:rFonts w:ascii="Book Antiqua" w:hAnsi="Book Antiqua" w:eastAsia="Book Antiqua" w:cs="Book Antiqua"/>
          <w:color w:val="000000"/>
          <w:highlight w:val="none"/>
        </w:rPr>
        <w:t>: 1631-1639 [PMID: 32016682 DOI: 10.1007/s11136-020-02434-4]</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42 </w:t>
      </w:r>
      <w:r>
        <w:rPr>
          <w:rFonts w:ascii="Book Antiqua" w:hAnsi="Book Antiqua" w:eastAsia="Book Antiqua" w:cs="Book Antiqua"/>
          <w:b/>
          <w:bCs/>
          <w:color w:val="000000"/>
          <w:highlight w:val="none"/>
        </w:rPr>
        <w:t>WHO</w:t>
      </w:r>
      <w:r>
        <w:rPr>
          <w:rFonts w:ascii="Book Antiqua" w:hAnsi="Book Antiqua" w:eastAsia="Book Antiqua" w:cs="Book Antiqua"/>
          <w:bCs/>
          <w:color w:val="000000"/>
          <w:highlight w:val="none"/>
        </w:rPr>
        <w:t>. WHOQOL-BREF: Introduction,</w:t>
      </w:r>
      <w:r>
        <w:rPr>
          <w:rFonts w:ascii="Book Antiqua" w:hAnsi="Book Antiqua" w:eastAsia="Book Antiqua" w:cs="Book Antiqua"/>
          <w:color w:val="000000"/>
          <w:highlight w:val="none"/>
        </w:rPr>
        <w:t xml:space="preserve"> administration, scoring and generic version of the assessment; Field trial version. Geneva: World Health Organization; 1996. [cited 20 February 2021]. Available from:</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https://www.who.int/mental_health/media /en/76.pdf</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43 </w:t>
      </w:r>
      <w:r>
        <w:rPr>
          <w:rFonts w:ascii="Book Antiqua" w:hAnsi="Book Antiqua" w:eastAsia="Book Antiqua" w:cs="Book Antiqua"/>
          <w:b/>
          <w:bCs/>
          <w:color w:val="000000"/>
          <w:highlight w:val="none"/>
        </w:rPr>
        <w:t>Ziegelmann JP</w:t>
      </w:r>
      <w:r>
        <w:rPr>
          <w:rFonts w:ascii="Book Antiqua" w:hAnsi="Book Antiqua" w:eastAsia="Book Antiqua" w:cs="Book Antiqua"/>
          <w:color w:val="000000"/>
          <w:highlight w:val="none"/>
        </w:rPr>
        <w:t xml:space="preserve">, Griva K, Hankins M, Harrison M, Davenport A, Thompson D, Newman SP. The Transplant Effects Questionnaire (TxEQ): The development of a questionnaire for assessing the multidimensional outcome of organ transplantation - example of end stage renal disease (ESRD). </w:t>
      </w:r>
      <w:r>
        <w:rPr>
          <w:rFonts w:ascii="Book Antiqua" w:hAnsi="Book Antiqua" w:eastAsia="Book Antiqua" w:cs="Book Antiqua"/>
          <w:i/>
          <w:iCs/>
          <w:color w:val="000000"/>
          <w:highlight w:val="none"/>
        </w:rPr>
        <w:t>Br J Health Psychol</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393-408 [PMID: 12614493 DOI: 10.1348/135910702320645381]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44 </w:t>
      </w:r>
      <w:r>
        <w:rPr>
          <w:rFonts w:ascii="Book Antiqua" w:hAnsi="Book Antiqua" w:eastAsia="Book Antiqua" w:cs="Book Antiqua"/>
          <w:b/>
          <w:bCs/>
          <w:color w:val="000000"/>
          <w:highlight w:val="none"/>
        </w:rPr>
        <w:t>Sullivan KM</w:t>
      </w:r>
      <w:r>
        <w:rPr>
          <w:rFonts w:ascii="Book Antiqua" w:hAnsi="Book Antiqua" w:eastAsia="Book Antiqua" w:cs="Book Antiqua"/>
          <w:color w:val="000000"/>
          <w:highlight w:val="none"/>
        </w:rPr>
        <w:t xml:space="preserve">, Radosevich DM, Lake JR. Health-related quality of life: two decades after liver transplantation. </w:t>
      </w:r>
      <w:r>
        <w:rPr>
          <w:rFonts w:ascii="Book Antiqua" w:hAnsi="Book Antiqua" w:eastAsia="Book Antiqua" w:cs="Book Antiqua"/>
          <w:i/>
          <w:iCs/>
          <w:color w:val="000000"/>
          <w:highlight w:val="none"/>
        </w:rPr>
        <w:t>Liver Transpl</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649-654 [PMID: 24678028 DOI: 10.1002/lt.23855]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45 </w:t>
      </w:r>
      <w:r>
        <w:rPr>
          <w:rFonts w:ascii="Book Antiqua" w:hAnsi="Book Antiqua" w:eastAsia="Book Antiqua" w:cs="Book Antiqua"/>
          <w:b/>
          <w:bCs/>
          <w:color w:val="000000"/>
          <w:highlight w:val="none"/>
        </w:rPr>
        <w:t>Dunn MA</w:t>
      </w:r>
      <w:r>
        <w:rPr>
          <w:rFonts w:ascii="Book Antiqua" w:hAnsi="Book Antiqua" w:eastAsia="Book Antiqua" w:cs="Book Antiqua"/>
          <w:color w:val="000000"/>
          <w:highlight w:val="none"/>
        </w:rPr>
        <w:t xml:space="preserve">, Rogal SS, Duarte-Rojo A, Lai JC. Physical Function, Physical Activity, and Quality of Life After Liver Transplantation. </w:t>
      </w:r>
      <w:r>
        <w:rPr>
          <w:rFonts w:ascii="Book Antiqua" w:hAnsi="Book Antiqua" w:eastAsia="Book Antiqua" w:cs="Book Antiqua"/>
          <w:i/>
          <w:iCs/>
          <w:color w:val="000000"/>
          <w:highlight w:val="none"/>
        </w:rPr>
        <w:t>Liver Transpl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26</w:t>
      </w:r>
      <w:r>
        <w:rPr>
          <w:rFonts w:ascii="Book Antiqua" w:hAnsi="Book Antiqua" w:eastAsia="Book Antiqua" w:cs="Book Antiqua"/>
          <w:color w:val="000000"/>
          <w:highlight w:val="none"/>
        </w:rPr>
        <w:t>: 702-708 [PMID: 32128971 DOI: 10.1002/lt.25742]</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46 </w:t>
      </w:r>
      <w:r>
        <w:rPr>
          <w:rFonts w:ascii="Book Antiqua" w:hAnsi="Book Antiqua" w:eastAsia="Book Antiqua" w:cs="Book Antiqua"/>
          <w:b/>
          <w:bCs/>
          <w:color w:val="000000"/>
          <w:highlight w:val="none"/>
        </w:rPr>
        <w:t>Neale J</w:t>
      </w:r>
      <w:r>
        <w:rPr>
          <w:rFonts w:ascii="Book Antiqua" w:hAnsi="Book Antiqua" w:eastAsia="Book Antiqua" w:cs="Book Antiqua"/>
          <w:color w:val="000000"/>
          <w:highlight w:val="none"/>
        </w:rPr>
        <w:t xml:space="preserve">, Smith AC, Bishop NC. Effects of Exercise and Sport in Solid Organ Transplant Recipients: A Review. </w:t>
      </w:r>
      <w:r>
        <w:rPr>
          <w:rFonts w:ascii="Book Antiqua" w:hAnsi="Book Antiqua" w:eastAsia="Book Antiqua" w:cs="Book Antiqua"/>
          <w:i/>
          <w:iCs/>
          <w:color w:val="000000"/>
          <w:highlight w:val="none"/>
        </w:rPr>
        <w:t>Am J Phys Med Rehabil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96</w:t>
      </w:r>
      <w:r>
        <w:rPr>
          <w:rFonts w:ascii="Book Antiqua" w:hAnsi="Book Antiqua" w:eastAsia="Book Antiqua" w:cs="Book Antiqua"/>
          <w:color w:val="000000"/>
          <w:highlight w:val="none"/>
        </w:rPr>
        <w:t>: 273-288 [PMID: 27552351 DOI: 10.1097/PHM.0000000000000599]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47 </w:t>
      </w:r>
      <w:r>
        <w:rPr>
          <w:rFonts w:ascii="Book Antiqua" w:hAnsi="Book Antiqua" w:eastAsia="Book Antiqua" w:cs="Book Antiqua"/>
          <w:b/>
          <w:bCs/>
          <w:color w:val="000000"/>
          <w:highlight w:val="none"/>
        </w:rPr>
        <w:t>Casanovas T</w:t>
      </w:r>
      <w:r>
        <w:rPr>
          <w:rFonts w:ascii="Book Antiqua" w:hAnsi="Book Antiqua" w:eastAsia="Book Antiqua" w:cs="Book Antiqua"/>
          <w:color w:val="000000"/>
          <w:highlight w:val="none"/>
        </w:rPr>
        <w:t xml:space="preserve">, Herdman M, Chandía A, Peña MC, Fabregat J, Vilallonga JS. Identifying Improved and Non-improved Aspects of Health-related Quality of Life After Liver Transplantation Based on the Assessment of the Specific Questionnaire Liver Disease Quality of Life. </w:t>
      </w:r>
      <w:r>
        <w:rPr>
          <w:rFonts w:ascii="Book Antiqua" w:hAnsi="Book Antiqua" w:eastAsia="Book Antiqua" w:cs="Book Antiqua"/>
          <w:i/>
          <w:iCs/>
          <w:color w:val="000000"/>
          <w:highlight w:val="none"/>
        </w:rPr>
        <w:t>Transplant Proc</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48</w:t>
      </w:r>
      <w:r>
        <w:rPr>
          <w:rFonts w:ascii="Book Antiqua" w:hAnsi="Book Antiqua" w:eastAsia="Book Antiqua" w:cs="Book Antiqua"/>
          <w:color w:val="000000"/>
          <w:highlight w:val="none"/>
        </w:rPr>
        <w:t>: 132-137 [PMID: 26915858 DOI: 10.1016/j.transproceed.2015.11.009]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48 </w:t>
      </w:r>
      <w:r>
        <w:rPr>
          <w:rFonts w:ascii="Book Antiqua" w:hAnsi="Book Antiqua" w:eastAsia="Book Antiqua" w:cs="Book Antiqua"/>
          <w:b/>
          <w:bCs/>
          <w:color w:val="000000"/>
          <w:highlight w:val="none"/>
        </w:rPr>
        <w:t>Stewart CA</w:t>
      </w:r>
      <w:r>
        <w:rPr>
          <w:rFonts w:ascii="Book Antiqua" w:hAnsi="Book Antiqua" w:eastAsia="Book Antiqua" w:cs="Book Antiqua"/>
          <w:color w:val="000000"/>
          <w:highlight w:val="none"/>
        </w:rPr>
        <w:t xml:space="preserve">, Auger RR, Enders FT, Felmlee-Devine D, Smith GE. The effects of poor sleep quality on cognitive function of patients with cirrhosis. </w:t>
      </w:r>
      <w:r>
        <w:rPr>
          <w:rFonts w:ascii="Book Antiqua" w:hAnsi="Book Antiqua" w:eastAsia="Book Antiqua" w:cs="Book Antiqua"/>
          <w:i/>
          <w:iCs/>
          <w:color w:val="000000"/>
          <w:highlight w:val="none"/>
        </w:rPr>
        <w:t>J Clin Sleep Med</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21-26 [PMID: 24426816 DOI: 10.5664/jcsm.3350]</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49 </w:t>
      </w:r>
      <w:r>
        <w:rPr>
          <w:rFonts w:ascii="Book Antiqua" w:hAnsi="Book Antiqua" w:eastAsia="Book Antiqua" w:cs="Book Antiqua"/>
          <w:b/>
          <w:bCs/>
          <w:color w:val="000000"/>
          <w:highlight w:val="none"/>
        </w:rPr>
        <w:t>Cohen SR</w:t>
      </w:r>
      <w:r>
        <w:rPr>
          <w:rFonts w:ascii="Book Antiqua" w:hAnsi="Book Antiqua" w:eastAsia="Book Antiqua" w:cs="Book Antiqua"/>
          <w:color w:val="000000"/>
          <w:highlight w:val="none"/>
        </w:rPr>
        <w:t xml:space="preserve">, Mount BM, Strobel MG, Bui F. The McGill Quality of Life Questionnaire: a measure of quality of life appropriate for people with advanced disease. A preliminary study of validity and acceptability. </w:t>
      </w:r>
      <w:r>
        <w:rPr>
          <w:rFonts w:ascii="Book Antiqua" w:hAnsi="Book Antiqua" w:eastAsia="Book Antiqua" w:cs="Book Antiqua"/>
          <w:i/>
          <w:iCs/>
          <w:color w:val="000000"/>
          <w:highlight w:val="none"/>
        </w:rPr>
        <w:t>Palliat Med</w:t>
      </w:r>
      <w:r>
        <w:rPr>
          <w:rFonts w:ascii="Book Antiqua" w:hAnsi="Book Antiqua" w:eastAsia="Book Antiqua" w:cs="Book Antiqua"/>
          <w:color w:val="000000"/>
          <w:highlight w:val="none"/>
        </w:rPr>
        <w:t xml:space="preserve"> 1995;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207-219 [PMID: 7582177 DOI: 10.1177/026921639500900306]</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50 </w:t>
      </w:r>
      <w:r>
        <w:rPr>
          <w:rFonts w:ascii="Book Antiqua" w:hAnsi="Book Antiqua" w:eastAsia="Book Antiqua" w:cs="Book Antiqua"/>
          <w:b/>
          <w:bCs/>
          <w:color w:val="000000"/>
          <w:highlight w:val="none"/>
        </w:rPr>
        <w:t>Girgenti R</w:t>
      </w:r>
      <w:r>
        <w:rPr>
          <w:rFonts w:ascii="Book Antiqua" w:hAnsi="Book Antiqua" w:eastAsia="Book Antiqua" w:cs="Book Antiqua"/>
          <w:color w:val="000000"/>
          <w:highlight w:val="none"/>
        </w:rPr>
        <w:t xml:space="preserve">, Tropea A, Buttafarro MA, Ragusa R, Ammirata M. Quality of Life in Liver Transplant Recipients: A Retrospective Study. </w:t>
      </w:r>
      <w:r>
        <w:rPr>
          <w:rFonts w:ascii="Book Antiqua" w:hAnsi="Book Antiqua" w:eastAsia="Book Antiqua" w:cs="Book Antiqua"/>
          <w:i/>
          <w:iCs/>
          <w:color w:val="000000"/>
          <w:highlight w:val="none"/>
        </w:rPr>
        <w:t>Int J Environ Res Public Health</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xml:space="preserve"> [PMID: 32471157 DOI: 10.3390/ijerph17113809]</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51 </w:t>
      </w:r>
      <w:r>
        <w:rPr>
          <w:rFonts w:ascii="Book Antiqua" w:hAnsi="Book Antiqua" w:eastAsia="Book Antiqua" w:cs="Book Antiqua"/>
          <w:b/>
          <w:bCs/>
          <w:color w:val="000000"/>
          <w:highlight w:val="none"/>
        </w:rPr>
        <w:t>Burra P</w:t>
      </w:r>
      <w:r>
        <w:rPr>
          <w:rFonts w:ascii="Book Antiqua" w:hAnsi="Book Antiqua" w:eastAsia="Book Antiqua" w:cs="Book Antiqua"/>
          <w:color w:val="000000"/>
          <w:highlight w:val="none"/>
        </w:rPr>
        <w:t xml:space="preserve">, Germani G. Long-term quality of life for transplant recipients. </w:t>
      </w:r>
      <w:r>
        <w:rPr>
          <w:rFonts w:ascii="Book Antiqua" w:hAnsi="Book Antiqua" w:eastAsia="Book Antiqua" w:cs="Book Antiqua"/>
          <w:i/>
          <w:iCs/>
          <w:color w:val="000000"/>
          <w:highlight w:val="none"/>
        </w:rPr>
        <w:t>Liver Transpl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19 Suppl 2</w:t>
      </w:r>
      <w:r>
        <w:rPr>
          <w:rFonts w:ascii="Book Antiqua" w:hAnsi="Book Antiqua" w:eastAsia="Book Antiqua" w:cs="Book Antiqua"/>
          <w:color w:val="000000"/>
          <w:highlight w:val="none"/>
        </w:rPr>
        <w:t>: S40-S43 [PMID: 23960031 DOI: 10.1002/lt.23725]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52 </w:t>
      </w:r>
      <w:r>
        <w:rPr>
          <w:rFonts w:ascii="Book Antiqua" w:hAnsi="Book Antiqua" w:eastAsia="Book Antiqua" w:cs="Book Antiqua"/>
          <w:b/>
          <w:bCs/>
          <w:color w:val="000000"/>
          <w:highlight w:val="none"/>
        </w:rPr>
        <w:t>Pérez-San-Gregorio MÁ</w:t>
      </w:r>
      <w:r>
        <w:rPr>
          <w:rFonts w:ascii="Book Antiqua" w:hAnsi="Book Antiqua" w:eastAsia="Book Antiqua" w:cs="Book Antiqua"/>
          <w:color w:val="000000"/>
          <w:highlight w:val="none"/>
        </w:rPr>
        <w:t xml:space="preserve">, Martín-Rodríguez A, Sánchez-Martín M, Borda-Mas M, Avargues-Navarro ML, Gómez-Bravo MÁ, Conrad R. Spanish Adaptation and Validation of the Transplant Effects Questionnaire (TxEQ-Spanish) in Liver Transplant Recipients and Its Relationship to Posttraumatic Growth and Quality of Life. </w:t>
      </w:r>
      <w:r>
        <w:rPr>
          <w:rFonts w:ascii="Book Antiqua" w:hAnsi="Book Antiqua" w:eastAsia="Book Antiqua" w:cs="Book Antiqua"/>
          <w:i/>
          <w:iCs/>
          <w:color w:val="000000"/>
          <w:highlight w:val="none"/>
        </w:rPr>
        <w:t>Front Psychiatry</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148 [PMID: 29720952 DOI: 10.3389/fpsyt.2018.00148]</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53 </w:t>
      </w:r>
      <w:r>
        <w:rPr>
          <w:rFonts w:ascii="Book Antiqua" w:hAnsi="Book Antiqua" w:eastAsia="Book Antiqua" w:cs="Book Antiqua"/>
          <w:b/>
          <w:bCs/>
          <w:color w:val="000000"/>
          <w:highlight w:val="none"/>
        </w:rPr>
        <w:t>Åberg F</w:t>
      </w:r>
      <w:r>
        <w:rPr>
          <w:rFonts w:ascii="Book Antiqua" w:hAnsi="Book Antiqua" w:eastAsia="Book Antiqua" w:cs="Book Antiqua"/>
          <w:color w:val="000000"/>
          <w:highlight w:val="none"/>
        </w:rPr>
        <w:t xml:space="preserve">. Quality of life after liver transplantation. </w:t>
      </w:r>
      <w:r>
        <w:rPr>
          <w:rFonts w:ascii="Book Antiqua" w:hAnsi="Book Antiqua" w:eastAsia="Book Antiqua" w:cs="Book Antiqua"/>
          <w:i/>
          <w:iCs/>
          <w:color w:val="000000"/>
          <w:highlight w:val="none"/>
        </w:rPr>
        <w:t>Best Pract Res Clin Gastroenterol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46-47</w:t>
      </w:r>
      <w:r>
        <w:rPr>
          <w:rFonts w:ascii="Book Antiqua" w:hAnsi="Book Antiqua" w:eastAsia="Book Antiqua" w:cs="Book Antiqua"/>
          <w:color w:val="000000"/>
          <w:highlight w:val="none"/>
        </w:rPr>
        <w:t>: 101684 [PMID: 33158471 DOI: 10.1016/j.bpg.2020.101684]</w:t>
      </w:r>
    </w:p>
    <w:p>
      <w:pPr>
        <w:spacing w:line="360" w:lineRule="auto"/>
        <w:jc w:val="both"/>
        <w:rPr>
          <w:rFonts w:ascii="Book Antiqua" w:hAnsi="Book Antiqua"/>
          <w:highlight w:val="none"/>
        </w:rPr>
      </w:pPr>
    </w:p>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Institutional review board statement: </w:t>
      </w:r>
      <w:r>
        <w:rPr>
          <w:rFonts w:ascii="Book Antiqua" w:hAnsi="Book Antiqua" w:eastAsia="Book Antiqua" w:cs="Book Antiqua"/>
          <w:color w:val="000000"/>
          <w:highlight w:val="none"/>
        </w:rPr>
        <w:t xml:space="preserve">The study was reviewed and approved by the institutional review board of Faculty of Medicine, Ain Shams University, Cairo, Egypt.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Informed consent statement: </w:t>
      </w:r>
      <w:r>
        <w:rPr>
          <w:rFonts w:ascii="Book Antiqua" w:hAnsi="Book Antiqua" w:eastAsia="Book Antiqua" w:cs="Book Antiqua"/>
          <w:color w:val="000000"/>
          <w:highlight w:val="none"/>
        </w:rPr>
        <w:t>Was waived due to the retrospective nature of the study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All authors have nothing to disclose.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Data sharing statement: </w:t>
      </w:r>
      <w:r>
        <w:rPr>
          <w:rFonts w:ascii="Book Antiqua" w:hAnsi="Book Antiqua" w:eastAsia="Book Antiqua" w:cs="Book Antiqua"/>
          <w:color w:val="000000"/>
          <w:highlight w:val="none"/>
        </w:rPr>
        <w:t xml:space="preserve">The statistical code and dataset are available from the corresponding author at </w:t>
      </w:r>
      <w:r>
        <w:rPr>
          <w:highlight w:val="none"/>
        </w:rPr>
        <w:fldChar w:fldCharType="begin"/>
      </w:r>
      <w:r>
        <w:rPr>
          <w:highlight w:val="none"/>
        </w:rPr>
        <w:instrText xml:space="preserve"> HYPERLINK "mailto:ghadaabdelrahman@med.asu.edu.eg" </w:instrText>
      </w:r>
      <w:r>
        <w:rPr>
          <w:highlight w:val="none"/>
        </w:rPr>
        <w:fldChar w:fldCharType="separate"/>
      </w:r>
      <w:r>
        <w:rPr>
          <w:rFonts w:ascii="Book Antiqua" w:hAnsi="Book Antiqua" w:eastAsia="Book Antiqua" w:cs="Book Antiqua"/>
          <w:color w:val="000000"/>
          <w:highlight w:val="none"/>
          <w:u w:val="single" w:color="0000EE"/>
        </w:rPr>
        <w:t>ghadaabdelrahman@med.asu.edu.eg</w:t>
      </w:r>
      <w:r>
        <w:rPr>
          <w:rFonts w:ascii="Book Antiqua" w:hAnsi="Book Antiqua" w:eastAsia="Book Antiqua" w:cs="Book Antiqua"/>
          <w:color w:val="000000"/>
          <w:highlight w:val="none"/>
          <w:u w:val="single" w:color="0000EE"/>
        </w:rPr>
        <w:fldChar w:fldCharType="end"/>
      </w:r>
      <w:r>
        <w:rPr>
          <w:rFonts w:ascii="Book Antiqua" w:hAnsi="Book Antiqua" w:eastAsia="Book Antiqua" w:cs="Book Antiqua"/>
          <w:color w:val="000000"/>
          <w:highlight w:val="none"/>
          <w:u w:val="single"/>
        </w:rPr>
        <w:t>.</w:t>
      </w:r>
      <w:r>
        <w:rPr>
          <w:rFonts w:ascii="Book Antiqua" w:hAnsi="Book Antiqua" w:eastAsia="Book Antiqua" w:cs="Book Antiqua"/>
          <w:color w:val="000000"/>
          <w:highlight w:val="none"/>
        </w:rPr>
        <w:t xml:space="preserve"> The participants gave informed consent for the data sharing.</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 xml:space="preserve">Invited </w:t>
      </w:r>
      <w:r>
        <w:rPr>
          <w:rFonts w:hint="eastAsia" w:ascii="Book Antiqua" w:hAnsi="Book Antiqua" w:cs="Book Antiqua"/>
          <w:color w:val="000000"/>
          <w:highlight w:val="none"/>
          <w:lang w:eastAsia="zh-CN"/>
        </w:rPr>
        <w:t>m</w:t>
      </w:r>
      <w:r>
        <w:rPr>
          <w:rFonts w:ascii="Book Antiqua" w:hAnsi="Book Antiqua" w:eastAsia="Book Antiqua" w:cs="Book Antiqua"/>
          <w:color w:val="000000"/>
          <w:highlight w:val="none"/>
        </w:rPr>
        <w:t>anuscript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April 11,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June 15,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color w:val="000000"/>
          <w:highlight w:val="none"/>
        </w:rPr>
        <w:t>September 23, 2021</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 xml:space="preserve">Gastroenterology and </w:t>
      </w:r>
      <w:r>
        <w:rPr>
          <w:rFonts w:hint="eastAsia" w:ascii="Book Antiqua" w:hAnsi="Book Antiqua" w:cs="Book Antiqua"/>
          <w:color w:val="000000"/>
          <w:highlight w:val="none"/>
          <w:lang w:eastAsia="zh-CN"/>
        </w:rPr>
        <w:t>h</w:t>
      </w:r>
      <w:r>
        <w:rPr>
          <w:rFonts w:ascii="Book Antiqua" w:hAnsi="Book Antiqua" w:eastAsia="Book Antiqua" w:cs="Book Antiqua"/>
          <w:color w:val="000000"/>
          <w:highlight w:val="none"/>
        </w:rPr>
        <w:t>epatology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Egypt</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C (Good): C</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spacing w:line="360" w:lineRule="auto"/>
        <w:jc w:val="both"/>
        <w:rPr>
          <w:rFonts w:ascii="Book Antiqua" w:hAnsi="Book Antiqua"/>
          <w:highlight w:val="none"/>
        </w:rPr>
      </w:pPr>
    </w:p>
    <w:p>
      <w:pPr>
        <w:numPr>
          <w:ilvl w:val="0"/>
          <w:numId w:val="0"/>
        </w:numPr>
        <w:spacing w:line="360" w:lineRule="auto"/>
        <w:jc w:val="both"/>
        <w:rPr>
          <w:rFonts w:hint="eastAsia" w:ascii="Book Antiqua" w:hAnsi="Book Antiqua" w:eastAsia="宋体" w:cs="Book Antiqua"/>
          <w:b w:val="0"/>
          <w:bCs/>
          <w:i w:val="0"/>
          <w:iCs w:val="0"/>
          <w:color w:val="000000"/>
          <w:highlight w:val="none"/>
          <w:lang w:val="en-US" w:eastAsia="zh-CN"/>
        </w:rPr>
      </w:pPr>
      <w:r>
        <w:rPr>
          <w:rFonts w:hint="eastAsia" w:ascii="Book Antiqua" w:hAnsi="Book Antiqua" w:eastAsia="宋体" w:cs="Book Antiqua"/>
          <w:b/>
          <w:color w:val="000000"/>
          <w:highlight w:val="none"/>
          <w:lang w:val="en-US" w:eastAsia="zh-CN"/>
        </w:rPr>
        <w:t>P-</w:t>
      </w:r>
      <w:r>
        <w:rPr>
          <w:rFonts w:ascii="Book Antiqua" w:hAnsi="Book Antiqua" w:eastAsia="Book Antiqua" w:cs="Book Antiqua"/>
          <w:b/>
          <w:color w:val="000000"/>
          <w:highlight w:val="none"/>
        </w:rPr>
        <w:t xml:space="preserve">Reviewer: </w:t>
      </w:r>
      <w:r>
        <w:rPr>
          <w:rFonts w:ascii="Book Antiqua" w:hAnsi="Book Antiqua" w:eastAsia="Book Antiqua" w:cs="Book Antiqua"/>
          <w:color w:val="000000"/>
          <w:highlight w:val="none"/>
        </w:rPr>
        <w:t>Dambrauskas Z</w:t>
      </w:r>
      <w:r>
        <w:rPr>
          <w:rFonts w:ascii="Book Antiqua" w:hAnsi="Book Antiqua" w:eastAsia="Book Antiqua" w:cs="Book Antiqua"/>
          <w:b/>
          <w:color w:val="000000"/>
          <w:highlight w:val="none"/>
        </w:rPr>
        <w:t xml:space="preserve"> S-Editor: </w:t>
      </w:r>
      <w:r>
        <w:rPr>
          <w:rFonts w:hint="eastAsia" w:ascii="Book Antiqua" w:hAnsi="Book Antiqua" w:cs="Book Antiqua"/>
          <w:color w:val="000000"/>
          <w:highlight w:val="none"/>
          <w:lang w:eastAsia="zh-CN"/>
        </w:rPr>
        <w:t>Wang LL</w:t>
      </w:r>
      <w:r>
        <w:rPr>
          <w:rFonts w:ascii="Book Antiqua" w:hAnsi="Book Antiqua" w:eastAsia="Book Antiqua" w:cs="Book Antiqua"/>
          <w:b/>
          <w:color w:val="000000"/>
          <w:highlight w:val="none"/>
        </w:rPr>
        <w:t xml:space="preserve"> L-Editor: </w:t>
      </w:r>
      <w:r>
        <w:rPr>
          <w:rFonts w:hint="eastAsia" w:ascii="Book Antiqua" w:hAnsi="Book Antiqua" w:eastAsia="宋体" w:cs="Book Antiqua"/>
          <w:b w:val="0"/>
          <w:bCs/>
          <w:color w:val="000000"/>
          <w:highlight w:val="none"/>
          <w:lang w:val="en-US" w:eastAsia="zh-CN"/>
        </w:rPr>
        <w:t>A</w:t>
      </w:r>
      <w:r>
        <w:rPr>
          <w:rFonts w:ascii="Book Antiqua" w:hAnsi="Book Antiqua" w:eastAsia="Book Antiqua" w:cs="Book Antiqua"/>
          <w:b/>
          <w:color w:val="000000"/>
          <w:highlight w:val="none"/>
        </w:rPr>
        <w:t xml:space="preserve"> P-Editor: </w:t>
      </w:r>
      <w:r>
        <w:rPr>
          <w:rFonts w:hint="eastAsia" w:ascii="Book Antiqua" w:hAnsi="Book Antiqua" w:eastAsia="宋体" w:cs="Book Antiqua"/>
          <w:b w:val="0"/>
          <w:bCs/>
          <w:i w:val="0"/>
          <w:iCs w:val="0"/>
          <w:color w:val="000000"/>
          <w:highlight w:val="none"/>
          <w:lang w:val="en-US" w:eastAsia="zh-CN"/>
        </w:rPr>
        <w:t>Guo X</w:t>
      </w:r>
    </w:p>
    <w:p>
      <w:pPr>
        <w:numPr>
          <w:ilvl w:val="0"/>
          <w:numId w:val="1"/>
        </w:numPr>
        <w:spacing w:line="360" w:lineRule="auto"/>
        <w:jc w:val="both"/>
        <w:rPr>
          <w:rFonts w:hint="eastAsia" w:ascii="Book Antiqua" w:hAnsi="Book Antiqua" w:eastAsia="宋体" w:cs="Book Antiqua"/>
          <w:b w:val="0"/>
          <w:bCs/>
          <w:i w:val="0"/>
          <w:iCs w:val="0"/>
          <w:color w:val="000000"/>
          <w:highlight w:val="none"/>
          <w:lang w:val="en-US"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t>Figure Legends</w:t>
      </w:r>
    </w:p>
    <w:p>
      <w:pPr>
        <w:spacing w:line="360" w:lineRule="auto"/>
        <w:jc w:val="both"/>
        <w:rPr>
          <w:rFonts w:ascii="Book Antiqua" w:hAnsi="Book Antiqua"/>
          <w:highlight w:val="none"/>
          <w:lang w:eastAsia="zh-CN"/>
        </w:rPr>
      </w:pPr>
      <w:r>
        <w:rPr>
          <w:rFonts w:ascii="Book Antiqua" w:hAnsi="Book Antiqua"/>
          <w:highlight w:val="none"/>
          <w:lang w:val="en-US" w:eastAsia="zh-CN"/>
        </w:rPr>
        <w:drawing>
          <wp:inline distT="0" distB="0" distL="0" distR="0">
            <wp:extent cx="4914900" cy="3246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915326" cy="3246401"/>
                    </a:xfrm>
                    <a:prstGeom prst="rect">
                      <a:avLst/>
                    </a:prstGeom>
                  </pic:spPr>
                </pic:pic>
              </a:graphicData>
            </a:graphic>
          </wp:inline>
        </w:drawing>
      </w:r>
    </w:p>
    <w:p>
      <w:pPr>
        <w:spacing w:line="360" w:lineRule="auto"/>
        <w:jc w:val="both"/>
        <w:rPr>
          <w:rFonts w:ascii="Book Antiqua" w:hAnsi="Book Antiqua"/>
          <w:highlight w:val="none"/>
          <w:lang w:eastAsia="zh-CN"/>
        </w:rPr>
      </w:pPr>
      <w:r>
        <w:rPr>
          <w:rFonts w:ascii="Book Antiqua" w:hAnsi="Book Antiqua" w:eastAsia="Book Antiqua" w:cs="Book Antiqua"/>
          <w:b/>
          <w:bCs/>
          <w:color w:val="000000"/>
          <w:highlight w:val="none"/>
        </w:rPr>
        <w:t>Figure 1</w:t>
      </w:r>
      <w:r>
        <w:rPr>
          <w:rFonts w:ascii="Book Antiqua" w:hAnsi="Book Antiqua" w:eastAsia="Book Antiqua" w:cs="Book Antiqua"/>
          <w:b/>
          <w:color w:val="000000"/>
          <w:highlight w:val="none"/>
        </w:rPr>
        <w:t xml:space="preserve"> Short Form 12 (v. 2) domains in patients and controls compared to the norm-based score</w:t>
      </w:r>
      <w:r>
        <w:rPr>
          <w:rFonts w:ascii="Book Antiqua" w:hAnsi="Book Antiqua" w:cs="Book Antiqua"/>
          <w:b/>
          <w:color w:val="000000"/>
          <w:highlight w:val="none"/>
          <w:lang w:eastAsia="zh-CN"/>
        </w:rPr>
        <w:t>.</w:t>
      </w:r>
      <w:r>
        <w:rPr>
          <w:rFonts w:hint="eastAsia" w:ascii="Book Antiqua" w:hAnsi="Book Antiqua" w:cs="Book Antiqua"/>
          <w:b/>
          <w:color w:val="000000"/>
          <w:highlight w:val="none"/>
          <w:lang w:eastAsia="zh-CN"/>
        </w:rPr>
        <w:t xml:space="preserve"> </w:t>
      </w:r>
      <w:r>
        <w:rPr>
          <w:rFonts w:ascii="Book Antiqua" w:hAnsi="Book Antiqua"/>
          <w:highlight w:val="none"/>
          <w:lang w:val="en-US" w:eastAsia="zh-CN"/>
        </w:rPr>
        <w:t>BP: Bodily pain; GH: General health; MH: Mental health; NBS: Norm based score; PF: Physical functioning; RE: Role emotion; RP: Role physical; SF: Social functioning; V: Vitality</w:t>
      </w:r>
      <w:r>
        <w:rPr>
          <w:rFonts w:hint="eastAsia" w:ascii="Book Antiqua" w:hAnsi="Book Antiqua"/>
          <w:highlight w:val="none"/>
          <w:lang w:val="en-US" w:eastAsia="zh-CN"/>
        </w:rPr>
        <w:t>.</w:t>
      </w:r>
    </w:p>
    <w:p>
      <w:pPr>
        <w:spacing w:line="360" w:lineRule="auto"/>
        <w:jc w:val="both"/>
        <w:rPr>
          <w:rFonts w:ascii="Book Antiqua" w:hAnsi="Book Antiqua"/>
          <w:highlight w:val="none"/>
          <w:lang w:eastAsia="zh-CN"/>
        </w:rPr>
      </w:pPr>
    </w:p>
    <w:p>
      <w:pPr>
        <w:spacing w:line="360" w:lineRule="auto"/>
        <w:jc w:val="both"/>
        <w:rPr>
          <w:rFonts w:ascii="Book Antiqua" w:hAnsi="Book Antiqua" w:cs="Book Antiqua"/>
          <w:b/>
          <w:bCs/>
          <w:color w:val="000000"/>
          <w:highlight w:val="none"/>
          <w:lang w:eastAsia="zh-CN"/>
        </w:rPr>
      </w:pPr>
      <w:r>
        <w:rPr>
          <w:rFonts w:ascii="Book Antiqua" w:hAnsi="Book Antiqua" w:eastAsia="Book Antiqua" w:cs="Book Antiqua"/>
          <w:b/>
          <w:bCs/>
          <w:color w:val="000000"/>
          <w:highlight w:val="none"/>
        </w:rPr>
        <w:br w:type="page"/>
      </w:r>
    </w:p>
    <w:p>
      <w:pPr>
        <w:spacing w:line="360" w:lineRule="auto"/>
        <w:jc w:val="both"/>
        <w:rPr>
          <w:rFonts w:ascii="Book Antiqua" w:hAnsi="Book Antiqua" w:cs="Book Antiqua"/>
          <w:b/>
          <w:bCs/>
          <w:color w:val="000000"/>
          <w:highlight w:val="none"/>
          <w:lang w:eastAsia="zh-CN"/>
        </w:rPr>
      </w:pPr>
      <w:r>
        <w:rPr>
          <w:rFonts w:ascii="Book Antiqua" w:hAnsi="Book Antiqua" w:eastAsia="Book Antiqua" w:cs="Book Antiqua"/>
          <w:b/>
          <w:bCs/>
          <w:color w:val="000000"/>
          <w:highlight w:val="none"/>
          <w:lang w:val="en-US" w:eastAsia="zh-CN"/>
        </w:rPr>
        <w:drawing>
          <wp:inline distT="0" distB="0" distL="0" distR="0">
            <wp:extent cx="4084320" cy="32918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084674" cy="3292125"/>
                    </a:xfrm>
                    <a:prstGeom prst="rect">
                      <a:avLst/>
                    </a:prstGeom>
                  </pic:spPr>
                </pic:pic>
              </a:graphicData>
            </a:graphic>
          </wp:inline>
        </w:drawing>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b/>
          <w:bCs/>
          <w:color w:val="000000"/>
          <w:highlight w:val="none"/>
        </w:rPr>
        <w:t>Figure 2</w:t>
      </w:r>
      <w:r>
        <w:rPr>
          <w:rFonts w:ascii="Book Antiqua" w:hAnsi="Book Antiqua" w:eastAsia="Book Antiqua" w:cs="Book Antiqua"/>
          <w:b/>
          <w:color w:val="000000"/>
          <w:highlight w:val="none"/>
        </w:rPr>
        <w:t xml:space="preserve"> Physical and mental component summary scores of patients and controls</w:t>
      </w:r>
      <w:r>
        <w:rPr>
          <w:rFonts w:ascii="Book Antiqua" w:hAnsi="Book Antiqua" w:cs="Book Antiqua"/>
          <w:b/>
          <w:color w:val="000000"/>
          <w:highlight w:val="none"/>
          <w:lang w:eastAsia="zh-CN"/>
        </w:rPr>
        <w:t>.</w:t>
      </w:r>
      <w:r>
        <w:rPr>
          <w:rFonts w:hint="eastAsia" w:ascii="Book Antiqua" w:hAnsi="Book Antiqua" w:cs="Book Antiqua"/>
          <w:b/>
          <w:color w:val="000000"/>
          <w:highlight w:val="none"/>
          <w:lang w:eastAsia="zh-CN"/>
        </w:rPr>
        <w:t xml:space="preserve"> </w:t>
      </w:r>
      <w:r>
        <w:rPr>
          <w:rFonts w:ascii="Book Antiqua" w:hAnsi="Book Antiqua" w:cs="Book Antiqua"/>
          <w:color w:val="000000"/>
          <w:highlight w:val="none"/>
          <w:lang w:val="en-US" w:eastAsia="zh-CN"/>
        </w:rPr>
        <w:t>Patients: Live donor liver transplant recipients with biliary complications; Controls: Live donor liver transplant recipients without biliary complications; MCS: Mental component summary score; PCS: Physical component summary score</w:t>
      </w:r>
      <w:r>
        <w:rPr>
          <w:rFonts w:hint="eastAsia" w:ascii="Book Antiqua" w:hAnsi="Book Antiqua" w:cs="Book Antiqua"/>
          <w:color w:val="000000"/>
          <w:highlight w:val="none"/>
          <w:lang w:val="en-US" w:eastAsia="zh-CN"/>
        </w:rPr>
        <w:t>.</w:t>
      </w:r>
    </w:p>
    <w:p>
      <w:pPr>
        <w:spacing w:line="360" w:lineRule="auto"/>
        <w:jc w:val="both"/>
        <w:rPr>
          <w:rFonts w:ascii="Book Antiqua" w:hAnsi="Book Antiqua" w:cs="Book Antiqua"/>
          <w:color w:val="000000"/>
          <w:highlight w:val="none"/>
          <w:lang w:eastAsia="zh-CN"/>
        </w:rPr>
      </w:pPr>
    </w:p>
    <w:p>
      <w:pPr>
        <w:spacing w:line="360" w:lineRule="auto"/>
        <w:jc w:val="both"/>
        <w:rPr>
          <w:rFonts w:ascii="Book Antiqua" w:hAnsi="Book Antiqua" w:cs="Book Antiqua"/>
          <w:b/>
          <w:bCs/>
          <w:color w:val="000000"/>
          <w:highlight w:val="none"/>
          <w:lang w:eastAsia="zh-CN"/>
        </w:rPr>
      </w:pPr>
      <w:r>
        <w:rPr>
          <w:rFonts w:ascii="Book Antiqua" w:hAnsi="Book Antiqua" w:cs="Book Antiqua"/>
          <w:color w:val="000000"/>
          <w:highlight w:val="none"/>
          <w:lang w:eastAsia="zh-CN"/>
        </w:rPr>
        <w:br w:type="page"/>
      </w:r>
      <w:r>
        <w:rPr>
          <w:rFonts w:ascii="Book Antiqua" w:hAnsi="Book Antiqua" w:cs="Book Antiqua"/>
          <w:b/>
          <w:bCs/>
          <w:color w:val="000000"/>
          <w:highlight w:val="none"/>
          <w:lang w:eastAsia="zh-CN"/>
        </w:rPr>
        <w:t>Table 1 Descriptive categorical data for live-donor liver transplant recipients with biliary complications</w:t>
      </w:r>
    </w:p>
    <w:tbl>
      <w:tblPr>
        <w:tblStyle w:val="5"/>
        <w:tblW w:w="5000" w:type="pct"/>
        <w:tblInd w:w="0" w:type="dxa"/>
        <w:tblLayout w:type="autofit"/>
        <w:tblCellMar>
          <w:top w:w="0" w:type="dxa"/>
          <w:left w:w="108" w:type="dxa"/>
          <w:bottom w:w="0" w:type="dxa"/>
          <w:right w:w="108" w:type="dxa"/>
        </w:tblCellMar>
      </w:tblPr>
      <w:tblGrid>
        <w:gridCol w:w="3836"/>
        <w:gridCol w:w="3532"/>
        <w:gridCol w:w="2208"/>
      </w:tblGrid>
      <w:tr>
        <w:tblPrEx>
          <w:tblCellMar>
            <w:top w:w="0" w:type="dxa"/>
            <w:left w:w="108" w:type="dxa"/>
            <w:bottom w:w="0" w:type="dxa"/>
            <w:right w:w="108" w:type="dxa"/>
          </w:tblCellMar>
        </w:tblPrEx>
        <w:tc>
          <w:tcPr>
            <w:tcW w:w="2003" w:type="pct"/>
            <w:tcBorders>
              <w:top w:val="single" w:color="auto" w:sz="4" w:space="0"/>
              <w:bottom w:val="single" w:color="auto" w:sz="4" w:space="0"/>
            </w:tcBorders>
            <w:vAlign w:val="center"/>
          </w:tcPr>
          <w:p>
            <w:pPr>
              <w:spacing w:line="360" w:lineRule="auto"/>
              <w:jc w:val="both"/>
              <w:rPr>
                <w:rFonts w:ascii="Book Antiqua" w:hAnsi="Book Antiqua" w:cs="Book Antiqua"/>
                <w:b/>
                <w:bCs/>
                <w:color w:val="000000"/>
                <w:highlight w:val="none"/>
                <w:lang w:eastAsia="zh-CN"/>
              </w:rPr>
            </w:pPr>
            <w:r>
              <w:rPr>
                <w:rFonts w:ascii="Book Antiqua" w:hAnsi="Book Antiqua" w:cs="Book Antiqua"/>
                <w:b/>
                <w:bCs/>
                <w:color w:val="000000"/>
                <w:highlight w:val="none"/>
                <w:lang w:eastAsia="zh-CN"/>
              </w:rPr>
              <w:t>Variable</w:t>
            </w:r>
          </w:p>
        </w:tc>
        <w:tc>
          <w:tcPr>
            <w:tcW w:w="1844" w:type="pct"/>
            <w:tcBorders>
              <w:top w:val="single" w:color="auto" w:sz="4" w:space="0"/>
              <w:bottom w:val="single" w:color="auto" w:sz="4" w:space="0"/>
            </w:tcBorders>
          </w:tcPr>
          <w:p>
            <w:pPr>
              <w:spacing w:line="360" w:lineRule="auto"/>
              <w:jc w:val="both"/>
              <w:rPr>
                <w:rFonts w:ascii="Book Antiqua" w:hAnsi="Book Antiqua" w:cs="Book Antiqua"/>
                <w:b/>
                <w:bCs/>
                <w:i/>
                <w:color w:val="000000"/>
                <w:highlight w:val="none"/>
                <w:lang w:eastAsia="zh-CN"/>
              </w:rPr>
            </w:pPr>
          </w:p>
        </w:tc>
        <w:tc>
          <w:tcPr>
            <w:tcW w:w="1153" w:type="pct"/>
            <w:tcBorders>
              <w:top w:val="single" w:color="auto" w:sz="4" w:space="0"/>
              <w:bottom w:val="single" w:color="auto" w:sz="4" w:space="0"/>
            </w:tcBorders>
            <w:vAlign w:val="center"/>
          </w:tcPr>
          <w:p>
            <w:pPr>
              <w:spacing w:line="360" w:lineRule="auto"/>
              <w:jc w:val="both"/>
              <w:rPr>
                <w:rFonts w:ascii="Book Antiqua" w:hAnsi="Book Antiqua" w:cs="Book Antiqua"/>
                <w:b/>
                <w:bCs/>
                <w:i/>
                <w:color w:val="000000"/>
                <w:highlight w:val="none"/>
                <w:lang w:eastAsia="zh-CN"/>
              </w:rPr>
            </w:pPr>
            <w:r>
              <w:rPr>
                <w:rFonts w:hint="eastAsia" w:ascii="Book Antiqua" w:hAnsi="Book Antiqua" w:cs="Book Antiqua"/>
                <w:b/>
                <w:bCs/>
                <w:i/>
                <w:color w:val="000000"/>
                <w:highlight w:val="none"/>
                <w:lang w:eastAsia="zh-CN"/>
              </w:rPr>
              <w:t>n</w:t>
            </w:r>
            <w:r>
              <w:rPr>
                <w:rFonts w:ascii="Book Antiqua" w:hAnsi="Book Antiqua" w:cs="Book Antiqua"/>
                <w:b/>
                <w:bCs/>
                <w:i/>
                <w:color w:val="000000"/>
                <w:highlight w:val="none"/>
                <w:lang w:eastAsia="zh-CN"/>
              </w:rPr>
              <w:t xml:space="preserve"> (%)</w:t>
            </w:r>
          </w:p>
        </w:tc>
      </w:tr>
      <w:tr>
        <w:tblPrEx>
          <w:tblCellMar>
            <w:top w:w="0" w:type="dxa"/>
            <w:left w:w="108" w:type="dxa"/>
            <w:bottom w:w="0" w:type="dxa"/>
            <w:right w:w="108" w:type="dxa"/>
          </w:tblCellMar>
        </w:tblPrEx>
        <w:tc>
          <w:tcPr>
            <w:tcW w:w="2003" w:type="pct"/>
            <w:vMerge w:val="restart"/>
            <w:tcBorders>
              <w:top w:val="single" w:color="auto" w:sz="4" w:space="0"/>
            </w:tcBorders>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Indication of liver transplantation</w:t>
            </w:r>
          </w:p>
        </w:tc>
        <w:tc>
          <w:tcPr>
            <w:tcW w:w="1844" w:type="pct"/>
            <w:tcBorders>
              <w:top w:val="single" w:color="auto" w:sz="4" w:space="0"/>
            </w:tcBorders>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HCV</w:t>
            </w:r>
          </w:p>
        </w:tc>
        <w:tc>
          <w:tcPr>
            <w:tcW w:w="1153" w:type="pct"/>
            <w:tcBorders>
              <w:top w:val="single" w:color="auto" w:sz="4" w:space="0"/>
            </w:tcBorders>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21 (84)</w:t>
            </w:r>
          </w:p>
        </w:tc>
      </w:tr>
      <w:tr>
        <w:tblPrEx>
          <w:tblCellMar>
            <w:top w:w="0" w:type="dxa"/>
            <w:left w:w="108" w:type="dxa"/>
            <w:bottom w:w="0" w:type="dxa"/>
            <w:right w:w="108" w:type="dxa"/>
          </w:tblCellMar>
        </w:tblPrEx>
        <w:tc>
          <w:tcPr>
            <w:tcW w:w="2003" w:type="pct"/>
            <w:vMerge w:val="continue"/>
            <w:vAlign w:val="center"/>
          </w:tcPr>
          <w:p>
            <w:pPr>
              <w:spacing w:line="360" w:lineRule="auto"/>
              <w:jc w:val="both"/>
              <w:rPr>
                <w:rFonts w:ascii="Book Antiqua" w:hAnsi="Book Antiqua" w:cs="Book Antiqua"/>
                <w:bCs/>
                <w:color w:val="000000"/>
                <w:highlight w:val="none"/>
                <w:lang w:eastAsia="zh-CN"/>
              </w:rPr>
            </w:pP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HBV</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 (4)</w:t>
            </w:r>
          </w:p>
        </w:tc>
      </w:tr>
      <w:tr>
        <w:tblPrEx>
          <w:tblCellMar>
            <w:top w:w="0" w:type="dxa"/>
            <w:left w:w="108" w:type="dxa"/>
            <w:bottom w:w="0" w:type="dxa"/>
            <w:right w:w="108" w:type="dxa"/>
          </w:tblCellMar>
        </w:tblPrEx>
        <w:tc>
          <w:tcPr>
            <w:tcW w:w="2003" w:type="pct"/>
            <w:vMerge w:val="continue"/>
            <w:vAlign w:val="center"/>
          </w:tcPr>
          <w:p>
            <w:pPr>
              <w:spacing w:line="360" w:lineRule="auto"/>
              <w:jc w:val="both"/>
              <w:rPr>
                <w:rFonts w:ascii="Book Antiqua" w:hAnsi="Book Antiqua" w:cs="Book Antiqua"/>
                <w:bCs/>
                <w:color w:val="000000"/>
                <w:highlight w:val="none"/>
                <w:lang w:eastAsia="zh-CN"/>
              </w:rPr>
            </w:pP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Combined HCV and HBV</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 (4)</w:t>
            </w:r>
          </w:p>
        </w:tc>
      </w:tr>
      <w:tr>
        <w:tblPrEx>
          <w:tblCellMar>
            <w:top w:w="0" w:type="dxa"/>
            <w:left w:w="108" w:type="dxa"/>
            <w:bottom w:w="0" w:type="dxa"/>
            <w:right w:w="108" w:type="dxa"/>
          </w:tblCellMar>
        </w:tblPrEx>
        <w:tc>
          <w:tcPr>
            <w:tcW w:w="2003" w:type="pct"/>
            <w:vMerge w:val="continue"/>
            <w:vAlign w:val="center"/>
          </w:tcPr>
          <w:p>
            <w:pPr>
              <w:spacing w:line="360" w:lineRule="auto"/>
              <w:jc w:val="both"/>
              <w:rPr>
                <w:rFonts w:ascii="Book Antiqua" w:hAnsi="Book Antiqua" w:cs="Book Antiqua"/>
                <w:bCs/>
                <w:color w:val="000000"/>
                <w:highlight w:val="none"/>
                <w:lang w:eastAsia="zh-CN"/>
              </w:rPr>
            </w:pP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Hepatocellular carcinoma</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2 (8)</w:t>
            </w:r>
          </w:p>
        </w:tc>
      </w:tr>
      <w:tr>
        <w:tblPrEx>
          <w:tblCellMar>
            <w:top w:w="0" w:type="dxa"/>
            <w:left w:w="108" w:type="dxa"/>
            <w:bottom w:w="0" w:type="dxa"/>
            <w:right w:w="108" w:type="dxa"/>
          </w:tblCellMar>
        </w:tblPrEx>
        <w:tc>
          <w:tcPr>
            <w:tcW w:w="2003" w:type="pct"/>
            <w:vMerge w:val="restar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Donors’ gender</w:t>
            </w: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Male</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17 (68)</w:t>
            </w:r>
          </w:p>
        </w:tc>
      </w:tr>
      <w:tr>
        <w:tblPrEx>
          <w:tblCellMar>
            <w:top w:w="0" w:type="dxa"/>
            <w:left w:w="108" w:type="dxa"/>
            <w:bottom w:w="0" w:type="dxa"/>
            <w:right w:w="108" w:type="dxa"/>
          </w:tblCellMar>
        </w:tblPrEx>
        <w:tc>
          <w:tcPr>
            <w:tcW w:w="2003" w:type="pct"/>
            <w:vMerge w:val="continue"/>
            <w:vAlign w:val="center"/>
          </w:tcPr>
          <w:p>
            <w:pPr>
              <w:spacing w:line="360" w:lineRule="auto"/>
              <w:jc w:val="both"/>
              <w:rPr>
                <w:rFonts w:ascii="Book Antiqua" w:hAnsi="Book Antiqua" w:cs="Book Antiqua"/>
                <w:bCs/>
                <w:color w:val="000000"/>
                <w:highlight w:val="none"/>
                <w:lang w:eastAsia="zh-CN"/>
              </w:rPr>
            </w:pP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Female</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8 (32)</w:t>
            </w:r>
          </w:p>
        </w:tc>
      </w:tr>
      <w:tr>
        <w:tblPrEx>
          <w:tblCellMar>
            <w:top w:w="0" w:type="dxa"/>
            <w:left w:w="108" w:type="dxa"/>
            <w:bottom w:w="0" w:type="dxa"/>
            <w:right w:w="108" w:type="dxa"/>
          </w:tblCellMar>
        </w:tblPrEx>
        <w:tc>
          <w:tcPr>
            <w:tcW w:w="2003" w:type="pct"/>
            <w:vMerge w:val="restar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Recipients’ gender</w:t>
            </w: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Male</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19 (76)</w:t>
            </w:r>
          </w:p>
        </w:tc>
      </w:tr>
      <w:tr>
        <w:tblPrEx>
          <w:tblCellMar>
            <w:top w:w="0" w:type="dxa"/>
            <w:left w:w="108" w:type="dxa"/>
            <w:bottom w:w="0" w:type="dxa"/>
            <w:right w:w="108" w:type="dxa"/>
          </w:tblCellMar>
        </w:tblPrEx>
        <w:tc>
          <w:tcPr>
            <w:tcW w:w="2003" w:type="pct"/>
            <w:vMerge w:val="continue"/>
            <w:vAlign w:val="center"/>
          </w:tcPr>
          <w:p>
            <w:pPr>
              <w:spacing w:line="360" w:lineRule="auto"/>
              <w:jc w:val="both"/>
              <w:rPr>
                <w:rFonts w:ascii="Book Antiqua" w:hAnsi="Book Antiqua" w:cs="Book Antiqua"/>
                <w:bCs/>
                <w:color w:val="000000"/>
                <w:highlight w:val="none"/>
                <w:lang w:eastAsia="zh-CN"/>
              </w:rPr>
            </w:pP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Female</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6 (24)</w:t>
            </w:r>
          </w:p>
        </w:tc>
      </w:tr>
      <w:tr>
        <w:tblPrEx>
          <w:tblCellMar>
            <w:top w:w="0" w:type="dxa"/>
            <w:left w:w="108" w:type="dxa"/>
            <w:bottom w:w="0" w:type="dxa"/>
            <w:right w:w="108" w:type="dxa"/>
          </w:tblCellMar>
        </w:tblPrEx>
        <w:tc>
          <w:tcPr>
            <w:tcW w:w="2003" w:type="pct"/>
            <w:vMerge w:val="restar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Immunosuppressant</w:t>
            </w: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 xml:space="preserve">Tacrolimus </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22 (88)</w:t>
            </w:r>
          </w:p>
        </w:tc>
      </w:tr>
      <w:tr>
        <w:tblPrEx>
          <w:tblCellMar>
            <w:top w:w="0" w:type="dxa"/>
            <w:left w:w="108" w:type="dxa"/>
            <w:bottom w:w="0" w:type="dxa"/>
            <w:right w:w="108" w:type="dxa"/>
          </w:tblCellMar>
        </w:tblPrEx>
        <w:tc>
          <w:tcPr>
            <w:tcW w:w="2003" w:type="pct"/>
            <w:vMerge w:val="continue"/>
            <w:vAlign w:val="center"/>
          </w:tcPr>
          <w:p>
            <w:pPr>
              <w:spacing w:line="360" w:lineRule="auto"/>
              <w:jc w:val="both"/>
              <w:rPr>
                <w:rFonts w:ascii="Book Antiqua" w:hAnsi="Book Antiqua" w:cs="Book Antiqua"/>
                <w:bCs/>
                <w:color w:val="000000"/>
                <w:highlight w:val="none"/>
                <w:lang w:eastAsia="zh-CN"/>
              </w:rPr>
            </w:pP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Cyclosporine</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3 (12)</w:t>
            </w:r>
          </w:p>
        </w:tc>
      </w:tr>
      <w:tr>
        <w:tblPrEx>
          <w:tblCellMar>
            <w:top w:w="0" w:type="dxa"/>
            <w:left w:w="108" w:type="dxa"/>
            <w:bottom w:w="0" w:type="dxa"/>
            <w:right w:w="108" w:type="dxa"/>
          </w:tblCellMar>
        </w:tblPrEx>
        <w:tc>
          <w:tcPr>
            <w:tcW w:w="2003" w:type="pct"/>
            <w:vMerge w:val="restar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Biliary leakage</w:t>
            </w: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7 (28)</w:t>
            </w:r>
          </w:p>
        </w:tc>
      </w:tr>
      <w:tr>
        <w:tblPrEx>
          <w:tblCellMar>
            <w:top w:w="0" w:type="dxa"/>
            <w:left w:w="108" w:type="dxa"/>
            <w:bottom w:w="0" w:type="dxa"/>
            <w:right w:w="108" w:type="dxa"/>
          </w:tblCellMar>
        </w:tblPrEx>
        <w:tc>
          <w:tcPr>
            <w:tcW w:w="2003" w:type="pct"/>
            <w:vMerge w:val="continue"/>
            <w:vAlign w:val="center"/>
          </w:tcPr>
          <w:p>
            <w:pPr>
              <w:spacing w:line="360" w:lineRule="auto"/>
              <w:jc w:val="both"/>
              <w:rPr>
                <w:rFonts w:ascii="Book Antiqua" w:hAnsi="Book Antiqua" w:cs="Book Antiqua"/>
                <w:bCs/>
                <w:color w:val="000000"/>
                <w:highlight w:val="none"/>
                <w:lang w:eastAsia="zh-CN"/>
              </w:rPr>
            </w:pP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18 (72)</w:t>
            </w:r>
          </w:p>
        </w:tc>
      </w:tr>
      <w:tr>
        <w:tblPrEx>
          <w:tblCellMar>
            <w:top w:w="0" w:type="dxa"/>
            <w:left w:w="108" w:type="dxa"/>
            <w:bottom w:w="0" w:type="dxa"/>
            <w:right w:w="108" w:type="dxa"/>
          </w:tblCellMar>
        </w:tblPrEx>
        <w:tc>
          <w:tcPr>
            <w:tcW w:w="2003" w:type="pct"/>
            <w:vMerge w:val="restar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Need of pigtail catheter for biloma (total = 18)</w:t>
            </w: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15 (83.3)</w:t>
            </w:r>
          </w:p>
        </w:tc>
      </w:tr>
      <w:tr>
        <w:tblPrEx>
          <w:tblCellMar>
            <w:top w:w="0" w:type="dxa"/>
            <w:left w:w="108" w:type="dxa"/>
            <w:bottom w:w="0" w:type="dxa"/>
            <w:right w:w="108" w:type="dxa"/>
          </w:tblCellMar>
        </w:tblPrEx>
        <w:tc>
          <w:tcPr>
            <w:tcW w:w="2003" w:type="pct"/>
            <w:vMerge w:val="continue"/>
            <w:vAlign w:val="center"/>
          </w:tcPr>
          <w:p>
            <w:pPr>
              <w:spacing w:line="360" w:lineRule="auto"/>
              <w:jc w:val="both"/>
              <w:rPr>
                <w:rFonts w:ascii="Book Antiqua" w:hAnsi="Book Antiqua" w:cs="Book Antiqua"/>
                <w:bCs/>
                <w:color w:val="000000"/>
                <w:highlight w:val="none"/>
                <w:lang w:eastAsia="zh-CN"/>
              </w:rPr>
            </w:pP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3 (16.6)</w:t>
            </w:r>
          </w:p>
        </w:tc>
      </w:tr>
      <w:tr>
        <w:tblPrEx>
          <w:tblCellMar>
            <w:top w:w="0" w:type="dxa"/>
            <w:left w:w="108" w:type="dxa"/>
            <w:bottom w:w="0" w:type="dxa"/>
            <w:right w:w="108" w:type="dxa"/>
          </w:tblCellMar>
        </w:tblPrEx>
        <w:tc>
          <w:tcPr>
            <w:tcW w:w="2003" w:type="pct"/>
            <w:vMerge w:val="restar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 xml:space="preserve">Biliary infection </w:t>
            </w: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0 (0)</w:t>
            </w:r>
          </w:p>
        </w:tc>
      </w:tr>
      <w:tr>
        <w:tblPrEx>
          <w:tblCellMar>
            <w:top w:w="0" w:type="dxa"/>
            <w:left w:w="108" w:type="dxa"/>
            <w:bottom w:w="0" w:type="dxa"/>
            <w:right w:w="108" w:type="dxa"/>
          </w:tblCellMar>
        </w:tblPrEx>
        <w:tc>
          <w:tcPr>
            <w:tcW w:w="2003" w:type="pct"/>
            <w:vMerge w:val="continue"/>
            <w:vAlign w:val="center"/>
          </w:tcPr>
          <w:p>
            <w:pPr>
              <w:spacing w:line="360" w:lineRule="auto"/>
              <w:jc w:val="both"/>
              <w:rPr>
                <w:rFonts w:ascii="Book Antiqua" w:hAnsi="Book Antiqua" w:cs="Book Antiqua"/>
                <w:bCs/>
                <w:color w:val="000000"/>
                <w:highlight w:val="none"/>
                <w:lang w:eastAsia="zh-CN"/>
              </w:rPr>
            </w:pP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25 (100)</w:t>
            </w:r>
          </w:p>
        </w:tc>
      </w:tr>
      <w:tr>
        <w:tblPrEx>
          <w:tblCellMar>
            <w:top w:w="0" w:type="dxa"/>
            <w:left w:w="108" w:type="dxa"/>
            <w:bottom w:w="0" w:type="dxa"/>
            <w:right w:w="108" w:type="dxa"/>
          </w:tblCellMar>
        </w:tblPrEx>
        <w:trPr>
          <w:trHeight w:val="251" w:hRule="atLeast"/>
        </w:trPr>
        <w:tc>
          <w:tcPr>
            <w:tcW w:w="2003" w:type="pct"/>
            <w:vMerge w:val="restar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Frequency of biliary infection (total = 25)</w:t>
            </w: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1-2 Episodes</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16 (64)</w:t>
            </w:r>
          </w:p>
        </w:tc>
      </w:tr>
      <w:tr>
        <w:tblPrEx>
          <w:tblCellMar>
            <w:top w:w="0" w:type="dxa"/>
            <w:left w:w="108" w:type="dxa"/>
            <w:bottom w:w="0" w:type="dxa"/>
            <w:right w:w="108" w:type="dxa"/>
          </w:tblCellMar>
        </w:tblPrEx>
        <w:tc>
          <w:tcPr>
            <w:tcW w:w="2003" w:type="pct"/>
            <w:vMerge w:val="continue"/>
            <w:vAlign w:val="center"/>
          </w:tcPr>
          <w:p>
            <w:pPr>
              <w:spacing w:line="360" w:lineRule="auto"/>
              <w:jc w:val="both"/>
              <w:rPr>
                <w:rFonts w:ascii="Book Antiqua" w:hAnsi="Book Antiqua" w:cs="Book Antiqua"/>
                <w:bCs/>
                <w:color w:val="000000"/>
                <w:highlight w:val="none"/>
                <w:lang w:eastAsia="zh-CN"/>
              </w:rPr>
            </w:pP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 3 Episodes</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9 (36)</w:t>
            </w:r>
          </w:p>
        </w:tc>
      </w:tr>
      <w:tr>
        <w:tblPrEx>
          <w:tblCellMar>
            <w:top w:w="0" w:type="dxa"/>
            <w:left w:w="108" w:type="dxa"/>
            <w:bottom w:w="0" w:type="dxa"/>
            <w:right w:w="108" w:type="dxa"/>
          </w:tblCellMar>
        </w:tblPrEx>
        <w:tc>
          <w:tcPr>
            <w:tcW w:w="2003" w:type="pct"/>
            <w:vMerge w:val="restar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Biliary stricture</w:t>
            </w: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5 (20)</w:t>
            </w:r>
          </w:p>
        </w:tc>
      </w:tr>
      <w:tr>
        <w:tblPrEx>
          <w:tblCellMar>
            <w:top w:w="0" w:type="dxa"/>
            <w:left w:w="108" w:type="dxa"/>
            <w:bottom w:w="0" w:type="dxa"/>
            <w:right w:w="108" w:type="dxa"/>
          </w:tblCellMar>
        </w:tblPrEx>
        <w:tc>
          <w:tcPr>
            <w:tcW w:w="2003" w:type="pct"/>
            <w:vMerge w:val="continue"/>
            <w:vAlign w:val="center"/>
          </w:tcPr>
          <w:p>
            <w:pPr>
              <w:spacing w:line="360" w:lineRule="auto"/>
              <w:jc w:val="both"/>
              <w:rPr>
                <w:rFonts w:ascii="Book Antiqua" w:hAnsi="Book Antiqua" w:cs="Book Antiqua"/>
                <w:bCs/>
                <w:color w:val="000000"/>
                <w:highlight w:val="none"/>
                <w:lang w:eastAsia="zh-CN"/>
              </w:rPr>
            </w:pP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20 (80)</w:t>
            </w:r>
          </w:p>
        </w:tc>
      </w:tr>
      <w:tr>
        <w:tblPrEx>
          <w:tblCellMar>
            <w:top w:w="0" w:type="dxa"/>
            <w:left w:w="108" w:type="dxa"/>
            <w:bottom w:w="0" w:type="dxa"/>
            <w:right w:w="108" w:type="dxa"/>
          </w:tblCellMar>
        </w:tblPrEx>
        <w:trPr>
          <w:trHeight w:val="215" w:hRule="atLeast"/>
        </w:trPr>
        <w:tc>
          <w:tcPr>
            <w:tcW w:w="2003" w:type="pct"/>
            <w:vMerge w:val="restar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Frequency of biliary stricture (total = 20)</w:t>
            </w: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1-2 Episodes</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13 (65)</w:t>
            </w:r>
          </w:p>
        </w:tc>
      </w:tr>
      <w:tr>
        <w:tblPrEx>
          <w:tblCellMar>
            <w:top w:w="0" w:type="dxa"/>
            <w:left w:w="108" w:type="dxa"/>
            <w:bottom w:w="0" w:type="dxa"/>
            <w:right w:w="108" w:type="dxa"/>
          </w:tblCellMar>
        </w:tblPrEx>
        <w:tc>
          <w:tcPr>
            <w:tcW w:w="2003" w:type="pct"/>
            <w:vMerge w:val="continue"/>
            <w:vAlign w:val="center"/>
          </w:tcPr>
          <w:p>
            <w:pPr>
              <w:spacing w:line="360" w:lineRule="auto"/>
              <w:jc w:val="both"/>
              <w:rPr>
                <w:rFonts w:ascii="Book Antiqua" w:hAnsi="Book Antiqua" w:cs="Book Antiqua"/>
                <w:bCs/>
                <w:color w:val="000000"/>
                <w:highlight w:val="none"/>
                <w:lang w:eastAsia="zh-CN"/>
              </w:rPr>
            </w:pP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 3 Episodes</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7 (28)</w:t>
            </w:r>
          </w:p>
        </w:tc>
      </w:tr>
      <w:tr>
        <w:tblPrEx>
          <w:tblCellMar>
            <w:top w:w="0" w:type="dxa"/>
            <w:left w:w="108" w:type="dxa"/>
            <w:bottom w:w="0" w:type="dxa"/>
            <w:right w:w="108" w:type="dxa"/>
          </w:tblCellMar>
        </w:tblPrEx>
        <w:tc>
          <w:tcPr>
            <w:tcW w:w="2003" w:type="pct"/>
            <w:vMerge w:val="restar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Need for ERCP</w:t>
            </w: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5 (20)</w:t>
            </w:r>
          </w:p>
        </w:tc>
      </w:tr>
      <w:tr>
        <w:tblPrEx>
          <w:tblCellMar>
            <w:top w:w="0" w:type="dxa"/>
            <w:left w:w="108" w:type="dxa"/>
            <w:bottom w:w="0" w:type="dxa"/>
            <w:right w:w="108" w:type="dxa"/>
          </w:tblCellMar>
        </w:tblPrEx>
        <w:tc>
          <w:tcPr>
            <w:tcW w:w="2003" w:type="pct"/>
            <w:vMerge w:val="continue"/>
            <w:vAlign w:val="center"/>
          </w:tcPr>
          <w:p>
            <w:pPr>
              <w:spacing w:line="360" w:lineRule="auto"/>
              <w:jc w:val="both"/>
              <w:rPr>
                <w:rFonts w:ascii="Book Antiqua" w:hAnsi="Book Antiqua" w:cs="Book Antiqua"/>
                <w:bCs/>
                <w:color w:val="000000"/>
                <w:highlight w:val="none"/>
                <w:lang w:eastAsia="zh-CN"/>
              </w:rPr>
            </w:pP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20 (80)</w:t>
            </w:r>
          </w:p>
        </w:tc>
      </w:tr>
      <w:tr>
        <w:tblPrEx>
          <w:tblCellMar>
            <w:top w:w="0" w:type="dxa"/>
            <w:left w:w="108" w:type="dxa"/>
            <w:bottom w:w="0" w:type="dxa"/>
            <w:right w:w="108" w:type="dxa"/>
          </w:tblCellMar>
        </w:tblPrEx>
        <w:trPr>
          <w:trHeight w:val="215" w:hRule="atLeast"/>
        </w:trPr>
        <w:tc>
          <w:tcPr>
            <w:tcW w:w="2003" w:type="pct"/>
            <w:vMerge w:val="restar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Frequency of ERCP</w:t>
            </w: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1-2 ERCP</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13 (65)</w:t>
            </w:r>
          </w:p>
        </w:tc>
      </w:tr>
      <w:tr>
        <w:tblPrEx>
          <w:tblCellMar>
            <w:top w:w="0" w:type="dxa"/>
            <w:left w:w="108" w:type="dxa"/>
            <w:bottom w:w="0" w:type="dxa"/>
            <w:right w:w="108" w:type="dxa"/>
          </w:tblCellMar>
        </w:tblPrEx>
        <w:tc>
          <w:tcPr>
            <w:tcW w:w="2003" w:type="pct"/>
            <w:vMerge w:val="continue"/>
            <w:vAlign w:val="center"/>
          </w:tcPr>
          <w:p>
            <w:pPr>
              <w:spacing w:line="360" w:lineRule="auto"/>
              <w:jc w:val="both"/>
              <w:rPr>
                <w:rFonts w:ascii="Book Antiqua" w:hAnsi="Book Antiqua" w:cs="Book Antiqua"/>
                <w:bCs/>
                <w:color w:val="000000"/>
                <w:highlight w:val="none"/>
                <w:lang w:eastAsia="zh-CN"/>
              </w:rPr>
            </w:pP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 3 ERCP</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7 (28)</w:t>
            </w:r>
          </w:p>
        </w:tc>
      </w:tr>
      <w:tr>
        <w:tblPrEx>
          <w:tblCellMar>
            <w:top w:w="0" w:type="dxa"/>
            <w:left w:w="108" w:type="dxa"/>
            <w:bottom w:w="0" w:type="dxa"/>
            <w:right w:w="108" w:type="dxa"/>
          </w:tblCellMar>
        </w:tblPrEx>
        <w:tc>
          <w:tcPr>
            <w:tcW w:w="2003" w:type="pct"/>
            <w:vMerge w:val="restar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Need for PTC</w:t>
            </w: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22 (88)</w:t>
            </w:r>
          </w:p>
        </w:tc>
      </w:tr>
      <w:tr>
        <w:tblPrEx>
          <w:tblCellMar>
            <w:top w:w="0" w:type="dxa"/>
            <w:left w:w="108" w:type="dxa"/>
            <w:bottom w:w="0" w:type="dxa"/>
            <w:right w:w="108" w:type="dxa"/>
          </w:tblCellMar>
        </w:tblPrEx>
        <w:tc>
          <w:tcPr>
            <w:tcW w:w="2003" w:type="pct"/>
            <w:vMerge w:val="continue"/>
            <w:vAlign w:val="center"/>
          </w:tcPr>
          <w:p>
            <w:pPr>
              <w:spacing w:line="360" w:lineRule="auto"/>
              <w:jc w:val="both"/>
              <w:rPr>
                <w:rFonts w:ascii="Book Antiqua" w:hAnsi="Book Antiqua" w:cs="Book Antiqua"/>
                <w:bCs/>
                <w:color w:val="000000"/>
                <w:highlight w:val="none"/>
                <w:lang w:eastAsia="zh-CN"/>
              </w:rPr>
            </w:pP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3 (12)</w:t>
            </w:r>
          </w:p>
        </w:tc>
      </w:tr>
      <w:tr>
        <w:tblPrEx>
          <w:tblCellMar>
            <w:top w:w="0" w:type="dxa"/>
            <w:left w:w="108" w:type="dxa"/>
            <w:bottom w:w="0" w:type="dxa"/>
            <w:right w:w="108" w:type="dxa"/>
          </w:tblCellMar>
        </w:tblPrEx>
        <w:trPr>
          <w:trHeight w:val="224" w:hRule="atLeast"/>
        </w:trPr>
        <w:tc>
          <w:tcPr>
            <w:tcW w:w="2003" w:type="pct"/>
            <w:vMerge w:val="restar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Frequency of PTC</w:t>
            </w: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 PTC</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2 (66.6)</w:t>
            </w:r>
          </w:p>
        </w:tc>
      </w:tr>
      <w:tr>
        <w:tblPrEx>
          <w:tblCellMar>
            <w:top w:w="0" w:type="dxa"/>
            <w:left w:w="108" w:type="dxa"/>
            <w:bottom w:w="0" w:type="dxa"/>
            <w:right w:w="108" w:type="dxa"/>
          </w:tblCellMar>
        </w:tblPrEx>
        <w:trPr>
          <w:trHeight w:val="99" w:hRule="atLeast"/>
        </w:trPr>
        <w:tc>
          <w:tcPr>
            <w:tcW w:w="2003" w:type="pct"/>
            <w:vMerge w:val="continue"/>
            <w:vAlign w:val="center"/>
          </w:tcPr>
          <w:p>
            <w:pPr>
              <w:spacing w:line="360" w:lineRule="auto"/>
              <w:jc w:val="both"/>
              <w:rPr>
                <w:rFonts w:ascii="Book Antiqua" w:hAnsi="Book Antiqua" w:cs="Book Antiqua"/>
                <w:bCs/>
                <w:color w:val="000000"/>
                <w:highlight w:val="none"/>
                <w:lang w:eastAsia="zh-CN"/>
              </w:rPr>
            </w:pP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2 PTC</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 (33.3)</w:t>
            </w:r>
          </w:p>
        </w:tc>
      </w:tr>
      <w:tr>
        <w:tblPrEx>
          <w:tblCellMar>
            <w:top w:w="0" w:type="dxa"/>
            <w:left w:w="108" w:type="dxa"/>
            <w:bottom w:w="0" w:type="dxa"/>
            <w:right w:w="108" w:type="dxa"/>
          </w:tblCellMar>
        </w:tblPrEx>
        <w:tc>
          <w:tcPr>
            <w:tcW w:w="2003" w:type="pct"/>
            <w:vMerge w:val="restar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Surgical intervention for stricture</w:t>
            </w: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19 (95)</w:t>
            </w:r>
          </w:p>
        </w:tc>
      </w:tr>
      <w:tr>
        <w:tblPrEx>
          <w:tblCellMar>
            <w:top w:w="0" w:type="dxa"/>
            <w:left w:w="108" w:type="dxa"/>
            <w:bottom w:w="0" w:type="dxa"/>
            <w:right w:w="108" w:type="dxa"/>
          </w:tblCellMar>
        </w:tblPrEx>
        <w:tc>
          <w:tcPr>
            <w:tcW w:w="2003" w:type="pct"/>
            <w:vMerge w:val="continue"/>
            <w:vAlign w:val="center"/>
          </w:tcPr>
          <w:p>
            <w:pPr>
              <w:spacing w:line="360" w:lineRule="auto"/>
              <w:jc w:val="both"/>
              <w:rPr>
                <w:rFonts w:ascii="Book Antiqua" w:hAnsi="Book Antiqua" w:cs="Book Antiqua"/>
                <w:bCs/>
                <w:color w:val="000000"/>
                <w:highlight w:val="none"/>
                <w:lang w:eastAsia="zh-CN"/>
              </w:rPr>
            </w:pP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 (5)</w:t>
            </w:r>
          </w:p>
        </w:tc>
      </w:tr>
      <w:tr>
        <w:tblPrEx>
          <w:tblCellMar>
            <w:top w:w="0" w:type="dxa"/>
            <w:left w:w="108" w:type="dxa"/>
            <w:bottom w:w="0" w:type="dxa"/>
            <w:right w:w="108" w:type="dxa"/>
          </w:tblCellMar>
        </w:tblPrEx>
        <w:tc>
          <w:tcPr>
            <w:tcW w:w="2003" w:type="pct"/>
            <w:vMerge w:val="restar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Admission related to biliary complications</w:t>
            </w: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0 (0)</w:t>
            </w:r>
          </w:p>
        </w:tc>
      </w:tr>
      <w:tr>
        <w:tblPrEx>
          <w:tblCellMar>
            <w:top w:w="0" w:type="dxa"/>
            <w:left w:w="108" w:type="dxa"/>
            <w:bottom w:w="0" w:type="dxa"/>
            <w:right w:w="108" w:type="dxa"/>
          </w:tblCellMar>
        </w:tblPrEx>
        <w:tc>
          <w:tcPr>
            <w:tcW w:w="2003" w:type="pct"/>
            <w:vMerge w:val="continue"/>
            <w:vAlign w:val="center"/>
          </w:tcPr>
          <w:p>
            <w:pPr>
              <w:spacing w:line="360" w:lineRule="auto"/>
              <w:jc w:val="both"/>
              <w:rPr>
                <w:rFonts w:ascii="Book Antiqua" w:hAnsi="Book Antiqua" w:cs="Book Antiqua"/>
                <w:bCs/>
                <w:color w:val="000000"/>
                <w:highlight w:val="none"/>
                <w:lang w:eastAsia="zh-CN"/>
              </w:rPr>
            </w:pP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25 (100)</w:t>
            </w:r>
          </w:p>
        </w:tc>
      </w:tr>
      <w:tr>
        <w:tblPrEx>
          <w:tblCellMar>
            <w:top w:w="0" w:type="dxa"/>
            <w:left w:w="108" w:type="dxa"/>
            <w:bottom w:w="0" w:type="dxa"/>
            <w:right w:w="108" w:type="dxa"/>
          </w:tblCellMar>
        </w:tblPrEx>
        <w:tc>
          <w:tcPr>
            <w:tcW w:w="2003" w:type="pct"/>
            <w:vMerge w:val="restar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Early biliary infection (total = 25)</w:t>
            </w: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2 (8)</w:t>
            </w:r>
          </w:p>
        </w:tc>
      </w:tr>
      <w:tr>
        <w:tblPrEx>
          <w:tblCellMar>
            <w:top w:w="0" w:type="dxa"/>
            <w:left w:w="108" w:type="dxa"/>
            <w:bottom w:w="0" w:type="dxa"/>
            <w:right w:w="108" w:type="dxa"/>
          </w:tblCellMar>
        </w:tblPrEx>
        <w:tc>
          <w:tcPr>
            <w:tcW w:w="2003" w:type="pct"/>
            <w:vMerge w:val="continue"/>
            <w:vAlign w:val="center"/>
          </w:tcPr>
          <w:p>
            <w:pPr>
              <w:spacing w:line="360" w:lineRule="auto"/>
              <w:jc w:val="both"/>
              <w:rPr>
                <w:rFonts w:ascii="Book Antiqua" w:hAnsi="Book Antiqua" w:cs="Book Antiqua"/>
                <w:bCs/>
                <w:color w:val="000000"/>
                <w:highlight w:val="none"/>
                <w:lang w:eastAsia="zh-CN"/>
              </w:rPr>
            </w:pP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23 (92)</w:t>
            </w:r>
          </w:p>
        </w:tc>
      </w:tr>
      <w:tr>
        <w:tblPrEx>
          <w:tblCellMar>
            <w:top w:w="0" w:type="dxa"/>
            <w:left w:w="108" w:type="dxa"/>
            <w:bottom w:w="0" w:type="dxa"/>
            <w:right w:w="108" w:type="dxa"/>
          </w:tblCellMar>
        </w:tblPrEx>
        <w:tc>
          <w:tcPr>
            <w:tcW w:w="2003" w:type="pct"/>
            <w:vMerge w:val="restar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Early biliary stricture (total = 20)</w:t>
            </w:r>
          </w:p>
        </w:tc>
        <w:tc>
          <w:tcPr>
            <w:tcW w:w="1844"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w:t>
            </w:r>
          </w:p>
        </w:tc>
        <w:tc>
          <w:tcPr>
            <w:tcW w:w="1153"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17 (68)</w:t>
            </w:r>
          </w:p>
        </w:tc>
      </w:tr>
      <w:tr>
        <w:tblPrEx>
          <w:tblCellMar>
            <w:top w:w="0" w:type="dxa"/>
            <w:left w:w="108" w:type="dxa"/>
            <w:bottom w:w="0" w:type="dxa"/>
            <w:right w:w="108" w:type="dxa"/>
          </w:tblCellMar>
        </w:tblPrEx>
        <w:tc>
          <w:tcPr>
            <w:tcW w:w="2003" w:type="pct"/>
            <w:vMerge w:val="continue"/>
            <w:tcBorders>
              <w:bottom w:val="single" w:color="auto" w:sz="4" w:space="0"/>
            </w:tcBorders>
          </w:tcPr>
          <w:p>
            <w:pPr>
              <w:spacing w:line="360" w:lineRule="auto"/>
              <w:jc w:val="both"/>
              <w:rPr>
                <w:rFonts w:ascii="Book Antiqua" w:hAnsi="Book Antiqua" w:cs="Book Antiqua"/>
                <w:bCs/>
                <w:color w:val="000000"/>
                <w:highlight w:val="none"/>
                <w:lang w:eastAsia="zh-CN"/>
              </w:rPr>
            </w:pPr>
          </w:p>
        </w:tc>
        <w:tc>
          <w:tcPr>
            <w:tcW w:w="1844" w:type="pct"/>
            <w:tcBorders>
              <w:bottom w:val="single" w:color="auto" w:sz="4" w:space="0"/>
            </w:tcBorders>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w:t>
            </w:r>
          </w:p>
        </w:tc>
        <w:tc>
          <w:tcPr>
            <w:tcW w:w="1153" w:type="pct"/>
            <w:tcBorders>
              <w:bottom w:val="single" w:color="auto" w:sz="4" w:space="0"/>
            </w:tcBorders>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8 (32)</w:t>
            </w:r>
          </w:p>
        </w:tc>
      </w:tr>
    </w:tbl>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Data presented in number (</w:t>
      </w:r>
      <w:r>
        <w:rPr>
          <w:rFonts w:ascii="Book Antiqua" w:hAnsi="Book Antiqua" w:cs="Book Antiqua"/>
          <w:bCs/>
          <w:i/>
          <w:color w:val="000000"/>
          <w:highlight w:val="none"/>
          <w:lang w:eastAsia="zh-CN"/>
        </w:rPr>
        <w:t>n</w:t>
      </w:r>
      <w:r>
        <w:rPr>
          <w:rFonts w:ascii="Book Antiqua" w:hAnsi="Book Antiqua" w:cs="Book Antiqua"/>
          <w:bCs/>
          <w:color w:val="000000"/>
          <w:highlight w:val="none"/>
          <w:lang w:eastAsia="zh-CN"/>
        </w:rPr>
        <w:t>) and percentage (%)</w:t>
      </w:r>
      <w:r>
        <w:rPr>
          <w:rFonts w:hint="eastAsia" w:ascii="Book Antiqua" w:hAnsi="Book Antiqua" w:cs="Book Antiqua"/>
          <w:bCs/>
          <w:color w:val="000000"/>
          <w:highlight w:val="none"/>
          <w:lang w:eastAsia="zh-CN"/>
        </w:rPr>
        <w:t>.</w:t>
      </w:r>
      <w:r>
        <w:rPr>
          <w:rFonts w:ascii="Book Antiqua" w:hAnsi="Book Antiqua" w:cs="Book Antiqua"/>
          <w:bCs/>
          <w:color w:val="000000"/>
          <w:highlight w:val="none"/>
          <w:lang w:eastAsia="zh-CN"/>
        </w:rPr>
        <w:t xml:space="preserve"> ERCP: Endoscopic retrograde cholangiopancreatography; HBV: Hepatitis B virus; HCV: Hepatitis C virus; PTC: Percutaneous transhepatic cholangiography</w:t>
      </w:r>
      <w:r>
        <w:rPr>
          <w:rFonts w:hint="eastAsia" w:ascii="Book Antiqua" w:hAnsi="Book Antiqua" w:cs="Book Antiqua"/>
          <w:bCs/>
          <w:color w:val="000000"/>
          <w:highlight w:val="none"/>
          <w:lang w:eastAsia="zh-CN"/>
        </w:rPr>
        <w:t>.</w:t>
      </w:r>
    </w:p>
    <w:p>
      <w:pPr>
        <w:spacing w:line="360" w:lineRule="auto"/>
        <w:jc w:val="both"/>
        <w:rPr>
          <w:rFonts w:ascii="Book Antiqua" w:hAnsi="Book Antiqua" w:cs="Book Antiqua"/>
          <w:b/>
          <w:bCs/>
          <w:color w:val="000000"/>
          <w:highlight w:val="none"/>
          <w:lang w:eastAsia="zh-CN"/>
        </w:rPr>
      </w:pPr>
      <w:r>
        <w:rPr>
          <w:rFonts w:ascii="Book Antiqua" w:hAnsi="Book Antiqua" w:cs="Book Antiqua"/>
          <w:bCs/>
          <w:color w:val="000000"/>
          <w:highlight w:val="none"/>
          <w:lang w:eastAsia="zh-CN"/>
        </w:rPr>
        <w:br w:type="page"/>
      </w:r>
      <w:bookmarkStart w:id="0" w:name="_Toc521675583"/>
      <w:r>
        <w:rPr>
          <w:rFonts w:ascii="Book Antiqua" w:hAnsi="Book Antiqua" w:cs="Book Antiqua"/>
          <w:b/>
          <w:bCs/>
          <w:color w:val="000000"/>
          <w:highlight w:val="none"/>
          <w:lang w:eastAsia="zh-CN"/>
        </w:rPr>
        <w:t xml:space="preserve">Table 2 Descriptive numerical data for </w:t>
      </w:r>
      <w:bookmarkEnd w:id="0"/>
      <w:r>
        <w:rPr>
          <w:rFonts w:ascii="Book Antiqua" w:hAnsi="Book Antiqua" w:cs="Book Antiqua"/>
          <w:b/>
          <w:bCs/>
          <w:color w:val="000000"/>
          <w:highlight w:val="none"/>
          <w:lang w:eastAsia="zh-CN"/>
        </w:rPr>
        <w:t>live-donor liver transplant recipients with biliary complications</w:t>
      </w:r>
    </w:p>
    <w:tbl>
      <w:tblPr>
        <w:tblStyle w:val="6"/>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53"/>
        <w:gridCol w:w="372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Borders>
              <w:top w:val="single" w:color="auto" w:sz="4" w:space="0"/>
              <w:bottom w:val="single" w:color="auto" w:sz="4" w:space="0"/>
            </w:tcBorders>
          </w:tcPr>
          <w:p>
            <w:pPr>
              <w:spacing w:line="360" w:lineRule="auto"/>
              <w:jc w:val="both"/>
              <w:rPr>
                <w:rFonts w:ascii="Book Antiqua" w:hAnsi="Book Antiqua" w:cs="Book Antiqua"/>
                <w:b/>
                <w:color w:val="000000"/>
                <w:highlight w:val="none"/>
                <w:lang w:eastAsia="zh-CN"/>
              </w:rPr>
            </w:pPr>
            <w:r>
              <w:rPr>
                <w:rFonts w:ascii="Book Antiqua" w:hAnsi="Book Antiqua" w:cs="Book Antiqua"/>
                <w:b/>
                <w:color w:val="000000"/>
                <w:highlight w:val="none"/>
                <w:lang w:eastAsia="zh-CN"/>
              </w:rPr>
              <w:t xml:space="preserve">Variable </w:t>
            </w:r>
          </w:p>
        </w:tc>
        <w:tc>
          <w:tcPr>
            <w:tcW w:w="1944" w:type="pct"/>
            <w:tcBorders>
              <w:top w:val="single" w:color="auto" w:sz="4" w:space="0"/>
              <w:bottom w:val="single" w:color="auto" w:sz="4" w:space="0"/>
            </w:tcBorders>
            <w:vAlign w:val="center"/>
          </w:tcPr>
          <w:p>
            <w:pPr>
              <w:spacing w:line="360" w:lineRule="auto"/>
              <w:jc w:val="both"/>
              <w:rPr>
                <w:rFonts w:ascii="Book Antiqua" w:hAnsi="Book Antiqua" w:cs="Book Antiqua"/>
                <w:b/>
                <w:color w:val="000000"/>
                <w:highlight w:val="none"/>
                <w:lang w:eastAsia="zh-CN"/>
              </w:rPr>
            </w:pPr>
            <w:r>
              <w:rPr>
                <w:rFonts w:ascii="Book Antiqua" w:hAnsi="Book Antiqua" w:cs="Book Antiqua"/>
                <w:b/>
                <w:color w:val="000000"/>
                <w:highlight w:val="none"/>
                <w:lang w:eastAsia="zh-C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Borders>
              <w:top w:val="single" w:color="auto" w:sz="4" w:space="0"/>
            </w:tcBorders>
          </w:tcPr>
          <w:p>
            <w:pPr>
              <w:spacing w:line="360" w:lineRule="auto"/>
              <w:jc w:val="both"/>
              <w:rPr>
                <w:rFonts w:ascii="Book Antiqua" w:hAnsi="Book Antiqua" w:cs="Book Antiqua"/>
                <w:bCs/>
                <w:color w:val="000000"/>
                <w:highlight w:val="none"/>
                <w:lang w:eastAsia="zh-CN"/>
              </w:rPr>
            </w:pPr>
            <w:bookmarkStart w:id="1" w:name="_Hlk60488633"/>
            <w:r>
              <w:rPr>
                <w:rFonts w:ascii="Book Antiqua" w:hAnsi="Book Antiqua" w:cs="Book Antiqua"/>
                <w:bCs/>
                <w:color w:val="000000"/>
                <w:highlight w:val="none"/>
                <w:lang w:eastAsia="zh-CN"/>
              </w:rPr>
              <w:t>MELD score</w:t>
            </w:r>
          </w:p>
        </w:tc>
        <w:tc>
          <w:tcPr>
            <w:tcW w:w="1944" w:type="pct"/>
            <w:tcBorders>
              <w:top w:val="single" w:color="auto" w:sz="4" w:space="0"/>
            </w:tcBorders>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15 ± 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Child score</w:t>
            </w:r>
          </w:p>
        </w:tc>
        <w:tc>
          <w:tcPr>
            <w:tcW w:w="1944"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9 ±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Donors’ age (yr)</w:t>
            </w:r>
          </w:p>
        </w:tc>
        <w:tc>
          <w:tcPr>
            <w:tcW w:w="1944"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30 ±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Donors’ BMI (kg/m</w:t>
            </w:r>
            <w:r>
              <w:rPr>
                <w:rFonts w:ascii="Book Antiqua" w:hAnsi="Book Antiqua" w:cs="Book Antiqua"/>
                <w:bCs/>
                <w:color w:val="000000"/>
                <w:highlight w:val="none"/>
                <w:vertAlign w:val="superscript"/>
                <w:lang w:eastAsia="zh-CN"/>
              </w:rPr>
              <w:t>2</w:t>
            </w:r>
            <w:r>
              <w:rPr>
                <w:rFonts w:ascii="Book Antiqua" w:hAnsi="Book Antiqua" w:cs="Book Antiqua"/>
                <w:bCs/>
                <w:color w:val="000000"/>
                <w:highlight w:val="none"/>
                <w:lang w:eastAsia="zh-CN"/>
              </w:rPr>
              <w:t>)</w:t>
            </w:r>
          </w:p>
        </w:tc>
        <w:tc>
          <w:tcPr>
            <w:tcW w:w="1944"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25 ±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Recipient's age (yr)</w:t>
            </w:r>
          </w:p>
        </w:tc>
        <w:tc>
          <w:tcPr>
            <w:tcW w:w="1944"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52 ± 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Recipient's BMI (kg/m</w:t>
            </w:r>
            <w:r>
              <w:rPr>
                <w:rFonts w:ascii="Book Antiqua" w:hAnsi="Book Antiqua" w:cs="Book Antiqua"/>
                <w:bCs/>
                <w:color w:val="000000"/>
                <w:highlight w:val="none"/>
                <w:vertAlign w:val="superscript"/>
                <w:lang w:eastAsia="zh-CN"/>
              </w:rPr>
              <w:t>2</w:t>
            </w:r>
            <w:r>
              <w:rPr>
                <w:rFonts w:ascii="Book Antiqua" w:hAnsi="Book Antiqua" w:cs="Book Antiqua"/>
                <w:bCs/>
                <w:color w:val="000000"/>
                <w:highlight w:val="none"/>
                <w:lang w:eastAsia="zh-CN"/>
              </w:rPr>
              <w:t>)</w:t>
            </w:r>
          </w:p>
        </w:tc>
        <w:tc>
          <w:tcPr>
            <w:tcW w:w="1944"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27 ± 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Total bilirubin (mg/dL)</w:t>
            </w:r>
          </w:p>
        </w:tc>
        <w:tc>
          <w:tcPr>
            <w:tcW w:w="1944"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2.9 (2-3.9)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Direct bilirubin (mg/dL)</w:t>
            </w:r>
          </w:p>
        </w:tc>
        <w:tc>
          <w:tcPr>
            <w:tcW w:w="1944"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1.6 (0.9-2.3)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Alkaline phosphatase (IU/L)</w:t>
            </w:r>
          </w:p>
        </w:tc>
        <w:tc>
          <w:tcPr>
            <w:tcW w:w="1944"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190 ± 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Gamma-glutamyl transferase (IU/L)</w:t>
            </w:r>
          </w:p>
        </w:tc>
        <w:tc>
          <w:tcPr>
            <w:tcW w:w="1944"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100 (50-130)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Platelets (10</w:t>
            </w:r>
            <w:r>
              <w:rPr>
                <w:rFonts w:ascii="Book Antiqua" w:hAnsi="Book Antiqua" w:cs="Book Antiqua"/>
                <w:bCs/>
                <w:color w:val="000000"/>
                <w:highlight w:val="none"/>
                <w:vertAlign w:val="superscript"/>
                <w:lang w:eastAsia="zh-CN"/>
              </w:rPr>
              <w:t>9</w:t>
            </w:r>
            <w:r>
              <w:rPr>
                <w:rFonts w:ascii="Book Antiqua" w:hAnsi="Book Antiqua" w:cs="Book Antiqua"/>
                <w:bCs/>
                <w:color w:val="000000"/>
                <w:highlight w:val="none"/>
                <w:lang w:eastAsia="zh-CN"/>
              </w:rPr>
              <w:t>/L)</w:t>
            </w:r>
          </w:p>
        </w:tc>
        <w:tc>
          <w:tcPr>
            <w:tcW w:w="1944"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75 ± 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Cold ischemia time (min)</w:t>
            </w:r>
          </w:p>
        </w:tc>
        <w:tc>
          <w:tcPr>
            <w:tcW w:w="1944"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48 ± 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Warm ischemia time (min)</w:t>
            </w:r>
          </w:p>
        </w:tc>
        <w:tc>
          <w:tcPr>
            <w:tcW w:w="1944"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47 ± 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Graft arterialization time (min)</w:t>
            </w:r>
          </w:p>
        </w:tc>
        <w:tc>
          <w:tcPr>
            <w:tcW w:w="1944"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145 ± 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Time to biliary infection (d)</w:t>
            </w:r>
          </w:p>
        </w:tc>
        <w:tc>
          <w:tcPr>
            <w:tcW w:w="1944"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13 (11-36)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056" w:type="pct"/>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Time to biliary stricture (d)</w:t>
            </w:r>
          </w:p>
        </w:tc>
        <w:tc>
          <w:tcPr>
            <w:tcW w:w="1944"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130 (120-190)</w:t>
            </w:r>
          </w:p>
        </w:tc>
      </w:tr>
      <w:bookmarkEnd w:id="1"/>
    </w:tbl>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Data are presented as mean ± SD or median and range. BMI: Body mass index; MELD: Model for end stage liver disease</w:t>
      </w:r>
      <w:r>
        <w:rPr>
          <w:rFonts w:hint="eastAsia" w:ascii="Book Antiqua" w:hAnsi="Book Antiqua" w:cs="Book Antiqua"/>
          <w:bCs/>
          <w:color w:val="000000"/>
          <w:highlight w:val="none"/>
          <w:lang w:eastAsia="zh-CN"/>
        </w:rPr>
        <w:t>.</w:t>
      </w:r>
      <w:r>
        <w:rPr>
          <w:rFonts w:ascii="Book Antiqua" w:hAnsi="Book Antiqua" w:cs="Book Antiqua"/>
          <w:bCs/>
          <w:color w:val="000000"/>
          <w:highlight w:val="none"/>
          <w:lang w:eastAsia="zh-CN"/>
        </w:rPr>
        <w:t xml:space="preserve"> </w:t>
      </w:r>
    </w:p>
    <w:p>
      <w:pPr>
        <w:rPr>
          <w:rFonts w:ascii="Book Antiqua" w:hAnsi="Book Antiqua" w:cs="Book Antiqua"/>
          <w:b/>
          <w:bCs/>
          <w:color w:val="000000"/>
          <w:highlight w:val="none"/>
          <w:lang w:eastAsia="zh-CN"/>
        </w:rPr>
      </w:pPr>
      <w:r>
        <w:rPr>
          <w:rFonts w:ascii="Book Antiqua" w:hAnsi="Book Antiqua" w:cs="Book Antiqua"/>
          <w:b/>
          <w:bCs/>
          <w:color w:val="000000"/>
          <w:highlight w:val="none"/>
          <w:lang w:eastAsia="zh-CN"/>
        </w:rPr>
        <w:br w:type="page"/>
      </w:r>
    </w:p>
    <w:p>
      <w:pPr>
        <w:spacing w:line="360" w:lineRule="auto"/>
        <w:jc w:val="both"/>
        <w:rPr>
          <w:rFonts w:ascii="Book Antiqua" w:hAnsi="Book Antiqua" w:cs="Book Antiqua"/>
          <w:b/>
          <w:bCs/>
          <w:color w:val="000000"/>
          <w:highlight w:val="none"/>
          <w:lang w:eastAsia="zh-CN"/>
        </w:rPr>
      </w:pPr>
      <w:bookmarkStart w:id="2" w:name="_Toc521675594"/>
      <w:r>
        <w:rPr>
          <w:rFonts w:ascii="Book Antiqua" w:hAnsi="Book Antiqua" w:cs="Book Antiqua"/>
          <w:b/>
          <w:bCs/>
          <w:color w:val="000000"/>
          <w:highlight w:val="none"/>
          <w:lang w:eastAsia="zh-CN"/>
        </w:rPr>
        <w:t xml:space="preserve">Table 3 Comparison of the quality-of-life scores for </w:t>
      </w:r>
      <w:bookmarkStart w:id="3" w:name="_Hlk68831370"/>
      <w:r>
        <w:rPr>
          <w:rFonts w:ascii="Book Antiqua" w:hAnsi="Book Antiqua" w:cs="Book Antiqua"/>
          <w:b/>
          <w:bCs/>
          <w:color w:val="000000"/>
          <w:highlight w:val="none"/>
          <w:lang w:eastAsia="zh-CN"/>
        </w:rPr>
        <w:t xml:space="preserve">live-donor liver transplant recipients with biliary complications </w:t>
      </w:r>
      <w:bookmarkEnd w:id="3"/>
      <w:r>
        <w:rPr>
          <w:rFonts w:ascii="Book Antiqua" w:hAnsi="Book Antiqua" w:cs="Book Antiqua"/>
          <w:b/>
          <w:bCs/>
          <w:color w:val="000000"/>
          <w:highlight w:val="none"/>
          <w:lang w:eastAsia="zh-CN"/>
        </w:rPr>
        <w:t>and their corresponding norm-based scores</w:t>
      </w:r>
      <w:bookmarkEnd w:id="2"/>
    </w:p>
    <w:tbl>
      <w:tblPr>
        <w:tblStyle w:val="6"/>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20"/>
        <w:gridCol w:w="2438"/>
        <w:gridCol w:w="2896"/>
        <w:gridCol w:w="172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1316" w:type="pct"/>
            <w:tcBorders>
              <w:top w:val="single" w:color="auto" w:sz="4" w:space="0"/>
              <w:bottom w:val="single" w:color="auto" w:sz="4" w:space="0"/>
            </w:tcBorders>
            <w:vAlign w:val="center"/>
          </w:tcPr>
          <w:p>
            <w:pPr>
              <w:spacing w:line="360" w:lineRule="auto"/>
              <w:jc w:val="both"/>
              <w:rPr>
                <w:rFonts w:ascii="Book Antiqua" w:hAnsi="Book Antiqua" w:cs="Book Antiqua"/>
                <w:b/>
                <w:bCs/>
                <w:color w:val="000000"/>
                <w:highlight w:val="none"/>
                <w:lang w:eastAsia="zh-CN"/>
              </w:rPr>
            </w:pPr>
            <w:r>
              <w:rPr>
                <w:rFonts w:ascii="Book Antiqua" w:hAnsi="Book Antiqua" w:cs="Book Antiqua"/>
                <w:b/>
                <w:bCs/>
                <w:color w:val="000000"/>
                <w:highlight w:val="none"/>
                <w:lang w:eastAsia="zh-CN"/>
              </w:rPr>
              <w:t>HRQoL score</w:t>
            </w:r>
          </w:p>
        </w:tc>
        <w:tc>
          <w:tcPr>
            <w:tcW w:w="1273" w:type="pct"/>
            <w:tcBorders>
              <w:top w:val="single" w:color="auto" w:sz="4" w:space="0"/>
              <w:bottom w:val="single" w:color="auto" w:sz="4" w:space="0"/>
            </w:tcBorders>
            <w:vAlign w:val="center"/>
          </w:tcPr>
          <w:p>
            <w:pPr>
              <w:spacing w:line="360" w:lineRule="auto"/>
              <w:jc w:val="both"/>
              <w:rPr>
                <w:rFonts w:ascii="Book Antiqua" w:hAnsi="Book Antiqua" w:cs="Book Antiqua"/>
                <w:b/>
                <w:color w:val="000000"/>
                <w:highlight w:val="none"/>
                <w:lang w:eastAsia="zh-CN"/>
              </w:rPr>
            </w:pPr>
            <w:r>
              <w:rPr>
                <w:rFonts w:ascii="Book Antiqua" w:hAnsi="Book Antiqua" w:cs="Book Antiqua"/>
                <w:b/>
                <w:color w:val="000000"/>
                <w:highlight w:val="none"/>
                <w:lang w:eastAsia="zh-CN"/>
              </w:rPr>
              <w:t>LDLT-R with BC</w:t>
            </w:r>
          </w:p>
        </w:tc>
        <w:tc>
          <w:tcPr>
            <w:tcW w:w="1512" w:type="pct"/>
            <w:tcBorders>
              <w:top w:val="single" w:color="auto" w:sz="4" w:space="0"/>
              <w:bottom w:val="single" w:color="auto" w:sz="4" w:space="0"/>
            </w:tcBorders>
            <w:vAlign w:val="center"/>
          </w:tcPr>
          <w:p>
            <w:pPr>
              <w:spacing w:line="360" w:lineRule="auto"/>
              <w:jc w:val="both"/>
              <w:rPr>
                <w:rFonts w:ascii="Book Antiqua" w:hAnsi="Book Antiqua" w:cs="Book Antiqua"/>
                <w:b/>
                <w:bCs/>
                <w:color w:val="000000"/>
                <w:highlight w:val="none"/>
                <w:lang w:eastAsia="zh-CN"/>
              </w:rPr>
            </w:pPr>
            <w:r>
              <w:rPr>
                <w:rFonts w:ascii="Book Antiqua" w:hAnsi="Book Antiqua" w:cs="Book Antiqua"/>
                <w:b/>
                <w:bCs/>
                <w:color w:val="000000"/>
                <w:highlight w:val="none"/>
                <w:lang w:eastAsia="zh-CN"/>
              </w:rPr>
              <w:t>NBS score</w:t>
            </w:r>
          </w:p>
        </w:tc>
        <w:tc>
          <w:tcPr>
            <w:tcW w:w="899" w:type="pct"/>
            <w:tcBorders>
              <w:top w:val="single" w:color="auto" w:sz="4" w:space="0"/>
              <w:bottom w:val="single" w:color="auto" w:sz="4" w:space="0"/>
            </w:tcBorders>
            <w:vAlign w:val="center"/>
          </w:tcPr>
          <w:p>
            <w:pPr>
              <w:spacing w:line="360" w:lineRule="auto"/>
              <w:jc w:val="both"/>
              <w:rPr>
                <w:rFonts w:ascii="Book Antiqua" w:hAnsi="Book Antiqua" w:cs="Book Antiqua"/>
                <w:b/>
                <w:bCs/>
                <w:color w:val="000000"/>
                <w:highlight w:val="none"/>
                <w:lang w:eastAsia="zh-CN"/>
              </w:rPr>
            </w:pPr>
            <w:r>
              <w:rPr>
                <w:rFonts w:ascii="Book Antiqua" w:hAnsi="Book Antiqua" w:cs="Book Antiqua"/>
                <w:b/>
                <w:bCs/>
                <w:i/>
                <w:iCs/>
                <w:color w:val="000000"/>
                <w:highlight w:val="none"/>
                <w:lang w:eastAsia="zh-CN"/>
              </w:rPr>
              <w:t>P</w:t>
            </w:r>
            <w:r>
              <w:rPr>
                <w:rFonts w:hint="eastAsia" w:ascii="Book Antiqua" w:hAnsi="Book Antiqua" w:cs="Book Antiqua"/>
                <w:b/>
                <w:bCs/>
                <w:color w:val="000000"/>
                <w:highlight w:val="none"/>
                <w:lang w:eastAsia="zh-CN"/>
              </w:rPr>
              <w:t xml:space="preserve"> </w:t>
            </w:r>
            <w:r>
              <w:rPr>
                <w:rFonts w:ascii="Book Antiqua" w:hAnsi="Book Antiqua" w:cs="Book Antiqua"/>
                <w:b/>
                <w:bCs/>
                <w:color w:val="000000"/>
                <w:highlight w:val="none"/>
                <w:lang w:eastAsia="zh-CN"/>
              </w:rPr>
              <w:t>value</w:t>
            </w:r>
            <w:r>
              <w:rPr>
                <w:rFonts w:hint="eastAsia" w:ascii="Book Antiqua" w:hAnsi="Book Antiqua" w:cs="Book Antiqua"/>
                <w:b/>
                <w:bCs/>
                <w:color w:val="000000"/>
                <w:highlight w:val="none"/>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316" w:type="pct"/>
            <w:tcBorders>
              <w:top w:val="single" w:color="auto" w:sz="4" w:space="0"/>
            </w:tcBorders>
            <w:vAlign w:val="center"/>
          </w:tcPr>
          <w:p>
            <w:pPr>
              <w:spacing w:line="360" w:lineRule="auto"/>
              <w:jc w:val="both"/>
              <w:rPr>
                <w:rFonts w:ascii="Book Antiqua" w:hAnsi="Book Antiqua" w:cs="Book Antiqua"/>
                <w:bCs/>
                <w:color w:val="000000"/>
                <w:highlight w:val="none"/>
                <w:lang w:eastAsia="zh-CN"/>
              </w:rPr>
            </w:pPr>
            <w:bookmarkStart w:id="4" w:name="_Hlk53234250"/>
            <w:r>
              <w:rPr>
                <w:rFonts w:ascii="Book Antiqua" w:hAnsi="Book Antiqua" w:cs="Book Antiqua"/>
                <w:bCs/>
                <w:color w:val="000000"/>
                <w:highlight w:val="none"/>
                <w:lang w:eastAsia="zh-CN"/>
              </w:rPr>
              <w:t>Physical functioning</w:t>
            </w:r>
          </w:p>
        </w:tc>
        <w:tc>
          <w:tcPr>
            <w:tcW w:w="1273" w:type="pct"/>
            <w:tcBorders>
              <w:top w:val="single" w:color="auto" w:sz="4" w:space="0"/>
            </w:tcBorders>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50 (50-75)</w:t>
            </w:r>
          </w:p>
        </w:tc>
        <w:tc>
          <w:tcPr>
            <w:tcW w:w="1512" w:type="pct"/>
            <w:tcBorders>
              <w:top w:val="single" w:color="auto" w:sz="4" w:space="0"/>
            </w:tcBorders>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41.3 (41.3-49.2)</w:t>
            </w:r>
          </w:p>
        </w:tc>
        <w:tc>
          <w:tcPr>
            <w:tcW w:w="899" w:type="pct"/>
            <w:tcBorders>
              <w:top w:val="single" w:color="auto" w:sz="4" w:space="0"/>
            </w:tcBorders>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316"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Role physical</w:t>
            </w:r>
          </w:p>
        </w:tc>
        <w:tc>
          <w:tcPr>
            <w:tcW w:w="1273"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50 (31.3-75)</w:t>
            </w:r>
          </w:p>
        </w:tc>
        <w:tc>
          <w:tcPr>
            <w:tcW w:w="1512"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40.5 (34.2-49)</w:t>
            </w:r>
          </w:p>
        </w:tc>
        <w:tc>
          <w:tcPr>
            <w:tcW w:w="899"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316"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Bodily pain</w:t>
            </w:r>
          </w:p>
        </w:tc>
        <w:tc>
          <w:tcPr>
            <w:tcW w:w="1273"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50 (50-75)</w:t>
            </w:r>
          </w:p>
        </w:tc>
        <w:tc>
          <w:tcPr>
            <w:tcW w:w="1512"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39.7 (39.7-48.7)</w:t>
            </w:r>
          </w:p>
        </w:tc>
        <w:tc>
          <w:tcPr>
            <w:tcW w:w="899"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316"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General health</w:t>
            </w:r>
          </w:p>
        </w:tc>
        <w:tc>
          <w:tcPr>
            <w:tcW w:w="1273"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60 (60-85)</w:t>
            </w:r>
          </w:p>
        </w:tc>
        <w:tc>
          <w:tcPr>
            <w:tcW w:w="1512"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47.8 (47.8-57.7)</w:t>
            </w:r>
          </w:p>
        </w:tc>
        <w:tc>
          <w:tcPr>
            <w:tcW w:w="899"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0.004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316"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Vitality</w:t>
            </w:r>
          </w:p>
        </w:tc>
        <w:tc>
          <w:tcPr>
            <w:tcW w:w="1273"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50 (25-50)</w:t>
            </w:r>
          </w:p>
        </w:tc>
        <w:tc>
          <w:tcPr>
            <w:tcW w:w="1512"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49.1 (39.2-49.1)</w:t>
            </w:r>
          </w:p>
        </w:tc>
        <w:tc>
          <w:tcPr>
            <w:tcW w:w="899"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316"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Social functioning</w:t>
            </w:r>
          </w:p>
        </w:tc>
        <w:tc>
          <w:tcPr>
            <w:tcW w:w="1273"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50 (50-50)</w:t>
            </w:r>
          </w:p>
        </w:tc>
        <w:tc>
          <w:tcPr>
            <w:tcW w:w="1512"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39.1 (39.1-39.1)</w:t>
            </w:r>
          </w:p>
        </w:tc>
        <w:tc>
          <w:tcPr>
            <w:tcW w:w="899"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316"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Role emotion</w:t>
            </w:r>
          </w:p>
        </w:tc>
        <w:tc>
          <w:tcPr>
            <w:tcW w:w="1273"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50 (37.5-75)</w:t>
            </w:r>
          </w:p>
        </w:tc>
        <w:tc>
          <w:tcPr>
            <w:tcW w:w="1512"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35.5 (30.3-45.9)</w:t>
            </w:r>
          </w:p>
        </w:tc>
        <w:tc>
          <w:tcPr>
            <w:tcW w:w="899"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&lt;</w:t>
            </w:r>
            <w:r>
              <w:rPr>
                <w:rFonts w:hint="eastAsia" w:ascii="Book Antiqua" w:hAnsi="Book Antiqua" w:cs="Book Antiqua"/>
                <w:bCs/>
                <w:color w:val="000000"/>
                <w:highlight w:val="none"/>
                <w:lang w:eastAsia="zh-CN"/>
              </w:rPr>
              <w:t xml:space="preserve"> </w:t>
            </w:r>
            <w:r>
              <w:rPr>
                <w:rFonts w:ascii="Book Antiqua" w:hAnsi="Book Antiqua" w:cs="Book Antiqua"/>
                <w:bCs/>
                <w:color w:val="000000"/>
                <w:highlight w:val="none"/>
                <w:lang w:eastAsia="zh-C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316"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Mental health</w:t>
            </w:r>
          </w:p>
        </w:tc>
        <w:tc>
          <w:tcPr>
            <w:tcW w:w="1273"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50 (50-62.5)</w:t>
            </w:r>
          </w:p>
        </w:tc>
        <w:tc>
          <w:tcPr>
            <w:tcW w:w="1512"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41.3 (41.3-47)</w:t>
            </w:r>
          </w:p>
        </w:tc>
        <w:tc>
          <w:tcPr>
            <w:tcW w:w="899"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0.001</w:t>
            </w:r>
          </w:p>
        </w:tc>
      </w:tr>
      <w:bookmarkEnd w:id="4"/>
    </w:tbl>
    <w:p>
      <w:pPr>
        <w:spacing w:line="360" w:lineRule="auto"/>
        <w:jc w:val="both"/>
        <w:rPr>
          <w:rFonts w:ascii="Book Antiqua" w:hAnsi="Book Antiqua" w:cs="Book Antiqua"/>
          <w:bCs/>
          <w:color w:val="000000"/>
          <w:highlight w:val="none"/>
          <w:lang w:eastAsia="zh-CN"/>
        </w:rPr>
      </w:pPr>
      <w:r>
        <w:rPr>
          <w:rFonts w:hint="eastAsia" w:ascii="Book Antiqua" w:hAnsi="Book Antiqua" w:cs="Book Antiqua"/>
          <w:bCs/>
          <w:color w:val="000000"/>
          <w:highlight w:val="none"/>
          <w:vertAlign w:val="superscript"/>
          <w:lang w:eastAsia="zh-CN"/>
        </w:rPr>
        <w:t>1</w:t>
      </w:r>
      <w:r>
        <w:rPr>
          <w:rFonts w:ascii="Book Antiqua" w:hAnsi="Book Antiqua" w:cs="Book Antiqua"/>
          <w:bCs/>
          <w:color w:val="000000"/>
          <w:highlight w:val="none"/>
          <w:lang w:eastAsia="zh-CN"/>
        </w:rPr>
        <w:t>Wilcoxon signed ranks test</w:t>
      </w:r>
      <w:r>
        <w:rPr>
          <w:rFonts w:hint="eastAsia" w:ascii="Book Antiqua" w:hAnsi="Book Antiqua" w:cs="Book Antiqua"/>
          <w:bCs/>
          <w:color w:val="000000"/>
          <w:highlight w:val="none"/>
          <w:lang w:eastAsia="zh-CN"/>
        </w:rPr>
        <w:t>.</w:t>
      </w:r>
    </w:p>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Data are shown as median and interquartile range</w:t>
      </w:r>
      <w:r>
        <w:rPr>
          <w:rFonts w:hint="eastAsia" w:ascii="Book Antiqua" w:hAnsi="Book Antiqua" w:cs="Book Antiqua"/>
          <w:bCs/>
          <w:color w:val="000000"/>
          <w:highlight w:val="none"/>
          <w:lang w:eastAsia="zh-CN"/>
        </w:rPr>
        <w:t xml:space="preserve">. </w:t>
      </w:r>
      <w:r>
        <w:rPr>
          <w:rFonts w:ascii="Book Antiqua" w:hAnsi="Book Antiqua" w:cs="Book Antiqua"/>
          <w:bCs/>
          <w:color w:val="000000"/>
          <w:highlight w:val="none"/>
          <w:lang w:eastAsia="zh-CN"/>
        </w:rPr>
        <w:t xml:space="preserve">BC: Biliary complications; HRQoL: Health related quality of life; LDLT-R: </w:t>
      </w:r>
      <w:r>
        <w:rPr>
          <w:rFonts w:ascii="Book Antiqua" w:hAnsi="Book Antiqua" w:cs="Book Antiqua"/>
          <w:color w:val="000000"/>
          <w:highlight w:val="none"/>
          <w:lang w:eastAsia="zh-CN"/>
        </w:rPr>
        <w:t xml:space="preserve">Live donor liver transplant recipients; </w:t>
      </w:r>
      <w:r>
        <w:rPr>
          <w:rFonts w:ascii="Book Antiqua" w:hAnsi="Book Antiqua" w:cs="Book Antiqua"/>
          <w:bCs/>
          <w:color w:val="000000"/>
          <w:highlight w:val="none"/>
          <w:lang w:eastAsia="zh-CN"/>
        </w:rPr>
        <w:t>NBS: Norm based score</w:t>
      </w:r>
      <w:r>
        <w:rPr>
          <w:rFonts w:hint="eastAsia" w:ascii="Book Antiqua" w:hAnsi="Book Antiqua" w:cs="Book Antiqua"/>
          <w:bCs/>
          <w:color w:val="000000"/>
          <w:highlight w:val="none"/>
          <w:lang w:eastAsia="zh-CN"/>
        </w:rPr>
        <w:t>.</w:t>
      </w:r>
    </w:p>
    <w:p>
      <w:pPr>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br w:type="page"/>
      </w:r>
    </w:p>
    <w:p>
      <w:pPr>
        <w:spacing w:line="360" w:lineRule="auto"/>
        <w:jc w:val="both"/>
        <w:rPr>
          <w:rFonts w:ascii="Book Antiqua" w:hAnsi="Book Antiqua" w:cs="Book Antiqua"/>
          <w:b/>
          <w:bCs/>
          <w:color w:val="000000"/>
          <w:highlight w:val="none"/>
          <w:lang w:eastAsia="zh-CN"/>
        </w:rPr>
      </w:pPr>
      <w:bookmarkStart w:id="5" w:name="_Hlk72675260"/>
      <w:r>
        <w:rPr>
          <w:rFonts w:ascii="Book Antiqua" w:hAnsi="Book Antiqua" w:cs="Book Antiqua"/>
          <w:b/>
          <w:bCs/>
          <w:color w:val="000000"/>
          <w:highlight w:val="none"/>
          <w:lang w:eastAsia="zh-CN"/>
        </w:rPr>
        <w:t>Table 4</w:t>
      </w:r>
      <w:r>
        <w:rPr>
          <w:rFonts w:ascii="Book Antiqua" w:hAnsi="Book Antiqua" w:cs="Book Antiqua"/>
          <w:color w:val="000000"/>
          <w:highlight w:val="none"/>
          <w:lang w:eastAsia="zh-CN"/>
        </w:rPr>
        <w:t xml:space="preserve"> </w:t>
      </w:r>
      <w:r>
        <w:rPr>
          <w:rFonts w:ascii="Book Antiqua" w:hAnsi="Book Antiqua" w:cs="Book Antiqua"/>
          <w:b/>
          <w:bCs/>
          <w:color w:val="000000"/>
          <w:highlight w:val="none"/>
          <w:lang w:eastAsia="zh-CN"/>
        </w:rPr>
        <w:t>Comparison of health-related quality-of-life scores between patients and controls</w:t>
      </w:r>
    </w:p>
    <w:bookmarkEnd w:id="5"/>
    <w:tbl>
      <w:tblPr>
        <w:tblStyle w:val="5"/>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0"/>
        <w:gridCol w:w="2840"/>
        <w:gridCol w:w="2882"/>
        <w:gridCol w:w="172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1112" w:type="pct"/>
            <w:tcBorders>
              <w:top w:val="single" w:color="auto" w:sz="4" w:space="0"/>
              <w:bottom w:val="single" w:color="auto" w:sz="4" w:space="0"/>
            </w:tcBorders>
            <w:vAlign w:val="center"/>
          </w:tcPr>
          <w:p>
            <w:pPr>
              <w:spacing w:line="360" w:lineRule="auto"/>
              <w:jc w:val="both"/>
              <w:rPr>
                <w:rFonts w:ascii="Book Antiqua" w:hAnsi="Book Antiqua" w:cs="Book Antiqua"/>
                <w:b/>
                <w:bCs/>
                <w:color w:val="000000"/>
                <w:highlight w:val="none"/>
                <w:lang w:eastAsia="zh-CN"/>
              </w:rPr>
            </w:pPr>
            <w:r>
              <w:rPr>
                <w:rFonts w:ascii="Book Antiqua" w:hAnsi="Book Antiqua" w:cs="Book Antiqua"/>
                <w:b/>
                <w:bCs/>
                <w:color w:val="000000"/>
                <w:highlight w:val="none"/>
                <w:lang w:eastAsia="zh-CN"/>
              </w:rPr>
              <w:t>HRQoL domain</w:t>
            </w:r>
          </w:p>
        </w:tc>
        <w:tc>
          <w:tcPr>
            <w:tcW w:w="1483" w:type="pct"/>
            <w:tcBorders>
              <w:top w:val="single" w:color="auto" w:sz="4" w:space="0"/>
              <w:bottom w:val="single" w:color="auto" w:sz="4" w:space="0"/>
            </w:tcBorders>
            <w:vAlign w:val="center"/>
          </w:tcPr>
          <w:p>
            <w:pPr>
              <w:spacing w:line="360" w:lineRule="auto"/>
              <w:jc w:val="both"/>
              <w:rPr>
                <w:rFonts w:ascii="Book Antiqua" w:hAnsi="Book Antiqua" w:cs="Book Antiqua"/>
                <w:b/>
                <w:bCs/>
                <w:color w:val="000000"/>
                <w:highlight w:val="none"/>
                <w:lang w:eastAsia="zh-CN"/>
              </w:rPr>
            </w:pPr>
            <w:r>
              <w:rPr>
                <w:rFonts w:ascii="Book Antiqua" w:hAnsi="Book Antiqua" w:cs="Book Antiqua"/>
                <w:b/>
                <w:bCs/>
                <w:color w:val="000000"/>
                <w:highlight w:val="none"/>
                <w:lang w:eastAsia="zh-CN"/>
              </w:rPr>
              <w:t>Patients (</w:t>
            </w:r>
            <w:r>
              <w:rPr>
                <w:rFonts w:hint="eastAsia" w:ascii="Book Antiqua" w:hAnsi="Book Antiqua" w:cs="Book Antiqua"/>
                <w:b/>
                <w:bCs/>
                <w:i/>
                <w:color w:val="000000"/>
                <w:highlight w:val="none"/>
                <w:lang w:eastAsia="zh-CN"/>
              </w:rPr>
              <w:t>n</w:t>
            </w:r>
            <w:r>
              <w:rPr>
                <w:rFonts w:ascii="Book Antiqua" w:hAnsi="Book Antiqua" w:cs="Book Antiqua"/>
                <w:b/>
                <w:bCs/>
                <w:color w:val="000000"/>
                <w:highlight w:val="none"/>
                <w:lang w:eastAsia="zh-CN"/>
              </w:rPr>
              <w:t xml:space="preserve"> = 25)</w:t>
            </w:r>
          </w:p>
        </w:tc>
        <w:tc>
          <w:tcPr>
            <w:tcW w:w="1505" w:type="pct"/>
            <w:tcBorders>
              <w:top w:val="single" w:color="auto" w:sz="4" w:space="0"/>
              <w:bottom w:val="single" w:color="auto" w:sz="4" w:space="0"/>
            </w:tcBorders>
            <w:vAlign w:val="center"/>
          </w:tcPr>
          <w:p>
            <w:pPr>
              <w:spacing w:line="360" w:lineRule="auto"/>
              <w:jc w:val="both"/>
              <w:rPr>
                <w:rFonts w:ascii="Book Antiqua" w:hAnsi="Book Antiqua" w:cs="Book Antiqua"/>
                <w:b/>
                <w:bCs/>
                <w:color w:val="000000"/>
                <w:highlight w:val="none"/>
                <w:lang w:eastAsia="zh-CN"/>
              </w:rPr>
            </w:pPr>
            <w:r>
              <w:rPr>
                <w:rFonts w:ascii="Book Antiqua" w:hAnsi="Book Antiqua" w:cs="Book Antiqua"/>
                <w:b/>
                <w:bCs/>
                <w:color w:val="000000"/>
                <w:highlight w:val="none"/>
                <w:lang w:eastAsia="zh-CN"/>
              </w:rPr>
              <w:t>Controls (</w:t>
            </w:r>
            <w:r>
              <w:rPr>
                <w:rFonts w:hint="eastAsia" w:ascii="Book Antiqua" w:hAnsi="Book Antiqua" w:cs="Book Antiqua"/>
                <w:b/>
                <w:bCs/>
                <w:i/>
                <w:color w:val="000000"/>
                <w:highlight w:val="none"/>
                <w:lang w:eastAsia="zh-CN"/>
              </w:rPr>
              <w:t>n</w:t>
            </w:r>
            <w:r>
              <w:rPr>
                <w:rFonts w:ascii="Book Antiqua" w:hAnsi="Book Antiqua" w:cs="Book Antiqua"/>
                <w:b/>
                <w:bCs/>
                <w:color w:val="000000"/>
                <w:highlight w:val="none"/>
                <w:lang w:eastAsia="zh-CN"/>
              </w:rPr>
              <w:t xml:space="preserve"> = 25)</w:t>
            </w:r>
          </w:p>
        </w:tc>
        <w:tc>
          <w:tcPr>
            <w:tcW w:w="900" w:type="pct"/>
            <w:tcBorders>
              <w:top w:val="single" w:color="auto" w:sz="4" w:space="0"/>
              <w:bottom w:val="single" w:color="auto" w:sz="4" w:space="0"/>
            </w:tcBorders>
            <w:vAlign w:val="center"/>
          </w:tcPr>
          <w:p>
            <w:pPr>
              <w:spacing w:line="360" w:lineRule="auto"/>
              <w:jc w:val="both"/>
              <w:rPr>
                <w:rFonts w:ascii="Book Antiqua" w:hAnsi="Book Antiqua" w:cs="Book Antiqua"/>
                <w:b/>
                <w:bCs/>
                <w:color w:val="000000"/>
                <w:highlight w:val="none"/>
                <w:lang w:eastAsia="zh-CN"/>
              </w:rPr>
            </w:pPr>
            <w:r>
              <w:rPr>
                <w:rFonts w:ascii="Book Antiqua" w:hAnsi="Book Antiqua" w:cs="Book Antiqua"/>
                <w:b/>
                <w:bCs/>
                <w:i/>
                <w:iCs/>
                <w:color w:val="000000"/>
                <w:highlight w:val="none"/>
                <w:lang w:eastAsia="zh-CN"/>
              </w:rPr>
              <w:t>P</w:t>
            </w:r>
            <w:r>
              <w:rPr>
                <w:rFonts w:hint="eastAsia" w:ascii="Book Antiqua" w:hAnsi="Book Antiqua" w:cs="Book Antiqua"/>
                <w:b/>
                <w:bCs/>
                <w:color w:val="000000"/>
                <w:highlight w:val="none"/>
                <w:lang w:eastAsia="zh-CN"/>
              </w:rPr>
              <w:t xml:space="preserve"> </w:t>
            </w:r>
            <w:r>
              <w:rPr>
                <w:rFonts w:ascii="Book Antiqua" w:hAnsi="Book Antiqua" w:cs="Book Antiqua"/>
                <w:b/>
                <w:bCs/>
                <w:color w:val="000000"/>
                <w:highlight w:val="none"/>
                <w:lang w:eastAsia="zh-CN"/>
              </w:rPr>
              <w:t>value</w:t>
            </w:r>
            <w:r>
              <w:rPr>
                <w:rFonts w:hint="eastAsia" w:ascii="Book Antiqua" w:hAnsi="Book Antiqua" w:cs="Book Antiqua"/>
                <w:b/>
                <w:bCs/>
                <w:color w:val="000000"/>
                <w:highlight w:val="none"/>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1112" w:type="pct"/>
            <w:tcBorders>
              <w:top w:val="single" w:color="auto" w:sz="4" w:space="0"/>
            </w:tcBorders>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Physical functioning</w:t>
            </w:r>
          </w:p>
        </w:tc>
        <w:tc>
          <w:tcPr>
            <w:tcW w:w="1483" w:type="pct"/>
            <w:tcBorders>
              <w:top w:val="single" w:color="auto" w:sz="4" w:space="0"/>
            </w:tcBorders>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50 (50-75)</w:t>
            </w:r>
          </w:p>
        </w:tc>
        <w:tc>
          <w:tcPr>
            <w:tcW w:w="1505" w:type="pct"/>
            <w:tcBorders>
              <w:top w:val="single" w:color="auto" w:sz="4" w:space="0"/>
            </w:tcBorders>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100 (100-100)</w:t>
            </w:r>
          </w:p>
        </w:tc>
        <w:tc>
          <w:tcPr>
            <w:tcW w:w="900" w:type="pct"/>
            <w:tcBorders>
              <w:top w:val="single" w:color="auto" w:sz="4" w:space="0"/>
            </w:tcBorders>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1112"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Role physical</w:t>
            </w:r>
          </w:p>
        </w:tc>
        <w:tc>
          <w:tcPr>
            <w:tcW w:w="1483"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50 (31.3-75)</w:t>
            </w:r>
          </w:p>
        </w:tc>
        <w:tc>
          <w:tcPr>
            <w:tcW w:w="1505"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100 (87.5-100)</w:t>
            </w:r>
          </w:p>
        </w:tc>
        <w:tc>
          <w:tcPr>
            <w:tcW w:w="900"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1112"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Bodily pain</w:t>
            </w:r>
          </w:p>
        </w:tc>
        <w:tc>
          <w:tcPr>
            <w:tcW w:w="1483"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50 (50-75)</w:t>
            </w:r>
          </w:p>
        </w:tc>
        <w:tc>
          <w:tcPr>
            <w:tcW w:w="1505"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100 (100-100)</w:t>
            </w:r>
          </w:p>
        </w:tc>
        <w:tc>
          <w:tcPr>
            <w:tcW w:w="900"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1112"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General health</w:t>
            </w:r>
          </w:p>
        </w:tc>
        <w:tc>
          <w:tcPr>
            <w:tcW w:w="1483"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60 (60-85)</w:t>
            </w:r>
          </w:p>
        </w:tc>
        <w:tc>
          <w:tcPr>
            <w:tcW w:w="1505"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85 (85-85)</w:t>
            </w:r>
          </w:p>
        </w:tc>
        <w:tc>
          <w:tcPr>
            <w:tcW w:w="900"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1112"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Vitality</w:t>
            </w:r>
          </w:p>
        </w:tc>
        <w:tc>
          <w:tcPr>
            <w:tcW w:w="1483"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50 (25-50)</w:t>
            </w:r>
          </w:p>
        </w:tc>
        <w:tc>
          <w:tcPr>
            <w:tcW w:w="1505"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75 (75-87.5)</w:t>
            </w:r>
          </w:p>
        </w:tc>
        <w:tc>
          <w:tcPr>
            <w:tcW w:w="900"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1112"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Social functioning</w:t>
            </w:r>
          </w:p>
        </w:tc>
        <w:tc>
          <w:tcPr>
            <w:tcW w:w="1483"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50 (50-50)</w:t>
            </w:r>
          </w:p>
        </w:tc>
        <w:tc>
          <w:tcPr>
            <w:tcW w:w="1505"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75 (75-100)</w:t>
            </w:r>
          </w:p>
        </w:tc>
        <w:tc>
          <w:tcPr>
            <w:tcW w:w="900"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1112"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Role emotion</w:t>
            </w:r>
          </w:p>
        </w:tc>
        <w:tc>
          <w:tcPr>
            <w:tcW w:w="1483"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50.0 (37.5-75)</w:t>
            </w:r>
          </w:p>
        </w:tc>
        <w:tc>
          <w:tcPr>
            <w:tcW w:w="1505"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87.5 (75-100)</w:t>
            </w:r>
          </w:p>
        </w:tc>
        <w:tc>
          <w:tcPr>
            <w:tcW w:w="900"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1112"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Mental health</w:t>
            </w:r>
          </w:p>
        </w:tc>
        <w:tc>
          <w:tcPr>
            <w:tcW w:w="1483"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50 (50-62.5)</w:t>
            </w:r>
          </w:p>
        </w:tc>
        <w:tc>
          <w:tcPr>
            <w:tcW w:w="1505"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87.5 (75-87.5)</w:t>
            </w:r>
          </w:p>
        </w:tc>
        <w:tc>
          <w:tcPr>
            <w:tcW w:w="900"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1112"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PCS</w:t>
            </w:r>
          </w:p>
        </w:tc>
        <w:tc>
          <w:tcPr>
            <w:tcW w:w="1483"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44.8 (41.7-52.9)</w:t>
            </w:r>
          </w:p>
        </w:tc>
        <w:tc>
          <w:tcPr>
            <w:tcW w:w="1505"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57.8 (55.2-59)</w:t>
            </w:r>
          </w:p>
        </w:tc>
        <w:tc>
          <w:tcPr>
            <w:tcW w:w="900"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1112"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MCS</w:t>
            </w:r>
          </w:p>
        </w:tc>
        <w:tc>
          <w:tcPr>
            <w:tcW w:w="1483"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42 (35.6-45.2)</w:t>
            </w:r>
          </w:p>
        </w:tc>
        <w:tc>
          <w:tcPr>
            <w:tcW w:w="1505"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52.9 (50.2-57.9)</w:t>
            </w:r>
          </w:p>
        </w:tc>
        <w:tc>
          <w:tcPr>
            <w:tcW w:w="900" w:type="pct"/>
            <w:noWrap/>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&lt; 0.001</w:t>
            </w:r>
          </w:p>
        </w:tc>
      </w:tr>
    </w:tbl>
    <w:p>
      <w:pPr>
        <w:spacing w:line="360" w:lineRule="auto"/>
        <w:jc w:val="both"/>
        <w:rPr>
          <w:rFonts w:ascii="Book Antiqua" w:hAnsi="Book Antiqua" w:cs="Book Antiqua"/>
          <w:b/>
          <w:bCs/>
          <w:color w:val="000000"/>
          <w:highlight w:val="none"/>
          <w:lang w:eastAsia="zh-CN"/>
        </w:rPr>
      </w:pPr>
      <w:r>
        <w:rPr>
          <w:rFonts w:hint="eastAsia" w:ascii="Book Antiqua" w:hAnsi="Book Antiqua" w:cs="Book Antiqua"/>
          <w:bCs/>
          <w:color w:val="000000"/>
          <w:highlight w:val="none"/>
          <w:vertAlign w:val="superscript"/>
          <w:lang w:eastAsia="zh-CN"/>
        </w:rPr>
        <w:t>1</w:t>
      </w:r>
      <w:r>
        <w:rPr>
          <w:rFonts w:ascii="Book Antiqua" w:hAnsi="Book Antiqua" w:cs="Book Antiqua"/>
          <w:bCs/>
          <w:color w:val="000000"/>
          <w:highlight w:val="none"/>
          <w:lang w:eastAsia="zh-CN"/>
        </w:rPr>
        <w:t>Wilcoxon signed ranks test</w:t>
      </w:r>
      <w:r>
        <w:rPr>
          <w:rFonts w:hint="eastAsia" w:ascii="Book Antiqua" w:hAnsi="Book Antiqua" w:cs="Book Antiqua"/>
          <w:bCs/>
          <w:color w:val="000000"/>
          <w:highlight w:val="none"/>
          <w:lang w:eastAsia="zh-CN"/>
        </w:rPr>
        <w:t>.</w:t>
      </w:r>
    </w:p>
    <w:p>
      <w:pPr>
        <w:spacing w:line="360" w:lineRule="auto"/>
        <w:jc w:val="both"/>
        <w:rPr>
          <w:rFonts w:ascii="Book Antiqua" w:hAnsi="Book Antiqua" w:cs="Book Antiqua"/>
          <w:color w:val="000000"/>
          <w:highlight w:val="none"/>
          <w:lang w:eastAsia="zh-CN"/>
        </w:rPr>
      </w:pPr>
      <w:r>
        <w:rPr>
          <w:rFonts w:ascii="Book Antiqua" w:hAnsi="Book Antiqua" w:cs="Book Antiqua"/>
          <w:bCs/>
          <w:color w:val="000000"/>
          <w:highlight w:val="none"/>
          <w:lang w:eastAsia="zh-CN"/>
        </w:rPr>
        <w:t xml:space="preserve">Data are shown as median and interquartile range; Patients: </w:t>
      </w:r>
      <w:r>
        <w:rPr>
          <w:rFonts w:ascii="Book Antiqua" w:hAnsi="Book Antiqua" w:cs="Book Antiqua"/>
          <w:color w:val="000000"/>
          <w:highlight w:val="none"/>
          <w:lang w:eastAsia="zh-CN"/>
        </w:rPr>
        <w:t>Live donor liver transplant recipients</w:t>
      </w:r>
      <w:r>
        <w:rPr>
          <w:rFonts w:ascii="Book Antiqua" w:hAnsi="Book Antiqua" w:cs="Book Antiqua"/>
          <w:b/>
          <w:bCs/>
          <w:color w:val="000000"/>
          <w:highlight w:val="none"/>
          <w:lang w:eastAsia="zh-CN"/>
        </w:rPr>
        <w:t xml:space="preserve"> </w:t>
      </w:r>
      <w:r>
        <w:rPr>
          <w:rFonts w:ascii="Book Antiqua" w:hAnsi="Book Antiqua" w:cs="Book Antiqua"/>
          <w:bCs/>
          <w:color w:val="000000"/>
          <w:highlight w:val="none"/>
          <w:lang w:eastAsia="zh-CN"/>
        </w:rPr>
        <w:t xml:space="preserve">with biliary complications; Controls: </w:t>
      </w:r>
      <w:r>
        <w:rPr>
          <w:rFonts w:ascii="Book Antiqua" w:hAnsi="Book Antiqua" w:cs="Book Antiqua"/>
          <w:color w:val="000000"/>
          <w:highlight w:val="none"/>
          <w:lang w:eastAsia="zh-CN"/>
        </w:rPr>
        <w:t>Live donor liver transplant recipients without biliary complications; HRQoL</w:t>
      </w:r>
      <w:r>
        <w:rPr>
          <w:rFonts w:ascii="Book Antiqua" w:hAnsi="Book Antiqua" w:cs="Book Antiqua"/>
          <w:bCs/>
          <w:color w:val="000000"/>
          <w:highlight w:val="none"/>
          <w:lang w:eastAsia="zh-CN"/>
        </w:rPr>
        <w:t xml:space="preserve">: </w:t>
      </w:r>
      <w:r>
        <w:rPr>
          <w:rFonts w:ascii="Book Antiqua" w:hAnsi="Book Antiqua" w:cs="Book Antiqua"/>
          <w:color w:val="000000"/>
          <w:highlight w:val="none"/>
          <w:lang w:eastAsia="zh-CN"/>
        </w:rPr>
        <w:t>Health-related quality-of-life; MCS: Mental component summary score; PCS: Physical component summary score</w:t>
      </w:r>
      <w:r>
        <w:rPr>
          <w:rFonts w:hint="eastAsia" w:ascii="Book Antiqua" w:hAnsi="Book Antiqua" w:cs="Book Antiqua"/>
          <w:color w:val="000000"/>
          <w:highlight w:val="none"/>
          <w:lang w:eastAsia="zh-CN"/>
        </w:rPr>
        <w:t>.</w:t>
      </w:r>
    </w:p>
    <w:p>
      <w:pPr>
        <w:spacing w:line="360" w:lineRule="auto"/>
        <w:jc w:val="both"/>
        <w:rPr>
          <w:rFonts w:ascii="Book Antiqua" w:hAnsi="Book Antiqua" w:cs="Book Antiqua"/>
          <w:color w:val="000000"/>
          <w:highlight w:val="none"/>
          <w:lang w:eastAsia="zh-CN"/>
        </w:rPr>
      </w:pPr>
    </w:p>
    <w:p>
      <w:pPr>
        <w:spacing w:line="360" w:lineRule="auto"/>
        <w:jc w:val="both"/>
        <w:rPr>
          <w:rFonts w:ascii="Book Antiqua" w:hAnsi="Book Antiqua" w:cs="Book Antiqua"/>
          <w:b/>
          <w:bCs/>
          <w:color w:val="000000"/>
          <w:highlight w:val="none"/>
          <w:lang w:eastAsia="zh-CN"/>
        </w:rPr>
      </w:pPr>
      <w:r>
        <w:rPr>
          <w:rFonts w:ascii="Book Antiqua" w:hAnsi="Book Antiqua" w:cs="Book Antiqua"/>
          <w:b/>
          <w:bCs/>
          <w:color w:val="000000"/>
          <w:highlight w:val="none"/>
          <w:lang w:eastAsia="zh-CN"/>
        </w:rPr>
        <w:br w:type="page"/>
      </w:r>
      <w:bookmarkStart w:id="6" w:name="_Hlk72675294"/>
      <w:r>
        <w:rPr>
          <w:rFonts w:ascii="Book Antiqua" w:hAnsi="Book Antiqua" w:cs="Book Antiqua"/>
          <w:b/>
          <w:bCs/>
          <w:color w:val="000000"/>
          <w:highlight w:val="none"/>
          <w:lang w:eastAsia="zh-CN"/>
        </w:rPr>
        <w:t>Table 5 Physical and mental component summary scores in patients and controls</w:t>
      </w:r>
      <w:bookmarkEnd w:id="6"/>
      <w:r>
        <w:rPr>
          <w:rFonts w:ascii="Book Antiqua" w:hAnsi="Book Antiqua" w:cs="Book Antiqua"/>
          <w:b/>
          <w:bCs/>
          <w:color w:val="000000"/>
          <w:highlight w:val="none"/>
          <w:lang w:eastAsia="zh-CN"/>
        </w:rPr>
        <w:t xml:space="preserve"> compared with norm-based scores</w:t>
      </w:r>
    </w:p>
    <w:tbl>
      <w:tblPr>
        <w:tblStyle w:val="5"/>
        <w:tblW w:w="5000" w:type="pct"/>
        <w:tblInd w:w="0" w:type="dxa"/>
        <w:tblLayout w:type="autofit"/>
        <w:tblCellMar>
          <w:top w:w="0" w:type="dxa"/>
          <w:left w:w="108" w:type="dxa"/>
          <w:bottom w:w="0" w:type="dxa"/>
          <w:right w:w="108" w:type="dxa"/>
        </w:tblCellMar>
      </w:tblPr>
      <w:tblGrid>
        <w:gridCol w:w="2099"/>
        <w:gridCol w:w="1724"/>
        <w:gridCol w:w="2049"/>
        <w:gridCol w:w="2049"/>
        <w:gridCol w:w="1655"/>
      </w:tblGrid>
      <w:tr>
        <w:tblPrEx>
          <w:tblCellMar>
            <w:top w:w="0" w:type="dxa"/>
            <w:left w:w="108" w:type="dxa"/>
            <w:bottom w:w="0" w:type="dxa"/>
            <w:right w:w="108" w:type="dxa"/>
          </w:tblCellMar>
        </w:tblPrEx>
        <w:trPr>
          <w:trHeight w:val="792" w:hRule="atLeast"/>
        </w:trPr>
        <w:tc>
          <w:tcPr>
            <w:tcW w:w="1096" w:type="pct"/>
            <w:tcBorders>
              <w:top w:val="single" w:color="auto" w:sz="4" w:space="0"/>
              <w:bottom w:val="single" w:color="auto" w:sz="4" w:space="0"/>
            </w:tcBorders>
            <w:vAlign w:val="center"/>
          </w:tcPr>
          <w:p>
            <w:pPr>
              <w:spacing w:line="360" w:lineRule="auto"/>
              <w:jc w:val="both"/>
              <w:rPr>
                <w:rFonts w:ascii="Book Antiqua" w:hAnsi="Book Antiqua" w:cs="Book Antiqua"/>
                <w:b/>
                <w:bCs/>
                <w:color w:val="000000"/>
                <w:highlight w:val="none"/>
                <w:lang w:eastAsia="zh-CN"/>
              </w:rPr>
            </w:pPr>
            <w:r>
              <w:rPr>
                <w:rFonts w:ascii="Book Antiqua" w:hAnsi="Book Antiqua" w:cs="Book Antiqua"/>
                <w:b/>
                <w:bCs/>
                <w:color w:val="000000"/>
                <w:highlight w:val="none"/>
                <w:lang w:eastAsia="zh-CN"/>
              </w:rPr>
              <w:t>Variable</w:t>
            </w:r>
          </w:p>
        </w:tc>
        <w:tc>
          <w:tcPr>
            <w:tcW w:w="900" w:type="pct"/>
            <w:tcBorders>
              <w:top w:val="single" w:color="auto" w:sz="4" w:space="0"/>
              <w:bottom w:val="single" w:color="auto" w:sz="4" w:space="0"/>
            </w:tcBorders>
            <w:vAlign w:val="center"/>
          </w:tcPr>
          <w:p>
            <w:pPr>
              <w:spacing w:line="360" w:lineRule="auto"/>
              <w:jc w:val="both"/>
              <w:rPr>
                <w:rFonts w:ascii="Book Antiqua" w:hAnsi="Book Antiqua" w:cs="Book Antiqua"/>
                <w:b/>
                <w:bCs/>
                <w:color w:val="000000"/>
                <w:highlight w:val="none"/>
                <w:lang w:eastAsia="zh-CN"/>
              </w:rPr>
            </w:pPr>
            <w:r>
              <w:rPr>
                <w:rFonts w:ascii="Book Antiqua" w:hAnsi="Book Antiqua" w:cs="Book Antiqua"/>
                <w:b/>
                <w:bCs/>
                <w:color w:val="000000"/>
                <w:highlight w:val="none"/>
                <w:lang w:eastAsia="zh-CN"/>
              </w:rPr>
              <w:t>NBS</w:t>
            </w:r>
          </w:p>
        </w:tc>
        <w:tc>
          <w:tcPr>
            <w:tcW w:w="1070" w:type="pct"/>
            <w:tcBorders>
              <w:top w:val="single" w:color="auto" w:sz="4" w:space="0"/>
              <w:bottom w:val="single" w:color="auto" w:sz="4" w:space="0"/>
            </w:tcBorders>
            <w:vAlign w:val="center"/>
          </w:tcPr>
          <w:p>
            <w:pPr>
              <w:spacing w:line="360" w:lineRule="auto"/>
              <w:jc w:val="both"/>
              <w:rPr>
                <w:rFonts w:ascii="Book Antiqua" w:hAnsi="Book Antiqua" w:cs="Book Antiqua"/>
                <w:b/>
                <w:bCs/>
                <w:color w:val="000000"/>
                <w:highlight w:val="none"/>
                <w:lang w:eastAsia="zh-CN"/>
              </w:rPr>
            </w:pPr>
            <w:r>
              <w:rPr>
                <w:rFonts w:ascii="Book Antiqua" w:hAnsi="Book Antiqua" w:cs="Book Antiqua"/>
                <w:b/>
                <w:bCs/>
                <w:color w:val="000000"/>
                <w:highlight w:val="none"/>
                <w:lang w:eastAsia="zh-CN"/>
              </w:rPr>
              <w:t>Patients (</w:t>
            </w:r>
            <w:r>
              <w:rPr>
                <w:rFonts w:ascii="Book Antiqua" w:hAnsi="Book Antiqua" w:cs="Book Antiqua"/>
                <w:b/>
                <w:bCs/>
                <w:i/>
                <w:color w:val="000000"/>
                <w:highlight w:val="none"/>
                <w:lang w:eastAsia="zh-CN"/>
              </w:rPr>
              <w:t>n</w:t>
            </w:r>
            <w:r>
              <w:rPr>
                <w:rFonts w:ascii="Book Antiqua" w:hAnsi="Book Antiqua" w:cs="Book Antiqua"/>
                <w:b/>
                <w:bCs/>
                <w:color w:val="000000"/>
                <w:highlight w:val="none"/>
                <w:lang w:eastAsia="zh-CN"/>
              </w:rPr>
              <w:t xml:space="preserve"> = 25)</w:t>
            </w:r>
            <w:r>
              <w:rPr>
                <w:rFonts w:hint="eastAsia" w:ascii="Book Antiqua" w:hAnsi="Book Antiqua" w:cs="Book Antiqua"/>
                <w:b/>
                <w:bCs/>
                <w:color w:val="000000"/>
                <w:highlight w:val="none"/>
                <w:lang w:eastAsia="zh-CN"/>
              </w:rPr>
              <w:t>, %</w:t>
            </w:r>
          </w:p>
        </w:tc>
        <w:tc>
          <w:tcPr>
            <w:tcW w:w="1070" w:type="pct"/>
            <w:tcBorders>
              <w:top w:val="single" w:color="auto" w:sz="4" w:space="0"/>
              <w:bottom w:val="single" w:color="auto" w:sz="4" w:space="0"/>
            </w:tcBorders>
            <w:vAlign w:val="center"/>
          </w:tcPr>
          <w:p>
            <w:pPr>
              <w:spacing w:line="360" w:lineRule="auto"/>
              <w:jc w:val="both"/>
              <w:rPr>
                <w:rFonts w:ascii="Book Antiqua" w:hAnsi="Book Antiqua" w:cs="Book Antiqua"/>
                <w:b/>
                <w:bCs/>
                <w:color w:val="000000"/>
                <w:highlight w:val="none"/>
                <w:lang w:eastAsia="zh-CN"/>
              </w:rPr>
            </w:pPr>
            <w:r>
              <w:rPr>
                <w:rFonts w:ascii="Book Antiqua" w:hAnsi="Book Antiqua" w:cs="Book Antiqua"/>
                <w:b/>
                <w:bCs/>
                <w:color w:val="000000"/>
                <w:highlight w:val="none"/>
                <w:lang w:eastAsia="zh-CN"/>
              </w:rPr>
              <w:t>Control (</w:t>
            </w:r>
            <w:r>
              <w:rPr>
                <w:rFonts w:ascii="Book Antiqua" w:hAnsi="Book Antiqua" w:cs="Book Antiqua"/>
                <w:b/>
                <w:bCs/>
                <w:i/>
                <w:color w:val="000000"/>
                <w:highlight w:val="none"/>
                <w:lang w:eastAsia="zh-CN"/>
              </w:rPr>
              <w:t>n</w:t>
            </w:r>
            <w:r>
              <w:rPr>
                <w:rFonts w:ascii="Book Antiqua" w:hAnsi="Book Antiqua" w:cs="Book Antiqua"/>
                <w:b/>
                <w:bCs/>
                <w:color w:val="000000"/>
                <w:highlight w:val="none"/>
                <w:lang w:eastAsia="zh-CN"/>
              </w:rPr>
              <w:t xml:space="preserve"> = 25)</w:t>
            </w:r>
            <w:r>
              <w:rPr>
                <w:rFonts w:hint="eastAsia" w:ascii="Book Antiqua" w:hAnsi="Book Antiqua" w:cs="Book Antiqua"/>
                <w:b/>
                <w:bCs/>
                <w:color w:val="000000"/>
                <w:highlight w:val="none"/>
                <w:lang w:eastAsia="zh-CN"/>
              </w:rPr>
              <w:t xml:space="preserve"> , %</w:t>
            </w:r>
          </w:p>
        </w:tc>
        <w:tc>
          <w:tcPr>
            <w:tcW w:w="864" w:type="pct"/>
            <w:tcBorders>
              <w:top w:val="single" w:color="auto" w:sz="4" w:space="0"/>
              <w:bottom w:val="single" w:color="auto" w:sz="4" w:space="0"/>
            </w:tcBorders>
            <w:vAlign w:val="center"/>
          </w:tcPr>
          <w:p>
            <w:pPr>
              <w:spacing w:line="360" w:lineRule="auto"/>
              <w:jc w:val="both"/>
              <w:rPr>
                <w:rFonts w:ascii="Book Antiqua" w:hAnsi="Book Antiqua" w:cs="Book Antiqua"/>
                <w:b/>
                <w:bCs/>
                <w:color w:val="000000"/>
                <w:highlight w:val="none"/>
                <w:lang w:eastAsia="zh-CN"/>
              </w:rPr>
            </w:pPr>
            <w:r>
              <w:rPr>
                <w:rFonts w:ascii="Book Antiqua" w:hAnsi="Book Antiqua" w:cs="Book Antiqua"/>
                <w:b/>
                <w:bCs/>
                <w:i/>
                <w:iCs/>
                <w:color w:val="000000"/>
                <w:highlight w:val="none"/>
                <w:lang w:eastAsia="zh-CN"/>
              </w:rPr>
              <w:t>P</w:t>
            </w:r>
            <w:r>
              <w:rPr>
                <w:rFonts w:hint="eastAsia" w:ascii="Book Antiqua" w:hAnsi="Book Antiqua" w:cs="Book Antiqua"/>
                <w:b/>
                <w:bCs/>
                <w:color w:val="000000"/>
                <w:highlight w:val="none"/>
                <w:lang w:eastAsia="zh-CN"/>
              </w:rPr>
              <w:t xml:space="preserve"> </w:t>
            </w:r>
            <w:r>
              <w:rPr>
                <w:rFonts w:ascii="Book Antiqua" w:hAnsi="Book Antiqua" w:cs="Book Antiqua"/>
                <w:b/>
                <w:bCs/>
                <w:color w:val="000000"/>
                <w:highlight w:val="none"/>
                <w:lang w:eastAsia="zh-CN"/>
              </w:rPr>
              <w:t>value</w:t>
            </w:r>
            <w:r>
              <w:rPr>
                <w:rFonts w:hint="eastAsia" w:ascii="Book Antiqua" w:hAnsi="Book Antiqua" w:cs="Book Antiqua"/>
                <w:b/>
                <w:bCs/>
                <w:color w:val="000000"/>
                <w:highlight w:val="none"/>
                <w:vertAlign w:val="superscript"/>
                <w:lang w:eastAsia="zh-CN"/>
              </w:rPr>
              <w:t>1</w:t>
            </w:r>
          </w:p>
        </w:tc>
      </w:tr>
      <w:tr>
        <w:tblPrEx>
          <w:tblCellMar>
            <w:top w:w="0" w:type="dxa"/>
            <w:left w:w="108" w:type="dxa"/>
            <w:bottom w:w="0" w:type="dxa"/>
            <w:right w:w="108" w:type="dxa"/>
          </w:tblCellMar>
        </w:tblPrEx>
        <w:trPr>
          <w:trHeight w:val="792" w:hRule="atLeast"/>
        </w:trPr>
        <w:tc>
          <w:tcPr>
            <w:tcW w:w="1096" w:type="pct"/>
            <w:vMerge w:val="restart"/>
            <w:tcBorders>
              <w:top w:val="single" w:color="auto" w:sz="4" w:space="0"/>
            </w:tcBorders>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Physical component summary score</w:t>
            </w:r>
          </w:p>
        </w:tc>
        <w:tc>
          <w:tcPr>
            <w:tcW w:w="900" w:type="pct"/>
            <w:tcBorders>
              <w:top w:val="single" w:color="auto" w:sz="4" w:space="0"/>
            </w:tcBorders>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At or above</w:t>
            </w:r>
          </w:p>
        </w:tc>
        <w:tc>
          <w:tcPr>
            <w:tcW w:w="1070" w:type="pct"/>
            <w:tcBorders>
              <w:top w:val="single" w:color="auto" w:sz="4" w:space="0"/>
            </w:tcBorders>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11 (44)</w:t>
            </w:r>
          </w:p>
        </w:tc>
        <w:tc>
          <w:tcPr>
            <w:tcW w:w="1070" w:type="pct"/>
            <w:tcBorders>
              <w:top w:val="single" w:color="auto" w:sz="4" w:space="0"/>
            </w:tcBorders>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25 (100)</w:t>
            </w:r>
          </w:p>
        </w:tc>
        <w:tc>
          <w:tcPr>
            <w:tcW w:w="864" w:type="pct"/>
            <w:vMerge w:val="restart"/>
            <w:tcBorders>
              <w:top w:val="single" w:color="auto" w:sz="4" w:space="0"/>
            </w:tcBorders>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0.0002</w:t>
            </w:r>
          </w:p>
        </w:tc>
      </w:tr>
      <w:tr>
        <w:tblPrEx>
          <w:tblCellMar>
            <w:top w:w="0" w:type="dxa"/>
            <w:left w:w="108" w:type="dxa"/>
            <w:bottom w:w="0" w:type="dxa"/>
            <w:right w:w="108" w:type="dxa"/>
          </w:tblCellMar>
        </w:tblPrEx>
        <w:trPr>
          <w:trHeight w:val="792" w:hRule="atLeast"/>
        </w:trPr>
        <w:tc>
          <w:tcPr>
            <w:tcW w:w="1096" w:type="pct"/>
            <w:vMerge w:val="continue"/>
            <w:vAlign w:val="center"/>
          </w:tcPr>
          <w:p>
            <w:pPr>
              <w:spacing w:line="360" w:lineRule="auto"/>
              <w:jc w:val="both"/>
              <w:rPr>
                <w:rFonts w:ascii="Book Antiqua" w:hAnsi="Book Antiqua" w:cs="Book Antiqua"/>
                <w:bCs/>
                <w:color w:val="000000"/>
                <w:highlight w:val="none"/>
                <w:lang w:eastAsia="zh-CN"/>
              </w:rPr>
            </w:pPr>
          </w:p>
        </w:tc>
        <w:tc>
          <w:tcPr>
            <w:tcW w:w="900"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Below</w:t>
            </w:r>
          </w:p>
        </w:tc>
        <w:tc>
          <w:tcPr>
            <w:tcW w:w="1070"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8 (32)</w:t>
            </w:r>
          </w:p>
        </w:tc>
        <w:tc>
          <w:tcPr>
            <w:tcW w:w="1070"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0 (0)</w:t>
            </w:r>
          </w:p>
        </w:tc>
        <w:tc>
          <w:tcPr>
            <w:tcW w:w="864" w:type="pct"/>
            <w:vMerge w:val="continue"/>
            <w:vAlign w:val="center"/>
          </w:tcPr>
          <w:p>
            <w:pPr>
              <w:spacing w:line="360" w:lineRule="auto"/>
              <w:jc w:val="both"/>
              <w:rPr>
                <w:rFonts w:ascii="Book Antiqua" w:hAnsi="Book Antiqua" w:cs="Book Antiqua"/>
                <w:bCs/>
                <w:color w:val="000000"/>
                <w:highlight w:val="none"/>
                <w:lang w:eastAsia="zh-CN"/>
              </w:rPr>
            </w:pPr>
          </w:p>
        </w:tc>
      </w:tr>
      <w:tr>
        <w:tblPrEx>
          <w:tblCellMar>
            <w:top w:w="0" w:type="dxa"/>
            <w:left w:w="108" w:type="dxa"/>
            <w:bottom w:w="0" w:type="dxa"/>
            <w:right w:w="108" w:type="dxa"/>
          </w:tblCellMar>
        </w:tblPrEx>
        <w:trPr>
          <w:trHeight w:val="792" w:hRule="atLeast"/>
        </w:trPr>
        <w:tc>
          <w:tcPr>
            <w:tcW w:w="1096" w:type="pct"/>
            <w:vMerge w:val="continue"/>
            <w:vAlign w:val="center"/>
          </w:tcPr>
          <w:p>
            <w:pPr>
              <w:spacing w:line="360" w:lineRule="auto"/>
              <w:jc w:val="both"/>
              <w:rPr>
                <w:rFonts w:ascii="Book Antiqua" w:hAnsi="Book Antiqua" w:cs="Book Antiqua"/>
                <w:bCs/>
                <w:color w:val="000000"/>
                <w:highlight w:val="none"/>
                <w:lang w:eastAsia="zh-CN"/>
              </w:rPr>
            </w:pPr>
          </w:p>
        </w:tc>
        <w:tc>
          <w:tcPr>
            <w:tcW w:w="900"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Far below</w:t>
            </w:r>
          </w:p>
        </w:tc>
        <w:tc>
          <w:tcPr>
            <w:tcW w:w="1070"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6 (24)</w:t>
            </w:r>
          </w:p>
        </w:tc>
        <w:tc>
          <w:tcPr>
            <w:tcW w:w="1070"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0 (0)</w:t>
            </w:r>
          </w:p>
        </w:tc>
        <w:tc>
          <w:tcPr>
            <w:tcW w:w="864" w:type="pct"/>
            <w:vMerge w:val="continue"/>
            <w:vAlign w:val="center"/>
          </w:tcPr>
          <w:p>
            <w:pPr>
              <w:spacing w:line="360" w:lineRule="auto"/>
              <w:jc w:val="both"/>
              <w:rPr>
                <w:rFonts w:ascii="Book Antiqua" w:hAnsi="Book Antiqua" w:cs="Book Antiqua"/>
                <w:bCs/>
                <w:color w:val="000000"/>
                <w:highlight w:val="none"/>
                <w:lang w:eastAsia="zh-CN"/>
              </w:rPr>
            </w:pPr>
          </w:p>
        </w:tc>
      </w:tr>
      <w:tr>
        <w:tblPrEx>
          <w:tblCellMar>
            <w:top w:w="0" w:type="dxa"/>
            <w:left w:w="108" w:type="dxa"/>
            <w:bottom w:w="0" w:type="dxa"/>
            <w:right w:w="108" w:type="dxa"/>
          </w:tblCellMar>
        </w:tblPrEx>
        <w:trPr>
          <w:trHeight w:val="792" w:hRule="atLeast"/>
        </w:trPr>
        <w:tc>
          <w:tcPr>
            <w:tcW w:w="1096" w:type="pct"/>
            <w:vMerge w:val="restar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Mental component summary score</w:t>
            </w:r>
          </w:p>
        </w:tc>
        <w:tc>
          <w:tcPr>
            <w:tcW w:w="900"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At or above</w:t>
            </w:r>
          </w:p>
        </w:tc>
        <w:tc>
          <w:tcPr>
            <w:tcW w:w="1070"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7 (28)</w:t>
            </w:r>
          </w:p>
        </w:tc>
        <w:tc>
          <w:tcPr>
            <w:tcW w:w="1070"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24 (96)</w:t>
            </w:r>
          </w:p>
        </w:tc>
        <w:tc>
          <w:tcPr>
            <w:tcW w:w="864" w:type="pct"/>
            <w:vMerge w:val="restar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&lt;</w:t>
            </w:r>
            <w:r>
              <w:rPr>
                <w:rFonts w:hint="eastAsia" w:ascii="Book Antiqua" w:hAnsi="Book Antiqua" w:cs="Book Antiqua"/>
                <w:bCs/>
                <w:color w:val="000000"/>
                <w:highlight w:val="none"/>
                <w:lang w:eastAsia="zh-CN"/>
              </w:rPr>
              <w:t xml:space="preserve"> </w:t>
            </w:r>
            <w:r>
              <w:rPr>
                <w:rFonts w:ascii="Book Antiqua" w:hAnsi="Book Antiqua" w:cs="Book Antiqua"/>
                <w:bCs/>
                <w:color w:val="000000"/>
                <w:highlight w:val="none"/>
                <w:lang w:eastAsia="zh-CN"/>
              </w:rPr>
              <w:t>0.0001</w:t>
            </w:r>
          </w:p>
        </w:tc>
      </w:tr>
      <w:tr>
        <w:tblPrEx>
          <w:tblCellMar>
            <w:top w:w="0" w:type="dxa"/>
            <w:left w:w="108" w:type="dxa"/>
            <w:bottom w:w="0" w:type="dxa"/>
            <w:right w:w="108" w:type="dxa"/>
          </w:tblCellMar>
        </w:tblPrEx>
        <w:trPr>
          <w:trHeight w:val="792" w:hRule="atLeast"/>
        </w:trPr>
        <w:tc>
          <w:tcPr>
            <w:tcW w:w="1096" w:type="pct"/>
            <w:vMerge w:val="continue"/>
            <w:vAlign w:val="center"/>
          </w:tcPr>
          <w:p>
            <w:pPr>
              <w:spacing w:line="360" w:lineRule="auto"/>
              <w:jc w:val="both"/>
              <w:rPr>
                <w:rFonts w:ascii="Book Antiqua" w:hAnsi="Book Antiqua" w:cs="Book Antiqua"/>
                <w:bCs/>
                <w:color w:val="000000"/>
                <w:highlight w:val="none"/>
                <w:lang w:eastAsia="zh-CN"/>
              </w:rPr>
            </w:pPr>
          </w:p>
        </w:tc>
        <w:tc>
          <w:tcPr>
            <w:tcW w:w="900"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Below</w:t>
            </w:r>
          </w:p>
        </w:tc>
        <w:tc>
          <w:tcPr>
            <w:tcW w:w="1070"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7 (28)</w:t>
            </w:r>
          </w:p>
        </w:tc>
        <w:tc>
          <w:tcPr>
            <w:tcW w:w="1070" w:type="pct"/>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 (4)</w:t>
            </w:r>
          </w:p>
        </w:tc>
        <w:tc>
          <w:tcPr>
            <w:tcW w:w="864" w:type="pct"/>
            <w:vMerge w:val="continue"/>
            <w:vAlign w:val="center"/>
          </w:tcPr>
          <w:p>
            <w:pPr>
              <w:spacing w:line="360" w:lineRule="auto"/>
              <w:jc w:val="both"/>
              <w:rPr>
                <w:rFonts w:ascii="Book Antiqua" w:hAnsi="Book Antiqua" w:cs="Book Antiqua"/>
                <w:bCs/>
                <w:color w:val="000000"/>
                <w:highlight w:val="none"/>
                <w:lang w:eastAsia="zh-CN"/>
              </w:rPr>
            </w:pPr>
          </w:p>
        </w:tc>
      </w:tr>
      <w:tr>
        <w:tblPrEx>
          <w:tblCellMar>
            <w:top w:w="0" w:type="dxa"/>
            <w:left w:w="108" w:type="dxa"/>
            <w:bottom w:w="0" w:type="dxa"/>
            <w:right w:w="108" w:type="dxa"/>
          </w:tblCellMar>
        </w:tblPrEx>
        <w:trPr>
          <w:trHeight w:val="792" w:hRule="atLeast"/>
        </w:trPr>
        <w:tc>
          <w:tcPr>
            <w:tcW w:w="1096" w:type="pct"/>
            <w:vMerge w:val="continue"/>
            <w:tcBorders>
              <w:bottom w:val="single" w:color="auto" w:sz="4" w:space="0"/>
            </w:tcBorders>
            <w:vAlign w:val="center"/>
          </w:tcPr>
          <w:p>
            <w:pPr>
              <w:spacing w:line="360" w:lineRule="auto"/>
              <w:jc w:val="both"/>
              <w:rPr>
                <w:rFonts w:ascii="Book Antiqua" w:hAnsi="Book Antiqua" w:cs="Book Antiqua"/>
                <w:bCs/>
                <w:color w:val="000000"/>
                <w:highlight w:val="none"/>
                <w:lang w:eastAsia="zh-CN"/>
              </w:rPr>
            </w:pPr>
          </w:p>
        </w:tc>
        <w:tc>
          <w:tcPr>
            <w:tcW w:w="900" w:type="pct"/>
            <w:tcBorders>
              <w:bottom w:val="single" w:color="auto" w:sz="4" w:space="0"/>
            </w:tcBorders>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Far below</w:t>
            </w:r>
          </w:p>
        </w:tc>
        <w:tc>
          <w:tcPr>
            <w:tcW w:w="1070" w:type="pct"/>
            <w:tcBorders>
              <w:bottom w:val="single" w:color="auto" w:sz="4" w:space="0"/>
            </w:tcBorders>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11 (44)</w:t>
            </w:r>
          </w:p>
        </w:tc>
        <w:tc>
          <w:tcPr>
            <w:tcW w:w="1070" w:type="pct"/>
            <w:tcBorders>
              <w:bottom w:val="single" w:color="auto" w:sz="4" w:space="0"/>
            </w:tcBorders>
            <w:vAlign w:val="center"/>
          </w:tcPr>
          <w:p>
            <w:pPr>
              <w:spacing w:line="360" w:lineRule="auto"/>
              <w:jc w:val="both"/>
              <w:rPr>
                <w:rFonts w:ascii="Book Antiqua" w:hAnsi="Book Antiqua" w:cs="Book Antiqua"/>
                <w:bCs/>
                <w:color w:val="000000"/>
                <w:highlight w:val="none"/>
                <w:lang w:eastAsia="zh-CN"/>
              </w:rPr>
            </w:pPr>
            <w:r>
              <w:rPr>
                <w:rFonts w:ascii="Book Antiqua" w:hAnsi="Book Antiqua" w:cs="Book Antiqua"/>
                <w:bCs/>
                <w:color w:val="000000"/>
                <w:highlight w:val="none"/>
                <w:lang w:eastAsia="zh-CN"/>
              </w:rPr>
              <w:t>0 (0)</w:t>
            </w:r>
          </w:p>
        </w:tc>
        <w:tc>
          <w:tcPr>
            <w:tcW w:w="864" w:type="pct"/>
            <w:vMerge w:val="continue"/>
            <w:tcBorders>
              <w:bottom w:val="single" w:color="auto" w:sz="4" w:space="0"/>
            </w:tcBorders>
            <w:vAlign w:val="center"/>
          </w:tcPr>
          <w:p>
            <w:pPr>
              <w:spacing w:line="360" w:lineRule="auto"/>
              <w:jc w:val="both"/>
              <w:rPr>
                <w:rFonts w:ascii="Book Antiqua" w:hAnsi="Book Antiqua" w:cs="Book Antiqua"/>
                <w:bCs/>
                <w:color w:val="000000"/>
                <w:highlight w:val="none"/>
                <w:lang w:eastAsia="zh-CN"/>
              </w:rPr>
            </w:pPr>
          </w:p>
        </w:tc>
      </w:tr>
    </w:tbl>
    <w:p>
      <w:pPr>
        <w:spacing w:line="360" w:lineRule="auto"/>
        <w:jc w:val="both"/>
        <w:rPr>
          <w:rFonts w:ascii="Book Antiqua" w:hAnsi="Book Antiqua" w:cs="Book Antiqua"/>
          <w:bCs/>
          <w:color w:val="000000"/>
          <w:highlight w:val="none"/>
          <w:lang w:eastAsia="zh-CN"/>
        </w:rPr>
      </w:pPr>
      <w:r>
        <w:rPr>
          <w:rFonts w:hint="eastAsia" w:ascii="Book Antiqua" w:hAnsi="Book Antiqua" w:cs="Book Antiqua"/>
          <w:bCs/>
          <w:color w:val="000000"/>
          <w:highlight w:val="none"/>
          <w:vertAlign w:val="superscript"/>
          <w:lang w:eastAsia="zh-CN"/>
        </w:rPr>
        <w:t>1</w:t>
      </w:r>
      <w:r>
        <w:rPr>
          <w:rFonts w:ascii="Book Antiqua" w:hAnsi="Book Antiqua" w:cs="Book Antiqua"/>
          <w:bCs/>
          <w:color w:val="000000"/>
          <w:highlight w:val="none"/>
          <w:lang w:eastAsia="zh-CN"/>
        </w:rPr>
        <w:t>Chi-squared test for trend</w:t>
      </w:r>
      <w:r>
        <w:rPr>
          <w:rFonts w:hint="eastAsia" w:ascii="Book Antiqua" w:hAnsi="Book Antiqua" w:cs="Book Antiqua"/>
          <w:bCs/>
          <w:color w:val="000000"/>
          <w:highlight w:val="none"/>
          <w:lang w:eastAsia="zh-CN"/>
        </w:rPr>
        <w:t>.</w:t>
      </w:r>
    </w:p>
    <w:p>
      <w:pPr>
        <w:spacing w:line="360" w:lineRule="auto"/>
        <w:jc w:val="both"/>
        <w:rPr>
          <w:rFonts w:hint="eastAsia" w:ascii="Book Antiqua" w:hAnsi="Book Antiqua" w:cs="Book Antiqua"/>
          <w:color w:val="000000"/>
          <w:highlight w:val="none"/>
          <w:lang w:eastAsia="zh-CN"/>
        </w:rPr>
        <w:sectPr>
          <w:pgSz w:w="12240" w:h="15840"/>
          <w:pgMar w:top="1440" w:right="1440" w:bottom="1440" w:left="1440" w:header="720" w:footer="720" w:gutter="0"/>
          <w:cols w:space="720" w:num="1"/>
          <w:docGrid w:linePitch="360" w:charSpace="0"/>
        </w:sectPr>
      </w:pPr>
      <w:r>
        <w:rPr>
          <w:rFonts w:ascii="Book Antiqua" w:hAnsi="Book Antiqua" w:cs="Book Antiqua"/>
          <w:bCs/>
          <w:color w:val="000000"/>
          <w:highlight w:val="none"/>
          <w:lang w:eastAsia="zh-CN"/>
        </w:rPr>
        <w:t>Data are shown as number and percentage</w:t>
      </w:r>
      <w:r>
        <w:rPr>
          <w:rFonts w:hint="eastAsia" w:ascii="Book Antiqua" w:hAnsi="Book Antiqua" w:cs="Book Antiqua"/>
          <w:bCs/>
          <w:color w:val="000000"/>
          <w:highlight w:val="none"/>
          <w:lang w:eastAsia="zh-CN"/>
        </w:rPr>
        <w:t xml:space="preserve">. </w:t>
      </w:r>
      <w:r>
        <w:rPr>
          <w:rFonts w:ascii="Book Antiqua" w:hAnsi="Book Antiqua" w:cs="Book Antiqua"/>
          <w:bCs/>
          <w:color w:val="000000"/>
          <w:highlight w:val="none"/>
          <w:lang w:eastAsia="zh-CN"/>
        </w:rPr>
        <w:t xml:space="preserve">Patients: </w:t>
      </w:r>
      <w:r>
        <w:rPr>
          <w:rFonts w:ascii="Book Antiqua" w:hAnsi="Book Antiqua" w:cs="Book Antiqua"/>
          <w:color w:val="000000"/>
          <w:highlight w:val="none"/>
          <w:lang w:eastAsia="zh-CN"/>
        </w:rPr>
        <w:t>Live donor liver transplant recipients</w:t>
      </w:r>
      <w:r>
        <w:rPr>
          <w:rFonts w:ascii="Book Antiqua" w:hAnsi="Book Antiqua" w:cs="Book Antiqua"/>
          <w:b/>
          <w:bCs/>
          <w:color w:val="000000"/>
          <w:highlight w:val="none"/>
          <w:lang w:eastAsia="zh-CN"/>
        </w:rPr>
        <w:t xml:space="preserve"> </w:t>
      </w:r>
      <w:r>
        <w:rPr>
          <w:rFonts w:ascii="Book Antiqua" w:hAnsi="Book Antiqua" w:cs="Book Antiqua"/>
          <w:bCs/>
          <w:color w:val="000000"/>
          <w:highlight w:val="none"/>
          <w:lang w:eastAsia="zh-CN"/>
        </w:rPr>
        <w:t xml:space="preserve">with biliary complications; Controls: </w:t>
      </w:r>
      <w:r>
        <w:rPr>
          <w:rFonts w:ascii="Book Antiqua" w:hAnsi="Book Antiqua" w:cs="Book Antiqua"/>
          <w:color w:val="000000"/>
          <w:highlight w:val="none"/>
          <w:lang w:eastAsia="zh-CN"/>
        </w:rPr>
        <w:t>Live donor liver transplant recipients without biliary complications;</w:t>
      </w:r>
      <w:bookmarkStart w:id="7" w:name="_Hlk73314864"/>
      <w:r>
        <w:rPr>
          <w:rFonts w:ascii="Book Antiqua" w:hAnsi="Book Antiqua" w:cs="Book Antiqua"/>
          <w:color w:val="000000"/>
          <w:highlight w:val="none"/>
          <w:lang w:eastAsia="zh-CN"/>
        </w:rPr>
        <w:t xml:space="preserve"> NBS: Norm based score</w:t>
      </w:r>
      <w:bookmarkEnd w:id="7"/>
      <w:r>
        <w:rPr>
          <w:rFonts w:hint="eastAsia" w:ascii="Book Antiqua" w:hAnsi="Book Antiqua" w:cs="Book Antiqua"/>
          <w:color w:val="000000"/>
          <w:highlight w:val="none"/>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cs="Book Antiqua"/>
          <w:color w:val="000000"/>
          <w:highlight w:val="none"/>
          <w:lang w:eastAsia="zh-CN"/>
        </w:rPr>
      </w:pPr>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20</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28</w:t>
    </w:r>
    <w:r>
      <w:rPr>
        <w:rFonts w:ascii="Book Antiqua" w:hAnsi="Book Antiqua"/>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7EE4AE"/>
    <w:multiLevelType w:val="singleLevel"/>
    <w:tmpl w:val="4E7EE4AE"/>
    <w:lvl w:ilvl="0" w:tentative="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484D"/>
    <w:rsid w:val="00064835"/>
    <w:rsid w:val="00086378"/>
    <w:rsid w:val="00114FED"/>
    <w:rsid w:val="00210B1C"/>
    <w:rsid w:val="00255BB3"/>
    <w:rsid w:val="002D705F"/>
    <w:rsid w:val="00412947"/>
    <w:rsid w:val="00442787"/>
    <w:rsid w:val="00477D37"/>
    <w:rsid w:val="00485796"/>
    <w:rsid w:val="00576484"/>
    <w:rsid w:val="005D114D"/>
    <w:rsid w:val="00612A0C"/>
    <w:rsid w:val="006270FE"/>
    <w:rsid w:val="00685DC8"/>
    <w:rsid w:val="006A3D79"/>
    <w:rsid w:val="006C22B8"/>
    <w:rsid w:val="00763081"/>
    <w:rsid w:val="008424F4"/>
    <w:rsid w:val="00903776"/>
    <w:rsid w:val="009C6437"/>
    <w:rsid w:val="00A01B29"/>
    <w:rsid w:val="00A66C09"/>
    <w:rsid w:val="00A77B3E"/>
    <w:rsid w:val="00A969AF"/>
    <w:rsid w:val="00B03E86"/>
    <w:rsid w:val="00B578FE"/>
    <w:rsid w:val="00C52387"/>
    <w:rsid w:val="00CA2A55"/>
    <w:rsid w:val="00D855D1"/>
    <w:rsid w:val="00DB110B"/>
    <w:rsid w:val="00EB5E32"/>
    <w:rsid w:val="00EC1A27"/>
    <w:rsid w:val="00ED2DC5"/>
    <w:rsid w:val="00F0070E"/>
    <w:rsid w:val="00F24B54"/>
    <w:rsid w:val="00F363BA"/>
    <w:rsid w:val="00F52B8F"/>
    <w:rsid w:val="00F9476C"/>
    <w:rsid w:val="00FB0D9A"/>
    <w:rsid w:val="0F583CB7"/>
    <w:rsid w:val="2F1E4F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GB"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qFormat/>
    <w:uiPriority w:val="0"/>
    <w:pPr>
      <w:tabs>
        <w:tab w:val="center" w:pos="4153"/>
        <w:tab w:val="right" w:pos="8306"/>
      </w:tabs>
      <w:snapToGrid w:val="0"/>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字符"/>
    <w:basedOn w:val="7"/>
    <w:link w:val="2"/>
    <w:qFormat/>
    <w:uiPriority w:val="0"/>
    <w:rPr>
      <w:sz w:val="18"/>
      <w:szCs w:val="18"/>
    </w:rPr>
  </w:style>
  <w:style w:type="character" w:customStyle="1" w:styleId="9">
    <w:name w:val="页眉 字符"/>
    <w:basedOn w:val="7"/>
    <w:link w:val="4"/>
    <w:qFormat/>
    <w:uiPriority w:val="0"/>
    <w:rPr>
      <w:sz w:val="18"/>
      <w:szCs w:val="18"/>
    </w:rPr>
  </w:style>
  <w:style w:type="character" w:customStyle="1" w:styleId="10">
    <w:name w:val="页脚 字符"/>
    <w:basedOn w:val="7"/>
    <w:link w:val="3"/>
    <w:qFormat/>
    <w:uiPriority w:val="0"/>
    <w:rPr>
      <w:sz w:val="18"/>
      <w:szCs w:val="18"/>
    </w:rPr>
  </w:style>
  <w:style w:type="paragraph" w:customStyle="1" w:styleId="11">
    <w:name w:val="Revision"/>
    <w:hidden/>
    <w:semiHidden/>
    <w:qFormat/>
    <w:uiPriority w:val="99"/>
    <w:rPr>
      <w:rFonts w:ascii="Times New Roman" w:hAnsi="Times New Roman" w:cs="Times New Roman" w:eastAsiaTheme="minorEastAsia"/>
      <w:sz w:val="24"/>
      <w:szCs w:val="24"/>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C2773F-A7EC-46A1-8BA9-7A44C20C62DD}">
  <ds:schemaRefs/>
</ds:datastoreItem>
</file>

<file path=docProps/app.xml><?xml version="1.0" encoding="utf-8"?>
<Properties xmlns="http://schemas.openxmlformats.org/officeDocument/2006/extended-properties" xmlns:vt="http://schemas.openxmlformats.org/officeDocument/2006/docPropsVTypes">
  <Template>Normal.dotm</Template>
  <Pages>28</Pages>
  <Words>5845</Words>
  <Characters>33321</Characters>
  <Lines>277</Lines>
  <Paragraphs>78</Paragraphs>
  <TotalTime>0</TotalTime>
  <ScaleCrop>false</ScaleCrop>
  <LinksUpToDate>false</LinksUpToDate>
  <CharactersWithSpaces>39088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2021-09-22T19:33:00Z</dcterms:created>
  <dc:creator>ghada abdelrahman</dc:creator>
  <cp:lastModifiedBy>晓晨</cp:lastModifiedBy>
  <dcterms:modified xsi:type="dcterms:W3CDTF">2021-10-21T07:48:54Z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682B455099D6444080CA1B012840CECA</vt:lpwstr>
  </property>
</Properties>
</file>