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66DD"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454DD84"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75126</w:t>
      </w:r>
    </w:p>
    <w:p w14:paraId="36C2D164" w14:textId="77777777" w:rsidR="008A6CD8" w:rsidRDefault="00477245">
      <w:pPr>
        <w:spacing w:line="360" w:lineRule="auto"/>
        <w:jc w:val="both"/>
        <w:rPr>
          <w:rFonts w:ascii="Book Antiqua" w:hAnsi="Book Antiqua"/>
          <w:lang w:eastAsia="zh-CN"/>
        </w:rPr>
      </w:pPr>
      <w:r>
        <w:rPr>
          <w:rFonts w:ascii="Book Antiqua" w:eastAsia="Book Antiqua" w:hAnsi="Book Antiqua" w:cs="Book Antiqua"/>
          <w:b/>
        </w:rPr>
        <w:t xml:space="preserve">Manuscript Type: </w:t>
      </w:r>
      <w:r>
        <w:rPr>
          <w:rFonts w:ascii="Book Antiqua" w:eastAsia="Book Antiqua" w:hAnsi="Book Antiqua" w:cs="Book Antiqua"/>
        </w:rPr>
        <w:t>REVIEW</w:t>
      </w:r>
    </w:p>
    <w:p w14:paraId="6AE7CB42" w14:textId="77777777" w:rsidR="008A6CD8" w:rsidRDefault="008A6CD8">
      <w:pPr>
        <w:spacing w:line="360" w:lineRule="auto"/>
        <w:jc w:val="both"/>
        <w:rPr>
          <w:rFonts w:ascii="Book Antiqua" w:hAnsi="Book Antiqua"/>
        </w:rPr>
      </w:pPr>
    </w:p>
    <w:p w14:paraId="596D8C53" w14:textId="77777777" w:rsidR="008A6CD8" w:rsidRDefault="00477245">
      <w:pPr>
        <w:spacing w:line="360" w:lineRule="auto"/>
        <w:jc w:val="both"/>
        <w:rPr>
          <w:rFonts w:ascii="Book Antiqua" w:hAnsi="Book Antiqua"/>
        </w:rPr>
      </w:pPr>
      <w:r>
        <w:rPr>
          <w:rFonts w:ascii="Book Antiqua" w:eastAsia="Book Antiqua" w:hAnsi="Book Antiqua" w:cs="Book Antiqua"/>
          <w:b/>
        </w:rPr>
        <w:t>Impact of direct-acting antiviral regimens on hepatic and extrahepatic manifestations of hepatitis C virus infection</w:t>
      </w:r>
    </w:p>
    <w:p w14:paraId="5AAD34FA" w14:textId="77777777" w:rsidR="008A6CD8" w:rsidRDefault="008A6CD8">
      <w:pPr>
        <w:spacing w:line="360" w:lineRule="auto"/>
        <w:jc w:val="both"/>
        <w:rPr>
          <w:rFonts w:ascii="Book Antiqua" w:hAnsi="Book Antiqua"/>
        </w:rPr>
      </w:pPr>
    </w:p>
    <w:p w14:paraId="41D63915" w14:textId="77777777" w:rsidR="008A6CD8" w:rsidRDefault="00477245">
      <w:pPr>
        <w:spacing w:line="360" w:lineRule="auto"/>
        <w:jc w:val="both"/>
        <w:rPr>
          <w:rFonts w:ascii="Book Antiqua" w:hAnsi="Book Antiqua"/>
        </w:rPr>
      </w:pPr>
      <w:r>
        <w:rPr>
          <w:rFonts w:ascii="Book Antiqua" w:eastAsia="Book Antiqua" w:hAnsi="Book Antiqua" w:cs="Book Antiqua"/>
        </w:rPr>
        <w:t xml:space="preserve">Salama </w:t>
      </w:r>
      <w:r>
        <w:rPr>
          <w:rFonts w:ascii="Book Antiqua" w:hAnsi="Book Antiqua" w:cs="Book Antiqua"/>
          <w:lang w:eastAsia="zh-CN"/>
        </w:rPr>
        <w:t>II</w:t>
      </w:r>
      <w:r>
        <w:rPr>
          <w:rFonts w:ascii="Book Antiqua" w:hAnsi="Book Antiqua" w:cs="Book Antiqua"/>
          <w:i/>
          <w:lang w:eastAsia="zh-CN"/>
        </w:rPr>
        <w:t xml:space="preserve"> et al</w:t>
      </w:r>
      <w:r>
        <w:rPr>
          <w:rFonts w:ascii="Book Antiqua" w:hAnsi="Book Antiqua" w:cs="Book Antiqua"/>
          <w:lang w:eastAsia="zh-CN"/>
        </w:rPr>
        <w:t xml:space="preserve">. </w:t>
      </w:r>
      <w:r>
        <w:rPr>
          <w:rFonts w:ascii="Book Antiqua" w:eastAsia="Book Antiqua" w:hAnsi="Book Antiqua" w:cs="Book Antiqua"/>
        </w:rPr>
        <w:t>HCV-DAA regimens influence manifestations of HCV infection</w:t>
      </w:r>
    </w:p>
    <w:p w14:paraId="5258A16F" w14:textId="77777777" w:rsidR="008A6CD8" w:rsidRDefault="008A6CD8">
      <w:pPr>
        <w:spacing w:line="360" w:lineRule="auto"/>
        <w:jc w:val="both"/>
        <w:rPr>
          <w:rFonts w:ascii="Book Antiqua" w:hAnsi="Book Antiqua"/>
        </w:rPr>
      </w:pPr>
    </w:p>
    <w:p w14:paraId="2D36121E" w14:textId="77777777" w:rsidR="008A6CD8" w:rsidRDefault="00477245">
      <w:pPr>
        <w:spacing w:line="360" w:lineRule="auto"/>
        <w:jc w:val="both"/>
        <w:rPr>
          <w:rFonts w:ascii="Book Antiqua" w:hAnsi="Book Antiqua"/>
        </w:rPr>
      </w:pPr>
      <w:r>
        <w:rPr>
          <w:rFonts w:ascii="Book Antiqua" w:eastAsia="Book Antiqua" w:hAnsi="Book Antiqua" w:cs="Book Antiqua"/>
        </w:rPr>
        <w:t>Iman Ibrahim Salama, Hala M Raslan, Ghada A Abdel-Latif, Somaia I Salama, Samia M Sami, Fatma A Shaaban, Aida M Abdelmohsen, Walaa A Fouad</w:t>
      </w:r>
    </w:p>
    <w:p w14:paraId="0E61C6DE" w14:textId="77777777" w:rsidR="008A6CD8" w:rsidRDefault="008A6CD8">
      <w:pPr>
        <w:spacing w:line="360" w:lineRule="auto"/>
        <w:jc w:val="both"/>
        <w:rPr>
          <w:rFonts w:ascii="Book Antiqua" w:hAnsi="Book Antiqua"/>
        </w:rPr>
      </w:pPr>
    </w:p>
    <w:p w14:paraId="5816EE71"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Iman Ibrahim Salama, Ghada A Abdel-Latif, Somaia I Salama, Aida M Abdelmohsen, Walaa A Fouad,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Community Medicine Research, National Research Center, Giza 12622, Dokki, Egypt</w:t>
      </w:r>
    </w:p>
    <w:p w14:paraId="02C63CF2" w14:textId="77777777" w:rsidR="008A6CD8" w:rsidRDefault="008A6CD8">
      <w:pPr>
        <w:spacing w:line="360" w:lineRule="auto"/>
        <w:jc w:val="both"/>
        <w:rPr>
          <w:rFonts w:ascii="Book Antiqua" w:hAnsi="Book Antiqua"/>
        </w:rPr>
      </w:pPr>
    </w:p>
    <w:p w14:paraId="0A1CC5DE"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Hala M Raslan,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Internal Medicine, National Research Center, Giza 12622, Dokki, Egypt</w:t>
      </w:r>
    </w:p>
    <w:p w14:paraId="0CDF80BD" w14:textId="77777777" w:rsidR="008A6CD8" w:rsidRDefault="008A6CD8">
      <w:pPr>
        <w:spacing w:line="360" w:lineRule="auto"/>
        <w:jc w:val="both"/>
        <w:rPr>
          <w:rFonts w:ascii="Book Antiqua" w:hAnsi="Book Antiqua"/>
        </w:rPr>
      </w:pPr>
    </w:p>
    <w:p w14:paraId="755A87C6"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Samia M Sami, Fatma A Shaaban,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Child Health, National Research Center, Giza 12622, Dokki, Egypt</w:t>
      </w:r>
    </w:p>
    <w:p w14:paraId="2D179F8F" w14:textId="77777777" w:rsidR="008A6CD8" w:rsidRDefault="008A6CD8">
      <w:pPr>
        <w:spacing w:line="360" w:lineRule="auto"/>
        <w:jc w:val="both"/>
        <w:rPr>
          <w:rFonts w:ascii="Book Antiqua" w:hAnsi="Book Antiqua"/>
        </w:rPr>
      </w:pPr>
    </w:p>
    <w:p w14:paraId="7E5101CB"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Salama II and Raslan HA designed the review steps; Salama II, Salama SI, Abdel-Latif GA, Sami SM,</w:t>
      </w:r>
      <w:r>
        <w:rPr>
          <w:rFonts w:ascii="Book Antiqua" w:hAnsi="Book Antiqua" w:cs="Book Antiqua"/>
          <w:lang w:eastAsia="zh-CN"/>
        </w:rPr>
        <w:t xml:space="preserve"> and </w:t>
      </w:r>
      <w:r>
        <w:rPr>
          <w:rFonts w:ascii="Book Antiqua" w:eastAsia="Book Antiqua" w:hAnsi="Book Antiqua" w:cs="Book Antiqua"/>
        </w:rPr>
        <w:t>Shaaban FA were responsible for writing the minireview;</w:t>
      </w:r>
      <w:r>
        <w:rPr>
          <w:rFonts w:ascii="Book Antiqua" w:hAnsi="Book Antiqua" w:cs="Book Antiqua"/>
          <w:lang w:eastAsia="zh-CN"/>
        </w:rPr>
        <w:t xml:space="preserve"> </w:t>
      </w:r>
      <w:r>
        <w:rPr>
          <w:rFonts w:ascii="Book Antiqua" w:eastAsia="Book Antiqua" w:hAnsi="Book Antiqua" w:cs="Book Antiqua"/>
        </w:rPr>
        <w:t>Abdelmohsen AM and Fouad WA were responsible for manuscript reviewing; Salama II, Raslan HA, Salama SI,</w:t>
      </w:r>
      <w:r>
        <w:rPr>
          <w:rFonts w:ascii="Book Antiqua" w:hAnsi="Book Antiqua" w:cs="Book Antiqua" w:hint="eastAsia"/>
          <w:lang w:eastAsia="zh-CN"/>
        </w:rPr>
        <w:t xml:space="preserve"> and</w:t>
      </w:r>
      <w:r>
        <w:rPr>
          <w:rFonts w:ascii="Book Antiqua" w:eastAsia="Book Antiqua" w:hAnsi="Book Antiqua" w:cs="Book Antiqua"/>
        </w:rPr>
        <w:t xml:space="preserve"> Abdel-Latif GA</w:t>
      </w:r>
      <w:r>
        <w:rPr>
          <w:rFonts w:ascii="Book Antiqua" w:hAnsi="Book Antiqua" w:cs="Book Antiqua" w:hint="eastAsia"/>
          <w:lang w:eastAsia="zh-CN"/>
        </w:rPr>
        <w:t xml:space="preserve"> </w:t>
      </w:r>
      <w:r>
        <w:rPr>
          <w:rFonts w:ascii="Book Antiqua" w:eastAsia="Book Antiqua" w:hAnsi="Book Antiqua" w:cs="Book Antiqua"/>
        </w:rPr>
        <w:t>did the final revision; Sami SM did the final editing</w:t>
      </w:r>
      <w:r>
        <w:rPr>
          <w:rFonts w:ascii="Book Antiqua" w:hAnsi="Book Antiqua" w:cs="Book Antiqua" w:hint="eastAsia"/>
          <w:lang w:eastAsia="zh-CN"/>
        </w:rPr>
        <w:t xml:space="preserve">; </w:t>
      </w:r>
      <w:r>
        <w:rPr>
          <w:rFonts w:ascii="Book Antiqua" w:hAnsi="Book Antiqua" w:cs="Book Antiqua"/>
          <w:lang w:eastAsia="zh-CN"/>
        </w:rPr>
        <w:t>a</w:t>
      </w:r>
      <w:r>
        <w:rPr>
          <w:rFonts w:ascii="Book Antiqua" w:eastAsia="Book Antiqua" w:hAnsi="Book Antiqua" w:cs="Book Antiqua"/>
        </w:rPr>
        <w:t>ll the authors reviewed and approved the minireview</w:t>
      </w:r>
      <w:r>
        <w:rPr>
          <w:rFonts w:ascii="Book Antiqua" w:hAnsi="Book Antiqua" w:cs="Book Antiqua" w:hint="eastAsia"/>
          <w:lang w:eastAsia="zh-CN"/>
        </w:rPr>
        <w:t>.</w:t>
      </w:r>
      <w:r>
        <w:rPr>
          <w:rFonts w:ascii="Book Antiqua" w:eastAsia="Book Antiqua" w:hAnsi="Book Antiqua" w:cs="Book Antiqua"/>
        </w:rPr>
        <w:t xml:space="preserve"> </w:t>
      </w:r>
    </w:p>
    <w:p w14:paraId="04BEC894" w14:textId="77777777" w:rsidR="008A6CD8" w:rsidRDefault="008A6CD8">
      <w:pPr>
        <w:spacing w:line="360" w:lineRule="auto"/>
        <w:jc w:val="both"/>
        <w:rPr>
          <w:rFonts w:ascii="Book Antiqua" w:hAnsi="Book Antiqua"/>
        </w:rPr>
      </w:pPr>
    </w:p>
    <w:p w14:paraId="262184BF" w14:textId="77777777" w:rsidR="008A6CD8" w:rsidRDefault="00477245">
      <w:pPr>
        <w:spacing w:line="360" w:lineRule="auto"/>
        <w:jc w:val="both"/>
        <w:rPr>
          <w:rFonts w:ascii="Book Antiqua" w:hAnsi="Book Antiqua"/>
        </w:rPr>
      </w:pPr>
      <w:r>
        <w:rPr>
          <w:rFonts w:ascii="Book Antiqua" w:eastAsia="Book Antiqua" w:hAnsi="Book Antiqua" w:cs="Book Antiqua"/>
          <w:b/>
          <w:bCs/>
        </w:rPr>
        <w:lastRenderedPageBreak/>
        <w:t xml:space="preserve">Corresponding author: Iman Ibrahim Salama, MD, Professor,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 xml:space="preserve">Community Medicine Research, National Research Center, El Tahrir </w:t>
      </w:r>
      <w:r>
        <w:rPr>
          <w:rFonts w:ascii="Book Antiqua" w:hAnsi="Book Antiqua" w:cs="Book Antiqua"/>
          <w:lang w:eastAsia="zh-CN"/>
        </w:rPr>
        <w:t>S</w:t>
      </w:r>
      <w:r>
        <w:rPr>
          <w:rFonts w:ascii="Book Antiqua" w:eastAsia="Book Antiqua" w:hAnsi="Book Antiqua" w:cs="Book Antiqua"/>
        </w:rPr>
        <w:t>treet-Doki-Giza_Egypt, Giza 12622, Dokki, Egypt. salamaiman@yahoo.com</w:t>
      </w:r>
    </w:p>
    <w:p w14:paraId="6EEE68F4" w14:textId="77777777" w:rsidR="008A6CD8" w:rsidRDefault="008A6CD8">
      <w:pPr>
        <w:spacing w:line="360" w:lineRule="auto"/>
        <w:jc w:val="both"/>
        <w:rPr>
          <w:rFonts w:ascii="Book Antiqua" w:hAnsi="Book Antiqua"/>
        </w:rPr>
      </w:pPr>
    </w:p>
    <w:p w14:paraId="4B3D431D"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17, 2022</w:t>
      </w:r>
    </w:p>
    <w:p w14:paraId="08448DB9" w14:textId="77777777" w:rsidR="008A6CD8" w:rsidRDefault="00477245">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bCs/>
        </w:rPr>
        <w:t>April</w:t>
      </w:r>
      <w:r>
        <w:rPr>
          <w:rFonts w:ascii="Book Antiqua" w:hAnsi="Book Antiqua" w:cs="Book Antiqua"/>
          <w:bCs/>
          <w:lang w:eastAsia="zh-CN"/>
        </w:rPr>
        <w:t xml:space="preserve"> 1, 2022</w:t>
      </w:r>
    </w:p>
    <w:p w14:paraId="48FDB20C" w14:textId="77777777" w:rsidR="008A6CD8" w:rsidRDefault="00477245">
      <w:pPr>
        <w:spacing w:line="360" w:lineRule="auto"/>
        <w:jc w:val="both"/>
        <w:rPr>
          <w:rFonts w:ascii="Book Antiqua" w:hAnsi="Book Antiqua"/>
          <w:lang w:eastAsia="zh-CN"/>
        </w:rPr>
      </w:pPr>
      <w:r>
        <w:rPr>
          <w:rFonts w:ascii="Book Antiqua" w:eastAsia="Book Antiqua" w:hAnsi="Book Antiqua" w:cs="Book Antiqua"/>
          <w:b/>
          <w:bCs/>
        </w:rPr>
        <w:t xml:space="preserve">Accepted: </w:t>
      </w:r>
      <w:r>
        <w:rPr>
          <w:rFonts w:ascii="Book Antiqua" w:eastAsia="Book Antiqua" w:hAnsi="Book Antiqua" w:cs="Book Antiqua"/>
        </w:rPr>
        <w:t>May 22, 2022</w:t>
      </w:r>
    </w:p>
    <w:p w14:paraId="47A446E8" w14:textId="77777777" w:rsidR="008A6CD8" w:rsidRDefault="00477245">
      <w:pPr>
        <w:spacing w:line="360" w:lineRule="auto"/>
        <w:jc w:val="both"/>
        <w:rPr>
          <w:rFonts w:ascii="Book Antiqua" w:hAnsi="Book Antiqua" w:cs="Book Antiqua"/>
          <w:bCs/>
          <w:lang w:eastAsia="zh-CN"/>
        </w:rPr>
      </w:pPr>
      <w:r>
        <w:rPr>
          <w:rFonts w:ascii="Book Antiqua" w:eastAsia="Book Antiqua" w:hAnsi="Book Antiqua" w:cs="Book Antiqua"/>
          <w:b/>
          <w:bCs/>
        </w:rPr>
        <w:t xml:space="preserve">Published online: </w:t>
      </w:r>
      <w:r>
        <w:rPr>
          <w:rFonts w:ascii="Book Antiqua" w:eastAsia="Book Antiqua" w:hAnsi="Book Antiqua" w:cs="Book Antiqua"/>
          <w:color w:val="000000"/>
          <w:shd w:val="clear" w:color="auto" w:fill="FFFFFF"/>
        </w:rPr>
        <w:t>June 27, 2022</w:t>
      </w:r>
    </w:p>
    <w:p w14:paraId="0441163D" w14:textId="77777777" w:rsidR="008A6CD8" w:rsidRDefault="008A6CD8">
      <w:pPr>
        <w:spacing w:line="360" w:lineRule="auto"/>
        <w:jc w:val="both"/>
        <w:rPr>
          <w:rFonts w:ascii="Book Antiqua" w:hAnsi="Book Antiqua" w:cs="Book Antiqua"/>
          <w:bCs/>
          <w:lang w:eastAsia="zh-CN"/>
        </w:rPr>
      </w:pPr>
    </w:p>
    <w:p w14:paraId="4FFEE179" w14:textId="77777777" w:rsidR="008A6CD8" w:rsidRDefault="008A6CD8">
      <w:pPr>
        <w:spacing w:line="360" w:lineRule="auto"/>
        <w:jc w:val="both"/>
        <w:rPr>
          <w:rFonts w:ascii="Book Antiqua" w:hAnsi="Book Antiqua"/>
        </w:rPr>
      </w:pPr>
    </w:p>
    <w:p w14:paraId="001CCB75" w14:textId="77777777" w:rsidR="008A6CD8" w:rsidRDefault="008A6CD8">
      <w:pPr>
        <w:spacing w:line="360" w:lineRule="auto"/>
        <w:jc w:val="both"/>
        <w:rPr>
          <w:rFonts w:ascii="Book Antiqua" w:hAnsi="Book Antiqua"/>
        </w:rPr>
        <w:sectPr w:rsidR="008A6CD8">
          <w:footerReference w:type="default" r:id="rId7"/>
          <w:pgSz w:w="12240" w:h="15840"/>
          <w:pgMar w:top="1440" w:right="1440" w:bottom="1440" w:left="1440" w:header="720" w:footer="720" w:gutter="0"/>
          <w:cols w:space="720"/>
          <w:docGrid w:linePitch="360"/>
        </w:sectPr>
      </w:pPr>
    </w:p>
    <w:p w14:paraId="6BB5FB94" w14:textId="77777777" w:rsidR="008A6CD8" w:rsidRDefault="00477245">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Abstract</w:t>
      </w:r>
    </w:p>
    <w:p w14:paraId="3F813FD3" w14:textId="46DD1BDC" w:rsidR="008A6CD8" w:rsidRDefault="00477245">
      <w:pPr>
        <w:tabs>
          <w:tab w:val="left" w:pos="1080"/>
        </w:tabs>
        <w:spacing w:line="360" w:lineRule="auto"/>
        <w:jc w:val="both"/>
        <w:rPr>
          <w:rFonts w:ascii="Book Antiqua" w:eastAsia="宋体" w:hAnsi="Book Antiqua"/>
          <w:lang w:eastAsia="zh-CN"/>
        </w:rPr>
      </w:pPr>
      <w:r>
        <w:rPr>
          <w:rFonts w:ascii="Book Antiqua" w:eastAsia="Book Antiqua" w:hAnsi="Book Antiqua" w:cs="Book Antiqua"/>
        </w:rPr>
        <w:t>extrahepatic manifestations (EHMs). This mini-review outlines the currently available treatments for HCV infection and their prognostic effect on hepatic manifestations and EHMs. Direct-acting antiviral (DAA) regimens are considered pan-genotypic as they achieve a sustained virological response (SVR) &gt; 85% after 12 wk through all the major HCV genotypes, with high percentages of SVR even in advanced fibrosis and cirrhosis. The risk factors for DAA failure include old males, cirrhosis, and the presence of resistance-associated substitutions (RAS) in the region targeted by the received DAAs. The effectiveness of DAA regimens is reduced in HCV genotype 3 with baseline RAS like A30K, Y93H, and P53del. Moreover, the European Association for the Study of the Liver recommended the identification of baseline RAS for HCV genotype 1a. The higher rate of hepatocellular carcinoma (HCC) after DAA therapy may be related to the fact that DAA regimens are offered to patients with advanced liver fibrosis and cirrhosis, where interferon</w:t>
      </w:r>
      <w:r>
        <w:rPr>
          <w:rFonts w:ascii="Book Antiqua" w:hAnsi="Book Antiqua" w:cs="Book Antiqua" w:hint="eastAsia"/>
          <w:lang w:eastAsia="zh-CN"/>
        </w:rPr>
        <w:t xml:space="preserve"> </w:t>
      </w:r>
      <w:r>
        <w:rPr>
          <w:rFonts w:ascii="Book Antiqua" w:eastAsia="Book Antiqua" w:hAnsi="Book Antiqua" w:cs="Book Antiqua"/>
        </w:rPr>
        <w:t xml:space="preserve">was contraindicated to those patients. The change in the growth of pre-existing subclinical, undetectable HCC upon DAA treatment might be also a cause. Furthermore, after DAA therapy, the T cell-dependent immune response is much weaker upon HCV clearance, and the down-regulation of TNF-α or the elevated neutrophil to lymphocyte ratio might increase the risk of HCC. DAAs can result in reactivation of hepatitis B virus (HBV) in HCV co-infected patients. DAAs are effective in treating HCV-associated mixed cryoglobulinemia, with clinical and immunological responses, and have rapid and high effectiveness in thrombocytopenia. DAAs improve insulin resistance in 90% of patients, increase glomerular filtration rate, and decrease proteinuria, hematuria and articular manifestations. HCV clearance by DAAs allows a significant improvement in atherosclerosis and metabolic and immunological conditions, with a reduction of major cardiovascular events. They also improve physical function, fatigue, cognitive impairment, and quality of life. Early therapeutic approach with DAAs is recommended </w:t>
      </w:r>
      <w:r>
        <w:rPr>
          <w:rFonts w:ascii="Book Antiqua" w:eastAsia="宋体" w:hAnsi="Book Antiqua"/>
        </w:rPr>
        <w:t>as it cure many of the EHMs that are still in a reversible stage and can prevent others that can develop due to delayed treatment.</w:t>
      </w:r>
    </w:p>
    <w:p w14:paraId="5C7A4875" w14:textId="77777777" w:rsidR="008A6CD8" w:rsidRDefault="008A6CD8">
      <w:pPr>
        <w:tabs>
          <w:tab w:val="left" w:pos="1080"/>
        </w:tabs>
        <w:spacing w:line="360" w:lineRule="auto"/>
        <w:jc w:val="both"/>
        <w:rPr>
          <w:rFonts w:ascii="Book Antiqua" w:eastAsia="宋体" w:hAnsi="Book Antiqua"/>
          <w:lang w:eastAsia="zh-CN"/>
        </w:rPr>
      </w:pPr>
    </w:p>
    <w:p w14:paraId="5A3AA34B" w14:textId="77777777" w:rsidR="008A6CD8" w:rsidRDefault="00477245">
      <w:pPr>
        <w:tabs>
          <w:tab w:val="left" w:pos="1080"/>
        </w:tabs>
        <w:spacing w:line="360" w:lineRule="auto"/>
        <w:jc w:val="both"/>
        <w:rPr>
          <w:rFonts w:ascii="Book Antiqua" w:eastAsia="宋体" w:hAnsi="Book Antiqua"/>
        </w:rPr>
      </w:pPr>
      <w:r>
        <w:rPr>
          <w:rFonts w:ascii="Book Antiqua" w:eastAsia="宋体" w:hAnsi="Book Antiqua"/>
          <w:b/>
          <w:bCs/>
        </w:rPr>
        <w:lastRenderedPageBreak/>
        <w:t xml:space="preserve">Key </w:t>
      </w:r>
      <w:r>
        <w:rPr>
          <w:rFonts w:ascii="Book Antiqua" w:eastAsia="宋体" w:hAnsi="Book Antiqua"/>
          <w:b/>
          <w:bCs/>
          <w:lang w:eastAsia="zh-CN"/>
        </w:rPr>
        <w:t>W</w:t>
      </w:r>
      <w:r>
        <w:rPr>
          <w:rFonts w:ascii="Book Antiqua" w:eastAsia="宋体" w:hAnsi="Book Antiqua"/>
          <w:b/>
          <w:bCs/>
        </w:rPr>
        <w:t>ords:</w:t>
      </w:r>
      <w:r>
        <w:rPr>
          <w:rFonts w:ascii="Book Antiqua" w:eastAsia="宋体" w:hAnsi="Book Antiqua"/>
        </w:rPr>
        <w:t xml:space="preserve"> </w:t>
      </w:r>
      <w:r>
        <w:rPr>
          <w:rFonts w:ascii="Book Antiqua" w:eastAsia="宋体" w:hAnsi="Book Antiqua"/>
          <w:lang w:eastAsia="zh-CN"/>
        </w:rPr>
        <w:t>H</w:t>
      </w:r>
      <w:r>
        <w:rPr>
          <w:rFonts w:ascii="Book Antiqua" w:eastAsia="宋体" w:hAnsi="Book Antiqua"/>
        </w:rPr>
        <w:t xml:space="preserve">epatitis C virus; Hepatic; Extrahepatic; </w:t>
      </w:r>
      <w:r>
        <w:rPr>
          <w:rFonts w:ascii="Book Antiqua" w:eastAsia="宋体" w:hAnsi="Book Antiqua"/>
          <w:lang w:eastAsia="zh-CN"/>
        </w:rPr>
        <w:t>D</w:t>
      </w:r>
      <w:r>
        <w:rPr>
          <w:rFonts w:ascii="Book Antiqua" w:eastAsia="宋体" w:hAnsi="Book Antiqua"/>
        </w:rPr>
        <w:t>irect-acting antivirals; Impact</w:t>
      </w:r>
    </w:p>
    <w:p w14:paraId="16975894" w14:textId="5EE8016D" w:rsidR="008A6CD8" w:rsidRDefault="008A6CD8">
      <w:pPr>
        <w:tabs>
          <w:tab w:val="left" w:pos="1080"/>
        </w:tabs>
        <w:spacing w:line="360" w:lineRule="auto"/>
        <w:jc w:val="both"/>
        <w:rPr>
          <w:rFonts w:ascii="Book Antiqua" w:eastAsia="宋体" w:hAnsi="Book Antiqua"/>
        </w:rPr>
      </w:pPr>
    </w:p>
    <w:p w14:paraId="55A2F5D7" w14:textId="77777777" w:rsidR="005F644E" w:rsidRDefault="005F644E" w:rsidP="005F644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58B8CBE" w14:textId="77777777" w:rsidR="005F644E" w:rsidRDefault="005F644E">
      <w:pPr>
        <w:tabs>
          <w:tab w:val="left" w:pos="1080"/>
        </w:tabs>
        <w:spacing w:line="360" w:lineRule="auto"/>
        <w:jc w:val="both"/>
        <w:rPr>
          <w:rFonts w:ascii="Book Antiqua" w:eastAsia="宋体" w:hAnsi="Book Antiqua"/>
        </w:rPr>
      </w:pPr>
    </w:p>
    <w:p w14:paraId="3387F36C" w14:textId="6ECB5EA7" w:rsidR="005F644E" w:rsidRDefault="005F644E">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477245">
        <w:rPr>
          <w:rFonts w:ascii="Book Antiqua" w:eastAsia="Book Antiqua" w:hAnsi="Book Antiqua" w:cs="Book Antiqua"/>
          <w:color w:val="000000"/>
        </w:rPr>
        <w:t xml:space="preserve">Salama II, Raslan HM, Abdel-Latif GA, Salama SI, Sami SM, Shaaban FA, Abdelmohsen AM, Fouad WA. Impact of direct-acting antiviral regimens on hepatic and extrahepatic manifestations of hepatitis C virus infection. </w:t>
      </w:r>
      <w:r w:rsidR="00477245">
        <w:rPr>
          <w:rFonts w:ascii="Book Antiqua" w:eastAsia="Book Antiqua" w:hAnsi="Book Antiqua" w:cs="Book Antiqua"/>
          <w:i/>
          <w:iCs/>
          <w:color w:val="000000"/>
        </w:rPr>
        <w:t>World J Hepatol</w:t>
      </w:r>
      <w:r w:rsidR="00477245">
        <w:rPr>
          <w:rFonts w:ascii="Book Antiqua" w:eastAsia="Book Antiqua" w:hAnsi="Book Antiqua" w:cs="Book Antiqua"/>
          <w:color w:val="000000"/>
        </w:rPr>
        <w:t xml:space="preserve"> 2022; </w:t>
      </w:r>
      <w:r w:rsidR="00477245">
        <w:rPr>
          <w:rFonts w:ascii="Book Antiqua" w:eastAsia="Book Antiqua" w:hAnsi="Book Antiqua" w:cs="Book Antiqua" w:hint="eastAsia"/>
          <w:color w:val="000000"/>
        </w:rPr>
        <w:t xml:space="preserve">14(6): </w:t>
      </w:r>
      <w:r>
        <w:rPr>
          <w:rFonts w:ascii="Book Antiqua" w:eastAsia="Book Antiqua" w:hAnsi="Book Antiqua" w:cs="Book Antiqua"/>
          <w:color w:val="000000"/>
        </w:rPr>
        <w:t>1053</w:t>
      </w:r>
      <w:r w:rsidR="00477245">
        <w:rPr>
          <w:rFonts w:ascii="Book Antiqua" w:eastAsia="Book Antiqua" w:hAnsi="Book Antiqua" w:cs="Book Antiqua" w:hint="eastAsia"/>
          <w:color w:val="000000"/>
        </w:rPr>
        <w:t>-</w:t>
      </w:r>
      <w:r>
        <w:rPr>
          <w:rFonts w:ascii="Book Antiqua" w:eastAsia="Book Antiqua" w:hAnsi="Book Antiqua" w:cs="Book Antiqua"/>
          <w:color w:val="000000"/>
        </w:rPr>
        <w:t xml:space="preserve">1073 </w:t>
      </w:r>
    </w:p>
    <w:p w14:paraId="04EF5607" w14:textId="15705C15" w:rsidR="005F644E" w:rsidRDefault="00477245">
      <w:pPr>
        <w:spacing w:line="360" w:lineRule="auto"/>
        <w:jc w:val="both"/>
        <w:rPr>
          <w:rFonts w:ascii="Book Antiqua" w:eastAsia="Book Antiqua" w:hAnsi="Book Antiqua" w:cs="Book Antiqua"/>
          <w:color w:val="000000"/>
        </w:rPr>
      </w:pPr>
      <w:r w:rsidRPr="005F644E">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5F644E">
        <w:rPr>
          <w:rFonts w:ascii="Book Antiqua" w:eastAsia="Book Antiqua" w:hAnsi="Book Antiqua" w:cs="Book Antiqua"/>
          <w:color w:val="000000"/>
        </w:rPr>
        <w:t>1053</w:t>
      </w:r>
      <w:r>
        <w:rPr>
          <w:rFonts w:ascii="Book Antiqua" w:eastAsia="Book Antiqua" w:hAnsi="Book Antiqua" w:cs="Book Antiqua" w:hint="eastAsia"/>
          <w:color w:val="000000"/>
        </w:rPr>
        <w:t xml:space="preserve">.htm </w:t>
      </w:r>
    </w:p>
    <w:p w14:paraId="472DE18F" w14:textId="18D74016" w:rsidR="008A6CD8" w:rsidRDefault="00477245">
      <w:pPr>
        <w:spacing w:line="360" w:lineRule="auto"/>
        <w:jc w:val="both"/>
        <w:rPr>
          <w:rFonts w:ascii="Book Antiqua" w:eastAsia="Book Antiqua" w:hAnsi="Book Antiqua" w:cs="Book Antiqua"/>
          <w:color w:val="000000"/>
        </w:rPr>
      </w:pPr>
      <w:r w:rsidRPr="005F644E">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5F644E">
        <w:rPr>
          <w:rFonts w:ascii="Book Antiqua" w:eastAsia="Book Antiqua" w:hAnsi="Book Antiqua" w:cs="Book Antiqua"/>
          <w:color w:val="000000"/>
        </w:rPr>
        <w:t>1053</w:t>
      </w:r>
    </w:p>
    <w:p w14:paraId="463302D7" w14:textId="77777777" w:rsidR="008A6CD8" w:rsidRDefault="008A6CD8">
      <w:pPr>
        <w:spacing w:line="360" w:lineRule="auto"/>
        <w:jc w:val="both"/>
      </w:pPr>
    </w:p>
    <w:p w14:paraId="2E00CE6B" w14:textId="77777777" w:rsidR="008A6CD8" w:rsidRDefault="008A6CD8">
      <w:pPr>
        <w:spacing w:line="360" w:lineRule="auto"/>
        <w:jc w:val="both"/>
        <w:rPr>
          <w:rFonts w:ascii="Book Antiqua" w:eastAsia="宋体" w:hAnsi="Book Antiqua"/>
        </w:rPr>
      </w:pPr>
    </w:p>
    <w:p w14:paraId="6FFBB051" w14:textId="77777777" w:rsidR="008A6CD8" w:rsidRDefault="00477245">
      <w:pPr>
        <w:spacing w:line="360" w:lineRule="auto"/>
        <w:jc w:val="both"/>
        <w:rPr>
          <w:rFonts w:ascii="Book Antiqua" w:eastAsia="宋体" w:hAnsi="Book Antiqua"/>
        </w:rPr>
      </w:pPr>
      <w:r>
        <w:rPr>
          <w:rFonts w:ascii="Book Antiqua" w:eastAsia="宋体" w:hAnsi="Book Antiqua"/>
          <w:b/>
          <w:bCs/>
        </w:rPr>
        <w:t>Core Tip:</w:t>
      </w:r>
      <w:r>
        <w:rPr>
          <w:rFonts w:ascii="Book Antiqua" w:eastAsia="宋体" w:hAnsi="Book Antiqua"/>
        </w:rPr>
        <w:t xml:space="preserve"> Direct-acting antivirals (DAAs) are achieving an over 85% sustained virological response in treating hepatitis C virus (HCV) infection. The risk factors for DAA</w:t>
      </w:r>
      <w:r>
        <w:rPr>
          <w:rFonts w:ascii="Book Antiqua" w:eastAsia="宋体" w:hAnsi="Book Antiqua"/>
          <w:strike/>
        </w:rPr>
        <w:t>s</w:t>
      </w:r>
      <w:r>
        <w:rPr>
          <w:rFonts w:ascii="Book Antiqua" w:eastAsia="宋体" w:hAnsi="Book Antiqua"/>
        </w:rPr>
        <w:t xml:space="preserve"> failure include old males, cirrhosis, and the presence of resistance-associated substitutions</w:t>
      </w:r>
      <w:r>
        <w:rPr>
          <w:rFonts w:ascii="Book Antiqua" w:eastAsia="宋体" w:hAnsi="Book Antiqua" w:hint="eastAsia"/>
          <w:lang w:eastAsia="zh-CN"/>
        </w:rPr>
        <w:t xml:space="preserve"> </w:t>
      </w:r>
      <w:r>
        <w:rPr>
          <w:rFonts w:ascii="Book Antiqua" w:eastAsia="宋体" w:hAnsi="Book Antiqua"/>
        </w:rPr>
        <w:t>mainly in genotypes 1a and 3. The higher rate of hepatocellular carcinoma after DAA therapy may be due to offering DAA regimens to patients with advanced liver fibrosis and cirrhosis, where using interferon</w:t>
      </w:r>
      <w:r>
        <w:rPr>
          <w:rFonts w:ascii="Book Antiqua" w:eastAsia="宋体" w:hAnsi="Book Antiqua"/>
          <w:lang w:eastAsia="zh-CN"/>
        </w:rPr>
        <w:t xml:space="preserve"> </w:t>
      </w:r>
      <w:r>
        <w:rPr>
          <w:rFonts w:ascii="Book Antiqua" w:eastAsia="宋体" w:hAnsi="Book Antiqua"/>
        </w:rPr>
        <w:t xml:space="preserve">was contraindicated. The change in the growth of pre-existing subclinical, undetectable </w:t>
      </w:r>
      <w:r>
        <w:rPr>
          <w:rFonts w:ascii="Book Antiqua" w:eastAsia="Book Antiqua" w:hAnsi="Book Antiqua" w:cs="Book Antiqua"/>
        </w:rPr>
        <w:t>hepatocellular carcinoma</w:t>
      </w:r>
      <w:r>
        <w:rPr>
          <w:rFonts w:ascii="Book Antiqua" w:hAnsi="Book Antiqua" w:cs="Book Antiqua" w:hint="eastAsia"/>
          <w:lang w:eastAsia="zh-CN"/>
        </w:rPr>
        <w:t xml:space="preserve"> </w:t>
      </w:r>
      <w:r>
        <w:rPr>
          <w:rFonts w:ascii="Book Antiqua" w:eastAsia="宋体" w:hAnsi="Book Antiqua"/>
        </w:rPr>
        <w:t xml:space="preserve">upon DAA treatment might be a cause. DAAs are effective in treating HCV-associated mixed cryoglobulinemia, thrombocytopenia, rheumatological, renal, and cardiovascular diseases. </w:t>
      </w:r>
    </w:p>
    <w:p w14:paraId="25A7FE47" w14:textId="77777777" w:rsidR="008A6CD8" w:rsidRDefault="00477245">
      <w:pPr>
        <w:spacing w:line="360" w:lineRule="auto"/>
        <w:jc w:val="both"/>
        <w:rPr>
          <w:rFonts w:ascii="Book Antiqua" w:eastAsia="宋体" w:hAnsi="Book Antiqua"/>
        </w:rPr>
      </w:pPr>
      <w:r>
        <w:rPr>
          <w:rFonts w:ascii="Book Antiqua" w:eastAsia="宋体" w:hAnsi="Book Antiqua"/>
        </w:rPr>
        <w:br w:type="page"/>
      </w:r>
    </w:p>
    <w:p w14:paraId="38D29E2B" w14:textId="77777777" w:rsidR="008A6CD8" w:rsidRDefault="00477245">
      <w:pPr>
        <w:autoSpaceDE w:val="0"/>
        <w:autoSpaceDN w:val="0"/>
        <w:adjustRightInd w:val="0"/>
        <w:spacing w:line="360" w:lineRule="auto"/>
        <w:jc w:val="both"/>
        <w:rPr>
          <w:rFonts w:ascii="Book Antiqua" w:eastAsia="DejaVuSans" w:hAnsi="Book Antiqua"/>
          <w:b/>
          <w:u w:val="single"/>
        </w:rPr>
      </w:pPr>
      <w:r>
        <w:rPr>
          <w:rFonts w:ascii="Book Antiqua" w:eastAsia="DejaVuSans" w:hAnsi="Book Antiqua"/>
          <w:b/>
          <w:u w:val="single"/>
        </w:rPr>
        <w:lastRenderedPageBreak/>
        <w:t>INTRODUCTION</w:t>
      </w:r>
    </w:p>
    <w:p w14:paraId="030AB031" w14:textId="77777777" w:rsidR="008A6CD8" w:rsidRDefault="00477245">
      <w:pPr>
        <w:autoSpaceDE w:val="0"/>
        <w:autoSpaceDN w:val="0"/>
        <w:adjustRightInd w:val="0"/>
        <w:spacing w:line="360" w:lineRule="auto"/>
        <w:jc w:val="both"/>
        <w:rPr>
          <w:rFonts w:ascii="Book Antiqua" w:hAnsi="Book Antiqua"/>
          <w:lang w:bidi="ar-EG"/>
        </w:rPr>
      </w:pPr>
      <w:r>
        <w:rPr>
          <w:rFonts w:ascii="Book Antiqua" w:hAnsi="Book Antiqua"/>
          <w:shd w:val="clear" w:color="auto" w:fill="FFFFFF"/>
        </w:rPr>
        <w:t>The worldwide prevalence of chronic hepatitis C virus (HCV) infection is estimated to be 58 million people, and 1.5 million individuals get new HCV infection annually. The World Health Organization stated that, about 290 thousand patients died from hepatitis C-related complications in 2019</w:t>
      </w:r>
      <w:r>
        <w:rPr>
          <w:rFonts w:ascii="Book Antiqua" w:hAnsi="Book Antiqua"/>
          <w:shd w:val="clear" w:color="auto" w:fill="FFFFFF"/>
          <w:vertAlign w:val="superscript"/>
        </w:rPr>
        <w:t>[</w:t>
      </w:r>
      <w:r>
        <w:rPr>
          <w:rFonts w:ascii="Book Antiqua" w:hAnsi="Book Antiqua"/>
          <w:bCs/>
          <w:shd w:val="clear" w:color="auto" w:fill="FFFFFF"/>
          <w:vertAlign w:val="superscript"/>
        </w:rPr>
        <w:t>1]</w:t>
      </w:r>
      <w:r>
        <w:rPr>
          <w:rFonts w:ascii="Book Antiqua" w:hAnsi="Book Antiqua"/>
          <w:bCs/>
          <w:shd w:val="clear" w:color="auto" w:fill="FFFFFF"/>
        </w:rPr>
        <w:t xml:space="preserve">. </w:t>
      </w:r>
      <w:r>
        <w:rPr>
          <w:rFonts w:ascii="Book Antiqua" w:hAnsi="Book Antiqua"/>
        </w:rPr>
        <w:t>In 2016, the World Health Assembly adopted the Global Health Sector Strategy on viral hepatitis. This strategy is directed towards eliminating both viral hepatitis B and C infections. To achieve the target objective, this will require the diagnosis of 90% of the infected patients, followed by treatment of 80% of the diagnosed individuals</w:t>
      </w:r>
      <w:r>
        <w:rPr>
          <w:rFonts w:ascii="Book Antiqua" w:hAnsi="Book Antiqua"/>
          <w:vertAlign w:val="superscript"/>
        </w:rPr>
        <w:t>[</w:t>
      </w:r>
      <w:r>
        <w:rPr>
          <w:rFonts w:ascii="Book Antiqua" w:hAnsi="Book Antiqua"/>
          <w:bCs/>
          <w:vertAlign w:val="superscript"/>
        </w:rPr>
        <w:t>2]</w:t>
      </w:r>
      <w:r>
        <w:rPr>
          <w:rFonts w:ascii="Book Antiqua" w:hAnsi="Book Antiqua"/>
          <w:bCs/>
        </w:rPr>
        <w:t>.</w:t>
      </w:r>
      <w:r>
        <w:rPr>
          <w:rFonts w:ascii="Book Antiqua" w:hAnsi="Book Antiqua"/>
          <w:bCs/>
          <w:lang w:bidi="ar-EG"/>
        </w:rPr>
        <w:t xml:space="preserve"> </w:t>
      </w:r>
      <w:r>
        <w:rPr>
          <w:rFonts w:ascii="Book Antiqua" w:hAnsi="Book Antiqua"/>
        </w:rPr>
        <w:t>HCV leads to acute and chronic hepatitis, progressing to lifelong liver cirrhosis and cancer, and is associated with several extrahepatic manifestations (EHMs)</w:t>
      </w:r>
      <w:r>
        <w:rPr>
          <w:rFonts w:ascii="Book Antiqua" w:hAnsi="Book Antiqua"/>
          <w:bCs/>
          <w:vertAlign w:val="superscript"/>
        </w:rPr>
        <w:t>[1]</w:t>
      </w:r>
      <w:r>
        <w:rPr>
          <w:rFonts w:ascii="Book Antiqua" w:hAnsi="Book Antiqua"/>
          <w:bCs/>
        </w:rPr>
        <w:t>.</w:t>
      </w:r>
      <w:r>
        <w:rPr>
          <w:rFonts w:ascii="Book Antiqua" w:hAnsi="Book Antiqua"/>
        </w:rPr>
        <w:t xml:space="preserve"> </w:t>
      </w:r>
      <w:r>
        <w:rPr>
          <w:rFonts w:ascii="Book Antiqua" w:hAnsi="Book Antiqua"/>
          <w:shd w:val="clear" w:color="auto" w:fill="FFFFFF"/>
        </w:rPr>
        <w:t>The aim of antiviral treatment is HCV eradication, thus preventing disease progression</w:t>
      </w:r>
      <w:r>
        <w:rPr>
          <w:rFonts w:ascii="Book Antiqua" w:hAnsi="Book Antiqua"/>
        </w:rPr>
        <w:t xml:space="preserve"> and reducing the EHMs</w:t>
      </w:r>
      <w:r>
        <w:rPr>
          <w:rFonts w:ascii="Book Antiqua" w:hAnsi="Book Antiqua"/>
          <w:lang w:bidi="ar-EG"/>
        </w:rPr>
        <w:t xml:space="preserve">. </w:t>
      </w:r>
      <w:r>
        <w:rPr>
          <w:rFonts w:ascii="Book Antiqua" w:hAnsi="Book Antiqua"/>
        </w:rPr>
        <w:t xml:space="preserve">This mini-review </w:t>
      </w:r>
      <w:r>
        <w:rPr>
          <w:rFonts w:ascii="Book Antiqua" w:hAnsi="Book Antiqua"/>
          <w:lang w:bidi="ar-EG"/>
        </w:rPr>
        <w:t xml:space="preserve">outlines the currently available treatments for HCV infection and their prognostic effect on hepatic manifestations and </w:t>
      </w:r>
      <w:r>
        <w:rPr>
          <w:rFonts w:ascii="Book Antiqua" w:hAnsi="Book Antiqua"/>
        </w:rPr>
        <w:t>EHMs</w:t>
      </w:r>
      <w:r>
        <w:rPr>
          <w:rFonts w:ascii="Book Antiqua" w:hAnsi="Book Antiqua"/>
          <w:lang w:bidi="ar-EG"/>
        </w:rPr>
        <w:t>.</w:t>
      </w:r>
    </w:p>
    <w:p w14:paraId="4C15EFBD" w14:textId="77777777" w:rsidR="008A6CD8" w:rsidRDefault="008A6CD8">
      <w:pPr>
        <w:autoSpaceDE w:val="0"/>
        <w:autoSpaceDN w:val="0"/>
        <w:adjustRightInd w:val="0"/>
        <w:spacing w:line="360" w:lineRule="auto"/>
        <w:jc w:val="both"/>
        <w:rPr>
          <w:rFonts w:ascii="Book Antiqua" w:hAnsi="Book Antiqua"/>
          <w:lang w:bidi="ar-EG"/>
        </w:rPr>
      </w:pPr>
    </w:p>
    <w:p w14:paraId="009AF863" w14:textId="77777777" w:rsidR="008A6CD8" w:rsidRDefault="00477245">
      <w:pPr>
        <w:autoSpaceDE w:val="0"/>
        <w:autoSpaceDN w:val="0"/>
        <w:adjustRightInd w:val="0"/>
        <w:spacing w:line="360" w:lineRule="auto"/>
        <w:jc w:val="both"/>
        <w:rPr>
          <w:rFonts w:ascii="Book Antiqua" w:hAnsi="Book Antiqua"/>
          <w:b/>
          <w:u w:val="single"/>
        </w:rPr>
      </w:pPr>
      <w:r>
        <w:rPr>
          <w:rFonts w:ascii="Book Antiqua" w:hAnsi="Book Antiqua"/>
          <w:b/>
          <w:u w:val="single"/>
        </w:rPr>
        <w:t xml:space="preserve">HEPATITIS C VIRUS </w:t>
      </w:r>
    </w:p>
    <w:p w14:paraId="5437A676" w14:textId="77777777" w:rsidR="008A6CD8" w:rsidRDefault="00477245">
      <w:pPr>
        <w:autoSpaceDE w:val="0"/>
        <w:autoSpaceDN w:val="0"/>
        <w:adjustRightInd w:val="0"/>
        <w:spacing w:line="360" w:lineRule="auto"/>
        <w:jc w:val="both"/>
        <w:rPr>
          <w:rFonts w:ascii="Book Antiqua" w:hAnsi="Book Antiqua"/>
          <w:bCs/>
        </w:rPr>
      </w:pPr>
      <w:r>
        <w:rPr>
          <w:rFonts w:ascii="Book Antiqua" w:hAnsi="Book Antiqua"/>
        </w:rPr>
        <w:t>HCV possesses a single-stranded RNA genome that encodes a polyprotein, which is processed into ten proteins: E1, E2, core, p7, NS2, NS3, NS4A, NS4B, NS5A, and NS5B</w:t>
      </w:r>
      <w:r>
        <w:rPr>
          <w:rFonts w:ascii="Book Antiqua" w:hAnsi="Book Antiqua"/>
          <w:vertAlign w:val="superscript"/>
        </w:rPr>
        <w:t>[</w:t>
      </w:r>
      <w:r>
        <w:rPr>
          <w:rFonts w:ascii="Book Antiqua" w:hAnsi="Book Antiqua"/>
          <w:bCs/>
          <w:vertAlign w:val="superscript"/>
        </w:rPr>
        <w:t>3]</w:t>
      </w:r>
      <w:r>
        <w:rPr>
          <w:rFonts w:ascii="Book Antiqua" w:hAnsi="Book Antiqua"/>
          <w:bCs/>
        </w:rPr>
        <w:t>.</w:t>
      </w:r>
      <w:r>
        <w:rPr>
          <w:rFonts w:ascii="Book Antiqua" w:hAnsi="Book Antiqua"/>
        </w:rPr>
        <w:t xml:space="preserve"> The structural proteins E1, E2, and core are components of the virion and the nonstructural proteins NS3/4A, NS5A, and NS5B are involved in viral genome replication</w:t>
      </w:r>
      <w:r>
        <w:rPr>
          <w:rFonts w:ascii="Book Antiqua" w:hAnsi="Book Antiqua"/>
          <w:vertAlign w:val="superscript"/>
        </w:rPr>
        <w:t>[</w:t>
      </w:r>
      <w:r>
        <w:rPr>
          <w:rFonts w:ascii="Book Antiqua" w:hAnsi="Book Antiqua"/>
          <w:bCs/>
          <w:vertAlign w:val="superscript"/>
        </w:rPr>
        <w:t>4,5]</w:t>
      </w:r>
      <w:r>
        <w:rPr>
          <w:rFonts w:ascii="Book Antiqua" w:hAnsi="Book Antiqua"/>
          <w:bCs/>
        </w:rPr>
        <w:t>.</w:t>
      </w:r>
      <w:r>
        <w:rPr>
          <w:rFonts w:ascii="Book Antiqua" w:hAnsi="Book Antiqua"/>
        </w:rPr>
        <w:t xml:space="preserve"> </w:t>
      </w:r>
      <w:r>
        <w:rPr>
          <w:rFonts w:ascii="Book Antiqua" w:hAnsi="Book Antiqua"/>
          <w:shd w:val="clear" w:color="auto" w:fill="FFFFFF"/>
        </w:rPr>
        <w:t xml:space="preserve">To enter the host cell, HCV requires a cascade of synchronized and sequentially ordered events where the virus binds to many receptors. </w:t>
      </w:r>
      <w:r>
        <w:rPr>
          <w:rFonts w:ascii="Book Antiqua" w:hAnsi="Book Antiqua"/>
        </w:rPr>
        <w:t>HCV particles circulate, as lipoviroparticles (LVPs), in association with low-density lipoprotein (LDL) and very-</w:t>
      </w:r>
      <w:r>
        <w:rPr>
          <w:rFonts w:ascii="Book Antiqua" w:hAnsi="Book Antiqua" w:hint="eastAsia"/>
          <w:lang w:eastAsia="zh-CN"/>
        </w:rPr>
        <w:t>LDL</w:t>
      </w:r>
      <w:r>
        <w:rPr>
          <w:rFonts w:ascii="Book Antiqua" w:hAnsi="Book Antiqua"/>
        </w:rPr>
        <w:t xml:space="preserve"> (VLDL) components, including apolipoproteins (such as Apo-B, Apo-AI, Apo-CI, and Apo-E)</w:t>
      </w:r>
      <w:r>
        <w:rPr>
          <w:rFonts w:ascii="Book Antiqua" w:hAnsi="Book Antiqua"/>
          <w:vertAlign w:val="superscript"/>
        </w:rPr>
        <w:t>[</w:t>
      </w:r>
      <w:r>
        <w:rPr>
          <w:rFonts w:ascii="Book Antiqua" w:hAnsi="Book Antiqua"/>
          <w:bCs/>
          <w:vertAlign w:val="superscript"/>
        </w:rPr>
        <w:t>6]</w:t>
      </w:r>
      <w:r>
        <w:rPr>
          <w:rFonts w:ascii="Book Antiqua" w:hAnsi="Book Antiqua"/>
          <w:bCs/>
        </w:rPr>
        <w:t xml:space="preserve">. </w:t>
      </w:r>
      <w:bookmarkStart w:id="0" w:name="_Hlk97842825"/>
      <w:r>
        <w:rPr>
          <w:rFonts w:ascii="Book Antiqua" w:hAnsi="Book Antiqua"/>
        </w:rPr>
        <w:t>HCV core, E1, E2, and P7 are essential for cell-free and cell-to-cell viral transmission</w:t>
      </w:r>
      <w:r>
        <w:rPr>
          <w:rFonts w:ascii="Book Antiqua" w:hAnsi="Book Antiqua"/>
          <w:vertAlign w:val="superscript"/>
        </w:rPr>
        <w:t>[</w:t>
      </w:r>
      <w:r>
        <w:rPr>
          <w:rFonts w:ascii="Book Antiqua" w:hAnsi="Book Antiqua"/>
          <w:bCs/>
          <w:vertAlign w:val="superscript"/>
        </w:rPr>
        <w:t>7]</w:t>
      </w:r>
      <w:r>
        <w:rPr>
          <w:rFonts w:ascii="Book Antiqua" w:hAnsi="Book Antiqua"/>
          <w:bCs/>
        </w:rPr>
        <w:t>.</w:t>
      </w:r>
      <w:r>
        <w:rPr>
          <w:rFonts w:ascii="Book Antiqua" w:hAnsi="Book Antiqua"/>
        </w:rPr>
        <w:t xml:space="preserve"> </w:t>
      </w:r>
      <w:bookmarkEnd w:id="0"/>
      <w:r>
        <w:rPr>
          <w:rFonts w:ascii="Book Antiqua" w:hAnsi="Book Antiqua"/>
        </w:rPr>
        <w:t>HCV recognition is initiated by Toll-like receptor 3 and retinoic acid-inducible gene I</w:t>
      </w:r>
      <w:r>
        <w:rPr>
          <w:rFonts w:ascii="Book Antiqua" w:hAnsi="Book Antiqua"/>
          <w:vertAlign w:val="superscript"/>
        </w:rPr>
        <w:t>[</w:t>
      </w:r>
      <w:r>
        <w:rPr>
          <w:rFonts w:ascii="Book Antiqua" w:hAnsi="Book Antiqua"/>
          <w:bCs/>
          <w:vertAlign w:val="superscript"/>
        </w:rPr>
        <w:t>8]</w:t>
      </w:r>
      <w:r>
        <w:rPr>
          <w:rFonts w:ascii="Book Antiqua" w:hAnsi="Book Antiqua"/>
          <w:bCs/>
        </w:rPr>
        <w:t>.</w:t>
      </w:r>
    </w:p>
    <w:p w14:paraId="75F9D50E" w14:textId="77777777" w:rsidR="008A6CD8" w:rsidRDefault="00477245">
      <w:pPr>
        <w:autoSpaceDE w:val="0"/>
        <w:autoSpaceDN w:val="0"/>
        <w:adjustRightInd w:val="0"/>
        <w:spacing w:line="360" w:lineRule="auto"/>
        <w:ind w:firstLineChars="200" w:firstLine="480"/>
        <w:jc w:val="both"/>
        <w:rPr>
          <w:rFonts w:ascii="Book Antiqua" w:hAnsi="Book Antiqua"/>
        </w:rPr>
      </w:pPr>
      <w:r>
        <w:rPr>
          <w:rFonts w:ascii="Book Antiqua" w:hAnsi="Book Antiqua"/>
        </w:rPr>
        <w:t>HCV infects hepatocytes through cell-free and cell-to-cell viral transmission</w:t>
      </w:r>
      <w:r>
        <w:rPr>
          <w:rFonts w:ascii="Book Antiqua" w:hAnsi="Book Antiqua" w:hint="eastAsia"/>
          <w:lang w:eastAsia="zh-CN"/>
        </w:rPr>
        <w:t xml:space="preserve"> (Table 1)</w:t>
      </w:r>
      <w:r>
        <w:rPr>
          <w:rFonts w:ascii="Book Antiqua" w:hAnsi="Book Antiqua"/>
        </w:rPr>
        <w:t xml:space="preserve">. LVPs circulate in the sinusoidal blood, and through sinusoidal endothelial </w:t>
      </w:r>
      <w:r>
        <w:rPr>
          <w:rFonts w:ascii="Book Antiqua" w:hAnsi="Book Antiqua"/>
        </w:rPr>
        <w:lastRenderedPageBreak/>
        <w:t>fenestration,</w:t>
      </w:r>
      <w:r>
        <w:rPr>
          <w:rFonts w:ascii="Book Antiqua" w:hAnsi="Book Antiqua"/>
          <w:rtl/>
        </w:rPr>
        <w:t xml:space="preserve"> </w:t>
      </w:r>
      <w:r>
        <w:rPr>
          <w:rFonts w:ascii="Book Antiqua" w:hAnsi="Book Antiqua"/>
        </w:rPr>
        <w:t>they become in contact with receptors on the basolateral membrane</w:t>
      </w:r>
      <w:r>
        <w:rPr>
          <w:rFonts w:ascii="Book Antiqua" w:hAnsi="Book Antiqua"/>
          <w:bCs/>
        </w:rPr>
        <w:t xml:space="preserve"> </w:t>
      </w:r>
      <w:r>
        <w:rPr>
          <w:rFonts w:ascii="Book Antiqua" w:hAnsi="Book Antiqua"/>
        </w:rPr>
        <w:t>of hepatocytes</w:t>
      </w:r>
      <w:r>
        <w:rPr>
          <w:rFonts w:ascii="Book Antiqua" w:hAnsi="Book Antiqua"/>
          <w:vertAlign w:val="superscript"/>
        </w:rPr>
        <w:t>[</w:t>
      </w:r>
      <w:r>
        <w:rPr>
          <w:rFonts w:ascii="Book Antiqua" w:hAnsi="Book Antiqua"/>
          <w:bCs/>
          <w:vertAlign w:val="superscript"/>
        </w:rPr>
        <w:t>9]</w:t>
      </w:r>
      <w:r>
        <w:rPr>
          <w:rFonts w:ascii="Book Antiqua" w:hAnsi="Book Antiqua"/>
          <w:bCs/>
        </w:rPr>
        <w:t>.</w:t>
      </w:r>
      <w:r>
        <w:rPr>
          <w:rFonts w:ascii="Book Antiqua" w:hAnsi="Book Antiqua"/>
        </w:rPr>
        <w:t xml:space="preserve"> The virus envelope glycoproteins and virus-associated lipoprotein components (particularly apoE) of LVPs attach to hepatocyte basolateral membranes through interaction with highly sulfated proteoglycans, particularly syndecans, LDL receptor (</w:t>
      </w:r>
      <w:r>
        <w:rPr>
          <w:rFonts w:ascii="Book Antiqua" w:hAnsi="Book Antiqua"/>
          <w:i/>
          <w:shd w:val="clear" w:color="auto" w:fill="FFFFFF"/>
        </w:rPr>
        <w:t>LDLr</w:t>
      </w:r>
      <w:r>
        <w:rPr>
          <w:rFonts w:ascii="Book Antiqua" w:hAnsi="Book Antiqua"/>
          <w:shd w:val="clear" w:color="auto" w:fill="FFFFFF"/>
        </w:rPr>
        <w:t>),</w:t>
      </w:r>
      <w:r>
        <w:rPr>
          <w:rFonts w:ascii="Book Antiqua" w:hAnsi="Book Antiqua"/>
        </w:rPr>
        <w:t xml:space="preserve"> and scavenger receptor class B type I (SR-BI) on the cell surface</w:t>
      </w:r>
      <w:r>
        <w:rPr>
          <w:rFonts w:ascii="Book Antiqua" w:hAnsi="Book Antiqua"/>
          <w:vertAlign w:val="superscript"/>
        </w:rPr>
        <w:t>[</w:t>
      </w:r>
      <w:r>
        <w:rPr>
          <w:rFonts w:ascii="Book Antiqua" w:hAnsi="Book Antiqua"/>
          <w:bCs/>
          <w:vertAlign w:val="superscript"/>
        </w:rPr>
        <w:t>10]</w:t>
      </w:r>
      <w:r>
        <w:rPr>
          <w:rFonts w:ascii="Book Antiqua" w:hAnsi="Book Antiqua"/>
          <w:bCs/>
        </w:rPr>
        <w:t>.</w:t>
      </w:r>
      <w:r>
        <w:rPr>
          <w:rFonts w:ascii="Book Antiqua" w:hAnsi="Book Antiqua"/>
        </w:rPr>
        <w:t xml:space="preserve"> SR-B1, as both an entry factor and an attachment factor, has been shown to bind viral envelope proteins</w:t>
      </w:r>
      <w:r>
        <w:rPr>
          <w:rFonts w:ascii="Book Antiqua" w:hAnsi="Book Antiqua"/>
          <w:vertAlign w:val="superscript"/>
        </w:rPr>
        <w:t>[</w:t>
      </w:r>
      <w:r>
        <w:rPr>
          <w:rFonts w:ascii="Book Antiqua" w:hAnsi="Book Antiqua"/>
          <w:bCs/>
          <w:vertAlign w:val="superscript"/>
        </w:rPr>
        <w:t>11]</w:t>
      </w:r>
      <w:r>
        <w:rPr>
          <w:rFonts w:ascii="Book Antiqua" w:hAnsi="Book Antiqua"/>
          <w:bCs/>
        </w:rPr>
        <w:t xml:space="preserve">. </w:t>
      </w:r>
      <w:r>
        <w:rPr>
          <w:rFonts w:ascii="Book Antiqua" w:hAnsi="Book Antiqua"/>
          <w:shd w:val="clear" w:color="auto" w:fill="FFFFFF"/>
        </w:rPr>
        <w:t xml:space="preserve">Knockdown of individual gene of </w:t>
      </w:r>
      <w:r>
        <w:rPr>
          <w:rFonts w:ascii="Book Antiqua" w:hAnsi="Book Antiqua"/>
          <w:i/>
          <w:shd w:val="clear" w:color="auto" w:fill="FFFFFF"/>
        </w:rPr>
        <w:t>LDLr</w:t>
      </w:r>
      <w:r>
        <w:rPr>
          <w:rFonts w:ascii="Book Antiqua" w:hAnsi="Book Antiqua"/>
          <w:shd w:val="clear" w:color="auto" w:fill="FFFFFF"/>
        </w:rPr>
        <w:t xml:space="preserve"> or </w:t>
      </w:r>
      <w:r>
        <w:rPr>
          <w:rFonts w:ascii="Book Antiqua" w:hAnsi="Book Antiqua"/>
          <w:i/>
          <w:shd w:val="clear" w:color="auto" w:fill="FFFFFF"/>
        </w:rPr>
        <w:t>SR-B1</w:t>
      </w:r>
      <w:r>
        <w:rPr>
          <w:rFonts w:ascii="Book Antiqua" w:hAnsi="Book Antiqua"/>
          <w:shd w:val="clear" w:color="auto" w:fill="FFFFFF"/>
        </w:rPr>
        <w:t xml:space="preserve"> had a moderate impact on HCV infection. While, knockdown of genes of both receptors resulted in a much more pronounced effect</w:t>
      </w:r>
      <w:r>
        <w:rPr>
          <w:rFonts w:ascii="Book Antiqua" w:hAnsi="Book Antiqua"/>
          <w:shd w:val="clear" w:color="auto" w:fill="FFFFFF"/>
          <w:vertAlign w:val="superscript"/>
        </w:rPr>
        <w:t>[</w:t>
      </w:r>
      <w:r>
        <w:rPr>
          <w:rStyle w:val="element-citation"/>
          <w:rFonts w:ascii="Book Antiqua" w:hAnsi="Book Antiqua"/>
          <w:bCs/>
          <w:vertAlign w:val="superscript"/>
        </w:rPr>
        <w:t>12]</w:t>
      </w:r>
      <w:r>
        <w:rPr>
          <w:rFonts w:ascii="Book Antiqua" w:hAnsi="Book Antiqua"/>
          <w:bCs/>
          <w:shd w:val="clear" w:color="auto" w:fill="FFFFFF"/>
        </w:rPr>
        <w:t>.</w:t>
      </w:r>
    </w:p>
    <w:p w14:paraId="0C6F7DBD" w14:textId="77777777" w:rsidR="008A6CD8" w:rsidRDefault="00477245">
      <w:pPr>
        <w:spacing w:line="360" w:lineRule="auto"/>
        <w:ind w:firstLineChars="200" w:firstLine="480"/>
        <w:jc w:val="both"/>
        <w:rPr>
          <w:rFonts w:ascii="Book Antiqua" w:hAnsi="Book Antiqua"/>
          <w:bCs/>
        </w:rPr>
      </w:pPr>
      <w:r>
        <w:rPr>
          <w:rFonts w:ascii="Book Antiqua" w:hAnsi="Book Antiqua"/>
        </w:rPr>
        <w:t>Attachment to SR-BI helps bind of LVPs to cluster of differentiation 81 (CD81), claudin-1 (CLDN1), and occludin (OCLN)</w:t>
      </w:r>
      <w:r>
        <w:rPr>
          <w:rFonts w:ascii="Book Antiqua" w:hAnsi="Book Antiqua"/>
          <w:vertAlign w:val="superscript"/>
        </w:rPr>
        <w:t>[</w:t>
      </w:r>
      <w:r>
        <w:rPr>
          <w:rFonts w:ascii="Book Antiqua" w:hAnsi="Book Antiqua"/>
          <w:bCs/>
          <w:shd w:val="clear" w:color="auto" w:fill="FFFFFF"/>
          <w:vertAlign w:val="superscript"/>
        </w:rPr>
        <w:t>13]</w:t>
      </w:r>
      <w:r>
        <w:rPr>
          <w:rFonts w:ascii="Book Antiqua" w:hAnsi="Book Antiqua"/>
          <w:bCs/>
          <w:shd w:val="clear" w:color="auto" w:fill="FFFFFF"/>
        </w:rPr>
        <w:t>.</w:t>
      </w:r>
      <w:r>
        <w:rPr>
          <w:rFonts w:ascii="Book Antiqua" w:hAnsi="Book Antiqua"/>
        </w:rPr>
        <w:t xml:space="preserve"> Interaction of HCV with CD81 causes activation of epidermal growth factor receptor</w:t>
      </w:r>
      <w:r>
        <w:rPr>
          <w:rFonts w:ascii="Book Antiqua" w:hAnsi="Book Antiqua" w:hint="eastAsia"/>
          <w:lang w:eastAsia="zh-CN"/>
        </w:rPr>
        <w:t xml:space="preserve"> </w:t>
      </w:r>
      <w:r>
        <w:rPr>
          <w:rFonts w:ascii="Book Antiqua" w:hAnsi="Book Antiqua"/>
        </w:rPr>
        <w:t>signaling and facilitates CD81 diffusion and formation of the HCV-CD81-CLDN1 complex</w:t>
      </w:r>
      <w:r>
        <w:rPr>
          <w:rFonts w:ascii="Book Antiqua" w:hAnsi="Book Antiqua"/>
          <w:vertAlign w:val="superscript"/>
        </w:rPr>
        <w:t>[</w:t>
      </w:r>
      <w:r>
        <w:rPr>
          <w:rFonts w:ascii="Book Antiqua" w:hAnsi="Book Antiqua"/>
          <w:bCs/>
          <w:vertAlign w:val="superscript"/>
        </w:rPr>
        <w:t>14]</w:t>
      </w:r>
      <w:r>
        <w:rPr>
          <w:rFonts w:ascii="Book Antiqua" w:hAnsi="Book Antiqua"/>
          <w:bCs/>
        </w:rPr>
        <w:t>.</w:t>
      </w:r>
      <w:r>
        <w:rPr>
          <w:rFonts w:ascii="Book Antiqua" w:hAnsi="Book Antiqua"/>
        </w:rPr>
        <w:t xml:space="preserve"> This complex then interacts with OCLN, which</w:t>
      </w:r>
      <w:r>
        <w:rPr>
          <w:rFonts w:ascii="Book Antiqua" w:hAnsi="Book Antiqua"/>
          <w:bCs/>
        </w:rPr>
        <w:t xml:space="preserve"> </w:t>
      </w:r>
      <w:r>
        <w:rPr>
          <w:rFonts w:ascii="Book Antiqua" w:hAnsi="Book Antiqua"/>
        </w:rPr>
        <w:t>mediates the clathrin-dependent internalization through interacting with GTPase</w:t>
      </w:r>
      <w:r>
        <w:rPr>
          <w:rFonts w:ascii="Book Antiqua" w:hAnsi="Book Antiqua"/>
          <w:bCs/>
        </w:rPr>
        <w:t xml:space="preserve"> </w:t>
      </w:r>
      <w:r>
        <w:rPr>
          <w:rFonts w:ascii="Book Antiqua" w:hAnsi="Book Antiqua"/>
        </w:rPr>
        <w:t>dynamin</w:t>
      </w:r>
      <w:r>
        <w:rPr>
          <w:rFonts w:ascii="Book Antiqua" w:hAnsi="Book Antiqua"/>
          <w:vertAlign w:val="superscript"/>
        </w:rPr>
        <w:t>[</w:t>
      </w:r>
      <w:r>
        <w:rPr>
          <w:rFonts w:ascii="Book Antiqua" w:hAnsi="Book Antiqua"/>
          <w:bCs/>
          <w:vertAlign w:val="superscript"/>
        </w:rPr>
        <w:t>15]</w:t>
      </w:r>
      <w:r>
        <w:rPr>
          <w:rFonts w:ascii="Book Antiqua" w:hAnsi="Book Antiqua"/>
          <w:bCs/>
        </w:rPr>
        <w:t>.</w:t>
      </w:r>
      <w:r>
        <w:rPr>
          <w:rFonts w:ascii="Book Antiqua" w:hAnsi="Book Antiqua"/>
        </w:rPr>
        <w:t xml:space="preserve"> Other entry factors</w:t>
      </w:r>
      <w:r>
        <w:rPr>
          <w:rFonts w:ascii="Book Antiqua" w:hAnsi="Book Antiqua"/>
          <w:bCs/>
        </w:rPr>
        <w:t xml:space="preserve"> </w:t>
      </w:r>
      <w:r>
        <w:rPr>
          <w:rFonts w:ascii="Book Antiqua" w:hAnsi="Book Antiqua"/>
        </w:rPr>
        <w:t>have</w:t>
      </w:r>
      <w:r>
        <w:rPr>
          <w:rFonts w:ascii="Book Antiqua" w:hAnsi="Book Antiqua"/>
          <w:bCs/>
        </w:rPr>
        <w:t xml:space="preserve"> </w:t>
      </w:r>
      <w:r>
        <w:rPr>
          <w:rFonts w:ascii="Book Antiqua" w:hAnsi="Book Antiqua"/>
        </w:rPr>
        <w:t>been</w:t>
      </w:r>
      <w:r>
        <w:rPr>
          <w:rFonts w:ascii="Book Antiqua" w:hAnsi="Book Antiqua"/>
          <w:bCs/>
        </w:rPr>
        <w:t xml:space="preserve"> </w:t>
      </w:r>
      <w:r>
        <w:rPr>
          <w:rFonts w:ascii="Book Antiqua" w:hAnsi="Book Antiqua"/>
        </w:rPr>
        <w:t>demonstrated, such as CD36 which interacts directly with HCV E1 protein</w:t>
      </w:r>
      <w:r>
        <w:rPr>
          <w:rFonts w:ascii="Book Antiqua" w:hAnsi="Book Antiqua"/>
          <w:vertAlign w:val="superscript"/>
        </w:rPr>
        <w:t>[</w:t>
      </w:r>
      <w:r>
        <w:rPr>
          <w:rFonts w:ascii="Book Antiqua" w:hAnsi="Book Antiqua"/>
          <w:bCs/>
          <w:vertAlign w:val="superscript"/>
        </w:rPr>
        <w:t>16]</w:t>
      </w:r>
      <w:r>
        <w:rPr>
          <w:rFonts w:ascii="Book Antiqua" w:hAnsi="Book Antiqua"/>
          <w:bCs/>
        </w:rPr>
        <w:t>.</w:t>
      </w:r>
      <w:r>
        <w:rPr>
          <w:rFonts w:ascii="Book Antiqua" w:hAnsi="Book Antiqua"/>
        </w:rPr>
        <w:t xml:space="preserve"> In</w:t>
      </w:r>
      <w:r>
        <w:rPr>
          <w:rFonts w:ascii="Book Antiqua" w:hAnsi="Book Antiqua"/>
          <w:bCs/>
        </w:rPr>
        <w:t xml:space="preserve"> </w:t>
      </w:r>
      <w:r>
        <w:rPr>
          <w:rFonts w:ascii="Book Antiqua" w:hAnsi="Book Antiqua"/>
        </w:rPr>
        <w:t>addition, TIM-1/human</w:t>
      </w:r>
      <w:r>
        <w:rPr>
          <w:rFonts w:ascii="Book Antiqua" w:hAnsi="Book Antiqua"/>
          <w:bCs/>
        </w:rPr>
        <w:t xml:space="preserve"> </w:t>
      </w:r>
      <w:r>
        <w:rPr>
          <w:rFonts w:ascii="Book Antiqua" w:hAnsi="Book Antiqua"/>
        </w:rPr>
        <w:t>hepatitis</w:t>
      </w:r>
      <w:r>
        <w:rPr>
          <w:rFonts w:ascii="Book Antiqua" w:hAnsi="Book Antiqua"/>
          <w:bCs/>
        </w:rPr>
        <w:t xml:space="preserve"> </w:t>
      </w:r>
      <w:r>
        <w:rPr>
          <w:rFonts w:ascii="Book Antiqua" w:hAnsi="Book Antiqua"/>
        </w:rPr>
        <w:t>A</w:t>
      </w:r>
      <w:r>
        <w:rPr>
          <w:rFonts w:ascii="Book Antiqua" w:hAnsi="Book Antiqua"/>
          <w:bCs/>
        </w:rPr>
        <w:t xml:space="preserve"> </w:t>
      </w:r>
      <w:r>
        <w:rPr>
          <w:rFonts w:ascii="Book Antiqua" w:hAnsi="Book Antiqua"/>
        </w:rPr>
        <w:t>virus</w:t>
      </w:r>
      <w:r>
        <w:rPr>
          <w:rFonts w:ascii="Book Antiqua" w:hAnsi="Book Antiqua"/>
          <w:bCs/>
        </w:rPr>
        <w:t xml:space="preserve"> </w:t>
      </w:r>
      <w:r>
        <w:rPr>
          <w:rFonts w:ascii="Book Antiqua" w:hAnsi="Book Antiqua"/>
        </w:rPr>
        <w:t>cellular</w:t>
      </w:r>
      <w:r>
        <w:rPr>
          <w:rFonts w:ascii="Book Antiqua" w:hAnsi="Book Antiqua"/>
          <w:bCs/>
        </w:rPr>
        <w:t xml:space="preserve"> </w:t>
      </w:r>
      <w:r>
        <w:rPr>
          <w:rFonts w:ascii="Book Antiqua" w:hAnsi="Book Antiqua"/>
        </w:rPr>
        <w:t>receptor 1/CD365 has been identified as a contributing factor to LVP attachment through interaction with phosphatidylserine exposed on the HCV envelope</w:t>
      </w:r>
      <w:r>
        <w:rPr>
          <w:rFonts w:ascii="Book Antiqua" w:hAnsi="Book Antiqua"/>
          <w:vertAlign w:val="superscript"/>
        </w:rPr>
        <w:t>[</w:t>
      </w:r>
      <w:r>
        <w:rPr>
          <w:rFonts w:ascii="Book Antiqua" w:hAnsi="Book Antiqua"/>
          <w:bCs/>
          <w:vertAlign w:val="superscript"/>
        </w:rPr>
        <w:t>17]</w:t>
      </w:r>
      <w:r>
        <w:rPr>
          <w:rFonts w:ascii="Book Antiqua" w:hAnsi="Book Antiqua"/>
          <w:bCs/>
        </w:rPr>
        <w:t>.</w:t>
      </w:r>
      <w:r>
        <w:rPr>
          <w:rFonts w:ascii="Book Antiqua" w:hAnsi="Book Antiqua"/>
        </w:rPr>
        <w:t xml:space="preserve"> This interaction may enhance viral attachment and subsequent interaction with the main entry factors</w:t>
      </w:r>
      <w:r>
        <w:rPr>
          <w:rFonts w:ascii="Book Antiqua" w:hAnsi="Book Antiqua"/>
          <w:vertAlign w:val="superscript"/>
        </w:rPr>
        <w:t>[</w:t>
      </w:r>
      <w:r>
        <w:rPr>
          <w:rFonts w:ascii="Book Antiqua" w:hAnsi="Book Antiqua"/>
          <w:bCs/>
          <w:vertAlign w:val="superscript"/>
        </w:rPr>
        <w:t>18]</w:t>
      </w:r>
      <w:r>
        <w:rPr>
          <w:rFonts w:ascii="Book Antiqua" w:hAnsi="Book Antiqua"/>
          <w:bCs/>
        </w:rPr>
        <w:t>.</w:t>
      </w:r>
      <w:r>
        <w:rPr>
          <w:rFonts w:ascii="Book Antiqua" w:hAnsi="Book Antiqua"/>
        </w:rPr>
        <w:t xml:space="preserve"> HCV uses cortactin (an actin-binding protein at the cell periphery) for its assembly to promote viral proliferation and controls cortactin phosphorylation to facilitate cell invasion. Cortactin may be involved in hepatic cell migration, so it may be a potential target to interfere with the HCV cellular pathogenesis</w:t>
      </w:r>
      <w:r>
        <w:rPr>
          <w:rFonts w:ascii="Book Antiqua" w:hAnsi="Book Antiqua"/>
          <w:vertAlign w:val="superscript"/>
        </w:rPr>
        <w:t>[</w:t>
      </w:r>
      <w:r>
        <w:rPr>
          <w:rFonts w:ascii="Book Antiqua" w:hAnsi="Book Antiqua"/>
          <w:bCs/>
          <w:vertAlign w:val="superscript"/>
        </w:rPr>
        <w:t>19]</w:t>
      </w:r>
      <w:r>
        <w:rPr>
          <w:rFonts w:ascii="Book Antiqua" w:hAnsi="Book Antiqua"/>
          <w:bCs/>
        </w:rPr>
        <w:t>.</w:t>
      </w:r>
    </w:p>
    <w:p w14:paraId="2C3774AF" w14:textId="77777777" w:rsidR="008A6CD8" w:rsidRDefault="00477245">
      <w:pPr>
        <w:spacing w:line="360" w:lineRule="auto"/>
        <w:ind w:firstLineChars="200" w:firstLine="480"/>
        <w:jc w:val="both"/>
        <w:rPr>
          <w:rFonts w:ascii="Book Antiqua" w:hAnsi="Book Antiqua"/>
          <w:bCs/>
        </w:rPr>
      </w:pPr>
      <w:r>
        <w:rPr>
          <w:rFonts w:ascii="Book Antiqua" w:hAnsi="Book Antiqua"/>
        </w:rPr>
        <w:t>SR-B1</w:t>
      </w:r>
      <w:r>
        <w:rPr>
          <w:rFonts w:ascii="Book Antiqua" w:hAnsi="Book Antiqua"/>
          <w:shd w:val="clear" w:color="auto" w:fill="FFFFFF"/>
        </w:rPr>
        <w:t xml:space="preserve"> has also a prominent role in cell-to-cell transmission. This type of transmission assists immune evasion and persistence. Cell-to-cell transmission may be the main route of HCV dissemination in chronically infected patients</w:t>
      </w:r>
      <w:r>
        <w:rPr>
          <w:rFonts w:ascii="Book Antiqua" w:hAnsi="Book Antiqua"/>
          <w:shd w:val="clear" w:color="auto" w:fill="FFFFFF"/>
          <w:vertAlign w:val="superscript"/>
        </w:rPr>
        <w:t>[</w:t>
      </w:r>
      <w:r>
        <w:rPr>
          <w:rStyle w:val="element-citation"/>
          <w:rFonts w:ascii="Book Antiqua" w:hAnsi="Book Antiqua"/>
          <w:bCs/>
          <w:shd w:val="clear" w:color="auto" w:fill="FFFFFF"/>
          <w:vertAlign w:val="superscript"/>
        </w:rPr>
        <w:t>20</w:t>
      </w:r>
      <w:r>
        <w:rPr>
          <w:rFonts w:ascii="Book Antiqua" w:hAnsi="Book Antiqua"/>
          <w:bCs/>
          <w:vertAlign w:val="superscript"/>
        </w:rPr>
        <w:t>]</w:t>
      </w:r>
      <w:r>
        <w:rPr>
          <w:rFonts w:ascii="Book Antiqua" w:hAnsi="Book Antiqua"/>
          <w:bCs/>
        </w:rPr>
        <w:t xml:space="preserve">. </w:t>
      </w:r>
      <w:r>
        <w:rPr>
          <w:rFonts w:ascii="Book Antiqua" w:hAnsi="Book Antiqua"/>
        </w:rPr>
        <w:t xml:space="preserve">LIM and SH3 protein 1 (LASP-1) is a specific adhesion protein that plays an important role in the regulation of cell migration, proliferation, and protein-protein interactions. LASP-1 is an HCV NS5A-interacting partner. Both LASP-1 and NS5A are localized in the cytoplasm of HCV </w:t>
      </w:r>
      <w:r>
        <w:rPr>
          <w:rFonts w:ascii="Book Antiqua" w:hAnsi="Book Antiqua"/>
        </w:rPr>
        <w:lastRenderedPageBreak/>
        <w:t>infected cells. RNA and protein levels of LASP-1 were increased in these cells, indicating that LASP-1 may be involved in HCV-induced liver pathogenesis</w:t>
      </w:r>
      <w:r>
        <w:rPr>
          <w:rFonts w:ascii="Book Antiqua" w:hAnsi="Book Antiqua"/>
          <w:vertAlign w:val="superscript"/>
        </w:rPr>
        <w:t>[</w:t>
      </w:r>
      <w:r>
        <w:rPr>
          <w:rFonts w:ascii="Book Antiqua" w:hAnsi="Book Antiqua"/>
          <w:bCs/>
          <w:vertAlign w:val="superscript"/>
        </w:rPr>
        <w:t>21]</w:t>
      </w:r>
      <w:r>
        <w:rPr>
          <w:rFonts w:ascii="Book Antiqua" w:hAnsi="Book Antiqua"/>
          <w:bCs/>
        </w:rPr>
        <w:t>.</w:t>
      </w:r>
    </w:p>
    <w:p w14:paraId="668419D1" w14:textId="77777777" w:rsidR="008A6CD8" w:rsidRDefault="00477245">
      <w:pPr>
        <w:spacing w:line="360" w:lineRule="auto"/>
        <w:ind w:firstLineChars="200" w:firstLine="480"/>
        <w:jc w:val="both"/>
        <w:rPr>
          <w:rFonts w:ascii="Book Antiqua" w:hAnsi="Book Antiqua"/>
          <w:bCs/>
        </w:rPr>
      </w:pPr>
      <w:r>
        <w:rPr>
          <w:rFonts w:ascii="Book Antiqua" w:hAnsi="Book Antiqua"/>
        </w:rPr>
        <w:t>HCV can also infect and replicate in other cell types, such as peripheral blood mononuclear cells (PBMCs) and bone marrow cells through cell-to-cell transmission</w:t>
      </w:r>
      <w:r>
        <w:rPr>
          <w:rFonts w:ascii="Book Antiqua" w:hAnsi="Book Antiqua"/>
          <w:vertAlign w:val="superscript"/>
        </w:rPr>
        <w:t>[</w:t>
      </w:r>
      <w:r>
        <w:rPr>
          <w:rFonts w:ascii="Book Antiqua" w:hAnsi="Book Antiqua"/>
          <w:bCs/>
          <w:vertAlign w:val="superscript"/>
        </w:rPr>
        <w:t>22]</w:t>
      </w:r>
      <w:r>
        <w:rPr>
          <w:rFonts w:ascii="Book Antiqua" w:hAnsi="Book Antiqua"/>
          <w:bCs/>
        </w:rPr>
        <w:t>.</w:t>
      </w:r>
      <w:r>
        <w:rPr>
          <w:rFonts w:ascii="Book Antiqua" w:hAnsi="Book Antiqua"/>
        </w:rPr>
        <w:t xml:space="preserve"> HCV infects PBMCs and other cells through the interaction with CD81 molecules on the cell surface</w:t>
      </w:r>
      <w:r>
        <w:rPr>
          <w:rFonts w:ascii="Book Antiqua" w:hAnsi="Book Antiqua"/>
          <w:vertAlign w:val="superscript"/>
        </w:rPr>
        <w:t>[</w:t>
      </w:r>
      <w:r>
        <w:rPr>
          <w:rFonts w:ascii="Book Antiqua" w:hAnsi="Book Antiqua"/>
          <w:bCs/>
          <w:vertAlign w:val="superscript"/>
        </w:rPr>
        <w:t>23]</w:t>
      </w:r>
      <w:r>
        <w:rPr>
          <w:rFonts w:ascii="Book Antiqua" w:hAnsi="Book Antiqua"/>
        </w:rPr>
        <w:t>, allowing replication of HCV in the extrahepatic tissues, which is facilitated by the expression of miR-122</w:t>
      </w:r>
      <w:r>
        <w:rPr>
          <w:rFonts w:ascii="Book Antiqua" w:hAnsi="Book Antiqua"/>
          <w:vertAlign w:val="superscript"/>
        </w:rPr>
        <w:t>[</w:t>
      </w:r>
      <w:r>
        <w:rPr>
          <w:rFonts w:ascii="Book Antiqua" w:hAnsi="Book Antiqua"/>
          <w:bCs/>
          <w:vertAlign w:val="superscript"/>
        </w:rPr>
        <w:t>24]</w:t>
      </w:r>
      <w:r>
        <w:rPr>
          <w:rFonts w:ascii="Book Antiqua" w:hAnsi="Book Antiqua"/>
          <w:bCs/>
        </w:rPr>
        <w:t>.</w:t>
      </w:r>
      <w:r>
        <w:rPr>
          <w:rFonts w:ascii="Book Antiqua" w:hAnsi="Book Antiqua"/>
        </w:rPr>
        <w:t xml:space="preserve"> B lymphocytes, particularly CD27+ memory B cells, can resist apoptosis and may serve as an HCV reservoir</w:t>
      </w:r>
      <w:r>
        <w:rPr>
          <w:rFonts w:ascii="Book Antiqua" w:hAnsi="Book Antiqua"/>
          <w:vertAlign w:val="superscript"/>
        </w:rPr>
        <w:t>[</w:t>
      </w:r>
      <w:r>
        <w:rPr>
          <w:rFonts w:ascii="Book Antiqua" w:hAnsi="Book Antiqua"/>
          <w:bCs/>
          <w:vertAlign w:val="superscript"/>
        </w:rPr>
        <w:t>25]</w:t>
      </w:r>
      <w:r>
        <w:rPr>
          <w:rFonts w:ascii="Book Antiqua" w:hAnsi="Book Antiqua"/>
          <w:bCs/>
        </w:rPr>
        <w:t>.</w:t>
      </w:r>
      <w:r>
        <w:rPr>
          <w:rFonts w:ascii="Book Antiqua" w:hAnsi="Book Antiqua"/>
        </w:rPr>
        <w:t xml:space="preserve"> Infection of PBMCs with HCV leads to dysregulation of the signaling pathway mediators such as STAT-1 and IRF-1 and alterations in cytokine and chemokine production, including IL-1, IL-6, IL-8, and IL-10. Persistent HCV RNA and its antigens, combined with chronic immune activation, lead to exhaustion of PBMCs that become defective and more prone to programmed cell death</w:t>
      </w:r>
      <w:r>
        <w:rPr>
          <w:rFonts w:ascii="Book Antiqua" w:hAnsi="Book Antiqua"/>
          <w:vertAlign w:val="superscript"/>
        </w:rPr>
        <w:t>[</w:t>
      </w:r>
      <w:r>
        <w:rPr>
          <w:rFonts w:ascii="Book Antiqua" w:hAnsi="Book Antiqua"/>
          <w:bCs/>
          <w:vertAlign w:val="superscript"/>
        </w:rPr>
        <w:t>26]</w:t>
      </w:r>
      <w:r>
        <w:rPr>
          <w:rFonts w:ascii="Book Antiqua" w:hAnsi="Book Antiqua"/>
          <w:bCs/>
        </w:rPr>
        <w:t xml:space="preserve">. </w:t>
      </w:r>
      <w:r>
        <w:rPr>
          <w:rFonts w:ascii="Book Antiqua" w:hAnsi="Book Antiqua"/>
        </w:rPr>
        <w:t>Liu</w:t>
      </w:r>
      <w:r>
        <w:rPr>
          <w:rFonts w:ascii="Book Antiqua" w:hAnsi="Book Antiqua"/>
          <w:i/>
        </w:rPr>
        <w:t xml:space="preserve"> et al</w:t>
      </w:r>
      <w:r>
        <w:rPr>
          <w:rFonts w:ascii="Book Antiqua" w:hAnsi="Book Antiqua"/>
          <w:vertAlign w:val="superscript"/>
        </w:rPr>
        <w:t>[</w:t>
      </w:r>
      <w:r>
        <w:rPr>
          <w:rFonts w:ascii="Book Antiqua" w:hAnsi="Book Antiqua"/>
          <w:bCs/>
          <w:vertAlign w:val="superscript"/>
        </w:rPr>
        <w:t>27]</w:t>
      </w:r>
      <w:r>
        <w:rPr>
          <w:rFonts w:ascii="Book Antiqua" w:hAnsi="Book Antiqua"/>
          <w:bCs/>
          <w:shd w:val="clear" w:color="auto" w:fill="FFFFFF"/>
          <w:vertAlign w:val="superscript"/>
        </w:rPr>
        <w:t xml:space="preserve"> </w:t>
      </w:r>
      <w:r>
        <w:rPr>
          <w:rFonts w:ascii="Book Antiqua" w:hAnsi="Book Antiqua"/>
        </w:rPr>
        <w:t>prepared cell</w:t>
      </w:r>
      <w:r>
        <w:rPr>
          <w:rFonts w:ascii="Book Antiqua" w:hAnsi="Book Antiqua"/>
          <w:shd w:val="clear" w:color="auto" w:fill="FFFFFF"/>
        </w:rPr>
        <w:t xml:space="preserve"> </w:t>
      </w:r>
      <w:r>
        <w:rPr>
          <w:rFonts w:ascii="Book Antiqua" w:hAnsi="Book Antiqua"/>
        </w:rPr>
        <w:t>culture-derived infectious HCV particles (HCVcc) using Huh7 cells transfected with HCV RNA. They found that HCV entry into macrophages depends mainly on its phagocytic activity and does not depend on its cell receptors. Knockdown of CD81 had a minimal effect on the entry of HCVcc into macrophages.</w:t>
      </w:r>
      <w:r>
        <w:rPr>
          <w:rFonts w:ascii="Book Antiqua" w:hAnsi="Book Antiqua"/>
          <w:bCs/>
          <w:shd w:val="clear" w:color="auto" w:fill="FFFFFF"/>
        </w:rPr>
        <w:t xml:space="preserve"> </w:t>
      </w:r>
      <w:r>
        <w:rPr>
          <w:rFonts w:ascii="Book Antiqua" w:hAnsi="Book Antiqua"/>
        </w:rPr>
        <w:t>Exosomes have been demonstrated to contain HCV-RNA. However, the mechanism responsible for the transmission of HCV genomic RNA through exosomes is still not clarified</w:t>
      </w:r>
      <w:r>
        <w:rPr>
          <w:rFonts w:ascii="Book Antiqua" w:hAnsi="Book Antiqua"/>
          <w:bCs/>
          <w:vertAlign w:val="superscript"/>
        </w:rPr>
        <w:t>[28]</w:t>
      </w:r>
      <w:r>
        <w:rPr>
          <w:rFonts w:ascii="Book Antiqua" w:hAnsi="Book Antiqua"/>
          <w:bCs/>
        </w:rPr>
        <w:t>.</w:t>
      </w:r>
    </w:p>
    <w:p w14:paraId="74DF4243" w14:textId="77777777" w:rsidR="008A6CD8" w:rsidRDefault="008A6CD8">
      <w:pPr>
        <w:autoSpaceDE w:val="0"/>
        <w:autoSpaceDN w:val="0"/>
        <w:adjustRightInd w:val="0"/>
        <w:spacing w:line="360" w:lineRule="auto"/>
        <w:jc w:val="both"/>
        <w:rPr>
          <w:rFonts w:ascii="Book Antiqua" w:hAnsi="Book Antiqua"/>
          <w:bCs/>
        </w:rPr>
      </w:pPr>
    </w:p>
    <w:p w14:paraId="33FDEE4A" w14:textId="77777777" w:rsidR="008A6CD8" w:rsidRDefault="00477245">
      <w:pPr>
        <w:autoSpaceDE w:val="0"/>
        <w:autoSpaceDN w:val="0"/>
        <w:adjustRightInd w:val="0"/>
        <w:spacing w:line="360" w:lineRule="auto"/>
        <w:jc w:val="both"/>
        <w:rPr>
          <w:rFonts w:ascii="Book Antiqua" w:eastAsia="DejaVuSans" w:hAnsi="Book Antiqua"/>
          <w:b/>
          <w:u w:val="single"/>
        </w:rPr>
      </w:pPr>
      <w:r>
        <w:rPr>
          <w:rFonts w:ascii="Book Antiqua" w:eastAsia="DejaVuSans" w:hAnsi="Book Antiqua"/>
          <w:b/>
          <w:u w:val="single"/>
        </w:rPr>
        <w:t>EVALUATION OF SEVERITY OF LIVER DISORDERS BEFORE AND AFTER THERAPY</w:t>
      </w:r>
    </w:p>
    <w:p w14:paraId="2FAB60BB"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rPr>
        <w:t xml:space="preserve">Before starting </w:t>
      </w:r>
      <w:r>
        <w:rPr>
          <w:rFonts w:ascii="Book Antiqua" w:hAnsi="Book Antiqua"/>
          <w:shd w:val="clear" w:color="auto" w:fill="FFFFFF"/>
        </w:rPr>
        <w:t>direct-acting antiviral (</w:t>
      </w:r>
      <w:r>
        <w:rPr>
          <w:rFonts w:ascii="Book Antiqua" w:hAnsi="Book Antiqua"/>
        </w:rPr>
        <w:t>DAA) therapy, liver disease severity should be assessed to detect clinically unapparent advanced fibrosis (METAVIR score F3) or cirrhosis (METAVIR score F4). In patients with cirrhosis, portal hypertension and esophageal varices should also be assessed</w:t>
      </w:r>
      <w:r>
        <w:rPr>
          <w:rFonts w:ascii="Book Antiqua" w:hAnsi="Book Antiqua"/>
          <w:vertAlign w:val="superscript"/>
        </w:rPr>
        <w:t>[</w:t>
      </w:r>
      <w:r>
        <w:rPr>
          <w:rFonts w:ascii="Book Antiqua" w:hAnsi="Book Antiqua"/>
          <w:bCs/>
          <w:shd w:val="clear" w:color="auto" w:fill="FFFFFF"/>
          <w:vertAlign w:val="superscript"/>
        </w:rPr>
        <w:t>29]</w:t>
      </w:r>
      <w:r>
        <w:rPr>
          <w:rFonts w:ascii="Book Antiqua" w:hAnsi="Book Antiqua"/>
          <w:bCs/>
          <w:shd w:val="clear" w:color="auto" w:fill="FFFFFF"/>
        </w:rPr>
        <w:t>.</w:t>
      </w:r>
      <w:r>
        <w:rPr>
          <w:rFonts w:ascii="Book Antiqua" w:hAnsi="Book Antiqua"/>
          <w:shd w:val="clear" w:color="auto" w:fill="FFFFFF"/>
        </w:rPr>
        <w:t xml:space="preserve"> </w:t>
      </w:r>
      <w:r>
        <w:rPr>
          <w:rFonts w:ascii="Book Antiqua" w:hAnsi="Book Antiqua"/>
        </w:rPr>
        <w:t xml:space="preserve">These are important steps, as the choice of DAA regimens, prognosis, and </w:t>
      </w:r>
      <w:r>
        <w:rPr>
          <w:rFonts w:ascii="Book Antiqua" w:eastAsia="Book Antiqua" w:hAnsi="Book Antiqua" w:cs="Book Antiqua"/>
        </w:rPr>
        <w:t>hepatocellular carcinoma (HCC)</w:t>
      </w:r>
      <w:r>
        <w:rPr>
          <w:rFonts w:ascii="Book Antiqua" w:hAnsi="Book Antiqua"/>
        </w:rPr>
        <w:t xml:space="preserve"> surveillance every 6 months depend on the stage of fibrosis. </w:t>
      </w:r>
      <w:r>
        <w:rPr>
          <w:rFonts w:ascii="Book Antiqua" w:hAnsi="Book Antiqua"/>
          <w:bCs/>
        </w:rPr>
        <w:t xml:space="preserve">Table 1 </w:t>
      </w:r>
      <w:r>
        <w:rPr>
          <w:rFonts w:ascii="Book Antiqua" w:hAnsi="Book Antiqua"/>
        </w:rPr>
        <w:t xml:space="preserve">summarizes some of the </w:t>
      </w:r>
      <w:bookmarkStart w:id="1" w:name="_Hlk99389278"/>
      <w:r>
        <w:rPr>
          <w:rFonts w:ascii="Book Antiqua" w:hAnsi="Book Antiqua"/>
        </w:rPr>
        <w:t>current available HCV diagnostic and staging tests according to AASLD and IDSA</w:t>
      </w:r>
      <w:r>
        <w:rPr>
          <w:rFonts w:ascii="Book Antiqua" w:hAnsi="Book Antiqua"/>
          <w:vertAlign w:val="superscript"/>
        </w:rPr>
        <w:t>[</w:t>
      </w:r>
      <w:r>
        <w:rPr>
          <w:rFonts w:ascii="Book Antiqua" w:hAnsi="Book Antiqua"/>
          <w:bCs/>
          <w:vertAlign w:val="superscript"/>
        </w:rPr>
        <w:t>30]</w:t>
      </w:r>
      <w:r>
        <w:rPr>
          <w:rFonts w:ascii="Book Antiqua" w:hAnsi="Book Antiqua"/>
          <w:bCs/>
        </w:rPr>
        <w:t xml:space="preserve">, </w:t>
      </w:r>
      <w:r>
        <w:rPr>
          <w:rFonts w:ascii="Book Antiqua" w:hAnsi="Book Antiqua"/>
        </w:rPr>
        <w:t>Filozof</w:t>
      </w:r>
      <w:r>
        <w:rPr>
          <w:rFonts w:ascii="Book Antiqua" w:hAnsi="Book Antiqua"/>
          <w:i/>
        </w:rPr>
        <w:t xml:space="preserve"> et al</w:t>
      </w:r>
      <w:r>
        <w:rPr>
          <w:rFonts w:ascii="Book Antiqua" w:hAnsi="Book Antiqua"/>
          <w:bCs/>
          <w:vertAlign w:val="superscript"/>
        </w:rPr>
        <w:t>[31]</w:t>
      </w:r>
      <w:r>
        <w:rPr>
          <w:rFonts w:ascii="Book Antiqua" w:hAnsi="Book Antiqua"/>
          <w:bCs/>
        </w:rPr>
        <w:t xml:space="preserve">, </w:t>
      </w:r>
      <w:r>
        <w:rPr>
          <w:rFonts w:ascii="Book Antiqua" w:hAnsi="Book Antiqua"/>
        </w:rPr>
        <w:t>and other studies</w:t>
      </w:r>
      <w:bookmarkEnd w:id="1"/>
      <w:r>
        <w:rPr>
          <w:rFonts w:ascii="Book Antiqua" w:hAnsi="Book Antiqua"/>
          <w:vertAlign w:val="superscript"/>
        </w:rPr>
        <w:t>[</w:t>
      </w:r>
      <w:r>
        <w:rPr>
          <w:rFonts w:ascii="Book Antiqua" w:hAnsi="Book Antiqua"/>
          <w:bCs/>
          <w:vertAlign w:val="superscript"/>
        </w:rPr>
        <w:t>32-35]</w:t>
      </w:r>
      <w:r>
        <w:rPr>
          <w:rFonts w:ascii="Book Antiqua" w:hAnsi="Book Antiqua"/>
          <w:bCs/>
        </w:rPr>
        <w:t>.</w:t>
      </w:r>
      <w:r>
        <w:rPr>
          <w:rFonts w:ascii="Book Antiqua" w:hAnsi="Book Antiqua"/>
        </w:rPr>
        <w:t xml:space="preserve"> Liver stiffness measurement (LSM) using transient elastography</w:t>
      </w:r>
      <w:r>
        <w:rPr>
          <w:rFonts w:ascii="Book Antiqua" w:hAnsi="Book Antiqua" w:hint="eastAsia"/>
          <w:lang w:eastAsia="zh-CN"/>
        </w:rPr>
        <w:t xml:space="preserve"> </w:t>
      </w:r>
      <w:r>
        <w:rPr>
          <w:rFonts w:ascii="Book Antiqua" w:hAnsi="Book Antiqua"/>
        </w:rPr>
        <w:t xml:space="preserve">can </w:t>
      </w:r>
      <w:r>
        <w:rPr>
          <w:rFonts w:ascii="Book Antiqua" w:hAnsi="Book Antiqua"/>
        </w:rPr>
        <w:lastRenderedPageBreak/>
        <w:t>assess the degree of liver fibrosis and portal hypertension. Aspartate aminotransferase to platelet ratio index</w:t>
      </w:r>
      <w:r>
        <w:rPr>
          <w:rFonts w:ascii="Book Antiqua" w:hAnsi="Book Antiqua" w:hint="eastAsia"/>
          <w:lang w:eastAsia="zh-CN"/>
        </w:rPr>
        <w:t xml:space="preserve"> </w:t>
      </w:r>
      <w:r>
        <w:rPr>
          <w:rFonts w:ascii="Book Antiqua" w:hAnsi="Book Antiqua"/>
        </w:rPr>
        <w:t xml:space="preserve">and fibrosis-4 (FIB-4) are simple, inexpensive, and reliable panels of fibrosis biomarkers that can be used. However, these panels may be less sensitive among African patients. Both LSM and biomarkers are expected to be efficient in distinguishing cirrhosis </w:t>
      </w:r>
      <w:r>
        <w:rPr>
          <w:rFonts w:ascii="Book Antiqua" w:hAnsi="Book Antiqua"/>
          <w:i/>
        </w:rPr>
        <w:t>vs</w:t>
      </w:r>
      <w:r>
        <w:rPr>
          <w:rFonts w:ascii="Book Antiqua" w:hAnsi="Book Antiqua"/>
        </w:rPr>
        <w:t xml:space="preserve"> no fibrosis, with the lower ability for intermediate degrees of fibrosis. The combination of blood biomarkers or the combination of LSM and a blood test may improve accuracy</w:t>
      </w:r>
      <w:r>
        <w:rPr>
          <w:rFonts w:ascii="Book Antiqua" w:hAnsi="Book Antiqua"/>
          <w:vertAlign w:val="superscript"/>
        </w:rPr>
        <w:t>[</w:t>
      </w:r>
      <w:r>
        <w:rPr>
          <w:rFonts w:ascii="Book Antiqua" w:hAnsi="Book Antiqua"/>
          <w:bCs/>
          <w:vertAlign w:val="superscript"/>
        </w:rPr>
        <w:t>36]</w:t>
      </w:r>
      <w:r>
        <w:rPr>
          <w:rFonts w:ascii="Book Antiqua" w:hAnsi="Book Antiqua"/>
          <w:bCs/>
        </w:rPr>
        <w:t xml:space="preserve">. </w:t>
      </w:r>
    </w:p>
    <w:p w14:paraId="5CAAA339" w14:textId="77777777" w:rsidR="008A6CD8" w:rsidRDefault="00477245">
      <w:pPr>
        <w:spacing w:line="360" w:lineRule="auto"/>
        <w:ind w:firstLineChars="200" w:firstLine="480"/>
        <w:jc w:val="both"/>
        <w:rPr>
          <w:rFonts w:ascii="Book Antiqua" w:hAnsi="Book Antiqua"/>
          <w:bCs/>
        </w:rPr>
      </w:pPr>
      <w:r>
        <w:rPr>
          <w:rFonts w:ascii="Book Antiqua" w:hAnsi="Book Antiqua"/>
        </w:rPr>
        <w:t xml:space="preserve">LSM importance after </w:t>
      </w:r>
      <w:r>
        <w:rPr>
          <w:rFonts w:ascii="Book Antiqua" w:eastAsia="Book Antiqua" w:hAnsi="Book Antiqua" w:cs="Book Antiqua"/>
        </w:rPr>
        <w:t>sustained virological response (SVR)</w:t>
      </w:r>
      <w:r>
        <w:rPr>
          <w:rFonts w:ascii="Book Antiqua" w:hAnsi="Book Antiqua"/>
        </w:rPr>
        <w:t xml:space="preserve"> remains uncertain. Several studies have reported the significant regression of LSM after treatment of HCV infection with DAAs</w:t>
      </w:r>
      <w:r>
        <w:rPr>
          <w:rFonts w:ascii="Book Antiqua" w:hAnsi="Book Antiqua"/>
          <w:vertAlign w:val="superscript"/>
        </w:rPr>
        <w:t>[</w:t>
      </w:r>
      <w:r>
        <w:rPr>
          <w:rFonts w:ascii="Book Antiqua" w:hAnsi="Book Antiqua"/>
          <w:bCs/>
          <w:vertAlign w:val="superscript"/>
        </w:rPr>
        <w:t>37]</w:t>
      </w:r>
      <w:r>
        <w:rPr>
          <w:rFonts w:ascii="Book Antiqua" w:hAnsi="Book Antiqua"/>
          <w:bCs/>
        </w:rPr>
        <w:t>.</w:t>
      </w:r>
      <w:r>
        <w:rPr>
          <w:rFonts w:ascii="Book Antiqua" w:hAnsi="Book Antiqua"/>
        </w:rPr>
        <w:t xml:space="preserve"> However, it is still debatable whether the decrease of LSM and post-DAA HCV eradication are due to the suppression of viral necro-inflammatory activity or regression of liver fibrosis</w:t>
      </w:r>
      <w:r>
        <w:rPr>
          <w:rFonts w:ascii="Book Antiqua" w:hAnsi="Book Antiqua"/>
          <w:vertAlign w:val="superscript"/>
        </w:rPr>
        <w:t>[</w:t>
      </w:r>
      <w:r>
        <w:rPr>
          <w:rFonts w:ascii="Book Antiqua" w:eastAsia="MinionPro-Regular" w:hAnsi="Book Antiqua"/>
          <w:bCs/>
          <w:vertAlign w:val="superscript"/>
        </w:rPr>
        <w:t>38]</w:t>
      </w:r>
      <w:r>
        <w:rPr>
          <w:rFonts w:ascii="Book Antiqua" w:eastAsia="MinionPro-Regular" w:hAnsi="Book Antiqua"/>
          <w:bCs/>
        </w:rPr>
        <w:t>.</w:t>
      </w:r>
      <w:r>
        <w:rPr>
          <w:rFonts w:ascii="Book Antiqua" w:eastAsia="MinionPro-Regular" w:hAnsi="Book Antiqua"/>
        </w:rPr>
        <w:t xml:space="preserve"> </w:t>
      </w:r>
      <w:r>
        <w:rPr>
          <w:rFonts w:ascii="Book Antiqua" w:hAnsi="Book Antiqua"/>
          <w:shd w:val="clear" w:color="auto" w:fill="FFFFFF"/>
        </w:rPr>
        <w:t>It is recommended that</w:t>
      </w:r>
      <w:r>
        <w:rPr>
          <w:rFonts w:ascii="Book Antiqua" w:hAnsi="Book Antiqua"/>
        </w:rPr>
        <w:t xml:space="preserve"> assessing the fibrosis stage after therapy using non-invasive tools should not be endorsed as they are unreliable in this setting</w:t>
      </w:r>
      <w:r>
        <w:rPr>
          <w:rFonts w:ascii="Book Antiqua" w:hAnsi="Book Antiqua"/>
          <w:vertAlign w:val="superscript"/>
        </w:rPr>
        <w:t>[</w:t>
      </w:r>
      <w:r>
        <w:rPr>
          <w:rFonts w:ascii="Book Antiqua" w:hAnsi="Book Antiqua"/>
          <w:bCs/>
          <w:shd w:val="clear" w:color="auto" w:fill="FFFFFF"/>
          <w:vertAlign w:val="superscript"/>
        </w:rPr>
        <w:t>29]</w:t>
      </w:r>
      <w:r>
        <w:rPr>
          <w:rFonts w:ascii="Book Antiqua" w:hAnsi="Book Antiqua"/>
          <w:bCs/>
        </w:rPr>
        <w:t xml:space="preserve">. </w:t>
      </w:r>
    </w:p>
    <w:p w14:paraId="1944B1E1" w14:textId="77777777" w:rsidR="008A6CD8" w:rsidRDefault="008A6CD8">
      <w:pPr>
        <w:autoSpaceDE w:val="0"/>
        <w:autoSpaceDN w:val="0"/>
        <w:adjustRightInd w:val="0"/>
        <w:spacing w:line="360" w:lineRule="auto"/>
        <w:jc w:val="both"/>
        <w:rPr>
          <w:rFonts w:ascii="Book Antiqua" w:hAnsi="Book Antiqua"/>
          <w:shd w:val="clear" w:color="auto" w:fill="FFFFFF"/>
        </w:rPr>
      </w:pPr>
    </w:p>
    <w:p w14:paraId="7B68B4FD" w14:textId="77777777" w:rsidR="008A6CD8" w:rsidRDefault="00477245">
      <w:pPr>
        <w:autoSpaceDE w:val="0"/>
        <w:autoSpaceDN w:val="0"/>
        <w:adjustRightInd w:val="0"/>
        <w:spacing w:line="360" w:lineRule="auto"/>
        <w:jc w:val="both"/>
        <w:rPr>
          <w:rFonts w:ascii="Book Antiqua" w:eastAsia="DejaVuSans" w:hAnsi="Book Antiqua"/>
          <w:b/>
          <w:u w:val="single"/>
        </w:rPr>
      </w:pPr>
      <w:r>
        <w:rPr>
          <w:rFonts w:ascii="Book Antiqua" w:eastAsia="DejaVuSans" w:hAnsi="Book Antiqua"/>
          <w:b/>
          <w:u w:val="single"/>
        </w:rPr>
        <w:t>IMPACT OF DIRECT-ACTING ANTIVIRAL REGIMENS ON HCV INFECTION</w:t>
      </w:r>
    </w:p>
    <w:p w14:paraId="7AF44D36" w14:textId="77777777" w:rsidR="008A6CD8" w:rsidRDefault="00477245">
      <w:pPr>
        <w:autoSpaceDE w:val="0"/>
        <w:autoSpaceDN w:val="0"/>
        <w:adjustRightInd w:val="0"/>
        <w:spacing w:line="360" w:lineRule="auto"/>
        <w:jc w:val="both"/>
        <w:rPr>
          <w:rFonts w:ascii="Book Antiqua" w:hAnsi="Book Antiqua"/>
          <w:shd w:val="clear" w:color="auto" w:fill="FFFFFF"/>
        </w:rPr>
      </w:pPr>
      <w:r>
        <w:rPr>
          <w:rFonts w:ascii="Book Antiqua" w:hAnsi="Book Antiqua"/>
          <w:shd w:val="clear" w:color="auto" w:fill="FFFFFF"/>
        </w:rPr>
        <w:t>Until 2011, pegylated interferon alpha (PEG-IFNα) with ribavirin (RBV) was the standard therapy for HCV infection, with an about 50% SVR</w:t>
      </w:r>
      <w:r>
        <w:rPr>
          <w:rFonts w:ascii="Book Antiqua" w:hAnsi="Book Antiqua"/>
          <w:bCs/>
          <w:vertAlign w:val="superscript"/>
        </w:rPr>
        <w:t>[39]</w:t>
      </w:r>
      <w:r>
        <w:rPr>
          <w:rFonts w:ascii="Book Antiqua" w:hAnsi="Book Antiqua"/>
          <w:bCs/>
          <w:shd w:val="clear" w:color="auto" w:fill="FFFFFF"/>
        </w:rPr>
        <w:t>.</w:t>
      </w:r>
      <w:r>
        <w:rPr>
          <w:rFonts w:ascii="Book Antiqua" w:hAnsi="Book Antiqua"/>
        </w:rPr>
        <w:t xml:space="preserve"> </w:t>
      </w:r>
      <w:r>
        <w:rPr>
          <w:rFonts w:ascii="Book Antiqua" w:hAnsi="Book Antiqua"/>
          <w:shd w:val="clear" w:color="auto" w:fill="FFFFFF"/>
        </w:rPr>
        <w:t>The European Association for the Study of Liver Diseases (EASL)</w:t>
      </w:r>
      <w:r>
        <w:rPr>
          <w:rFonts w:ascii="Book Antiqua" w:hAnsi="Book Antiqua"/>
          <w:shd w:val="clear" w:color="auto" w:fill="FFFFFF"/>
          <w:vertAlign w:val="superscript"/>
        </w:rPr>
        <w:t>[</w:t>
      </w:r>
      <w:r>
        <w:rPr>
          <w:rFonts w:ascii="Book Antiqua" w:hAnsi="Book Antiqua"/>
          <w:bCs/>
          <w:shd w:val="clear" w:color="auto" w:fill="FFFFFF"/>
          <w:vertAlign w:val="superscript"/>
        </w:rPr>
        <w:t>29]</w:t>
      </w:r>
      <w:r>
        <w:rPr>
          <w:rFonts w:ascii="Book Antiqua" w:hAnsi="Book Antiqua"/>
          <w:shd w:val="clear" w:color="auto" w:fill="FFFFFF"/>
        </w:rPr>
        <w:t xml:space="preserve"> recommended that the endpoint of therapy is undetectable HCV RNA either in serum or plasma by an assay with a lower limit of detection</w:t>
      </w:r>
      <w:r>
        <w:rPr>
          <w:rFonts w:ascii="Book Antiqua" w:hAnsi="Book Antiqua"/>
          <w:shd w:val="clear" w:color="auto" w:fill="FFFFFF"/>
          <w:rtl/>
        </w:rPr>
        <w:t xml:space="preserve"> </w:t>
      </w:r>
      <w:r>
        <w:rPr>
          <w:rFonts w:ascii="Book Antiqua" w:hAnsi="Book Antiqua"/>
        </w:rPr>
        <w:t>≤</w:t>
      </w:r>
      <w:r>
        <w:rPr>
          <w:rFonts w:ascii="Book Antiqua" w:hAnsi="Book Antiqua"/>
          <w:shd w:val="clear" w:color="auto" w:fill="FFFFFF"/>
        </w:rPr>
        <w:t xml:space="preserve"> 15</w:t>
      </w:r>
      <w:r>
        <w:rPr>
          <w:rFonts w:ascii="Book Antiqua" w:hAnsi="Book Antiqua"/>
          <w:shd w:val="clear" w:color="auto" w:fill="FFFFFF"/>
          <w:rtl/>
        </w:rPr>
        <w:t xml:space="preserve"> </w:t>
      </w:r>
      <w:r>
        <w:rPr>
          <w:rFonts w:ascii="Book Antiqua" w:hAnsi="Book Antiqua"/>
          <w:shd w:val="clear" w:color="auto" w:fill="FFFFFF"/>
        </w:rPr>
        <w:t>IU/mL, 12 wk (SVR12) or 24 wk (SVR24) after the end of treatment</w:t>
      </w:r>
      <w:r>
        <w:rPr>
          <w:rFonts w:ascii="Book Antiqua" w:hAnsi="Book Antiqua"/>
          <w:shd w:val="clear" w:color="auto" w:fill="FFFFFF"/>
          <w:vertAlign w:val="superscript"/>
        </w:rPr>
        <w:t>[</w:t>
      </w:r>
      <w:r>
        <w:rPr>
          <w:rFonts w:ascii="Book Antiqua" w:hAnsi="Book Antiqua"/>
          <w:bCs/>
          <w:vertAlign w:val="superscript"/>
        </w:rPr>
        <w:t>29]</w:t>
      </w:r>
      <w:r>
        <w:rPr>
          <w:rFonts w:ascii="Book Antiqua" w:hAnsi="Book Antiqua"/>
          <w:bCs/>
        </w:rPr>
        <w:t xml:space="preserve">. </w:t>
      </w:r>
      <w:r>
        <w:rPr>
          <w:rFonts w:ascii="Book Antiqua" w:hAnsi="Book Antiqua"/>
          <w:shd w:val="clear" w:color="auto" w:fill="FFFFFF"/>
        </w:rPr>
        <w:t>In low-resource areas, as an alternative to HCV RNA, HCV antigen (HCV Ag) testing might be useful for diagnosis of active HCV infection and at the end of treatment</w:t>
      </w:r>
      <w:r>
        <w:rPr>
          <w:rFonts w:ascii="Book Antiqua" w:hAnsi="Book Antiqua"/>
          <w:shd w:val="clear" w:color="auto" w:fill="FFFFFF"/>
          <w:vertAlign w:val="superscript"/>
        </w:rPr>
        <w:t>[</w:t>
      </w:r>
      <w:r>
        <w:rPr>
          <w:rFonts w:ascii="Book Antiqua" w:hAnsi="Book Antiqua"/>
          <w:bCs/>
          <w:shd w:val="clear" w:color="auto" w:fill="FFFFFF"/>
          <w:vertAlign w:val="superscript"/>
        </w:rPr>
        <w:t>40]</w:t>
      </w:r>
      <w:r>
        <w:rPr>
          <w:rFonts w:ascii="Book Antiqua" w:hAnsi="Book Antiqua"/>
          <w:bCs/>
          <w:shd w:val="clear" w:color="auto" w:fill="FFFFFF"/>
        </w:rPr>
        <w:t>.</w:t>
      </w:r>
    </w:p>
    <w:p w14:paraId="094301D6" w14:textId="77777777" w:rsidR="008A6CD8" w:rsidRDefault="00477245">
      <w:pPr>
        <w:autoSpaceDE w:val="0"/>
        <w:autoSpaceDN w:val="0"/>
        <w:adjustRightInd w:val="0"/>
        <w:spacing w:line="360" w:lineRule="auto"/>
        <w:ind w:firstLineChars="200" w:firstLine="480"/>
        <w:jc w:val="both"/>
        <w:rPr>
          <w:rFonts w:ascii="Book Antiqua" w:hAnsi="Book Antiqua"/>
          <w:bCs/>
        </w:rPr>
      </w:pPr>
      <w:r>
        <w:rPr>
          <w:rFonts w:ascii="Book Antiqua" w:hAnsi="Book Antiqua"/>
          <w:shd w:val="clear" w:color="auto" w:fill="FFFFFF"/>
        </w:rPr>
        <w:t>The identification of HCV encoded proteins and their function allowed the development of highly effective DAA regimens against the NS3 protease, NS5A, and the NS5B polymerase</w:t>
      </w:r>
      <w:r>
        <w:rPr>
          <w:rFonts w:ascii="Book Antiqua" w:hAnsi="Book Antiqua"/>
          <w:shd w:val="clear" w:color="auto" w:fill="FFFFFF"/>
          <w:vertAlign w:val="superscript"/>
        </w:rPr>
        <w:t>[</w:t>
      </w:r>
      <w:r>
        <w:rPr>
          <w:rFonts w:ascii="Book Antiqua" w:hAnsi="Book Antiqua"/>
          <w:bCs/>
          <w:shd w:val="clear" w:color="auto" w:fill="FFFFFF"/>
          <w:vertAlign w:val="superscript"/>
        </w:rPr>
        <w:t>41]</w:t>
      </w:r>
      <w:r>
        <w:rPr>
          <w:rFonts w:ascii="Book Antiqua" w:hAnsi="Book Antiqua"/>
          <w:bCs/>
          <w:shd w:val="clear" w:color="auto" w:fill="FFFFFF"/>
        </w:rPr>
        <w:t>.</w:t>
      </w:r>
      <w:r>
        <w:rPr>
          <w:rFonts w:ascii="Book Antiqua" w:hAnsi="Book Antiqua"/>
          <w:shd w:val="clear" w:color="auto" w:fill="FFFFFF"/>
        </w:rPr>
        <w:t xml:space="preserve"> </w:t>
      </w:r>
      <w:r>
        <w:rPr>
          <w:rFonts w:ascii="Book Antiqua" w:hAnsi="Book Antiqua"/>
        </w:rPr>
        <w:t>The maximum effectiveness of therapy is obtained when the patients are treated at early stage before advanced liver fibrosis or cirrhosis</w:t>
      </w:r>
      <w:r>
        <w:rPr>
          <w:rFonts w:ascii="Book Antiqua" w:hAnsi="Book Antiqua"/>
          <w:vertAlign w:val="superscript"/>
        </w:rPr>
        <w:t>[</w:t>
      </w:r>
      <w:r>
        <w:rPr>
          <w:rFonts w:ascii="Book Antiqua" w:hAnsi="Book Antiqua"/>
          <w:bCs/>
          <w:vertAlign w:val="superscript"/>
        </w:rPr>
        <w:t>42,43]</w:t>
      </w:r>
      <w:r>
        <w:rPr>
          <w:rFonts w:ascii="Book Antiqua" w:hAnsi="Book Antiqua"/>
          <w:bCs/>
        </w:rPr>
        <w:t xml:space="preserve">. </w:t>
      </w:r>
      <w:r>
        <w:rPr>
          <w:rFonts w:ascii="Book Antiqua" w:hAnsi="Book Antiqua"/>
          <w:shd w:val="clear" w:color="auto" w:fill="FFFFFF"/>
        </w:rPr>
        <w:t>According to the mechanism of action, DAAs can be classified into four different groups: NS3/4A protease inhibitors [Glecaprevir (</w:t>
      </w:r>
      <w:r>
        <w:rPr>
          <w:rFonts w:ascii="Book Antiqua" w:hAnsi="Book Antiqua"/>
        </w:rPr>
        <w:t>GLE)</w:t>
      </w:r>
      <w:r>
        <w:rPr>
          <w:rFonts w:ascii="Book Antiqua" w:hAnsi="Book Antiqua"/>
          <w:shd w:val="clear" w:color="auto" w:fill="FFFFFF"/>
        </w:rPr>
        <w:t xml:space="preserve">, Voxilaprevir (VOX), Grazoprevir, </w:t>
      </w:r>
      <w:r>
        <w:rPr>
          <w:rFonts w:ascii="Book Antiqua" w:hAnsi="Book Antiqua"/>
          <w:shd w:val="clear" w:color="auto" w:fill="FFFFFF"/>
        </w:rPr>
        <w:lastRenderedPageBreak/>
        <w:t>Paritaprevir (PTV), and Simeprevir (</w:t>
      </w:r>
      <w:r>
        <w:rPr>
          <w:rFonts w:ascii="Book Antiqua" w:hAnsi="Book Antiqua"/>
        </w:rPr>
        <w:t>SIM)]</w:t>
      </w:r>
      <w:r>
        <w:rPr>
          <w:rFonts w:ascii="Book Antiqua" w:hAnsi="Book Antiqua"/>
          <w:shd w:val="clear" w:color="auto" w:fill="FFFFFF"/>
        </w:rPr>
        <w:t>, NS5A protein inhibitors</w:t>
      </w:r>
      <w:r>
        <w:rPr>
          <w:rFonts w:ascii="Book Antiqua" w:hAnsi="Book Antiqua"/>
          <w:shd w:val="clear" w:color="auto" w:fill="FFFFFF"/>
          <w:vertAlign w:val="superscript"/>
        </w:rPr>
        <w:t xml:space="preserve"> </w:t>
      </w:r>
      <w:r>
        <w:rPr>
          <w:rFonts w:ascii="Book Antiqua" w:hAnsi="Book Antiqua"/>
          <w:shd w:val="clear" w:color="auto" w:fill="FFFFFF"/>
        </w:rPr>
        <w:t>[Daclatasvir (DCV), Velpatasvir (VEL), Ledipasvir (LDV), Ombitasvir (OBV), Pibrentasvir (PIB), and Elbasvir], NS5B polymerase inhibitor-nucleoside analogue [Sofosbuvir (SOF)], and NS5B polymerase inhibitor-non-nucleoside analogue [Dasabuvir (DSV)]. These drugs are considered pan-genotypic as they achieve a SVR &gt; 85% through all the major HCV genotypes</w:t>
      </w:r>
      <w:r>
        <w:rPr>
          <w:rFonts w:ascii="Book Antiqua" w:hAnsi="Book Antiqua"/>
          <w:shd w:val="clear" w:color="auto" w:fill="FFFFFF"/>
          <w:vertAlign w:val="superscript"/>
        </w:rPr>
        <w:t>[</w:t>
      </w:r>
      <w:r>
        <w:rPr>
          <w:rFonts w:ascii="Book Antiqua" w:hAnsi="Book Antiqua"/>
          <w:bCs/>
          <w:shd w:val="clear" w:color="auto" w:fill="FFFFFF"/>
          <w:vertAlign w:val="superscript"/>
        </w:rPr>
        <w:t>44]</w:t>
      </w:r>
      <w:r>
        <w:rPr>
          <w:rFonts w:ascii="Book Antiqua" w:hAnsi="Book Antiqua"/>
          <w:bCs/>
          <w:shd w:val="clear" w:color="auto" w:fill="FFFFFF"/>
        </w:rPr>
        <w:t>.</w:t>
      </w:r>
      <w:r>
        <w:rPr>
          <w:rFonts w:ascii="Book Antiqua" w:hAnsi="Book Antiqua"/>
          <w:shd w:val="clear" w:color="auto" w:fill="FFFFFF"/>
        </w:rPr>
        <w:t xml:space="preserve"> All DAAs are effective for </w:t>
      </w:r>
      <w:r>
        <w:rPr>
          <w:rFonts w:ascii="Book Antiqua" w:eastAsia="DejaVuSans" w:hAnsi="Book Antiqua"/>
        </w:rPr>
        <w:t xml:space="preserve">genotype 1 and 4 and SOF for genotype 2. While for genotype </w:t>
      </w:r>
      <w:r>
        <w:rPr>
          <w:rFonts w:ascii="Book Antiqua" w:hAnsi="Book Antiqua"/>
          <w:shd w:val="clear" w:color="auto" w:fill="FFFFFF"/>
        </w:rPr>
        <w:t xml:space="preserve">3, SOF, DCV, and LDV are effective. For genotypes 5 and 6, a combination of two regimens (VEL/SOF and asunaprevir (ASV)/DCV/beclabuvir) is indicated. </w:t>
      </w:r>
      <w:r>
        <w:rPr>
          <w:rFonts w:ascii="Book Antiqua" w:hAnsi="Book Antiqua"/>
        </w:rPr>
        <w:t>A review for 28 randomized clinical trials, enrolling more than 7000 HCV naïve patients, revealed that DAA regimens for 12 wk significantly increased SVR12 and SVR24 compared to placebo and HCV cure was achieved in about 90.5% of patients. DAAs were well tolerated with no increase in serious adverse effects</w:t>
      </w:r>
      <w:r>
        <w:rPr>
          <w:rFonts w:ascii="Book Antiqua" w:hAnsi="Book Antiqua"/>
          <w:bCs/>
          <w:vertAlign w:val="superscript"/>
        </w:rPr>
        <w:t>[39]</w:t>
      </w:r>
      <w:r>
        <w:rPr>
          <w:rFonts w:ascii="Book Antiqua" w:hAnsi="Book Antiqua"/>
          <w:bCs/>
        </w:rPr>
        <w:t>.</w:t>
      </w:r>
    </w:p>
    <w:p w14:paraId="6AAA33E6" w14:textId="77777777" w:rsidR="008A6CD8" w:rsidRDefault="00477245">
      <w:pPr>
        <w:autoSpaceDE w:val="0"/>
        <w:autoSpaceDN w:val="0"/>
        <w:adjustRightInd w:val="0"/>
        <w:spacing w:line="360" w:lineRule="auto"/>
        <w:ind w:firstLineChars="200" w:firstLine="480"/>
        <w:jc w:val="both"/>
        <w:rPr>
          <w:rFonts w:ascii="Book Antiqua" w:hAnsi="Book Antiqua"/>
          <w:bCs/>
          <w:shd w:val="clear" w:color="auto" w:fill="FFFFFF"/>
        </w:rPr>
      </w:pPr>
      <w:r>
        <w:rPr>
          <w:rFonts w:ascii="Book Antiqua" w:hAnsi="Book Antiqua"/>
          <w:shd w:val="clear" w:color="auto" w:fill="FFFFFF"/>
        </w:rPr>
        <w:t>DAAs are recommended for both naïve patients as well as those who failed to achieve SVR after prior treatment</w:t>
      </w:r>
      <w:r>
        <w:rPr>
          <w:rFonts w:ascii="Book Antiqua" w:hAnsi="Book Antiqua"/>
          <w:shd w:val="clear" w:color="auto" w:fill="FFFFFF"/>
          <w:rtl/>
        </w:rPr>
        <w:t>.</w:t>
      </w:r>
      <w:r>
        <w:rPr>
          <w:rFonts w:ascii="Book Antiqua" w:hAnsi="Book Antiqua"/>
          <w:shd w:val="clear" w:color="auto" w:fill="FFFFFF"/>
        </w:rPr>
        <w:t xml:space="preserve"> In addition, treatment is recommended for patients with advanced fibrosis or cirrhosis, including decompensated cirrhosis. Guidelines for the global standard treatment established SOF + VEL or GLE/PIB as the first recommended drug regimen for naïve patients, irrespective to HCV genotype or the presence of compensated liver cirrhosis</w:t>
      </w:r>
      <w:r>
        <w:rPr>
          <w:rFonts w:ascii="Book Antiqua" w:hAnsi="Book Antiqua"/>
          <w:shd w:val="clear" w:color="auto" w:fill="FFFFFF"/>
          <w:vertAlign w:val="superscript"/>
        </w:rPr>
        <w:t>[</w:t>
      </w:r>
      <w:r>
        <w:rPr>
          <w:rFonts w:ascii="Book Antiqua" w:hAnsi="Book Antiqua"/>
          <w:bCs/>
          <w:shd w:val="clear" w:color="auto" w:fill="FFFFFF"/>
          <w:vertAlign w:val="superscript"/>
        </w:rPr>
        <w:t>29,45]</w:t>
      </w:r>
      <w:r>
        <w:rPr>
          <w:rFonts w:ascii="Book Antiqua" w:hAnsi="Book Antiqua"/>
          <w:bCs/>
          <w:shd w:val="clear" w:color="auto" w:fill="FFFFFF"/>
        </w:rPr>
        <w:t>.</w:t>
      </w:r>
      <w:r>
        <w:rPr>
          <w:rFonts w:ascii="Book Antiqua" w:hAnsi="Book Antiqua"/>
          <w:shd w:val="clear" w:color="auto" w:fill="FFFFFF"/>
        </w:rPr>
        <w:t xml:space="preserve"> Moreover, lifelong monitoring for HCC is recommended for patients with advanced fibrosis and cirrhosis, even with SVR, as DAAs decrease, but does not eliminate the risk of HCC</w:t>
      </w:r>
      <w:r>
        <w:rPr>
          <w:rFonts w:ascii="Book Antiqua" w:hAnsi="Book Antiqua"/>
          <w:shd w:val="clear" w:color="auto" w:fill="FFFFFF"/>
          <w:vertAlign w:val="superscript"/>
        </w:rPr>
        <w:t>[</w:t>
      </w:r>
      <w:r>
        <w:rPr>
          <w:rFonts w:ascii="Book Antiqua" w:hAnsi="Book Antiqua"/>
          <w:bCs/>
          <w:shd w:val="clear" w:color="auto" w:fill="FFFFFF"/>
          <w:vertAlign w:val="superscript"/>
        </w:rPr>
        <w:t>29,46]</w:t>
      </w:r>
      <w:r>
        <w:rPr>
          <w:rFonts w:ascii="Book Antiqua" w:hAnsi="Book Antiqua"/>
          <w:bCs/>
          <w:shd w:val="clear" w:color="auto" w:fill="FFFFFF"/>
        </w:rPr>
        <w:t>.</w:t>
      </w:r>
      <w:r>
        <w:rPr>
          <w:rFonts w:ascii="Book Antiqua" w:hAnsi="Book Antiqua"/>
          <w:shd w:val="clear" w:color="auto" w:fill="FFFFFF"/>
        </w:rPr>
        <w:t xml:space="preserve"> In a multicenter cohort study involving 868 HCV patients with liver cirrhosis treated with DAA regimens, SVR was attained at 90% in Child-Pugh A patients and 81% in Child-Pugh B/C patients. Within a median</w:t>
      </w:r>
      <w:r>
        <w:rPr>
          <w:rFonts w:ascii="Book Antiqua" w:hAnsi="Book Antiqua"/>
        </w:rPr>
        <w:t xml:space="preserve"> period of 28 months follow-up, 14% of patients with Child-Pugh A and 64% of those with Child-Pugh B/C developed disease progression</w:t>
      </w:r>
      <w:r>
        <w:rPr>
          <w:rFonts w:ascii="Book Antiqua" w:hAnsi="Book Antiqua"/>
          <w:vertAlign w:val="superscript"/>
        </w:rPr>
        <w:t>[</w:t>
      </w:r>
      <w:r>
        <w:rPr>
          <w:rFonts w:ascii="Book Antiqua" w:hAnsi="Book Antiqua"/>
          <w:bCs/>
          <w:shd w:val="clear" w:color="auto" w:fill="FFFFFF"/>
          <w:vertAlign w:val="superscript"/>
        </w:rPr>
        <w:t>47]</w:t>
      </w:r>
      <w:r>
        <w:rPr>
          <w:rFonts w:ascii="Book Antiqua" w:hAnsi="Book Antiqua"/>
          <w:bCs/>
        </w:rPr>
        <w:t>.</w:t>
      </w:r>
      <w:r>
        <w:rPr>
          <w:rFonts w:ascii="Book Antiqua" w:hAnsi="Book Antiqua"/>
        </w:rPr>
        <w:t xml:space="preserve"> The use of protease inhibitors is contraindicated in patients with decompensated cirrhosis or with prior episodes of decompensation. These inhibitors carry a substantially higher drug exposure and risk of toxicity due to their hepatic metabolization</w:t>
      </w:r>
      <w:r>
        <w:rPr>
          <w:rFonts w:ascii="Book Antiqua" w:hAnsi="Book Antiqua"/>
          <w:vertAlign w:val="superscript"/>
        </w:rPr>
        <w:t>[</w:t>
      </w:r>
      <w:r>
        <w:rPr>
          <w:rFonts w:ascii="Book Antiqua" w:hAnsi="Book Antiqua"/>
          <w:bCs/>
          <w:vertAlign w:val="superscript"/>
        </w:rPr>
        <w:t>48]</w:t>
      </w:r>
      <w:r>
        <w:rPr>
          <w:rFonts w:ascii="Book Antiqua" w:hAnsi="Book Antiqua"/>
          <w:bCs/>
        </w:rPr>
        <w:t>.</w:t>
      </w:r>
      <w:r>
        <w:rPr>
          <w:rFonts w:ascii="Book Antiqua" w:hAnsi="Book Antiqua"/>
        </w:rPr>
        <w:t xml:space="preserve"> Thus, the fixed-dose combination of SOF and VEL is the treatment of choice for patients with decompensated (Child-Pugh B or C) cirrhosis or with compensated (Child-Pugh A) cirrhosis with prior </w:t>
      </w:r>
      <w:r>
        <w:rPr>
          <w:rFonts w:ascii="Book Antiqua" w:hAnsi="Book Antiqua"/>
        </w:rPr>
        <w:lastRenderedPageBreak/>
        <w:t>episodes of decompensation</w:t>
      </w:r>
      <w:r>
        <w:rPr>
          <w:rFonts w:ascii="Book Antiqua" w:hAnsi="Book Antiqua"/>
          <w:vertAlign w:val="superscript"/>
        </w:rPr>
        <w:t>[</w:t>
      </w:r>
      <w:r>
        <w:rPr>
          <w:rFonts w:ascii="Book Antiqua" w:hAnsi="Book Antiqua"/>
          <w:bCs/>
          <w:shd w:val="clear" w:color="auto" w:fill="FFFFFF"/>
          <w:vertAlign w:val="superscript"/>
        </w:rPr>
        <w:t>29]</w:t>
      </w:r>
      <w:r>
        <w:rPr>
          <w:rFonts w:ascii="Book Antiqua" w:hAnsi="Book Antiqua"/>
          <w:bCs/>
          <w:shd w:val="clear" w:color="auto" w:fill="FFFFFF"/>
        </w:rPr>
        <w:t>.</w:t>
      </w:r>
      <w:r>
        <w:rPr>
          <w:rFonts w:ascii="Book Antiqua" w:hAnsi="Book Antiqua"/>
          <w:shd w:val="clear" w:color="auto" w:fill="FFFFFF"/>
        </w:rPr>
        <w:t xml:space="preserve"> </w:t>
      </w:r>
      <w:r>
        <w:rPr>
          <w:rFonts w:ascii="Book Antiqua" w:hAnsi="Book Antiqua"/>
          <w:bCs/>
        </w:rPr>
        <w:t>Tables 2</w:t>
      </w:r>
      <w:r>
        <w:rPr>
          <w:rFonts w:ascii="Book Antiqua" w:hAnsi="Book Antiqua"/>
        </w:rPr>
        <w:t xml:space="preserve"> summarizes the current </w:t>
      </w:r>
      <w:bookmarkStart w:id="2" w:name="_Hlk99389389"/>
      <w:r>
        <w:rPr>
          <w:rFonts w:ascii="Book Antiqua" w:hAnsi="Book Antiqua"/>
        </w:rPr>
        <w:t>recommended DAA regimens for treating HCV infection</w:t>
      </w:r>
      <w:bookmarkEnd w:id="2"/>
      <w:r>
        <w:rPr>
          <w:rFonts w:ascii="Book Antiqua" w:hAnsi="Book Antiqua"/>
        </w:rPr>
        <w:t xml:space="preserve"> according to AASL/ADSA 2021</w:t>
      </w:r>
      <w:r>
        <w:rPr>
          <w:rFonts w:ascii="Book Antiqua" w:hAnsi="Book Antiqua"/>
          <w:vertAlign w:val="superscript"/>
        </w:rPr>
        <w:t>[</w:t>
      </w:r>
      <w:r>
        <w:rPr>
          <w:rFonts w:ascii="Book Antiqua" w:hAnsi="Book Antiqua"/>
          <w:bCs/>
          <w:shd w:val="clear" w:color="auto" w:fill="FFFFFF"/>
          <w:vertAlign w:val="superscript"/>
        </w:rPr>
        <w:t>30]</w:t>
      </w:r>
      <w:r>
        <w:rPr>
          <w:rFonts w:ascii="Book Antiqua" w:hAnsi="Book Antiqua"/>
          <w:bCs/>
          <w:shd w:val="clear" w:color="auto" w:fill="FFFFFF"/>
        </w:rPr>
        <w:t>.</w:t>
      </w:r>
    </w:p>
    <w:p w14:paraId="1E95F17F" w14:textId="77777777" w:rsidR="008A6CD8" w:rsidRDefault="008A6CD8">
      <w:pPr>
        <w:spacing w:line="360" w:lineRule="auto"/>
        <w:jc w:val="both"/>
        <w:rPr>
          <w:rFonts w:ascii="Book Antiqua" w:hAnsi="Book Antiqua"/>
        </w:rPr>
      </w:pPr>
    </w:p>
    <w:p w14:paraId="795E6109" w14:textId="77777777" w:rsidR="008A6CD8" w:rsidRDefault="00477245">
      <w:pPr>
        <w:autoSpaceDE w:val="0"/>
        <w:autoSpaceDN w:val="0"/>
        <w:adjustRightInd w:val="0"/>
        <w:spacing w:line="360" w:lineRule="auto"/>
        <w:jc w:val="both"/>
        <w:rPr>
          <w:rFonts w:ascii="Book Antiqua" w:eastAsia="DejaVuSans" w:hAnsi="Book Antiqua"/>
          <w:b/>
          <w:i/>
          <w:iCs/>
        </w:rPr>
      </w:pPr>
      <w:r>
        <w:rPr>
          <w:rFonts w:ascii="Book Antiqua" w:eastAsia="DejaVuSans" w:hAnsi="Book Antiqua"/>
          <w:b/>
          <w:i/>
          <w:iCs/>
        </w:rPr>
        <w:t>Direct-acting antiviral treatment failure and retreatment</w:t>
      </w:r>
    </w:p>
    <w:p w14:paraId="34BD968C"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rPr>
        <w:t>Risk factors for DAA failure include males with advanced liver fibrosis/cirrhosis, the presence of resistance-associated substitutions (RAS) in the region targeted by the received DAAs,</w:t>
      </w:r>
      <w:r>
        <w:rPr>
          <w:rFonts w:ascii="Book Antiqua" w:hAnsi="Book Antiqua"/>
          <w:shd w:val="clear" w:color="auto" w:fill="FFFFFF"/>
        </w:rPr>
        <w:t xml:space="preserve"> and</w:t>
      </w:r>
      <w:r>
        <w:rPr>
          <w:rFonts w:ascii="Book Antiqua" w:hAnsi="Book Antiqua"/>
        </w:rPr>
        <w:t xml:space="preserve"> </w:t>
      </w:r>
      <w:r>
        <w:rPr>
          <w:rFonts w:ascii="Book Antiqua" w:hAnsi="Book Antiqua"/>
          <w:shd w:val="clear" w:color="auto" w:fill="FFFFFF"/>
        </w:rPr>
        <w:t>inadequacy of treatment</w:t>
      </w:r>
      <w:r>
        <w:rPr>
          <w:rFonts w:ascii="Book Antiqua" w:hAnsi="Book Antiqua"/>
        </w:rPr>
        <w:t>.</w:t>
      </w:r>
      <w:r>
        <w:rPr>
          <w:rFonts w:ascii="Book Antiqua" w:eastAsia="MinionPro-Regular" w:hAnsi="Book Antiqua"/>
        </w:rPr>
        <w:t xml:space="preserve"> </w:t>
      </w:r>
      <w:r>
        <w:rPr>
          <w:rFonts w:ascii="Book Antiqua" w:hAnsi="Book Antiqua"/>
          <w:shd w:val="clear" w:color="auto" w:fill="FFFFFF"/>
        </w:rPr>
        <w:t xml:space="preserve">RAS linked to the </w:t>
      </w:r>
      <w:r>
        <w:rPr>
          <w:rFonts w:ascii="Book Antiqua" w:hAnsi="Book Antiqua"/>
          <w:i/>
          <w:shd w:val="clear" w:color="auto" w:fill="FFFFFF"/>
        </w:rPr>
        <w:t>NS5A</w:t>
      </w:r>
      <w:r>
        <w:rPr>
          <w:rFonts w:ascii="Book Antiqua" w:hAnsi="Book Antiqua"/>
          <w:shd w:val="clear" w:color="auto" w:fill="FFFFFF"/>
        </w:rPr>
        <w:t xml:space="preserve"> gene are present at higher levels and persist for longer duration than those linked to the </w:t>
      </w:r>
      <w:r>
        <w:rPr>
          <w:rFonts w:ascii="Book Antiqua" w:hAnsi="Book Antiqua"/>
          <w:i/>
          <w:shd w:val="clear" w:color="auto" w:fill="FFFFFF"/>
        </w:rPr>
        <w:t>NS3/4</w:t>
      </w:r>
      <w:r>
        <w:rPr>
          <w:rFonts w:ascii="Book Antiqua" w:hAnsi="Book Antiqua"/>
          <w:shd w:val="clear" w:color="auto" w:fill="FFFFFF"/>
        </w:rPr>
        <w:t xml:space="preserve"> gene</w:t>
      </w:r>
      <w:r>
        <w:rPr>
          <w:rFonts w:ascii="Book Antiqua" w:hAnsi="Book Antiqua"/>
          <w:vertAlign w:val="superscript"/>
        </w:rPr>
        <w:t>[</w:t>
      </w:r>
      <w:r>
        <w:rPr>
          <w:rFonts w:ascii="Book Antiqua" w:hAnsi="Book Antiqua"/>
          <w:bCs/>
          <w:vertAlign w:val="superscript"/>
        </w:rPr>
        <w:t>49]</w:t>
      </w:r>
      <w:r>
        <w:rPr>
          <w:rFonts w:ascii="Book Antiqua" w:hAnsi="Book Antiqua"/>
          <w:bCs/>
        </w:rPr>
        <w:t>.</w:t>
      </w:r>
      <w:r>
        <w:rPr>
          <w:rFonts w:ascii="Book Antiqua" w:eastAsia="MinionPro-Regular" w:hAnsi="Book Antiqua"/>
        </w:rPr>
        <w:t xml:space="preserve"> </w:t>
      </w:r>
      <w:r>
        <w:rPr>
          <w:rFonts w:ascii="Book Antiqua" w:hAnsi="Book Antiqua"/>
          <w:shd w:val="clear" w:color="auto" w:fill="FFFFFF"/>
        </w:rPr>
        <w:t>The naturally occurring RAS do not affect treatment efficacy, as they are present in a minority of circulating HCV virions. RAS resulting from treatment are present in the majority of the circulating HCV quasispecies, which decrease the efficacy of re-treatment with the same DAA class</w:t>
      </w:r>
      <w:r>
        <w:rPr>
          <w:rFonts w:ascii="Book Antiqua" w:hAnsi="Book Antiqua"/>
          <w:shd w:val="clear" w:color="auto" w:fill="FFFFFF"/>
          <w:vertAlign w:val="superscript"/>
        </w:rPr>
        <w:t>[</w:t>
      </w:r>
      <w:r>
        <w:rPr>
          <w:rFonts w:ascii="Book Antiqua" w:hAnsi="Book Antiqua"/>
          <w:bCs/>
          <w:shd w:val="clear" w:color="auto" w:fill="FFFFFF"/>
          <w:vertAlign w:val="superscript"/>
        </w:rPr>
        <w:t>50]</w:t>
      </w:r>
      <w:r>
        <w:rPr>
          <w:rFonts w:ascii="Book Antiqua" w:hAnsi="Book Antiqua"/>
          <w:bCs/>
          <w:shd w:val="clear" w:color="auto" w:fill="FFFFFF"/>
        </w:rPr>
        <w:t xml:space="preserve">. </w:t>
      </w:r>
      <w:r>
        <w:rPr>
          <w:rFonts w:ascii="Book Antiqua" w:hAnsi="Book Antiqua"/>
          <w:shd w:val="clear" w:color="auto" w:fill="FFFFFF"/>
        </w:rPr>
        <w:t>For DAA regimens involving LDV/SOF and DCV/SOF, the identification of baseline RASs for HCV genotype, such as 1a, is recommended to decide the treatment duration or if RBV addition is needed</w:t>
      </w:r>
      <w:r>
        <w:rPr>
          <w:rFonts w:ascii="Book Antiqua" w:hAnsi="Book Antiqua"/>
          <w:shd w:val="clear" w:color="auto" w:fill="FFFFFF"/>
          <w:vertAlign w:val="superscript"/>
        </w:rPr>
        <w:t>[</w:t>
      </w:r>
      <w:r>
        <w:rPr>
          <w:rFonts w:ascii="Book Antiqua" w:hAnsi="Book Antiqua"/>
          <w:bCs/>
          <w:shd w:val="clear" w:color="auto" w:fill="FFFFFF"/>
          <w:vertAlign w:val="superscript"/>
        </w:rPr>
        <w:t>51]</w:t>
      </w:r>
      <w:r>
        <w:rPr>
          <w:rFonts w:ascii="Book Antiqua" w:hAnsi="Book Antiqua"/>
          <w:bCs/>
          <w:shd w:val="clear" w:color="auto" w:fill="FFFFFF"/>
        </w:rPr>
        <w:t>.</w:t>
      </w:r>
      <w:r>
        <w:rPr>
          <w:rFonts w:ascii="Book Antiqua" w:hAnsi="Book Antiqua"/>
          <w:shd w:val="clear" w:color="auto" w:fill="FFFFFF"/>
        </w:rPr>
        <w:t xml:space="preserve"> Eventually, the adverse impact of baseline RAS could be decreased by increasing duration of treatment or optimizing DAA regimens. However, a considerable percent of treatment failures is triggered by RAS acquired during therapy</w:t>
      </w:r>
      <w:r>
        <w:rPr>
          <w:rFonts w:ascii="Book Antiqua" w:hAnsi="Book Antiqua"/>
          <w:shd w:val="clear" w:color="auto" w:fill="FFFFFF"/>
          <w:vertAlign w:val="superscript"/>
        </w:rPr>
        <w:t>[</w:t>
      </w:r>
      <w:r>
        <w:rPr>
          <w:rFonts w:ascii="Book Antiqua" w:hAnsi="Book Antiqua"/>
          <w:bCs/>
          <w:vertAlign w:val="superscript"/>
        </w:rPr>
        <w:t>49]</w:t>
      </w:r>
      <w:r>
        <w:rPr>
          <w:rFonts w:ascii="Book Antiqua" w:hAnsi="Book Antiqua"/>
          <w:bCs/>
        </w:rPr>
        <w:t>.</w:t>
      </w:r>
      <w:r>
        <w:rPr>
          <w:rFonts w:ascii="Book Antiqua" w:hAnsi="Book Antiqua"/>
        </w:rPr>
        <w:t xml:space="preserve"> </w:t>
      </w:r>
      <w:r>
        <w:rPr>
          <w:rFonts w:ascii="Book Antiqua" w:hAnsi="Book Antiqua"/>
          <w:shd w:val="clear" w:color="auto" w:fill="FFFFFF"/>
        </w:rPr>
        <w:t xml:space="preserve">This may be related to the relatively low barrier to resistance of the NS5A region and the high genetic barrier of SOF. </w:t>
      </w:r>
      <w:bookmarkStart w:id="3" w:name="bbib0014"/>
      <w:r>
        <w:rPr>
          <w:rFonts w:ascii="Book Antiqua" w:hAnsi="Book Antiqua"/>
          <w:shd w:val="clear" w:color="auto" w:fill="FFFFFF"/>
        </w:rPr>
        <w:t>Moreover, the third-generation NS3 inhibitors are expected to have intermediate genetic barrier in HCV genotypes 1a and 1b and very high in non-1 genotypes</w:t>
      </w:r>
      <w:r>
        <w:rPr>
          <w:rFonts w:ascii="Book Antiqua" w:hAnsi="Book Antiqua"/>
          <w:vertAlign w:val="superscript"/>
        </w:rPr>
        <w:t>[</w:t>
      </w:r>
      <w:bookmarkStart w:id="4" w:name="bbib0013"/>
      <w:r>
        <w:rPr>
          <w:rFonts w:ascii="Book Antiqua" w:hAnsi="Book Antiqua"/>
          <w:bCs/>
          <w:vertAlign w:val="superscript"/>
        </w:rPr>
        <w:t>52]</w:t>
      </w:r>
      <w:bookmarkEnd w:id="3"/>
      <w:bookmarkEnd w:id="4"/>
      <w:r>
        <w:rPr>
          <w:rFonts w:ascii="Book Antiqua" w:hAnsi="Book Antiqua"/>
          <w:bCs/>
        </w:rPr>
        <w:t>.</w:t>
      </w:r>
      <w:r>
        <w:rPr>
          <w:rFonts w:ascii="Book Antiqua" w:hAnsi="Book Antiqua"/>
        </w:rPr>
        <w:t xml:space="preserve"> </w:t>
      </w:r>
      <w:r>
        <w:rPr>
          <w:rFonts w:ascii="Book Antiqua" w:hAnsi="Book Antiqua"/>
          <w:shd w:val="clear" w:color="auto" w:fill="FFFFFF"/>
        </w:rPr>
        <w:t>A meta-analysis on 6500 HCV infected patients, reported reduced effectiveness of GLE/PIB in HCV genotype 3 with baseline RAS like A30K, Y93H, and P53del. Testing RAS for genotype 3 HCV infection is mandatory to improve the prognosis of treatment outcome and selection of therapy</w:t>
      </w:r>
      <w:r>
        <w:rPr>
          <w:rFonts w:ascii="Book Antiqua" w:hAnsi="Book Antiqua"/>
          <w:vertAlign w:val="superscript"/>
        </w:rPr>
        <w:t>[</w:t>
      </w:r>
      <w:r>
        <w:rPr>
          <w:rFonts w:ascii="Book Antiqua" w:hAnsi="Book Antiqua"/>
          <w:bCs/>
          <w:vertAlign w:val="superscript"/>
        </w:rPr>
        <w:t>53]</w:t>
      </w:r>
      <w:r>
        <w:rPr>
          <w:rFonts w:ascii="Book Antiqua" w:hAnsi="Book Antiqua"/>
          <w:bCs/>
        </w:rPr>
        <w:t>.</w:t>
      </w:r>
    </w:p>
    <w:p w14:paraId="6845517F" w14:textId="77777777" w:rsidR="008A6CD8" w:rsidRDefault="00477245">
      <w:pPr>
        <w:autoSpaceDE w:val="0"/>
        <w:autoSpaceDN w:val="0"/>
        <w:adjustRightInd w:val="0"/>
        <w:spacing w:line="360" w:lineRule="auto"/>
        <w:ind w:firstLineChars="200" w:firstLine="480"/>
        <w:jc w:val="both"/>
        <w:rPr>
          <w:rFonts w:ascii="Book Antiqua" w:hAnsi="Book Antiqua"/>
          <w:bCs/>
        </w:rPr>
      </w:pPr>
      <w:r>
        <w:rPr>
          <w:rFonts w:ascii="Book Antiqua" w:hAnsi="Book Antiqua"/>
          <w:shd w:val="clear" w:color="auto" w:fill="FFFFFF"/>
        </w:rPr>
        <w:t xml:space="preserve">Baseline RAS were only identified in the </w:t>
      </w:r>
      <w:r>
        <w:rPr>
          <w:rFonts w:ascii="Book Antiqua" w:hAnsi="Book Antiqua"/>
          <w:i/>
          <w:shd w:val="clear" w:color="auto" w:fill="FFFFFF"/>
        </w:rPr>
        <w:t>NS5A</w:t>
      </w:r>
      <w:r>
        <w:rPr>
          <w:rFonts w:ascii="Book Antiqua" w:hAnsi="Book Antiqua"/>
          <w:shd w:val="clear" w:color="auto" w:fill="FFFFFF"/>
        </w:rPr>
        <w:t xml:space="preserve"> region in Iranian patients with HCV genotypes 1a and 3a with no RAS in the </w:t>
      </w:r>
      <w:r>
        <w:rPr>
          <w:rFonts w:ascii="Book Antiqua" w:hAnsi="Book Antiqua"/>
          <w:i/>
          <w:shd w:val="clear" w:color="auto" w:fill="FFFFFF"/>
        </w:rPr>
        <w:t>NS5B</w:t>
      </w:r>
      <w:r>
        <w:rPr>
          <w:rFonts w:ascii="Book Antiqua" w:hAnsi="Book Antiqua"/>
          <w:shd w:val="clear" w:color="auto" w:fill="FFFFFF"/>
        </w:rPr>
        <w:t xml:space="preserve"> region</w:t>
      </w:r>
      <w:r>
        <w:rPr>
          <w:rFonts w:ascii="Book Antiqua" w:hAnsi="Book Antiqua"/>
          <w:shd w:val="clear" w:color="auto" w:fill="FFFFFF"/>
          <w:vertAlign w:val="superscript"/>
        </w:rPr>
        <w:t>[</w:t>
      </w:r>
      <w:r>
        <w:rPr>
          <w:rFonts w:ascii="Book Antiqua" w:hAnsi="Book Antiqua"/>
          <w:bCs/>
          <w:shd w:val="clear" w:color="auto" w:fill="FFFFFF"/>
          <w:vertAlign w:val="superscript"/>
        </w:rPr>
        <w:t>54]</w:t>
      </w:r>
      <w:r>
        <w:rPr>
          <w:rFonts w:ascii="Book Antiqua" w:hAnsi="Book Antiqua"/>
          <w:bCs/>
          <w:shd w:val="clear" w:color="auto" w:fill="FFFFFF"/>
        </w:rPr>
        <w:t>.</w:t>
      </w:r>
      <w:r>
        <w:rPr>
          <w:rFonts w:ascii="Book Antiqua" w:hAnsi="Book Antiqua"/>
          <w:shd w:val="clear" w:color="auto" w:fill="FFFFFF"/>
        </w:rPr>
        <w:t xml:space="preserve"> Among 539 Italian HCV genotype 3 patients (417 DAA-naïve and 135 DAA-failed), Sanger sequencing of </w:t>
      </w:r>
      <w:r>
        <w:rPr>
          <w:rFonts w:ascii="Book Antiqua" w:hAnsi="Book Antiqua"/>
          <w:i/>
          <w:shd w:val="clear" w:color="auto" w:fill="FFFFFF"/>
        </w:rPr>
        <w:t>NS3/NS5A/NS5B</w:t>
      </w:r>
      <w:r>
        <w:rPr>
          <w:rFonts w:ascii="Book Antiqua" w:hAnsi="Book Antiqua"/>
          <w:shd w:val="clear" w:color="auto" w:fill="FFFFFF"/>
        </w:rPr>
        <w:t xml:space="preserve"> at baseline samples showed a higher prevalence of </w:t>
      </w:r>
      <w:r>
        <w:rPr>
          <w:rFonts w:ascii="Book Antiqua" w:hAnsi="Book Antiqua"/>
          <w:i/>
          <w:shd w:val="clear" w:color="auto" w:fill="FFFFFF"/>
        </w:rPr>
        <w:t>NS5A</w:t>
      </w:r>
      <w:r>
        <w:rPr>
          <w:rFonts w:ascii="Book Antiqua" w:hAnsi="Book Antiqua"/>
          <w:shd w:val="clear" w:color="auto" w:fill="FFFFFF"/>
        </w:rPr>
        <w:t xml:space="preserve"> RAS in DAA-failed (5/13, 38.5%) </w:t>
      </w:r>
      <w:r>
        <w:rPr>
          <w:rFonts w:ascii="Book Antiqua" w:hAnsi="Book Antiqua"/>
          <w:i/>
          <w:shd w:val="clear" w:color="auto" w:fill="FFFFFF"/>
        </w:rPr>
        <w:t>vs</w:t>
      </w:r>
      <w:r>
        <w:rPr>
          <w:rFonts w:ascii="Book Antiqua" w:hAnsi="Book Antiqua"/>
          <w:shd w:val="clear" w:color="auto" w:fill="FFFFFF"/>
        </w:rPr>
        <w:t xml:space="preserve"> DAA-naïve (61/393, 15.5%, P = 0.04) patients. The presence of baseline Y93H and/or A30K was associated with SVR rate of 72.2% </w:t>
      </w:r>
      <w:r>
        <w:rPr>
          <w:rFonts w:ascii="Book Antiqua" w:hAnsi="Book Antiqua"/>
          <w:i/>
          <w:shd w:val="clear" w:color="auto" w:fill="FFFFFF"/>
        </w:rPr>
        <w:t>vs</w:t>
      </w:r>
      <w:r>
        <w:rPr>
          <w:rFonts w:ascii="Book Antiqua" w:hAnsi="Book Antiqua"/>
          <w:shd w:val="clear" w:color="auto" w:fill="FFFFFF"/>
        </w:rPr>
        <w:t xml:space="preserve"> 95.7% among </w:t>
      </w:r>
      <w:r>
        <w:rPr>
          <w:rFonts w:ascii="Book Antiqua" w:hAnsi="Book Antiqua"/>
          <w:shd w:val="clear" w:color="auto" w:fill="FFFFFF"/>
        </w:rPr>
        <w:lastRenderedPageBreak/>
        <w:t xml:space="preserve">patients without </w:t>
      </w:r>
      <w:r>
        <w:rPr>
          <w:rFonts w:ascii="Book Antiqua" w:hAnsi="Book Antiqua"/>
          <w:i/>
          <w:shd w:val="clear" w:color="auto" w:fill="FFFFFF"/>
        </w:rPr>
        <w:t>NS5A</w:t>
      </w:r>
      <w:r>
        <w:rPr>
          <w:rFonts w:ascii="Book Antiqua" w:hAnsi="Book Antiqua"/>
          <w:shd w:val="clear" w:color="auto" w:fill="FFFFFF"/>
        </w:rPr>
        <w:t xml:space="preserve"> RAS (P = 0.002). </w:t>
      </w:r>
      <w:r>
        <w:rPr>
          <w:rFonts w:ascii="Book Antiqua" w:hAnsi="Book Antiqua"/>
        </w:rPr>
        <w:t>Chen</w:t>
      </w:r>
      <w:r>
        <w:rPr>
          <w:rFonts w:ascii="Book Antiqua" w:hAnsi="Book Antiqua"/>
          <w:i/>
        </w:rPr>
        <w:t xml:space="preserve"> et al</w:t>
      </w:r>
      <w:r>
        <w:rPr>
          <w:rFonts w:ascii="Book Antiqua" w:hAnsi="Book Antiqua"/>
        </w:rPr>
        <w:t xml:space="preserve"> and Pisaturo</w:t>
      </w:r>
      <w:r>
        <w:rPr>
          <w:rFonts w:ascii="Book Antiqua" w:hAnsi="Book Antiqua"/>
          <w:i/>
        </w:rPr>
        <w:t xml:space="preserve"> et al</w:t>
      </w:r>
      <w:r>
        <w:rPr>
          <w:rFonts w:ascii="Book Antiqua" w:hAnsi="Book Antiqua"/>
          <w:vertAlign w:val="superscript"/>
        </w:rPr>
        <w:t>[</w:t>
      </w:r>
      <w:r>
        <w:rPr>
          <w:rFonts w:ascii="Book Antiqua" w:hAnsi="Book Antiqua"/>
          <w:bCs/>
          <w:vertAlign w:val="superscript"/>
        </w:rPr>
        <w:t>52,55]</w:t>
      </w:r>
      <w:r>
        <w:rPr>
          <w:rFonts w:ascii="Book Antiqua" w:hAnsi="Book Antiqua"/>
        </w:rPr>
        <w:t xml:space="preserve"> reported at least one RAS among over 85% out of the studied 220 HCV </w:t>
      </w:r>
      <w:r>
        <w:rPr>
          <w:rFonts w:ascii="Book Antiqua" w:hAnsi="Book Antiqua"/>
          <w:shd w:val="clear" w:color="auto" w:fill="FFFFFF"/>
        </w:rPr>
        <w:t>naïve</w:t>
      </w:r>
      <w:r>
        <w:rPr>
          <w:rFonts w:ascii="Book Antiqua" w:hAnsi="Book Antiqua"/>
        </w:rPr>
        <w:t xml:space="preserve"> patients with DAA-based treatment. However, according to the recommendation of international guidelines, massive testing for RAS detection before starting DAA</w:t>
      </w:r>
      <w:r>
        <w:rPr>
          <w:rFonts w:ascii="Book Antiqua" w:hAnsi="Book Antiqua"/>
          <w:strike/>
        </w:rPr>
        <w:t>s</w:t>
      </w:r>
      <w:r>
        <w:rPr>
          <w:rFonts w:ascii="Book Antiqua" w:hAnsi="Book Antiqua"/>
        </w:rPr>
        <w:t xml:space="preserve"> treatment is not needed, with some exceptions</w:t>
      </w:r>
      <w:r>
        <w:rPr>
          <w:rFonts w:ascii="Book Antiqua" w:hAnsi="Book Antiqua"/>
          <w:vertAlign w:val="superscript"/>
        </w:rPr>
        <w:t>[</w:t>
      </w:r>
      <w:r>
        <w:rPr>
          <w:rFonts w:ascii="Book Antiqua" w:hAnsi="Book Antiqua"/>
          <w:bCs/>
          <w:vertAlign w:val="superscript"/>
        </w:rPr>
        <w:t>29,45]</w:t>
      </w:r>
      <w:r>
        <w:rPr>
          <w:rFonts w:ascii="Book Antiqua" w:hAnsi="Book Antiqua"/>
          <w:bCs/>
        </w:rPr>
        <w:t>.</w:t>
      </w:r>
      <w:r>
        <w:rPr>
          <w:rFonts w:ascii="Book Antiqua" w:hAnsi="Book Antiqua"/>
        </w:rPr>
        <w:t xml:space="preserve"> RAS testing before treatment is recommended for HCV genotype 3 infected patients with liver cirrhosis, as those without a baseline Y93H RAS in </w:t>
      </w:r>
      <w:r>
        <w:rPr>
          <w:rFonts w:ascii="Book Antiqua" w:hAnsi="Book Antiqua"/>
          <w:i/>
        </w:rPr>
        <w:t>NS5A</w:t>
      </w:r>
      <w:r>
        <w:rPr>
          <w:rFonts w:ascii="Book Antiqua" w:hAnsi="Book Antiqua"/>
        </w:rPr>
        <w:t xml:space="preserve"> are eligible for SOF/VEL therapy. While, those with baseline Y93H RAS could be treated with SOF/VEL/VOX or SOF/VEL plus RBV</w:t>
      </w:r>
      <w:r>
        <w:rPr>
          <w:rFonts w:ascii="Book Antiqua" w:hAnsi="Book Antiqua"/>
          <w:vertAlign w:val="superscript"/>
        </w:rPr>
        <w:t>[</w:t>
      </w:r>
      <w:r>
        <w:rPr>
          <w:rFonts w:ascii="Book Antiqua" w:hAnsi="Book Antiqua"/>
          <w:bCs/>
          <w:vertAlign w:val="superscript"/>
        </w:rPr>
        <w:t>45]</w:t>
      </w:r>
      <w:r>
        <w:rPr>
          <w:rFonts w:ascii="Book Antiqua" w:hAnsi="Book Antiqua"/>
          <w:bCs/>
        </w:rPr>
        <w:t>.</w:t>
      </w:r>
      <w:r>
        <w:rPr>
          <w:rFonts w:ascii="Book Antiqua" w:hAnsi="Book Antiqua"/>
        </w:rPr>
        <w:t xml:space="preserve"> However, according to EASL guidelines, the same therapeutic regimen should be used to all compensated cirrhotic patients regardless of viral genotype</w:t>
      </w:r>
      <w:r>
        <w:rPr>
          <w:rFonts w:ascii="Book Antiqua" w:hAnsi="Book Antiqua"/>
          <w:vertAlign w:val="superscript"/>
        </w:rPr>
        <w:t>[</w:t>
      </w:r>
      <w:r>
        <w:rPr>
          <w:rFonts w:ascii="Book Antiqua" w:hAnsi="Book Antiqua"/>
          <w:bCs/>
          <w:vertAlign w:val="superscript"/>
        </w:rPr>
        <w:t>29]</w:t>
      </w:r>
      <w:r>
        <w:rPr>
          <w:rFonts w:ascii="Book Antiqua" w:hAnsi="Book Antiqua"/>
          <w:bCs/>
        </w:rPr>
        <w:t>.</w:t>
      </w:r>
      <w:r>
        <w:rPr>
          <w:rFonts w:ascii="Book Antiqua" w:hAnsi="Book Antiqua"/>
        </w:rPr>
        <w:t xml:space="preserve"> Currently, the US Food and Drug Administration (FDA) and European Medical Agency (EMA) approved two types of DAA regimens, SOF/VEL/VOX and GLE/PIB, to treat patients with previous experience of DAAs failure</w:t>
      </w:r>
      <w:r>
        <w:rPr>
          <w:rFonts w:ascii="Book Antiqua" w:hAnsi="Book Antiqua"/>
          <w:vertAlign w:val="superscript"/>
        </w:rPr>
        <w:t>[</w:t>
      </w:r>
      <w:bookmarkStart w:id="5" w:name="bbib9"/>
      <w:r>
        <w:rPr>
          <w:rFonts w:ascii="Book Antiqua" w:hAnsi="Book Antiqua"/>
          <w:bCs/>
          <w:vertAlign w:val="superscript"/>
        </w:rPr>
        <w:t>36,46-48]</w:t>
      </w:r>
      <w:r>
        <w:rPr>
          <w:rFonts w:ascii="Book Antiqua" w:hAnsi="Book Antiqua"/>
          <w:bCs/>
        </w:rPr>
        <w:t>.</w:t>
      </w:r>
      <w:bookmarkEnd w:id="5"/>
      <w:r>
        <w:rPr>
          <w:rFonts w:ascii="Book Antiqua" w:hAnsi="Book Antiqua"/>
        </w:rPr>
        <w:t xml:space="preserve"> The effectiveness of the regimen SOF/VEL/VOX plus or minus RBV for 12 wk among patients with DAA failure revealed that SVR at 12 wk ranged from 91% to 100%.</w:t>
      </w:r>
      <w:bookmarkStart w:id="6" w:name="bbib11"/>
      <w:r>
        <w:rPr>
          <w:rFonts w:ascii="Book Antiqua" w:hAnsi="Book Antiqua"/>
        </w:rPr>
        <w:t xml:space="preserve"> Most patients tolerated retreatment well</w:t>
      </w:r>
      <w:r>
        <w:rPr>
          <w:rFonts w:ascii="Book Antiqua" w:hAnsi="Book Antiqua"/>
          <w:vertAlign w:val="superscript"/>
        </w:rPr>
        <w:t>[</w:t>
      </w:r>
      <w:bookmarkEnd w:id="6"/>
      <w:r>
        <w:rPr>
          <w:rFonts w:ascii="Book Antiqua" w:hAnsi="Book Antiqua"/>
          <w:bCs/>
          <w:vertAlign w:val="superscript"/>
        </w:rPr>
        <w:t>58]</w:t>
      </w:r>
      <w:r>
        <w:rPr>
          <w:rFonts w:ascii="Book Antiqua" w:hAnsi="Book Antiqua"/>
          <w:bCs/>
        </w:rPr>
        <w:t>.</w:t>
      </w:r>
    </w:p>
    <w:p w14:paraId="465470C5" w14:textId="77777777" w:rsidR="008A6CD8" w:rsidRDefault="008A6CD8">
      <w:pPr>
        <w:autoSpaceDE w:val="0"/>
        <w:autoSpaceDN w:val="0"/>
        <w:adjustRightInd w:val="0"/>
        <w:spacing w:line="360" w:lineRule="auto"/>
        <w:jc w:val="both"/>
        <w:rPr>
          <w:rFonts w:ascii="Book Antiqua" w:hAnsi="Book Antiqua"/>
          <w:bCs/>
        </w:rPr>
      </w:pPr>
    </w:p>
    <w:p w14:paraId="3077042B" w14:textId="77777777" w:rsidR="008A6CD8" w:rsidRDefault="00477245">
      <w:pPr>
        <w:autoSpaceDE w:val="0"/>
        <w:autoSpaceDN w:val="0"/>
        <w:adjustRightInd w:val="0"/>
        <w:spacing w:line="360" w:lineRule="auto"/>
        <w:jc w:val="both"/>
        <w:rPr>
          <w:rFonts w:ascii="Book Antiqua" w:eastAsia="DejaVuSans" w:hAnsi="Book Antiqua"/>
          <w:b/>
          <w:i/>
          <w:iCs/>
        </w:rPr>
      </w:pPr>
      <w:r>
        <w:rPr>
          <w:rFonts w:ascii="Book Antiqua" w:eastAsia="DejaVuSans" w:hAnsi="Book Antiqua"/>
          <w:b/>
          <w:i/>
          <w:iCs/>
        </w:rPr>
        <w:t>Direct-acting antivirals and hepatocellular carcinoma</w:t>
      </w:r>
    </w:p>
    <w:p w14:paraId="60E7ADDA"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rPr>
        <w:t xml:space="preserve">The impact of DAAs on the development of HCC is controversial. </w:t>
      </w:r>
      <w:r>
        <w:rPr>
          <w:rFonts w:ascii="Book Antiqua" w:hAnsi="Book Antiqua"/>
          <w:shd w:val="clear" w:color="auto" w:fill="FFFFFF"/>
        </w:rPr>
        <w:t>Meanwhile, it should be noted that in all studies, the risk of HCC remained even after successful HCV treatment. A meta-analysis study revealed that, the incidence rate for a new HCC was 3.3% (95% confidence interval: 1.2-9%) per year after DAA</w:t>
      </w:r>
      <w:r>
        <w:rPr>
          <w:rFonts w:ascii="Book Antiqua" w:hAnsi="Book Antiqua"/>
        </w:rPr>
        <w:t xml:space="preserve"> treatment</w:t>
      </w:r>
      <w:r>
        <w:rPr>
          <w:rFonts w:ascii="Book Antiqua" w:hAnsi="Book Antiqua"/>
          <w:vertAlign w:val="superscript"/>
        </w:rPr>
        <w:t>[</w:t>
      </w:r>
      <w:r>
        <w:rPr>
          <w:rFonts w:ascii="Book Antiqua" w:hAnsi="Book Antiqua"/>
          <w:bCs/>
          <w:vertAlign w:val="superscript"/>
        </w:rPr>
        <w:t>57]</w:t>
      </w:r>
      <w:r>
        <w:rPr>
          <w:rFonts w:ascii="Book Antiqua" w:hAnsi="Book Antiqua"/>
          <w:bCs/>
        </w:rPr>
        <w:t>.</w:t>
      </w:r>
      <w:r>
        <w:rPr>
          <w:rFonts w:ascii="Book Antiqua" w:hAnsi="Book Antiqua"/>
          <w:shd w:val="clear" w:color="auto" w:fill="FFFFFF"/>
        </w:rPr>
        <w:t xml:space="preserve"> Some studies reported that, the risk of </w:t>
      </w:r>
      <w:r>
        <w:rPr>
          <w:rFonts w:ascii="Book Antiqua" w:hAnsi="Book Antiqua"/>
          <w:i/>
          <w:shd w:val="clear" w:color="auto" w:fill="FFFFFF"/>
        </w:rPr>
        <w:t>de novo</w:t>
      </w:r>
      <w:r>
        <w:rPr>
          <w:rFonts w:ascii="Book Antiqua" w:hAnsi="Book Antiqua"/>
          <w:shd w:val="clear" w:color="auto" w:fill="FFFFFF"/>
        </w:rPr>
        <w:t xml:space="preserve"> HCC after DAA therapy was reduced, while other studies noted a much higher HCC risk mainly within the first year after DAA therapy than later</w:t>
      </w:r>
      <w:r>
        <w:rPr>
          <w:rFonts w:ascii="Book Antiqua" w:hAnsi="Book Antiqua"/>
          <w:vertAlign w:val="superscript"/>
        </w:rPr>
        <w:t>[</w:t>
      </w:r>
      <w:r>
        <w:rPr>
          <w:rFonts w:ascii="Book Antiqua" w:hAnsi="Book Antiqua"/>
          <w:bCs/>
          <w:vertAlign w:val="superscript"/>
        </w:rPr>
        <w:t>58,59]</w:t>
      </w:r>
      <w:r>
        <w:rPr>
          <w:rFonts w:ascii="Book Antiqua" w:hAnsi="Book Antiqua"/>
          <w:bCs/>
          <w:shd w:val="clear" w:color="auto" w:fill="FFFFFF"/>
        </w:rPr>
        <w:t xml:space="preserve">. </w:t>
      </w:r>
      <w:r>
        <w:rPr>
          <w:rFonts w:ascii="Book Antiqua" w:hAnsi="Book Antiqua"/>
        </w:rPr>
        <w:t>A retrospective cohort study was carried out on 243 consecutive HCV patients who received PEG-IFN/RBV and were followed for a median of 9.3 years, and 263 HCV patients who received DAA treatment and were followed for a median of 4.1 years. It revealed that a considerably increased hazard was associated with DAA treatment</w:t>
      </w:r>
      <w:r>
        <w:rPr>
          <w:rFonts w:ascii="Book Antiqua" w:hAnsi="Book Antiqua"/>
          <w:vertAlign w:val="superscript"/>
        </w:rPr>
        <w:t>[</w:t>
      </w:r>
      <w:r>
        <w:rPr>
          <w:rFonts w:ascii="Book Antiqua" w:hAnsi="Book Antiqua"/>
          <w:bCs/>
          <w:vertAlign w:val="superscript"/>
        </w:rPr>
        <w:t>60]</w:t>
      </w:r>
      <w:r>
        <w:rPr>
          <w:rFonts w:ascii="Book Antiqua" w:hAnsi="Book Antiqua"/>
          <w:bCs/>
        </w:rPr>
        <w:t>.</w:t>
      </w:r>
      <w:r>
        <w:rPr>
          <w:rFonts w:ascii="Book Antiqua" w:hAnsi="Book Antiqua"/>
        </w:rPr>
        <w:t xml:space="preserve"> A French study conducted on 1270 HCV patients revealed that, the differences of the occurrence of HCC after IFN and DAA regimens could be explained by </w:t>
      </w:r>
      <w:r>
        <w:rPr>
          <w:rFonts w:ascii="Book Antiqua" w:hAnsi="Book Antiqua"/>
        </w:rPr>
        <w:lastRenderedPageBreak/>
        <w:t xml:space="preserve">the higher prevalence of Child-Pugh class B, portal hypertension, and diabetes among DAA-treated patients </w:t>
      </w:r>
      <w:r>
        <w:rPr>
          <w:rFonts w:ascii="Book Antiqua" w:hAnsi="Book Antiqua"/>
          <w:i/>
        </w:rPr>
        <w:t>vs</w:t>
      </w:r>
      <w:r>
        <w:rPr>
          <w:rFonts w:ascii="Book Antiqua" w:hAnsi="Book Antiqua"/>
        </w:rPr>
        <w:t xml:space="preserve"> IFN-induced SVR patients. A time-dependent Cox model weighted by inverse probability of treatment was used to overcome selection bias. This model shows that DAAs were not significantly associated with an increase in the risk of HCC occurrence (P = 0.73), nor with a more aggressive pattern of presentation</w:t>
      </w:r>
      <w:r>
        <w:rPr>
          <w:rFonts w:ascii="Book Antiqua" w:hAnsi="Book Antiqua"/>
          <w:vertAlign w:val="superscript"/>
        </w:rPr>
        <w:t>[</w:t>
      </w:r>
      <w:r>
        <w:rPr>
          <w:rFonts w:ascii="Book Antiqua" w:hAnsi="Book Antiqua"/>
          <w:bCs/>
          <w:vertAlign w:val="superscript"/>
        </w:rPr>
        <w:t>61]</w:t>
      </w:r>
      <w:r>
        <w:rPr>
          <w:rFonts w:ascii="Book Antiqua" w:hAnsi="Book Antiqua"/>
          <w:bCs/>
        </w:rPr>
        <w:t>.</w:t>
      </w:r>
    </w:p>
    <w:p w14:paraId="330561EF" w14:textId="77777777" w:rsidR="008A6CD8" w:rsidRDefault="00477245">
      <w:pPr>
        <w:autoSpaceDE w:val="0"/>
        <w:autoSpaceDN w:val="0"/>
        <w:adjustRightInd w:val="0"/>
        <w:spacing w:line="360" w:lineRule="auto"/>
        <w:ind w:firstLineChars="200" w:firstLine="480"/>
        <w:jc w:val="both"/>
        <w:rPr>
          <w:rFonts w:ascii="Book Antiqua" w:eastAsia="MinionPro-Regular" w:hAnsi="Book Antiqua"/>
          <w:bCs/>
        </w:rPr>
      </w:pPr>
      <w:r>
        <w:rPr>
          <w:rFonts w:ascii="Book Antiqua" w:hAnsi="Book Antiqua"/>
        </w:rPr>
        <w:t xml:space="preserve">The higher rate of HCC after DAA therapy may be </w:t>
      </w:r>
      <w:r>
        <w:rPr>
          <w:rFonts w:ascii="Book Antiqua" w:eastAsia="MinionPro-Regular" w:hAnsi="Book Antiqua"/>
        </w:rPr>
        <w:t>because they are the drugs of choice for treating old patients and those with liver cirrhosis and end-stage liver disease as IFN was not indicated to treat such patients</w:t>
      </w:r>
      <w:r>
        <w:rPr>
          <w:rFonts w:ascii="Book Antiqua" w:eastAsia="MinionPro-Regular" w:hAnsi="Book Antiqua"/>
          <w:vertAlign w:val="superscript"/>
        </w:rPr>
        <w:t>[</w:t>
      </w:r>
      <w:r>
        <w:rPr>
          <w:rFonts w:ascii="Book Antiqua" w:hAnsi="Book Antiqua"/>
          <w:bCs/>
          <w:vertAlign w:val="superscript"/>
        </w:rPr>
        <w:t>62]</w:t>
      </w:r>
      <w:r>
        <w:rPr>
          <w:rFonts w:ascii="Book Antiqua" w:hAnsi="Book Antiqua"/>
          <w:bCs/>
        </w:rPr>
        <w:t>.</w:t>
      </w:r>
      <w:r>
        <w:rPr>
          <w:rFonts w:ascii="Book Antiqua" w:hAnsi="Book Antiqua"/>
        </w:rPr>
        <w:t xml:space="preserve"> </w:t>
      </w:r>
      <w:r>
        <w:rPr>
          <w:rFonts w:ascii="Book Antiqua" w:hAnsi="Book Antiqua"/>
          <w:shd w:val="clear" w:color="auto" w:fill="FFFFFF"/>
        </w:rPr>
        <w:t>The possible clarification of the elevated incidence of HCC after the start of DAA therapy, might be the change in the growth of pre-existing subclinical and undetectable HCC upon DAA treatment</w:t>
      </w:r>
      <w:r>
        <w:rPr>
          <w:rFonts w:ascii="Book Antiqua" w:hAnsi="Book Antiqua"/>
          <w:vertAlign w:val="superscript"/>
        </w:rPr>
        <w:t>[</w:t>
      </w:r>
      <w:r>
        <w:rPr>
          <w:rFonts w:ascii="Book Antiqua" w:hAnsi="Book Antiqua"/>
          <w:bCs/>
          <w:vertAlign w:val="superscript"/>
        </w:rPr>
        <w:t>60]</w:t>
      </w:r>
      <w:r>
        <w:rPr>
          <w:rFonts w:ascii="Book Antiqua" w:hAnsi="Book Antiqua"/>
          <w:bCs/>
        </w:rPr>
        <w:t>.</w:t>
      </w:r>
      <w:r>
        <w:rPr>
          <w:rFonts w:ascii="Book Antiqua" w:hAnsi="Book Antiqua"/>
          <w:shd w:val="clear" w:color="auto" w:fill="FFFFFF"/>
        </w:rPr>
        <w:t xml:space="preserve"> A high HCC risk after DAA treatment was also reported, especially in individuals with uncharacterized liver nodules</w:t>
      </w:r>
      <w:r>
        <w:rPr>
          <w:rFonts w:ascii="Book Antiqua" w:hAnsi="Book Antiqua"/>
          <w:shd w:val="clear" w:color="auto" w:fill="FFFFFF"/>
          <w:vertAlign w:val="superscript"/>
        </w:rPr>
        <w:t>[</w:t>
      </w:r>
      <w:r>
        <w:rPr>
          <w:rFonts w:ascii="Book Antiqua" w:hAnsi="Book Antiqua"/>
          <w:bCs/>
          <w:shd w:val="clear" w:color="auto" w:fill="FFFFFF"/>
          <w:vertAlign w:val="superscript"/>
        </w:rPr>
        <w:t>63]</w:t>
      </w:r>
      <w:r>
        <w:rPr>
          <w:rFonts w:ascii="Book Antiqua" w:hAnsi="Book Antiqua"/>
          <w:bCs/>
          <w:shd w:val="clear" w:color="auto" w:fill="FFFFFF"/>
        </w:rPr>
        <w:t>.</w:t>
      </w:r>
      <w:r>
        <w:rPr>
          <w:rFonts w:ascii="Book Antiqua" w:hAnsi="Book Antiqua"/>
          <w:shd w:val="clear" w:color="auto" w:fill="FFFFFF"/>
        </w:rPr>
        <w:t xml:space="preserve"> Owusu Sekyere</w:t>
      </w:r>
      <w:r>
        <w:rPr>
          <w:rFonts w:ascii="Book Antiqua" w:hAnsi="Book Antiqua"/>
          <w:i/>
          <w:shd w:val="clear" w:color="auto" w:fill="FFFFFF"/>
        </w:rPr>
        <w:t xml:space="preserve"> et al</w:t>
      </w:r>
      <w:r>
        <w:rPr>
          <w:rFonts w:ascii="Book Antiqua" w:hAnsi="Book Antiqua" w:cs="Segoe UI"/>
          <w:bCs/>
          <w:shd w:val="clear" w:color="auto" w:fill="FFFFFF"/>
          <w:vertAlign w:val="superscript"/>
        </w:rPr>
        <w:t>[</w:t>
      </w:r>
      <w:r>
        <w:rPr>
          <w:rStyle w:val="mixed-citation"/>
          <w:rFonts w:ascii="Book Antiqua" w:hAnsi="Book Antiqua"/>
          <w:bCs/>
          <w:vertAlign w:val="superscript"/>
        </w:rPr>
        <w:t>64]</w:t>
      </w:r>
      <w:r>
        <w:rPr>
          <w:rStyle w:val="mixed-citation"/>
          <w:rFonts w:ascii="Book Antiqua" w:hAnsi="Book Antiqua"/>
          <w:bCs/>
        </w:rPr>
        <w:t xml:space="preserve"> </w:t>
      </w:r>
      <w:r>
        <w:rPr>
          <w:rStyle w:val="mixed-citation"/>
          <w:rFonts w:ascii="Book Antiqua" w:hAnsi="Book Antiqua"/>
        </w:rPr>
        <w:t>detected</w:t>
      </w:r>
      <w:r>
        <w:rPr>
          <w:rStyle w:val="mixed-citation"/>
          <w:rFonts w:ascii="Book Antiqua" w:hAnsi="Book Antiqua"/>
          <w:bCs/>
        </w:rPr>
        <w:t xml:space="preserve"> </w:t>
      </w:r>
      <w:r>
        <w:rPr>
          <w:rFonts w:ascii="Book Antiqua" w:hAnsi="Book Antiqua"/>
          <w:shd w:val="clear" w:color="auto" w:fill="FFFFFF"/>
        </w:rPr>
        <w:t xml:space="preserve">a reduced HCC specific tumor response upon DAA-induced HCV clearance. In HCV patients who subsequently developed HCC, the T cell-dependent immune response was much weaker, indicating their important role in inhibiting tumor growth. DAA therapy for HCV was associated with a weakening of the strength of HCC-specific CD8+ but not CD4+ T cell responses in cirrhotic patients </w:t>
      </w:r>
      <w:r>
        <w:rPr>
          <w:rFonts w:ascii="Book Antiqua" w:hAnsi="Book Antiqua"/>
          <w:i/>
          <w:shd w:val="clear" w:color="auto" w:fill="FFFFFF"/>
        </w:rPr>
        <w:t>in vitro</w:t>
      </w:r>
      <w:r>
        <w:rPr>
          <w:rFonts w:ascii="Book Antiqua" w:hAnsi="Book Antiqua"/>
          <w:shd w:val="clear" w:color="auto" w:fill="FFFFFF"/>
        </w:rPr>
        <w:t>. Moreover, a mechanism like cellular behavior after eradication of HCV by DAA therapy may increase the HCC growths as detected in early test models</w:t>
      </w:r>
      <w:r>
        <w:rPr>
          <w:rFonts w:ascii="Book Antiqua" w:hAnsi="Book Antiqua"/>
          <w:shd w:val="clear" w:color="auto" w:fill="FFFFFF"/>
          <w:vertAlign w:val="superscript"/>
        </w:rPr>
        <w:t>[</w:t>
      </w:r>
      <w:r>
        <w:rPr>
          <w:rFonts w:ascii="Book Antiqua" w:hAnsi="Book Antiqua"/>
          <w:bCs/>
          <w:shd w:val="clear" w:color="auto" w:fill="FFFFFF"/>
          <w:vertAlign w:val="superscript"/>
        </w:rPr>
        <w:t>59]</w:t>
      </w:r>
      <w:r>
        <w:rPr>
          <w:rFonts w:ascii="Book Antiqua" w:hAnsi="Book Antiqua"/>
          <w:bCs/>
          <w:shd w:val="clear" w:color="auto" w:fill="FFFFFF"/>
        </w:rPr>
        <w:t>.</w:t>
      </w:r>
      <w:r>
        <w:rPr>
          <w:rFonts w:ascii="Book Antiqua" w:hAnsi="Book Antiqua"/>
          <w:shd w:val="clear" w:color="auto" w:fill="FFFFFF"/>
        </w:rPr>
        <w:t xml:space="preserve"> Recently, Lu</w:t>
      </w:r>
      <w:r>
        <w:rPr>
          <w:rFonts w:ascii="Book Antiqua" w:hAnsi="Book Antiqua"/>
          <w:i/>
          <w:shd w:val="clear" w:color="auto" w:fill="FFFFFF"/>
        </w:rPr>
        <w:t xml:space="preserve"> et al</w:t>
      </w:r>
      <w:r>
        <w:rPr>
          <w:rFonts w:ascii="Book Antiqua" w:hAnsi="Book Antiqua"/>
          <w:shd w:val="clear" w:color="auto" w:fill="FFFFFF"/>
          <w:vertAlign w:val="superscript"/>
        </w:rPr>
        <w:t>[</w:t>
      </w:r>
      <w:r>
        <w:rPr>
          <w:rFonts w:ascii="Book Antiqua" w:hAnsi="Book Antiqua"/>
          <w:bCs/>
          <w:shd w:val="clear" w:color="auto" w:fill="FFFFFF"/>
          <w:vertAlign w:val="superscript"/>
        </w:rPr>
        <w:t>65]</w:t>
      </w:r>
      <w:r>
        <w:rPr>
          <w:rFonts w:ascii="Book Antiqua" w:hAnsi="Book Antiqua"/>
          <w:shd w:val="clear" w:color="auto" w:fill="FFFFFF"/>
          <w:vertAlign w:val="superscript"/>
        </w:rPr>
        <w:t xml:space="preserve"> </w:t>
      </w:r>
      <w:r>
        <w:rPr>
          <w:rFonts w:ascii="Book Antiqua" w:hAnsi="Book Antiqua"/>
          <w:shd w:val="clear" w:color="auto" w:fill="FFFFFF"/>
        </w:rPr>
        <w:t xml:space="preserve">concluded that the down-regulation of </w:t>
      </w:r>
      <w:r>
        <w:rPr>
          <w:rFonts w:ascii="Book Antiqua" w:hAnsi="Book Antiqua"/>
        </w:rPr>
        <w:t xml:space="preserve">tumor necrosis factor α (TNF-α) </w:t>
      </w:r>
      <w:r>
        <w:rPr>
          <w:rFonts w:ascii="Book Antiqua" w:hAnsi="Book Antiqua"/>
          <w:shd w:val="clear" w:color="auto" w:fill="FFFFFF"/>
        </w:rPr>
        <w:t>after successful DAA therapy increases the risk of HCC and the inhibition of TNF-α might attenuate the host immune surveillance against tumor cells. These findings might provide a clue for the pathogenesis of HCC and a strategy for HCC surveillance based on risk stratification. In Egypt, HCC was found to be significantly aggressive in HCV patients treated with DAAs, especially among those with an elevated neutrophil to lymphocyte ratio (</w:t>
      </w:r>
      <w:r>
        <w:rPr>
          <w:rFonts w:ascii="Book Antiqua" w:hAnsi="Book Antiqua"/>
          <w:i/>
          <w:iCs/>
          <w:shd w:val="clear" w:color="auto" w:fill="FFFFFF"/>
        </w:rPr>
        <w:t>P</w:t>
      </w:r>
      <w:r>
        <w:rPr>
          <w:rFonts w:ascii="Book Antiqua" w:hAnsi="Book Antiqua"/>
          <w:shd w:val="clear" w:color="auto" w:fill="FFFFFF"/>
        </w:rPr>
        <w:t xml:space="preserve"> = 0.012)</w:t>
      </w:r>
      <w:r>
        <w:rPr>
          <w:rFonts w:ascii="Book Antiqua" w:hAnsi="Book Antiqua"/>
          <w:shd w:val="clear" w:color="auto" w:fill="FFFFFF"/>
          <w:vertAlign w:val="superscript"/>
        </w:rPr>
        <w:t>[</w:t>
      </w:r>
      <w:r>
        <w:rPr>
          <w:rFonts w:ascii="Book Antiqua" w:hAnsi="Book Antiqua"/>
          <w:bCs/>
          <w:vertAlign w:val="superscript"/>
        </w:rPr>
        <w:t>66]</w:t>
      </w:r>
      <w:r>
        <w:rPr>
          <w:rFonts w:ascii="Book Antiqua" w:hAnsi="Book Antiqua"/>
          <w:bCs/>
          <w:shd w:val="clear" w:color="auto" w:fill="FFFFFF"/>
        </w:rPr>
        <w:t>.</w:t>
      </w:r>
      <w:r>
        <w:rPr>
          <w:rFonts w:ascii="Book Antiqua" w:hAnsi="Book Antiqua"/>
          <w:shd w:val="clear" w:color="auto" w:fill="FFFFFF"/>
        </w:rPr>
        <w:t xml:space="preserve"> It is recommended to screen for HCV every 6 </w:t>
      </w:r>
      <w:r>
        <w:rPr>
          <w:rFonts w:ascii="Book Antiqua" w:hAnsi="Book Antiqua"/>
        </w:rPr>
        <w:t xml:space="preserve">months for cases with cirrhosis and </w:t>
      </w:r>
      <w:r>
        <w:rPr>
          <w:rFonts w:ascii="Book Antiqua" w:hAnsi="Book Antiqua"/>
          <w:shd w:val="clear" w:color="auto" w:fill="FFFFFF"/>
        </w:rPr>
        <w:t>every</w:t>
      </w:r>
      <w:r>
        <w:rPr>
          <w:rFonts w:ascii="Book Antiqua" w:hAnsi="Book Antiqua"/>
        </w:rPr>
        <w:t xml:space="preserve"> 12 months for those without cirrhosis after</w:t>
      </w:r>
      <w:r>
        <w:rPr>
          <w:rFonts w:ascii="Book Antiqua" w:hAnsi="Book Antiqua"/>
          <w:shd w:val="clear" w:color="auto" w:fill="FFFFFF"/>
        </w:rPr>
        <w:t xml:space="preserve"> </w:t>
      </w:r>
      <w:r>
        <w:rPr>
          <w:rFonts w:ascii="Book Antiqua" w:hAnsi="Book Antiqua"/>
        </w:rPr>
        <w:t>DAA</w:t>
      </w:r>
      <w:r>
        <w:rPr>
          <w:rFonts w:ascii="Book Antiqua" w:hAnsi="Book Antiqua"/>
          <w:shd w:val="clear" w:color="auto" w:fill="FFFFFF"/>
        </w:rPr>
        <w:t xml:space="preserve"> </w:t>
      </w:r>
      <w:r>
        <w:rPr>
          <w:rFonts w:ascii="Book Antiqua" w:hAnsi="Book Antiqua"/>
        </w:rPr>
        <w:t>therapy</w:t>
      </w:r>
      <w:r>
        <w:rPr>
          <w:rFonts w:ascii="Book Antiqua" w:hAnsi="Book Antiqua"/>
          <w:vertAlign w:val="superscript"/>
        </w:rPr>
        <w:t>[</w:t>
      </w:r>
      <w:r>
        <w:rPr>
          <w:rFonts w:ascii="Book Antiqua" w:hAnsi="Book Antiqua"/>
          <w:bCs/>
          <w:vertAlign w:val="superscript"/>
        </w:rPr>
        <w:t>45]</w:t>
      </w:r>
      <w:r>
        <w:rPr>
          <w:rFonts w:ascii="Book Antiqua" w:hAnsi="Book Antiqua"/>
          <w:bCs/>
        </w:rPr>
        <w:t>.</w:t>
      </w:r>
    </w:p>
    <w:p w14:paraId="708ACA37" w14:textId="77777777" w:rsidR="008A6CD8" w:rsidRDefault="00477245">
      <w:pPr>
        <w:spacing w:line="360" w:lineRule="auto"/>
        <w:ind w:firstLineChars="200" w:firstLine="480"/>
        <w:jc w:val="both"/>
        <w:rPr>
          <w:rFonts w:ascii="Book Antiqua" w:hAnsi="Book Antiqua"/>
          <w:shd w:val="clear" w:color="auto" w:fill="FFFFFF"/>
        </w:rPr>
      </w:pPr>
      <w:r>
        <w:rPr>
          <w:rFonts w:ascii="Book Antiqua" w:hAnsi="Book Antiqua"/>
        </w:rPr>
        <w:t>DAAs appear safe for patients with a history of treated HCC and are not associated with an increased risk for cancer recurrence except for cases with</w:t>
      </w:r>
      <w:r>
        <w:rPr>
          <w:rFonts w:ascii="Book Antiqua" w:hAnsi="Book Antiqua"/>
          <w:shd w:val="clear" w:color="auto" w:fill="FFFFFF"/>
        </w:rPr>
        <w:t xml:space="preserve"> vascular invasion,</w:t>
      </w:r>
      <w:r>
        <w:rPr>
          <w:rFonts w:ascii="Book Antiqua" w:hAnsi="Book Antiqua"/>
        </w:rPr>
        <w:t xml:space="preserve"> where</w:t>
      </w:r>
      <w:r>
        <w:rPr>
          <w:rFonts w:ascii="Book Antiqua" w:hAnsi="Book Antiqua"/>
          <w:shd w:val="clear" w:color="auto" w:fill="FFFFFF"/>
        </w:rPr>
        <w:t xml:space="preserve"> aggressive HCC recurrence</w:t>
      </w:r>
      <w:r>
        <w:rPr>
          <w:rFonts w:ascii="Book Antiqua" w:hAnsi="Book Antiqua"/>
        </w:rPr>
        <w:t xml:space="preserve"> was reported</w:t>
      </w:r>
      <w:r>
        <w:rPr>
          <w:rFonts w:ascii="Book Antiqua" w:hAnsi="Book Antiqua"/>
          <w:vertAlign w:val="superscript"/>
        </w:rPr>
        <w:t>[</w:t>
      </w:r>
      <w:r>
        <w:rPr>
          <w:rStyle w:val="af1"/>
          <w:rFonts w:ascii="Book Antiqua" w:hAnsi="Book Antiqua"/>
          <w:bCs/>
          <w:i w:val="0"/>
          <w:iCs w:val="0"/>
          <w:shd w:val="clear" w:color="auto" w:fill="FFFFFF"/>
          <w:vertAlign w:val="superscript"/>
        </w:rPr>
        <w:t>67]</w:t>
      </w:r>
      <w:r>
        <w:rPr>
          <w:rStyle w:val="af1"/>
          <w:rFonts w:ascii="Book Antiqua" w:hAnsi="Book Antiqua"/>
          <w:bCs/>
          <w:i w:val="0"/>
          <w:iCs w:val="0"/>
          <w:shd w:val="clear" w:color="auto" w:fill="FFFFFF"/>
        </w:rPr>
        <w:t>.</w:t>
      </w:r>
      <w:r>
        <w:rPr>
          <w:rFonts w:ascii="Book Antiqua" w:hAnsi="Book Antiqua"/>
          <w:shd w:val="clear" w:color="auto" w:fill="FFFFFF"/>
        </w:rPr>
        <w:t xml:space="preserve"> </w:t>
      </w:r>
      <w:r>
        <w:rPr>
          <w:rFonts w:ascii="Book Antiqua" w:hAnsi="Book Antiqua"/>
        </w:rPr>
        <w:t xml:space="preserve">For HCC patient candidates for a liver </w:t>
      </w:r>
      <w:r>
        <w:rPr>
          <w:rFonts w:ascii="Book Antiqua" w:hAnsi="Book Antiqua"/>
        </w:rPr>
        <w:lastRenderedPageBreak/>
        <w:t>transplant, decisions regarding the timing of DAA treatment depend on organ availability and region wait times and should be individualized</w:t>
      </w:r>
      <w:r>
        <w:rPr>
          <w:rFonts w:ascii="Book Antiqua" w:hAnsi="Book Antiqua"/>
          <w:vertAlign w:val="superscript"/>
        </w:rPr>
        <w:t>[</w:t>
      </w:r>
      <w:r>
        <w:rPr>
          <w:rFonts w:ascii="Book Antiqua" w:hAnsi="Book Antiqua"/>
          <w:bCs/>
          <w:shd w:val="clear" w:color="auto" w:fill="FFFFFF"/>
          <w:vertAlign w:val="superscript"/>
        </w:rPr>
        <w:t>68]</w:t>
      </w:r>
      <w:r>
        <w:rPr>
          <w:rFonts w:ascii="Book Antiqua" w:hAnsi="Book Antiqua"/>
          <w:bCs/>
          <w:shd w:val="clear" w:color="auto" w:fill="FFFFFF"/>
        </w:rPr>
        <w:t>.</w:t>
      </w:r>
      <w:r>
        <w:rPr>
          <w:rFonts w:ascii="Book Antiqua" w:hAnsi="Book Antiqua"/>
          <w:shd w:val="clear" w:color="auto" w:fill="FFFFFF"/>
        </w:rPr>
        <w:t xml:space="preserve"> Moreover, Fouad</w:t>
      </w:r>
      <w:r>
        <w:rPr>
          <w:rFonts w:ascii="Book Antiqua" w:hAnsi="Book Antiqua"/>
          <w:i/>
          <w:shd w:val="clear" w:color="auto" w:fill="FFFFFF"/>
        </w:rPr>
        <w:t xml:space="preserve"> et al</w:t>
      </w:r>
      <w:r>
        <w:rPr>
          <w:rFonts w:ascii="Book Antiqua" w:hAnsi="Book Antiqua"/>
          <w:shd w:val="clear" w:color="auto" w:fill="FFFFFF"/>
          <w:vertAlign w:val="superscript"/>
        </w:rPr>
        <w:t>[</w:t>
      </w:r>
      <w:r>
        <w:rPr>
          <w:rFonts w:ascii="Book Antiqua" w:hAnsi="Book Antiqua"/>
          <w:bCs/>
          <w:shd w:val="clear" w:color="auto" w:fill="FFFFFF"/>
          <w:vertAlign w:val="superscript"/>
        </w:rPr>
        <w:t>69]</w:t>
      </w:r>
      <w:r>
        <w:rPr>
          <w:rFonts w:ascii="Book Antiqua" w:hAnsi="Book Antiqua"/>
          <w:shd w:val="clear" w:color="auto" w:fill="FFFFFF"/>
          <w:vertAlign w:val="superscript"/>
        </w:rPr>
        <w:t xml:space="preserve"> </w:t>
      </w:r>
      <w:r>
        <w:rPr>
          <w:rFonts w:ascii="Book Antiqua" w:hAnsi="Book Antiqua"/>
          <w:shd w:val="clear" w:color="auto" w:fill="FFFFFF"/>
        </w:rPr>
        <w:t>suggested that anti-HCV therapy in HCC patients should be postponed until further research for safety and effectiveness is carried out.</w:t>
      </w:r>
    </w:p>
    <w:p w14:paraId="177C8942" w14:textId="77777777" w:rsidR="008A6CD8" w:rsidRDefault="008A6CD8">
      <w:pPr>
        <w:autoSpaceDE w:val="0"/>
        <w:autoSpaceDN w:val="0"/>
        <w:adjustRightInd w:val="0"/>
        <w:spacing w:line="360" w:lineRule="auto"/>
        <w:jc w:val="both"/>
        <w:rPr>
          <w:rFonts w:ascii="Book Antiqua" w:hAnsi="Book Antiqua"/>
          <w:lang w:bidi="ar-EG"/>
        </w:rPr>
      </w:pPr>
    </w:p>
    <w:p w14:paraId="1FAA6466" w14:textId="77777777" w:rsidR="008A6CD8" w:rsidRDefault="00477245">
      <w:pPr>
        <w:autoSpaceDE w:val="0"/>
        <w:autoSpaceDN w:val="0"/>
        <w:adjustRightInd w:val="0"/>
        <w:spacing w:line="360" w:lineRule="auto"/>
        <w:jc w:val="both"/>
        <w:rPr>
          <w:rFonts w:ascii="Book Antiqua" w:eastAsia="DejaVuSans" w:hAnsi="Book Antiqua"/>
          <w:b/>
          <w:i/>
          <w:iCs/>
        </w:rPr>
      </w:pPr>
      <w:r>
        <w:rPr>
          <w:rFonts w:ascii="Book Antiqua" w:eastAsia="DejaVuSans" w:hAnsi="Book Antiqua"/>
          <w:b/>
          <w:i/>
          <w:iCs/>
        </w:rPr>
        <w:t>Hepatitis C virus and hepatitis B virus co-infection</w:t>
      </w:r>
    </w:p>
    <w:p w14:paraId="66DA521A" w14:textId="77777777" w:rsidR="008A6CD8" w:rsidRDefault="00477245">
      <w:pPr>
        <w:autoSpaceDE w:val="0"/>
        <w:autoSpaceDN w:val="0"/>
        <w:adjustRightInd w:val="0"/>
        <w:spacing w:line="360" w:lineRule="auto"/>
        <w:jc w:val="both"/>
        <w:rPr>
          <w:rFonts w:ascii="Book Antiqua" w:hAnsi="Book Antiqua"/>
          <w:bCs/>
        </w:rPr>
      </w:pPr>
      <w:r>
        <w:rPr>
          <w:rFonts w:ascii="Book Antiqua" w:hAnsi="Book Antiqua"/>
          <w:shd w:val="clear" w:color="auto" w:fill="FFFFFF"/>
        </w:rPr>
        <w:t xml:space="preserve">Hepatitis B virus (HBV) and HCV are the major causes of liver disease worldwide. The administration of compulsory HBV vaccination is effective in providing </w:t>
      </w:r>
      <w:r>
        <w:rPr>
          <w:rFonts w:ascii="Book Antiqua" w:hAnsi="Book Antiqua"/>
        </w:rPr>
        <w:t>long-term protection against infection, even with low seroprotection rate, proved by the presence of high anamnestic response rate after being given a HBV challenging dose</w:t>
      </w:r>
      <w:r>
        <w:rPr>
          <w:rFonts w:ascii="Book Antiqua" w:hAnsi="Book Antiqua"/>
          <w:vertAlign w:val="superscript"/>
        </w:rPr>
        <w:t>[</w:t>
      </w:r>
      <w:r>
        <w:rPr>
          <w:rFonts w:ascii="Book Antiqua" w:hAnsi="Book Antiqua"/>
          <w:bCs/>
          <w:shd w:val="clear" w:color="auto" w:fill="FFFFFF"/>
          <w:vertAlign w:val="superscript"/>
        </w:rPr>
        <w:t>70,71]</w:t>
      </w:r>
      <w:r>
        <w:rPr>
          <w:rFonts w:ascii="Book Antiqua" w:hAnsi="Book Antiqua"/>
          <w:bCs/>
          <w:shd w:val="clear" w:color="auto" w:fill="FFFFFF"/>
        </w:rPr>
        <w:t xml:space="preserve">. </w:t>
      </w:r>
      <w:r>
        <w:rPr>
          <w:rFonts w:ascii="Book Antiqua" w:hAnsi="Book Antiqua"/>
          <w:shd w:val="clear" w:color="auto" w:fill="FFFFFF"/>
        </w:rPr>
        <w:t>However, poly-transfused vaccinated individuals, either with or without HCV infection, are at risk of HBV infection. In these patients, HBV-DNA was detected even among HBsAg negative patients (occult HBV infection)</w:t>
      </w:r>
      <w:r>
        <w:rPr>
          <w:rFonts w:ascii="Book Antiqua" w:hAnsi="Book Antiqua"/>
          <w:shd w:val="clear" w:color="auto" w:fill="FFFFFF"/>
          <w:vertAlign w:val="superscript"/>
        </w:rPr>
        <w:t>[</w:t>
      </w:r>
      <w:r>
        <w:rPr>
          <w:rFonts w:ascii="Book Antiqua" w:hAnsi="Book Antiqua"/>
          <w:bCs/>
          <w:shd w:val="clear" w:color="auto" w:fill="FFFFFF"/>
          <w:vertAlign w:val="superscript"/>
        </w:rPr>
        <w:t>72,73]</w:t>
      </w:r>
      <w:r>
        <w:rPr>
          <w:rFonts w:ascii="Book Antiqua" w:hAnsi="Book Antiqua"/>
          <w:bCs/>
          <w:shd w:val="clear" w:color="auto" w:fill="FFFFFF"/>
        </w:rPr>
        <w:t>.</w:t>
      </w:r>
      <w:r>
        <w:rPr>
          <w:rFonts w:ascii="Book Antiqua" w:hAnsi="Book Antiqua"/>
          <w:shd w:val="clear" w:color="auto" w:fill="FFFFFF"/>
        </w:rPr>
        <w:t xml:space="preserve"> The co-infection with both viruses increases the rates of cirrhosis and HCC</w:t>
      </w:r>
      <w:r>
        <w:rPr>
          <w:rFonts w:ascii="Book Antiqua" w:hAnsi="Book Antiqua"/>
          <w:shd w:val="clear" w:color="auto" w:fill="FFFFFF"/>
          <w:vertAlign w:val="superscript"/>
        </w:rPr>
        <w:t>[</w:t>
      </w:r>
      <w:r>
        <w:rPr>
          <w:rFonts w:ascii="Book Antiqua" w:hAnsi="Book Antiqua"/>
          <w:bCs/>
          <w:shd w:val="clear" w:color="auto" w:fill="FFFFFF"/>
          <w:vertAlign w:val="superscript"/>
        </w:rPr>
        <w:t>74,75]</w:t>
      </w:r>
      <w:r>
        <w:rPr>
          <w:rFonts w:ascii="Book Antiqua" w:hAnsi="Book Antiqua"/>
          <w:bCs/>
          <w:shd w:val="clear" w:color="auto" w:fill="FFFFFF"/>
        </w:rPr>
        <w:t>.</w:t>
      </w:r>
      <w:r>
        <w:rPr>
          <w:rFonts w:ascii="Book Antiqua" w:hAnsi="Book Antiqua"/>
          <w:shd w:val="clear" w:color="auto" w:fill="FFFFFF"/>
        </w:rPr>
        <w:t xml:space="preserve"> When both HBV and HCV are present in the same cell, reciprocal inhibition of one viral genome by the other virus takes place and leads to the dominance of one virus over the other. The dominant virus replicates more actively and inhibits the replication of the non-dominant virus. However, co-dominance may occur if there is nearly equal replication of both HBV and HCV</w:t>
      </w:r>
      <w:r>
        <w:rPr>
          <w:rFonts w:ascii="Book Antiqua" w:hAnsi="Book Antiqua"/>
          <w:shd w:val="clear" w:color="auto" w:fill="FFFFFF"/>
          <w:vertAlign w:val="superscript"/>
        </w:rPr>
        <w:t>[</w:t>
      </w:r>
      <w:r>
        <w:rPr>
          <w:rFonts w:ascii="Book Antiqua" w:hAnsi="Book Antiqua"/>
          <w:bCs/>
          <w:vertAlign w:val="superscript"/>
        </w:rPr>
        <w:t>76]</w:t>
      </w:r>
      <w:r>
        <w:rPr>
          <w:rFonts w:ascii="Book Antiqua" w:hAnsi="Book Antiqua"/>
          <w:bCs/>
        </w:rPr>
        <w:t>.</w:t>
      </w:r>
      <w:r>
        <w:rPr>
          <w:rFonts w:ascii="Book Antiqua" w:hAnsi="Book Antiqua"/>
          <w:shd w:val="clear" w:color="auto" w:fill="FFFFFF"/>
        </w:rPr>
        <w:t xml:space="preserve"> In 2018, EASL recommended that hepatitis C patients should be tested for HB surface (HBs) antigen, HB core antibody (anti-HBc), and HBs antibody (anti-HBs) prior to starting DAA-based treatment. In HBs antigen positive patients, concurrent HBV nucleoside/nucleotide analogue therapy is indicated. For anti-HBc positive patients with negative HBsAg, serum </w:t>
      </w:r>
      <w:r>
        <w:rPr>
          <w:rFonts w:ascii="Book Antiqua" w:hAnsi="Book Antiqua"/>
        </w:rPr>
        <w:t>alanine transaminase (ALT)</w:t>
      </w:r>
      <w:r>
        <w:rPr>
          <w:rFonts w:ascii="Book Antiqua" w:hAnsi="Book Antiqua"/>
          <w:shd w:val="clear" w:color="auto" w:fill="FFFFFF"/>
        </w:rPr>
        <w:t xml:space="preserve"> levels should be monitored and both HBs antigen and HBV DNA should be tested, if ALT levels rise or do not return to normal during or after anti-HCV therapy. In anti-HBs and anti-HBc antibodies positive patients, monitoring of serum ALT levels is indicated</w:t>
      </w:r>
      <w:r>
        <w:rPr>
          <w:rFonts w:ascii="Book Antiqua" w:hAnsi="Book Antiqua"/>
          <w:shd w:val="clear" w:color="auto" w:fill="FFFFFF"/>
          <w:vertAlign w:val="superscript"/>
        </w:rPr>
        <w:t>[</w:t>
      </w:r>
      <w:r>
        <w:rPr>
          <w:rFonts w:ascii="Book Antiqua" w:hAnsi="Book Antiqua"/>
          <w:bCs/>
          <w:vertAlign w:val="superscript"/>
        </w:rPr>
        <w:t>51]</w:t>
      </w:r>
      <w:r>
        <w:rPr>
          <w:rFonts w:ascii="Book Antiqua" w:hAnsi="Book Antiqua"/>
          <w:bCs/>
        </w:rPr>
        <w:t>.</w:t>
      </w:r>
    </w:p>
    <w:p w14:paraId="608CA05C" w14:textId="77777777" w:rsidR="008A6CD8" w:rsidRDefault="00477245">
      <w:pPr>
        <w:spacing w:line="360" w:lineRule="auto"/>
        <w:ind w:firstLineChars="200" w:firstLine="480"/>
        <w:jc w:val="both"/>
        <w:rPr>
          <w:rFonts w:ascii="Book Antiqua" w:hAnsi="Book Antiqua"/>
        </w:rPr>
      </w:pPr>
      <w:r>
        <w:rPr>
          <w:rFonts w:ascii="Book Antiqua" w:hAnsi="Book Antiqua"/>
          <w:shd w:val="clear" w:color="auto" w:fill="FFFFFF"/>
        </w:rPr>
        <w:t>Co-infected patients may experience HBV reactivation after the cure of their HCV by PEG-IFN or DAA-based therapy and anti-HBV therapy should be started if clinically indicated</w:t>
      </w:r>
      <w:r>
        <w:rPr>
          <w:rFonts w:ascii="Book Antiqua" w:hAnsi="Book Antiqua"/>
          <w:shd w:val="clear" w:color="auto" w:fill="FFFFFF"/>
          <w:vertAlign w:val="superscript"/>
        </w:rPr>
        <w:t>[</w:t>
      </w:r>
      <w:r>
        <w:rPr>
          <w:rStyle w:val="element-citation"/>
          <w:rFonts w:ascii="Book Antiqua" w:hAnsi="Book Antiqua"/>
          <w:bCs/>
          <w:shd w:val="clear" w:color="auto" w:fill="FFFFFF"/>
          <w:vertAlign w:val="superscript"/>
        </w:rPr>
        <w:t>77]</w:t>
      </w:r>
      <w:r>
        <w:rPr>
          <w:rFonts w:ascii="Book Antiqua" w:hAnsi="Book Antiqua"/>
          <w:shd w:val="clear" w:color="auto" w:fill="FFFFFF"/>
        </w:rPr>
        <w:t xml:space="preserve">. The US FDA warned of the higher risk and earlier onset of HBV reactivation </w:t>
      </w:r>
      <w:r>
        <w:rPr>
          <w:rFonts w:ascii="Book Antiqua" w:hAnsi="Book Antiqua"/>
          <w:shd w:val="clear" w:color="auto" w:fill="FFFFFF"/>
        </w:rPr>
        <w:lastRenderedPageBreak/>
        <w:t>with DAA treatment</w:t>
      </w:r>
      <w:r>
        <w:rPr>
          <w:rFonts w:ascii="Book Antiqua" w:hAnsi="Book Antiqua"/>
          <w:shd w:val="clear" w:color="auto" w:fill="FFFFFF"/>
          <w:vertAlign w:val="superscript"/>
        </w:rPr>
        <w:t>[</w:t>
      </w:r>
      <w:r>
        <w:rPr>
          <w:rStyle w:val="element-citation"/>
          <w:rFonts w:ascii="Book Antiqua" w:hAnsi="Book Antiqua"/>
          <w:bCs/>
          <w:shd w:val="clear" w:color="auto" w:fill="FFFFFF"/>
          <w:vertAlign w:val="superscript"/>
        </w:rPr>
        <w:t>78]</w:t>
      </w:r>
      <w:r>
        <w:rPr>
          <w:rFonts w:ascii="Book Antiqua" w:hAnsi="Book Antiqua"/>
          <w:bCs/>
          <w:shd w:val="clear" w:color="auto" w:fill="FFFFFF"/>
        </w:rPr>
        <w:t>.</w:t>
      </w:r>
      <w:r>
        <w:rPr>
          <w:rFonts w:ascii="Book Antiqua" w:hAnsi="Book Antiqua"/>
          <w:shd w:val="clear" w:color="auto" w:fill="FFFFFF"/>
        </w:rPr>
        <w:t xml:space="preserve"> This can be expected since HCV DAAs have no direct or immunomodulatory effect on the replication of HBV. Close monitoring of HBV infection status is settled by all guidelines with the implementation of IFN-free regimens. A retrospective study revealed that only 9 out of 62290 patients treated with DAAs had HBV reactivation. Eight patients were known to be HBsAg positive, and one patient was known to be isolated anti-HBc-positive. Seventeen other patients had a small increase in HBV DNA levels that did not qualify as HBV reactivation</w:t>
      </w:r>
      <w:r>
        <w:rPr>
          <w:rFonts w:ascii="Book Antiqua" w:hAnsi="Book Antiqua"/>
          <w:shd w:val="clear" w:color="auto" w:fill="FFFFFF"/>
          <w:vertAlign w:val="superscript"/>
        </w:rPr>
        <w:t>[</w:t>
      </w:r>
      <w:r>
        <w:rPr>
          <w:rFonts w:ascii="Book Antiqua" w:hAnsi="Book Antiqua"/>
          <w:bCs/>
          <w:shd w:val="clear" w:color="auto" w:fill="FFFFFF"/>
          <w:vertAlign w:val="superscript"/>
        </w:rPr>
        <w:t>79]</w:t>
      </w:r>
      <w:r>
        <w:rPr>
          <w:rFonts w:ascii="Book Antiqua" w:hAnsi="Book Antiqua"/>
          <w:bCs/>
          <w:shd w:val="clear" w:color="auto" w:fill="FFFFFF"/>
        </w:rPr>
        <w:t>.</w:t>
      </w:r>
      <w:r>
        <w:rPr>
          <w:rFonts w:ascii="Book Antiqua" w:hAnsi="Book Antiqua"/>
          <w:shd w:val="clear" w:color="auto" w:fill="FFFFFF"/>
        </w:rPr>
        <w:t xml:space="preserve"> </w:t>
      </w:r>
    </w:p>
    <w:p w14:paraId="0DF0DF5D" w14:textId="77777777" w:rsidR="008A6CD8" w:rsidRDefault="008A6CD8">
      <w:pPr>
        <w:spacing w:line="360" w:lineRule="auto"/>
        <w:jc w:val="both"/>
        <w:rPr>
          <w:rFonts w:ascii="Book Antiqua" w:hAnsi="Book Antiqua"/>
        </w:rPr>
      </w:pPr>
    </w:p>
    <w:p w14:paraId="6CB5A283" w14:textId="77777777" w:rsidR="008A6CD8" w:rsidRDefault="00477245">
      <w:pPr>
        <w:autoSpaceDE w:val="0"/>
        <w:autoSpaceDN w:val="0"/>
        <w:adjustRightInd w:val="0"/>
        <w:spacing w:line="360" w:lineRule="auto"/>
        <w:jc w:val="both"/>
        <w:rPr>
          <w:rFonts w:ascii="Book Antiqua" w:eastAsia="DejaVuSans" w:hAnsi="Book Antiqua"/>
          <w:b/>
          <w:u w:val="single"/>
        </w:rPr>
      </w:pPr>
      <w:r>
        <w:rPr>
          <w:rFonts w:ascii="Book Antiqua" w:eastAsia="DejaVuSans" w:hAnsi="Book Antiqua"/>
          <w:b/>
          <w:u w:val="single"/>
        </w:rPr>
        <w:t>EXTRAHEPATIC MANIFESTATIONS OF CHRONIC HEPATITIS C VIRUS INFECTION</w:t>
      </w:r>
    </w:p>
    <w:p w14:paraId="0F28707B" w14:textId="77777777" w:rsidR="008A6CD8" w:rsidRDefault="00477245">
      <w:pPr>
        <w:autoSpaceDE w:val="0"/>
        <w:autoSpaceDN w:val="0"/>
        <w:adjustRightInd w:val="0"/>
        <w:spacing w:line="360" w:lineRule="auto"/>
        <w:jc w:val="both"/>
        <w:rPr>
          <w:rFonts w:ascii="Book Antiqua" w:hAnsi="Book Antiqua"/>
          <w:shd w:val="clear" w:color="auto" w:fill="FFFFFF"/>
        </w:rPr>
      </w:pPr>
      <w:r>
        <w:rPr>
          <w:rFonts w:ascii="Book Antiqua" w:hAnsi="Book Antiqua"/>
          <w:shd w:val="clear" w:color="auto" w:fill="FFFFFF"/>
        </w:rPr>
        <w:t xml:space="preserve">HCV can cause extrahepatic diseases that lead to an increase in the overall mortality. </w:t>
      </w:r>
      <w:r>
        <w:rPr>
          <w:rFonts w:ascii="Book Antiqua" w:hAnsi="Book Antiqua"/>
          <w:bCs/>
          <w:shd w:val="clear" w:color="auto" w:fill="FFFFFF"/>
        </w:rPr>
        <w:t>Figure 1</w:t>
      </w:r>
      <w:r>
        <w:rPr>
          <w:rFonts w:ascii="Book Antiqua" w:hAnsi="Book Antiqua"/>
          <w:shd w:val="clear" w:color="auto" w:fill="FFFFFF"/>
        </w:rPr>
        <w:t xml:space="preserve"> shows the pathophysiology of HCV infection in hepatic and extrahepatic diseases. The following extrahepatic diseases are related to HCV infection:</w:t>
      </w:r>
    </w:p>
    <w:p w14:paraId="1D6FDFF3" w14:textId="77777777" w:rsidR="008A6CD8" w:rsidRDefault="008A6CD8">
      <w:pPr>
        <w:autoSpaceDE w:val="0"/>
        <w:autoSpaceDN w:val="0"/>
        <w:adjustRightInd w:val="0"/>
        <w:spacing w:line="360" w:lineRule="auto"/>
        <w:jc w:val="both"/>
        <w:rPr>
          <w:rFonts w:ascii="Book Antiqua" w:hAnsi="Book Antiqua"/>
          <w:bCs/>
        </w:rPr>
      </w:pPr>
    </w:p>
    <w:p w14:paraId="67EF28C5" w14:textId="77777777" w:rsidR="008A6CD8" w:rsidRDefault="00477245">
      <w:pPr>
        <w:autoSpaceDE w:val="0"/>
        <w:autoSpaceDN w:val="0"/>
        <w:adjustRightInd w:val="0"/>
        <w:spacing w:line="360" w:lineRule="auto"/>
        <w:jc w:val="both"/>
        <w:rPr>
          <w:rFonts w:ascii="Book Antiqua" w:hAnsi="Book Antiqua"/>
          <w:b/>
          <w:i/>
          <w:iCs/>
          <w:lang w:eastAsia="zh-CN" w:bidi="ar-EG"/>
        </w:rPr>
      </w:pPr>
      <w:r>
        <w:rPr>
          <w:rFonts w:ascii="Book Antiqua" w:hAnsi="Book Antiqua"/>
          <w:b/>
          <w:i/>
          <w:iCs/>
          <w:lang w:bidi="ar-EG"/>
        </w:rPr>
        <w:t>Mixed cryoglobulinemia and cryoglobulinemic vasculitis</w:t>
      </w:r>
    </w:p>
    <w:p w14:paraId="5CFBEFF2" w14:textId="77777777" w:rsidR="008A6CD8" w:rsidRDefault="00477245">
      <w:pPr>
        <w:autoSpaceDE w:val="0"/>
        <w:autoSpaceDN w:val="0"/>
        <w:adjustRightInd w:val="0"/>
        <w:spacing w:line="360" w:lineRule="auto"/>
        <w:jc w:val="both"/>
        <w:rPr>
          <w:rFonts w:ascii="Book Antiqua" w:hAnsi="Book Antiqua"/>
          <w:bCs/>
          <w:lang w:bidi="ar-EG"/>
        </w:rPr>
      </w:pPr>
      <w:r>
        <w:rPr>
          <w:rFonts w:ascii="Book Antiqua" w:hAnsi="Book Antiqua"/>
          <w:lang w:bidi="ar-EG"/>
        </w:rPr>
        <w:t>Chronic HCV infection is a common cause of mixed cryoglobulinemic vasculitis (MCV). In about 40</w:t>
      </w:r>
      <w:r>
        <w:rPr>
          <w:rFonts w:ascii="Book Antiqua" w:hAnsi="Book Antiqua" w:hint="eastAsia"/>
          <w:lang w:eastAsia="zh-CN" w:bidi="ar-EG"/>
        </w:rPr>
        <w:t>%</w:t>
      </w:r>
      <w:r>
        <w:rPr>
          <w:rFonts w:ascii="Book Antiqua" w:hAnsi="Book Antiqua"/>
          <w:lang w:bidi="ar-EG"/>
        </w:rPr>
        <w:t>-60% of patients with chronic HCV infection, circulating mixed cryoglobulins are detected. However, overt cryoglobulinemia vasculitis (CV) is observed in only 5</w:t>
      </w:r>
      <w:r>
        <w:rPr>
          <w:rFonts w:ascii="Book Antiqua" w:hAnsi="Book Antiqua" w:hint="eastAsia"/>
          <w:lang w:eastAsia="zh-CN" w:bidi="ar-EG"/>
        </w:rPr>
        <w:t>%</w:t>
      </w:r>
      <w:r>
        <w:rPr>
          <w:rFonts w:ascii="Book Antiqua" w:hAnsi="Book Antiqua"/>
          <w:lang w:bidi="ar-EG"/>
        </w:rPr>
        <w:t>-10% of patients</w:t>
      </w:r>
      <w:r>
        <w:rPr>
          <w:rFonts w:ascii="Book Antiqua" w:hAnsi="Book Antiqua"/>
          <w:vertAlign w:val="superscript"/>
          <w:lang w:bidi="ar-EG"/>
        </w:rPr>
        <w:t>[</w:t>
      </w:r>
      <w:r>
        <w:rPr>
          <w:rFonts w:ascii="Book Antiqua" w:hAnsi="Book Antiqua"/>
          <w:bCs/>
          <w:vertAlign w:val="superscript"/>
          <w:lang w:bidi="ar-EG"/>
        </w:rPr>
        <w:t>80,81]</w:t>
      </w:r>
      <w:r>
        <w:rPr>
          <w:rFonts w:ascii="Book Antiqua" w:hAnsi="Book Antiqua"/>
          <w:bCs/>
          <w:lang w:bidi="ar-EG"/>
        </w:rPr>
        <w:t>.</w:t>
      </w:r>
      <w:r>
        <w:rPr>
          <w:rFonts w:ascii="Book Antiqua" w:hAnsi="Book Antiqua"/>
          <w:lang w:bidi="ar-EG"/>
        </w:rPr>
        <w:t xml:space="preserve"> As shown in </w:t>
      </w:r>
      <w:r>
        <w:rPr>
          <w:rFonts w:ascii="Book Antiqua" w:hAnsi="Book Antiqua"/>
          <w:bCs/>
          <w:shd w:val="clear" w:color="auto" w:fill="FFFFFF"/>
        </w:rPr>
        <w:t>Figure 1</w:t>
      </w:r>
      <w:r>
        <w:rPr>
          <w:rFonts w:ascii="Book Antiqua" w:hAnsi="Book Antiqua"/>
          <w:shd w:val="clear" w:color="auto" w:fill="FFFFFF"/>
        </w:rPr>
        <w:t>,</w:t>
      </w:r>
      <w:r>
        <w:rPr>
          <w:rFonts w:ascii="Book Antiqua" w:hAnsi="Book Antiqua"/>
          <w:bCs/>
          <w:shd w:val="clear" w:color="auto" w:fill="FFFFFF"/>
        </w:rPr>
        <w:t xml:space="preserve"> </w:t>
      </w:r>
      <w:r>
        <w:rPr>
          <w:rFonts w:ascii="Book Antiqua" w:hAnsi="Book Antiqua"/>
          <w:lang w:bidi="ar-EG"/>
        </w:rPr>
        <w:t>the pathogenesis of MCV involves viral-induced activation of B cell clones which generate pathogenic IgM with rheumatoid factor (RF) activity. Monoclonal IgM and polyclonal IgG bind together and recognize hepatitis C nucleocapsid and core antigens. The resulting circulating immune complexes deposit in vascular beds of small-to-medium vessels, enhancing complement activation, leukocyte recruitment, and vasculitis</w:t>
      </w:r>
      <w:r>
        <w:rPr>
          <w:rFonts w:ascii="Book Antiqua" w:hAnsi="Book Antiqua"/>
          <w:vertAlign w:val="superscript"/>
          <w:lang w:bidi="ar-EG"/>
        </w:rPr>
        <w:t>[</w:t>
      </w:r>
      <w:r>
        <w:rPr>
          <w:rFonts w:ascii="Book Antiqua" w:hAnsi="Book Antiqua"/>
          <w:bCs/>
          <w:vertAlign w:val="superscript"/>
          <w:lang w:bidi="ar-EG"/>
        </w:rPr>
        <w:t>82]</w:t>
      </w:r>
      <w:r>
        <w:rPr>
          <w:rFonts w:ascii="Book Antiqua" w:hAnsi="Book Antiqua"/>
          <w:bCs/>
          <w:lang w:bidi="ar-EG"/>
        </w:rPr>
        <w:t>.</w:t>
      </w:r>
      <w:r>
        <w:rPr>
          <w:rFonts w:ascii="Book Antiqua" w:hAnsi="Book Antiqua"/>
          <w:lang w:bidi="ar-EG"/>
        </w:rPr>
        <w:t xml:space="preserve"> The clinical manifestations of the disease are variable, ranging from mild symptoms such as purpura, arthralgia, and fatigue to more serious life-threatening complications resulting from neurologic and renal involvement</w:t>
      </w:r>
      <w:r>
        <w:rPr>
          <w:rFonts w:ascii="Book Antiqua" w:hAnsi="Book Antiqua"/>
          <w:vertAlign w:val="superscript"/>
          <w:lang w:bidi="ar-EG"/>
        </w:rPr>
        <w:t>[</w:t>
      </w:r>
      <w:r>
        <w:rPr>
          <w:rFonts w:ascii="Book Antiqua" w:hAnsi="Book Antiqua"/>
          <w:bCs/>
          <w:vertAlign w:val="superscript"/>
          <w:lang w:bidi="ar-EG"/>
        </w:rPr>
        <w:t>83]</w:t>
      </w:r>
      <w:r>
        <w:rPr>
          <w:rFonts w:ascii="Book Antiqua" w:hAnsi="Book Antiqua"/>
          <w:bCs/>
          <w:lang w:bidi="ar-EG"/>
        </w:rPr>
        <w:t>.</w:t>
      </w:r>
    </w:p>
    <w:p w14:paraId="483103B6" w14:textId="77777777" w:rsidR="008A6CD8" w:rsidRDefault="00477245">
      <w:pPr>
        <w:autoSpaceDE w:val="0"/>
        <w:autoSpaceDN w:val="0"/>
        <w:adjustRightInd w:val="0"/>
        <w:spacing w:line="360" w:lineRule="auto"/>
        <w:ind w:firstLineChars="200" w:firstLine="480"/>
        <w:jc w:val="both"/>
        <w:rPr>
          <w:rFonts w:ascii="Book Antiqua" w:hAnsi="Book Antiqua"/>
          <w:lang w:bidi="ar-EG"/>
        </w:rPr>
      </w:pPr>
      <w:r>
        <w:rPr>
          <w:rFonts w:ascii="Book Antiqua" w:hAnsi="Book Antiqua"/>
          <w:lang w:bidi="ar-EG"/>
        </w:rPr>
        <w:t xml:space="preserve">Treatment of HCV-MCV is challenging. The main goal is SVR in order to down-regulate the B-cell arm of autoimmunity that is triggered by the virus. DAA regimens are </w:t>
      </w:r>
      <w:r>
        <w:rPr>
          <w:rFonts w:ascii="Book Antiqua" w:hAnsi="Book Antiqua"/>
          <w:lang w:bidi="ar-EG"/>
        </w:rPr>
        <w:lastRenderedPageBreak/>
        <w:t xml:space="preserve">now the drug of choice for HCV-associated MCV. The combination of </w:t>
      </w:r>
      <w:r>
        <w:rPr>
          <w:rFonts w:ascii="Book Antiqua" w:hAnsi="Book Antiqua"/>
          <w:shd w:val="clear" w:color="auto" w:fill="FFFFFF"/>
        </w:rPr>
        <w:t>PEG-IFNα with RBV</w:t>
      </w:r>
      <w:r>
        <w:rPr>
          <w:rFonts w:ascii="Book Antiqua" w:hAnsi="Book Antiqua"/>
          <w:lang w:bidi="ar-EG"/>
        </w:rPr>
        <w:t xml:space="preserve"> has been abandoned for their side-effects, including the immune-stimulatory effects</w:t>
      </w:r>
      <w:r>
        <w:rPr>
          <w:rFonts w:ascii="Book Antiqua" w:hAnsi="Book Antiqua"/>
          <w:vertAlign w:val="superscript"/>
          <w:lang w:bidi="ar-EG"/>
        </w:rPr>
        <w:t>[</w:t>
      </w:r>
      <w:r>
        <w:rPr>
          <w:rFonts w:ascii="Book Antiqua" w:hAnsi="Book Antiqua"/>
          <w:bCs/>
          <w:vertAlign w:val="superscript"/>
          <w:lang w:bidi="ar-EG"/>
        </w:rPr>
        <w:t>84]</w:t>
      </w:r>
      <w:r>
        <w:rPr>
          <w:rFonts w:ascii="Book Antiqua" w:hAnsi="Book Antiqua"/>
          <w:bCs/>
          <w:lang w:bidi="ar-EG"/>
        </w:rPr>
        <w:t>.</w:t>
      </w:r>
      <w:r>
        <w:rPr>
          <w:rFonts w:ascii="Book Antiqua" w:hAnsi="Book Antiqua"/>
          <w:lang w:bidi="ar-EG"/>
        </w:rPr>
        <w:t xml:space="preserve"> With DAA therapy, the rate of SVR after 12 months of therapy was the same for HCV patients with and without mixed cryoglobulinemia (MC). However, MCV may persist or reappear in some patients after SVR</w:t>
      </w:r>
      <w:r>
        <w:rPr>
          <w:rFonts w:ascii="Book Antiqua" w:hAnsi="Book Antiqua"/>
          <w:vertAlign w:val="superscript"/>
          <w:lang w:bidi="ar-EG"/>
        </w:rPr>
        <w:t>[</w:t>
      </w:r>
      <w:r>
        <w:rPr>
          <w:rFonts w:ascii="Book Antiqua" w:hAnsi="Book Antiqua"/>
          <w:bCs/>
          <w:vertAlign w:val="superscript"/>
          <w:lang w:bidi="ar-EG"/>
        </w:rPr>
        <w:t>85]</w:t>
      </w:r>
      <w:r>
        <w:rPr>
          <w:rFonts w:ascii="Book Antiqua" w:hAnsi="Book Antiqua"/>
          <w:bCs/>
          <w:lang w:bidi="ar-EG"/>
        </w:rPr>
        <w:t>.</w:t>
      </w:r>
      <w:r>
        <w:rPr>
          <w:rFonts w:ascii="Book Antiqua" w:hAnsi="Book Antiqua"/>
          <w:lang w:bidi="ar-EG"/>
        </w:rPr>
        <w:t xml:space="preserve"> Moreover, new onset cases of cryoglobulinemic glomerulonephritis were also reported</w:t>
      </w:r>
      <w:r>
        <w:rPr>
          <w:rFonts w:ascii="Book Antiqua" w:hAnsi="Book Antiqua"/>
          <w:vertAlign w:val="superscript"/>
          <w:lang w:bidi="ar-EG"/>
        </w:rPr>
        <w:t>[</w:t>
      </w:r>
      <w:r>
        <w:rPr>
          <w:rFonts w:ascii="Book Antiqua" w:hAnsi="Book Antiqua"/>
          <w:bCs/>
          <w:vertAlign w:val="superscript"/>
          <w:lang w:bidi="ar-EG"/>
        </w:rPr>
        <w:t>86]</w:t>
      </w:r>
      <w:r>
        <w:rPr>
          <w:rFonts w:ascii="Book Antiqua" w:hAnsi="Book Antiqua"/>
          <w:bCs/>
          <w:lang w:bidi="ar-EG"/>
        </w:rPr>
        <w:t>.</w:t>
      </w:r>
      <w:r>
        <w:rPr>
          <w:rFonts w:ascii="Book Antiqua" w:hAnsi="Book Antiqua"/>
          <w:lang w:bidi="ar-EG"/>
        </w:rPr>
        <w:t xml:space="preserve"> After DAA therapy for HCV associated MC, 64% to 96% of the patients improved clinically; however, the immunological response (defined by marked reduction or disappearance of circulating cryoglobulins and normalization of the levels of RF and C4) was only from 48% to 89%</w:t>
      </w:r>
      <w:r>
        <w:rPr>
          <w:rFonts w:ascii="Book Antiqua" w:hAnsi="Book Antiqua"/>
          <w:vertAlign w:val="superscript"/>
          <w:lang w:bidi="ar-EG"/>
        </w:rPr>
        <w:t>[</w:t>
      </w:r>
      <w:r>
        <w:rPr>
          <w:rFonts w:ascii="Book Antiqua" w:hAnsi="Book Antiqua"/>
          <w:bCs/>
          <w:vertAlign w:val="superscript"/>
          <w:lang w:bidi="ar-EG"/>
        </w:rPr>
        <w:t>87]</w:t>
      </w:r>
      <w:r>
        <w:rPr>
          <w:rFonts w:ascii="Book Antiqua" w:hAnsi="Book Antiqua"/>
          <w:bCs/>
          <w:lang w:bidi="ar-EG"/>
        </w:rPr>
        <w:t>.</w:t>
      </w:r>
    </w:p>
    <w:p w14:paraId="1B682D11" w14:textId="77777777" w:rsidR="008A6CD8" w:rsidRDefault="00477245">
      <w:pPr>
        <w:autoSpaceDE w:val="0"/>
        <w:autoSpaceDN w:val="0"/>
        <w:adjustRightInd w:val="0"/>
        <w:spacing w:line="360" w:lineRule="auto"/>
        <w:ind w:firstLineChars="200" w:firstLine="480"/>
        <w:jc w:val="both"/>
        <w:rPr>
          <w:rFonts w:ascii="Book Antiqua" w:hAnsi="Book Antiqua"/>
          <w:bCs/>
          <w:lang w:bidi="ar-EG"/>
        </w:rPr>
      </w:pPr>
      <w:r>
        <w:rPr>
          <w:rFonts w:ascii="Book Antiqua" w:hAnsi="Book Antiqua"/>
          <w:lang w:bidi="ar-EG"/>
        </w:rPr>
        <w:t>Artemova</w:t>
      </w:r>
      <w:r>
        <w:rPr>
          <w:rFonts w:ascii="Book Antiqua" w:hAnsi="Book Antiqua"/>
          <w:i/>
          <w:lang w:bidi="ar-EG"/>
        </w:rPr>
        <w:t xml:space="preserve"> et al</w:t>
      </w:r>
      <w:r>
        <w:rPr>
          <w:rFonts w:ascii="Book Antiqua" w:hAnsi="Book Antiqua"/>
          <w:vertAlign w:val="superscript"/>
          <w:lang w:bidi="ar-EG"/>
        </w:rPr>
        <w:t>[</w:t>
      </w:r>
      <w:r>
        <w:rPr>
          <w:rFonts w:ascii="Book Antiqua" w:hAnsi="Book Antiqua"/>
          <w:bCs/>
          <w:vertAlign w:val="superscript"/>
          <w:lang w:bidi="ar-EG"/>
        </w:rPr>
        <w:t>88]</w:t>
      </w:r>
      <w:r>
        <w:rPr>
          <w:rFonts w:ascii="Book Antiqua" w:hAnsi="Book Antiqua"/>
          <w:vertAlign w:val="superscript"/>
          <w:lang w:bidi="ar-EG"/>
        </w:rPr>
        <w:t xml:space="preserve"> </w:t>
      </w:r>
      <w:r>
        <w:rPr>
          <w:rFonts w:ascii="Book Antiqua" w:hAnsi="Book Antiqua"/>
          <w:lang w:bidi="ar-EG"/>
        </w:rPr>
        <w:t>reported complete disappearance of cryoglobulinemia among 48% of HCV-CV patients and a decrease in cryoglobulins among 17% of them. Response rates of HCV-CV after DAA treatment vary according to the organ involvement. A higher response rate (75%-100%) was attained for cutaneous and musculoskeletal presentations, while lower response rates (30%-70%) were attained in peripheral nerve and renal involvement</w:t>
      </w:r>
      <w:r>
        <w:rPr>
          <w:rFonts w:ascii="Book Antiqua" w:hAnsi="Book Antiqua"/>
          <w:vertAlign w:val="superscript"/>
          <w:lang w:bidi="ar-EG"/>
        </w:rPr>
        <w:t>[</w:t>
      </w:r>
      <w:r>
        <w:rPr>
          <w:rFonts w:ascii="Book Antiqua" w:hAnsi="Book Antiqua"/>
          <w:bCs/>
          <w:vertAlign w:val="superscript"/>
          <w:lang w:bidi="ar-EG"/>
        </w:rPr>
        <w:t>89]</w:t>
      </w:r>
      <w:r>
        <w:rPr>
          <w:rFonts w:ascii="Book Antiqua" w:hAnsi="Book Antiqua"/>
          <w:bCs/>
          <w:lang w:bidi="ar-EG"/>
        </w:rPr>
        <w:t>.</w:t>
      </w:r>
      <w:r>
        <w:rPr>
          <w:rFonts w:ascii="Book Antiqua" w:hAnsi="Book Antiqua"/>
          <w:lang w:bidi="ar-EG"/>
        </w:rPr>
        <w:t xml:space="preserve"> The lag in immunologic and/or clinical response behind the viral clearance may be due to delay in the clearance of cryoglobulins from the circulation after successful antiviral therapy or to the persistence of the RF-producing memory B-cell clones for at least 24 wk</w:t>
      </w:r>
      <w:r>
        <w:rPr>
          <w:rFonts w:ascii="Book Antiqua" w:hAnsi="Book Antiqua"/>
          <w:vertAlign w:val="superscript"/>
          <w:lang w:bidi="ar-EG"/>
        </w:rPr>
        <w:t>[</w:t>
      </w:r>
      <w:r>
        <w:rPr>
          <w:rFonts w:ascii="Book Antiqua" w:hAnsi="Book Antiqua"/>
          <w:bCs/>
          <w:vertAlign w:val="superscript"/>
          <w:lang w:bidi="ar-EG"/>
        </w:rPr>
        <w:t>90]</w:t>
      </w:r>
      <w:r>
        <w:rPr>
          <w:rFonts w:ascii="Book Antiqua" w:hAnsi="Book Antiqua"/>
          <w:bCs/>
          <w:lang w:bidi="ar-EG"/>
        </w:rPr>
        <w:t>.</w:t>
      </w:r>
      <w:r>
        <w:rPr>
          <w:rFonts w:ascii="Book Antiqua" w:hAnsi="Book Antiqua"/>
          <w:lang w:bidi="ar-EG"/>
        </w:rPr>
        <w:t xml:space="preserve"> Occult HCV infection is another possible explanation especially in case of cryoglobulinemic glomerulonephritis</w:t>
      </w:r>
      <w:r>
        <w:rPr>
          <w:rFonts w:ascii="Book Antiqua" w:hAnsi="Book Antiqua"/>
          <w:vertAlign w:val="superscript"/>
          <w:lang w:bidi="ar-EG"/>
        </w:rPr>
        <w:t>[</w:t>
      </w:r>
      <w:r>
        <w:rPr>
          <w:rFonts w:ascii="Book Antiqua" w:hAnsi="Book Antiqua"/>
          <w:bCs/>
          <w:vertAlign w:val="superscript"/>
          <w:lang w:bidi="ar-EG"/>
        </w:rPr>
        <w:t>91]</w:t>
      </w:r>
      <w:r>
        <w:rPr>
          <w:rFonts w:ascii="Book Antiqua" w:hAnsi="Book Antiqua"/>
          <w:bCs/>
          <w:lang w:bidi="ar-EG"/>
        </w:rPr>
        <w:t>.</w:t>
      </w:r>
      <w:r>
        <w:rPr>
          <w:rFonts w:ascii="Book Antiqua" w:hAnsi="Book Antiqua"/>
          <w:lang w:bidi="ar-EG"/>
        </w:rPr>
        <w:t xml:space="preserve"> Abdelhamid</w:t>
      </w:r>
      <w:r>
        <w:rPr>
          <w:rFonts w:ascii="Book Antiqua" w:hAnsi="Book Antiqua"/>
          <w:i/>
          <w:lang w:bidi="ar-EG"/>
        </w:rPr>
        <w:t xml:space="preserve"> et al</w:t>
      </w:r>
      <w:r>
        <w:rPr>
          <w:rFonts w:ascii="Book Antiqua" w:hAnsi="Book Antiqua"/>
          <w:vertAlign w:val="superscript"/>
          <w:lang w:bidi="ar-EG"/>
        </w:rPr>
        <w:t>[</w:t>
      </w:r>
      <w:r>
        <w:rPr>
          <w:rFonts w:ascii="Book Antiqua" w:hAnsi="Book Antiqua"/>
          <w:bCs/>
          <w:vertAlign w:val="superscript"/>
          <w:lang w:bidi="ar-EG"/>
        </w:rPr>
        <w:t>92]</w:t>
      </w:r>
      <w:r>
        <w:rPr>
          <w:rFonts w:ascii="Book Antiqua" w:hAnsi="Book Antiqua"/>
          <w:vertAlign w:val="superscript"/>
          <w:lang w:bidi="ar-EG"/>
        </w:rPr>
        <w:t xml:space="preserve"> </w:t>
      </w:r>
      <w:r>
        <w:rPr>
          <w:rFonts w:ascii="Book Antiqua" w:hAnsi="Book Antiqua"/>
          <w:lang w:bidi="ar-EG"/>
        </w:rPr>
        <w:t>suggested that some forms of alteration in the immune system can be responsible for the persistent HCV-related immune disease after viral clearance</w:t>
      </w:r>
      <w:r>
        <w:rPr>
          <w:rFonts w:ascii="Book Antiqua" w:hAnsi="Book Antiqua"/>
          <w:rtl/>
          <w:lang w:bidi="ar-EG"/>
        </w:rPr>
        <w:t>.</w:t>
      </w:r>
      <w:r>
        <w:rPr>
          <w:rFonts w:ascii="Book Antiqua" w:hAnsi="Book Antiqua"/>
          <w:lang w:bidi="ar-EG"/>
        </w:rPr>
        <w:t xml:space="preserve"> The recommended drug for patients with persistent or recurrent MCV after SVR is Rituximab, which is a B-cell depleting monoclonal antibody. In rapidly progressing or fulminant cases or severe exacerbation of vasculitis causing life-threatening complications, plasmapheresis is added to remove the circulating cryoglobulins</w:t>
      </w:r>
      <w:r>
        <w:rPr>
          <w:rFonts w:ascii="Book Antiqua" w:hAnsi="Book Antiqua"/>
          <w:vertAlign w:val="superscript"/>
          <w:lang w:bidi="ar-EG"/>
        </w:rPr>
        <w:t>[</w:t>
      </w:r>
      <w:r>
        <w:rPr>
          <w:rFonts w:ascii="Book Antiqua" w:hAnsi="Book Antiqua"/>
          <w:bCs/>
          <w:vertAlign w:val="superscript"/>
          <w:lang w:bidi="ar-EG"/>
        </w:rPr>
        <w:t>93]</w:t>
      </w:r>
      <w:r>
        <w:rPr>
          <w:rFonts w:ascii="Book Antiqua" w:hAnsi="Book Antiqua"/>
          <w:bCs/>
          <w:lang w:bidi="ar-EG"/>
        </w:rPr>
        <w:t>.</w:t>
      </w:r>
    </w:p>
    <w:p w14:paraId="0695B7C0" w14:textId="77777777" w:rsidR="008A6CD8" w:rsidRDefault="008A6CD8">
      <w:pPr>
        <w:autoSpaceDE w:val="0"/>
        <w:autoSpaceDN w:val="0"/>
        <w:adjustRightInd w:val="0"/>
        <w:spacing w:line="360" w:lineRule="auto"/>
        <w:jc w:val="both"/>
        <w:rPr>
          <w:rFonts w:ascii="Book Antiqua" w:hAnsi="Book Antiqua"/>
          <w:bCs/>
          <w:lang w:bidi="ar-EG"/>
        </w:rPr>
      </w:pPr>
    </w:p>
    <w:p w14:paraId="38B6FAAC" w14:textId="77777777" w:rsidR="008A6CD8" w:rsidRDefault="00477245">
      <w:pPr>
        <w:autoSpaceDE w:val="0"/>
        <w:autoSpaceDN w:val="0"/>
        <w:adjustRightInd w:val="0"/>
        <w:spacing w:line="360" w:lineRule="auto"/>
        <w:jc w:val="both"/>
        <w:rPr>
          <w:rFonts w:ascii="Book Antiqua" w:hAnsi="Book Antiqua"/>
          <w:b/>
          <w:i/>
          <w:iCs/>
          <w:lang w:eastAsia="zh-CN" w:bidi="ar-EG"/>
        </w:rPr>
      </w:pPr>
      <w:r>
        <w:rPr>
          <w:rFonts w:ascii="Book Antiqua" w:hAnsi="Book Antiqua"/>
          <w:b/>
          <w:i/>
          <w:iCs/>
          <w:lang w:bidi="ar-EG"/>
        </w:rPr>
        <w:t>Thrombocytopenia</w:t>
      </w:r>
    </w:p>
    <w:p w14:paraId="5EBB5B9E"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rPr>
        <w:t>Thrombocytopenia is a common complication in chronic HCV infection, causing an increased risk of bleeding</w:t>
      </w:r>
      <w:r>
        <w:rPr>
          <w:rFonts w:ascii="Book Antiqua" w:hAnsi="Book Antiqua"/>
          <w:vertAlign w:val="superscript"/>
        </w:rPr>
        <w:t>[</w:t>
      </w:r>
      <w:r>
        <w:rPr>
          <w:rFonts w:ascii="Book Antiqua" w:hAnsi="Book Antiqua"/>
          <w:bCs/>
          <w:vertAlign w:val="superscript"/>
        </w:rPr>
        <w:t>94,95]</w:t>
      </w:r>
      <w:r>
        <w:rPr>
          <w:rFonts w:ascii="Book Antiqua" w:hAnsi="Book Antiqua"/>
          <w:bCs/>
        </w:rPr>
        <w:t>.</w:t>
      </w:r>
      <w:r>
        <w:rPr>
          <w:rFonts w:ascii="Book Antiqua" w:hAnsi="Book Antiqua"/>
        </w:rPr>
        <w:t xml:space="preserve"> The prevalence and severity of thrombocytopenia increase </w:t>
      </w:r>
      <w:r>
        <w:rPr>
          <w:rFonts w:ascii="Book Antiqua" w:hAnsi="Book Antiqua"/>
        </w:rPr>
        <w:lastRenderedPageBreak/>
        <w:t>with the progression of liver disease and the development of hepatocellular damage and hepatic fibrosis</w:t>
      </w:r>
      <w:r>
        <w:rPr>
          <w:rFonts w:ascii="Book Antiqua" w:hAnsi="Book Antiqua"/>
          <w:vertAlign w:val="superscript"/>
        </w:rPr>
        <w:t>[</w:t>
      </w:r>
      <w:r>
        <w:rPr>
          <w:rFonts w:ascii="Book Antiqua" w:hAnsi="Book Antiqua"/>
          <w:bCs/>
          <w:vertAlign w:val="superscript"/>
        </w:rPr>
        <w:t>96]</w:t>
      </w:r>
      <w:r>
        <w:rPr>
          <w:rFonts w:ascii="Book Antiqua" w:hAnsi="Book Antiqua"/>
          <w:bCs/>
        </w:rPr>
        <w:t>.</w:t>
      </w:r>
      <w:r>
        <w:rPr>
          <w:rFonts w:ascii="Book Antiqua" w:hAnsi="Book Antiqua"/>
        </w:rPr>
        <w:t xml:space="preserve"> Its prevalence is 6% in chronic liver disease patients, while it is 24% in chronic HCV infected patients and increases to 78% in cirrhotic patients</w:t>
      </w:r>
      <w:r>
        <w:rPr>
          <w:rFonts w:ascii="Book Antiqua" w:hAnsi="Book Antiqua"/>
          <w:vertAlign w:val="superscript"/>
        </w:rPr>
        <w:t>[</w:t>
      </w:r>
      <w:r>
        <w:rPr>
          <w:rFonts w:ascii="Book Antiqua" w:hAnsi="Book Antiqua"/>
          <w:bCs/>
          <w:vertAlign w:val="superscript"/>
        </w:rPr>
        <w:t>94-97]</w:t>
      </w:r>
      <w:r>
        <w:rPr>
          <w:rFonts w:ascii="Book Antiqua" w:hAnsi="Book Antiqua"/>
          <w:bCs/>
        </w:rPr>
        <w:t xml:space="preserve">. </w:t>
      </w:r>
      <w:r>
        <w:rPr>
          <w:rFonts w:ascii="Book Antiqua" w:hAnsi="Book Antiqua"/>
        </w:rPr>
        <w:t>The pathophysiology of thrombocytopenia in chronic HCV is multifactorial and largely related to the severity of hepatic infection. It includes splenomegaly and the related hypersplenism causing platelet sequestration, auto-immunogenicity, impaired production of thrombopoietin due to advanced fibrosis, possible direct effect of HCV as direct bone marrow suppression, and therapeutic adverse effects</w:t>
      </w:r>
      <w:r>
        <w:rPr>
          <w:rFonts w:ascii="Book Antiqua" w:hAnsi="Book Antiqua"/>
          <w:vertAlign w:val="superscript"/>
        </w:rPr>
        <w:t>[</w:t>
      </w:r>
      <w:r>
        <w:rPr>
          <w:rFonts w:ascii="Book Antiqua" w:hAnsi="Book Antiqua"/>
          <w:bCs/>
          <w:vertAlign w:val="superscript"/>
        </w:rPr>
        <w:t>94-96]</w:t>
      </w:r>
      <w:r>
        <w:rPr>
          <w:rFonts w:ascii="Book Antiqua" w:hAnsi="Book Antiqua"/>
          <w:bCs/>
        </w:rPr>
        <w:t>.</w:t>
      </w:r>
      <w:r>
        <w:rPr>
          <w:rFonts w:ascii="Book Antiqua" w:hAnsi="Book Antiqua"/>
        </w:rPr>
        <w:t xml:space="preserve"> </w:t>
      </w:r>
    </w:p>
    <w:p w14:paraId="54B6B302" w14:textId="77777777" w:rsidR="008A6CD8" w:rsidRDefault="00477245">
      <w:pPr>
        <w:autoSpaceDE w:val="0"/>
        <w:autoSpaceDN w:val="0"/>
        <w:adjustRightInd w:val="0"/>
        <w:spacing w:line="360" w:lineRule="auto"/>
        <w:ind w:firstLineChars="200" w:firstLine="480"/>
        <w:jc w:val="both"/>
        <w:rPr>
          <w:rFonts w:ascii="Book Antiqua" w:hAnsi="Book Antiqua"/>
        </w:rPr>
      </w:pPr>
      <w:r>
        <w:rPr>
          <w:rFonts w:ascii="Book Antiqua" w:hAnsi="Book Antiqua"/>
        </w:rPr>
        <w:t>In the IFN era, starting or maintaining IFN therapy was a great challenge in the treatment of chronic HCV patients with thrombocytopenia</w:t>
      </w:r>
      <w:r>
        <w:rPr>
          <w:rFonts w:ascii="Book Antiqua" w:hAnsi="Book Antiqua"/>
          <w:vertAlign w:val="superscript"/>
        </w:rPr>
        <w:t>[</w:t>
      </w:r>
      <w:r>
        <w:rPr>
          <w:rFonts w:ascii="Book Antiqua" w:hAnsi="Book Antiqua"/>
          <w:bCs/>
          <w:vertAlign w:val="superscript"/>
        </w:rPr>
        <w:t>96]</w:t>
      </w:r>
      <w:r>
        <w:rPr>
          <w:rFonts w:ascii="Book Antiqua" w:hAnsi="Book Antiqua"/>
          <w:bCs/>
        </w:rPr>
        <w:t>.</w:t>
      </w:r>
      <w:r>
        <w:rPr>
          <w:rFonts w:ascii="Book Antiqua" w:hAnsi="Book Antiqua"/>
          <w:lang w:bidi="ar-EG"/>
        </w:rPr>
        <w:t xml:space="preserve"> </w:t>
      </w:r>
      <w:r>
        <w:rPr>
          <w:rFonts w:ascii="Book Antiqua" w:hAnsi="Book Antiqua"/>
        </w:rPr>
        <w:t>IFN causes a further decrease in the platelet count in up to 13% of patients</w:t>
      </w:r>
      <w:r>
        <w:rPr>
          <w:rFonts w:ascii="Book Antiqua" w:hAnsi="Book Antiqua"/>
          <w:vertAlign w:val="superscript"/>
        </w:rPr>
        <w:t>[</w:t>
      </w:r>
      <w:r>
        <w:rPr>
          <w:rFonts w:ascii="Book Antiqua" w:hAnsi="Book Antiqua"/>
          <w:bCs/>
          <w:vertAlign w:val="superscript"/>
        </w:rPr>
        <w:t>98]</w:t>
      </w:r>
      <w:r>
        <w:rPr>
          <w:rFonts w:ascii="Book Antiqua" w:hAnsi="Book Antiqua"/>
          <w:bCs/>
        </w:rPr>
        <w:t>.</w:t>
      </w:r>
      <w:r>
        <w:rPr>
          <w:rFonts w:ascii="Book Antiqua" w:hAnsi="Book Antiqua"/>
        </w:rPr>
        <w:t xml:space="preserve"> On the other hand, DAA treatment achieve an over 95% SVR at 24 wk among HCV infected thrombocytopenic patients with advanced fibrosis and cirrhosis. Moreover, the platelet count showed statistically significant improvement</w:t>
      </w:r>
      <w:r>
        <w:rPr>
          <w:rFonts w:ascii="Book Antiqua" w:hAnsi="Book Antiqua"/>
          <w:vertAlign w:val="superscript"/>
        </w:rPr>
        <w:t>[</w:t>
      </w:r>
      <w:r>
        <w:rPr>
          <w:rFonts w:ascii="Book Antiqua" w:hAnsi="Book Antiqua"/>
          <w:bCs/>
          <w:vertAlign w:val="superscript"/>
        </w:rPr>
        <w:t>99,100]</w:t>
      </w:r>
      <w:r>
        <w:rPr>
          <w:rFonts w:ascii="Book Antiqua" w:hAnsi="Book Antiqua"/>
          <w:bCs/>
        </w:rPr>
        <w:t xml:space="preserve">. </w:t>
      </w:r>
      <w:r>
        <w:rPr>
          <w:rFonts w:ascii="Book Antiqua" w:hAnsi="Book Antiqua"/>
        </w:rPr>
        <w:t>Chen</w:t>
      </w:r>
      <w:r>
        <w:rPr>
          <w:rFonts w:ascii="Book Antiqua" w:hAnsi="Book Antiqua"/>
          <w:i/>
        </w:rPr>
        <w:t xml:space="preserve"> et al</w:t>
      </w:r>
      <w:r>
        <w:rPr>
          <w:rFonts w:ascii="Book Antiqua" w:hAnsi="Book Antiqua"/>
          <w:vertAlign w:val="superscript"/>
        </w:rPr>
        <w:t>[</w:t>
      </w:r>
      <w:r>
        <w:rPr>
          <w:rFonts w:ascii="Book Antiqua" w:hAnsi="Book Antiqua"/>
          <w:bCs/>
          <w:vertAlign w:val="superscript"/>
        </w:rPr>
        <w:t>97]</w:t>
      </w:r>
      <w:r>
        <w:rPr>
          <w:rFonts w:ascii="Book Antiqua" w:hAnsi="Book Antiqua"/>
          <w:bCs/>
        </w:rPr>
        <w:t xml:space="preserve"> </w:t>
      </w:r>
      <w:r>
        <w:rPr>
          <w:rFonts w:ascii="Book Antiqua" w:hAnsi="Book Antiqua"/>
        </w:rPr>
        <w:t>found that 99.6% of chronic HCV infected patients with thrombocytopenia receiving DAA treatment achieved</w:t>
      </w:r>
      <w:r>
        <w:rPr>
          <w:rFonts w:ascii="Book Antiqua" w:hAnsi="Book Antiqua" w:hint="eastAsia"/>
          <w:lang w:eastAsia="zh-CN"/>
        </w:rPr>
        <w:t xml:space="preserve"> </w:t>
      </w:r>
      <w:r>
        <w:rPr>
          <w:rFonts w:ascii="Book Antiqua" w:hAnsi="Book Antiqua"/>
        </w:rPr>
        <w:t>a SVR and thrombocytopenia improved significantly in 41.7% of them. Another study reported a highly effective and safe DAA regimen, with improvement of platelet count in 73% of thrombocytopenic patients, especially in mild to moderate stages of hepatic fibrosis</w:t>
      </w:r>
      <w:r>
        <w:rPr>
          <w:rFonts w:ascii="Book Antiqua" w:hAnsi="Book Antiqua"/>
          <w:vertAlign w:val="superscript"/>
        </w:rPr>
        <w:t>[</w:t>
      </w:r>
      <w:r>
        <w:rPr>
          <w:rFonts w:ascii="Book Antiqua" w:hAnsi="Book Antiqua"/>
          <w:bCs/>
          <w:vertAlign w:val="superscript"/>
        </w:rPr>
        <w:t>95]</w:t>
      </w:r>
      <w:r>
        <w:rPr>
          <w:rFonts w:ascii="Book Antiqua" w:hAnsi="Book Antiqua"/>
          <w:bCs/>
        </w:rPr>
        <w:t xml:space="preserve">. </w:t>
      </w:r>
    </w:p>
    <w:p w14:paraId="7FFE422B" w14:textId="77777777" w:rsidR="008A6CD8" w:rsidRDefault="008A6CD8">
      <w:pPr>
        <w:autoSpaceDE w:val="0"/>
        <w:autoSpaceDN w:val="0"/>
        <w:adjustRightInd w:val="0"/>
        <w:spacing w:line="360" w:lineRule="auto"/>
        <w:jc w:val="both"/>
        <w:rPr>
          <w:rFonts w:ascii="Book Antiqua" w:hAnsi="Book Antiqua"/>
        </w:rPr>
      </w:pPr>
    </w:p>
    <w:p w14:paraId="583D61C8" w14:textId="77777777" w:rsidR="008A6CD8" w:rsidRDefault="00477245">
      <w:pPr>
        <w:autoSpaceDE w:val="0"/>
        <w:autoSpaceDN w:val="0"/>
        <w:adjustRightInd w:val="0"/>
        <w:spacing w:line="360" w:lineRule="auto"/>
        <w:jc w:val="both"/>
        <w:rPr>
          <w:rFonts w:ascii="Book Antiqua" w:hAnsi="Book Antiqua"/>
          <w:b/>
          <w:i/>
          <w:iCs/>
          <w:lang w:bidi="ar-EG"/>
        </w:rPr>
      </w:pPr>
      <w:r>
        <w:rPr>
          <w:rFonts w:ascii="Book Antiqua" w:eastAsia="DejaVuSans" w:hAnsi="Book Antiqua"/>
          <w:b/>
          <w:i/>
          <w:iCs/>
        </w:rPr>
        <w:t xml:space="preserve">Hepatitis C virus </w:t>
      </w:r>
      <w:r>
        <w:rPr>
          <w:rFonts w:ascii="Book Antiqua" w:hAnsi="Book Antiqua"/>
          <w:b/>
          <w:i/>
          <w:iCs/>
          <w:lang w:bidi="ar-EG"/>
        </w:rPr>
        <w:t>and glomerulopathies</w:t>
      </w:r>
    </w:p>
    <w:p w14:paraId="45DD20BB" w14:textId="77777777" w:rsidR="008A6CD8" w:rsidRDefault="00477245">
      <w:pPr>
        <w:spacing w:line="360" w:lineRule="auto"/>
        <w:jc w:val="both"/>
        <w:rPr>
          <w:rFonts w:ascii="Book Antiqua" w:hAnsi="Book Antiqua"/>
          <w:bCs/>
        </w:rPr>
      </w:pPr>
      <w:r>
        <w:rPr>
          <w:rFonts w:ascii="Book Antiqua" w:hAnsi="Book Antiqua"/>
        </w:rPr>
        <w:t xml:space="preserve">HCV infection is associated with several glomerulopathies including membranoproliferative glomerulonephritis (MPGN). It is associated with MCV in 80%-95% of the cases. Other HCV glomerular diseases include membranous nephropathy, proliferative glomerulonephritis, focal segmental glomerulosclerosis, </w:t>
      </w:r>
      <w:bookmarkStart w:id="7" w:name="_Hlk90503250"/>
      <w:r>
        <w:rPr>
          <w:rFonts w:ascii="Book Antiqua" w:hAnsi="Book Antiqua"/>
        </w:rPr>
        <w:t>fibrillary glomerulonephritis, IgA nephropathy, immunotactoid glomerulopathy, and renal thrombotic microangiopathy. HCV infection also increases the risk of chronic kidney disease (CKD). The association between chronic HCV infection and CKD is more significant with high HCV viral load and HCV genotype 2</w:t>
      </w:r>
      <w:bookmarkEnd w:id="7"/>
      <w:r>
        <w:rPr>
          <w:rFonts w:ascii="Book Antiqua" w:hAnsi="Book Antiqua"/>
          <w:vertAlign w:val="superscript"/>
        </w:rPr>
        <w:t>[</w:t>
      </w:r>
      <w:r>
        <w:rPr>
          <w:rFonts w:ascii="Book Antiqua" w:hAnsi="Book Antiqua"/>
          <w:bCs/>
          <w:vertAlign w:val="superscript"/>
        </w:rPr>
        <w:t>84,101,102]</w:t>
      </w:r>
      <w:r>
        <w:rPr>
          <w:rFonts w:ascii="Book Antiqua" w:hAnsi="Book Antiqua"/>
          <w:bCs/>
        </w:rPr>
        <w:t>.</w:t>
      </w:r>
    </w:p>
    <w:p w14:paraId="4F3D6F10" w14:textId="77777777" w:rsidR="008A6CD8" w:rsidRDefault="00477245">
      <w:pPr>
        <w:spacing w:line="360" w:lineRule="auto"/>
        <w:ind w:firstLineChars="200" w:firstLine="480"/>
        <w:jc w:val="both"/>
        <w:rPr>
          <w:rFonts w:ascii="Book Antiqua" w:hAnsi="Book Antiqua"/>
        </w:rPr>
      </w:pPr>
      <w:r>
        <w:rPr>
          <w:rFonts w:ascii="Book Antiqua" w:hAnsi="Book Antiqua"/>
        </w:rPr>
        <w:lastRenderedPageBreak/>
        <w:t>In MPGN associated with MCV, the developed immune complex deposits in the mesangium, capillaries, and urinary space of glomeruli, which can be manifested as nephrotic and nephritic syndromes</w:t>
      </w:r>
      <w:r>
        <w:rPr>
          <w:rFonts w:ascii="Book Antiqua" w:hAnsi="Book Antiqua"/>
          <w:vertAlign w:val="superscript"/>
        </w:rPr>
        <w:t>[</w:t>
      </w:r>
      <w:r>
        <w:rPr>
          <w:rFonts w:ascii="Book Antiqua" w:hAnsi="Book Antiqua"/>
          <w:bCs/>
          <w:vertAlign w:val="superscript"/>
          <w:lang w:bidi="ar-EG"/>
        </w:rPr>
        <w:t>91,103,104]</w:t>
      </w:r>
      <w:r>
        <w:rPr>
          <w:rFonts w:ascii="Book Antiqua" w:hAnsi="Book Antiqua"/>
          <w:bCs/>
        </w:rPr>
        <w:t xml:space="preserve">. </w:t>
      </w:r>
      <w:r>
        <w:rPr>
          <w:rFonts w:ascii="Book Antiqua" w:hAnsi="Book Antiqua"/>
        </w:rPr>
        <w:t xml:space="preserve">Furthermore, HCV can cause kidney damage through direct cytopathic effect by viral invasion of the renal parenchyma (mesangial, endothelial, and tubular cells of the kidney) and through nephrotoxicity of drugs used for its treatment. Additionally, non-immunological pathways as oxidative stress or pro-inflammatory cytokines help the development of renal disease by vascular injury as shown in </w:t>
      </w:r>
      <w:r>
        <w:rPr>
          <w:rFonts w:ascii="Book Antiqua" w:hAnsi="Book Antiqua"/>
          <w:bCs/>
          <w:shd w:val="clear" w:color="auto" w:fill="FFFFFF"/>
        </w:rPr>
        <w:t>Figure 1</w:t>
      </w:r>
      <w:r>
        <w:rPr>
          <w:rFonts w:ascii="Book Antiqua" w:hAnsi="Book Antiqua"/>
        </w:rPr>
        <w:t>. In addition, HCV infected patients may have an increased risk of insulin resistance, which develops during the inflammation process and exacerbates renal damage</w:t>
      </w:r>
      <w:r>
        <w:rPr>
          <w:rFonts w:ascii="Book Antiqua" w:hAnsi="Book Antiqua"/>
          <w:vertAlign w:val="superscript"/>
        </w:rPr>
        <w:t>[</w:t>
      </w:r>
      <w:r>
        <w:rPr>
          <w:rFonts w:ascii="Book Antiqua" w:hAnsi="Book Antiqua"/>
          <w:bCs/>
          <w:vertAlign w:val="superscript"/>
        </w:rPr>
        <w:t>105-108]</w:t>
      </w:r>
      <w:r>
        <w:rPr>
          <w:rFonts w:ascii="Book Antiqua" w:hAnsi="Book Antiqua"/>
          <w:bCs/>
        </w:rPr>
        <w:t>.</w:t>
      </w:r>
      <w:r>
        <w:rPr>
          <w:rFonts w:ascii="Book Antiqua" w:hAnsi="Book Antiqua"/>
        </w:rPr>
        <w:t xml:space="preserve"> In very few cases, viral NS3 was found in the glomerular deposits, capillary walls, and the mesangium</w:t>
      </w:r>
      <w:r>
        <w:rPr>
          <w:rFonts w:ascii="Book Antiqua" w:hAnsi="Book Antiqua"/>
          <w:vertAlign w:val="superscript"/>
        </w:rPr>
        <w:t>[</w:t>
      </w:r>
      <w:r>
        <w:rPr>
          <w:rFonts w:ascii="Book Antiqua" w:hAnsi="Book Antiqua"/>
          <w:bCs/>
          <w:vertAlign w:val="superscript"/>
        </w:rPr>
        <w:t>84]</w:t>
      </w:r>
      <w:r>
        <w:rPr>
          <w:rFonts w:ascii="Book Antiqua" w:hAnsi="Book Antiqua"/>
          <w:bCs/>
        </w:rPr>
        <w:t>.</w:t>
      </w:r>
    </w:p>
    <w:p w14:paraId="02DA9D72" w14:textId="77777777" w:rsidR="008A6CD8" w:rsidRDefault="00477245">
      <w:pPr>
        <w:spacing w:line="360" w:lineRule="auto"/>
        <w:ind w:firstLineChars="200" w:firstLine="480"/>
        <w:jc w:val="both"/>
        <w:rPr>
          <w:rFonts w:ascii="Book Antiqua" w:hAnsi="Book Antiqua"/>
        </w:rPr>
      </w:pPr>
      <w:r>
        <w:rPr>
          <w:rFonts w:ascii="Book Antiqua" w:hAnsi="Book Antiqua"/>
        </w:rPr>
        <w:t>Previously, HCV kidney manifestations were treated with PEG-IFN plus RBV; however, these drugs presented low efficacy, low SVR (&lt; 50%), and severe side effects as acute renal failure, graft failure, and hemolytic anemia</w:t>
      </w:r>
      <w:r>
        <w:rPr>
          <w:rFonts w:ascii="Book Antiqua" w:hAnsi="Book Antiqua"/>
          <w:vertAlign w:val="superscript"/>
        </w:rPr>
        <w:t>[</w:t>
      </w:r>
      <w:r>
        <w:rPr>
          <w:rFonts w:ascii="Book Antiqua" w:hAnsi="Book Antiqua"/>
          <w:bCs/>
          <w:vertAlign w:val="superscript"/>
        </w:rPr>
        <w:t>109,110]</w:t>
      </w:r>
      <w:r>
        <w:rPr>
          <w:rFonts w:ascii="Book Antiqua" w:hAnsi="Book Antiqua"/>
          <w:bCs/>
        </w:rPr>
        <w:t>.</w:t>
      </w:r>
      <w:r>
        <w:rPr>
          <w:rFonts w:ascii="Book Antiqua" w:hAnsi="Book Antiqua"/>
        </w:rPr>
        <w:t xml:space="preserve"> DAA therapy improves glomerular filtration rate, decreases proteinuria and hematuria, and shortens treatment duration to only 8-12 wk without significant side effects</w:t>
      </w:r>
      <w:r>
        <w:rPr>
          <w:rFonts w:ascii="Book Antiqua" w:hAnsi="Book Antiqua"/>
          <w:vertAlign w:val="superscript"/>
        </w:rPr>
        <w:t>[</w:t>
      </w:r>
      <w:r>
        <w:rPr>
          <w:rFonts w:ascii="Book Antiqua" w:hAnsi="Book Antiqua"/>
          <w:bCs/>
          <w:vertAlign w:val="superscript"/>
        </w:rPr>
        <w:t>111-113]</w:t>
      </w:r>
      <w:r>
        <w:rPr>
          <w:rFonts w:ascii="Book Antiqua" w:hAnsi="Book Antiqua"/>
          <w:bCs/>
        </w:rPr>
        <w:t xml:space="preserve">. </w:t>
      </w:r>
      <w:r>
        <w:rPr>
          <w:rFonts w:ascii="Book Antiqua" w:hAnsi="Book Antiqua"/>
        </w:rPr>
        <w:t>Delays in initiation of DAA therapy could have deleterious effects</w:t>
      </w:r>
      <w:r>
        <w:rPr>
          <w:rFonts w:ascii="Book Antiqua" w:hAnsi="Book Antiqua"/>
          <w:vertAlign w:val="superscript"/>
        </w:rPr>
        <w:t>[</w:t>
      </w:r>
      <w:r>
        <w:rPr>
          <w:rFonts w:ascii="Book Antiqua" w:hAnsi="Book Antiqua"/>
          <w:bCs/>
          <w:vertAlign w:val="superscript"/>
        </w:rPr>
        <w:t>114-116]</w:t>
      </w:r>
      <w:r>
        <w:rPr>
          <w:rFonts w:ascii="Book Antiqua" w:hAnsi="Book Antiqua"/>
          <w:bCs/>
        </w:rPr>
        <w:t xml:space="preserve">. </w:t>
      </w:r>
      <w:r>
        <w:rPr>
          <w:rFonts w:ascii="Book Antiqua" w:hAnsi="Book Antiqua"/>
        </w:rPr>
        <w:t>In patients with an estimated glomerular filtration rate (eGFR) &gt; 30 ml/min/1.73 m</w:t>
      </w:r>
      <w:r>
        <w:rPr>
          <w:rFonts w:ascii="Book Antiqua" w:hAnsi="Book Antiqua"/>
          <w:vertAlign w:val="superscript"/>
        </w:rPr>
        <w:t>2</w:t>
      </w:r>
      <w:r>
        <w:rPr>
          <w:rFonts w:ascii="Book Antiqua" w:hAnsi="Book Antiqua"/>
        </w:rPr>
        <w:t>, the use of SOF with SIM with or without ribavirin decreased proteinuria and improved eGFR</w:t>
      </w:r>
      <w:r>
        <w:rPr>
          <w:rFonts w:ascii="Book Antiqua" w:hAnsi="Book Antiqua"/>
          <w:vertAlign w:val="superscript"/>
        </w:rPr>
        <w:t>[</w:t>
      </w:r>
      <w:r>
        <w:rPr>
          <w:rFonts w:ascii="Book Antiqua" w:hAnsi="Book Antiqua"/>
          <w:bCs/>
          <w:vertAlign w:val="superscript"/>
        </w:rPr>
        <w:t>117,118]</w:t>
      </w:r>
      <w:r>
        <w:rPr>
          <w:rFonts w:ascii="Book Antiqua" w:hAnsi="Book Antiqua"/>
          <w:bCs/>
        </w:rPr>
        <w:t>.</w:t>
      </w:r>
      <w:r>
        <w:rPr>
          <w:rFonts w:ascii="Book Antiqua" w:hAnsi="Book Antiqua"/>
        </w:rPr>
        <w:t xml:space="preserve"> There are different approved regimens for patients having an eGFR &lt; 30 ml/min/1.73 m</w:t>
      </w:r>
      <w:r>
        <w:rPr>
          <w:rFonts w:ascii="Book Antiqua" w:hAnsi="Book Antiqua"/>
          <w:vertAlign w:val="superscript"/>
        </w:rPr>
        <w:t>2</w:t>
      </w:r>
      <w:r>
        <w:rPr>
          <w:rFonts w:ascii="Book Antiqua" w:hAnsi="Book Antiqua"/>
        </w:rPr>
        <w:t xml:space="preserve"> or those on dialysis: (1) OBV + PTV + Ritonavir (RITV) + DSV</w:t>
      </w:r>
      <w:r>
        <w:rPr>
          <w:rFonts w:ascii="Book Antiqua" w:hAnsi="Book Antiqua" w:hint="eastAsia"/>
          <w:lang w:eastAsia="zh-CN"/>
        </w:rPr>
        <w:t>;</w:t>
      </w:r>
      <w:r>
        <w:rPr>
          <w:rFonts w:ascii="Book Antiqua" w:hAnsi="Book Antiqua"/>
        </w:rPr>
        <w:t xml:space="preserve"> (2) </w:t>
      </w:r>
      <w:r>
        <w:rPr>
          <w:rFonts w:ascii="Book Antiqua" w:hAnsi="Book Antiqua"/>
          <w:shd w:val="clear" w:color="auto" w:fill="FFFFFF"/>
        </w:rPr>
        <w:t xml:space="preserve">RBV </w:t>
      </w:r>
      <w:r>
        <w:rPr>
          <w:rFonts w:ascii="Book Antiqua" w:hAnsi="Book Antiqua"/>
        </w:rPr>
        <w:t>+ Elbasvir + Grazoprevir</w:t>
      </w:r>
      <w:r>
        <w:rPr>
          <w:rFonts w:ascii="Book Antiqua" w:hAnsi="Book Antiqua" w:hint="eastAsia"/>
          <w:lang w:eastAsia="zh-CN"/>
        </w:rPr>
        <w:t>;</w:t>
      </w:r>
      <w:r>
        <w:rPr>
          <w:rFonts w:ascii="Book Antiqua" w:hAnsi="Book Antiqua"/>
        </w:rPr>
        <w:t xml:space="preserve"> and (3) GLE + PIB. The side effects were only mild general symptoms like fatigue, insomnia, dizziness, and headache</w:t>
      </w:r>
      <w:r>
        <w:rPr>
          <w:rFonts w:ascii="Book Antiqua" w:hAnsi="Book Antiqua"/>
          <w:vertAlign w:val="superscript"/>
        </w:rPr>
        <w:t>[</w:t>
      </w:r>
      <w:r>
        <w:rPr>
          <w:rFonts w:ascii="Book Antiqua" w:hAnsi="Book Antiqua"/>
          <w:bCs/>
          <w:vertAlign w:val="superscript"/>
        </w:rPr>
        <w:t>119-121]</w:t>
      </w:r>
      <w:r>
        <w:rPr>
          <w:rFonts w:ascii="Book Antiqua" w:hAnsi="Book Antiqua"/>
          <w:bCs/>
        </w:rPr>
        <w:t>.</w:t>
      </w:r>
      <w:r>
        <w:rPr>
          <w:rFonts w:ascii="Book Antiqua" w:hAnsi="Book Antiqua"/>
        </w:rPr>
        <w:t xml:space="preserve"> Furthermore, DCV and ASV are important options, especially for patients with renal impairment since both DCV and ASV have minimal renal excretion</w:t>
      </w:r>
      <w:r>
        <w:rPr>
          <w:rFonts w:ascii="Book Antiqua" w:hAnsi="Book Antiqua"/>
          <w:vertAlign w:val="superscript"/>
        </w:rPr>
        <w:t>[</w:t>
      </w:r>
      <w:r>
        <w:rPr>
          <w:rFonts w:ascii="Book Antiqua" w:hAnsi="Book Antiqua"/>
          <w:bCs/>
          <w:vertAlign w:val="superscript"/>
        </w:rPr>
        <w:t>122]</w:t>
      </w:r>
      <w:r>
        <w:rPr>
          <w:rFonts w:ascii="Book Antiqua" w:hAnsi="Book Antiqua"/>
          <w:bCs/>
        </w:rPr>
        <w:t>.</w:t>
      </w:r>
    </w:p>
    <w:p w14:paraId="17D6CFB8" w14:textId="77777777" w:rsidR="008A6CD8" w:rsidRDefault="008A6CD8">
      <w:pPr>
        <w:autoSpaceDE w:val="0"/>
        <w:autoSpaceDN w:val="0"/>
        <w:adjustRightInd w:val="0"/>
        <w:spacing w:line="360" w:lineRule="auto"/>
        <w:jc w:val="both"/>
        <w:rPr>
          <w:rFonts w:ascii="Book Antiqua" w:hAnsi="Book Antiqua"/>
          <w:b/>
          <w:i/>
          <w:iCs/>
          <w:lang w:eastAsia="zh-CN" w:bidi="ar-EG"/>
        </w:rPr>
      </w:pPr>
      <w:bookmarkStart w:id="8" w:name="_Hlk88944079"/>
    </w:p>
    <w:p w14:paraId="26EB8D41" w14:textId="77777777" w:rsidR="008A6CD8" w:rsidRDefault="00477245">
      <w:pPr>
        <w:autoSpaceDE w:val="0"/>
        <w:autoSpaceDN w:val="0"/>
        <w:adjustRightInd w:val="0"/>
        <w:spacing w:line="360" w:lineRule="auto"/>
        <w:jc w:val="both"/>
        <w:rPr>
          <w:rFonts w:ascii="Book Antiqua" w:hAnsi="Book Antiqua"/>
          <w:b/>
          <w:i/>
          <w:iCs/>
          <w:lang w:bidi="ar-EG"/>
        </w:rPr>
      </w:pPr>
      <w:r>
        <w:rPr>
          <w:rFonts w:ascii="Book Antiqua" w:eastAsia="DejaVuSans" w:hAnsi="Book Antiqua"/>
          <w:b/>
          <w:i/>
          <w:iCs/>
        </w:rPr>
        <w:t>Hepatitis C virus</w:t>
      </w:r>
      <w:r>
        <w:rPr>
          <w:rFonts w:ascii="Book Antiqua" w:hAnsi="Book Antiqua"/>
          <w:b/>
          <w:i/>
          <w:iCs/>
          <w:lang w:bidi="ar-EG"/>
        </w:rPr>
        <w:t xml:space="preserve"> and type 2 diabetes mellitus</w:t>
      </w:r>
    </w:p>
    <w:bookmarkEnd w:id="8"/>
    <w:p w14:paraId="3596C510" w14:textId="77777777" w:rsidR="008A6CD8" w:rsidRDefault="00477245">
      <w:pPr>
        <w:spacing w:line="360" w:lineRule="auto"/>
        <w:jc w:val="both"/>
        <w:rPr>
          <w:rFonts w:ascii="Book Antiqua" w:hAnsi="Book Antiqua"/>
        </w:rPr>
      </w:pPr>
      <w:r>
        <w:rPr>
          <w:rFonts w:ascii="Book Antiqua" w:hAnsi="Book Antiqua"/>
        </w:rPr>
        <w:t>HCV infected patients have impaired glucose metabolism with hyperinsulinemia due to decreased insulin catabolism or insulin resistance (IR). Up to 60</w:t>
      </w:r>
      <w:r>
        <w:rPr>
          <w:rFonts w:ascii="Book Antiqua" w:hAnsi="Book Antiqua" w:hint="eastAsia"/>
          <w:lang w:eastAsia="zh-CN"/>
        </w:rPr>
        <w:t>%</w:t>
      </w:r>
      <w:r>
        <w:rPr>
          <w:rFonts w:ascii="Book Antiqua" w:hAnsi="Book Antiqua"/>
        </w:rPr>
        <w:t xml:space="preserve">-80% of HCV cases have </w:t>
      </w:r>
      <w:r>
        <w:rPr>
          <w:rFonts w:ascii="Book Antiqua" w:hAnsi="Book Antiqua"/>
        </w:rPr>
        <w:lastRenderedPageBreak/>
        <w:t>glucose intolerance, 20% of them develop type 2 diabetes (T2DM), and up to 41%-70% of them have IR. T2DM which develops as a complication of HCV infection is known as hepatogenous diabetes</w:t>
      </w:r>
      <w:r>
        <w:rPr>
          <w:rFonts w:ascii="Book Antiqua" w:hAnsi="Book Antiqua"/>
          <w:vertAlign w:val="superscript"/>
        </w:rPr>
        <w:t>[</w:t>
      </w:r>
      <w:r>
        <w:rPr>
          <w:rFonts w:ascii="Book Antiqua" w:hAnsi="Book Antiqua"/>
          <w:bCs/>
          <w:vertAlign w:val="superscript"/>
        </w:rPr>
        <w:t>123-125]</w:t>
      </w:r>
      <w:r>
        <w:rPr>
          <w:rFonts w:ascii="Book Antiqua" w:hAnsi="Book Antiqua"/>
          <w:bCs/>
        </w:rPr>
        <w:t>.</w:t>
      </w:r>
    </w:p>
    <w:p w14:paraId="7412D778" w14:textId="77777777" w:rsidR="008A6CD8" w:rsidRDefault="00477245">
      <w:pPr>
        <w:spacing w:line="360" w:lineRule="auto"/>
        <w:ind w:firstLineChars="200" w:firstLine="480"/>
        <w:jc w:val="both"/>
        <w:rPr>
          <w:rFonts w:ascii="Book Antiqua" w:hAnsi="Book Antiqua"/>
        </w:rPr>
      </w:pPr>
      <w:r>
        <w:rPr>
          <w:rFonts w:ascii="Book Antiqua" w:hAnsi="Book Antiqua"/>
        </w:rPr>
        <w:t xml:space="preserve">HCV can induce IR through direct and indirect ways as shown in </w:t>
      </w:r>
      <w:r>
        <w:rPr>
          <w:rFonts w:ascii="Book Antiqua" w:hAnsi="Book Antiqua"/>
          <w:bCs/>
        </w:rPr>
        <w:t>Figure 1.</w:t>
      </w:r>
      <w:r>
        <w:rPr>
          <w:rFonts w:ascii="Book Antiqua" w:hAnsi="Book Antiqua"/>
        </w:rPr>
        <w:t xml:space="preserve"> The viral core protein can directly interfere with intracellular insulin signaling by inhibiting the expression of insulin receptor substrate (IRS)-1 and IRS-2. HCV replicates in the pancreatic β-cells, causing impairment of their function involved in glucose metabolism. In addition, HCV infection can indirectly induce IR due to oxidative stress, liver steatosis, release of inflammatory cytokines such as TNF-α, interleukin (IL)-1, IL-6, and leptin, phosphorylation of the insulin-1 receptor substrate and protein kinase B, and up-regulation of gluconeogenic genes such as glucose 6 phosphatase and phosphoenolpyruvate carboxy kinase</w:t>
      </w:r>
      <w:r>
        <w:rPr>
          <w:rFonts w:ascii="Book Antiqua" w:hAnsi="Book Antiqua"/>
          <w:vertAlign w:val="superscript"/>
        </w:rPr>
        <w:t>[</w:t>
      </w:r>
      <w:r>
        <w:rPr>
          <w:rFonts w:ascii="Book Antiqua" w:hAnsi="Book Antiqua"/>
          <w:bCs/>
          <w:vertAlign w:val="superscript"/>
        </w:rPr>
        <w:t>84,126,127]</w:t>
      </w:r>
      <w:r>
        <w:rPr>
          <w:rFonts w:ascii="Book Antiqua" w:hAnsi="Book Antiqua"/>
          <w:bCs/>
        </w:rPr>
        <w:t>.</w:t>
      </w:r>
    </w:p>
    <w:p w14:paraId="11E0FC93" w14:textId="77777777" w:rsidR="008A6CD8" w:rsidRDefault="00477245">
      <w:pPr>
        <w:spacing w:line="360" w:lineRule="auto"/>
        <w:ind w:firstLineChars="200" w:firstLine="480"/>
        <w:jc w:val="both"/>
        <w:rPr>
          <w:rFonts w:ascii="Book Antiqua" w:hAnsi="Book Antiqua"/>
        </w:rPr>
      </w:pPr>
      <w:r>
        <w:rPr>
          <w:rFonts w:ascii="Book Antiqua" w:hAnsi="Book Antiqua"/>
        </w:rPr>
        <w:t xml:space="preserve">SVR with </w:t>
      </w:r>
      <w:r>
        <w:rPr>
          <w:rFonts w:ascii="Book Antiqua" w:hAnsi="Book Antiqua"/>
          <w:shd w:val="clear" w:color="auto" w:fill="FFFFFF"/>
        </w:rPr>
        <w:t>PEG-IFN and RBV</w:t>
      </w:r>
      <w:r>
        <w:rPr>
          <w:rFonts w:ascii="Book Antiqua" w:hAnsi="Book Antiqua"/>
        </w:rPr>
        <w:t xml:space="preserve"> is associated with decreased IR after 24 wk of therapy</w:t>
      </w:r>
      <w:r>
        <w:rPr>
          <w:rFonts w:ascii="Book Antiqua" w:hAnsi="Book Antiqua"/>
          <w:vertAlign w:val="superscript"/>
        </w:rPr>
        <w:t>[</w:t>
      </w:r>
      <w:r>
        <w:rPr>
          <w:rFonts w:ascii="Book Antiqua" w:hAnsi="Book Antiqua"/>
          <w:bCs/>
          <w:vertAlign w:val="superscript"/>
        </w:rPr>
        <w:t>128,129]</w:t>
      </w:r>
      <w:r>
        <w:rPr>
          <w:rFonts w:ascii="Book Antiqua" w:hAnsi="Book Antiqua"/>
          <w:bCs/>
        </w:rPr>
        <w:t xml:space="preserve">. </w:t>
      </w:r>
      <w:r>
        <w:rPr>
          <w:rFonts w:ascii="Book Antiqua" w:hAnsi="Book Antiqua"/>
        </w:rPr>
        <w:t>DAAs improve the IR by 90%. Treatment with DAA regimens has ameliorated hyperglycemia, recovered pancreatic beta-cell function, and reduced cytokine production</w:t>
      </w:r>
      <w:r>
        <w:rPr>
          <w:rFonts w:ascii="Book Antiqua" w:hAnsi="Book Antiqua"/>
          <w:vertAlign w:val="superscript"/>
        </w:rPr>
        <w:t>[</w:t>
      </w:r>
      <w:r>
        <w:rPr>
          <w:rFonts w:ascii="Book Antiqua" w:hAnsi="Book Antiqua"/>
          <w:bCs/>
          <w:vertAlign w:val="superscript"/>
        </w:rPr>
        <w:t>130-132]</w:t>
      </w:r>
      <w:r>
        <w:rPr>
          <w:rFonts w:ascii="Book Antiqua" w:hAnsi="Book Antiqua"/>
          <w:bCs/>
        </w:rPr>
        <w:t>.</w:t>
      </w:r>
      <w:r>
        <w:rPr>
          <w:rFonts w:ascii="Book Antiqua" w:hAnsi="Book Antiqua"/>
        </w:rPr>
        <w:t xml:space="preserve"> Furthermore, the eradication of HCV by DAAs such as SOF-based regimen led to the improvement in hemoglobin A1c percentage</w:t>
      </w:r>
      <w:r>
        <w:rPr>
          <w:rFonts w:ascii="Book Antiqua" w:hAnsi="Book Antiqua"/>
          <w:vertAlign w:val="superscript"/>
        </w:rPr>
        <w:t>[</w:t>
      </w:r>
      <w:r>
        <w:rPr>
          <w:rFonts w:ascii="Book Antiqua" w:hAnsi="Book Antiqua"/>
          <w:bCs/>
          <w:vertAlign w:val="superscript"/>
        </w:rPr>
        <w:t>133,134]</w:t>
      </w:r>
      <w:r>
        <w:rPr>
          <w:rFonts w:ascii="Book Antiqua" w:hAnsi="Book Antiqua"/>
          <w:bCs/>
        </w:rPr>
        <w:t>.</w:t>
      </w:r>
    </w:p>
    <w:p w14:paraId="7F464F1E" w14:textId="77777777" w:rsidR="008A6CD8" w:rsidRDefault="008A6CD8">
      <w:pPr>
        <w:autoSpaceDE w:val="0"/>
        <w:autoSpaceDN w:val="0"/>
        <w:adjustRightInd w:val="0"/>
        <w:spacing w:line="360" w:lineRule="auto"/>
        <w:jc w:val="both"/>
        <w:rPr>
          <w:rFonts w:ascii="Book Antiqua" w:hAnsi="Book Antiqua"/>
          <w:b/>
          <w:i/>
          <w:iCs/>
          <w:lang w:eastAsia="zh-CN" w:bidi="ar-EG"/>
        </w:rPr>
      </w:pPr>
    </w:p>
    <w:p w14:paraId="4756292F" w14:textId="77777777" w:rsidR="008A6CD8" w:rsidRDefault="00477245">
      <w:pPr>
        <w:autoSpaceDE w:val="0"/>
        <w:autoSpaceDN w:val="0"/>
        <w:adjustRightInd w:val="0"/>
        <w:spacing w:line="360" w:lineRule="auto"/>
        <w:jc w:val="both"/>
        <w:rPr>
          <w:rFonts w:ascii="Book Antiqua" w:hAnsi="Book Antiqua"/>
          <w:b/>
          <w:i/>
          <w:iCs/>
          <w:lang w:bidi="ar-EG"/>
        </w:rPr>
      </w:pPr>
      <w:r>
        <w:rPr>
          <w:rFonts w:ascii="Book Antiqua" w:eastAsia="DejaVuSans" w:hAnsi="Book Antiqua"/>
          <w:b/>
          <w:i/>
          <w:iCs/>
        </w:rPr>
        <w:t>Hepatitis C virus</w:t>
      </w:r>
      <w:r>
        <w:rPr>
          <w:rFonts w:ascii="Book Antiqua" w:hAnsi="Book Antiqua"/>
          <w:b/>
          <w:i/>
          <w:iCs/>
          <w:lang w:bidi="ar-EG"/>
        </w:rPr>
        <w:t xml:space="preserve"> and rheumatological manifestations</w:t>
      </w:r>
    </w:p>
    <w:p w14:paraId="4F76D082" w14:textId="77777777" w:rsidR="008A6CD8" w:rsidRDefault="00477245">
      <w:pPr>
        <w:autoSpaceDE w:val="0"/>
        <w:autoSpaceDN w:val="0"/>
        <w:adjustRightInd w:val="0"/>
        <w:spacing w:line="360" w:lineRule="auto"/>
        <w:jc w:val="both"/>
        <w:rPr>
          <w:rFonts w:ascii="Book Antiqua" w:hAnsi="Book Antiqua"/>
          <w:bCs/>
        </w:rPr>
      </w:pPr>
      <w:r>
        <w:rPr>
          <w:rFonts w:ascii="Book Antiqua" w:hAnsi="Book Antiqua"/>
        </w:rPr>
        <w:t>The rheumatologic and musculoskeletal manifestations are the most common EHMs, affecting 40-80% of HCV infected patients. MC is one of the causes of HCV associated rheumatologic manifestations (RM)</w:t>
      </w:r>
      <w:r>
        <w:rPr>
          <w:rFonts w:ascii="Book Antiqua" w:hAnsi="Book Antiqua"/>
          <w:vertAlign w:val="superscript"/>
        </w:rPr>
        <w:t>[</w:t>
      </w:r>
      <w:r>
        <w:rPr>
          <w:rFonts w:ascii="Book Antiqua" w:hAnsi="Book Antiqua"/>
          <w:bCs/>
          <w:vertAlign w:val="superscript"/>
        </w:rPr>
        <w:t>135]</w:t>
      </w:r>
      <w:r>
        <w:rPr>
          <w:rFonts w:ascii="Book Antiqua" w:hAnsi="Book Antiqua"/>
          <w:bCs/>
        </w:rPr>
        <w:t>.</w:t>
      </w:r>
      <w:r>
        <w:rPr>
          <w:rFonts w:ascii="Book Antiqua" w:hAnsi="Book Antiqua"/>
        </w:rPr>
        <w:t xml:space="preserve"> Cryoglobulins were found to be deposited in small vessels of joints</w:t>
      </w:r>
      <w:r>
        <w:rPr>
          <w:rFonts w:ascii="Book Antiqua" w:hAnsi="Book Antiqua"/>
          <w:vertAlign w:val="superscript"/>
        </w:rPr>
        <w:t>[</w:t>
      </w:r>
      <w:r>
        <w:rPr>
          <w:rFonts w:ascii="Book Antiqua" w:hAnsi="Book Antiqua"/>
          <w:bCs/>
          <w:vertAlign w:val="superscript"/>
        </w:rPr>
        <w:t>136]</w:t>
      </w:r>
      <w:r>
        <w:rPr>
          <w:rFonts w:ascii="Book Antiqua" w:hAnsi="Book Antiqua"/>
          <w:bCs/>
        </w:rPr>
        <w:t xml:space="preserve">. </w:t>
      </w:r>
      <w:r>
        <w:rPr>
          <w:rFonts w:ascii="Book Antiqua" w:hAnsi="Book Antiqua"/>
        </w:rPr>
        <w:t>These manifestations are numerous and diverse, including fatigue, arthritis or arthralgia, myalgia, polyarthralgia, fibromyalgia, poly/dermato-myositis, sicca syndrome, and non-inflammatory musculoskeletal pain. The articular involvement is usually bilateral, symmetrical, and non-deforming, and it usually targets small joints such as the metacarpophalangeal joints, the proximal interphalangeal joints, wrists, and fingers. The knee, ankles, and back may be also affected</w:t>
      </w:r>
      <w:r>
        <w:rPr>
          <w:rFonts w:ascii="Book Antiqua" w:hAnsi="Book Antiqua"/>
          <w:vertAlign w:val="superscript"/>
        </w:rPr>
        <w:t>[</w:t>
      </w:r>
      <w:r>
        <w:rPr>
          <w:rFonts w:ascii="Book Antiqua" w:hAnsi="Book Antiqua"/>
          <w:bCs/>
          <w:vertAlign w:val="superscript"/>
        </w:rPr>
        <w:t>137,138]</w:t>
      </w:r>
      <w:r>
        <w:rPr>
          <w:rFonts w:ascii="Book Antiqua" w:hAnsi="Book Antiqua"/>
          <w:bCs/>
        </w:rPr>
        <w:t>.</w:t>
      </w:r>
      <w:r>
        <w:rPr>
          <w:rFonts w:ascii="Book Antiqua" w:hAnsi="Book Antiqua"/>
          <w:lang w:bidi="ar-EG"/>
        </w:rPr>
        <w:t xml:space="preserve"> RF is usually </w:t>
      </w:r>
      <w:r>
        <w:rPr>
          <w:rFonts w:ascii="Book Antiqua" w:hAnsi="Book Antiqua"/>
          <w:lang w:bidi="ar-EG"/>
        </w:rPr>
        <w:lastRenderedPageBreak/>
        <w:t>positive in these cases but anti-cyclic citrullinated peptide antibodies are negative and can be used to differentiate HCV arthropathy from early rheumatoid arthritis</w:t>
      </w:r>
      <w:r>
        <w:rPr>
          <w:rFonts w:ascii="Book Antiqua" w:hAnsi="Book Antiqua"/>
          <w:bCs/>
          <w:vertAlign w:val="superscript"/>
        </w:rPr>
        <w:t>[139]</w:t>
      </w:r>
      <w:r>
        <w:rPr>
          <w:rFonts w:ascii="Book Antiqua" w:hAnsi="Book Antiqua"/>
          <w:bCs/>
        </w:rPr>
        <w:t>.</w:t>
      </w:r>
    </w:p>
    <w:p w14:paraId="1C29DC4D" w14:textId="77777777" w:rsidR="008A6CD8" w:rsidRDefault="00477245">
      <w:pPr>
        <w:autoSpaceDE w:val="0"/>
        <w:autoSpaceDN w:val="0"/>
        <w:adjustRightInd w:val="0"/>
        <w:spacing w:line="360" w:lineRule="auto"/>
        <w:ind w:firstLineChars="200" w:firstLine="480"/>
        <w:jc w:val="both"/>
        <w:rPr>
          <w:rFonts w:ascii="Book Antiqua" w:hAnsi="Book Antiqua"/>
          <w:bCs/>
        </w:rPr>
      </w:pPr>
      <w:r>
        <w:rPr>
          <w:rFonts w:ascii="Book Antiqua" w:hAnsi="Book Antiqua"/>
          <w:lang w:bidi="ar-EG"/>
        </w:rPr>
        <w:t>Sicca syndrome has been reported in 20 to 30% of patients with HCV infection. This may be due to the presence of the virus in the human salivary glands, where it can replicate.</w:t>
      </w:r>
      <w:r>
        <w:rPr>
          <w:rFonts w:ascii="Book Antiqua" w:hAnsi="Book Antiqua"/>
        </w:rPr>
        <w:t xml:space="preserve"> It is characterized by high RF titers, higher-frequency cryoglobulins, low antinuclear antibodies (ANA), hypocomplementemia, and a lower frequency of anti-Ro/SSA and anti-La/SSB autoantibodies</w:t>
      </w:r>
      <w:r>
        <w:rPr>
          <w:rFonts w:ascii="Book Antiqua" w:hAnsi="Book Antiqua"/>
          <w:vertAlign w:val="superscript"/>
        </w:rPr>
        <w:t>[</w:t>
      </w:r>
      <w:r>
        <w:rPr>
          <w:rFonts w:ascii="Book Antiqua" w:hAnsi="Book Antiqua"/>
          <w:bCs/>
          <w:vertAlign w:val="superscript"/>
        </w:rPr>
        <w:t>84]</w:t>
      </w:r>
      <w:r>
        <w:rPr>
          <w:rFonts w:ascii="Book Antiqua" w:hAnsi="Book Antiqua"/>
          <w:bCs/>
        </w:rPr>
        <w:t>.</w:t>
      </w:r>
      <w:r>
        <w:rPr>
          <w:rFonts w:ascii="Book Antiqua" w:hAnsi="Book Antiqua"/>
        </w:rPr>
        <w:t xml:space="preserve"> Myalgia is a common finding in HCV infected patients, and it occurs in about 15% of cases. The mechanism of RM is possibly related to direct action of the virus as it was detected in muscle fibers</w:t>
      </w:r>
      <w:r>
        <w:rPr>
          <w:rFonts w:ascii="Book Antiqua" w:hAnsi="Book Antiqua"/>
          <w:lang w:bidi="ar-EG"/>
        </w:rPr>
        <w:t xml:space="preserve">. </w:t>
      </w:r>
      <w:r>
        <w:rPr>
          <w:rFonts w:ascii="Book Antiqua" w:hAnsi="Book Antiqua"/>
          <w:bCs/>
        </w:rPr>
        <w:t>Figure 1</w:t>
      </w:r>
      <w:r>
        <w:rPr>
          <w:rFonts w:ascii="Book Antiqua" w:hAnsi="Book Antiqua"/>
        </w:rPr>
        <w:t xml:space="preserve"> shows that these RM are mostly mediated by immunological mechanisms rather than being related to the infection of extra-hepatic tissues. HCV envelope E2 protein binds with CD81 expressed on the membrane of B-cells, forming a complex that decreases the threshold for activation of B-cells and also causes reduction of its apoptosis</w:t>
      </w:r>
      <w:r>
        <w:rPr>
          <w:rFonts w:ascii="Book Antiqua" w:hAnsi="Book Antiqua"/>
          <w:bCs/>
        </w:rPr>
        <w:t xml:space="preserve">. </w:t>
      </w:r>
      <w:r>
        <w:rPr>
          <w:rFonts w:ascii="Book Antiqua" w:hAnsi="Book Antiqua"/>
        </w:rPr>
        <w:t>These lead</w:t>
      </w:r>
      <w:r>
        <w:rPr>
          <w:rFonts w:ascii="Book Antiqua" w:hAnsi="Book Antiqua"/>
          <w:bCs/>
        </w:rPr>
        <w:t xml:space="preserve"> </w:t>
      </w:r>
      <w:r>
        <w:rPr>
          <w:rFonts w:ascii="Book Antiqua" w:hAnsi="Book Antiqua"/>
        </w:rPr>
        <w:t>to aberrant activation of B-lymphocytes as well as their prolonged survival, therefore increasing the production of antibodies (including the auto-antibodies) and systemic inflammation</w:t>
      </w:r>
      <w:r>
        <w:rPr>
          <w:rFonts w:ascii="Book Antiqua" w:hAnsi="Book Antiqua"/>
          <w:vertAlign w:val="superscript"/>
        </w:rPr>
        <w:t>[</w:t>
      </w:r>
      <w:r>
        <w:rPr>
          <w:rFonts w:ascii="Book Antiqua" w:hAnsi="Book Antiqua"/>
          <w:bCs/>
          <w:vertAlign w:val="superscript"/>
        </w:rPr>
        <w:t>140]</w:t>
      </w:r>
      <w:r>
        <w:rPr>
          <w:rFonts w:ascii="Book Antiqua" w:hAnsi="Book Antiqua"/>
          <w:bCs/>
        </w:rPr>
        <w:t>.</w:t>
      </w:r>
      <w:r>
        <w:rPr>
          <w:rFonts w:ascii="Book Antiqua" w:hAnsi="Book Antiqua"/>
        </w:rPr>
        <w:t xml:space="preserve"> Tissue damages, either directly by viruses or as a result of immune aggressions against infected cells, result in the release of a large number of tissue antigens. Additionally, it has been previously postulated that similarities between HCV antigens and host antigens are partly responsible for the development of ANA and anti-smooth muscle antibodies (ASMA)</w:t>
      </w:r>
      <w:r>
        <w:rPr>
          <w:rFonts w:ascii="Book Antiqua" w:hAnsi="Book Antiqua"/>
          <w:vertAlign w:val="superscript"/>
        </w:rPr>
        <w:t>[</w:t>
      </w:r>
      <w:r>
        <w:rPr>
          <w:rFonts w:ascii="Book Antiqua" w:hAnsi="Book Antiqua"/>
          <w:bCs/>
          <w:vertAlign w:val="superscript"/>
        </w:rPr>
        <w:t>141]</w:t>
      </w:r>
      <w:r>
        <w:rPr>
          <w:rFonts w:ascii="Book Antiqua" w:hAnsi="Book Antiqua"/>
          <w:bCs/>
        </w:rPr>
        <w:t xml:space="preserve">. </w:t>
      </w:r>
      <w:r>
        <w:rPr>
          <w:rFonts w:ascii="Book Antiqua" w:hAnsi="Book Antiqua"/>
        </w:rPr>
        <w:t>RF was detected in 70% of patients, followed by ANA (20 to 40%), anticardiolipin antibodies (15%), antithyroid antibodies (12%), and ASMA (7%)</w:t>
      </w:r>
      <w:r>
        <w:rPr>
          <w:rFonts w:ascii="Book Antiqua" w:hAnsi="Book Antiqua"/>
          <w:bCs/>
          <w:vertAlign w:val="superscript"/>
        </w:rPr>
        <w:t>[140]</w:t>
      </w:r>
      <w:r>
        <w:rPr>
          <w:rFonts w:ascii="Book Antiqua" w:hAnsi="Book Antiqua"/>
          <w:bCs/>
        </w:rPr>
        <w:t>.</w:t>
      </w:r>
    </w:p>
    <w:p w14:paraId="0CF53DFB" w14:textId="77777777" w:rsidR="008A6CD8" w:rsidRDefault="00477245">
      <w:pPr>
        <w:shd w:val="clear" w:color="auto" w:fill="FFFFFF"/>
        <w:spacing w:line="360" w:lineRule="auto"/>
        <w:ind w:firstLineChars="200" w:firstLine="480"/>
        <w:jc w:val="both"/>
        <w:rPr>
          <w:rFonts w:ascii="Book Antiqua" w:hAnsi="Book Antiqua"/>
        </w:rPr>
      </w:pPr>
      <w:r>
        <w:rPr>
          <w:rFonts w:ascii="Book Antiqua" w:hAnsi="Book Antiqua"/>
        </w:rPr>
        <w:t>IFN-based regimens for HCV infection lead to exacerbation of rheumatic diseases and worsening of preexisting autoimmune disorders or even developing a new one</w:t>
      </w:r>
      <w:r>
        <w:rPr>
          <w:rFonts w:ascii="Book Antiqua" w:hAnsi="Book Antiqua"/>
          <w:vertAlign w:val="superscript"/>
        </w:rPr>
        <w:t>[</w:t>
      </w:r>
      <w:r>
        <w:rPr>
          <w:rFonts w:ascii="Book Antiqua" w:hAnsi="Book Antiqua"/>
          <w:bCs/>
          <w:vertAlign w:val="superscript"/>
        </w:rPr>
        <w:t>142]</w:t>
      </w:r>
      <w:r>
        <w:rPr>
          <w:rFonts w:ascii="Book Antiqua" w:hAnsi="Book Antiqua"/>
          <w:bCs/>
        </w:rPr>
        <w:t>.</w:t>
      </w:r>
      <w:r>
        <w:rPr>
          <w:rFonts w:ascii="Book Antiqua" w:hAnsi="Book Antiqua"/>
        </w:rPr>
        <w:t xml:space="preserve"> DAAs reduce the viral load and therefore decrease the production of antibodies. The eradication of HCV with DAAs supports improving the articular manifestations</w:t>
      </w:r>
      <w:r>
        <w:rPr>
          <w:rFonts w:ascii="Book Antiqua" w:hAnsi="Book Antiqua"/>
          <w:vertAlign w:val="superscript"/>
        </w:rPr>
        <w:t>[</w:t>
      </w:r>
      <w:r>
        <w:rPr>
          <w:rFonts w:ascii="Book Antiqua" w:hAnsi="Book Antiqua"/>
          <w:bCs/>
          <w:vertAlign w:val="superscript"/>
        </w:rPr>
        <w:t>141]</w:t>
      </w:r>
      <w:r>
        <w:rPr>
          <w:rFonts w:ascii="Book Antiqua" w:hAnsi="Book Antiqua"/>
          <w:bCs/>
        </w:rPr>
        <w:t>.</w:t>
      </w:r>
      <w:r>
        <w:rPr>
          <w:rFonts w:ascii="Book Antiqua" w:hAnsi="Book Antiqua"/>
        </w:rPr>
        <w:t xml:space="preserve"> SOF and DCV with or without ribavirin combination therapy are an effective and safe treatment with minimal side effects for eradication of HCV infection and amelioration of HCV related RM</w:t>
      </w:r>
      <w:r>
        <w:rPr>
          <w:rFonts w:ascii="Book Antiqua" w:hAnsi="Book Antiqua"/>
          <w:vertAlign w:val="superscript"/>
        </w:rPr>
        <w:t>[</w:t>
      </w:r>
      <w:r>
        <w:rPr>
          <w:rFonts w:ascii="Book Antiqua" w:hAnsi="Book Antiqua"/>
          <w:bCs/>
          <w:vertAlign w:val="superscript"/>
        </w:rPr>
        <w:t>143,144]</w:t>
      </w:r>
      <w:r>
        <w:rPr>
          <w:rFonts w:ascii="Book Antiqua" w:hAnsi="Book Antiqua"/>
          <w:bCs/>
        </w:rPr>
        <w:t>.</w:t>
      </w:r>
    </w:p>
    <w:p w14:paraId="37578F04" w14:textId="77777777" w:rsidR="008A6CD8" w:rsidRDefault="008A6CD8">
      <w:pPr>
        <w:spacing w:line="360" w:lineRule="auto"/>
        <w:jc w:val="both"/>
        <w:rPr>
          <w:rFonts w:ascii="Book Antiqua" w:hAnsi="Book Antiqua"/>
          <w:bCs/>
        </w:rPr>
      </w:pPr>
    </w:p>
    <w:p w14:paraId="35165536" w14:textId="77777777" w:rsidR="008A6CD8" w:rsidRDefault="00477245">
      <w:pPr>
        <w:autoSpaceDE w:val="0"/>
        <w:autoSpaceDN w:val="0"/>
        <w:adjustRightInd w:val="0"/>
        <w:spacing w:line="360" w:lineRule="auto"/>
        <w:jc w:val="both"/>
        <w:rPr>
          <w:rFonts w:ascii="Book Antiqua" w:hAnsi="Book Antiqua"/>
          <w:b/>
          <w:i/>
          <w:iCs/>
          <w:lang w:bidi="ar-EG"/>
        </w:rPr>
      </w:pPr>
      <w:r>
        <w:rPr>
          <w:rFonts w:ascii="Book Antiqua" w:eastAsia="DejaVuSans" w:hAnsi="Book Antiqua"/>
          <w:b/>
          <w:i/>
          <w:iCs/>
        </w:rPr>
        <w:lastRenderedPageBreak/>
        <w:t>Hepatitis C virus</w:t>
      </w:r>
      <w:r>
        <w:rPr>
          <w:rFonts w:ascii="Book Antiqua" w:hAnsi="Book Antiqua"/>
          <w:b/>
          <w:i/>
          <w:iCs/>
          <w:lang w:bidi="ar-EG"/>
        </w:rPr>
        <w:t xml:space="preserve"> and cardiovascular diseases</w:t>
      </w:r>
    </w:p>
    <w:p w14:paraId="34CFBA68" w14:textId="77777777" w:rsidR="008A6CD8" w:rsidRDefault="00477245">
      <w:pPr>
        <w:autoSpaceDE w:val="0"/>
        <w:autoSpaceDN w:val="0"/>
        <w:adjustRightInd w:val="0"/>
        <w:spacing w:line="360" w:lineRule="auto"/>
        <w:jc w:val="both"/>
        <w:rPr>
          <w:rFonts w:ascii="Book Antiqua" w:hAnsi="Book Antiqua"/>
          <w:bCs/>
          <w:shd w:val="clear" w:color="auto" w:fill="FFFFFF"/>
        </w:rPr>
      </w:pPr>
      <w:r>
        <w:rPr>
          <w:rFonts w:ascii="Book Antiqua" w:hAnsi="Book Antiqua"/>
        </w:rPr>
        <w:t>Chronic HCV infection has a significant, direct or indirect impact on the increased risk of cardiovascular diseases (CVD)</w:t>
      </w:r>
      <w:r>
        <w:rPr>
          <w:rFonts w:ascii="Book Antiqua" w:hAnsi="Book Antiqua"/>
          <w:vertAlign w:val="superscript"/>
        </w:rPr>
        <w:t>[</w:t>
      </w:r>
      <w:r>
        <w:rPr>
          <w:rFonts w:ascii="Book Antiqua" w:hAnsi="Book Antiqua"/>
          <w:bCs/>
          <w:vertAlign w:val="superscript"/>
        </w:rPr>
        <w:t>84]</w:t>
      </w:r>
      <w:r>
        <w:rPr>
          <w:rFonts w:ascii="Book Antiqua" w:hAnsi="Book Antiqua"/>
          <w:bCs/>
        </w:rPr>
        <w:t>.</w:t>
      </w:r>
      <w:r>
        <w:rPr>
          <w:rFonts w:ascii="Book Antiqua" w:hAnsi="Book Antiqua"/>
        </w:rPr>
        <w:t xml:space="preserve"> HCV infection is associated with a 27% increase in risk of CVD and cerebrovascular atherosclerotic diseases </w:t>
      </w:r>
      <w:r>
        <w:rPr>
          <w:rFonts w:ascii="Book Antiqua" w:eastAsia="OTNEJMQuadraat" w:hAnsi="Book Antiqua"/>
        </w:rPr>
        <w:t>including stroke</w:t>
      </w:r>
      <w:r>
        <w:rPr>
          <w:rFonts w:ascii="Book Antiqua" w:hAnsi="Book Antiqua"/>
        </w:rPr>
        <w:t xml:space="preserve"> events compared with uninfected controls</w:t>
      </w:r>
      <w:r>
        <w:rPr>
          <w:rFonts w:ascii="Book Antiqua" w:hAnsi="Book Antiqua"/>
          <w:vertAlign w:val="superscript"/>
        </w:rPr>
        <w:t>[</w:t>
      </w:r>
      <w:r>
        <w:rPr>
          <w:rFonts w:ascii="Book Antiqua" w:hAnsi="Book Antiqua"/>
          <w:bCs/>
          <w:vertAlign w:val="superscript"/>
        </w:rPr>
        <w:t>145,146]</w:t>
      </w:r>
      <w:r>
        <w:rPr>
          <w:rFonts w:ascii="Book Antiqua" w:hAnsi="Book Antiqua"/>
          <w:bCs/>
        </w:rPr>
        <w:t>.</w:t>
      </w:r>
      <w:r>
        <w:rPr>
          <w:rFonts w:ascii="Book Antiqua" w:hAnsi="Book Antiqua"/>
        </w:rPr>
        <w:t xml:space="preserve"> T</w:t>
      </w:r>
      <w:r>
        <w:rPr>
          <w:rFonts w:ascii="Book Antiqua" w:eastAsia="OTNEJMQuadraat" w:hAnsi="Book Antiqua"/>
        </w:rPr>
        <w:t>he risk of death from cerebrovascular causes has been correlated with HCV RNA levels</w:t>
      </w:r>
      <w:r>
        <w:rPr>
          <w:rFonts w:ascii="Book Antiqua" w:hAnsi="Book Antiqua"/>
          <w:bCs/>
          <w:vertAlign w:val="superscript"/>
        </w:rPr>
        <w:t>[147]</w:t>
      </w:r>
      <w:r>
        <w:rPr>
          <w:rFonts w:ascii="Book Antiqua" w:hAnsi="Book Antiqua"/>
          <w:bCs/>
        </w:rPr>
        <w:t>.</w:t>
      </w:r>
      <w:r>
        <w:rPr>
          <w:rFonts w:ascii="Book Antiqua" w:hAnsi="Book Antiqua"/>
        </w:rPr>
        <w:t xml:space="preserve"> A meta-analysis of nine case-control studies showed a two-fold higher risk of carotid plaques in HCV infected individuals compared with uninfected controls</w:t>
      </w:r>
      <w:r>
        <w:rPr>
          <w:rFonts w:ascii="Book Antiqua" w:hAnsi="Book Antiqua"/>
          <w:vertAlign w:val="superscript"/>
        </w:rPr>
        <w:t>[</w:t>
      </w:r>
      <w:r>
        <w:rPr>
          <w:rFonts w:ascii="Book Antiqua" w:hAnsi="Book Antiqua"/>
          <w:bCs/>
          <w:vertAlign w:val="superscript"/>
        </w:rPr>
        <w:t>148]</w:t>
      </w:r>
      <w:r>
        <w:rPr>
          <w:rFonts w:ascii="Book Antiqua" w:hAnsi="Book Antiqua"/>
          <w:bCs/>
        </w:rPr>
        <w:t>.</w:t>
      </w:r>
      <w:r>
        <w:rPr>
          <w:rFonts w:ascii="Book Antiqua" w:hAnsi="Book Antiqua"/>
        </w:rPr>
        <w:t xml:space="preserve"> Moreover, a higher prevalence of anti-HCV antibodies was detected in patients with cardiomyopathies and myocarditis than in the general population. The negative strand of HCV-RNA was detected in cardiac tissue, suggesting replication of the virus. These two findings indicate a direct association between HCV and cardiac injury, with CVD and heart failure seen in patients with HCV infection</w:t>
      </w:r>
      <w:r>
        <w:rPr>
          <w:rFonts w:ascii="Book Antiqua" w:eastAsia="OTNEJMQuadraat" w:hAnsi="Book Antiqua"/>
          <w:vertAlign w:val="superscript"/>
        </w:rPr>
        <w:t>[</w:t>
      </w:r>
      <w:r>
        <w:rPr>
          <w:rFonts w:ascii="Book Antiqua" w:eastAsia="OTNEJMQuadraat" w:hAnsi="Book Antiqua"/>
          <w:bCs/>
          <w:vertAlign w:val="superscript"/>
        </w:rPr>
        <w:t>145,149]</w:t>
      </w:r>
      <w:r>
        <w:rPr>
          <w:rFonts w:ascii="Book Antiqua" w:eastAsia="OTNEJMQuadraat" w:hAnsi="Book Antiqua"/>
          <w:bCs/>
        </w:rPr>
        <w:t xml:space="preserve">. </w:t>
      </w:r>
      <w:r>
        <w:rPr>
          <w:rFonts w:ascii="Book Antiqua" w:eastAsia="OTNEJMQuadraat" w:hAnsi="Book Antiqua"/>
        </w:rPr>
        <w:t>The effect of HCV infection on the risk of cardiovascular events was greater among older patients with hypertension or diabetes</w:t>
      </w:r>
      <w:r>
        <w:rPr>
          <w:rFonts w:ascii="Book Antiqua" w:eastAsia="OTNEJMQuadraat" w:hAnsi="Book Antiqua"/>
          <w:vertAlign w:val="superscript"/>
        </w:rPr>
        <w:t>[</w:t>
      </w:r>
      <w:r>
        <w:rPr>
          <w:rFonts w:ascii="Book Antiqua" w:eastAsia="OTNEJMQuadraat" w:hAnsi="Book Antiqua"/>
          <w:bCs/>
          <w:vertAlign w:val="superscript"/>
        </w:rPr>
        <w:t>146]</w:t>
      </w:r>
      <w:r>
        <w:rPr>
          <w:rFonts w:ascii="Book Antiqua" w:eastAsia="OTNEJMQuadraat" w:hAnsi="Book Antiqua"/>
          <w:bCs/>
        </w:rPr>
        <w:t>.</w:t>
      </w:r>
    </w:p>
    <w:p w14:paraId="202EEDB1" w14:textId="77777777" w:rsidR="008A6CD8" w:rsidRDefault="00477245">
      <w:pPr>
        <w:shd w:val="clear" w:color="auto" w:fill="FFFFFF"/>
        <w:spacing w:line="360" w:lineRule="auto"/>
        <w:ind w:firstLineChars="200" w:firstLine="480"/>
        <w:jc w:val="both"/>
        <w:rPr>
          <w:rFonts w:ascii="Book Antiqua" w:hAnsi="Book Antiqua"/>
          <w:bCs/>
          <w:shd w:val="clear" w:color="auto" w:fill="FFFFFF"/>
          <w:vertAlign w:val="superscript"/>
        </w:rPr>
      </w:pPr>
      <w:r>
        <w:rPr>
          <w:rFonts w:ascii="Book Antiqua" w:hAnsi="Book Antiqua"/>
        </w:rPr>
        <w:t xml:space="preserve">HCV infection leads to the development of atherosclerosis through different mechanisms as shown in </w:t>
      </w:r>
      <w:r>
        <w:rPr>
          <w:rFonts w:ascii="Book Antiqua" w:hAnsi="Book Antiqua"/>
          <w:bCs/>
        </w:rPr>
        <w:t>Figure 1</w:t>
      </w:r>
      <w:r>
        <w:rPr>
          <w:rFonts w:ascii="Book Antiqua" w:hAnsi="Book Antiqua"/>
        </w:rPr>
        <w:t>. A direct involvement of HCV in the induction of atherosclerosis, as the virus lives and replicates in thrombotic tissue, causes a chronic inflammatory reaction that participates in thrombus growth and instability</w:t>
      </w:r>
      <w:r>
        <w:rPr>
          <w:rFonts w:ascii="Book Antiqua" w:hAnsi="Book Antiqua"/>
          <w:vertAlign w:val="superscript"/>
        </w:rPr>
        <w:t>[</w:t>
      </w:r>
      <w:r>
        <w:rPr>
          <w:rFonts w:ascii="Book Antiqua" w:hAnsi="Book Antiqua"/>
          <w:bCs/>
          <w:vertAlign w:val="superscript"/>
        </w:rPr>
        <w:t>150]</w:t>
      </w:r>
      <w:r>
        <w:rPr>
          <w:rFonts w:ascii="Book Antiqua" w:hAnsi="Book Antiqua"/>
          <w:bCs/>
        </w:rPr>
        <w:t>.</w:t>
      </w:r>
      <w:r>
        <w:rPr>
          <w:rFonts w:ascii="Book Antiqua" w:hAnsi="Book Antiqua"/>
        </w:rPr>
        <w:t xml:space="preserve"> Endothelial cells express HCV entry receptors which support viral replication. Moreover, HCV causes endothelial dysfunction through promoting migration and proliferation of smooth muscle cells from the tunica media to the intimal surface. HCV alters endothelial permeability, causes cell apoptosis and so, produces endothelial dysfunction</w:t>
      </w:r>
      <w:r>
        <w:rPr>
          <w:rFonts w:ascii="Book Antiqua" w:hAnsi="Book Antiqua"/>
          <w:vertAlign w:val="superscript"/>
        </w:rPr>
        <w:t>[</w:t>
      </w:r>
      <w:r>
        <w:rPr>
          <w:rFonts w:ascii="Book Antiqua" w:hAnsi="Book Antiqua"/>
          <w:bCs/>
          <w:vertAlign w:val="superscript"/>
        </w:rPr>
        <w:t>151]</w:t>
      </w:r>
      <w:r>
        <w:rPr>
          <w:rFonts w:ascii="Book Antiqua" w:hAnsi="Book Antiqua"/>
          <w:bCs/>
        </w:rPr>
        <w:t>.</w:t>
      </w:r>
      <w:r>
        <w:rPr>
          <w:rFonts w:ascii="Book Antiqua" w:hAnsi="Book Antiqua"/>
        </w:rPr>
        <w:t xml:space="preserve"> Indirect mechanisms of atherosclerosis have been proposed, such as chronic low-grade systemic inflammation and activation of T helper cells with the release of pro-atherogenic cytokines and chemokines (</w:t>
      </w:r>
      <w:r>
        <w:rPr>
          <w:rFonts w:ascii="Book Antiqua" w:hAnsi="Book Antiqua"/>
          <w:i/>
        </w:rPr>
        <w:t>e.g.</w:t>
      </w:r>
      <w:r>
        <w:rPr>
          <w:rFonts w:ascii="Book Antiqua" w:hAnsi="Book Antiqua"/>
        </w:rPr>
        <w:t>, IL-1, IL-6, and TNF)</w:t>
      </w:r>
      <w:r>
        <w:rPr>
          <w:rFonts w:ascii="Book Antiqua" w:hAnsi="Book Antiqua"/>
          <w:vertAlign w:val="superscript"/>
        </w:rPr>
        <w:t>[</w:t>
      </w:r>
      <w:r>
        <w:rPr>
          <w:rFonts w:ascii="Book Antiqua" w:hAnsi="Book Antiqua"/>
          <w:bCs/>
          <w:vertAlign w:val="superscript"/>
        </w:rPr>
        <w:t>152,153]</w:t>
      </w:r>
      <w:r>
        <w:rPr>
          <w:rFonts w:ascii="Book Antiqua" w:hAnsi="Book Antiqua"/>
          <w:bCs/>
        </w:rPr>
        <w:t>.</w:t>
      </w:r>
      <w:r>
        <w:rPr>
          <w:rFonts w:ascii="Book Antiqua" w:hAnsi="Book Antiqua"/>
        </w:rPr>
        <w:t xml:space="preserve"> These in turn induce soluble vascular adhesion molecule 1 at the endothelial level, which has been found to be associated with endothelial dysfunction as well as the risk of CVD. HCV also interferes with glucose and lipid metabolism, leading to IR, diabetes, and liver steatosis, which are known factors that induce atherosclerosis</w:t>
      </w:r>
      <w:r>
        <w:rPr>
          <w:rFonts w:ascii="Book Antiqua" w:hAnsi="Book Antiqua"/>
          <w:vertAlign w:val="superscript"/>
        </w:rPr>
        <w:t>[</w:t>
      </w:r>
      <w:r>
        <w:rPr>
          <w:rFonts w:ascii="Book Antiqua" w:hAnsi="Book Antiqua"/>
          <w:bCs/>
          <w:vertAlign w:val="superscript"/>
        </w:rPr>
        <w:t>151]</w:t>
      </w:r>
      <w:r>
        <w:rPr>
          <w:rFonts w:ascii="Book Antiqua" w:hAnsi="Book Antiqua"/>
          <w:bCs/>
        </w:rPr>
        <w:t>.</w:t>
      </w:r>
      <w:r>
        <w:rPr>
          <w:rFonts w:ascii="Book Antiqua" w:hAnsi="Book Antiqua"/>
        </w:rPr>
        <w:t xml:space="preserve"> A high TNF-α/ adiponectin ratio was </w:t>
      </w:r>
      <w:r>
        <w:rPr>
          <w:rFonts w:ascii="Book Antiqua" w:hAnsi="Book Antiqua"/>
        </w:rPr>
        <w:lastRenderedPageBreak/>
        <w:t>found in HCV infected patients that is related to the development of IR and atherosclerosis</w:t>
      </w:r>
      <w:r>
        <w:rPr>
          <w:rFonts w:ascii="Book Antiqua" w:hAnsi="Book Antiqua"/>
          <w:vertAlign w:val="superscript"/>
        </w:rPr>
        <w:t>[</w:t>
      </w:r>
      <w:r>
        <w:rPr>
          <w:rFonts w:ascii="Book Antiqua" w:hAnsi="Book Antiqua"/>
          <w:bCs/>
          <w:vertAlign w:val="superscript"/>
        </w:rPr>
        <w:t>154]</w:t>
      </w:r>
      <w:r>
        <w:rPr>
          <w:rFonts w:ascii="Book Antiqua" w:hAnsi="Book Antiqua"/>
          <w:bCs/>
        </w:rPr>
        <w:t>.</w:t>
      </w:r>
    </w:p>
    <w:p w14:paraId="436164D6" w14:textId="2B829F44" w:rsidR="008A6CD8" w:rsidRDefault="00477245">
      <w:pPr>
        <w:spacing w:line="360" w:lineRule="auto"/>
        <w:ind w:firstLineChars="200" w:firstLine="480"/>
        <w:jc w:val="both"/>
        <w:rPr>
          <w:rFonts w:ascii="Book Antiqua" w:hAnsi="Book Antiqua"/>
          <w:bCs/>
        </w:rPr>
      </w:pPr>
      <w:r>
        <w:rPr>
          <w:rFonts w:ascii="Book Antiqua" w:hAnsi="Book Antiqua"/>
        </w:rPr>
        <w:t>Clearance of HCV by DAAs is associated with an improvement in atherosclerosis and metabolic and immunological conditions that promote the development of CVD</w:t>
      </w:r>
      <w:r>
        <w:rPr>
          <w:rFonts w:ascii="Book Antiqua" w:hAnsi="Book Antiqua"/>
          <w:vertAlign w:val="superscript"/>
        </w:rPr>
        <w:t>[</w:t>
      </w:r>
      <w:r>
        <w:rPr>
          <w:rFonts w:ascii="Book Antiqua" w:hAnsi="Book Antiqua"/>
          <w:bCs/>
          <w:vertAlign w:val="superscript"/>
        </w:rPr>
        <w:t>152]</w:t>
      </w:r>
      <w:r>
        <w:rPr>
          <w:rFonts w:ascii="Book Antiqua" w:hAnsi="Book Antiqua"/>
          <w:bCs/>
        </w:rPr>
        <w:t>.</w:t>
      </w:r>
      <w:r>
        <w:rPr>
          <w:rFonts w:ascii="Book Antiqua" w:hAnsi="Book Antiqua"/>
        </w:rPr>
        <w:t xml:space="preserve"> Several studies</w:t>
      </w:r>
      <w:r>
        <w:rPr>
          <w:rFonts w:ascii="Book Antiqua" w:hAnsi="Book Antiqua"/>
          <w:bCs/>
        </w:rPr>
        <w:t xml:space="preserve"> </w:t>
      </w:r>
      <w:r>
        <w:rPr>
          <w:rFonts w:ascii="Book Antiqua" w:hAnsi="Book Antiqua"/>
        </w:rPr>
        <w:t>reported the association between the achievement of SVR by DAAs and a significant reduction of the risk of acute coronary syndrome, CVD, and heart failure</w:t>
      </w:r>
      <w:r>
        <w:rPr>
          <w:rFonts w:ascii="Book Antiqua" w:hAnsi="Book Antiqua"/>
          <w:vertAlign w:val="superscript"/>
        </w:rPr>
        <w:t>[</w:t>
      </w:r>
      <w:r>
        <w:rPr>
          <w:rFonts w:ascii="Book Antiqua" w:hAnsi="Book Antiqua"/>
          <w:bCs/>
          <w:vertAlign w:val="superscript"/>
        </w:rPr>
        <w:t>84,155,156]</w:t>
      </w:r>
      <w:r>
        <w:rPr>
          <w:rFonts w:ascii="Book Antiqua" w:hAnsi="Book Antiqua"/>
          <w:bCs/>
        </w:rPr>
        <w:t xml:space="preserve">. </w:t>
      </w:r>
      <w:r>
        <w:rPr>
          <w:rFonts w:ascii="Book Antiqua" w:hAnsi="Book Antiqua"/>
          <w:shd w:val="clear" w:color="auto" w:fill="FFFFFF"/>
        </w:rPr>
        <w:t xml:space="preserve">In pre-diabetic patients, </w:t>
      </w:r>
      <w:r>
        <w:rPr>
          <w:rFonts w:ascii="Book Antiqua" w:hAnsi="Book Antiqua"/>
        </w:rPr>
        <w:t>Sasso</w:t>
      </w:r>
      <w:r>
        <w:rPr>
          <w:rFonts w:ascii="Book Antiqua" w:hAnsi="Book Antiqua"/>
          <w:i/>
        </w:rPr>
        <w:t xml:space="preserve"> et al</w:t>
      </w:r>
      <w:r>
        <w:rPr>
          <w:rFonts w:ascii="Book Antiqua" w:hAnsi="Book Antiqua"/>
          <w:bCs/>
          <w:vertAlign w:val="superscript"/>
        </w:rPr>
        <w:t>[</w:t>
      </w:r>
      <w:r>
        <w:rPr>
          <w:rFonts w:ascii="Book Antiqua" w:hAnsi="Book Antiqua"/>
          <w:bCs/>
          <w:shd w:val="clear" w:color="auto" w:fill="FFFFFF"/>
          <w:vertAlign w:val="superscript"/>
        </w:rPr>
        <w:t>157]</w:t>
      </w:r>
      <w:r>
        <w:rPr>
          <w:rFonts w:ascii="Book Antiqua" w:hAnsi="Book Antiqua"/>
          <w:shd w:val="clear" w:color="auto" w:fill="FFFFFF"/>
          <w:vertAlign w:val="superscript"/>
        </w:rPr>
        <w:t xml:space="preserve"> </w:t>
      </w:r>
      <w:r>
        <w:rPr>
          <w:rFonts w:ascii="Book Antiqua" w:hAnsi="Book Antiqua"/>
          <w:shd w:val="clear" w:color="auto" w:fill="FFFFFF"/>
        </w:rPr>
        <w:t xml:space="preserve">conducted a </w:t>
      </w:r>
      <w:r>
        <w:rPr>
          <w:rFonts w:ascii="Book Antiqua" w:hAnsi="Book Antiqua"/>
        </w:rPr>
        <w:t>prospective multicenter study on prediabetic HCV positive cohort</w:t>
      </w:r>
      <w:r>
        <w:rPr>
          <w:rFonts w:ascii="Book Antiqua" w:hAnsi="Book Antiqua" w:cs="Segoe UI"/>
          <w:shd w:val="clear" w:color="auto" w:fill="FFFFFF"/>
        </w:rPr>
        <w:t xml:space="preserve">. </w:t>
      </w:r>
      <w:r>
        <w:rPr>
          <w:rFonts w:ascii="Book Antiqua" w:hAnsi="Book Antiqua"/>
        </w:rPr>
        <w:t>They concluded that HCV eradication by DAAs allows a significant reduction of major CVD in the pre-diabetic population, regardless of the severity of liver disease and CV risk factors (age and hypercholesterolemia). This positive effect is mainly due to an improvement of serum markers of endothelial dysfunction and glucose metabolism</w:t>
      </w:r>
      <w:r>
        <w:rPr>
          <w:rFonts w:ascii="Book Antiqua" w:hAnsi="Book Antiqua"/>
          <w:vertAlign w:val="superscript"/>
        </w:rPr>
        <w:t>[</w:t>
      </w:r>
      <w:r>
        <w:rPr>
          <w:rFonts w:ascii="Book Antiqua" w:hAnsi="Book Antiqua"/>
          <w:bCs/>
          <w:vertAlign w:val="superscript"/>
        </w:rPr>
        <w:t>158,159]</w:t>
      </w:r>
      <w:r>
        <w:rPr>
          <w:rFonts w:ascii="Book Antiqua" w:hAnsi="Book Antiqua"/>
          <w:bCs/>
        </w:rPr>
        <w:t>.</w:t>
      </w:r>
    </w:p>
    <w:p w14:paraId="0A662ECD" w14:textId="77777777" w:rsidR="008A6CD8" w:rsidRDefault="008A6CD8">
      <w:pPr>
        <w:spacing w:line="360" w:lineRule="auto"/>
        <w:jc w:val="both"/>
        <w:rPr>
          <w:rFonts w:ascii="Book Antiqua" w:hAnsi="Book Antiqua"/>
        </w:rPr>
      </w:pPr>
    </w:p>
    <w:p w14:paraId="0D1E25C6" w14:textId="77777777" w:rsidR="008A6CD8" w:rsidRDefault="00477245">
      <w:pPr>
        <w:spacing w:line="360" w:lineRule="auto"/>
        <w:jc w:val="both"/>
        <w:rPr>
          <w:rFonts w:ascii="Book Antiqua" w:hAnsi="Book Antiqua"/>
          <w:b/>
          <w:i/>
          <w:iCs/>
        </w:rPr>
      </w:pPr>
      <w:r>
        <w:rPr>
          <w:rFonts w:ascii="Book Antiqua" w:eastAsia="DejaVuSans" w:hAnsi="Book Antiqua"/>
          <w:b/>
          <w:i/>
          <w:iCs/>
        </w:rPr>
        <w:t>Hepatitis C virus</w:t>
      </w:r>
      <w:r>
        <w:rPr>
          <w:rFonts w:ascii="Book Antiqua" w:hAnsi="Book Antiqua"/>
          <w:b/>
          <w:i/>
          <w:iCs/>
        </w:rPr>
        <w:t xml:space="preserve"> and non-Hodgkin lymphoma </w:t>
      </w:r>
    </w:p>
    <w:p w14:paraId="589BD25A" w14:textId="77777777" w:rsidR="008A6CD8" w:rsidRDefault="00477245">
      <w:pPr>
        <w:spacing w:line="360" w:lineRule="auto"/>
        <w:jc w:val="both"/>
        <w:rPr>
          <w:rFonts w:ascii="Book Antiqua" w:hAnsi="Book Antiqua"/>
        </w:rPr>
      </w:pPr>
      <w:r>
        <w:rPr>
          <w:rFonts w:ascii="Book Antiqua" w:hAnsi="Book Antiqua"/>
        </w:rPr>
        <w:t>A positive association was present between HCV and B-cell non-Hodgkin lymphoma (NHL) and it was detected among 5-15% of HCV patients. NHL includes marginal zone lymphoma, diffuse large B-cell lymphoma, lymphoplasmacytic lymphoma, follicular lymphoma, Burkitt’s lymphoma, non-Hodgkin T-cell lymphoma, and primary cutaneous T-cell lymphoma</w:t>
      </w:r>
      <w:r>
        <w:rPr>
          <w:rFonts w:ascii="Book Antiqua" w:hAnsi="Book Antiqua"/>
          <w:vertAlign w:val="superscript"/>
        </w:rPr>
        <w:t>[</w:t>
      </w:r>
      <w:r>
        <w:rPr>
          <w:rFonts w:ascii="Book Antiqua" w:hAnsi="Book Antiqua"/>
          <w:bCs/>
          <w:vertAlign w:val="superscript"/>
        </w:rPr>
        <w:t>160-162]</w:t>
      </w:r>
      <w:r>
        <w:rPr>
          <w:rFonts w:ascii="Book Antiqua" w:hAnsi="Book Antiqua"/>
          <w:bCs/>
        </w:rPr>
        <w:t>.</w:t>
      </w:r>
    </w:p>
    <w:p w14:paraId="6CE1B417" w14:textId="77777777" w:rsidR="008A6CD8" w:rsidRDefault="00477245">
      <w:pPr>
        <w:spacing w:line="360" w:lineRule="auto"/>
        <w:ind w:firstLineChars="200" w:firstLine="480"/>
        <w:jc w:val="both"/>
        <w:rPr>
          <w:rFonts w:ascii="Book Antiqua" w:hAnsi="Book Antiqua"/>
        </w:rPr>
      </w:pPr>
      <w:r>
        <w:rPr>
          <w:rFonts w:ascii="Book Antiqua" w:hAnsi="Book Antiqua"/>
        </w:rPr>
        <w:t>There are several HCV mechanisms determining neoplastic lymphoproliferative diseases. B</w:t>
      </w:r>
      <w:r>
        <w:rPr>
          <w:rFonts w:ascii="Book Antiqua" w:hAnsi="Book Antiqua"/>
        </w:rPr>
        <w:noBreakHyphen/>
        <w:t>cell receptors are continuously stimulated by HCV viral antigens, leading to consecutive B</w:t>
      </w:r>
      <w:r>
        <w:rPr>
          <w:rFonts w:ascii="Book Antiqua" w:hAnsi="Book Antiqua"/>
        </w:rPr>
        <w:noBreakHyphen/>
        <w:t>cell proliferation. HCV replication inside B</w:t>
      </w:r>
      <w:r>
        <w:rPr>
          <w:rFonts w:ascii="Book Antiqua" w:hAnsi="Book Antiqua"/>
        </w:rPr>
        <w:noBreakHyphen/>
        <w:t>cells produces HCV</w:t>
      </w:r>
      <w:r>
        <w:rPr>
          <w:rFonts w:ascii="Book Antiqua" w:hAnsi="Book Antiqua"/>
        </w:rPr>
        <w:noBreakHyphen/>
        <w:t>derived viral proteins that induce genetic damage in the B</w:t>
      </w:r>
      <w:r>
        <w:rPr>
          <w:rFonts w:ascii="Book Antiqua" w:hAnsi="Book Antiqua"/>
        </w:rPr>
        <w:noBreakHyphen/>
        <w:t>cells. The HCV envelope protein E3 binds to CD81 on the surface of B</w:t>
      </w:r>
      <w:r>
        <w:rPr>
          <w:rFonts w:ascii="Book Antiqua" w:hAnsi="Book Antiqua"/>
        </w:rPr>
        <w:noBreakHyphen/>
        <w:t xml:space="preserve">lymphocytes and forms a complex with CD19 and CD21, which in turn stimulates intracellular proliferative signals. When HCV enters B-cells, it causes oxidative stress that might result in mutations and defective DNA repair. Moreover, HCV infections are associated with increased frequencies of </w:t>
      </w:r>
      <w:r>
        <w:rPr>
          <w:rFonts w:ascii="Book Antiqua" w:hAnsi="Book Antiqua"/>
          <w:i/>
        </w:rPr>
        <w:t>BCL</w:t>
      </w:r>
      <w:r>
        <w:rPr>
          <w:rFonts w:ascii="Book Antiqua" w:hAnsi="Book Antiqua"/>
          <w:i/>
        </w:rPr>
        <w:noBreakHyphen/>
        <w:t>6</w:t>
      </w:r>
      <w:r>
        <w:rPr>
          <w:rFonts w:ascii="Book Antiqua" w:hAnsi="Book Antiqua"/>
        </w:rPr>
        <w:t xml:space="preserve"> and </w:t>
      </w:r>
      <w:r>
        <w:rPr>
          <w:rFonts w:ascii="Book Antiqua" w:hAnsi="Book Antiqua"/>
          <w:i/>
        </w:rPr>
        <w:t>p53</w:t>
      </w:r>
      <w:r>
        <w:rPr>
          <w:rFonts w:ascii="Book Antiqua" w:hAnsi="Book Antiqua"/>
        </w:rPr>
        <w:t xml:space="preserve"> gene mutations in B</w:t>
      </w:r>
      <w:r>
        <w:rPr>
          <w:rFonts w:ascii="Book Antiqua" w:hAnsi="Book Antiqua"/>
        </w:rPr>
        <w:noBreakHyphen/>
        <w:t>cells. Accordingly, HCV</w:t>
      </w:r>
      <w:r>
        <w:rPr>
          <w:rFonts w:ascii="Book Antiqua" w:hAnsi="Book Antiqua"/>
        </w:rPr>
        <w:noBreakHyphen/>
        <w:t xml:space="preserve">related lymphomagenesis may be attributed to either chronic viral antigen stimulation or genetic mutations that lead to the </w:t>
      </w:r>
      <w:r>
        <w:rPr>
          <w:rFonts w:ascii="Book Antiqua" w:hAnsi="Book Antiqua"/>
        </w:rPr>
        <w:lastRenderedPageBreak/>
        <w:t>clonal expansion and malignant transformation of B</w:t>
      </w:r>
      <w:r>
        <w:rPr>
          <w:rFonts w:ascii="Book Antiqua" w:hAnsi="Book Antiqua"/>
        </w:rPr>
        <w:noBreakHyphen/>
        <w:t>cells</w:t>
      </w:r>
      <w:r>
        <w:rPr>
          <w:rFonts w:ascii="Book Antiqua" w:hAnsi="Book Antiqua"/>
          <w:vertAlign w:val="superscript"/>
        </w:rPr>
        <w:t>[</w:t>
      </w:r>
      <w:r>
        <w:rPr>
          <w:rFonts w:ascii="Book Antiqua" w:hAnsi="Book Antiqua"/>
          <w:bCs/>
          <w:vertAlign w:val="superscript"/>
        </w:rPr>
        <w:t>163-165]</w:t>
      </w:r>
      <w:r>
        <w:rPr>
          <w:rFonts w:ascii="Book Antiqua" w:hAnsi="Book Antiqua"/>
          <w:bCs/>
        </w:rPr>
        <w:t>.</w:t>
      </w:r>
      <w:r>
        <w:rPr>
          <w:rFonts w:ascii="Book Antiqua" w:hAnsi="Book Antiqua"/>
        </w:rPr>
        <w:t xml:space="preserve"> In addition, MC is considered as a B-cell benign lymphoproliferative disorder frequently induced by HCV infection</w:t>
      </w:r>
      <w:r>
        <w:rPr>
          <w:rFonts w:ascii="Book Antiqua" w:hAnsi="Book Antiqua"/>
          <w:vertAlign w:val="superscript"/>
        </w:rPr>
        <w:t>[</w:t>
      </w:r>
      <w:r>
        <w:rPr>
          <w:rFonts w:ascii="Book Antiqua" w:hAnsi="Book Antiqua"/>
          <w:bCs/>
          <w:vertAlign w:val="superscript"/>
        </w:rPr>
        <w:t>166]</w:t>
      </w:r>
      <w:r>
        <w:rPr>
          <w:rFonts w:ascii="Book Antiqua" w:hAnsi="Book Antiqua"/>
          <w:bCs/>
        </w:rPr>
        <w:t>.</w:t>
      </w:r>
      <w:r>
        <w:rPr>
          <w:rFonts w:ascii="Book Antiqua" w:hAnsi="Book Antiqua"/>
        </w:rPr>
        <w:t xml:space="preserve"> </w:t>
      </w:r>
      <w:r>
        <w:rPr>
          <w:rFonts w:ascii="Book Antiqua" w:hAnsi="Book Antiqua"/>
          <w:bCs/>
        </w:rPr>
        <w:t>Figure 1</w:t>
      </w:r>
      <w:r>
        <w:rPr>
          <w:rFonts w:ascii="Book Antiqua" w:hAnsi="Book Antiqua"/>
        </w:rPr>
        <w:t xml:space="preserve"> shows the pathophysiology of HCV infection in the occurrence of NHL. </w:t>
      </w:r>
    </w:p>
    <w:p w14:paraId="29C6B7B0" w14:textId="77777777" w:rsidR="008A6CD8" w:rsidRDefault="00477245">
      <w:pPr>
        <w:spacing w:line="360" w:lineRule="auto"/>
        <w:ind w:firstLineChars="200" w:firstLine="480"/>
        <w:jc w:val="both"/>
        <w:rPr>
          <w:rFonts w:ascii="Book Antiqua" w:hAnsi="Book Antiqua"/>
        </w:rPr>
      </w:pPr>
      <w:r>
        <w:rPr>
          <w:rFonts w:ascii="Book Antiqua" w:hAnsi="Book Antiqua"/>
        </w:rPr>
        <w:t>DAA regimens in combination or after the completion of immunochemotherapy should be recommended. DAA treatment has been reported to reduce the frequency of the malignant B-cells in peripheral blood of patients affected by HCV-related lymphoproliferative disorders</w:t>
      </w:r>
      <w:r>
        <w:rPr>
          <w:rFonts w:ascii="Book Antiqua" w:hAnsi="Book Antiqua"/>
          <w:vertAlign w:val="superscript"/>
        </w:rPr>
        <w:t>[</w:t>
      </w:r>
      <w:r>
        <w:rPr>
          <w:rFonts w:ascii="Book Antiqua" w:hAnsi="Book Antiqua"/>
          <w:bCs/>
          <w:vertAlign w:val="superscript"/>
        </w:rPr>
        <w:t>167-169]</w:t>
      </w:r>
      <w:r>
        <w:rPr>
          <w:rFonts w:ascii="Book Antiqua" w:hAnsi="Book Antiqua"/>
          <w:bCs/>
        </w:rPr>
        <w:t>.</w:t>
      </w:r>
      <w:r>
        <w:rPr>
          <w:rFonts w:ascii="Book Antiqua" w:hAnsi="Book Antiqua"/>
        </w:rPr>
        <w:t xml:space="preserve"> Moreover, DAAs might have a lower anti-lymphoma activity than IFN</w:t>
      </w:r>
      <w:r>
        <w:rPr>
          <w:rFonts w:ascii="Book Antiqua" w:hAnsi="Book Antiqua"/>
          <w:vertAlign w:val="superscript"/>
        </w:rPr>
        <w:t>[</w:t>
      </w:r>
      <w:r>
        <w:rPr>
          <w:rFonts w:ascii="Book Antiqua" w:hAnsi="Book Antiqua"/>
          <w:bCs/>
          <w:vertAlign w:val="superscript"/>
        </w:rPr>
        <w:t>84,170]</w:t>
      </w:r>
      <w:r>
        <w:rPr>
          <w:rFonts w:ascii="Book Antiqua" w:hAnsi="Book Antiqua"/>
          <w:bCs/>
        </w:rPr>
        <w:t>.</w:t>
      </w:r>
      <w:r>
        <w:rPr>
          <w:rFonts w:ascii="Book Antiqua" w:hAnsi="Book Antiqua"/>
        </w:rPr>
        <w:t xml:space="preserve"> </w:t>
      </w:r>
    </w:p>
    <w:p w14:paraId="4781B2FA" w14:textId="77777777" w:rsidR="008A6CD8" w:rsidRDefault="008A6CD8">
      <w:pPr>
        <w:spacing w:line="360" w:lineRule="auto"/>
        <w:jc w:val="both"/>
        <w:rPr>
          <w:rFonts w:ascii="Book Antiqua" w:hAnsi="Book Antiqua"/>
        </w:rPr>
      </w:pPr>
    </w:p>
    <w:p w14:paraId="55BC0B11" w14:textId="77777777" w:rsidR="008A6CD8" w:rsidRDefault="00477245">
      <w:pPr>
        <w:autoSpaceDE w:val="0"/>
        <w:autoSpaceDN w:val="0"/>
        <w:adjustRightInd w:val="0"/>
        <w:spacing w:line="360" w:lineRule="auto"/>
        <w:jc w:val="both"/>
        <w:rPr>
          <w:rFonts w:ascii="Book Antiqua" w:hAnsi="Book Antiqua"/>
          <w:b/>
          <w:i/>
          <w:iCs/>
        </w:rPr>
      </w:pPr>
      <w:r>
        <w:rPr>
          <w:rFonts w:ascii="Book Antiqua" w:eastAsia="DejaVuSans" w:hAnsi="Book Antiqua"/>
          <w:b/>
          <w:i/>
          <w:iCs/>
        </w:rPr>
        <w:t>Hepatitis C virus</w:t>
      </w:r>
      <w:r>
        <w:rPr>
          <w:rFonts w:ascii="Book Antiqua" w:hAnsi="Book Antiqua"/>
          <w:b/>
          <w:i/>
          <w:iCs/>
        </w:rPr>
        <w:t xml:space="preserve"> and neuro-psychiatric manifestations </w:t>
      </w:r>
    </w:p>
    <w:p w14:paraId="2A017ABF"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rPr>
        <w:t>Up to 50% of patients with chronic HCV infection has neuropsychiatric symptoms. Among the reported psychiatric symptoms in chronic HCV patients are brain fog, depression, anxiety, weakness, and fatigue. These alterations lead to impaired quality of life</w:t>
      </w:r>
      <w:r>
        <w:rPr>
          <w:rFonts w:ascii="Book Antiqua" w:hAnsi="Book Antiqua"/>
          <w:vertAlign w:val="superscript"/>
        </w:rPr>
        <w:t>[</w:t>
      </w:r>
      <w:r>
        <w:rPr>
          <w:rFonts w:ascii="Book Antiqua" w:hAnsi="Book Antiqua"/>
          <w:bCs/>
          <w:vertAlign w:val="superscript"/>
        </w:rPr>
        <w:t>171]</w:t>
      </w:r>
      <w:r>
        <w:rPr>
          <w:rFonts w:ascii="Book Antiqua" w:hAnsi="Book Antiqua"/>
          <w:bCs/>
        </w:rPr>
        <w:t>.</w:t>
      </w:r>
      <w:r>
        <w:rPr>
          <w:rFonts w:ascii="Book Antiqua" w:hAnsi="Book Antiqua"/>
          <w:bCs/>
          <w:i/>
          <w:iCs/>
        </w:rPr>
        <w:t xml:space="preserve"> </w:t>
      </w:r>
      <w:r>
        <w:rPr>
          <w:rFonts w:ascii="Book Antiqua" w:hAnsi="Book Antiqua"/>
        </w:rPr>
        <w:t>The term HCV-associated neurocognitive disorder is used to refer to fundamental cognitive deficits unrelated to the severity of liver disease, viral load, and genotype and therefore distinct from the potentially reversible complications seen in patients with minimal hepatic encephalopathy (MHE)</w:t>
      </w:r>
      <w:r>
        <w:rPr>
          <w:rFonts w:ascii="Book Antiqua" w:hAnsi="Book Antiqua"/>
          <w:vertAlign w:val="superscript"/>
        </w:rPr>
        <w:t>[</w:t>
      </w:r>
      <w:r>
        <w:rPr>
          <w:rFonts w:ascii="Book Antiqua" w:hAnsi="Book Antiqua"/>
          <w:bCs/>
          <w:vertAlign w:val="superscript"/>
        </w:rPr>
        <w:t>172]</w:t>
      </w:r>
      <w:r>
        <w:rPr>
          <w:rFonts w:ascii="Book Antiqua" w:hAnsi="Book Antiqua"/>
          <w:bCs/>
        </w:rPr>
        <w:t>.</w:t>
      </w:r>
    </w:p>
    <w:p w14:paraId="15CEB6A0" w14:textId="77777777" w:rsidR="008A6CD8" w:rsidRDefault="00477245">
      <w:pPr>
        <w:shd w:val="clear" w:color="auto" w:fill="FFFFFF"/>
        <w:spacing w:line="360" w:lineRule="auto"/>
        <w:ind w:firstLineChars="200" w:firstLine="480"/>
        <w:jc w:val="both"/>
        <w:rPr>
          <w:rFonts w:ascii="Book Antiqua" w:hAnsi="Book Antiqua"/>
          <w:bCs/>
        </w:rPr>
      </w:pPr>
      <w:r>
        <w:rPr>
          <w:rFonts w:ascii="Book Antiqua" w:hAnsi="Book Antiqua"/>
        </w:rPr>
        <w:t>Chronic HCV patients exhibit prevalent involvement of the frontal lobe, which is responsible for alterations of executive functions</w:t>
      </w:r>
      <w:r>
        <w:rPr>
          <w:rFonts w:ascii="Book Antiqua" w:hAnsi="Book Antiqua"/>
          <w:vertAlign w:val="superscript"/>
        </w:rPr>
        <w:t>[</w:t>
      </w:r>
      <w:r>
        <w:rPr>
          <w:rFonts w:ascii="Book Antiqua" w:hAnsi="Book Antiqua"/>
          <w:bCs/>
          <w:vertAlign w:val="superscript"/>
        </w:rPr>
        <w:t>173]</w:t>
      </w:r>
      <w:r>
        <w:rPr>
          <w:rFonts w:ascii="Book Antiqua" w:hAnsi="Book Antiqua"/>
          <w:vertAlign w:val="superscript"/>
        </w:rPr>
        <w:t xml:space="preserve"> </w:t>
      </w:r>
      <w:r>
        <w:rPr>
          <w:rFonts w:ascii="Book Antiqua" w:hAnsi="Book Antiqua"/>
        </w:rPr>
        <w:t>and the posterior regions of the cerebral cortex, particularly the occipital and parietal lobes</w:t>
      </w:r>
      <w:r>
        <w:rPr>
          <w:rFonts w:ascii="Book Antiqua" w:hAnsi="Book Antiqua"/>
          <w:vertAlign w:val="superscript"/>
        </w:rPr>
        <w:t>[</w:t>
      </w:r>
      <w:r>
        <w:rPr>
          <w:rFonts w:ascii="Book Antiqua" w:hAnsi="Book Antiqua"/>
          <w:bCs/>
          <w:vertAlign w:val="superscript"/>
        </w:rPr>
        <w:t>174]</w:t>
      </w:r>
      <w:r>
        <w:rPr>
          <w:rFonts w:ascii="Book Antiqua" w:hAnsi="Book Antiqua"/>
          <w:bCs/>
        </w:rPr>
        <w:t>.</w:t>
      </w:r>
      <w:r>
        <w:rPr>
          <w:rFonts w:ascii="Book Antiqua" w:hAnsi="Book Antiqua"/>
        </w:rPr>
        <w:t xml:space="preserve"> Therefore, they exhibit difficulties in problem solving, monitoring one’s own behavior, self-control, cognitive flexibility, working memory, volition, sustained attention, and logical reasoning, in addition to verbal learning and verbal recall</w:t>
      </w:r>
      <w:r>
        <w:rPr>
          <w:rFonts w:ascii="Book Antiqua" w:hAnsi="Book Antiqua"/>
          <w:vertAlign w:val="superscript"/>
        </w:rPr>
        <w:t>[</w:t>
      </w:r>
      <w:r>
        <w:rPr>
          <w:rFonts w:ascii="Book Antiqua" w:hAnsi="Book Antiqua"/>
          <w:bCs/>
          <w:vertAlign w:val="superscript"/>
        </w:rPr>
        <w:t>175,176]</w:t>
      </w:r>
      <w:r>
        <w:rPr>
          <w:rFonts w:ascii="Book Antiqua" w:hAnsi="Book Antiqua"/>
          <w:bCs/>
        </w:rPr>
        <w:t>.</w:t>
      </w:r>
      <w:r>
        <w:rPr>
          <w:rFonts w:ascii="Book Antiqua" w:hAnsi="Book Antiqua"/>
        </w:rPr>
        <w:t xml:space="preserve"> On the other hand, cognitive domains related to posterior brain regions, primarily involved in visuospatial, visual perceptual abilities, and constructive practice regions are mainly altered in patients with MHE</w:t>
      </w:r>
      <w:r>
        <w:rPr>
          <w:rFonts w:ascii="Book Antiqua" w:hAnsi="Book Antiqua"/>
          <w:vertAlign w:val="superscript"/>
        </w:rPr>
        <w:t>[</w:t>
      </w:r>
      <w:r>
        <w:rPr>
          <w:rFonts w:ascii="Book Antiqua" w:hAnsi="Book Antiqua"/>
          <w:bCs/>
          <w:vertAlign w:val="superscript"/>
        </w:rPr>
        <w:t>172]</w:t>
      </w:r>
      <w:r>
        <w:rPr>
          <w:rFonts w:ascii="Book Antiqua" w:hAnsi="Book Antiqua"/>
          <w:bCs/>
        </w:rPr>
        <w:t>.</w:t>
      </w:r>
      <w:r>
        <w:rPr>
          <w:rFonts w:ascii="Book Antiqua" w:hAnsi="Book Antiqua"/>
        </w:rPr>
        <w:t xml:space="preserve"> Moreover, T2DM as an EHM in HCV infected patients may be associated with cognitive impairments</w:t>
      </w:r>
      <w:r>
        <w:rPr>
          <w:rFonts w:ascii="Book Antiqua" w:hAnsi="Book Antiqua"/>
          <w:vertAlign w:val="superscript"/>
        </w:rPr>
        <w:t>[</w:t>
      </w:r>
      <w:r>
        <w:rPr>
          <w:rFonts w:ascii="Book Antiqua" w:hAnsi="Book Antiqua"/>
          <w:bCs/>
          <w:vertAlign w:val="superscript"/>
        </w:rPr>
        <w:t>177]</w:t>
      </w:r>
      <w:r>
        <w:rPr>
          <w:rFonts w:ascii="Book Antiqua" w:hAnsi="Book Antiqua"/>
          <w:bCs/>
        </w:rPr>
        <w:t>.</w:t>
      </w:r>
      <w:r>
        <w:rPr>
          <w:rFonts w:ascii="Book Antiqua" w:hAnsi="Book Antiqua"/>
        </w:rPr>
        <w:t xml:space="preserve"> Conversely, some studies did not confirm the association between chronic HCV infection and neurologic disorders</w:t>
      </w:r>
      <w:r>
        <w:rPr>
          <w:rFonts w:ascii="Book Antiqua" w:hAnsi="Book Antiqua"/>
          <w:vertAlign w:val="superscript"/>
        </w:rPr>
        <w:t>[</w:t>
      </w:r>
      <w:r>
        <w:rPr>
          <w:rFonts w:ascii="Book Antiqua" w:hAnsi="Book Antiqua"/>
          <w:bCs/>
          <w:vertAlign w:val="superscript"/>
        </w:rPr>
        <w:t>178]</w:t>
      </w:r>
      <w:r>
        <w:rPr>
          <w:rFonts w:ascii="Book Antiqua" w:hAnsi="Book Antiqua"/>
          <w:bCs/>
        </w:rPr>
        <w:t xml:space="preserve">. </w:t>
      </w:r>
      <w:r>
        <w:rPr>
          <w:rFonts w:ascii="Book Antiqua" w:hAnsi="Book Antiqua"/>
        </w:rPr>
        <w:t xml:space="preserve">Direct neuroinvasion changes in </w:t>
      </w:r>
      <w:r>
        <w:rPr>
          <w:rFonts w:ascii="Book Antiqua" w:hAnsi="Book Antiqua"/>
        </w:rPr>
        <w:lastRenderedPageBreak/>
        <w:t>metabolic pathways and cerebral and systemic inflammation have been proposed as pathogenetic mechanisms</w:t>
      </w:r>
      <w:r>
        <w:rPr>
          <w:rFonts w:ascii="Book Antiqua" w:hAnsi="Book Antiqua"/>
          <w:vertAlign w:val="superscript"/>
        </w:rPr>
        <w:t>[</w:t>
      </w:r>
      <w:r>
        <w:rPr>
          <w:rFonts w:ascii="Book Antiqua" w:hAnsi="Book Antiqua"/>
          <w:bCs/>
          <w:vertAlign w:val="superscript"/>
        </w:rPr>
        <w:t>179]</w:t>
      </w:r>
      <w:r>
        <w:rPr>
          <w:rFonts w:ascii="Book Antiqua" w:hAnsi="Book Antiqua"/>
          <w:bCs/>
        </w:rPr>
        <w:t>.</w:t>
      </w:r>
      <w:r>
        <w:rPr>
          <w:rFonts w:ascii="Book Antiqua" w:hAnsi="Book Antiqua"/>
        </w:rPr>
        <w:t xml:space="preserve"> Central fatigue and depression may share the same neurobiological causal pathways triggered by HCV infection</w:t>
      </w:r>
      <w:r>
        <w:rPr>
          <w:rFonts w:ascii="Book Antiqua" w:hAnsi="Book Antiqua"/>
          <w:vertAlign w:val="superscript"/>
        </w:rPr>
        <w:t>[</w:t>
      </w:r>
      <w:r>
        <w:rPr>
          <w:rFonts w:ascii="Book Antiqua" w:hAnsi="Book Antiqua"/>
          <w:bCs/>
          <w:vertAlign w:val="superscript"/>
        </w:rPr>
        <w:t>180]</w:t>
      </w:r>
      <w:r>
        <w:rPr>
          <w:rFonts w:ascii="Book Antiqua" w:hAnsi="Book Antiqua"/>
          <w:bCs/>
        </w:rPr>
        <w:t>.</w:t>
      </w:r>
      <w:r>
        <w:rPr>
          <w:rFonts w:ascii="Book Antiqua" w:hAnsi="Book Antiqua"/>
          <w:bCs/>
          <w:i/>
          <w:iCs/>
        </w:rPr>
        <w:t xml:space="preserve"> </w:t>
      </w:r>
      <w:r>
        <w:rPr>
          <w:rFonts w:ascii="Book Antiqua" w:hAnsi="Book Antiqua"/>
        </w:rPr>
        <w:t>Lower levels of dopamine were found in the ascending reticular activating and limbic systems among fatigued patients with HCV infection possibly from cytokine-induced reduction in tetrahydrobiopterin, which is an enzyme involved in the dopamine synthesis</w:t>
      </w:r>
      <w:r>
        <w:rPr>
          <w:rFonts w:ascii="Book Antiqua" w:hAnsi="Book Antiqua"/>
          <w:vertAlign w:val="superscript"/>
        </w:rPr>
        <w:t>[</w:t>
      </w:r>
      <w:r>
        <w:rPr>
          <w:rFonts w:ascii="Book Antiqua" w:hAnsi="Book Antiqua"/>
          <w:bCs/>
          <w:vertAlign w:val="superscript"/>
        </w:rPr>
        <w:t>181,182]</w:t>
      </w:r>
      <w:r>
        <w:rPr>
          <w:rFonts w:ascii="Book Antiqua" w:hAnsi="Book Antiqua"/>
          <w:bCs/>
        </w:rPr>
        <w:t>.</w:t>
      </w:r>
      <w:r>
        <w:rPr>
          <w:rFonts w:ascii="Book Antiqua" w:hAnsi="Book Antiqua"/>
        </w:rPr>
        <w:t xml:space="preserve"> Impaired serotonin transmission implicated in depression has also been correlated with increased fatigue</w:t>
      </w:r>
      <w:r>
        <w:rPr>
          <w:rFonts w:ascii="Book Antiqua" w:hAnsi="Book Antiqua"/>
          <w:vertAlign w:val="superscript"/>
        </w:rPr>
        <w:t>[</w:t>
      </w:r>
      <w:r>
        <w:rPr>
          <w:rFonts w:ascii="Book Antiqua" w:hAnsi="Book Antiqua"/>
          <w:bCs/>
          <w:vertAlign w:val="superscript"/>
        </w:rPr>
        <w:t>183]</w:t>
      </w:r>
      <w:r>
        <w:rPr>
          <w:rFonts w:ascii="Book Antiqua" w:hAnsi="Book Antiqua"/>
          <w:bCs/>
        </w:rPr>
        <w:t>.</w:t>
      </w:r>
    </w:p>
    <w:p w14:paraId="3640C54F" w14:textId="77777777" w:rsidR="008A6CD8" w:rsidRDefault="00477245">
      <w:pPr>
        <w:autoSpaceDE w:val="0"/>
        <w:autoSpaceDN w:val="0"/>
        <w:adjustRightInd w:val="0"/>
        <w:spacing w:line="360" w:lineRule="auto"/>
        <w:ind w:firstLineChars="200" w:firstLine="480"/>
        <w:jc w:val="both"/>
        <w:rPr>
          <w:rFonts w:ascii="Book Antiqua" w:hAnsi="Book Antiqua"/>
          <w:bCs/>
        </w:rPr>
      </w:pPr>
      <w:r>
        <w:rPr>
          <w:rFonts w:ascii="Book Antiqua" w:hAnsi="Book Antiqua"/>
        </w:rPr>
        <w:t>The prevalence of depression in HCV patients ranges from 20 to 50%</w:t>
      </w:r>
      <w:r>
        <w:rPr>
          <w:rFonts w:ascii="Book Antiqua" w:hAnsi="Book Antiqua"/>
          <w:bCs/>
          <w:i/>
          <w:iCs/>
        </w:rPr>
        <w:t>,</w:t>
      </w:r>
      <w:r>
        <w:rPr>
          <w:rFonts w:ascii="Book Antiqua" w:hAnsi="Book Antiqua"/>
        </w:rPr>
        <w:t xml:space="preserve"> compared to a 10% prevalence in the general population</w:t>
      </w:r>
      <w:r>
        <w:rPr>
          <w:rFonts w:ascii="Book Antiqua" w:hAnsi="Book Antiqua"/>
          <w:vertAlign w:val="superscript"/>
        </w:rPr>
        <w:t>[</w:t>
      </w:r>
      <w:r>
        <w:rPr>
          <w:rFonts w:ascii="Book Antiqua" w:hAnsi="Book Antiqua"/>
          <w:bCs/>
          <w:vertAlign w:val="superscript"/>
        </w:rPr>
        <w:t>184]</w:t>
      </w:r>
      <w:r>
        <w:rPr>
          <w:rFonts w:ascii="Book Antiqua" w:hAnsi="Book Antiqua"/>
          <w:bCs/>
        </w:rPr>
        <w:t>.</w:t>
      </w:r>
      <w:r>
        <w:rPr>
          <w:rFonts w:ascii="Book Antiqua" w:hAnsi="Book Antiqua"/>
          <w:bCs/>
          <w:i/>
          <w:iCs/>
        </w:rPr>
        <w:t xml:space="preserve"> </w:t>
      </w:r>
      <w:r>
        <w:rPr>
          <w:rFonts w:ascii="Book Antiqua" w:hAnsi="Book Antiqua"/>
        </w:rPr>
        <w:t>In the US National Health and Nutrition Examination Survey, a cross-sectional study involving 10231 patients suffering from various liver diseases, only HCV was found to be independently associated with depression. The presence and severity of depression were independent of cirrhotic status, viral load, degree of hepatic inflammation, and use of IFN</w:t>
      </w:r>
      <w:r>
        <w:rPr>
          <w:rFonts w:ascii="Book Antiqua" w:hAnsi="Book Antiqua"/>
          <w:bCs/>
          <w:i/>
          <w:iCs/>
          <w:vertAlign w:val="superscript"/>
        </w:rPr>
        <w:t>[</w:t>
      </w:r>
      <w:r>
        <w:rPr>
          <w:rFonts w:ascii="Book Antiqua" w:hAnsi="Book Antiqua"/>
          <w:bCs/>
          <w:vertAlign w:val="superscript"/>
        </w:rPr>
        <w:t>185]</w:t>
      </w:r>
      <w:r>
        <w:rPr>
          <w:rFonts w:ascii="Book Antiqua" w:hAnsi="Book Antiqua"/>
          <w:bCs/>
        </w:rPr>
        <w:t>.</w:t>
      </w:r>
      <w:r>
        <w:rPr>
          <w:rFonts w:ascii="Book Antiqua" w:hAnsi="Book Antiqua"/>
          <w:bCs/>
          <w:i/>
          <w:iCs/>
        </w:rPr>
        <w:t xml:space="preserve"> </w:t>
      </w:r>
      <w:r>
        <w:rPr>
          <w:rFonts w:ascii="Book Antiqua" w:hAnsi="Book Antiqua"/>
        </w:rPr>
        <w:t xml:space="preserve">They suggested the presence of another exclusive HCV-mediated mechanism contributing to depression. Depression among people with HCV infection may be partially attributed to social and occupational limitations that may precede the infection, often causing viral acquisition, </w:t>
      </w:r>
      <w:r>
        <w:rPr>
          <w:rFonts w:ascii="Book Antiqua" w:hAnsi="Book Antiqua"/>
          <w:i/>
        </w:rPr>
        <w:t>e.g.</w:t>
      </w:r>
      <w:r>
        <w:rPr>
          <w:rFonts w:ascii="Book Antiqua" w:hAnsi="Book Antiqua"/>
        </w:rPr>
        <w:t>, through intravenous drug use. Awareness of infection with subsequent poor acceptance and social stigma contributes to depressive symptoms independent of socioeconomic status or educational level</w:t>
      </w:r>
      <w:r>
        <w:rPr>
          <w:rFonts w:ascii="Book Antiqua" w:hAnsi="Book Antiqua"/>
          <w:vertAlign w:val="superscript"/>
        </w:rPr>
        <w:t>[</w:t>
      </w:r>
      <w:r>
        <w:rPr>
          <w:rFonts w:ascii="Book Antiqua" w:hAnsi="Book Antiqua"/>
          <w:bCs/>
          <w:vertAlign w:val="superscript"/>
        </w:rPr>
        <w:t>186]</w:t>
      </w:r>
      <w:r>
        <w:rPr>
          <w:rFonts w:ascii="Book Antiqua" w:hAnsi="Book Antiqua"/>
          <w:bCs/>
        </w:rPr>
        <w:t>.</w:t>
      </w:r>
      <w:r>
        <w:rPr>
          <w:rFonts w:ascii="Book Antiqua" w:hAnsi="Book Antiqua"/>
          <w:bCs/>
          <w:i/>
          <w:iCs/>
        </w:rPr>
        <w:t xml:space="preserve"> </w:t>
      </w:r>
      <w:r>
        <w:rPr>
          <w:rFonts w:ascii="Book Antiqua" w:hAnsi="Book Antiqua"/>
        </w:rPr>
        <w:t>Associated HCV complications such as cirrhosis, ascites, and encephalopathy, and comorbidities such as IR, RM, and CVD lead to limitation in physical function, and thus create higher physical load leading to increased depression</w:t>
      </w:r>
      <w:r>
        <w:rPr>
          <w:rFonts w:ascii="Book Antiqua" w:hAnsi="Book Antiqua"/>
          <w:vertAlign w:val="superscript"/>
        </w:rPr>
        <w:t>[</w:t>
      </w:r>
      <w:r>
        <w:rPr>
          <w:rFonts w:ascii="Book Antiqua" w:hAnsi="Book Antiqua"/>
          <w:bCs/>
          <w:vertAlign w:val="superscript"/>
        </w:rPr>
        <w:t>187]</w:t>
      </w:r>
      <w:r>
        <w:rPr>
          <w:rFonts w:ascii="Book Antiqua" w:hAnsi="Book Antiqua"/>
          <w:bCs/>
        </w:rPr>
        <w:t>.</w:t>
      </w:r>
    </w:p>
    <w:p w14:paraId="6DDE2F7A" w14:textId="2015735B" w:rsidR="008A6CD8" w:rsidRDefault="00477245">
      <w:pPr>
        <w:autoSpaceDE w:val="0"/>
        <w:autoSpaceDN w:val="0"/>
        <w:adjustRightInd w:val="0"/>
        <w:spacing w:line="360" w:lineRule="auto"/>
        <w:ind w:firstLineChars="200" w:firstLine="480"/>
        <w:jc w:val="both"/>
        <w:rPr>
          <w:rFonts w:ascii="Book Antiqua" w:hAnsi="Book Antiqua"/>
          <w:shd w:val="clear" w:color="auto" w:fill="FFFFFF"/>
        </w:rPr>
      </w:pPr>
      <w:r>
        <w:rPr>
          <w:rFonts w:ascii="Book Antiqua" w:hAnsi="Book Antiqua"/>
        </w:rPr>
        <w:t>The use of IFN was poorly tolerated as it was associated with neuropsychiatric disorders and impaired health related quality of life (HRQOL) in up to 70% of patients</w:t>
      </w:r>
      <w:r>
        <w:rPr>
          <w:rFonts w:ascii="Book Antiqua" w:hAnsi="Book Antiqua"/>
          <w:vertAlign w:val="superscript"/>
        </w:rPr>
        <w:t>[</w:t>
      </w:r>
      <w:r>
        <w:rPr>
          <w:rFonts w:ascii="Book Antiqua" w:hAnsi="Book Antiqua"/>
          <w:bCs/>
          <w:vertAlign w:val="superscript"/>
        </w:rPr>
        <w:t>172]</w:t>
      </w:r>
      <w:r>
        <w:rPr>
          <w:rFonts w:ascii="Book Antiqua" w:hAnsi="Book Antiqua"/>
          <w:bCs/>
        </w:rPr>
        <w:t xml:space="preserve">. </w:t>
      </w:r>
      <w:r>
        <w:rPr>
          <w:rFonts w:ascii="Book Antiqua" w:hAnsi="Book Antiqua"/>
        </w:rPr>
        <w:t>These disorders induced depression during and at the end of IFN treatment</w:t>
      </w:r>
      <w:r>
        <w:rPr>
          <w:rFonts w:ascii="Book Antiqua" w:hAnsi="Book Antiqua"/>
          <w:vertAlign w:val="superscript"/>
        </w:rPr>
        <w:t>[</w:t>
      </w:r>
      <w:r>
        <w:rPr>
          <w:rFonts w:ascii="Book Antiqua" w:hAnsi="Book Antiqua"/>
          <w:bCs/>
          <w:vertAlign w:val="superscript"/>
        </w:rPr>
        <w:t>188]</w:t>
      </w:r>
      <w:r>
        <w:rPr>
          <w:rFonts w:ascii="Book Antiqua" w:hAnsi="Book Antiqua"/>
          <w:bCs/>
        </w:rPr>
        <w:t xml:space="preserve">. </w:t>
      </w:r>
      <w:r>
        <w:rPr>
          <w:rFonts w:ascii="Book Antiqua" w:hAnsi="Book Antiqua"/>
        </w:rPr>
        <w:t>On the other hand, DAA regimens showed no significant psychiatric side effects and patients experience an improved HRQOL while on treatment, regardless of the stage of liver disease</w:t>
      </w:r>
      <w:r>
        <w:rPr>
          <w:rFonts w:ascii="Book Antiqua" w:hAnsi="Book Antiqua"/>
          <w:vertAlign w:val="superscript"/>
        </w:rPr>
        <w:t>[</w:t>
      </w:r>
      <w:r>
        <w:rPr>
          <w:rFonts w:ascii="Book Antiqua" w:hAnsi="Book Antiqua"/>
          <w:bCs/>
          <w:vertAlign w:val="superscript"/>
        </w:rPr>
        <w:t>189-192]</w:t>
      </w:r>
      <w:r>
        <w:rPr>
          <w:rFonts w:ascii="Book Antiqua" w:hAnsi="Book Antiqua"/>
          <w:bCs/>
        </w:rPr>
        <w:t xml:space="preserve">. </w:t>
      </w:r>
      <w:r>
        <w:rPr>
          <w:rFonts w:ascii="Book Antiqua" w:hAnsi="Book Antiqua"/>
        </w:rPr>
        <w:t xml:space="preserve">Viral clearance attained by DAAs improves fatigue, physical function, </w:t>
      </w:r>
      <w:r>
        <w:rPr>
          <w:rFonts w:ascii="Book Antiqua" w:hAnsi="Book Antiqua"/>
        </w:rPr>
        <w:lastRenderedPageBreak/>
        <w:t>mental health, cognitive functions, and quality of life</w:t>
      </w:r>
      <w:r>
        <w:rPr>
          <w:rFonts w:ascii="Book Antiqua" w:hAnsi="Book Antiqua"/>
          <w:vertAlign w:val="superscript"/>
        </w:rPr>
        <w:t>[</w:t>
      </w:r>
      <w:r>
        <w:rPr>
          <w:rFonts w:ascii="Book Antiqua" w:hAnsi="Book Antiqua"/>
          <w:bCs/>
          <w:vertAlign w:val="superscript"/>
        </w:rPr>
        <w:t>193-196]</w:t>
      </w:r>
      <w:r>
        <w:rPr>
          <w:rFonts w:ascii="Book Antiqua" w:hAnsi="Book Antiqua"/>
          <w:bCs/>
        </w:rPr>
        <w:t>.</w:t>
      </w:r>
      <w:r>
        <w:rPr>
          <w:rFonts w:ascii="Book Antiqua" w:hAnsi="Book Antiqua"/>
          <w:bCs/>
          <w:i/>
          <w:iCs/>
        </w:rPr>
        <w:t xml:space="preserve"> </w:t>
      </w:r>
      <w:r>
        <w:rPr>
          <w:rFonts w:ascii="Book Antiqua" w:hAnsi="Book Antiqua"/>
        </w:rPr>
        <w:t>Several studies reported a significant reduction in the choline/creatine and myo-inositol/creatine ratios as well as an increase in cognitive functions in HCV infected patients who reached SVR compared to untreated patients or patients who did not achieve SVR</w:t>
      </w:r>
      <w:r>
        <w:rPr>
          <w:rFonts w:ascii="Book Antiqua" w:hAnsi="Book Antiqua"/>
          <w:bCs/>
          <w:i/>
          <w:iCs/>
          <w:shd w:val="clear" w:color="auto" w:fill="FFFFFF"/>
          <w:vertAlign w:val="superscript"/>
        </w:rPr>
        <w:t>[</w:t>
      </w:r>
      <w:r>
        <w:rPr>
          <w:rFonts w:ascii="Book Antiqua" w:hAnsi="Book Antiqua"/>
          <w:bCs/>
          <w:vertAlign w:val="superscript"/>
        </w:rPr>
        <w:t>173,195]</w:t>
      </w:r>
      <w:r>
        <w:rPr>
          <w:rFonts w:ascii="Book Antiqua" w:hAnsi="Book Antiqua"/>
          <w:bCs/>
        </w:rPr>
        <w:t xml:space="preserve">. </w:t>
      </w:r>
      <w:r>
        <w:rPr>
          <w:rFonts w:ascii="Book Antiqua" w:hAnsi="Book Antiqua"/>
        </w:rPr>
        <w:t>It is suggested that the persistence of some cognitive symptoms at the end of therapy with DAAs can be attributed to compartmentalization of virus in the central nervous system that may represent a potential source of its reactivation</w:t>
      </w:r>
      <w:r>
        <w:rPr>
          <w:rFonts w:ascii="Book Antiqua" w:hAnsi="Book Antiqua"/>
          <w:vertAlign w:val="superscript"/>
        </w:rPr>
        <w:t>[</w:t>
      </w:r>
      <w:r>
        <w:rPr>
          <w:rFonts w:ascii="Book Antiqua" w:hAnsi="Book Antiqua"/>
          <w:bCs/>
          <w:vertAlign w:val="superscript"/>
        </w:rPr>
        <w:t>182,</w:t>
      </w:r>
      <w:r w:rsidR="00963142">
        <w:rPr>
          <w:rFonts w:ascii="Book Antiqua" w:hAnsi="Book Antiqua"/>
          <w:bCs/>
          <w:vertAlign w:val="superscript"/>
        </w:rPr>
        <w:t>1</w:t>
      </w:r>
      <w:r>
        <w:rPr>
          <w:rFonts w:ascii="Book Antiqua" w:hAnsi="Book Antiqua"/>
          <w:bCs/>
          <w:vertAlign w:val="superscript"/>
        </w:rPr>
        <w:t>97]</w:t>
      </w:r>
      <w:r>
        <w:rPr>
          <w:rFonts w:ascii="Book Antiqua" w:hAnsi="Book Antiqua"/>
          <w:bCs/>
        </w:rPr>
        <w:t>.</w:t>
      </w:r>
      <w:r>
        <w:rPr>
          <w:rFonts w:ascii="Book Antiqua" w:hAnsi="Book Antiqua"/>
          <w:shd w:val="clear" w:color="auto" w:fill="FFFFFF"/>
        </w:rPr>
        <w:t xml:space="preserve"> </w:t>
      </w:r>
    </w:p>
    <w:p w14:paraId="7FD05BF8" w14:textId="77777777" w:rsidR="008A6CD8" w:rsidRDefault="00477245">
      <w:pPr>
        <w:autoSpaceDE w:val="0"/>
        <w:autoSpaceDN w:val="0"/>
        <w:adjustRightInd w:val="0"/>
        <w:spacing w:line="360" w:lineRule="auto"/>
        <w:ind w:firstLineChars="200" w:firstLine="480"/>
        <w:jc w:val="both"/>
        <w:rPr>
          <w:rFonts w:ascii="Book Antiqua" w:hAnsi="Book Antiqua"/>
        </w:rPr>
      </w:pPr>
      <w:r>
        <w:rPr>
          <w:rFonts w:ascii="Book Antiqua" w:hAnsi="Book Antiqua"/>
          <w:shd w:val="clear" w:color="auto" w:fill="FFFFFF"/>
        </w:rPr>
        <w:t>Mazzaro</w:t>
      </w:r>
      <w:r>
        <w:rPr>
          <w:rFonts w:ascii="Book Antiqua" w:hAnsi="Book Antiqua"/>
          <w:i/>
          <w:shd w:val="clear" w:color="auto" w:fill="FFFFFF"/>
        </w:rPr>
        <w:t xml:space="preserve"> et al</w:t>
      </w:r>
      <w:r>
        <w:rPr>
          <w:rFonts w:ascii="Book Antiqua" w:hAnsi="Book Antiqua"/>
          <w:bCs/>
          <w:shd w:val="clear" w:color="auto" w:fill="FFFFFF"/>
          <w:vertAlign w:val="superscript"/>
        </w:rPr>
        <w:t>[84</w:t>
      </w:r>
      <w:r>
        <w:rPr>
          <w:rFonts w:ascii="Book Antiqua" w:hAnsi="Book Antiqua"/>
          <w:bCs/>
          <w:vertAlign w:val="superscript"/>
        </w:rPr>
        <w:t>]</w:t>
      </w:r>
      <w:r>
        <w:rPr>
          <w:rFonts w:ascii="Book Antiqua" w:hAnsi="Book Antiqua"/>
          <w:bCs/>
        </w:rPr>
        <w:t xml:space="preserve"> </w:t>
      </w:r>
      <w:r>
        <w:rPr>
          <w:rFonts w:ascii="Book Antiqua" w:hAnsi="Book Antiqua"/>
        </w:rPr>
        <w:t>recommended</w:t>
      </w:r>
      <w:r>
        <w:rPr>
          <w:rFonts w:ascii="Book Antiqua" w:hAnsi="Book Antiqua"/>
          <w:i/>
          <w:iCs/>
        </w:rPr>
        <w:t xml:space="preserve"> </w:t>
      </w:r>
      <w:r>
        <w:rPr>
          <w:rFonts w:ascii="Book Antiqua" w:hAnsi="Book Antiqua"/>
        </w:rPr>
        <w:t>starting DAAs as early as possible in the natural history of HCV infection. Early therapeutic approach not only will cure many of the EHMs that are still in a reversible stage, but it also can prevent those that develop due to delayed treatment.</w:t>
      </w:r>
    </w:p>
    <w:p w14:paraId="776534A6" w14:textId="77777777" w:rsidR="008A6CD8" w:rsidRDefault="00477245">
      <w:pPr>
        <w:autoSpaceDE w:val="0"/>
        <w:autoSpaceDN w:val="0"/>
        <w:adjustRightInd w:val="0"/>
        <w:spacing w:line="360" w:lineRule="auto"/>
        <w:jc w:val="both"/>
        <w:rPr>
          <w:rFonts w:ascii="Book Antiqua" w:hAnsi="Book Antiqua"/>
          <w:bCs/>
        </w:rPr>
      </w:pPr>
      <w:r>
        <w:rPr>
          <w:rFonts w:ascii="Book Antiqua" w:hAnsi="Book Antiqua"/>
          <w:bCs/>
        </w:rPr>
        <w:t xml:space="preserve"> </w:t>
      </w:r>
    </w:p>
    <w:p w14:paraId="00A1B261" w14:textId="77777777" w:rsidR="008A6CD8" w:rsidRDefault="00477245">
      <w:pPr>
        <w:autoSpaceDE w:val="0"/>
        <w:autoSpaceDN w:val="0"/>
        <w:adjustRightInd w:val="0"/>
        <w:spacing w:line="360" w:lineRule="auto"/>
        <w:jc w:val="both"/>
        <w:rPr>
          <w:rFonts w:ascii="Book Antiqua" w:eastAsia="DejaVuSans" w:hAnsi="Book Antiqua"/>
          <w:b/>
          <w:u w:val="single"/>
        </w:rPr>
      </w:pPr>
      <w:r>
        <w:rPr>
          <w:rFonts w:ascii="Book Antiqua" w:eastAsia="DejaVuSans" w:hAnsi="Book Antiqua"/>
          <w:b/>
          <w:u w:val="single"/>
        </w:rPr>
        <w:t>CONCLUSION</w:t>
      </w:r>
    </w:p>
    <w:p w14:paraId="5644E045" w14:textId="77777777" w:rsidR="008A6CD8" w:rsidRDefault="00477245">
      <w:pPr>
        <w:autoSpaceDE w:val="0"/>
        <w:autoSpaceDN w:val="0"/>
        <w:adjustRightInd w:val="0"/>
        <w:spacing w:line="360" w:lineRule="auto"/>
        <w:jc w:val="both"/>
        <w:rPr>
          <w:rFonts w:ascii="Book Antiqua" w:hAnsi="Book Antiqua"/>
        </w:rPr>
      </w:pPr>
      <w:r>
        <w:rPr>
          <w:rFonts w:ascii="Book Antiqua" w:hAnsi="Book Antiqua"/>
          <w:lang w:bidi="ar-EG"/>
        </w:rPr>
        <w:t>HCV</w:t>
      </w:r>
      <w:r>
        <w:rPr>
          <w:rFonts w:ascii="Book Antiqua" w:hAnsi="Book Antiqua"/>
        </w:rPr>
        <w:t xml:space="preserve"> </w:t>
      </w:r>
      <w:r>
        <w:rPr>
          <w:rFonts w:ascii="Book Antiqua" w:hAnsi="Book Antiqua"/>
          <w:lang w:bidi="ar-EG"/>
        </w:rPr>
        <w:t>is a</w:t>
      </w:r>
      <w:r>
        <w:rPr>
          <w:rFonts w:ascii="Book Antiqua" w:hAnsi="Book Antiqua"/>
        </w:rPr>
        <w:t xml:space="preserve"> </w:t>
      </w:r>
      <w:r>
        <w:rPr>
          <w:rFonts w:ascii="Book Antiqua" w:hAnsi="Book Antiqua"/>
          <w:lang w:bidi="ar-EG"/>
        </w:rPr>
        <w:t>common cause</w:t>
      </w:r>
      <w:r>
        <w:rPr>
          <w:rFonts w:ascii="Book Antiqua" w:hAnsi="Book Antiqua"/>
        </w:rPr>
        <w:t xml:space="preserve"> </w:t>
      </w:r>
      <w:r>
        <w:rPr>
          <w:rFonts w:ascii="Book Antiqua" w:hAnsi="Book Antiqua"/>
          <w:lang w:bidi="ar-EG"/>
        </w:rPr>
        <w:t>of liver disease</w:t>
      </w:r>
      <w:r>
        <w:rPr>
          <w:rFonts w:ascii="Book Antiqua" w:hAnsi="Book Antiqua"/>
        </w:rPr>
        <w:t xml:space="preserve"> </w:t>
      </w:r>
      <w:r>
        <w:rPr>
          <w:rFonts w:ascii="Book Antiqua" w:hAnsi="Book Antiqua"/>
          <w:lang w:bidi="ar-EG"/>
        </w:rPr>
        <w:t>and</w:t>
      </w:r>
      <w:r>
        <w:rPr>
          <w:rFonts w:ascii="Book Antiqua" w:hAnsi="Book Antiqua"/>
        </w:rPr>
        <w:t xml:space="preserve"> </w:t>
      </w:r>
      <w:r>
        <w:rPr>
          <w:rFonts w:ascii="Book Antiqua" w:hAnsi="Book Antiqua"/>
          <w:lang w:bidi="ar-EG"/>
        </w:rPr>
        <w:t>is</w:t>
      </w:r>
      <w:r>
        <w:rPr>
          <w:rFonts w:ascii="Book Antiqua" w:hAnsi="Book Antiqua"/>
        </w:rPr>
        <w:t xml:space="preserve"> </w:t>
      </w:r>
      <w:r>
        <w:rPr>
          <w:rFonts w:ascii="Book Antiqua" w:hAnsi="Book Antiqua"/>
          <w:lang w:bidi="ar-EG"/>
        </w:rPr>
        <w:t>associated</w:t>
      </w:r>
      <w:r>
        <w:rPr>
          <w:rFonts w:ascii="Book Antiqua" w:hAnsi="Book Antiqua"/>
        </w:rPr>
        <w:t xml:space="preserve"> </w:t>
      </w:r>
      <w:r>
        <w:rPr>
          <w:rFonts w:ascii="Book Antiqua" w:hAnsi="Book Antiqua"/>
          <w:lang w:bidi="ar-EG"/>
        </w:rPr>
        <w:t xml:space="preserve">with </w:t>
      </w:r>
      <w:r>
        <w:rPr>
          <w:rFonts w:ascii="Book Antiqua" w:hAnsi="Book Antiqua"/>
        </w:rPr>
        <w:t xml:space="preserve">a variety of EHMs. Among these manifestations are the rheumatologic diseases, T2DM, IR, several glomerulopathies, cardiovascular diseases, neuropsychiatric, and cognitive disorders. </w:t>
      </w:r>
    </w:p>
    <w:p w14:paraId="2B5C9747" w14:textId="77777777" w:rsidR="008A6CD8" w:rsidRDefault="00477245">
      <w:pPr>
        <w:autoSpaceDE w:val="0"/>
        <w:autoSpaceDN w:val="0"/>
        <w:adjustRightInd w:val="0"/>
        <w:spacing w:line="360" w:lineRule="auto"/>
        <w:jc w:val="both"/>
        <w:rPr>
          <w:rFonts w:ascii="Book Antiqua" w:hAnsi="Book Antiqua"/>
        </w:rPr>
      </w:pPr>
      <w:r>
        <w:rPr>
          <w:rFonts w:ascii="Book Antiqua" w:eastAsia="DejaVuSans" w:hAnsi="Book Antiqua"/>
        </w:rPr>
        <w:t xml:space="preserve">DAA regimens </w:t>
      </w:r>
      <w:r>
        <w:rPr>
          <w:rFonts w:ascii="Book Antiqua" w:hAnsi="Book Antiqua"/>
          <w:shd w:val="clear" w:color="auto" w:fill="FFFFFF"/>
        </w:rPr>
        <w:t>are considered pan-genotypic as they achieve a SVR of &gt; 85% at 12 wk through all the major HCV genotypes</w:t>
      </w:r>
      <w:r>
        <w:rPr>
          <w:rFonts w:ascii="Book Antiqua" w:eastAsia="DejaVuSans" w:hAnsi="Book Antiqua"/>
        </w:rPr>
        <w:t xml:space="preserve"> as well as a very high percentage of SVR</w:t>
      </w:r>
      <w:r>
        <w:rPr>
          <w:rFonts w:ascii="Book Antiqua" w:hAnsi="Book Antiqua"/>
        </w:rPr>
        <w:t xml:space="preserve"> even in advanced fibrosis and cirrhosis. </w:t>
      </w:r>
      <w:r>
        <w:rPr>
          <w:rFonts w:ascii="Book Antiqua" w:hAnsi="Book Antiqua"/>
          <w:lang w:bidi="ar-EG"/>
        </w:rPr>
        <w:t>DAAs improved the symptoms of EHMs</w:t>
      </w:r>
      <w:r>
        <w:rPr>
          <w:rFonts w:ascii="Book Antiqua" w:hAnsi="Book Antiqua"/>
        </w:rPr>
        <w:t xml:space="preserve"> </w:t>
      </w:r>
      <w:r>
        <w:rPr>
          <w:rFonts w:ascii="Book Antiqua" w:hAnsi="Book Antiqua"/>
          <w:lang w:bidi="ar-EG"/>
        </w:rPr>
        <w:t xml:space="preserve">and reduced the risk of complications. </w:t>
      </w:r>
      <w:r>
        <w:rPr>
          <w:rFonts w:ascii="Book Antiqua" w:eastAsia="DejaVuSans" w:hAnsi="Book Antiqua"/>
        </w:rPr>
        <w:t>The r</w:t>
      </w:r>
      <w:r>
        <w:rPr>
          <w:rFonts w:ascii="Book Antiqua" w:hAnsi="Book Antiqua"/>
        </w:rPr>
        <w:t xml:space="preserve">isk factors for DAA failure include advanced liver fibrosis/cirrhosis and the presence of RAS in the region targeted by the received DAAs. The effectiveness of GLE/PIB is reduced in HCV genotype 3 with baseline RAS like A30K, Y93H, and P53del. </w:t>
      </w:r>
      <w:r>
        <w:rPr>
          <w:rFonts w:ascii="Book Antiqua" w:hAnsi="Book Antiqua"/>
          <w:shd w:val="clear" w:color="auto" w:fill="FFFFFF"/>
        </w:rPr>
        <w:t xml:space="preserve">Baseline </w:t>
      </w:r>
      <w:r>
        <w:rPr>
          <w:rFonts w:ascii="Book Antiqua" w:hAnsi="Book Antiqua"/>
        </w:rPr>
        <w:t xml:space="preserve">RAS testing is recommended for HCV genotype 3 infected patients with liver cirrhosis, as those without a baseline Y93H RAS in NS5A are eligible for SOF/VEL therapy. While, those with baseline Y93H RAS could be treated with SOF/VEL/VOX or SOF/VEL plus RBV. Moreover, </w:t>
      </w:r>
      <w:r>
        <w:rPr>
          <w:rFonts w:ascii="Book Antiqua" w:hAnsi="Book Antiqua"/>
          <w:shd w:val="clear" w:color="auto" w:fill="FFFFFF"/>
        </w:rPr>
        <w:t>EASL recommended the identification of baseline RAS for HCV genotype 1a.</w:t>
      </w:r>
      <w:r>
        <w:rPr>
          <w:rFonts w:ascii="Book Antiqua" w:hAnsi="Book Antiqua"/>
        </w:rPr>
        <w:t xml:space="preserve"> N</w:t>
      </w:r>
      <w:r>
        <w:rPr>
          <w:rFonts w:ascii="Book Antiqua" w:hAnsi="Book Antiqua"/>
          <w:shd w:val="clear" w:color="auto" w:fill="FFFFFF"/>
        </w:rPr>
        <w:t xml:space="preserve">o RAS was reported in the NS5B region. </w:t>
      </w:r>
      <w:r>
        <w:rPr>
          <w:rFonts w:ascii="Book Antiqua" w:hAnsi="Book Antiqua"/>
        </w:rPr>
        <w:t xml:space="preserve">The higher rate of HCC after DAA therapy may be </w:t>
      </w:r>
      <w:r>
        <w:rPr>
          <w:rFonts w:ascii="Book Antiqua" w:eastAsia="MinionPro-Regular" w:hAnsi="Book Antiqua"/>
        </w:rPr>
        <w:t xml:space="preserve">explained by the fact that DAA regimens are offered to patients with advanced liver fibrosis and compensated or </w:t>
      </w:r>
      <w:r>
        <w:rPr>
          <w:rFonts w:ascii="Book Antiqua" w:eastAsia="MinionPro-Regular" w:hAnsi="Book Antiqua"/>
        </w:rPr>
        <w:lastRenderedPageBreak/>
        <w:t>decompensated cirrhosis, where IFN was contraindicated.</w:t>
      </w:r>
      <w:r>
        <w:rPr>
          <w:rFonts w:ascii="Book Antiqua" w:hAnsi="Book Antiqua"/>
        </w:rPr>
        <w:t xml:space="preserve"> </w:t>
      </w:r>
      <w:r>
        <w:rPr>
          <w:rFonts w:ascii="Book Antiqua" w:hAnsi="Book Antiqua"/>
          <w:shd w:val="clear" w:color="auto" w:fill="FFFFFF"/>
        </w:rPr>
        <w:t>In addition, the change in the growth of pre-existing subclinical undetectable HCC upon DAA treatment might be a cause.</w:t>
      </w:r>
      <w:r>
        <w:rPr>
          <w:rFonts w:ascii="Book Antiqua" w:hAnsi="Book Antiqua"/>
        </w:rPr>
        <w:t xml:space="preserve"> </w:t>
      </w:r>
      <w:r>
        <w:rPr>
          <w:rFonts w:ascii="Book Antiqua" w:hAnsi="Book Antiqua"/>
          <w:shd w:val="clear" w:color="auto" w:fill="FFFFFF"/>
        </w:rPr>
        <w:t>Furthermore, after DAA therapy, the T cell-dependent immune response is much weaker upon HCV clearance,</w:t>
      </w:r>
      <w:r>
        <w:rPr>
          <w:rStyle w:val="mixed-citation"/>
          <w:rFonts w:ascii="Book Antiqua" w:hAnsi="Book Antiqua"/>
        </w:rPr>
        <w:t xml:space="preserve"> and the </w:t>
      </w:r>
      <w:r>
        <w:rPr>
          <w:rFonts w:ascii="Book Antiqua" w:hAnsi="Book Antiqua"/>
          <w:shd w:val="clear" w:color="auto" w:fill="FFFFFF"/>
        </w:rPr>
        <w:t>down-regulation of TNF-α or the elevated neutrophil to lymphocyte ratio might increase the risk of HCC.</w:t>
      </w:r>
      <w:r>
        <w:rPr>
          <w:rFonts w:ascii="Book Antiqua" w:hAnsi="Book Antiqua"/>
        </w:rPr>
        <w:t xml:space="preserve"> DAAs appear to be safe for patients with a history of treated HCC except for cases with</w:t>
      </w:r>
      <w:r>
        <w:rPr>
          <w:rFonts w:ascii="Book Antiqua" w:hAnsi="Book Antiqua"/>
          <w:shd w:val="clear" w:color="auto" w:fill="FFFFFF"/>
        </w:rPr>
        <w:t xml:space="preserve"> vascular invasion</w:t>
      </w:r>
      <w:r>
        <w:rPr>
          <w:rFonts w:ascii="Book Antiqua" w:hAnsi="Book Antiqua"/>
        </w:rPr>
        <w:t>.</w:t>
      </w:r>
      <w:r>
        <w:rPr>
          <w:rFonts w:ascii="Book Antiqua" w:hAnsi="Book Antiqua"/>
          <w:shd w:val="clear" w:color="auto" w:fill="FFFFFF"/>
        </w:rPr>
        <w:t xml:space="preserve"> </w:t>
      </w:r>
      <w:r>
        <w:rPr>
          <w:rFonts w:ascii="Book Antiqua" w:hAnsi="Book Antiqua"/>
        </w:rPr>
        <w:t>DAAs can result in reactivation of HBV in HCV co-infected patients.</w:t>
      </w:r>
    </w:p>
    <w:p w14:paraId="1A24466D" w14:textId="77777777" w:rsidR="008A6CD8" w:rsidRDefault="00477245">
      <w:pPr>
        <w:autoSpaceDE w:val="0"/>
        <w:autoSpaceDN w:val="0"/>
        <w:adjustRightInd w:val="0"/>
        <w:spacing w:line="360" w:lineRule="auto"/>
        <w:ind w:firstLineChars="200" w:firstLine="480"/>
        <w:jc w:val="both"/>
        <w:rPr>
          <w:rFonts w:ascii="Book Antiqua" w:hAnsi="Book Antiqua"/>
        </w:rPr>
      </w:pPr>
      <w:r>
        <w:rPr>
          <w:rFonts w:ascii="Book Antiqua" w:hAnsi="Book Antiqua"/>
        </w:rPr>
        <w:t xml:space="preserve">Concerning EHMs, </w:t>
      </w:r>
      <w:r>
        <w:rPr>
          <w:rFonts w:ascii="Book Antiqua" w:hAnsi="Book Antiqua"/>
          <w:lang w:bidi="ar-EG"/>
        </w:rPr>
        <w:t xml:space="preserve">DAAs are now the drug of choice for HCV-associated MCV, and they can achieve clinical and immunological responses for cutaneous and musculoskeletal manifestations, and peripheral nerve and renal involvement. </w:t>
      </w:r>
      <w:r>
        <w:rPr>
          <w:rFonts w:ascii="Book Antiqua" w:hAnsi="Book Antiqua"/>
        </w:rPr>
        <w:t>DAAs have rapid and high effectiveness in thrombocytopenia. They also improve IR by 90%, increase</w:t>
      </w:r>
      <w:r>
        <w:rPr>
          <w:rFonts w:ascii="Book Antiqua" w:hAnsi="Book Antiqua"/>
          <w:strike/>
        </w:rPr>
        <w:t>d</w:t>
      </w:r>
      <w:r>
        <w:rPr>
          <w:rFonts w:ascii="Book Antiqua" w:hAnsi="Book Antiqua"/>
        </w:rPr>
        <w:t xml:space="preserve"> glomerular filtration rate, and decrease proteinuria, hematuria, articular manifestations, and lymphoproliferative disorders. Moreover, HCV clearance by DAAs allows a significant improvement in atherosclerosis and metabolic and immunological conditions with a reduction of major cardiovascular events, regardless of the severity of liver disease. DAA treatment also improves physical function, fatigue, and HRQOL greatly during and at the end of treatment as well as at SVR. Viral clearance attained by DAAs improves also cognitive functions in patients with subtle cognitive defects independent of their liver condition. Early therapeutic approach with DAAs not only will cure many of the EHMs that are still in a reversible stage, but it can also prevent those</w:t>
      </w:r>
      <w:r>
        <w:rPr>
          <w:rFonts w:ascii="Book Antiqua" w:hAnsi="Book Antiqua" w:hint="eastAsia"/>
          <w:lang w:eastAsia="zh-CN"/>
        </w:rPr>
        <w:t xml:space="preserve"> </w:t>
      </w:r>
      <w:r>
        <w:rPr>
          <w:rFonts w:ascii="Book Antiqua" w:hAnsi="Book Antiqua"/>
        </w:rPr>
        <w:t xml:space="preserve">develop due to delayed treatment. </w:t>
      </w:r>
    </w:p>
    <w:p w14:paraId="7CAE8FF2" w14:textId="77777777" w:rsidR="008A6CD8" w:rsidRDefault="008A6CD8">
      <w:pPr>
        <w:spacing w:line="360" w:lineRule="auto"/>
        <w:jc w:val="both"/>
        <w:rPr>
          <w:rFonts w:ascii="Book Antiqua" w:hAnsi="Book Antiqua"/>
          <w:shd w:val="clear" w:color="auto" w:fill="FFFFFF"/>
          <w:lang w:eastAsia="zh-CN"/>
        </w:rPr>
      </w:pPr>
    </w:p>
    <w:p w14:paraId="4FD53AA3" w14:textId="77777777" w:rsidR="008A6CD8" w:rsidRDefault="00477245">
      <w:pPr>
        <w:spacing w:line="360" w:lineRule="auto"/>
        <w:jc w:val="both"/>
        <w:rPr>
          <w:rFonts w:ascii="Book Antiqua" w:hAnsi="Book Antiqua"/>
          <w:b/>
          <w:bCs/>
        </w:rPr>
      </w:pPr>
      <w:r>
        <w:rPr>
          <w:rFonts w:ascii="Book Antiqua" w:eastAsia="DejaVuSans" w:hAnsi="Book Antiqua"/>
          <w:b/>
          <w:bCs/>
          <w:u w:val="single"/>
        </w:rPr>
        <w:t>ACKNOWLEDGMENT</w:t>
      </w:r>
    </w:p>
    <w:p w14:paraId="423765A4" w14:textId="77777777" w:rsidR="008A6CD8" w:rsidRDefault="00477245">
      <w:pPr>
        <w:spacing w:line="360" w:lineRule="auto"/>
        <w:jc w:val="both"/>
        <w:rPr>
          <w:rFonts w:ascii="Book Antiqua" w:hAnsi="Book Antiqua"/>
        </w:rPr>
      </w:pPr>
      <w:r>
        <w:rPr>
          <w:rFonts w:ascii="Book Antiqua" w:hAnsi="Book Antiqua"/>
        </w:rPr>
        <w:t xml:space="preserve">The authors would like to acknowledge El-Atroush </w:t>
      </w:r>
      <w:r>
        <w:rPr>
          <w:rFonts w:ascii="Book Antiqua" w:hAnsi="Book Antiqua" w:hint="eastAsia"/>
          <w:lang w:eastAsia="zh-CN"/>
        </w:rPr>
        <w:t xml:space="preserve">ES </w:t>
      </w:r>
      <w:r>
        <w:rPr>
          <w:rFonts w:ascii="Book Antiqua" w:hAnsi="Book Antiqua"/>
        </w:rPr>
        <w:t xml:space="preserve">and Kamal </w:t>
      </w:r>
      <w:r>
        <w:rPr>
          <w:rFonts w:ascii="Book Antiqua" w:hAnsi="Book Antiqua" w:hint="eastAsia"/>
          <w:lang w:eastAsia="zh-CN"/>
        </w:rPr>
        <w:t xml:space="preserve">OA </w:t>
      </w:r>
      <w:r>
        <w:rPr>
          <w:rFonts w:ascii="Book Antiqua" w:hAnsi="Book Antiqua"/>
        </w:rPr>
        <w:t>for designing and drawing the figure presented in the minireview.</w:t>
      </w:r>
    </w:p>
    <w:p w14:paraId="62432A07" w14:textId="77777777" w:rsidR="008A6CD8" w:rsidRDefault="008A6CD8">
      <w:pPr>
        <w:spacing w:line="360" w:lineRule="auto"/>
        <w:jc w:val="both"/>
        <w:rPr>
          <w:rFonts w:ascii="Book Antiqua" w:hAnsi="Book Antiqua"/>
        </w:rPr>
      </w:pPr>
    </w:p>
    <w:p w14:paraId="45B04C7F" w14:textId="77777777" w:rsidR="008A6CD8" w:rsidRDefault="00477245">
      <w:pPr>
        <w:autoSpaceDE w:val="0"/>
        <w:autoSpaceDN w:val="0"/>
        <w:adjustRightInd w:val="0"/>
        <w:spacing w:line="360" w:lineRule="auto"/>
        <w:jc w:val="both"/>
        <w:rPr>
          <w:rFonts w:ascii="Book Antiqua" w:eastAsia="DejaVuSans" w:hAnsi="Book Antiqua"/>
          <w:b/>
          <w:bCs/>
        </w:rPr>
      </w:pPr>
      <w:r>
        <w:rPr>
          <w:rFonts w:ascii="Book Antiqua" w:eastAsia="DejaVuSans" w:hAnsi="Book Antiqua"/>
          <w:b/>
          <w:bCs/>
        </w:rPr>
        <w:t>REFERENCES</w:t>
      </w:r>
    </w:p>
    <w:p w14:paraId="17738AF1"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 </w:t>
      </w:r>
      <w:r>
        <w:rPr>
          <w:rFonts w:ascii="Book Antiqua" w:eastAsia="Times New Roman" w:hAnsi="Book Antiqua"/>
          <w:b/>
        </w:rPr>
        <w:t>World Health Organization (WHO): Hepatitis C</w:t>
      </w:r>
      <w:r>
        <w:rPr>
          <w:rFonts w:ascii="Book Antiqua" w:eastAsia="Times New Roman" w:hAnsi="Book Antiqua"/>
        </w:rPr>
        <w:t xml:space="preserve">. [cited 20 </w:t>
      </w:r>
      <w:r>
        <w:rPr>
          <w:rFonts w:ascii="Book Antiqua" w:hAnsi="Book Antiqua" w:hint="eastAsia"/>
          <w:lang w:eastAsia="zh-CN"/>
        </w:rPr>
        <w:t>March</w:t>
      </w:r>
      <w:r>
        <w:rPr>
          <w:rFonts w:ascii="Book Antiqua" w:eastAsia="Times New Roman" w:hAnsi="Book Antiqua"/>
        </w:rPr>
        <w:t xml:space="preserve"> 2022]. Available from:</w:t>
      </w:r>
      <w:r>
        <w:rPr>
          <w:rFonts w:ascii="Book Antiqua" w:hAnsi="Book Antiqua" w:hint="eastAsia"/>
          <w:lang w:eastAsia="zh-CN"/>
        </w:rPr>
        <w:t xml:space="preserve"> </w:t>
      </w:r>
      <w:r>
        <w:rPr>
          <w:rFonts w:ascii="Book Antiqua" w:eastAsia="Times New Roman" w:hAnsi="Book Antiqua"/>
        </w:rPr>
        <w:t>https://www.who.int/news-room/fact-sheets/detail/hepatitis-c on 29.2.2022</w:t>
      </w:r>
    </w:p>
    <w:p w14:paraId="46A5FB1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lastRenderedPageBreak/>
        <w:t xml:space="preserve">2 </w:t>
      </w:r>
      <w:r>
        <w:rPr>
          <w:rFonts w:ascii="Book Antiqua" w:eastAsia="Times New Roman" w:hAnsi="Book Antiqua"/>
          <w:b/>
        </w:rPr>
        <w:t>WHO 2021 World Health Organization (WHO): Interim guidance for country validation of viral hepatitis elimination</w:t>
      </w:r>
      <w:r>
        <w:rPr>
          <w:rFonts w:ascii="Book Antiqua" w:eastAsia="Times New Roman" w:hAnsi="Book Antiqua"/>
        </w:rPr>
        <w:t xml:space="preserve">. [cited 20 </w:t>
      </w:r>
      <w:r>
        <w:rPr>
          <w:rFonts w:ascii="Book Antiqua" w:hAnsi="Book Antiqua" w:hint="eastAsia"/>
          <w:lang w:eastAsia="zh-CN"/>
        </w:rPr>
        <w:t>March</w:t>
      </w:r>
      <w:r>
        <w:rPr>
          <w:rFonts w:ascii="Book Antiqua" w:eastAsia="Times New Roman" w:hAnsi="Book Antiqua"/>
        </w:rPr>
        <w:t xml:space="preserve"> 2022]. Available from:</w:t>
      </w:r>
      <w:r>
        <w:rPr>
          <w:rFonts w:ascii="Book Antiqua" w:hAnsi="Book Antiqua" w:hint="eastAsia"/>
          <w:lang w:eastAsia="zh-CN"/>
        </w:rPr>
        <w:t xml:space="preserve"> </w:t>
      </w:r>
      <w:r>
        <w:rPr>
          <w:rFonts w:ascii="Book Antiqua" w:eastAsia="Times New Roman" w:hAnsi="Book Antiqua"/>
        </w:rPr>
        <w:t>https://www.who.int/publications/i/item/9789240028395 on 11.3.2022</w:t>
      </w:r>
    </w:p>
    <w:p w14:paraId="689F973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 </w:t>
      </w:r>
      <w:r>
        <w:rPr>
          <w:rFonts w:ascii="Book Antiqua" w:eastAsia="Times New Roman" w:hAnsi="Book Antiqua"/>
          <w:b/>
          <w:bCs/>
        </w:rPr>
        <w:t>Kanwal F</w:t>
      </w:r>
      <w:r>
        <w:rPr>
          <w:rFonts w:ascii="Book Antiqua" w:eastAsia="Times New Roman" w:hAnsi="Book Antiqua"/>
        </w:rPr>
        <w:t xml:space="preserve">, Kramer JR, Asch SM, Cao Y, Li L, El-Serag HB. Long-Term Risk of Hepatocellular Carcinoma in HCV Patients Treated With Direct Acting Antiviral Agents. </w:t>
      </w:r>
      <w:r>
        <w:rPr>
          <w:rFonts w:ascii="Book Antiqua" w:eastAsia="Times New Roman" w:hAnsi="Book Antiqua"/>
          <w:i/>
          <w:iCs/>
        </w:rPr>
        <w:t>Hepatology</w:t>
      </w:r>
      <w:r>
        <w:rPr>
          <w:rFonts w:ascii="Book Antiqua" w:eastAsia="Times New Roman" w:hAnsi="Book Antiqua"/>
        </w:rPr>
        <w:t xml:space="preserve"> 2020; </w:t>
      </w:r>
      <w:r>
        <w:rPr>
          <w:rFonts w:ascii="Book Antiqua" w:eastAsia="Times New Roman" w:hAnsi="Book Antiqua"/>
          <w:b/>
          <w:bCs/>
        </w:rPr>
        <w:t>71</w:t>
      </w:r>
      <w:r>
        <w:rPr>
          <w:rFonts w:ascii="Book Antiqua" w:eastAsia="Times New Roman" w:hAnsi="Book Antiqua"/>
        </w:rPr>
        <w:t>: 44-55 [PMID: 31222774 DOI: 10.1002/hep.30823]</w:t>
      </w:r>
    </w:p>
    <w:p w14:paraId="4D7A3490"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 </w:t>
      </w:r>
      <w:r>
        <w:rPr>
          <w:rFonts w:ascii="Book Antiqua" w:eastAsia="Times New Roman" w:hAnsi="Book Antiqua"/>
          <w:b/>
          <w:bCs/>
        </w:rPr>
        <w:t>Sillanpää M</w:t>
      </w:r>
      <w:r>
        <w:rPr>
          <w:rFonts w:ascii="Book Antiqua" w:eastAsia="Times New Roman" w:hAnsi="Book Antiqua"/>
        </w:rPr>
        <w:t xml:space="preserve">, Melén K, Porkka P, Fagerlund R, Nevalainen K, Lappalainen M, Julkunen I. Hepatitis C virus core, NS3, NS4B and NS5A are the major immunogenic proteins in humoral immunity in chronic HCV infection. </w:t>
      </w:r>
      <w:r>
        <w:rPr>
          <w:rFonts w:ascii="Book Antiqua" w:eastAsia="Times New Roman" w:hAnsi="Book Antiqua"/>
          <w:i/>
          <w:iCs/>
        </w:rPr>
        <w:t>Virol J</w:t>
      </w:r>
      <w:r>
        <w:rPr>
          <w:rFonts w:ascii="Book Antiqua" w:eastAsia="Times New Roman" w:hAnsi="Book Antiqua"/>
        </w:rPr>
        <w:t xml:space="preserve"> 2009; </w:t>
      </w:r>
      <w:r>
        <w:rPr>
          <w:rFonts w:ascii="Book Antiqua" w:eastAsia="Times New Roman" w:hAnsi="Book Antiqua"/>
          <w:b/>
          <w:bCs/>
        </w:rPr>
        <w:t>6</w:t>
      </w:r>
      <w:r>
        <w:rPr>
          <w:rFonts w:ascii="Book Antiqua" w:eastAsia="Times New Roman" w:hAnsi="Book Antiqua"/>
        </w:rPr>
        <w:t>: 84 [PMID: 19549310 DOI: 10.1186/1743-422X-6-84]</w:t>
      </w:r>
    </w:p>
    <w:p w14:paraId="643F48A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 </w:t>
      </w:r>
      <w:r>
        <w:rPr>
          <w:rFonts w:ascii="Book Antiqua" w:eastAsia="Times New Roman" w:hAnsi="Book Antiqua"/>
          <w:b/>
          <w:bCs/>
        </w:rPr>
        <w:t>Farhang Zangneh H</w:t>
      </w:r>
      <w:r>
        <w:rPr>
          <w:rFonts w:ascii="Book Antiqua" w:eastAsia="Times New Roman" w:hAnsi="Book Antiqua"/>
        </w:rPr>
        <w:t xml:space="preserve">, Wong WWL, Sander B, Bell CM, Mumtaz K, Kowgier M, van der Meer AJ, Cleary SP, Janssen HLA, Chan KKW, Feld JJ. Cost Effectiveness of Hepatocellular Carcinoma Surveillance After a Sustained Virologic Response to Therapy in Patients With Hepatitis C Virus Infection and Advanced Fibrosis. </w:t>
      </w:r>
      <w:r>
        <w:rPr>
          <w:rFonts w:ascii="Book Antiqua" w:eastAsia="Times New Roman" w:hAnsi="Book Antiqua"/>
          <w:i/>
          <w:iCs/>
        </w:rPr>
        <w:t>Clin Gastroenterol Hepatol</w:t>
      </w:r>
      <w:r>
        <w:rPr>
          <w:rFonts w:ascii="Book Antiqua" w:eastAsia="Times New Roman" w:hAnsi="Book Antiqua"/>
        </w:rPr>
        <w:t xml:space="preserve"> 2019; </w:t>
      </w:r>
      <w:r>
        <w:rPr>
          <w:rFonts w:ascii="Book Antiqua" w:eastAsia="Times New Roman" w:hAnsi="Book Antiqua"/>
          <w:b/>
          <w:bCs/>
        </w:rPr>
        <w:t>17</w:t>
      </w:r>
      <w:r>
        <w:rPr>
          <w:rFonts w:ascii="Book Antiqua" w:eastAsia="Times New Roman" w:hAnsi="Book Antiqua"/>
        </w:rPr>
        <w:t>: 1840-1849.e16 [PMID: 30580095 DOI: 10.1016/j.cgh.2018.12.018]</w:t>
      </w:r>
    </w:p>
    <w:p w14:paraId="6AD2644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 </w:t>
      </w:r>
      <w:r>
        <w:rPr>
          <w:rFonts w:ascii="Book Antiqua" w:eastAsia="Times New Roman" w:hAnsi="Book Antiqua"/>
          <w:b/>
          <w:bCs/>
        </w:rPr>
        <w:t>Catanese MT</w:t>
      </w:r>
      <w:r>
        <w:rPr>
          <w:rFonts w:ascii="Book Antiqua" w:eastAsia="Times New Roman" w:hAnsi="Book Antiqua"/>
        </w:rPr>
        <w:t xml:space="preserve">, Uryu K, Kopp M, Edwards TJ, Andrus L, Rice WJ, Silvestry M, Kuhn RJ, Rice CM. Ultrastructural analysis of hepatitis C virus particles. </w:t>
      </w:r>
      <w:r>
        <w:rPr>
          <w:rFonts w:ascii="Book Antiqua" w:eastAsia="Times New Roman" w:hAnsi="Book Antiqua"/>
          <w:i/>
          <w:iCs/>
        </w:rPr>
        <w:t>Proc Natl Acad Sci U S A</w:t>
      </w:r>
      <w:r>
        <w:rPr>
          <w:rFonts w:ascii="Book Antiqua" w:eastAsia="Times New Roman" w:hAnsi="Book Antiqua"/>
        </w:rPr>
        <w:t xml:space="preserve"> 2013; </w:t>
      </w:r>
      <w:r>
        <w:rPr>
          <w:rFonts w:ascii="Book Antiqua" w:eastAsia="Times New Roman" w:hAnsi="Book Antiqua"/>
          <w:b/>
          <w:bCs/>
        </w:rPr>
        <w:t>110</w:t>
      </w:r>
      <w:r>
        <w:rPr>
          <w:rFonts w:ascii="Book Antiqua" w:eastAsia="Times New Roman" w:hAnsi="Book Antiqua"/>
        </w:rPr>
        <w:t>: 9505-9510 [PMID: 23690609 DOI: 10.1073/pnas.1307527110]</w:t>
      </w:r>
    </w:p>
    <w:p w14:paraId="245D506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 </w:t>
      </w:r>
      <w:r>
        <w:rPr>
          <w:rFonts w:ascii="Book Antiqua" w:eastAsia="Times New Roman" w:hAnsi="Book Antiqua"/>
          <w:b/>
          <w:bCs/>
        </w:rPr>
        <w:t>Zhao F</w:t>
      </w:r>
      <w:r>
        <w:rPr>
          <w:rFonts w:ascii="Book Antiqua" w:eastAsia="Times New Roman" w:hAnsi="Book Antiqua"/>
        </w:rPr>
        <w:t xml:space="preserve">, Zhao T, Deng L, Lv D, Zhang X, Pan X, Xu J, Long G. Visualizing the Essential Role of Complete Virion Assembly Machinery in Efficient Hepatitis C Virus Cell-to-Cell Transmission by a Viral Infection-Activated Split-Intein-Mediated Reporter System. </w:t>
      </w:r>
      <w:r>
        <w:rPr>
          <w:rFonts w:ascii="Book Antiqua" w:eastAsia="Times New Roman" w:hAnsi="Book Antiqua"/>
          <w:i/>
          <w:iCs/>
        </w:rPr>
        <w:t>J Virol</w:t>
      </w:r>
      <w:r>
        <w:rPr>
          <w:rFonts w:ascii="Book Antiqua" w:eastAsia="Times New Roman" w:hAnsi="Book Antiqua"/>
        </w:rPr>
        <w:t xml:space="preserve"> 2017; </w:t>
      </w:r>
      <w:r>
        <w:rPr>
          <w:rFonts w:ascii="Book Antiqua" w:eastAsia="Times New Roman" w:hAnsi="Book Antiqua"/>
          <w:b/>
          <w:bCs/>
        </w:rPr>
        <w:t>91</w:t>
      </w:r>
      <w:r>
        <w:rPr>
          <w:rFonts w:ascii="Book Antiqua" w:eastAsia="Times New Roman" w:hAnsi="Book Antiqua"/>
        </w:rPr>
        <w:t xml:space="preserve"> [PMID: 27852847 DOI: 10.1128/JVI.01720-16]</w:t>
      </w:r>
    </w:p>
    <w:p w14:paraId="2AE184C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 </w:t>
      </w:r>
      <w:r>
        <w:rPr>
          <w:rFonts w:ascii="Book Antiqua" w:eastAsia="Times New Roman" w:hAnsi="Book Antiqua"/>
          <w:b/>
          <w:bCs/>
        </w:rPr>
        <w:t>Antonelli A</w:t>
      </w:r>
      <w:r>
        <w:rPr>
          <w:rFonts w:ascii="Book Antiqua" w:eastAsia="Times New Roman" w:hAnsi="Book Antiqua"/>
        </w:rPr>
        <w:t xml:space="preserve">, Ferri C, Galeazzi M, Giannitti C, Manno D, Mieli-Vergani G, Menegatti E, Olivieri I, Puoti M, Palazzi C, Roccatello D, Vergani D, Sarzi-Puttini P, Atzeni F. HCV infection: pathogenesis, clinical manifestations and therapy. </w:t>
      </w:r>
      <w:r>
        <w:rPr>
          <w:rFonts w:ascii="Book Antiqua" w:eastAsia="Times New Roman" w:hAnsi="Book Antiqua"/>
          <w:i/>
          <w:iCs/>
        </w:rPr>
        <w:t>Clin Exp Rheumatol</w:t>
      </w:r>
      <w:r>
        <w:rPr>
          <w:rFonts w:ascii="Book Antiqua" w:eastAsia="Times New Roman" w:hAnsi="Book Antiqua"/>
        </w:rPr>
        <w:t xml:space="preserve"> 2008; </w:t>
      </w:r>
      <w:r>
        <w:rPr>
          <w:rFonts w:ascii="Book Antiqua" w:eastAsia="Times New Roman" w:hAnsi="Book Antiqua"/>
          <w:b/>
          <w:bCs/>
        </w:rPr>
        <w:t>26</w:t>
      </w:r>
      <w:r>
        <w:rPr>
          <w:rFonts w:ascii="Book Antiqua" w:eastAsia="Times New Roman" w:hAnsi="Book Antiqua"/>
        </w:rPr>
        <w:t>: S39-S47 [PMID: 18570753]</w:t>
      </w:r>
    </w:p>
    <w:p w14:paraId="28AEF96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 </w:t>
      </w:r>
      <w:r>
        <w:rPr>
          <w:rFonts w:ascii="Book Antiqua" w:eastAsia="Times New Roman" w:hAnsi="Book Antiqua"/>
          <w:b/>
          <w:bCs/>
        </w:rPr>
        <w:t>Lozach PY</w:t>
      </w:r>
      <w:r>
        <w:rPr>
          <w:rFonts w:ascii="Book Antiqua" w:eastAsia="Times New Roman" w:hAnsi="Book Antiqua"/>
        </w:rPr>
        <w:t xml:space="preserve">, Amara A, Bartosch B, Virelizier JL, Arenzana-Seisdedos F, Cosset FL, Altmeyer R. C-type lectins L-SIGN and DC-SIGN capture and transmit infectious </w:t>
      </w:r>
      <w:r>
        <w:rPr>
          <w:rFonts w:ascii="Book Antiqua" w:eastAsia="Times New Roman" w:hAnsi="Book Antiqua"/>
        </w:rPr>
        <w:lastRenderedPageBreak/>
        <w:t xml:space="preserve">hepatitis C virus pseudotype particles. </w:t>
      </w:r>
      <w:r>
        <w:rPr>
          <w:rFonts w:ascii="Book Antiqua" w:eastAsia="Times New Roman" w:hAnsi="Book Antiqua"/>
          <w:i/>
          <w:iCs/>
        </w:rPr>
        <w:t>J Biol Chem</w:t>
      </w:r>
      <w:r>
        <w:rPr>
          <w:rFonts w:ascii="Book Antiqua" w:eastAsia="Times New Roman" w:hAnsi="Book Antiqua"/>
        </w:rPr>
        <w:t xml:space="preserve"> 2004; </w:t>
      </w:r>
      <w:r>
        <w:rPr>
          <w:rFonts w:ascii="Book Antiqua" w:eastAsia="Times New Roman" w:hAnsi="Book Antiqua"/>
          <w:b/>
          <w:bCs/>
        </w:rPr>
        <w:t>279</w:t>
      </w:r>
      <w:r>
        <w:rPr>
          <w:rFonts w:ascii="Book Antiqua" w:eastAsia="Times New Roman" w:hAnsi="Book Antiqua"/>
        </w:rPr>
        <w:t>: 32035-32045 [PMID: 15166245 DOI: 10.1074/jbc.M402296200]</w:t>
      </w:r>
    </w:p>
    <w:p w14:paraId="5BA349C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 </w:t>
      </w:r>
      <w:r>
        <w:rPr>
          <w:rFonts w:ascii="Book Antiqua" w:eastAsia="Times New Roman" w:hAnsi="Book Antiqua"/>
          <w:b/>
          <w:bCs/>
        </w:rPr>
        <w:t>Lefèvre M</w:t>
      </w:r>
      <w:r>
        <w:rPr>
          <w:rFonts w:ascii="Book Antiqua" w:eastAsia="Times New Roman" w:hAnsi="Book Antiqua"/>
        </w:rPr>
        <w:t xml:space="preserve">, Felmlee DJ, Parnot M, Baumert TF, Schuster C. Syndecan 4 is involved in mediating HCV entry through interaction with lipoviral particle-associated apolipoprotein E. </w:t>
      </w:r>
      <w:r>
        <w:rPr>
          <w:rFonts w:ascii="Book Antiqua" w:eastAsia="Times New Roman" w:hAnsi="Book Antiqua"/>
          <w:i/>
          <w:iCs/>
        </w:rPr>
        <w:t>PLoS One</w:t>
      </w:r>
      <w:r>
        <w:rPr>
          <w:rFonts w:ascii="Book Antiqua" w:eastAsia="Times New Roman" w:hAnsi="Book Antiqua"/>
        </w:rPr>
        <w:t xml:space="preserve"> 2014; </w:t>
      </w:r>
      <w:r>
        <w:rPr>
          <w:rFonts w:ascii="Book Antiqua" w:eastAsia="Times New Roman" w:hAnsi="Book Antiqua"/>
          <w:b/>
          <w:bCs/>
        </w:rPr>
        <w:t>9</w:t>
      </w:r>
      <w:r>
        <w:rPr>
          <w:rFonts w:ascii="Book Antiqua" w:eastAsia="Times New Roman" w:hAnsi="Book Antiqua"/>
        </w:rPr>
        <w:t>: e95550 [PMID: 24751902 DOI: 10.1371/journal.pone.0095550]</w:t>
      </w:r>
    </w:p>
    <w:p w14:paraId="22520AD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 </w:t>
      </w:r>
      <w:r>
        <w:rPr>
          <w:rFonts w:ascii="Book Antiqua" w:eastAsia="Times New Roman" w:hAnsi="Book Antiqua"/>
          <w:b/>
          <w:bCs/>
        </w:rPr>
        <w:t>Scarselli E</w:t>
      </w:r>
      <w:r>
        <w:rPr>
          <w:rFonts w:ascii="Book Antiqua" w:eastAsia="Times New Roman" w:hAnsi="Book Antiqua"/>
        </w:rPr>
        <w:t xml:space="preserve">, Ansuini H, Cerino R, Roccasecca RM, Acali S, Filocamo G, Traboni C, Nicosia A, Cortese R, Vitelli A. The human scavenger receptor class B type I is a novel candidate receptor for the hepatitis C virus. </w:t>
      </w:r>
      <w:r>
        <w:rPr>
          <w:rFonts w:ascii="Book Antiqua" w:eastAsia="Times New Roman" w:hAnsi="Book Antiqua"/>
          <w:i/>
          <w:iCs/>
        </w:rPr>
        <w:t>EMBO J</w:t>
      </w:r>
      <w:r>
        <w:rPr>
          <w:rFonts w:ascii="Book Antiqua" w:eastAsia="Times New Roman" w:hAnsi="Book Antiqua"/>
        </w:rPr>
        <w:t xml:space="preserve"> 2002; </w:t>
      </w:r>
      <w:r>
        <w:rPr>
          <w:rFonts w:ascii="Book Antiqua" w:eastAsia="Times New Roman" w:hAnsi="Book Antiqua"/>
          <w:b/>
          <w:bCs/>
        </w:rPr>
        <w:t>21</w:t>
      </w:r>
      <w:r>
        <w:rPr>
          <w:rFonts w:ascii="Book Antiqua" w:eastAsia="Times New Roman" w:hAnsi="Book Antiqua"/>
        </w:rPr>
        <w:t>: 5017-5025 [PMID: 12356718 DOI: 10.1093/emboj/cdf529]</w:t>
      </w:r>
    </w:p>
    <w:p w14:paraId="4076D91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 </w:t>
      </w:r>
      <w:r>
        <w:rPr>
          <w:rFonts w:ascii="Book Antiqua" w:eastAsia="Times New Roman" w:hAnsi="Book Antiqua"/>
          <w:b/>
          <w:bCs/>
        </w:rPr>
        <w:t>Yamamoto S</w:t>
      </w:r>
      <w:r>
        <w:rPr>
          <w:rFonts w:ascii="Book Antiqua" w:eastAsia="Times New Roman" w:hAnsi="Book Antiqua"/>
        </w:rPr>
        <w:t xml:space="preserve">, Fukuhara T, Ono C, Uemura K, Kawachi Y, Shiokawa M, Mori H, Wada M, Shima R, Okamoto T, Hiraga N, Suzuki R, Chayama K, Wakita T, Matsuura Y. Lipoprotein Receptors Redundantly Participate in Entry of Hepatitis C Virus. </w:t>
      </w:r>
      <w:r>
        <w:rPr>
          <w:rFonts w:ascii="Book Antiqua" w:eastAsia="Times New Roman" w:hAnsi="Book Antiqua"/>
          <w:i/>
          <w:iCs/>
        </w:rPr>
        <w:t>PLoS Pathog</w:t>
      </w:r>
      <w:r>
        <w:rPr>
          <w:rFonts w:ascii="Book Antiqua" w:eastAsia="Times New Roman" w:hAnsi="Book Antiqua"/>
        </w:rPr>
        <w:t xml:space="preserve"> 2016; </w:t>
      </w:r>
      <w:r>
        <w:rPr>
          <w:rFonts w:ascii="Book Antiqua" w:eastAsia="Times New Roman" w:hAnsi="Book Antiqua"/>
          <w:b/>
          <w:bCs/>
        </w:rPr>
        <w:t>12</w:t>
      </w:r>
      <w:r>
        <w:rPr>
          <w:rFonts w:ascii="Book Antiqua" w:eastAsia="Times New Roman" w:hAnsi="Book Antiqua"/>
        </w:rPr>
        <w:t>: e1005610 [PMID: 27152966 DOI: 10.1371/journal.ppat.1005610]</w:t>
      </w:r>
    </w:p>
    <w:p w14:paraId="2A73DC71"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13 </w:t>
      </w:r>
      <w:r>
        <w:rPr>
          <w:rFonts w:ascii="Book Antiqua" w:eastAsia="Times New Roman" w:hAnsi="Book Antiqua"/>
          <w:b/>
          <w:bCs/>
        </w:rPr>
        <w:t>Tawar RG,</w:t>
      </w:r>
      <w:r>
        <w:rPr>
          <w:rFonts w:ascii="Book Antiqua" w:eastAsia="Times New Roman" w:hAnsi="Book Antiqua"/>
        </w:rPr>
        <w:t xml:space="preserve"> Schuster C, Baumert TF. HCV Receptors and Virus Entry. </w:t>
      </w:r>
      <w:r>
        <w:rPr>
          <w:rFonts w:ascii="Book Antiqua" w:eastAsia="Times New Roman" w:hAnsi="Book Antiqua"/>
          <w:i/>
        </w:rPr>
        <w:t>Springer</w:t>
      </w:r>
      <w:r>
        <w:rPr>
          <w:rFonts w:ascii="Book Antiqua" w:hAnsi="Book Antiqua" w:hint="eastAsia"/>
          <w:lang w:eastAsia="zh-CN"/>
        </w:rPr>
        <w:t xml:space="preserve"> </w:t>
      </w:r>
      <w:r>
        <w:rPr>
          <w:rFonts w:ascii="Book Antiqua" w:eastAsia="Times New Roman" w:hAnsi="Book Antiqua"/>
        </w:rPr>
        <w:t>2016;</w:t>
      </w:r>
      <w:r>
        <w:rPr>
          <w:rFonts w:ascii="Book Antiqua" w:hAnsi="Book Antiqua" w:hint="eastAsia"/>
          <w:lang w:eastAsia="zh-CN"/>
        </w:rPr>
        <w:t xml:space="preserve"> </w:t>
      </w:r>
      <w:r>
        <w:rPr>
          <w:rFonts w:ascii="Book Antiqua" w:eastAsia="Times New Roman" w:hAnsi="Book Antiqua"/>
        </w:rPr>
        <w:t>81-103</w:t>
      </w:r>
      <w:r>
        <w:rPr>
          <w:rFonts w:ascii="Book Antiqua" w:hAnsi="Book Antiqua" w:hint="eastAsia"/>
          <w:lang w:eastAsia="zh-CN"/>
        </w:rPr>
        <w:t xml:space="preserve"> </w:t>
      </w:r>
      <w:r>
        <w:rPr>
          <w:rFonts w:ascii="Book Antiqua" w:eastAsia="Times New Roman" w:hAnsi="Book Antiqua"/>
        </w:rPr>
        <w:t>[DOI: 10.1007/978-4-431-56098-2_5</w:t>
      </w:r>
      <w:r>
        <w:rPr>
          <w:rFonts w:ascii="Book Antiqua" w:hAnsi="Book Antiqua" w:hint="eastAsia"/>
          <w:lang w:eastAsia="zh-CN"/>
        </w:rPr>
        <w:t>]</w:t>
      </w:r>
    </w:p>
    <w:p w14:paraId="39DCA9A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 </w:t>
      </w:r>
      <w:r>
        <w:rPr>
          <w:rFonts w:ascii="Book Antiqua" w:eastAsia="Times New Roman" w:hAnsi="Book Antiqua"/>
          <w:b/>
          <w:bCs/>
        </w:rPr>
        <w:t>Zona L</w:t>
      </w:r>
      <w:r>
        <w:rPr>
          <w:rFonts w:ascii="Book Antiqua" w:eastAsia="Times New Roman" w:hAnsi="Book Antiqua"/>
        </w:rPr>
        <w:t xml:space="preserve">, Lupberger J, Sidahmed-Adrar N, Thumann C, Harris HJ, Barnes A, Florentin J, Tawar RG, Xiao F, Turek M, Durand SC, Duong FH, Heim MH, Cosset FL, Hirsch I, Samuel D, Brino L, Zeisel MB, Le Naour F, McKeating JA, Baumert TF. HRas signal transduction promotes hepatitis C virus cell entry by triggering assembly of the host tetraspanin receptor complex. </w:t>
      </w:r>
      <w:r>
        <w:rPr>
          <w:rFonts w:ascii="Book Antiqua" w:eastAsia="Times New Roman" w:hAnsi="Book Antiqua"/>
          <w:i/>
          <w:iCs/>
        </w:rPr>
        <w:t>Cell Host Microbe</w:t>
      </w:r>
      <w:r>
        <w:rPr>
          <w:rFonts w:ascii="Book Antiqua" w:eastAsia="Times New Roman" w:hAnsi="Book Antiqua"/>
        </w:rPr>
        <w:t xml:space="preserve"> 2013; </w:t>
      </w:r>
      <w:r>
        <w:rPr>
          <w:rFonts w:ascii="Book Antiqua" w:eastAsia="Times New Roman" w:hAnsi="Book Antiqua"/>
          <w:b/>
          <w:bCs/>
        </w:rPr>
        <w:t>13</w:t>
      </w:r>
      <w:r>
        <w:rPr>
          <w:rFonts w:ascii="Book Antiqua" w:eastAsia="Times New Roman" w:hAnsi="Book Antiqua"/>
        </w:rPr>
        <w:t>: 302-313 [PMID: 23498955 DOI: 10.1016/j.chom.2013.02.006]</w:t>
      </w:r>
    </w:p>
    <w:p w14:paraId="616533E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 </w:t>
      </w:r>
      <w:r>
        <w:rPr>
          <w:rFonts w:ascii="Book Antiqua" w:eastAsia="Times New Roman" w:hAnsi="Book Antiqua"/>
          <w:b/>
          <w:bCs/>
        </w:rPr>
        <w:t>Sourisseau M</w:t>
      </w:r>
      <w:r>
        <w:rPr>
          <w:rFonts w:ascii="Book Antiqua" w:eastAsia="Times New Roman" w:hAnsi="Book Antiqua"/>
        </w:rPr>
        <w:t xml:space="preserve">, Michta ML, Zony C, Israelow B, Hopcraft SE, Narbus CM, Parra Martín A, Evans MJ. Temporal analysis of hepatitis C virus cell entry with occludin directed blocking antibodies. </w:t>
      </w:r>
      <w:r>
        <w:rPr>
          <w:rFonts w:ascii="Book Antiqua" w:eastAsia="Times New Roman" w:hAnsi="Book Antiqua"/>
          <w:i/>
          <w:iCs/>
        </w:rPr>
        <w:t>PLoS Pathog</w:t>
      </w:r>
      <w:r>
        <w:rPr>
          <w:rFonts w:ascii="Book Antiqua" w:eastAsia="Times New Roman" w:hAnsi="Book Antiqua"/>
        </w:rPr>
        <w:t xml:space="preserve"> 2013; </w:t>
      </w:r>
      <w:r>
        <w:rPr>
          <w:rFonts w:ascii="Book Antiqua" w:eastAsia="Times New Roman" w:hAnsi="Book Antiqua"/>
          <w:b/>
          <w:bCs/>
        </w:rPr>
        <w:t>9</w:t>
      </w:r>
      <w:r>
        <w:rPr>
          <w:rFonts w:ascii="Book Antiqua" w:eastAsia="Times New Roman" w:hAnsi="Book Antiqua"/>
        </w:rPr>
        <w:t>: e1003244 [PMID: 23555257 DOI: 10.1371/journal.ppat.1003244]</w:t>
      </w:r>
    </w:p>
    <w:p w14:paraId="0284DC4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 </w:t>
      </w:r>
      <w:r>
        <w:rPr>
          <w:rFonts w:ascii="Book Antiqua" w:eastAsia="Times New Roman" w:hAnsi="Book Antiqua"/>
          <w:b/>
          <w:bCs/>
        </w:rPr>
        <w:t>Cheng JJ</w:t>
      </w:r>
      <w:r>
        <w:rPr>
          <w:rFonts w:ascii="Book Antiqua" w:eastAsia="Times New Roman" w:hAnsi="Book Antiqua"/>
        </w:rPr>
        <w:t xml:space="preserve">, Li JR, Huang MH, Ma LL, Wu ZY, Jiang CC, Li WJ, Li YH, Han YX, Li H, Chen JH, Wang YX, Song DQ, Peng ZG, Jiang JD. CD36 is a co-receptor for hepatitis C </w:t>
      </w:r>
      <w:r>
        <w:rPr>
          <w:rFonts w:ascii="Book Antiqua" w:eastAsia="Times New Roman" w:hAnsi="Book Antiqua"/>
        </w:rPr>
        <w:lastRenderedPageBreak/>
        <w:t xml:space="preserve">virus E1 protein attachment. </w:t>
      </w:r>
      <w:r>
        <w:rPr>
          <w:rFonts w:ascii="Book Antiqua" w:eastAsia="Times New Roman" w:hAnsi="Book Antiqua"/>
          <w:i/>
          <w:iCs/>
        </w:rPr>
        <w:t>Sci Rep</w:t>
      </w:r>
      <w:r>
        <w:rPr>
          <w:rFonts w:ascii="Book Antiqua" w:eastAsia="Times New Roman" w:hAnsi="Book Antiqua"/>
        </w:rPr>
        <w:t xml:space="preserve"> 2016; </w:t>
      </w:r>
      <w:r>
        <w:rPr>
          <w:rFonts w:ascii="Book Antiqua" w:eastAsia="Times New Roman" w:hAnsi="Book Antiqua"/>
          <w:b/>
          <w:bCs/>
        </w:rPr>
        <w:t>6</w:t>
      </w:r>
      <w:r>
        <w:rPr>
          <w:rFonts w:ascii="Book Antiqua" w:eastAsia="Times New Roman" w:hAnsi="Book Antiqua"/>
        </w:rPr>
        <w:t>: 21808 [PMID: 26898231 DOI: 10.1038/srep21808]</w:t>
      </w:r>
    </w:p>
    <w:p w14:paraId="3E03E5A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 </w:t>
      </w:r>
      <w:r>
        <w:rPr>
          <w:rFonts w:ascii="Book Antiqua" w:eastAsia="Times New Roman" w:hAnsi="Book Antiqua"/>
          <w:b/>
          <w:bCs/>
        </w:rPr>
        <w:t>Wang J</w:t>
      </w:r>
      <w:r>
        <w:rPr>
          <w:rFonts w:ascii="Book Antiqua" w:eastAsia="Times New Roman" w:hAnsi="Book Antiqua"/>
        </w:rPr>
        <w:t xml:space="preserve">, Qiao L, Hou Z, Luo G. TIM-1 Promotes Hepatitis C Virus Cell Attachment and Infection. </w:t>
      </w:r>
      <w:r>
        <w:rPr>
          <w:rFonts w:ascii="Book Antiqua" w:eastAsia="Times New Roman" w:hAnsi="Book Antiqua"/>
          <w:i/>
          <w:iCs/>
        </w:rPr>
        <w:t>J Virol</w:t>
      </w:r>
      <w:r>
        <w:rPr>
          <w:rFonts w:ascii="Book Antiqua" w:eastAsia="Times New Roman" w:hAnsi="Book Antiqua"/>
        </w:rPr>
        <w:t xml:space="preserve"> 2017; </w:t>
      </w:r>
      <w:r>
        <w:rPr>
          <w:rFonts w:ascii="Book Antiqua" w:eastAsia="Times New Roman" w:hAnsi="Book Antiqua"/>
          <w:b/>
          <w:bCs/>
        </w:rPr>
        <w:t>91</w:t>
      </w:r>
      <w:r>
        <w:rPr>
          <w:rFonts w:ascii="Book Antiqua" w:eastAsia="Times New Roman" w:hAnsi="Book Antiqua"/>
        </w:rPr>
        <w:t xml:space="preserve"> [PMID: 27807228 DOI: 10.1128/JVI.01583-16]</w:t>
      </w:r>
    </w:p>
    <w:p w14:paraId="368D877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 </w:t>
      </w:r>
      <w:r>
        <w:rPr>
          <w:rFonts w:ascii="Book Antiqua" w:eastAsia="Times New Roman" w:hAnsi="Book Antiqua"/>
          <w:b/>
          <w:bCs/>
        </w:rPr>
        <w:t>Kachko A</w:t>
      </w:r>
      <w:r>
        <w:rPr>
          <w:rFonts w:ascii="Book Antiqua" w:eastAsia="Times New Roman" w:hAnsi="Book Antiqua"/>
        </w:rPr>
        <w:t xml:space="preserve">, Costafreda MI, Zubkova I, Jacques J, Takeda K, Wells F, Kaplan G, Major ME. Determinants in the Ig Variable Domain of Human HAVCR1 (TIM-1) Are Required To Enhance Hepatitis C Virus Entry. </w:t>
      </w:r>
      <w:r>
        <w:rPr>
          <w:rFonts w:ascii="Book Antiqua" w:eastAsia="Times New Roman" w:hAnsi="Book Antiqua"/>
          <w:i/>
          <w:iCs/>
        </w:rPr>
        <w:t>J Virol</w:t>
      </w:r>
      <w:r>
        <w:rPr>
          <w:rFonts w:ascii="Book Antiqua" w:eastAsia="Times New Roman" w:hAnsi="Book Antiqua"/>
        </w:rPr>
        <w:t xml:space="preserve"> 2018; </w:t>
      </w:r>
      <w:r>
        <w:rPr>
          <w:rFonts w:ascii="Book Antiqua" w:eastAsia="Times New Roman" w:hAnsi="Book Antiqua"/>
          <w:b/>
          <w:bCs/>
        </w:rPr>
        <w:t>92</w:t>
      </w:r>
      <w:r>
        <w:rPr>
          <w:rFonts w:ascii="Book Antiqua" w:eastAsia="Times New Roman" w:hAnsi="Book Antiqua"/>
        </w:rPr>
        <w:t xml:space="preserve"> [PMID: 29321304 DOI: 10.1128/JVI.01742-17]</w:t>
      </w:r>
    </w:p>
    <w:p w14:paraId="6E93BF1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 </w:t>
      </w:r>
      <w:r>
        <w:rPr>
          <w:rFonts w:ascii="Book Antiqua" w:eastAsia="Times New Roman" w:hAnsi="Book Antiqua"/>
          <w:b/>
          <w:bCs/>
        </w:rPr>
        <w:t>Nguyen LP</w:t>
      </w:r>
      <w:r>
        <w:rPr>
          <w:rFonts w:ascii="Book Antiqua" w:eastAsia="Times New Roman" w:hAnsi="Book Antiqua"/>
        </w:rPr>
        <w:t xml:space="preserve">, Nguyen TTT, Nguyen HC, Pham HT, Han KM, Choi DH, Park EM, Kang SM, Tark D, Lim YS, Hwang SB. Cortactin Interacts with Hepatitis C Virus Core and NS5A Proteins: Implications for Virion Assembly. </w:t>
      </w:r>
      <w:r>
        <w:rPr>
          <w:rFonts w:ascii="Book Antiqua" w:eastAsia="Times New Roman" w:hAnsi="Book Antiqua"/>
          <w:i/>
          <w:iCs/>
        </w:rPr>
        <w:t>J Virol</w:t>
      </w:r>
      <w:r>
        <w:rPr>
          <w:rFonts w:ascii="Book Antiqua" w:eastAsia="Times New Roman" w:hAnsi="Book Antiqua"/>
        </w:rPr>
        <w:t xml:space="preserve"> 2020; </w:t>
      </w:r>
      <w:r>
        <w:rPr>
          <w:rFonts w:ascii="Book Antiqua" w:eastAsia="Times New Roman" w:hAnsi="Book Antiqua"/>
          <w:b/>
          <w:bCs/>
        </w:rPr>
        <w:t>94</w:t>
      </w:r>
      <w:r>
        <w:rPr>
          <w:rFonts w:ascii="Book Antiqua" w:eastAsia="Times New Roman" w:hAnsi="Book Antiqua"/>
        </w:rPr>
        <w:t xml:space="preserve"> [PMID: 32727880 DOI: 10.1128/JVI.01306-20]</w:t>
      </w:r>
    </w:p>
    <w:p w14:paraId="3517D3A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20 </w:t>
      </w:r>
      <w:r>
        <w:rPr>
          <w:rFonts w:ascii="Book Antiqua" w:eastAsia="Times New Roman" w:hAnsi="Book Antiqua"/>
          <w:b/>
          <w:bCs/>
        </w:rPr>
        <w:t>Brimacombe CL</w:t>
      </w:r>
      <w:r>
        <w:rPr>
          <w:rFonts w:ascii="Book Antiqua" w:eastAsia="Times New Roman" w:hAnsi="Book Antiqua"/>
        </w:rPr>
        <w:t xml:space="preserve">, Grove J, Meredith LW, Hu K, Syder AJ, Flores MV, Timpe JM, Krieger SE, Baumert TF, Tellinghuisen TL, Wong-Staal F, Balfe P, McKeating JA. Neutralizing antibody-resistant hepatitis C virus cell-to-cell transmission. </w:t>
      </w:r>
      <w:r>
        <w:rPr>
          <w:rFonts w:ascii="Book Antiqua" w:eastAsia="Times New Roman" w:hAnsi="Book Antiqua"/>
          <w:i/>
          <w:iCs/>
        </w:rPr>
        <w:t>J Virol</w:t>
      </w:r>
      <w:r>
        <w:rPr>
          <w:rFonts w:ascii="Book Antiqua" w:eastAsia="Times New Roman" w:hAnsi="Book Antiqua"/>
        </w:rPr>
        <w:t xml:space="preserve"> 2011; </w:t>
      </w:r>
      <w:r>
        <w:rPr>
          <w:rFonts w:ascii="Book Antiqua" w:eastAsia="Times New Roman" w:hAnsi="Book Antiqua"/>
          <w:b/>
          <w:bCs/>
        </w:rPr>
        <w:t>85</w:t>
      </w:r>
      <w:r>
        <w:rPr>
          <w:rFonts w:ascii="Book Antiqua" w:eastAsia="Times New Roman" w:hAnsi="Book Antiqua"/>
        </w:rPr>
        <w:t>: 596-605 [PMID: 20962076 DOI: 10.1128/JVI.01592-10]</w:t>
      </w:r>
    </w:p>
    <w:p w14:paraId="6E1F0A3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21 </w:t>
      </w:r>
      <w:r>
        <w:rPr>
          <w:rFonts w:ascii="Book Antiqua" w:eastAsia="Times New Roman" w:hAnsi="Book Antiqua"/>
          <w:b/>
          <w:bCs/>
        </w:rPr>
        <w:t>Choi JW</w:t>
      </w:r>
      <w:r>
        <w:rPr>
          <w:rFonts w:ascii="Book Antiqua" w:eastAsia="Times New Roman" w:hAnsi="Book Antiqua"/>
        </w:rPr>
        <w:t xml:space="preserve">, Kim JW, Nguyen LP, Nguyen HC, Park EM, Choi DH, Han KM, Kang SM, Tark D, Lim YS, Hwang SB. Nonstructural NS5A Protein Regulates LIM and SH3 Domain Protein 1 to Promote Hepatitis C Virus Propagation. </w:t>
      </w:r>
      <w:r>
        <w:rPr>
          <w:rFonts w:ascii="Book Antiqua" w:eastAsia="Times New Roman" w:hAnsi="Book Antiqua"/>
          <w:i/>
          <w:iCs/>
        </w:rPr>
        <w:t>Mol Cells</w:t>
      </w:r>
      <w:r>
        <w:rPr>
          <w:rFonts w:ascii="Book Antiqua" w:eastAsia="Times New Roman" w:hAnsi="Book Antiqua"/>
        </w:rPr>
        <w:t xml:space="preserve"> 2020; </w:t>
      </w:r>
      <w:r>
        <w:rPr>
          <w:rFonts w:ascii="Book Antiqua" w:eastAsia="Times New Roman" w:hAnsi="Book Antiqua"/>
          <w:b/>
          <w:bCs/>
        </w:rPr>
        <w:t>43</w:t>
      </w:r>
      <w:r>
        <w:rPr>
          <w:rFonts w:ascii="Book Antiqua" w:eastAsia="Times New Roman" w:hAnsi="Book Antiqua"/>
        </w:rPr>
        <w:t>: 469-478 [PMID: 32344996 DOI: 10.14348/molcells.2020.0018]</w:t>
      </w:r>
    </w:p>
    <w:p w14:paraId="37D8302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22 </w:t>
      </w:r>
      <w:r>
        <w:rPr>
          <w:rFonts w:ascii="Book Antiqua" w:eastAsia="Times New Roman" w:hAnsi="Book Antiqua"/>
          <w:b/>
          <w:bCs/>
        </w:rPr>
        <w:t>Scheel TK</w:t>
      </w:r>
      <w:r>
        <w:rPr>
          <w:rFonts w:ascii="Book Antiqua" w:eastAsia="Times New Roman" w:hAnsi="Book Antiqua"/>
        </w:rPr>
        <w:t xml:space="preserve">, Rice CM. Understanding the hepatitis C virus life cycle paves the way for highly effective therapies. </w:t>
      </w:r>
      <w:r>
        <w:rPr>
          <w:rFonts w:ascii="Book Antiqua" w:eastAsia="Times New Roman" w:hAnsi="Book Antiqua"/>
          <w:i/>
          <w:iCs/>
        </w:rPr>
        <w:t>Nat Med</w:t>
      </w:r>
      <w:r>
        <w:rPr>
          <w:rFonts w:ascii="Book Antiqua" w:eastAsia="Times New Roman" w:hAnsi="Book Antiqua"/>
        </w:rPr>
        <w:t xml:space="preserve"> 2013; </w:t>
      </w:r>
      <w:r>
        <w:rPr>
          <w:rFonts w:ascii="Book Antiqua" w:eastAsia="Times New Roman" w:hAnsi="Book Antiqua"/>
          <w:b/>
          <w:bCs/>
        </w:rPr>
        <w:t>19</w:t>
      </w:r>
      <w:r>
        <w:rPr>
          <w:rFonts w:ascii="Book Antiqua" w:eastAsia="Times New Roman" w:hAnsi="Book Antiqua"/>
        </w:rPr>
        <w:t>: 837-849 [PMID: 23836234 DOI: 10.1038/nm.3248]</w:t>
      </w:r>
    </w:p>
    <w:p w14:paraId="7BBB52E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23 </w:t>
      </w:r>
      <w:r>
        <w:rPr>
          <w:rFonts w:ascii="Book Antiqua" w:eastAsia="Times New Roman" w:hAnsi="Book Antiqua"/>
          <w:b/>
          <w:bCs/>
        </w:rPr>
        <w:t>Rosso C</w:t>
      </w:r>
      <w:r>
        <w:rPr>
          <w:rFonts w:ascii="Book Antiqua" w:eastAsia="Times New Roman" w:hAnsi="Book Antiqua"/>
        </w:rPr>
        <w:t xml:space="preserve">, Caviglia GP, Ciruolo M, Ciancio A, Younes R, Olivero A, Giordanino C, Troshina G, Abate ML, Rizzetto M, Pellicano R, Saracco GM, Bugianesi E, Smedile A. Clinical outcomes in chronic hepatitis C long-term responders to pre-direct antiviral agents: a single-center retrospective study. </w:t>
      </w:r>
      <w:r>
        <w:rPr>
          <w:rFonts w:ascii="Book Antiqua" w:eastAsia="Times New Roman" w:hAnsi="Book Antiqua"/>
          <w:i/>
          <w:iCs/>
        </w:rPr>
        <w:t>Minerva Med</w:t>
      </w:r>
      <w:r>
        <w:rPr>
          <w:rFonts w:ascii="Book Antiqua" w:eastAsia="Times New Roman" w:hAnsi="Book Antiqua"/>
        </w:rPr>
        <w:t xml:space="preserve"> 2019; </w:t>
      </w:r>
      <w:r>
        <w:rPr>
          <w:rFonts w:ascii="Book Antiqua" w:eastAsia="Times New Roman" w:hAnsi="Book Antiqua"/>
          <w:b/>
          <w:bCs/>
        </w:rPr>
        <w:t>110</w:t>
      </w:r>
      <w:r>
        <w:rPr>
          <w:rFonts w:ascii="Book Antiqua" w:eastAsia="Times New Roman" w:hAnsi="Book Antiqua"/>
        </w:rPr>
        <w:t>: 401-409 [PMID: 31081312 DOI: 10.23736/S0026-4806.19.06108-1]</w:t>
      </w:r>
    </w:p>
    <w:p w14:paraId="5C685DD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24 </w:t>
      </w:r>
      <w:r>
        <w:rPr>
          <w:rFonts w:ascii="Book Antiqua" w:eastAsia="Times New Roman" w:hAnsi="Book Antiqua"/>
          <w:b/>
          <w:bCs/>
        </w:rPr>
        <w:t>Fukuhara T</w:t>
      </w:r>
      <w:r>
        <w:rPr>
          <w:rFonts w:ascii="Book Antiqua" w:eastAsia="Times New Roman" w:hAnsi="Book Antiqua"/>
        </w:rPr>
        <w:t xml:space="preserve">, Kambara H, Shiokawa M, Ono C, Katoh H, Morita E, Okuzaki D, Maehara Y, Koike K, Matsuura Y. Expression of microRNA miR-122 facilitates an efficient replication in nonhepatic cells upon infection with hepatitis C virus. </w:t>
      </w:r>
      <w:r>
        <w:rPr>
          <w:rFonts w:ascii="Book Antiqua" w:eastAsia="Times New Roman" w:hAnsi="Book Antiqua"/>
          <w:i/>
          <w:iCs/>
        </w:rPr>
        <w:t>J Virol</w:t>
      </w:r>
      <w:r>
        <w:rPr>
          <w:rFonts w:ascii="Book Antiqua" w:eastAsia="Times New Roman" w:hAnsi="Book Antiqua"/>
        </w:rPr>
        <w:t xml:space="preserve"> 2012; </w:t>
      </w:r>
      <w:r>
        <w:rPr>
          <w:rFonts w:ascii="Book Antiqua" w:eastAsia="Times New Roman" w:hAnsi="Book Antiqua"/>
          <w:b/>
          <w:bCs/>
        </w:rPr>
        <w:t>86</w:t>
      </w:r>
      <w:r>
        <w:rPr>
          <w:rFonts w:ascii="Book Antiqua" w:eastAsia="Times New Roman" w:hAnsi="Book Antiqua"/>
        </w:rPr>
        <w:t>: 7918-7933 [PMID: 22593164 DOI: 10.1128/JVI.00567-12]</w:t>
      </w:r>
    </w:p>
    <w:p w14:paraId="2AE570C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25 </w:t>
      </w:r>
      <w:r>
        <w:rPr>
          <w:rFonts w:ascii="Book Antiqua" w:eastAsia="Times New Roman" w:hAnsi="Book Antiqua"/>
          <w:b/>
          <w:bCs/>
        </w:rPr>
        <w:t>Ito M</w:t>
      </w:r>
      <w:r>
        <w:rPr>
          <w:rFonts w:ascii="Book Antiqua" w:eastAsia="Times New Roman" w:hAnsi="Book Antiqua"/>
        </w:rPr>
        <w:t xml:space="preserve">, Masumi A, Mochida K, Kukihara H, Moriishi K, Matsuura Y, Yamaguchi K, Mizuochi T. Peripheral B cells may serve as a reservoir for persistent hepatitis C virus infection. </w:t>
      </w:r>
      <w:r>
        <w:rPr>
          <w:rFonts w:ascii="Book Antiqua" w:eastAsia="Times New Roman" w:hAnsi="Book Antiqua"/>
          <w:i/>
          <w:iCs/>
        </w:rPr>
        <w:t>J Innate Immun</w:t>
      </w:r>
      <w:r>
        <w:rPr>
          <w:rFonts w:ascii="Book Antiqua" w:eastAsia="Times New Roman" w:hAnsi="Book Antiqua"/>
        </w:rPr>
        <w:t xml:space="preserve"> 2010; </w:t>
      </w:r>
      <w:r>
        <w:rPr>
          <w:rFonts w:ascii="Book Antiqua" w:eastAsia="Times New Roman" w:hAnsi="Book Antiqua"/>
          <w:b/>
          <w:bCs/>
        </w:rPr>
        <w:t>2</w:t>
      </w:r>
      <w:r>
        <w:rPr>
          <w:rFonts w:ascii="Book Antiqua" w:eastAsia="Times New Roman" w:hAnsi="Book Antiqua"/>
        </w:rPr>
        <w:t>: 607-617 [PMID: 20714117 DOI: 10.1159/000317690]</w:t>
      </w:r>
    </w:p>
    <w:p w14:paraId="3F2544EF"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26 </w:t>
      </w:r>
      <w:r>
        <w:rPr>
          <w:rFonts w:ascii="Book Antiqua" w:eastAsia="Times New Roman" w:hAnsi="Book Antiqua"/>
          <w:b/>
        </w:rPr>
        <w:t>Alhetheel AF</w:t>
      </w:r>
      <w:r>
        <w:rPr>
          <w:rFonts w:ascii="Book Antiqua" w:eastAsia="Times New Roman" w:hAnsi="Book Antiqua"/>
        </w:rPr>
        <w:t xml:space="preserve">. Impact of Hepatitis C Virus Infection of Peripheral Blood Mononuclear Cells on the Immune System. </w:t>
      </w:r>
      <w:r>
        <w:rPr>
          <w:rFonts w:ascii="Book Antiqua" w:eastAsia="Times New Roman" w:hAnsi="Book Antiqua"/>
          <w:i/>
        </w:rPr>
        <w:t>Frontiers in Virology</w:t>
      </w:r>
      <w:r>
        <w:rPr>
          <w:rFonts w:ascii="Book Antiqua" w:hAnsi="Book Antiqua" w:hint="eastAsia"/>
          <w:lang w:eastAsia="zh-CN"/>
        </w:rPr>
        <w:t xml:space="preserve"> </w:t>
      </w:r>
      <w:r>
        <w:rPr>
          <w:rFonts w:ascii="Book Antiqua" w:eastAsia="Times New Roman" w:hAnsi="Book Antiqua"/>
        </w:rPr>
        <w:t>2022;</w:t>
      </w:r>
      <w:r>
        <w:rPr>
          <w:rFonts w:ascii="Book Antiqua" w:hAnsi="Book Antiqua" w:hint="eastAsia"/>
          <w:lang w:eastAsia="zh-CN"/>
        </w:rPr>
        <w:t xml:space="preserve"> </w:t>
      </w:r>
      <w:r>
        <w:rPr>
          <w:rFonts w:ascii="Book Antiqua" w:eastAsia="Times New Roman" w:hAnsi="Book Antiqua"/>
          <w:b/>
        </w:rPr>
        <w:t>1</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1-8</w:t>
      </w:r>
      <w:r>
        <w:rPr>
          <w:rFonts w:ascii="Book Antiqua" w:hAnsi="Book Antiqua" w:hint="eastAsia"/>
          <w:lang w:eastAsia="zh-CN"/>
        </w:rPr>
        <w:t xml:space="preserve"> </w:t>
      </w:r>
      <w:r>
        <w:rPr>
          <w:rFonts w:ascii="Book Antiqua" w:eastAsia="Times New Roman" w:hAnsi="Book Antiqua"/>
        </w:rPr>
        <w:t>[DOI: 10.3389/fviro.2021.810231</w:t>
      </w:r>
      <w:r>
        <w:rPr>
          <w:rFonts w:ascii="Book Antiqua" w:hAnsi="Book Antiqua" w:hint="eastAsia"/>
          <w:lang w:eastAsia="zh-CN"/>
        </w:rPr>
        <w:t>]</w:t>
      </w:r>
    </w:p>
    <w:p w14:paraId="13D2643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27 </w:t>
      </w:r>
      <w:r>
        <w:rPr>
          <w:rFonts w:ascii="Book Antiqua" w:eastAsia="Times New Roman" w:hAnsi="Book Antiqua"/>
          <w:b/>
          <w:bCs/>
        </w:rPr>
        <w:t>Liu Y</w:t>
      </w:r>
      <w:r>
        <w:rPr>
          <w:rFonts w:ascii="Book Antiqua" w:eastAsia="Times New Roman" w:hAnsi="Book Antiqua"/>
        </w:rPr>
        <w:t xml:space="preserve">, Wang W, Zou Z, Hu Z, Fan Q, Xiong J. Hepatitis C Virus Entry into Macrophages/Monocytes Mainly Depends on the Phagocytosis of Macrophages. </w:t>
      </w:r>
      <w:r>
        <w:rPr>
          <w:rFonts w:ascii="Book Antiqua" w:eastAsia="Times New Roman" w:hAnsi="Book Antiqua"/>
          <w:i/>
          <w:iCs/>
        </w:rPr>
        <w:t>Dig Dis Sci</w:t>
      </w:r>
      <w:r>
        <w:rPr>
          <w:rFonts w:ascii="Book Antiqua" w:eastAsia="Times New Roman" w:hAnsi="Book Antiqua"/>
        </w:rPr>
        <w:t xml:space="preserve"> 2019; </w:t>
      </w:r>
      <w:r>
        <w:rPr>
          <w:rFonts w:ascii="Book Antiqua" w:eastAsia="Times New Roman" w:hAnsi="Book Antiqua"/>
          <w:b/>
          <w:bCs/>
        </w:rPr>
        <w:t>64</w:t>
      </w:r>
      <w:r>
        <w:rPr>
          <w:rFonts w:ascii="Book Antiqua" w:eastAsia="Times New Roman" w:hAnsi="Book Antiqua"/>
        </w:rPr>
        <w:t>: 1226-1237 [PMID: 30535782 DOI: 10.1007/s10620-018-5401-0]</w:t>
      </w:r>
    </w:p>
    <w:p w14:paraId="095B27D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28 </w:t>
      </w:r>
      <w:r>
        <w:rPr>
          <w:rFonts w:ascii="Book Antiqua" w:eastAsia="Times New Roman" w:hAnsi="Book Antiqua"/>
          <w:b/>
          <w:bCs/>
        </w:rPr>
        <w:t>Colpitts CC</w:t>
      </w:r>
      <w:r>
        <w:rPr>
          <w:rFonts w:ascii="Book Antiqua" w:eastAsia="Times New Roman" w:hAnsi="Book Antiqua"/>
        </w:rPr>
        <w:t xml:space="preserve">, Tsai PL, Zeisel MB. Hepatitis C Virus Entry: An Intriguingly Complex and Highly Regulated Process. </w:t>
      </w:r>
      <w:r>
        <w:rPr>
          <w:rFonts w:ascii="Book Antiqua" w:eastAsia="Times New Roman" w:hAnsi="Book Antiqua"/>
          <w:i/>
          <w:iCs/>
        </w:rPr>
        <w:t>Int J Mol Sci</w:t>
      </w:r>
      <w:r>
        <w:rPr>
          <w:rFonts w:ascii="Book Antiqua" w:eastAsia="Times New Roman" w:hAnsi="Book Antiqua"/>
        </w:rPr>
        <w:t xml:space="preserve"> 2020; </w:t>
      </w:r>
      <w:r>
        <w:rPr>
          <w:rFonts w:ascii="Book Antiqua" w:eastAsia="Times New Roman" w:hAnsi="Book Antiqua"/>
          <w:b/>
          <w:bCs/>
        </w:rPr>
        <w:t>21</w:t>
      </w:r>
      <w:r>
        <w:rPr>
          <w:rFonts w:ascii="Book Antiqua" w:eastAsia="Times New Roman" w:hAnsi="Book Antiqua"/>
        </w:rPr>
        <w:t xml:space="preserve"> [PMID: 32197477 DOI: 10.3390/ijms21062091]</w:t>
      </w:r>
    </w:p>
    <w:p w14:paraId="0914FE4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29 </w:t>
      </w:r>
      <w:r>
        <w:rPr>
          <w:rFonts w:ascii="Book Antiqua" w:eastAsia="Times New Roman" w:hAnsi="Book Antiqua"/>
          <w:b/>
          <w:bCs/>
        </w:rPr>
        <w:t>European Association for the Study of the Liver</w:t>
      </w:r>
      <w:r>
        <w:rPr>
          <w:rFonts w:ascii="Book Antiqua" w:eastAsia="Times New Roman" w:hAnsi="Book Antiqua"/>
          <w:bCs/>
        </w:rPr>
        <w:t xml:space="preserve">. </w:t>
      </w:r>
      <w:r>
        <w:rPr>
          <w:rFonts w:ascii="Book Antiqua" w:eastAsia="Times New Roman" w:hAnsi="Book Antiqua"/>
        </w:rPr>
        <w:t xml:space="preserve">Clinical Practice Guidelines Panel: Chair; EASL Governing Board representative; Panel members. EASL recommendations on treatment of hepatitis C: Final update of the series. </w:t>
      </w:r>
      <w:r>
        <w:rPr>
          <w:rFonts w:ascii="Book Antiqua" w:eastAsia="Times New Roman" w:hAnsi="Book Antiqua"/>
          <w:i/>
          <w:iCs/>
        </w:rPr>
        <w:t>J Hepatol</w:t>
      </w:r>
      <w:r>
        <w:rPr>
          <w:rFonts w:ascii="Book Antiqua" w:eastAsia="Times New Roman" w:hAnsi="Book Antiqua"/>
        </w:rPr>
        <w:t xml:space="preserve"> 2020; </w:t>
      </w:r>
      <w:r>
        <w:rPr>
          <w:rFonts w:ascii="Book Antiqua" w:eastAsia="Times New Roman" w:hAnsi="Book Antiqua"/>
          <w:b/>
          <w:bCs/>
        </w:rPr>
        <w:t>73</w:t>
      </w:r>
      <w:r>
        <w:rPr>
          <w:rFonts w:ascii="Book Antiqua" w:eastAsia="Times New Roman" w:hAnsi="Book Antiqua"/>
        </w:rPr>
        <w:t>: 1170-1218 [PMID: 32956768 DOI: 10.1016/j.jhep.2020.08.018]</w:t>
      </w:r>
    </w:p>
    <w:p w14:paraId="056B13E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30 </w:t>
      </w:r>
      <w:r>
        <w:rPr>
          <w:rFonts w:ascii="Book Antiqua" w:eastAsia="Times New Roman" w:hAnsi="Book Antiqua"/>
          <w:b/>
          <w:bCs/>
        </w:rPr>
        <w:t>AASLD and IDSA</w:t>
      </w:r>
      <w:r>
        <w:rPr>
          <w:rFonts w:ascii="Book Antiqua" w:eastAsia="Times New Roman" w:hAnsi="Book Antiqua"/>
          <w:bCs/>
        </w:rPr>
        <w:t>. HCV Guidance: Recommendations for Testing,</w:t>
      </w:r>
      <w:r>
        <w:rPr>
          <w:rFonts w:ascii="Book Antiqua" w:eastAsia="Times New Roman" w:hAnsi="Book Antiqua"/>
        </w:rPr>
        <w:t xml:space="preserve"> Managing, and Treating Hepatitis C</w:t>
      </w:r>
      <w:r>
        <w:rPr>
          <w:rFonts w:ascii="Book Antiqua" w:hAnsi="Book Antiqua" w:hint="eastAsia"/>
          <w:lang w:eastAsia="zh-CN"/>
        </w:rPr>
        <w:t>,</w:t>
      </w:r>
      <w:r>
        <w:rPr>
          <w:rFonts w:ascii="Book Antiqua" w:eastAsia="Times New Roman" w:hAnsi="Book Antiqua"/>
        </w:rPr>
        <w:t xml:space="preserve"> 2020</w:t>
      </w:r>
      <w:r>
        <w:rPr>
          <w:rFonts w:ascii="Book Antiqua" w:hAnsi="Book Antiqua" w:hint="eastAsia"/>
          <w:lang w:eastAsia="zh-CN"/>
        </w:rPr>
        <w:t xml:space="preserve">. </w:t>
      </w:r>
      <w:r>
        <w:rPr>
          <w:rFonts w:ascii="Book Antiqua" w:hAnsi="Book Antiqua"/>
          <w:lang w:eastAsia="zh-CN"/>
        </w:rPr>
        <w:t xml:space="preserve">[cited 20 </w:t>
      </w:r>
      <w:r>
        <w:rPr>
          <w:rFonts w:ascii="Book Antiqua" w:hAnsi="Book Antiqua" w:hint="eastAsia"/>
          <w:lang w:eastAsia="zh-CN"/>
        </w:rPr>
        <w:t>March</w:t>
      </w:r>
      <w:r>
        <w:rPr>
          <w:rFonts w:ascii="Book Antiqua" w:hAnsi="Book Antiqua"/>
          <w:lang w:eastAsia="zh-CN"/>
        </w:rPr>
        <w:t xml:space="preserve"> 2022]. Available from:</w:t>
      </w:r>
      <w:r>
        <w:rPr>
          <w:rFonts w:ascii="Book Antiqua" w:hAnsi="Book Antiqua" w:hint="eastAsia"/>
          <w:lang w:eastAsia="zh-CN"/>
        </w:rPr>
        <w:t xml:space="preserve"> </w:t>
      </w:r>
      <w:r>
        <w:rPr>
          <w:rFonts w:ascii="Book Antiqua" w:eastAsia="Times New Roman" w:hAnsi="Book Antiqua"/>
        </w:rPr>
        <w:t>http://www.hcvguidelines.org on 11.12.2021</w:t>
      </w:r>
    </w:p>
    <w:p w14:paraId="77E83ECA"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31 </w:t>
      </w:r>
      <w:r>
        <w:rPr>
          <w:rFonts w:ascii="Book Antiqua" w:eastAsia="Times New Roman" w:hAnsi="Book Antiqua"/>
          <w:b/>
          <w:bCs/>
        </w:rPr>
        <w:t>Filozof CM,</w:t>
      </w:r>
      <w:r>
        <w:rPr>
          <w:rFonts w:ascii="Book Antiqua" w:eastAsia="Times New Roman" w:hAnsi="Book Antiqua"/>
        </w:rPr>
        <w:t xml:space="preserve"> Jones S, Goldstein BJ. Liver Fibrosis as Assessed by the FIB-4 Index in Patients with Type 2 Diabetes (T2DM). </w:t>
      </w:r>
      <w:r>
        <w:rPr>
          <w:rFonts w:ascii="Book Antiqua" w:eastAsia="Times New Roman" w:hAnsi="Book Antiqua"/>
          <w:i/>
        </w:rPr>
        <w:t>Diabetes</w:t>
      </w:r>
      <w:r>
        <w:rPr>
          <w:rFonts w:ascii="Book Antiqua" w:hAnsi="Book Antiqua" w:hint="eastAsia"/>
          <w:lang w:eastAsia="zh-CN"/>
        </w:rPr>
        <w:t xml:space="preserve"> </w:t>
      </w:r>
      <w:r>
        <w:rPr>
          <w:rFonts w:ascii="Book Antiqua" w:eastAsia="Times New Roman" w:hAnsi="Book Antiqua"/>
        </w:rPr>
        <w:t>2018;</w:t>
      </w:r>
      <w:r>
        <w:rPr>
          <w:rFonts w:ascii="Book Antiqua" w:hAnsi="Book Antiqua" w:hint="eastAsia"/>
          <w:lang w:eastAsia="zh-CN"/>
        </w:rPr>
        <w:t xml:space="preserve"> </w:t>
      </w:r>
      <w:r>
        <w:rPr>
          <w:rFonts w:ascii="Book Antiqua" w:eastAsia="Times New Roman" w:hAnsi="Book Antiqua"/>
          <w:b/>
        </w:rPr>
        <w:t>67</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1570-P [DOI: 10.2337/db18-1570-P</w:t>
      </w:r>
      <w:r>
        <w:rPr>
          <w:rFonts w:ascii="Book Antiqua" w:hAnsi="Book Antiqua" w:hint="eastAsia"/>
          <w:lang w:eastAsia="zh-CN"/>
        </w:rPr>
        <w:t>]</w:t>
      </w:r>
    </w:p>
    <w:p w14:paraId="23BDC77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32 </w:t>
      </w:r>
      <w:r>
        <w:rPr>
          <w:rFonts w:ascii="Book Antiqua" w:eastAsia="Times New Roman" w:hAnsi="Book Antiqua"/>
          <w:b/>
          <w:bCs/>
        </w:rPr>
        <w:t>Lupsor Platon M</w:t>
      </w:r>
      <w:r>
        <w:rPr>
          <w:rFonts w:ascii="Book Antiqua" w:eastAsia="Times New Roman" w:hAnsi="Book Antiqua"/>
        </w:rPr>
        <w:t xml:space="preserve">, Stefanescu H, Feier D, Maniu A, Badea R. Performance of unidimensional transient elastography in staging chronic hepatitis C. Results from a </w:t>
      </w:r>
      <w:r>
        <w:rPr>
          <w:rFonts w:ascii="Book Antiqua" w:eastAsia="Times New Roman" w:hAnsi="Book Antiqua"/>
        </w:rPr>
        <w:lastRenderedPageBreak/>
        <w:t xml:space="preserve">cohort of 1,202 biopsied patients from one single center. </w:t>
      </w:r>
      <w:r>
        <w:rPr>
          <w:rFonts w:ascii="Book Antiqua" w:eastAsia="Times New Roman" w:hAnsi="Book Antiqua"/>
          <w:i/>
          <w:iCs/>
        </w:rPr>
        <w:t>J Gastrointestin Liver Dis</w:t>
      </w:r>
      <w:r>
        <w:rPr>
          <w:rFonts w:ascii="Book Antiqua" w:eastAsia="Times New Roman" w:hAnsi="Book Antiqua"/>
        </w:rPr>
        <w:t xml:space="preserve"> 2013; </w:t>
      </w:r>
      <w:r>
        <w:rPr>
          <w:rFonts w:ascii="Book Antiqua" w:eastAsia="Times New Roman" w:hAnsi="Book Antiqua"/>
          <w:b/>
          <w:bCs/>
        </w:rPr>
        <w:t>22</w:t>
      </w:r>
      <w:r>
        <w:rPr>
          <w:rFonts w:ascii="Book Antiqua" w:eastAsia="Times New Roman" w:hAnsi="Book Antiqua"/>
        </w:rPr>
        <w:t>: 157-166 [PMID: 23799214]</w:t>
      </w:r>
    </w:p>
    <w:p w14:paraId="4299F24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33 </w:t>
      </w:r>
      <w:r>
        <w:rPr>
          <w:rFonts w:ascii="Book Antiqua" w:eastAsia="Times New Roman" w:hAnsi="Book Antiqua"/>
          <w:b/>
        </w:rPr>
        <w:t>Laboratory Corporation of America</w:t>
      </w:r>
      <w:r>
        <w:rPr>
          <w:rFonts w:ascii="Book Antiqua" w:eastAsia="Times New Roman" w:hAnsi="Book Antiqua"/>
        </w:rPr>
        <w:t>. Noninvasive assessment of liver fibrosis and necroinflammatory activity for patients with HCV. [cited 20 January 2022]. Available from:</w:t>
      </w:r>
      <w:r>
        <w:rPr>
          <w:rFonts w:ascii="Book Antiqua" w:hAnsi="Book Antiqua" w:hint="eastAsia"/>
          <w:lang w:eastAsia="zh-CN"/>
        </w:rPr>
        <w:t xml:space="preserve"> </w:t>
      </w:r>
      <w:r>
        <w:rPr>
          <w:rFonts w:ascii="Book Antiqua" w:eastAsia="Times New Roman" w:hAnsi="Book Antiqua"/>
        </w:rPr>
        <w:t>https://www.labcorp.com/tests/related-documents/L9465 on 11.3.2022.</w:t>
      </w:r>
    </w:p>
    <w:p w14:paraId="26F063A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34 </w:t>
      </w:r>
      <w:r>
        <w:rPr>
          <w:rFonts w:ascii="Book Antiqua" w:eastAsia="Times New Roman" w:hAnsi="Book Antiqua"/>
          <w:b/>
          <w:bCs/>
        </w:rPr>
        <w:t>Lichtinghagen R</w:t>
      </w:r>
      <w:r>
        <w:rPr>
          <w:rFonts w:ascii="Book Antiqua" w:eastAsia="Times New Roman" w:hAnsi="Book Antiqua"/>
        </w:rPr>
        <w:t xml:space="preserve">, Pietsch D, Bantel H, Manns MP, Brand K, Bahr MJ. The Enhanced Liver Fibrosis (ELF) score: normal values, influence factors and proposed cut-off values. </w:t>
      </w:r>
      <w:r>
        <w:rPr>
          <w:rFonts w:ascii="Book Antiqua" w:eastAsia="Times New Roman" w:hAnsi="Book Antiqua"/>
          <w:i/>
          <w:iCs/>
        </w:rPr>
        <w:t>J Hepatol</w:t>
      </w:r>
      <w:r>
        <w:rPr>
          <w:rFonts w:ascii="Book Antiqua" w:eastAsia="Times New Roman" w:hAnsi="Book Antiqua"/>
        </w:rPr>
        <w:t xml:space="preserve"> 2013; </w:t>
      </w:r>
      <w:r>
        <w:rPr>
          <w:rFonts w:ascii="Book Antiqua" w:eastAsia="Times New Roman" w:hAnsi="Book Antiqua"/>
          <w:b/>
          <w:bCs/>
        </w:rPr>
        <w:t>59</w:t>
      </w:r>
      <w:r>
        <w:rPr>
          <w:rFonts w:ascii="Book Antiqua" w:eastAsia="Times New Roman" w:hAnsi="Book Antiqua"/>
        </w:rPr>
        <w:t>: 236-242 [PMID: 23523583 DOI: 10.1016/j.jhep.2013.03.016]</w:t>
      </w:r>
    </w:p>
    <w:p w14:paraId="6F2C2A60"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35 </w:t>
      </w:r>
      <w:r>
        <w:rPr>
          <w:rFonts w:ascii="Book Antiqua" w:eastAsia="Times New Roman" w:hAnsi="Book Antiqua"/>
          <w:b/>
          <w:bCs/>
        </w:rPr>
        <w:t>Lin ZH</w:t>
      </w:r>
      <w:r>
        <w:rPr>
          <w:rFonts w:ascii="Book Antiqua" w:eastAsia="Times New Roman" w:hAnsi="Book Antiqua"/>
        </w:rPr>
        <w:t xml:space="preserve">, Xin YN, Dong QJ, Wang Q, Jiang XJ, Zhan SH, Sun Y, Xuan SY. Performance of the aspartate aminotransferase-to-platelet ratio index for the staging of hepatitis C-related fibrosis: an updated meta-analysis. </w:t>
      </w:r>
      <w:r>
        <w:rPr>
          <w:rFonts w:ascii="Book Antiqua" w:eastAsia="Times New Roman" w:hAnsi="Book Antiqua"/>
          <w:i/>
          <w:iCs/>
        </w:rPr>
        <w:t>Hepatology</w:t>
      </w:r>
      <w:r>
        <w:rPr>
          <w:rFonts w:ascii="Book Antiqua" w:eastAsia="Times New Roman" w:hAnsi="Book Antiqua"/>
        </w:rPr>
        <w:t xml:space="preserve"> 2011; </w:t>
      </w:r>
      <w:r>
        <w:rPr>
          <w:rFonts w:ascii="Book Antiqua" w:eastAsia="Times New Roman" w:hAnsi="Book Antiqua"/>
          <w:b/>
          <w:bCs/>
        </w:rPr>
        <w:t>53</w:t>
      </w:r>
      <w:r>
        <w:rPr>
          <w:rFonts w:ascii="Book Antiqua" w:eastAsia="Times New Roman" w:hAnsi="Book Antiqua"/>
        </w:rPr>
        <w:t>: 726-736 [PMID: 21319189 DOI: 10.1002/hep.24105]</w:t>
      </w:r>
    </w:p>
    <w:p w14:paraId="0C6298D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36 </w:t>
      </w:r>
      <w:r>
        <w:rPr>
          <w:rFonts w:ascii="Book Antiqua" w:eastAsia="Times New Roman" w:hAnsi="Book Antiqua"/>
          <w:b/>
          <w:bCs/>
        </w:rPr>
        <w:t>European Association for Study of Liver.</w:t>
      </w:r>
      <w:r>
        <w:rPr>
          <w:rFonts w:ascii="Book Antiqua" w:eastAsia="Times New Roman" w:hAnsi="Book Antiqua"/>
        </w:rPr>
        <w:t xml:space="preserve">; Asociacion Latinoamericana para el Estudio del Higado. EASL-ALEH Clinical Practice Guidelines: Non-invasive tests for evaluation of liver disease severity and prognosis. </w:t>
      </w:r>
      <w:r>
        <w:rPr>
          <w:rFonts w:ascii="Book Antiqua" w:eastAsia="Times New Roman" w:hAnsi="Book Antiqua"/>
          <w:i/>
          <w:iCs/>
        </w:rPr>
        <w:t>J Hepatol</w:t>
      </w:r>
      <w:r>
        <w:rPr>
          <w:rFonts w:ascii="Book Antiqua" w:eastAsia="Times New Roman" w:hAnsi="Book Antiqua"/>
        </w:rPr>
        <w:t xml:space="preserve"> 2015; </w:t>
      </w:r>
      <w:r>
        <w:rPr>
          <w:rFonts w:ascii="Book Antiqua" w:eastAsia="Times New Roman" w:hAnsi="Book Antiqua"/>
          <w:b/>
          <w:bCs/>
        </w:rPr>
        <w:t>63</w:t>
      </w:r>
      <w:r>
        <w:rPr>
          <w:rFonts w:ascii="Book Antiqua" w:eastAsia="Times New Roman" w:hAnsi="Book Antiqua"/>
        </w:rPr>
        <w:t>: 237-264 [PMID: 25911335 DOI: 10.1016/j.jhep.2015.04.006]</w:t>
      </w:r>
    </w:p>
    <w:p w14:paraId="3D8F370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37 </w:t>
      </w:r>
      <w:r>
        <w:rPr>
          <w:rFonts w:ascii="Book Antiqua" w:eastAsia="Times New Roman" w:hAnsi="Book Antiqua"/>
          <w:b/>
          <w:bCs/>
        </w:rPr>
        <w:t>Singh S</w:t>
      </w:r>
      <w:r>
        <w:rPr>
          <w:rFonts w:ascii="Book Antiqua" w:eastAsia="Times New Roman" w:hAnsi="Book Antiqua"/>
        </w:rPr>
        <w:t xml:space="preserve">, Facciorusso A, Loomba R, Falck-Ytter YT. Magnitude and Kinetics of Decrease in Liver Stiffness After Antiviral Therapy in Patients With Chronic Hepatitis C: A Systematic Review and Meta-analysis. </w:t>
      </w:r>
      <w:r>
        <w:rPr>
          <w:rFonts w:ascii="Book Antiqua" w:eastAsia="Times New Roman" w:hAnsi="Book Antiqua"/>
          <w:i/>
          <w:iCs/>
        </w:rPr>
        <w:t>Clin Gastroenterol Hepatol</w:t>
      </w:r>
      <w:r>
        <w:rPr>
          <w:rFonts w:ascii="Book Antiqua" w:eastAsia="Times New Roman" w:hAnsi="Book Antiqua"/>
        </w:rPr>
        <w:t xml:space="preserve"> 2018; </w:t>
      </w:r>
      <w:r>
        <w:rPr>
          <w:rFonts w:ascii="Book Antiqua" w:eastAsia="Times New Roman" w:hAnsi="Book Antiqua"/>
          <w:b/>
          <w:bCs/>
        </w:rPr>
        <w:t>16</w:t>
      </w:r>
      <w:r>
        <w:rPr>
          <w:rFonts w:ascii="Book Antiqua" w:eastAsia="Times New Roman" w:hAnsi="Book Antiqua"/>
        </w:rPr>
        <w:t>: 27-38.e4 [PMID: 28479504 DOI: 10.1016/j.cgh.2017.04.038]</w:t>
      </w:r>
    </w:p>
    <w:p w14:paraId="3A3E816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38 </w:t>
      </w:r>
      <w:r>
        <w:rPr>
          <w:rFonts w:ascii="Book Antiqua" w:eastAsia="Times New Roman" w:hAnsi="Book Antiqua"/>
          <w:b/>
          <w:bCs/>
        </w:rPr>
        <w:t>Piedade J</w:t>
      </w:r>
      <w:r>
        <w:rPr>
          <w:rFonts w:ascii="Book Antiqua" w:eastAsia="Times New Roman" w:hAnsi="Book Antiqua"/>
        </w:rPr>
        <w:t xml:space="preserve">, Pereira G, Guimarães L, Duarte J, Victor L, Baldin C, Inacio C, Santos R, Chaves Ú, Nunes EP, Grinsztejn B, Veloso VG, Fernandes F, Perazzo H. Liver stiffness regression after sustained virological response by direct-acting antivirals reduces the risk of outcomes. </w:t>
      </w:r>
      <w:r>
        <w:rPr>
          <w:rFonts w:ascii="Book Antiqua" w:eastAsia="Times New Roman" w:hAnsi="Book Antiqua"/>
          <w:i/>
          <w:iCs/>
        </w:rPr>
        <w:t>Sci Rep</w:t>
      </w:r>
      <w:r>
        <w:rPr>
          <w:rFonts w:ascii="Book Antiqua" w:eastAsia="Times New Roman" w:hAnsi="Book Antiqua"/>
        </w:rPr>
        <w:t xml:space="preserve"> 2021; </w:t>
      </w:r>
      <w:r>
        <w:rPr>
          <w:rFonts w:ascii="Book Antiqua" w:eastAsia="Times New Roman" w:hAnsi="Book Antiqua"/>
          <w:b/>
          <w:bCs/>
        </w:rPr>
        <w:t>11</w:t>
      </w:r>
      <w:r>
        <w:rPr>
          <w:rFonts w:ascii="Book Antiqua" w:eastAsia="Times New Roman" w:hAnsi="Book Antiqua"/>
        </w:rPr>
        <w:t>: 11681 [PMID: 34083617 DOI: 10.1038/s41598-021-91099-1]</w:t>
      </w:r>
    </w:p>
    <w:p w14:paraId="0AF703F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39 </w:t>
      </w:r>
      <w:r>
        <w:rPr>
          <w:rFonts w:ascii="Book Antiqua" w:eastAsia="Times New Roman" w:hAnsi="Book Antiqua"/>
          <w:b/>
          <w:bCs/>
        </w:rPr>
        <w:t>Pecoraro V</w:t>
      </w:r>
      <w:r>
        <w:rPr>
          <w:rFonts w:ascii="Book Antiqua" w:eastAsia="Times New Roman" w:hAnsi="Book Antiqua"/>
        </w:rPr>
        <w:t xml:space="preserve">, Banzi R, Cariani E, Chester J, Villa E, D'Amico R, Bertele' V, Trenti T. New Direct-Acting Antivirals for the Treatment of Patients With Hepatitis C Virus Infection: A Systematic Review of Randomized Controlled Trials. </w:t>
      </w:r>
      <w:r>
        <w:rPr>
          <w:rFonts w:ascii="Book Antiqua" w:eastAsia="Times New Roman" w:hAnsi="Book Antiqua"/>
          <w:i/>
          <w:iCs/>
        </w:rPr>
        <w:t>J Clin Exp Hepatol</w:t>
      </w:r>
      <w:r>
        <w:rPr>
          <w:rFonts w:ascii="Book Antiqua" w:eastAsia="Times New Roman" w:hAnsi="Book Antiqua"/>
        </w:rPr>
        <w:t xml:space="preserve"> 2019; </w:t>
      </w:r>
      <w:r>
        <w:rPr>
          <w:rFonts w:ascii="Book Antiqua" w:eastAsia="Times New Roman" w:hAnsi="Book Antiqua"/>
          <w:b/>
          <w:bCs/>
        </w:rPr>
        <w:t>9</w:t>
      </w:r>
      <w:r>
        <w:rPr>
          <w:rFonts w:ascii="Book Antiqua" w:eastAsia="Times New Roman" w:hAnsi="Book Antiqua"/>
        </w:rPr>
        <w:t>: 522-538 [PMID: 31516269 DOI: 10.1016/j.jceh.2018.07.004]</w:t>
      </w:r>
    </w:p>
    <w:p w14:paraId="415EFEE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40 </w:t>
      </w:r>
      <w:r>
        <w:rPr>
          <w:rFonts w:ascii="Book Antiqua" w:eastAsia="Times New Roman" w:hAnsi="Book Antiqua"/>
          <w:b/>
          <w:bCs/>
        </w:rPr>
        <w:t>Flores GL</w:t>
      </w:r>
      <w:r>
        <w:rPr>
          <w:rFonts w:ascii="Book Antiqua" w:eastAsia="Times New Roman" w:hAnsi="Book Antiqua"/>
        </w:rPr>
        <w:t xml:space="preserve">, Mota JC, da Silva Andrade LT, Lopes RS, Bastos FI, Villar LM. Performance of HCV Antigen Testing for the Diagnosis and Monitoring of Antiviral Treatment: A Systematic Review and Meta-Analysis. </w:t>
      </w:r>
      <w:r>
        <w:rPr>
          <w:rFonts w:ascii="Book Antiqua" w:eastAsia="Times New Roman" w:hAnsi="Book Antiqua"/>
          <w:i/>
          <w:iCs/>
        </w:rPr>
        <w:t>Biomed Res Int</w:t>
      </w:r>
      <w:r>
        <w:rPr>
          <w:rFonts w:ascii="Book Antiqua" w:eastAsia="Times New Roman" w:hAnsi="Book Antiqua"/>
        </w:rPr>
        <w:t xml:space="preserve"> 2022; </w:t>
      </w:r>
      <w:r>
        <w:rPr>
          <w:rFonts w:ascii="Book Antiqua" w:eastAsia="Times New Roman" w:hAnsi="Book Antiqua"/>
          <w:b/>
          <w:bCs/>
        </w:rPr>
        <w:t>2022</w:t>
      </w:r>
      <w:r>
        <w:rPr>
          <w:rFonts w:ascii="Book Antiqua" w:eastAsia="Times New Roman" w:hAnsi="Book Antiqua"/>
        </w:rPr>
        <w:t>: 7348755 [PMID: 35028317 DOI: 10.1155/2022/7348755]</w:t>
      </w:r>
    </w:p>
    <w:p w14:paraId="7464DEC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41 </w:t>
      </w:r>
      <w:r>
        <w:rPr>
          <w:rFonts w:ascii="Book Antiqua" w:eastAsia="Times New Roman" w:hAnsi="Book Antiqua"/>
          <w:b/>
          <w:bCs/>
        </w:rPr>
        <w:t>Bukh J</w:t>
      </w:r>
      <w:r>
        <w:rPr>
          <w:rFonts w:ascii="Book Antiqua" w:eastAsia="Times New Roman" w:hAnsi="Book Antiqua"/>
        </w:rPr>
        <w:t xml:space="preserve">. The history of hepatitis C virus (HCV): Basic research reveals unique features in phylogeny, evolution and the viral life cycle with new perspectives for epidemic control. </w:t>
      </w:r>
      <w:r>
        <w:rPr>
          <w:rFonts w:ascii="Book Antiqua" w:eastAsia="Times New Roman" w:hAnsi="Book Antiqua"/>
          <w:i/>
          <w:iCs/>
        </w:rPr>
        <w:t>J Hepatol</w:t>
      </w:r>
      <w:r>
        <w:rPr>
          <w:rFonts w:ascii="Book Antiqua" w:eastAsia="Times New Roman" w:hAnsi="Book Antiqua"/>
        </w:rPr>
        <w:t xml:space="preserve"> 2016; </w:t>
      </w:r>
      <w:r>
        <w:rPr>
          <w:rFonts w:ascii="Book Antiqua" w:eastAsia="Times New Roman" w:hAnsi="Book Antiqua"/>
          <w:b/>
          <w:bCs/>
        </w:rPr>
        <w:t>65</w:t>
      </w:r>
      <w:r>
        <w:rPr>
          <w:rFonts w:ascii="Book Antiqua" w:eastAsia="Times New Roman" w:hAnsi="Book Antiqua"/>
        </w:rPr>
        <w:t>: S2-S21 [PMID: 27641985 DOI: 10.1016/j.jhep.2016.07.035]</w:t>
      </w:r>
    </w:p>
    <w:p w14:paraId="5CC30E0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42 </w:t>
      </w:r>
      <w:r>
        <w:rPr>
          <w:rFonts w:ascii="Book Antiqua" w:eastAsia="Times New Roman" w:hAnsi="Book Antiqua"/>
          <w:b/>
          <w:bCs/>
        </w:rPr>
        <w:t>Kondili LA</w:t>
      </w:r>
      <w:r>
        <w:rPr>
          <w:rFonts w:ascii="Book Antiqua" w:eastAsia="Times New Roman" w:hAnsi="Book Antiqua"/>
        </w:rPr>
        <w:t xml:space="preserve">, Gaeta GB, Brunetto MR, Di Leo A, Iannone A, Santantonio TA, Giammario A, Raimondo G, Filomia R, Coppola C, Amoruso DC, Blanc P, Del Pin B, Chemello L, Cavalletto L, Morisco F, Donnarumma L, Rumi MG, Gasbarrini A, Siciliano M, Massari M, Corsini R, Coco B, Madonia S, Cannizzaro M, Zignego AL, Monti M, Russo FP, Zanetto A, Persico M, Masarone M, Villa E, Bernabucci V, Taliani G, Biliotti E, Chessa L, Pasetto MC, Andreone P, Margotti M, Brancaccio G, Ieluzzi D, Borgia G, Zappulo E, Calvaruso V, Petta S, Falzano L, Quaranta MG, Weimer LE, Rosato S, Vella S, Giannini EG. Incidence of DAA failure and the clinical impact of retreatment in real-life patients treated in the advanced stage of liver disease: Interim evaluations from the PITER network. </w:t>
      </w:r>
      <w:r>
        <w:rPr>
          <w:rFonts w:ascii="Book Antiqua" w:eastAsia="Times New Roman" w:hAnsi="Book Antiqua"/>
          <w:i/>
          <w:iCs/>
        </w:rPr>
        <w:t>PLoS One</w:t>
      </w:r>
      <w:r>
        <w:rPr>
          <w:rFonts w:ascii="Book Antiqua" w:eastAsia="Times New Roman" w:hAnsi="Book Antiqua"/>
        </w:rPr>
        <w:t xml:space="preserve"> 2017; </w:t>
      </w:r>
      <w:r>
        <w:rPr>
          <w:rFonts w:ascii="Book Antiqua" w:eastAsia="Times New Roman" w:hAnsi="Book Antiqua"/>
          <w:b/>
          <w:bCs/>
        </w:rPr>
        <w:t>12</w:t>
      </w:r>
      <w:r>
        <w:rPr>
          <w:rFonts w:ascii="Book Antiqua" w:eastAsia="Times New Roman" w:hAnsi="Book Antiqua"/>
        </w:rPr>
        <w:t>: e0185728 [PMID: 28977040 DOI: 10.1371/journal.pone.0185728]</w:t>
      </w:r>
    </w:p>
    <w:p w14:paraId="41FDC9B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43 </w:t>
      </w:r>
      <w:r>
        <w:rPr>
          <w:rFonts w:ascii="Book Antiqua" w:eastAsia="Times New Roman" w:hAnsi="Book Antiqua"/>
          <w:b/>
          <w:bCs/>
        </w:rPr>
        <w:t>Quaranta MG</w:t>
      </w:r>
      <w:r>
        <w:rPr>
          <w:rFonts w:ascii="Book Antiqua" w:eastAsia="Times New Roman" w:hAnsi="Book Antiqua"/>
        </w:rPr>
        <w:t xml:space="preserve">, Ferrigno L, Monti M, Filomia R, Biliotti E, Iannone A, Migliorino G, Coco B, Morisco F, Vinci M, D'Ambrosio R, Chemello L, Massari M, Ieluzzi D, Russo FP, Blanc P, Verucchi G, Puoti M, Rumi MG, Barbaro F, Santantonio TA, Federico A, Chessa L, Gentile I, Zuin M, Parruti G, Morsica G, Kondili LA; PITER Collaborating Group. Advanced liver disease outcomes after hepatitis C eradication by human immunodeficiency virus infection in PITER cohort. </w:t>
      </w:r>
      <w:r>
        <w:rPr>
          <w:rFonts w:ascii="Book Antiqua" w:eastAsia="Times New Roman" w:hAnsi="Book Antiqua"/>
          <w:i/>
          <w:iCs/>
        </w:rPr>
        <w:t>Hepatol Int</w:t>
      </w:r>
      <w:r>
        <w:rPr>
          <w:rFonts w:ascii="Book Antiqua" w:eastAsia="Times New Roman" w:hAnsi="Book Antiqua"/>
        </w:rPr>
        <w:t xml:space="preserve"> 2020; </w:t>
      </w:r>
      <w:r>
        <w:rPr>
          <w:rFonts w:ascii="Book Antiqua" w:eastAsia="Times New Roman" w:hAnsi="Book Antiqua"/>
          <w:b/>
          <w:bCs/>
        </w:rPr>
        <w:t>14</w:t>
      </w:r>
      <w:r>
        <w:rPr>
          <w:rFonts w:ascii="Book Antiqua" w:eastAsia="Times New Roman" w:hAnsi="Book Antiqua"/>
        </w:rPr>
        <w:t>: 362-372 [PMID: 32279177 DOI: 10.1007/s12072-020-10034-0]</w:t>
      </w:r>
    </w:p>
    <w:p w14:paraId="4030E4B3"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44 </w:t>
      </w:r>
      <w:r>
        <w:rPr>
          <w:rFonts w:ascii="Book Antiqua" w:eastAsia="Times New Roman" w:hAnsi="Book Antiqua"/>
          <w:b/>
        </w:rPr>
        <w:t>World Health Organization</w:t>
      </w:r>
      <w:r>
        <w:rPr>
          <w:rFonts w:ascii="Book Antiqua" w:eastAsia="Times New Roman" w:hAnsi="Book Antiqua"/>
        </w:rPr>
        <w:t>. Guidelines for the Care and Treatment of Persons Diagnosed With Chronic Hepatitis C Virus Infection. [cited 20 January 2022]. Available from:</w:t>
      </w:r>
      <w:r>
        <w:rPr>
          <w:rFonts w:ascii="Book Antiqua" w:hAnsi="Book Antiqua" w:hint="eastAsia"/>
          <w:lang w:eastAsia="zh-CN"/>
        </w:rPr>
        <w:t xml:space="preserve"> </w:t>
      </w:r>
      <w:r>
        <w:rPr>
          <w:rFonts w:ascii="Book Antiqua" w:eastAsia="Times New Roman" w:hAnsi="Book Antiqua"/>
        </w:rPr>
        <w:t>https://www.who.int/publications/i/item/9789241550345 on 1/6/2022</w:t>
      </w:r>
    </w:p>
    <w:p w14:paraId="2EC271B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45 </w:t>
      </w:r>
      <w:r>
        <w:rPr>
          <w:rFonts w:ascii="Book Antiqua" w:eastAsia="Times New Roman" w:hAnsi="Book Antiqua"/>
          <w:b/>
          <w:bCs/>
        </w:rPr>
        <w:t>Ghany MG</w:t>
      </w:r>
      <w:r>
        <w:rPr>
          <w:rFonts w:ascii="Book Antiqua" w:eastAsia="Times New Roman"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Times New Roman" w:hAnsi="Book Antiqua"/>
          <w:i/>
          <w:iCs/>
        </w:rPr>
        <w:t>Hepatology</w:t>
      </w:r>
      <w:r>
        <w:rPr>
          <w:rFonts w:ascii="Book Antiqua" w:eastAsia="Times New Roman" w:hAnsi="Book Antiqua"/>
        </w:rPr>
        <w:t xml:space="preserve"> 2020; </w:t>
      </w:r>
      <w:r>
        <w:rPr>
          <w:rFonts w:ascii="Book Antiqua" w:eastAsia="Times New Roman" w:hAnsi="Book Antiqua"/>
          <w:b/>
          <w:bCs/>
        </w:rPr>
        <w:t>71</w:t>
      </w:r>
      <w:r>
        <w:rPr>
          <w:rFonts w:ascii="Book Antiqua" w:eastAsia="Times New Roman" w:hAnsi="Book Antiqua"/>
        </w:rPr>
        <w:t>: 686-721 [PMID: 31816111 DOI: 10.1002/hep.31060]</w:t>
      </w:r>
    </w:p>
    <w:p w14:paraId="7491F07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46 </w:t>
      </w:r>
      <w:r>
        <w:rPr>
          <w:rFonts w:ascii="Book Antiqua" w:eastAsia="Times New Roman" w:hAnsi="Book Antiqua"/>
          <w:b/>
          <w:bCs/>
        </w:rPr>
        <w:t>AASLD-IDSA HCV Guidance Panel.</w:t>
      </w:r>
      <w:r>
        <w:rPr>
          <w:rFonts w:ascii="Book Antiqua" w:eastAsia="Times New Roman" w:hAnsi="Book Antiqua"/>
        </w:rPr>
        <w:t xml:space="preserve">. Hepatitis C Guidance 2018 Update: AASLD-IDSA Recommendations for Testing, Managing, and Treating Hepatitis C Virus Infection. </w:t>
      </w:r>
      <w:r>
        <w:rPr>
          <w:rFonts w:ascii="Book Antiqua" w:eastAsia="Times New Roman" w:hAnsi="Book Antiqua"/>
          <w:i/>
          <w:iCs/>
        </w:rPr>
        <w:t>Clin Infect Dis</w:t>
      </w:r>
      <w:r>
        <w:rPr>
          <w:rFonts w:ascii="Book Antiqua" w:eastAsia="Times New Roman" w:hAnsi="Book Antiqua"/>
        </w:rPr>
        <w:t xml:space="preserve"> 2018; </w:t>
      </w:r>
      <w:r>
        <w:rPr>
          <w:rFonts w:ascii="Book Antiqua" w:eastAsia="Times New Roman" w:hAnsi="Book Antiqua"/>
          <w:b/>
          <w:bCs/>
        </w:rPr>
        <w:t>67</w:t>
      </w:r>
      <w:r>
        <w:rPr>
          <w:rFonts w:ascii="Book Antiqua" w:eastAsia="Times New Roman" w:hAnsi="Book Antiqua"/>
        </w:rPr>
        <w:t>: 1477-1492 [PMID: 30215672 DOI: 10.1093/cid/ciy585]</w:t>
      </w:r>
    </w:p>
    <w:p w14:paraId="1DC2134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47 </w:t>
      </w:r>
      <w:r>
        <w:rPr>
          <w:rFonts w:ascii="Book Antiqua" w:eastAsia="Times New Roman" w:hAnsi="Book Antiqua"/>
          <w:b/>
          <w:bCs/>
        </w:rPr>
        <w:t>Krassenburg LAP</w:t>
      </w:r>
      <w:r>
        <w:rPr>
          <w:rFonts w:ascii="Book Antiqua" w:eastAsia="Times New Roman" w:hAnsi="Book Antiqua"/>
        </w:rPr>
        <w:t xml:space="preserve">, Maan R, Ramji A, Manns MP, Cornberg M, Wedemeyer H, de Knegt RJ, Hansen BE, Janssen HLA, de Man RA, Feld JJ, van der Meer AJ. Clinical outcomes following DAA therapy in patients with HCV-related cirrhosis depend on disease severity. </w:t>
      </w:r>
      <w:r>
        <w:rPr>
          <w:rFonts w:ascii="Book Antiqua" w:eastAsia="Times New Roman" w:hAnsi="Book Antiqua"/>
          <w:i/>
          <w:iCs/>
        </w:rPr>
        <w:t>J Hepatol</w:t>
      </w:r>
      <w:r>
        <w:rPr>
          <w:rFonts w:ascii="Book Antiqua" w:eastAsia="Times New Roman" w:hAnsi="Book Antiqua"/>
        </w:rPr>
        <w:t xml:space="preserve"> 2021; </w:t>
      </w:r>
      <w:r>
        <w:rPr>
          <w:rFonts w:ascii="Book Antiqua" w:eastAsia="Times New Roman" w:hAnsi="Book Antiqua"/>
          <w:b/>
          <w:bCs/>
        </w:rPr>
        <w:t>74</w:t>
      </w:r>
      <w:r>
        <w:rPr>
          <w:rFonts w:ascii="Book Antiqua" w:eastAsia="Times New Roman" w:hAnsi="Book Antiqua"/>
        </w:rPr>
        <w:t>: 1053-1063 [PMID: 33242501 DOI: 10.1016/j.jhep.2020.11.021]</w:t>
      </w:r>
    </w:p>
    <w:p w14:paraId="3969E70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48 </w:t>
      </w:r>
      <w:r>
        <w:rPr>
          <w:rFonts w:ascii="Book Antiqua" w:eastAsia="Times New Roman" w:hAnsi="Book Antiqua"/>
          <w:b/>
          <w:bCs/>
        </w:rPr>
        <w:t>Wedemeyer H</w:t>
      </w:r>
      <w:r>
        <w:rPr>
          <w:rFonts w:ascii="Book Antiqua" w:eastAsia="Times New Roman" w:hAnsi="Book Antiqua"/>
        </w:rPr>
        <w:t xml:space="preserve">, Craxí A, Zuckerman E, Dieterich D, Flisiak R, Roberts SK, Pangerl A, Zhang Z, Martinez M, Bao Y, Calleja JL. Real-world effectiveness of ombitasvir/paritaprevir/ritonavir±dasabuvir±ribavirin in patients with hepatitis C virus genotype 1 or 4 infection: A meta-analysis. </w:t>
      </w:r>
      <w:r>
        <w:rPr>
          <w:rFonts w:ascii="Book Antiqua" w:eastAsia="Times New Roman" w:hAnsi="Book Antiqua"/>
          <w:i/>
          <w:iCs/>
        </w:rPr>
        <w:t>J Viral Hepat</w:t>
      </w:r>
      <w:r>
        <w:rPr>
          <w:rFonts w:ascii="Book Antiqua" w:eastAsia="Times New Roman" w:hAnsi="Book Antiqua"/>
        </w:rPr>
        <w:t xml:space="preserve"> 2017; </w:t>
      </w:r>
      <w:r>
        <w:rPr>
          <w:rFonts w:ascii="Book Antiqua" w:eastAsia="Times New Roman" w:hAnsi="Book Antiqua"/>
          <w:b/>
          <w:bCs/>
        </w:rPr>
        <w:t>24</w:t>
      </w:r>
      <w:r>
        <w:rPr>
          <w:rFonts w:ascii="Book Antiqua" w:eastAsia="Times New Roman" w:hAnsi="Book Antiqua"/>
        </w:rPr>
        <w:t>: 936-943 [PMID: 28480525 DOI: 10.1111/jvh.12722]</w:t>
      </w:r>
    </w:p>
    <w:p w14:paraId="2ED1C54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49 </w:t>
      </w:r>
      <w:r>
        <w:rPr>
          <w:rFonts w:ascii="Book Antiqua" w:eastAsia="Times New Roman" w:hAnsi="Book Antiqua"/>
          <w:b/>
          <w:bCs/>
        </w:rPr>
        <w:t>Dietz J</w:t>
      </w:r>
      <w:r>
        <w:rPr>
          <w:rFonts w:ascii="Book Antiqua" w:eastAsia="Times New Roman" w:hAnsi="Book Antiqua"/>
        </w:rPr>
        <w:t xml:space="preserve">, Susser S, Vermehren J, Peiffer KH, Grammatikos G, Berger A, Ferenci P, Buti M, Müllhaupt B, Hunyady B, Hinrichsen H, Mauss S, Petersen J, Buggisch P, Felten G, Hüppe D, Knecht G, Lutz T, Schott E, Berg C, Spengler U, von Hahn T, Berg T, Zeuzem S, Sarrazin C; European HCV Resistance Study Group. Patterns of Resistance-Associated Substitutions in Patients With Chronic HCV Infection Following Treatment With Direct-Acting Antivirals. </w:t>
      </w:r>
      <w:r>
        <w:rPr>
          <w:rFonts w:ascii="Book Antiqua" w:eastAsia="Times New Roman" w:hAnsi="Book Antiqua"/>
          <w:i/>
          <w:iCs/>
        </w:rPr>
        <w:t>Gastroenterology</w:t>
      </w:r>
      <w:r>
        <w:rPr>
          <w:rFonts w:ascii="Book Antiqua" w:eastAsia="Times New Roman" w:hAnsi="Book Antiqua"/>
        </w:rPr>
        <w:t xml:space="preserve"> 2018; </w:t>
      </w:r>
      <w:r>
        <w:rPr>
          <w:rFonts w:ascii="Book Antiqua" w:eastAsia="Times New Roman" w:hAnsi="Book Antiqua"/>
          <w:b/>
          <w:bCs/>
        </w:rPr>
        <w:t>154</w:t>
      </w:r>
      <w:r>
        <w:rPr>
          <w:rFonts w:ascii="Book Antiqua" w:eastAsia="Times New Roman" w:hAnsi="Book Antiqua"/>
        </w:rPr>
        <w:t>: 976-988.e4 [PMID: 29146520 DOI: 10.1053/j.gastro.2017.11.007]</w:t>
      </w:r>
    </w:p>
    <w:p w14:paraId="4089E95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50 </w:t>
      </w:r>
      <w:r>
        <w:rPr>
          <w:rFonts w:ascii="Book Antiqua" w:eastAsia="Times New Roman" w:hAnsi="Book Antiqua"/>
          <w:b/>
          <w:bCs/>
        </w:rPr>
        <w:t>Parigi TL</w:t>
      </w:r>
      <w:r>
        <w:rPr>
          <w:rFonts w:ascii="Book Antiqua" w:eastAsia="Times New Roman" w:hAnsi="Book Antiqua"/>
        </w:rPr>
        <w:t xml:space="preserve">, Torres MCP, Aghemo A. Upcoming direct acting antivirals for hepatitis C patients with a prior treatment failure. </w:t>
      </w:r>
      <w:r>
        <w:rPr>
          <w:rFonts w:ascii="Book Antiqua" w:eastAsia="Times New Roman" w:hAnsi="Book Antiqua"/>
          <w:i/>
          <w:iCs/>
        </w:rPr>
        <w:t>Clin Mol Hepatol</w:t>
      </w:r>
      <w:r>
        <w:rPr>
          <w:rFonts w:ascii="Book Antiqua" w:eastAsia="Times New Roman" w:hAnsi="Book Antiqua"/>
        </w:rPr>
        <w:t xml:space="preserve"> 2019; </w:t>
      </w:r>
      <w:r>
        <w:rPr>
          <w:rFonts w:ascii="Book Antiqua" w:eastAsia="Times New Roman" w:hAnsi="Book Antiqua"/>
          <w:b/>
          <w:bCs/>
        </w:rPr>
        <w:t>25</w:t>
      </w:r>
      <w:r>
        <w:rPr>
          <w:rFonts w:ascii="Book Antiqua" w:eastAsia="Times New Roman" w:hAnsi="Book Antiqua"/>
        </w:rPr>
        <w:t>: 360-365 [PMID: 31042864 DOI: 10.3350/cmh.2019.0022]</w:t>
      </w:r>
    </w:p>
    <w:p w14:paraId="05C8AEE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lastRenderedPageBreak/>
        <w:t xml:space="preserve">51 </w:t>
      </w:r>
      <w:r>
        <w:rPr>
          <w:rFonts w:ascii="Book Antiqua" w:eastAsia="Times New Roman" w:hAnsi="Book Antiqua"/>
          <w:b/>
        </w:rPr>
        <w:t>European Association for the Study of the Liver</w:t>
      </w:r>
      <w:r>
        <w:rPr>
          <w:rFonts w:ascii="Book Antiqua" w:eastAsia="Times New Roman" w:hAnsi="Book Antiqua"/>
        </w:rPr>
        <w:t xml:space="preserve">. EASL recommendations on treatment of hepatitis C 2018. </w:t>
      </w:r>
      <w:r>
        <w:rPr>
          <w:rFonts w:ascii="Book Antiqua" w:eastAsia="Times New Roman" w:hAnsi="Book Antiqua"/>
          <w:i/>
        </w:rPr>
        <w:t>J Hepatol</w:t>
      </w:r>
      <w:r>
        <w:rPr>
          <w:rFonts w:ascii="Book Antiqua" w:hAnsi="Book Antiqua" w:hint="eastAsia"/>
          <w:lang w:eastAsia="zh-CN"/>
        </w:rPr>
        <w:t xml:space="preserve"> </w:t>
      </w:r>
      <w:r>
        <w:rPr>
          <w:rFonts w:ascii="Book Antiqua" w:eastAsia="Times New Roman" w:hAnsi="Book Antiqua"/>
        </w:rPr>
        <w:t>2018;</w:t>
      </w:r>
      <w:r>
        <w:rPr>
          <w:rFonts w:ascii="Book Antiqua" w:hAnsi="Book Antiqua" w:hint="eastAsia"/>
          <w:lang w:eastAsia="zh-CN"/>
        </w:rPr>
        <w:t xml:space="preserve"> </w:t>
      </w:r>
      <w:r>
        <w:rPr>
          <w:rFonts w:ascii="Book Antiqua" w:eastAsia="Times New Roman" w:hAnsi="Book Antiqua"/>
          <w:b/>
        </w:rPr>
        <w:t>69</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461-511</w:t>
      </w:r>
      <w:r>
        <w:rPr>
          <w:rFonts w:ascii="Book Antiqua" w:hAnsi="Book Antiqua" w:hint="eastAsia"/>
          <w:lang w:eastAsia="zh-CN"/>
        </w:rPr>
        <w:t xml:space="preserve"> [DO: </w:t>
      </w:r>
      <w:r>
        <w:rPr>
          <w:rFonts w:ascii="Book Antiqua" w:eastAsia="Times New Roman" w:hAnsi="Book Antiqua"/>
        </w:rPr>
        <w:t>10.1016/j. jhep.2018.03.026</w:t>
      </w:r>
      <w:r>
        <w:rPr>
          <w:rFonts w:ascii="Book Antiqua" w:hAnsi="Book Antiqua" w:hint="eastAsia"/>
          <w:lang w:eastAsia="zh-CN"/>
        </w:rPr>
        <w:t>]</w:t>
      </w:r>
    </w:p>
    <w:p w14:paraId="7EEBA68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52 </w:t>
      </w:r>
      <w:r>
        <w:rPr>
          <w:rFonts w:ascii="Book Antiqua" w:eastAsia="Times New Roman" w:hAnsi="Book Antiqua"/>
          <w:b/>
          <w:bCs/>
        </w:rPr>
        <w:t>Pisaturo M</w:t>
      </w:r>
      <w:r>
        <w:rPr>
          <w:rFonts w:ascii="Book Antiqua" w:eastAsia="Times New Roman" w:hAnsi="Book Antiqua"/>
        </w:rPr>
        <w:t xml:space="preserve">, Starace M, Minichini C, De Pascalis S, Macera M, Occhiello L, Messina V, Sangiovanni V, Claar E, Precone D, Stornaiuolo G, Stanzione M, Gentile I, Brancaccio G, Martini S, Masiello A, Megna AS, Coppola C, Federico A, Sagnelli E, Persico M, Lanza AG, Marrone A, Gaeta GB, Coppola N. Patients with HCV genotype-1 who have failed a direct-acting antiviral regimen: virological characteristics and efficacy of retreatment. </w:t>
      </w:r>
      <w:r>
        <w:rPr>
          <w:rFonts w:ascii="Book Antiqua" w:eastAsia="Times New Roman" w:hAnsi="Book Antiqua"/>
          <w:i/>
          <w:iCs/>
        </w:rPr>
        <w:t>Antivir Ther</w:t>
      </w:r>
      <w:r>
        <w:rPr>
          <w:rFonts w:ascii="Book Antiqua" w:eastAsia="Times New Roman" w:hAnsi="Book Antiqua"/>
        </w:rPr>
        <w:t xml:space="preserve"> 2019; </w:t>
      </w:r>
      <w:r>
        <w:rPr>
          <w:rFonts w:ascii="Book Antiqua" w:eastAsia="Times New Roman" w:hAnsi="Book Antiqua"/>
          <w:b/>
          <w:bCs/>
        </w:rPr>
        <w:t>24</w:t>
      </w:r>
      <w:r>
        <w:rPr>
          <w:rFonts w:ascii="Book Antiqua" w:eastAsia="Times New Roman" w:hAnsi="Book Antiqua"/>
        </w:rPr>
        <w:t>: 485-493 [PMID: 30758299 DOI: 10.3851/IMP3296]</w:t>
      </w:r>
    </w:p>
    <w:p w14:paraId="31600FC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53 </w:t>
      </w:r>
      <w:r>
        <w:rPr>
          <w:rFonts w:ascii="Book Antiqua" w:eastAsia="Times New Roman" w:hAnsi="Book Antiqua"/>
          <w:b/>
          <w:bCs/>
        </w:rPr>
        <w:t>Zhang Y</w:t>
      </w:r>
      <w:r>
        <w:rPr>
          <w:rFonts w:ascii="Book Antiqua" w:eastAsia="Times New Roman" w:hAnsi="Book Antiqua"/>
        </w:rPr>
        <w:t xml:space="preserve">, Jiang X, Zhao Y, Xu Y. Effect of baseline resistance-associated substitutions on the efficiency of glecaprevir/pibrentasvir in chronic hepatitis C subjects: A meta-analysis. </w:t>
      </w:r>
      <w:r>
        <w:rPr>
          <w:rFonts w:ascii="Book Antiqua" w:eastAsia="Times New Roman" w:hAnsi="Book Antiqua"/>
          <w:i/>
          <w:iCs/>
        </w:rPr>
        <w:t>J Viral Hepat</w:t>
      </w:r>
      <w:r>
        <w:rPr>
          <w:rFonts w:ascii="Book Antiqua" w:eastAsia="Times New Roman" w:hAnsi="Book Antiqua"/>
        </w:rPr>
        <w:t xml:space="preserve"> 2021; </w:t>
      </w:r>
      <w:r>
        <w:rPr>
          <w:rFonts w:ascii="Book Antiqua" w:eastAsia="Times New Roman" w:hAnsi="Book Antiqua"/>
          <w:b/>
          <w:bCs/>
        </w:rPr>
        <w:t>28</w:t>
      </w:r>
      <w:r>
        <w:rPr>
          <w:rFonts w:ascii="Book Antiqua" w:eastAsia="Times New Roman" w:hAnsi="Book Antiqua"/>
        </w:rPr>
        <w:t>: 177-185 [PMID: 32961624 DOI: 10.1111/jvh.13409]</w:t>
      </w:r>
    </w:p>
    <w:p w14:paraId="4D4A795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54 </w:t>
      </w:r>
      <w:r>
        <w:rPr>
          <w:rFonts w:ascii="Book Antiqua" w:eastAsia="Times New Roman" w:hAnsi="Book Antiqua"/>
          <w:b/>
          <w:bCs/>
        </w:rPr>
        <w:t>Rahimi P</w:t>
      </w:r>
      <w:r>
        <w:rPr>
          <w:rFonts w:ascii="Book Antiqua" w:eastAsia="Times New Roman" w:hAnsi="Book Antiqua"/>
        </w:rPr>
        <w:t xml:space="preserve">, Sharafi H, Bahramali G, SajadianFard F, Asadi NS, Alavian SM, Iranpur Mobarakeh V, Moravej SZ. Prevalence of Naturally-Occurring NS5A and NS5B Resistance-Associated Substitutions in Iranian Patients With Chronic Hepatitis C Infection. </w:t>
      </w:r>
      <w:r>
        <w:rPr>
          <w:rFonts w:ascii="Book Antiqua" w:eastAsia="Times New Roman" w:hAnsi="Book Antiqua"/>
          <w:i/>
          <w:iCs/>
        </w:rPr>
        <w:t>Front Microbiol</w:t>
      </w:r>
      <w:r>
        <w:rPr>
          <w:rFonts w:ascii="Book Antiqua" w:eastAsia="Times New Roman" w:hAnsi="Book Antiqua"/>
        </w:rPr>
        <w:t xml:space="preserve"> 2020; </w:t>
      </w:r>
      <w:r>
        <w:rPr>
          <w:rFonts w:ascii="Book Antiqua" w:eastAsia="Times New Roman" w:hAnsi="Book Antiqua"/>
          <w:b/>
          <w:bCs/>
        </w:rPr>
        <w:t>11</w:t>
      </w:r>
      <w:r>
        <w:rPr>
          <w:rFonts w:ascii="Book Antiqua" w:eastAsia="Times New Roman" w:hAnsi="Book Antiqua"/>
        </w:rPr>
        <w:t>: 617375 [PMID: 33584581 DOI: 10.3389/fmicb.2020.617375]</w:t>
      </w:r>
    </w:p>
    <w:p w14:paraId="3D1E115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55 </w:t>
      </w:r>
      <w:r>
        <w:rPr>
          <w:rFonts w:ascii="Book Antiqua" w:eastAsia="Times New Roman" w:hAnsi="Book Antiqua"/>
          <w:b/>
          <w:bCs/>
        </w:rPr>
        <w:t>Chen Q</w:t>
      </w:r>
      <w:r>
        <w:rPr>
          <w:rFonts w:ascii="Book Antiqua" w:eastAsia="Times New Roman" w:hAnsi="Book Antiqua"/>
        </w:rPr>
        <w:t>, Perales C, Soria ME, García-Cehic D, Gregori J, Rodríguez-Frías F, Buti M, Crespo J, Calleja JL, Tabernero D, Vila M, Lázaro F, Rando-Segura A, Nieto-Aponte L, Llorens-Revull M, Cortese MF, Fernandez-Alonso I, Castellote J, Niubó J, Imaz A, Xiol X, Castells L, Riveiro-Barciela M, Llaneras J, Navarro J, Vargas-Blasco V, Augustin S, Conde I, Rubín Á, Prieto M, Torras X, Margall N, Forns X, Mariño Z, Lens S, Bonacci M, Pérez-Del-Pulgar S, Londoño MC, García-Buey ML, Sanz-Cameno P, Morillas R, Martró E, Saludes V, Masnou-Ridaura H, Salmerón J, Quíles R, Carrión JA, Forné M, Rosinach M, Fernández I, García-Samaniego J, Madejón A, Castillo-Grau P, López-Núñez C, Ferri MJ, Durández R, Sáez-Royuela F, Diago M, Gimeno C, Medina R, Buenestado J, Bernet A, Turnes J, Trigo-Daporta M, Hernández-Guerra M, Delgado-Blanco M, Cañizares A, Arenas JI, Gomez-Alonso MJ, Rodríguez M, Deig E, Olivé G, Río OD, Cabezas J, Quiñones I, Roget M, Montoliu S, García-Costa J, Force L, Blanch S, Miralbés M, López-de-Goicoechea MJ, García-Flores A, Saumoy M, Casanovas T, Baliellas C, Gilabert P, Martin-</w:t>
      </w:r>
      <w:r>
        <w:rPr>
          <w:rFonts w:ascii="Book Antiqua" w:eastAsia="Times New Roman" w:hAnsi="Book Antiqua"/>
        </w:rPr>
        <w:lastRenderedPageBreak/>
        <w:t xml:space="preserve">Cardona A, Roca R, Barenys M, Villaverde J, Salord S, Camps B, Silvan di Yacovo M, Ocaña I, Sauleda S, Bes M, Carbonell J, Vargas-Accarino E, Ruzo SP, Guerrero-Murillo M, Von Massow G, Costafreda MI, López RM, González-Moreno L, Real Y, Acero-Fernández D, Viroles S, Pamplona X, Cairó M, Ocete MD, Macías-Sánchez JF, Estébanez A, Quer JC, Mena-de-Cea Á, Otero A, Castro-Iglesias Á, Suárez F, Vázquez Á, Vieito D, López-Calvo S, Vázquez-Rodríguez P, Martínez-Cerezo FJ, Rodríguez R, Macenlle R, Cachero A, Mereish G, Mora-Moruny C, Fábregas S, Sacristán B, Albillos A, Sánchez-Ruano JJ, Baluja-Pino R, Fernández-Fernández J, González-Portela C, García-Martin C, Sánchez-Antolín G, Andrade RJ, Simón MA, Pascasio JM, Romero-Gómez M, Antonio Del-Campo J, Domingo E, Esteban R, Esteban JI, Quer J. Deep-sequencing reveals broad subtype-specific HCV resistance mutations associated with treatment failure. </w:t>
      </w:r>
      <w:r>
        <w:rPr>
          <w:rFonts w:ascii="Book Antiqua" w:eastAsia="Times New Roman" w:hAnsi="Book Antiqua"/>
          <w:i/>
          <w:iCs/>
        </w:rPr>
        <w:t>Antiviral Res</w:t>
      </w:r>
      <w:r>
        <w:rPr>
          <w:rFonts w:ascii="Book Antiqua" w:eastAsia="Times New Roman" w:hAnsi="Book Antiqua"/>
        </w:rPr>
        <w:t xml:space="preserve"> 2020; </w:t>
      </w:r>
      <w:r>
        <w:rPr>
          <w:rFonts w:ascii="Book Antiqua" w:eastAsia="Times New Roman" w:hAnsi="Book Antiqua"/>
          <w:b/>
          <w:bCs/>
        </w:rPr>
        <w:t>174</w:t>
      </w:r>
      <w:r>
        <w:rPr>
          <w:rFonts w:ascii="Book Antiqua" w:eastAsia="Times New Roman" w:hAnsi="Book Antiqua"/>
        </w:rPr>
        <w:t>: 104694 [PMID: 31857134 DOI: 10.1016/j.antiviral.2019.104694]</w:t>
      </w:r>
    </w:p>
    <w:p w14:paraId="458B1CE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56 </w:t>
      </w:r>
      <w:r>
        <w:rPr>
          <w:rFonts w:ascii="Book Antiqua" w:eastAsia="Times New Roman" w:hAnsi="Book Antiqua"/>
          <w:b/>
          <w:bCs/>
        </w:rPr>
        <w:t>Belperio PS</w:t>
      </w:r>
      <w:r>
        <w:rPr>
          <w:rFonts w:ascii="Book Antiqua" w:eastAsia="Times New Roman" w:hAnsi="Book Antiqua"/>
        </w:rPr>
        <w:t xml:space="preserve">, Shahoumian TA, Loomis TP, Backus LI. Real-world effectiveness of sofosbuvir/velpatasvir/voxilaprevir in 573 direct-acting antiviral experienced hepatitis C patients. </w:t>
      </w:r>
      <w:r>
        <w:rPr>
          <w:rFonts w:ascii="Book Antiqua" w:eastAsia="Times New Roman" w:hAnsi="Book Antiqua"/>
          <w:i/>
          <w:iCs/>
        </w:rPr>
        <w:t>J Viral Hepat</w:t>
      </w:r>
      <w:r>
        <w:rPr>
          <w:rFonts w:ascii="Book Antiqua" w:eastAsia="Times New Roman" w:hAnsi="Book Antiqua"/>
        </w:rPr>
        <w:t xml:space="preserve"> 2019; </w:t>
      </w:r>
      <w:r>
        <w:rPr>
          <w:rFonts w:ascii="Book Antiqua" w:eastAsia="Times New Roman" w:hAnsi="Book Antiqua"/>
          <w:b/>
          <w:bCs/>
        </w:rPr>
        <w:t>26</w:t>
      </w:r>
      <w:r>
        <w:rPr>
          <w:rFonts w:ascii="Book Antiqua" w:eastAsia="Times New Roman" w:hAnsi="Book Antiqua"/>
        </w:rPr>
        <w:t>: 980-990 [PMID: 31012179 DOI: 10.1111/jvh.13115]</w:t>
      </w:r>
    </w:p>
    <w:p w14:paraId="04E19B6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57 </w:t>
      </w:r>
      <w:r>
        <w:rPr>
          <w:rFonts w:ascii="Book Antiqua" w:eastAsia="Times New Roman" w:hAnsi="Book Antiqua"/>
          <w:b/>
          <w:bCs/>
        </w:rPr>
        <w:t>Singh S</w:t>
      </w:r>
      <w:r>
        <w:rPr>
          <w:rFonts w:ascii="Book Antiqua" w:eastAsia="Times New Roman" w:hAnsi="Book Antiqua"/>
        </w:rPr>
        <w:t xml:space="preserve">, Nautiyal A, Loke YK. Oral direct-acting antivirals and the incidence or recurrence of hepatocellular carcinoma: a systematic review and meta-analysis. </w:t>
      </w:r>
      <w:r>
        <w:rPr>
          <w:rFonts w:ascii="Book Antiqua" w:eastAsia="Times New Roman" w:hAnsi="Book Antiqua"/>
          <w:i/>
          <w:iCs/>
        </w:rPr>
        <w:t>Frontline Gastroenterol</w:t>
      </w:r>
      <w:r>
        <w:rPr>
          <w:rFonts w:ascii="Book Antiqua" w:eastAsia="Times New Roman" w:hAnsi="Book Antiqua"/>
        </w:rPr>
        <w:t xml:space="preserve"> 2018; </w:t>
      </w:r>
      <w:r>
        <w:rPr>
          <w:rFonts w:ascii="Book Antiqua" w:eastAsia="Times New Roman" w:hAnsi="Book Antiqua"/>
          <w:b/>
          <w:bCs/>
        </w:rPr>
        <w:t>9</w:t>
      </w:r>
      <w:r>
        <w:rPr>
          <w:rFonts w:ascii="Book Antiqua" w:eastAsia="Times New Roman" w:hAnsi="Book Antiqua"/>
        </w:rPr>
        <w:t>: 262-270 [PMID: 30245788 DOI: 10.1136/flgastro-2018-101017]</w:t>
      </w:r>
    </w:p>
    <w:p w14:paraId="5E134FB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58 </w:t>
      </w:r>
      <w:r>
        <w:rPr>
          <w:rFonts w:ascii="Book Antiqua" w:eastAsia="Times New Roman" w:hAnsi="Book Antiqua"/>
          <w:b/>
          <w:bCs/>
        </w:rPr>
        <w:t>Shiha G</w:t>
      </w:r>
      <w:r>
        <w:rPr>
          <w:rFonts w:ascii="Book Antiqua" w:eastAsia="Times New Roman" w:hAnsi="Book Antiqua"/>
        </w:rPr>
        <w:t xml:space="preserve">, Mousa N, Soliman R, Nnh Mikhail N, Adel Elbasiony M, Khattab M. Incidence of HCC in chronic hepatitis C patients with advanced hepatic fibrosis who achieved SVR following DAAs: A prospective study. </w:t>
      </w:r>
      <w:r>
        <w:rPr>
          <w:rFonts w:ascii="Book Antiqua" w:eastAsia="Times New Roman" w:hAnsi="Book Antiqua"/>
          <w:i/>
          <w:iCs/>
        </w:rPr>
        <w:t>J Viral Hepat</w:t>
      </w:r>
      <w:r>
        <w:rPr>
          <w:rFonts w:ascii="Book Antiqua" w:eastAsia="Times New Roman" w:hAnsi="Book Antiqua"/>
        </w:rPr>
        <w:t xml:space="preserve"> 2020; </w:t>
      </w:r>
      <w:r>
        <w:rPr>
          <w:rFonts w:ascii="Book Antiqua" w:eastAsia="Times New Roman" w:hAnsi="Book Antiqua"/>
          <w:b/>
          <w:bCs/>
        </w:rPr>
        <w:t>27</w:t>
      </w:r>
      <w:r>
        <w:rPr>
          <w:rFonts w:ascii="Book Antiqua" w:eastAsia="Times New Roman" w:hAnsi="Book Antiqua"/>
        </w:rPr>
        <w:t>: 671-679 [PMID: 32050037 DOI: 10.1111/jvh.13276]</w:t>
      </w:r>
    </w:p>
    <w:p w14:paraId="25E66AD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59 </w:t>
      </w:r>
      <w:r>
        <w:rPr>
          <w:rFonts w:ascii="Book Antiqua" w:eastAsia="Times New Roman" w:hAnsi="Book Antiqua"/>
          <w:b/>
          <w:bCs/>
        </w:rPr>
        <w:t>Tampaki M</w:t>
      </w:r>
      <w:r>
        <w:rPr>
          <w:rFonts w:ascii="Book Antiqua" w:eastAsia="Times New Roman" w:hAnsi="Book Antiqua"/>
        </w:rPr>
        <w:t xml:space="preserve">, Savvanis S, Koskinas J. Impact of direct-acting antiviral agents on the development of hepatocellular carcinoma: evidence and pathophysiological issues. </w:t>
      </w:r>
      <w:r>
        <w:rPr>
          <w:rFonts w:ascii="Book Antiqua" w:eastAsia="Times New Roman" w:hAnsi="Book Antiqua"/>
          <w:i/>
          <w:iCs/>
        </w:rPr>
        <w:t>Ann Gastroenterol</w:t>
      </w:r>
      <w:r>
        <w:rPr>
          <w:rFonts w:ascii="Book Antiqua" w:eastAsia="Times New Roman" w:hAnsi="Book Antiqua"/>
        </w:rPr>
        <w:t xml:space="preserve"> 2018; </w:t>
      </w:r>
      <w:r>
        <w:rPr>
          <w:rFonts w:ascii="Book Antiqua" w:eastAsia="Times New Roman" w:hAnsi="Book Antiqua"/>
          <w:b/>
          <w:bCs/>
        </w:rPr>
        <w:t>31</w:t>
      </w:r>
      <w:r>
        <w:rPr>
          <w:rFonts w:ascii="Book Antiqua" w:eastAsia="Times New Roman" w:hAnsi="Book Antiqua"/>
        </w:rPr>
        <w:t>: 670-679 [PMID: 30386116 DOI: 10.20524/aog.2018.0306]</w:t>
      </w:r>
    </w:p>
    <w:p w14:paraId="139D6C8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60 </w:t>
      </w:r>
      <w:r>
        <w:rPr>
          <w:rFonts w:ascii="Book Antiqua" w:eastAsia="Times New Roman" w:hAnsi="Book Antiqua"/>
          <w:b/>
          <w:bCs/>
        </w:rPr>
        <w:t>Karbeyaz F,</w:t>
      </w:r>
      <w:r>
        <w:rPr>
          <w:rFonts w:ascii="Book Antiqua" w:eastAsia="Times New Roman" w:hAnsi="Book Antiqua"/>
        </w:rPr>
        <w:t xml:space="preserve"> Kissling S, Jaklin PJ, Bachofner J, Brunner B, Müllhaupt B. Rates of Hepatocellular Carcinoma After Start of Treatment for Chronic Hepatitis C Remain High with Direct Acting Antivirals: Analysis from a Swiss Liver. </w:t>
      </w:r>
      <w:r>
        <w:rPr>
          <w:rFonts w:ascii="Book Antiqua" w:eastAsia="Times New Roman" w:hAnsi="Book Antiqua"/>
          <w:i/>
        </w:rPr>
        <w:t>Journal of Hepatocellular Carcinoma</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rPr>
        <w:t>8565-</w:t>
      </w:r>
      <w:r>
        <w:rPr>
          <w:rFonts w:ascii="Book Antiqua" w:hAnsi="Book Antiqua" w:hint="eastAsia"/>
          <w:lang w:eastAsia="zh-CN"/>
        </w:rPr>
        <w:t>8</w:t>
      </w:r>
      <w:r>
        <w:rPr>
          <w:rFonts w:ascii="Book Antiqua" w:eastAsia="Times New Roman" w:hAnsi="Book Antiqua"/>
        </w:rPr>
        <w:t>574</w:t>
      </w:r>
      <w:r>
        <w:rPr>
          <w:rFonts w:ascii="Book Antiqua" w:hAnsi="Book Antiqua" w:hint="eastAsia"/>
          <w:lang w:eastAsia="zh-CN"/>
        </w:rPr>
        <w:t xml:space="preserve"> </w:t>
      </w:r>
      <w:r>
        <w:rPr>
          <w:rFonts w:ascii="Book Antiqua" w:eastAsia="Times New Roman" w:hAnsi="Book Antiqua"/>
        </w:rPr>
        <w:t>[</w:t>
      </w:r>
      <w:r>
        <w:rPr>
          <w:rStyle w:val="id-label"/>
          <w:rFonts w:ascii="Book Antiqua" w:hAnsi="Book Antiqua" w:cs="Segoe UI"/>
        </w:rPr>
        <w:t xml:space="preserve">PMID: </w:t>
      </w:r>
      <w:r>
        <w:rPr>
          <w:rStyle w:val="af"/>
          <w:rFonts w:ascii="Book Antiqua" w:hAnsi="Book Antiqua" w:cs="Segoe UI"/>
          <w:b w:val="0"/>
          <w:bCs w:val="0"/>
        </w:rPr>
        <w:t>3</w:t>
      </w:r>
      <w:r>
        <w:rPr>
          <w:rStyle w:val="af"/>
          <w:rFonts w:ascii="Book Antiqua" w:hAnsi="Book Antiqua" w:cs="Segoe UI"/>
          <w:b w:val="0"/>
          <w:bCs w:val="0"/>
          <w:lang w:eastAsia="zh-CN"/>
        </w:rPr>
        <w:t>4150679 DOI: 10.2147/JHC.S289955</w:t>
      </w:r>
      <w:r>
        <w:rPr>
          <w:rFonts w:ascii="Book Antiqua" w:hAnsi="Book Antiqua" w:cs="Segoe UI"/>
        </w:rPr>
        <w:t>]</w:t>
      </w:r>
    </w:p>
    <w:p w14:paraId="1959809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61 </w:t>
      </w:r>
      <w:r>
        <w:rPr>
          <w:rFonts w:ascii="Book Antiqua" w:eastAsia="Times New Roman" w:hAnsi="Book Antiqua"/>
          <w:b/>
          <w:bCs/>
        </w:rPr>
        <w:t>Nahon P</w:t>
      </w:r>
      <w:r>
        <w:rPr>
          <w:rFonts w:ascii="Book Antiqua" w:eastAsia="Times New Roman" w:hAnsi="Book Antiqua"/>
        </w:rPr>
        <w:t xml:space="preserve">, Layese R, Bourcier V, Cagnot C, Marcellin P, Guyader D, Pol S, Larrey D, De Lédinghen V, Ouzan D, Zoulim F, Roulot D, Tran A, Bronowicki JP, Zarski JP, Riachi G, Calès P, Péron JM, Alric L, Bourlière M, Mathurin P, Blanc JF, Abergel A, Serfaty L, Mallat A, Grangé JD, Attali P, Bacq Y, Wartelle C, Dao T, Thabut D, Pilette C, Silvain C, Christidis C, Nguyen-Khac E, Bernard-Chabert B, Zucman D, Di Martino V, Sutton A, Roudot-Thoraval F, Audureau E; ANRS CO12 CirVir Group. Incidence of Hepatocellular Carcinoma After Direct Antiviral Therapy for HCV in Patients With Cirrhosis Included in Surveillance Programs. </w:t>
      </w:r>
      <w:r>
        <w:rPr>
          <w:rFonts w:ascii="Book Antiqua" w:eastAsia="Times New Roman" w:hAnsi="Book Antiqua"/>
          <w:i/>
          <w:iCs/>
        </w:rPr>
        <w:t>Gastroenterology</w:t>
      </w:r>
      <w:r>
        <w:rPr>
          <w:rFonts w:ascii="Book Antiqua" w:eastAsia="Times New Roman" w:hAnsi="Book Antiqua"/>
        </w:rPr>
        <w:t xml:space="preserve"> 2018; </w:t>
      </w:r>
      <w:r>
        <w:rPr>
          <w:rFonts w:ascii="Book Antiqua" w:eastAsia="Times New Roman" w:hAnsi="Book Antiqua"/>
          <w:b/>
          <w:bCs/>
        </w:rPr>
        <w:t>155</w:t>
      </w:r>
      <w:r>
        <w:rPr>
          <w:rFonts w:ascii="Book Antiqua" w:eastAsia="Times New Roman" w:hAnsi="Book Antiqua"/>
        </w:rPr>
        <w:t>: 1436-1450.e6 [PMID: 30031138 DOI: 10.1053/j.gastro.2018.07.015]</w:t>
      </w:r>
    </w:p>
    <w:p w14:paraId="19A7CD6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62 </w:t>
      </w:r>
      <w:r>
        <w:rPr>
          <w:rFonts w:ascii="Book Antiqua" w:eastAsia="Times New Roman" w:hAnsi="Book Antiqua"/>
          <w:b/>
          <w:bCs/>
        </w:rPr>
        <w:t>Celsa C</w:t>
      </w:r>
      <w:r>
        <w:rPr>
          <w:rFonts w:ascii="Book Antiqua" w:eastAsia="Times New Roman" w:hAnsi="Book Antiqua"/>
        </w:rPr>
        <w:t xml:space="preserve">, Stornello C, Giuffrida P, Giacchetto CM, Grova M, Rancatore G, Pitrone C, Di Marco V, Cammà C, Cabibbo G. Direct-acting antiviral agents and risk of Hepatocellular carcinoma: Critical appraisal of the evidence. </w:t>
      </w:r>
      <w:r>
        <w:rPr>
          <w:rFonts w:ascii="Book Antiqua" w:eastAsia="Times New Roman" w:hAnsi="Book Antiqua"/>
          <w:i/>
          <w:iCs/>
        </w:rPr>
        <w:t>Ann Hepatol</w:t>
      </w:r>
      <w:r>
        <w:rPr>
          <w:rFonts w:ascii="Book Antiqua" w:eastAsia="Times New Roman" w:hAnsi="Book Antiqua"/>
        </w:rPr>
        <w:t xml:space="preserve"> 2022; </w:t>
      </w:r>
      <w:r>
        <w:rPr>
          <w:rFonts w:ascii="Book Antiqua" w:eastAsia="Times New Roman" w:hAnsi="Book Antiqua"/>
          <w:b/>
          <w:bCs/>
        </w:rPr>
        <w:t>27 Suppl 1</w:t>
      </w:r>
      <w:r>
        <w:rPr>
          <w:rFonts w:ascii="Book Antiqua" w:eastAsia="Times New Roman" w:hAnsi="Book Antiqua"/>
        </w:rPr>
        <w:t>: 100568 [PMID: 34699987 DOI: 10.1016/j.aohep.2021.100568]</w:t>
      </w:r>
    </w:p>
    <w:p w14:paraId="557F64A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63 </w:t>
      </w:r>
      <w:r>
        <w:rPr>
          <w:rFonts w:ascii="Book Antiqua" w:eastAsia="Times New Roman" w:hAnsi="Book Antiqua"/>
          <w:b/>
          <w:bCs/>
        </w:rPr>
        <w:t>Mariño Z</w:t>
      </w:r>
      <w:r>
        <w:rPr>
          <w:rFonts w:ascii="Book Antiqua" w:eastAsia="Times New Roman" w:hAnsi="Book Antiqua"/>
        </w:rPr>
        <w:t xml:space="preserve">, Darnell A, Lens S, Sapena V, Díaz A, Belmonte E, Perelló C, Calleja JL, Varela M, Rodriguez M, Rodriguez de Lope C, Llerena S, Torras X, Gallego A, Sala M, Morillas RM, Minguez B, Llaneras J, Coll S, Carrion JA, Iñarrairaegui M, Sangro B, Vilana R, Sole M, Ayuso C, Ríos J, Forns X, Bruix J, Reig M. Time association between hepatitis C therapy and hepatocellular carcinoma emergence in cirrhosis: Relevance of non-characterized nodules. </w:t>
      </w:r>
      <w:r>
        <w:rPr>
          <w:rFonts w:ascii="Book Antiqua" w:eastAsia="Times New Roman" w:hAnsi="Book Antiqua"/>
          <w:i/>
          <w:iCs/>
        </w:rPr>
        <w:t>J Hepatol</w:t>
      </w:r>
      <w:r>
        <w:rPr>
          <w:rFonts w:ascii="Book Antiqua" w:eastAsia="Times New Roman" w:hAnsi="Book Antiqua"/>
        </w:rPr>
        <w:t xml:space="preserve"> 2019; </w:t>
      </w:r>
      <w:r>
        <w:rPr>
          <w:rFonts w:ascii="Book Antiqua" w:eastAsia="Times New Roman" w:hAnsi="Book Antiqua"/>
          <w:b/>
          <w:bCs/>
        </w:rPr>
        <w:t>70</w:t>
      </w:r>
      <w:r>
        <w:rPr>
          <w:rFonts w:ascii="Book Antiqua" w:eastAsia="Times New Roman" w:hAnsi="Book Antiqua"/>
        </w:rPr>
        <w:t>: 874-884 [PMID: 30684506 DOI: 10.1016/j.jhep.2019.01.005]</w:t>
      </w:r>
    </w:p>
    <w:p w14:paraId="1345F12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64 </w:t>
      </w:r>
      <w:r>
        <w:rPr>
          <w:rFonts w:ascii="Book Antiqua" w:eastAsia="Times New Roman" w:hAnsi="Book Antiqua"/>
          <w:b/>
          <w:bCs/>
        </w:rPr>
        <w:t>Owusu Sekyere S</w:t>
      </w:r>
      <w:r>
        <w:rPr>
          <w:rFonts w:ascii="Book Antiqua" w:eastAsia="Times New Roman" w:hAnsi="Book Antiqua"/>
        </w:rPr>
        <w:t xml:space="preserve">, Schlevogt B, Mettke F, Kabbani M, Deterding K, Wirth TC, Vogel A, Manns MP, Falk CS, Cornberg M, Wedemeyer H. HCC Immune Surveillance and Antiviral Therapy of Hepatitis C Virus Infection. </w:t>
      </w:r>
      <w:r>
        <w:rPr>
          <w:rFonts w:ascii="Book Antiqua" w:eastAsia="Times New Roman" w:hAnsi="Book Antiqua"/>
          <w:i/>
          <w:iCs/>
        </w:rPr>
        <w:t>Liver Cancer</w:t>
      </w:r>
      <w:r>
        <w:rPr>
          <w:rFonts w:ascii="Book Antiqua" w:eastAsia="Times New Roman" w:hAnsi="Book Antiqua"/>
        </w:rPr>
        <w:t xml:space="preserve"> 2019; </w:t>
      </w:r>
      <w:r>
        <w:rPr>
          <w:rFonts w:ascii="Book Antiqua" w:eastAsia="Times New Roman" w:hAnsi="Book Antiqua"/>
          <w:b/>
          <w:bCs/>
        </w:rPr>
        <w:t>8</w:t>
      </w:r>
      <w:r>
        <w:rPr>
          <w:rFonts w:ascii="Book Antiqua" w:eastAsia="Times New Roman" w:hAnsi="Book Antiqua"/>
        </w:rPr>
        <w:t>: 41-65 [PMID: 30815394 DOI: 10.1159/000490360]</w:t>
      </w:r>
    </w:p>
    <w:p w14:paraId="7D422B4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65 </w:t>
      </w:r>
      <w:r>
        <w:rPr>
          <w:rFonts w:ascii="Book Antiqua" w:eastAsia="Times New Roman" w:hAnsi="Book Antiqua"/>
          <w:b/>
          <w:bCs/>
        </w:rPr>
        <w:t>Lu MY</w:t>
      </w:r>
      <w:r>
        <w:rPr>
          <w:rFonts w:ascii="Book Antiqua" w:eastAsia="Times New Roman" w:hAnsi="Book Antiqua"/>
        </w:rPr>
        <w:t xml:space="preserve">, Yeh ML, Huang CI, Wang SC, Tsai YS, Tsai PC, Ko YM, Lin CC, Chen KY, Wei YJ, Hsu PY, Hsu CT, Jang TY, Liu TW, Liang PC, Hsieh MY, Lin ZY, Chen SC, Huang CF, Huang JF, Dai CY, Chuang WL, Yu ML. Dynamics of cytokines predicts risk of hepatocellular carcinoma among chronic hepatitis C patients after viral eradication. </w:t>
      </w:r>
      <w:r>
        <w:rPr>
          <w:rFonts w:ascii="Book Antiqua" w:eastAsia="Times New Roman" w:hAnsi="Book Antiqua"/>
          <w:i/>
          <w:iCs/>
        </w:rPr>
        <w:t>World J Gastroenterol</w:t>
      </w:r>
      <w:r>
        <w:rPr>
          <w:rFonts w:ascii="Book Antiqua" w:eastAsia="Times New Roman" w:hAnsi="Book Antiqua"/>
        </w:rPr>
        <w:t xml:space="preserve"> 2022; </w:t>
      </w:r>
      <w:r>
        <w:rPr>
          <w:rFonts w:ascii="Book Antiqua" w:eastAsia="Times New Roman" w:hAnsi="Book Antiqua"/>
          <w:b/>
          <w:bCs/>
        </w:rPr>
        <w:t>28</w:t>
      </w:r>
      <w:r>
        <w:rPr>
          <w:rFonts w:ascii="Book Antiqua" w:eastAsia="Times New Roman" w:hAnsi="Book Antiqua"/>
        </w:rPr>
        <w:t>: 140-153 [PMID: 35125824 DOI: 10.3748/wjg.v28.i1.140]</w:t>
      </w:r>
    </w:p>
    <w:p w14:paraId="6E8249A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66 </w:t>
      </w:r>
      <w:r>
        <w:rPr>
          <w:rFonts w:ascii="Book Antiqua" w:eastAsia="Times New Roman" w:hAnsi="Book Antiqua"/>
          <w:b/>
          <w:bCs/>
        </w:rPr>
        <w:t>Khalid J</w:t>
      </w:r>
      <w:r>
        <w:rPr>
          <w:rFonts w:ascii="Book Antiqua" w:eastAsia="Times New Roman" w:hAnsi="Book Antiqua"/>
        </w:rPr>
        <w:t xml:space="preserve">, Umar M, Ur-Rehman T, Ali M, Khan GM. Tumor aggression among hepatitis-C related hepatocellular carcinoma patients: an observational study regarding the impact of anti-HCV therapy. </w:t>
      </w:r>
      <w:r>
        <w:rPr>
          <w:rFonts w:ascii="Book Antiqua" w:eastAsia="Times New Roman" w:hAnsi="Book Antiqua"/>
          <w:i/>
          <w:iCs/>
        </w:rPr>
        <w:t>Infect Agent Cancer</w:t>
      </w:r>
      <w:r>
        <w:rPr>
          <w:rFonts w:ascii="Book Antiqua" w:eastAsia="Times New Roman" w:hAnsi="Book Antiqua"/>
        </w:rPr>
        <w:t xml:space="preserve"> 2020; </w:t>
      </w:r>
      <w:r>
        <w:rPr>
          <w:rFonts w:ascii="Book Antiqua" w:eastAsia="Times New Roman" w:hAnsi="Book Antiqua"/>
          <w:b/>
          <w:bCs/>
        </w:rPr>
        <w:t>15</w:t>
      </w:r>
      <w:r>
        <w:rPr>
          <w:rFonts w:ascii="Book Antiqua" w:eastAsia="Times New Roman" w:hAnsi="Book Antiqua"/>
        </w:rPr>
        <w:t>: 35 [PMID: 32508980 DOI: 10.1186/s13027-020-00300-z]</w:t>
      </w:r>
    </w:p>
    <w:p w14:paraId="174FB0C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67 </w:t>
      </w:r>
      <w:r>
        <w:rPr>
          <w:rFonts w:ascii="Book Antiqua" w:eastAsia="Times New Roman" w:hAnsi="Book Antiqua"/>
          <w:b/>
          <w:bCs/>
        </w:rPr>
        <w:t>Rich NE</w:t>
      </w:r>
      <w:r>
        <w:rPr>
          <w:rFonts w:ascii="Book Antiqua" w:eastAsia="Times New Roman" w:hAnsi="Book Antiqua"/>
        </w:rPr>
        <w:t xml:space="preserve">, Singal AG. Direct-Acting Antiviral Therapy and Hepatocellular Carcinoma. </w:t>
      </w:r>
      <w:r>
        <w:rPr>
          <w:rFonts w:ascii="Book Antiqua" w:eastAsia="Times New Roman" w:hAnsi="Book Antiqua"/>
          <w:i/>
          <w:iCs/>
        </w:rPr>
        <w:t>Clin Liver Dis (Hoboken)</w:t>
      </w:r>
      <w:r>
        <w:rPr>
          <w:rFonts w:ascii="Book Antiqua" w:eastAsia="Times New Roman" w:hAnsi="Book Antiqua"/>
        </w:rPr>
        <w:t xml:space="preserve"> 2021; </w:t>
      </w:r>
      <w:r>
        <w:rPr>
          <w:rFonts w:ascii="Book Antiqua" w:eastAsia="Times New Roman" w:hAnsi="Book Antiqua"/>
          <w:b/>
          <w:bCs/>
        </w:rPr>
        <w:t>17</w:t>
      </w:r>
      <w:r>
        <w:rPr>
          <w:rFonts w:ascii="Book Antiqua" w:eastAsia="Times New Roman" w:hAnsi="Book Antiqua"/>
        </w:rPr>
        <w:t>: 414-417 [PMID: 34386206 DOI: 10.1002/cld.1082]</w:t>
      </w:r>
    </w:p>
    <w:p w14:paraId="673DB5E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68 </w:t>
      </w:r>
      <w:r>
        <w:rPr>
          <w:rFonts w:ascii="Book Antiqua" w:eastAsia="Times New Roman" w:hAnsi="Book Antiqua"/>
          <w:b/>
          <w:bCs/>
        </w:rPr>
        <w:t>Renzulli M</w:t>
      </w:r>
      <w:r>
        <w:rPr>
          <w:rFonts w:ascii="Book Antiqua" w:eastAsia="Times New Roman" w:hAnsi="Book Antiqua"/>
        </w:rPr>
        <w:t xml:space="preserve">, Buonfiglioli F, Conti F, Brocchi S, Serio I, Foschi FG, Caraceni P, Mazzella G, Verucchi G, Golfieri R, Andreone P, Brillanti S. Imaging features of microvascular invasion in hepatocellular carcinoma developed after direct-acting antiviral therapy in HCV-related cirrhosis. </w:t>
      </w:r>
      <w:r>
        <w:rPr>
          <w:rFonts w:ascii="Book Antiqua" w:eastAsia="Times New Roman" w:hAnsi="Book Antiqua"/>
          <w:i/>
          <w:iCs/>
        </w:rPr>
        <w:t>Eur Radiol</w:t>
      </w:r>
      <w:r>
        <w:rPr>
          <w:rFonts w:ascii="Book Antiqua" w:eastAsia="Times New Roman" w:hAnsi="Book Antiqua"/>
        </w:rPr>
        <w:t xml:space="preserve"> 2018; </w:t>
      </w:r>
      <w:r>
        <w:rPr>
          <w:rFonts w:ascii="Book Antiqua" w:eastAsia="Times New Roman" w:hAnsi="Book Antiqua"/>
          <w:b/>
          <w:bCs/>
        </w:rPr>
        <w:t>28</w:t>
      </w:r>
      <w:r>
        <w:rPr>
          <w:rFonts w:ascii="Book Antiqua" w:eastAsia="Times New Roman" w:hAnsi="Book Antiqua"/>
        </w:rPr>
        <w:t>: 506-513 [PMID: 28894901 DOI: 10.1007/s00330-017-5033-3]</w:t>
      </w:r>
    </w:p>
    <w:p w14:paraId="4578698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69 </w:t>
      </w:r>
      <w:r>
        <w:rPr>
          <w:rFonts w:ascii="Book Antiqua" w:eastAsia="Times New Roman" w:hAnsi="Book Antiqua"/>
          <w:b/>
          <w:bCs/>
        </w:rPr>
        <w:t>Fouad M</w:t>
      </w:r>
      <w:r>
        <w:rPr>
          <w:rFonts w:ascii="Book Antiqua" w:eastAsia="Times New Roman" w:hAnsi="Book Antiqua"/>
        </w:rPr>
        <w:t xml:space="preserve">, El Kassas M, Ahmed E, El Sheemy R. Tumor characteristics of hepatocellular carcinoma after direct-acting antiviral treatment for hepatitis C: Comparative analysis with antiviral therapy-naive patients. </w:t>
      </w:r>
      <w:r>
        <w:rPr>
          <w:rFonts w:ascii="Book Antiqua" w:eastAsia="Times New Roman" w:hAnsi="Book Antiqua"/>
          <w:i/>
          <w:iCs/>
        </w:rPr>
        <w:t>World J Hepatol</w:t>
      </w:r>
      <w:r>
        <w:rPr>
          <w:rFonts w:ascii="Book Antiqua" w:eastAsia="Times New Roman" w:hAnsi="Book Antiqua"/>
        </w:rPr>
        <w:t xml:space="preserve"> 2021; </w:t>
      </w:r>
      <w:r>
        <w:rPr>
          <w:rFonts w:ascii="Book Antiqua" w:eastAsia="Times New Roman" w:hAnsi="Book Antiqua"/>
          <w:b/>
          <w:bCs/>
        </w:rPr>
        <w:t>13</w:t>
      </w:r>
      <w:r>
        <w:rPr>
          <w:rFonts w:ascii="Book Antiqua" w:eastAsia="Times New Roman" w:hAnsi="Book Antiqua"/>
        </w:rPr>
        <w:t>: 1743-1752 [PMID: 34904042 DOI: 10.4254/wjh.v13.i11.1743]</w:t>
      </w:r>
    </w:p>
    <w:p w14:paraId="377587F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70 </w:t>
      </w:r>
      <w:r>
        <w:rPr>
          <w:rFonts w:ascii="Book Antiqua" w:eastAsia="Times New Roman" w:hAnsi="Book Antiqua"/>
          <w:b/>
          <w:bCs/>
        </w:rPr>
        <w:t>Sami SM</w:t>
      </w:r>
      <w:r>
        <w:rPr>
          <w:rFonts w:ascii="Book Antiqua" w:eastAsia="Times New Roman" w:hAnsi="Book Antiqua"/>
        </w:rPr>
        <w:t xml:space="preserve">, Salama II, Abdel-Latif GA, El Etreby LA, Metwally AI, Abd El Haliem NF. Hepatitis B Seroprotection and the Response to a Challenging Dose among Vaccinated Children in Red Sea Governorate. </w:t>
      </w:r>
      <w:r>
        <w:rPr>
          <w:rFonts w:ascii="Book Antiqua" w:eastAsia="Times New Roman" w:hAnsi="Book Antiqua"/>
          <w:i/>
          <w:iCs/>
        </w:rPr>
        <w:t>Open Access Maced J Med Sci</w:t>
      </w:r>
      <w:r>
        <w:rPr>
          <w:rFonts w:ascii="Book Antiqua" w:eastAsia="Times New Roman" w:hAnsi="Book Antiqua"/>
        </w:rPr>
        <w:t xml:space="preserve"> 2016; </w:t>
      </w:r>
      <w:r>
        <w:rPr>
          <w:rFonts w:ascii="Book Antiqua" w:eastAsia="Times New Roman" w:hAnsi="Book Antiqua"/>
          <w:b/>
          <w:bCs/>
        </w:rPr>
        <w:t>4</w:t>
      </w:r>
      <w:r>
        <w:rPr>
          <w:rFonts w:ascii="Book Antiqua" w:eastAsia="Times New Roman" w:hAnsi="Book Antiqua"/>
        </w:rPr>
        <w:t>: 219-225 [PMID: 27335590 DOI: 10.3889/oamjms.2016.043]</w:t>
      </w:r>
    </w:p>
    <w:p w14:paraId="32ED9E0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71 </w:t>
      </w:r>
      <w:r>
        <w:rPr>
          <w:rFonts w:ascii="Book Antiqua" w:eastAsia="Times New Roman" w:hAnsi="Book Antiqua"/>
          <w:b/>
          <w:bCs/>
        </w:rPr>
        <w:t>Salama II</w:t>
      </w:r>
      <w:r>
        <w:rPr>
          <w:rFonts w:ascii="Book Antiqua" w:eastAsia="Times New Roman" w:hAnsi="Book Antiqua"/>
        </w:rPr>
        <w:t xml:space="preserve">, Sami SM, Said ZN, Salama SI, Rabah TM, Abdel-Latif GA, Elmosalami DM, Saleh RM, Abdel Mohsin AM, Metwally AM, Hassanin AI, Emam HM, Hemida SA, Elserougy SM, Shaaban FA, Fouad WA, Mohsen A, El-Sayed MH. Early and long term anamnestic response to HBV booster dose among fully vaccinated Egyptian children during infancy. </w:t>
      </w:r>
      <w:r>
        <w:rPr>
          <w:rFonts w:ascii="Book Antiqua" w:eastAsia="Times New Roman" w:hAnsi="Book Antiqua"/>
          <w:i/>
          <w:iCs/>
        </w:rPr>
        <w:t>Vaccine</w:t>
      </w:r>
      <w:r>
        <w:rPr>
          <w:rFonts w:ascii="Book Antiqua" w:eastAsia="Times New Roman" w:hAnsi="Book Antiqua"/>
        </w:rPr>
        <w:t xml:space="preserve"> 2018; </w:t>
      </w:r>
      <w:r>
        <w:rPr>
          <w:rFonts w:ascii="Book Antiqua" w:eastAsia="Times New Roman" w:hAnsi="Book Antiqua"/>
          <w:b/>
          <w:bCs/>
        </w:rPr>
        <w:t>36</w:t>
      </w:r>
      <w:r>
        <w:rPr>
          <w:rFonts w:ascii="Book Antiqua" w:eastAsia="Times New Roman" w:hAnsi="Book Antiqua"/>
        </w:rPr>
        <w:t>: 2005-2011 [PMID: 29530634 DOI: 10.1016/j.vaccine.2018.02.103]</w:t>
      </w:r>
    </w:p>
    <w:p w14:paraId="60D3DB6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72 </w:t>
      </w:r>
      <w:r>
        <w:rPr>
          <w:rFonts w:ascii="Book Antiqua" w:eastAsia="Times New Roman" w:hAnsi="Book Antiqua"/>
          <w:b/>
          <w:bCs/>
        </w:rPr>
        <w:t>El-Sayed MH</w:t>
      </w:r>
      <w:r>
        <w:rPr>
          <w:rFonts w:ascii="Book Antiqua" w:eastAsia="Times New Roman" w:hAnsi="Book Antiqua"/>
        </w:rPr>
        <w:t xml:space="preserve">, Said ZNA, Abo-Elmagd EK, Ebeid FSE, Salama II. High Risk of HBV Infection Among Vaccinated Polytransfused Children With Malignancy. </w:t>
      </w:r>
      <w:r>
        <w:rPr>
          <w:rFonts w:ascii="Book Antiqua" w:eastAsia="Times New Roman" w:hAnsi="Book Antiqua"/>
          <w:i/>
          <w:iCs/>
        </w:rPr>
        <w:t>J Pediatr Hematol Oncol</w:t>
      </w:r>
      <w:r>
        <w:rPr>
          <w:rFonts w:ascii="Book Antiqua" w:eastAsia="Times New Roman" w:hAnsi="Book Antiqua"/>
        </w:rPr>
        <w:t xml:space="preserve"> 2021; </w:t>
      </w:r>
      <w:r>
        <w:rPr>
          <w:rFonts w:ascii="Book Antiqua" w:eastAsia="Times New Roman" w:hAnsi="Book Antiqua"/>
          <w:b/>
          <w:bCs/>
        </w:rPr>
        <w:t>43</w:t>
      </w:r>
      <w:r>
        <w:rPr>
          <w:rFonts w:ascii="Book Antiqua" w:eastAsia="Times New Roman" w:hAnsi="Book Antiqua"/>
        </w:rPr>
        <w:t>: e45-e50 [PMID: 32769568 DOI: 10.1097/MPH.0000000000001887]</w:t>
      </w:r>
    </w:p>
    <w:p w14:paraId="3A94604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73 </w:t>
      </w:r>
      <w:r>
        <w:rPr>
          <w:rFonts w:ascii="Book Antiqua" w:eastAsia="Times New Roman" w:hAnsi="Book Antiqua"/>
          <w:b/>
          <w:bCs/>
        </w:rPr>
        <w:t>Said ZN</w:t>
      </w:r>
      <w:r>
        <w:rPr>
          <w:rFonts w:ascii="Book Antiqua" w:eastAsia="Times New Roman" w:hAnsi="Book Antiqua"/>
        </w:rPr>
        <w:t xml:space="preserve">, El-Sayed MH, El-Bishbishi IA, El-Fouhil DF, Abdel-Rheem SE, El-Abedin MZ, Salama II. High prevalence of occult hepatitis B in hepatitis C-infected Egyptian children with haematological disorders and malignancies. </w:t>
      </w:r>
      <w:r>
        <w:rPr>
          <w:rFonts w:ascii="Book Antiqua" w:eastAsia="Times New Roman" w:hAnsi="Book Antiqua"/>
          <w:i/>
          <w:iCs/>
        </w:rPr>
        <w:t>Liver Int</w:t>
      </w:r>
      <w:r>
        <w:rPr>
          <w:rFonts w:ascii="Book Antiqua" w:eastAsia="Times New Roman" w:hAnsi="Book Antiqua"/>
        </w:rPr>
        <w:t xml:space="preserve"> 2009; </w:t>
      </w:r>
      <w:r>
        <w:rPr>
          <w:rFonts w:ascii="Book Antiqua" w:eastAsia="Times New Roman" w:hAnsi="Book Antiqua"/>
          <w:b/>
          <w:bCs/>
        </w:rPr>
        <w:t>29</w:t>
      </w:r>
      <w:r>
        <w:rPr>
          <w:rFonts w:ascii="Book Antiqua" w:eastAsia="Times New Roman" w:hAnsi="Book Antiqua"/>
        </w:rPr>
        <w:t>: 518-524 [PMID: 19192168 DOI: 10.1111/j.1478-3231.2009.01975.x]</w:t>
      </w:r>
    </w:p>
    <w:p w14:paraId="693F1CB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74 </w:t>
      </w:r>
      <w:r>
        <w:rPr>
          <w:rFonts w:ascii="Book Antiqua" w:eastAsia="Times New Roman" w:hAnsi="Book Antiqua"/>
          <w:b/>
          <w:bCs/>
        </w:rPr>
        <w:t>Pol S</w:t>
      </w:r>
      <w:r>
        <w:rPr>
          <w:rFonts w:ascii="Book Antiqua" w:eastAsia="Times New Roman" w:hAnsi="Book Antiqua"/>
        </w:rPr>
        <w:t xml:space="preserve">, Haour G, Fontaine H, Dorival C, Petrov-Sanchez V, Bourliere M, Capeau J, Carrieri P, Larrey D, Larsen C, Marcellin P, Pawlostky JM, Nahon P, Zoulim F, Cacoub P, de Ledinghen V, Mathurin P, Negro F, Pageaux GP, Yazdanpanah Y, Wittkop L, Zarski JP, Carrat F; French Anrs Co22 Hepather Cohort. The negative impact of HBV/HCV coinfection on cirrhosis and its consequences. </w:t>
      </w:r>
      <w:r>
        <w:rPr>
          <w:rFonts w:ascii="Book Antiqua" w:eastAsia="Times New Roman" w:hAnsi="Book Antiqua"/>
          <w:i/>
          <w:iCs/>
        </w:rPr>
        <w:t>Aliment Pharmacol Ther</w:t>
      </w:r>
      <w:r>
        <w:rPr>
          <w:rFonts w:ascii="Book Antiqua" w:eastAsia="Times New Roman" w:hAnsi="Book Antiqua"/>
        </w:rPr>
        <w:t xml:space="preserve"> 2017; </w:t>
      </w:r>
      <w:r>
        <w:rPr>
          <w:rFonts w:ascii="Book Antiqua" w:eastAsia="Times New Roman" w:hAnsi="Book Antiqua"/>
          <w:b/>
          <w:bCs/>
        </w:rPr>
        <w:t>46</w:t>
      </w:r>
      <w:r>
        <w:rPr>
          <w:rFonts w:ascii="Book Antiqua" w:eastAsia="Times New Roman" w:hAnsi="Book Antiqua"/>
        </w:rPr>
        <w:t>: 1054-1060 [PMID: 28994127 DOI: 10.1111/apt.14352]</w:t>
      </w:r>
    </w:p>
    <w:p w14:paraId="353CD7B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75 </w:t>
      </w:r>
      <w:r>
        <w:rPr>
          <w:rFonts w:ascii="Book Antiqua" w:eastAsia="Times New Roman" w:hAnsi="Book Antiqua"/>
          <w:b/>
          <w:bCs/>
        </w:rPr>
        <w:t>Liu CJ</w:t>
      </w:r>
      <w:r>
        <w:rPr>
          <w:rFonts w:ascii="Book Antiqua" w:eastAsia="Times New Roman" w:hAnsi="Book Antiqua"/>
        </w:rPr>
        <w:t xml:space="preserve">, Tseng TC, Yang WT, Su TH, Yang HC, Liu CH, Chen PJ, Chen DS, Kao JH. Profile and value of FIB-4 in patients with dual chronic hepatitis C and B. </w:t>
      </w:r>
      <w:r>
        <w:rPr>
          <w:rFonts w:ascii="Book Antiqua" w:eastAsia="Times New Roman" w:hAnsi="Book Antiqua"/>
          <w:i/>
          <w:iCs/>
        </w:rPr>
        <w:t>J Gastroenterol Hepatol</w:t>
      </w:r>
      <w:r>
        <w:rPr>
          <w:rFonts w:ascii="Book Antiqua" w:eastAsia="Times New Roman" w:hAnsi="Book Antiqua"/>
        </w:rPr>
        <w:t xml:space="preserve"> 2019; </w:t>
      </w:r>
      <w:r>
        <w:rPr>
          <w:rFonts w:ascii="Book Antiqua" w:eastAsia="Times New Roman" w:hAnsi="Book Antiqua"/>
          <w:b/>
          <w:bCs/>
        </w:rPr>
        <w:t>34</w:t>
      </w:r>
      <w:r>
        <w:rPr>
          <w:rFonts w:ascii="Book Antiqua" w:eastAsia="Times New Roman" w:hAnsi="Book Antiqua"/>
        </w:rPr>
        <w:t>: 410-417 [PMID: 30151861 DOI: 10.1111/jgh.14455]</w:t>
      </w:r>
    </w:p>
    <w:p w14:paraId="7A2D704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76 </w:t>
      </w:r>
      <w:r>
        <w:rPr>
          <w:rFonts w:ascii="Book Antiqua" w:eastAsia="Times New Roman" w:hAnsi="Book Antiqua"/>
          <w:b/>
          <w:bCs/>
        </w:rPr>
        <w:t>Sagnelli E</w:t>
      </w:r>
      <w:r>
        <w:rPr>
          <w:rFonts w:ascii="Book Antiqua" w:eastAsia="Times New Roman" w:hAnsi="Book Antiqua"/>
        </w:rPr>
        <w:t xml:space="preserve">, Sagnelli C, Macera M, Pisaturo M, Coppola N. An update on the treatment options for HBV/HCV coinfection. </w:t>
      </w:r>
      <w:r>
        <w:rPr>
          <w:rFonts w:ascii="Book Antiqua" w:eastAsia="Times New Roman" w:hAnsi="Book Antiqua"/>
          <w:i/>
          <w:iCs/>
        </w:rPr>
        <w:t>Expert Opin Pharmacother</w:t>
      </w:r>
      <w:r>
        <w:rPr>
          <w:rFonts w:ascii="Book Antiqua" w:eastAsia="Times New Roman" w:hAnsi="Book Antiqua"/>
        </w:rPr>
        <w:t xml:space="preserve"> 2017; </w:t>
      </w:r>
      <w:r>
        <w:rPr>
          <w:rFonts w:ascii="Book Antiqua" w:eastAsia="Times New Roman" w:hAnsi="Book Antiqua"/>
          <w:b/>
          <w:bCs/>
        </w:rPr>
        <w:t>18</w:t>
      </w:r>
      <w:r>
        <w:rPr>
          <w:rFonts w:ascii="Book Antiqua" w:eastAsia="Times New Roman" w:hAnsi="Book Antiqua"/>
        </w:rPr>
        <w:t>: 1691-1702 [PMID: 29081251 DOI: 10.1080/14656566.2017.1398233]</w:t>
      </w:r>
    </w:p>
    <w:p w14:paraId="3C3884D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77 </w:t>
      </w:r>
      <w:r>
        <w:rPr>
          <w:rFonts w:ascii="Book Antiqua" w:eastAsia="Times New Roman" w:hAnsi="Book Antiqua"/>
          <w:b/>
          <w:bCs/>
        </w:rPr>
        <w:t>Shih YF</w:t>
      </w:r>
      <w:r>
        <w:rPr>
          <w:rFonts w:ascii="Book Antiqua" w:eastAsia="Times New Roman" w:hAnsi="Book Antiqua"/>
        </w:rPr>
        <w:t xml:space="preserve">, Liu CJ. Hepatitis C Virus and Hepatitis B Virus Co-Infection. </w:t>
      </w:r>
      <w:r>
        <w:rPr>
          <w:rFonts w:ascii="Book Antiqua" w:eastAsia="Times New Roman" w:hAnsi="Book Antiqua"/>
          <w:i/>
          <w:iCs/>
        </w:rPr>
        <w:t>Viruses</w:t>
      </w:r>
      <w:r>
        <w:rPr>
          <w:rFonts w:ascii="Book Antiqua" w:eastAsia="Times New Roman" w:hAnsi="Book Antiqua"/>
        </w:rPr>
        <w:t xml:space="preserve"> 2020; </w:t>
      </w:r>
      <w:r>
        <w:rPr>
          <w:rFonts w:ascii="Book Antiqua" w:eastAsia="Times New Roman" w:hAnsi="Book Antiqua"/>
          <w:b/>
          <w:bCs/>
        </w:rPr>
        <w:t>12</w:t>
      </w:r>
      <w:r>
        <w:rPr>
          <w:rFonts w:ascii="Book Antiqua" w:eastAsia="Times New Roman" w:hAnsi="Book Antiqua"/>
        </w:rPr>
        <w:t xml:space="preserve"> [PMID: 32664198 DOI: 10.3390/v12070741]</w:t>
      </w:r>
    </w:p>
    <w:p w14:paraId="5F4C350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78 </w:t>
      </w:r>
      <w:r>
        <w:rPr>
          <w:rFonts w:ascii="Book Antiqua" w:eastAsia="Times New Roman" w:hAnsi="Book Antiqua"/>
          <w:b/>
          <w:bCs/>
        </w:rPr>
        <w:t>Bersoff-Matcha SJ</w:t>
      </w:r>
      <w:r>
        <w:rPr>
          <w:rFonts w:ascii="Book Antiqua" w:eastAsia="Times New Roman" w:hAnsi="Book Antiqua"/>
        </w:rPr>
        <w:t xml:space="preserve">, Cao K, Jason M, Ajao A, Jones SC, Meyer T, Brinker A. Hepatitis B Virus Reactivation Associated With Direct-Acting Antiviral Therapy for Chronic Hepatitis C Virus: A Review of Cases Reported to the U.S. Food and Drug Administration Adverse Event Reporting System. </w:t>
      </w:r>
      <w:r>
        <w:rPr>
          <w:rFonts w:ascii="Book Antiqua" w:eastAsia="Times New Roman" w:hAnsi="Book Antiqua"/>
          <w:i/>
          <w:iCs/>
        </w:rPr>
        <w:t>Ann Intern Med</w:t>
      </w:r>
      <w:r>
        <w:rPr>
          <w:rFonts w:ascii="Book Antiqua" w:eastAsia="Times New Roman" w:hAnsi="Book Antiqua"/>
        </w:rPr>
        <w:t xml:space="preserve"> 2017; </w:t>
      </w:r>
      <w:r>
        <w:rPr>
          <w:rFonts w:ascii="Book Antiqua" w:eastAsia="Times New Roman" w:hAnsi="Book Antiqua"/>
          <w:b/>
          <w:bCs/>
        </w:rPr>
        <w:t>166</w:t>
      </w:r>
      <w:r>
        <w:rPr>
          <w:rFonts w:ascii="Book Antiqua" w:eastAsia="Times New Roman" w:hAnsi="Book Antiqua"/>
        </w:rPr>
        <w:t>: 792-798 [PMID: 28437794 DOI: 10.7326/M17-0377]</w:t>
      </w:r>
    </w:p>
    <w:p w14:paraId="099BCF2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79 </w:t>
      </w:r>
      <w:r>
        <w:rPr>
          <w:rFonts w:ascii="Book Antiqua" w:eastAsia="Times New Roman" w:hAnsi="Book Antiqua"/>
          <w:b/>
          <w:bCs/>
        </w:rPr>
        <w:t>Belperio PS</w:t>
      </w:r>
      <w:r>
        <w:rPr>
          <w:rFonts w:ascii="Book Antiqua" w:eastAsia="Times New Roman" w:hAnsi="Book Antiqua"/>
        </w:rPr>
        <w:t xml:space="preserve">, Shahoumian TA, Mole LA, Backus LI. Evaluation of hepatitis B reactivation among 62,920 veterans treated with oral hepatitis C antivirals. </w:t>
      </w:r>
      <w:r>
        <w:rPr>
          <w:rFonts w:ascii="Book Antiqua" w:eastAsia="Times New Roman" w:hAnsi="Book Antiqua"/>
          <w:i/>
          <w:iCs/>
        </w:rPr>
        <w:t>Hepatology</w:t>
      </w:r>
      <w:r>
        <w:rPr>
          <w:rFonts w:ascii="Book Antiqua" w:eastAsia="Times New Roman" w:hAnsi="Book Antiqua"/>
        </w:rPr>
        <w:t xml:space="preserve"> 2017; </w:t>
      </w:r>
      <w:r>
        <w:rPr>
          <w:rFonts w:ascii="Book Antiqua" w:eastAsia="Times New Roman" w:hAnsi="Book Antiqua"/>
          <w:b/>
          <w:bCs/>
        </w:rPr>
        <w:t>66</w:t>
      </w:r>
      <w:r>
        <w:rPr>
          <w:rFonts w:ascii="Book Antiqua" w:eastAsia="Times New Roman" w:hAnsi="Book Antiqua"/>
        </w:rPr>
        <w:t>: 27-36 [PMID: 28240789 DOI: 10.1002/hep.29135]</w:t>
      </w:r>
    </w:p>
    <w:p w14:paraId="3966AAB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80 </w:t>
      </w:r>
      <w:r>
        <w:rPr>
          <w:rFonts w:ascii="Book Antiqua" w:eastAsia="Times New Roman" w:hAnsi="Book Antiqua"/>
          <w:b/>
          <w:bCs/>
        </w:rPr>
        <w:t>Wang CR</w:t>
      </w:r>
      <w:r>
        <w:rPr>
          <w:rFonts w:ascii="Book Antiqua" w:eastAsia="Times New Roman" w:hAnsi="Book Antiqua"/>
        </w:rPr>
        <w:t xml:space="preserve">, Tsai HW. Human hepatitis viruses-associated cutaneous and systemic vasculitis. </w:t>
      </w:r>
      <w:r>
        <w:rPr>
          <w:rFonts w:ascii="Book Antiqua" w:eastAsia="Times New Roman" w:hAnsi="Book Antiqua"/>
          <w:i/>
          <w:iCs/>
        </w:rPr>
        <w:t>World J Gastroenterol</w:t>
      </w:r>
      <w:r>
        <w:rPr>
          <w:rFonts w:ascii="Book Antiqua" w:eastAsia="Times New Roman" w:hAnsi="Book Antiqua"/>
        </w:rPr>
        <w:t xml:space="preserve"> 2021; </w:t>
      </w:r>
      <w:r>
        <w:rPr>
          <w:rFonts w:ascii="Book Antiqua" w:eastAsia="Times New Roman" w:hAnsi="Book Antiqua"/>
          <w:b/>
          <w:bCs/>
        </w:rPr>
        <w:t>27</w:t>
      </w:r>
      <w:r>
        <w:rPr>
          <w:rFonts w:ascii="Book Antiqua" w:eastAsia="Times New Roman" w:hAnsi="Book Antiqua"/>
        </w:rPr>
        <w:t>: 19-36 [PMID: 33505148 DOI: 10.3748/wjg.v27.i1.19]</w:t>
      </w:r>
    </w:p>
    <w:p w14:paraId="32AFF40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81 </w:t>
      </w:r>
      <w:r>
        <w:rPr>
          <w:rFonts w:ascii="Book Antiqua" w:eastAsia="Times New Roman" w:hAnsi="Book Antiqua"/>
          <w:b/>
          <w:bCs/>
        </w:rPr>
        <w:t>Comarmond C</w:t>
      </w:r>
      <w:r>
        <w:rPr>
          <w:rFonts w:ascii="Book Antiqua" w:eastAsia="Times New Roman" w:hAnsi="Book Antiqua"/>
        </w:rPr>
        <w:t xml:space="preserve">, Cacoub P, Saadoun D. Treatment of chronic hepatitis C-associated cryoglobulinemia vasculitis at the era of direct-acting antivirals. </w:t>
      </w:r>
      <w:r>
        <w:rPr>
          <w:rFonts w:ascii="Book Antiqua" w:eastAsia="Times New Roman" w:hAnsi="Book Antiqua"/>
          <w:i/>
          <w:iCs/>
        </w:rPr>
        <w:t>Therap Adv Gastroenterol</w:t>
      </w:r>
      <w:r>
        <w:rPr>
          <w:rFonts w:ascii="Book Antiqua" w:eastAsia="Times New Roman" w:hAnsi="Book Antiqua"/>
        </w:rPr>
        <w:t xml:space="preserve"> 2020; </w:t>
      </w:r>
      <w:r>
        <w:rPr>
          <w:rFonts w:ascii="Book Antiqua" w:eastAsia="Times New Roman" w:hAnsi="Book Antiqua"/>
          <w:b/>
          <w:bCs/>
        </w:rPr>
        <w:t>13</w:t>
      </w:r>
      <w:r>
        <w:rPr>
          <w:rFonts w:ascii="Book Antiqua" w:eastAsia="Times New Roman" w:hAnsi="Book Antiqua"/>
        </w:rPr>
        <w:t>: 1756284820942617 [PMID: 32782479 DOI: 10.1177/1756284820942617]</w:t>
      </w:r>
    </w:p>
    <w:p w14:paraId="2331068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82 </w:t>
      </w:r>
      <w:r>
        <w:rPr>
          <w:rFonts w:ascii="Book Antiqua" w:eastAsia="Times New Roman" w:hAnsi="Book Antiqua"/>
          <w:b/>
          <w:bCs/>
        </w:rPr>
        <w:t>Charles ED</w:t>
      </w:r>
      <w:r>
        <w:rPr>
          <w:rFonts w:ascii="Book Antiqua" w:eastAsia="Times New Roman" w:hAnsi="Book Antiqua"/>
        </w:rPr>
        <w:t xml:space="preserve">, Dustin LB. Hepatitis C virus-induced cryoglobulinemia. </w:t>
      </w:r>
      <w:r>
        <w:rPr>
          <w:rFonts w:ascii="Book Antiqua" w:eastAsia="Times New Roman" w:hAnsi="Book Antiqua"/>
          <w:i/>
          <w:iCs/>
        </w:rPr>
        <w:t>Kidney Int</w:t>
      </w:r>
      <w:r>
        <w:rPr>
          <w:rFonts w:ascii="Book Antiqua" w:eastAsia="Times New Roman" w:hAnsi="Book Antiqua"/>
        </w:rPr>
        <w:t xml:space="preserve"> 2009; </w:t>
      </w:r>
      <w:r>
        <w:rPr>
          <w:rFonts w:ascii="Book Antiqua" w:eastAsia="Times New Roman" w:hAnsi="Book Antiqua"/>
          <w:b/>
          <w:bCs/>
        </w:rPr>
        <w:t>76</w:t>
      </w:r>
      <w:r>
        <w:rPr>
          <w:rFonts w:ascii="Book Antiqua" w:eastAsia="Times New Roman" w:hAnsi="Book Antiqua"/>
        </w:rPr>
        <w:t>: 818-824 [PMID: 19606079 DOI: 10.1038/ki.2009.247]</w:t>
      </w:r>
    </w:p>
    <w:p w14:paraId="2AD386E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83 </w:t>
      </w:r>
      <w:r>
        <w:rPr>
          <w:rFonts w:ascii="Book Antiqua" w:eastAsia="Times New Roman" w:hAnsi="Book Antiqua"/>
          <w:b/>
          <w:bCs/>
        </w:rPr>
        <w:t>Cacoub P</w:t>
      </w:r>
      <w:r>
        <w:rPr>
          <w:rFonts w:ascii="Book Antiqua" w:eastAsia="Times New Roman" w:hAnsi="Book Antiqua"/>
        </w:rPr>
        <w:t xml:space="preserve">, Comarmond C, Domont F, Savey L, Saadoun D. Cryoglobulinemia Vasculitis. </w:t>
      </w:r>
      <w:r>
        <w:rPr>
          <w:rFonts w:ascii="Book Antiqua" w:eastAsia="Times New Roman" w:hAnsi="Book Antiqua"/>
          <w:i/>
          <w:iCs/>
        </w:rPr>
        <w:t>Am J Med</w:t>
      </w:r>
      <w:r>
        <w:rPr>
          <w:rFonts w:ascii="Book Antiqua" w:eastAsia="Times New Roman" w:hAnsi="Book Antiqua"/>
        </w:rPr>
        <w:t xml:space="preserve"> 2015; </w:t>
      </w:r>
      <w:r>
        <w:rPr>
          <w:rFonts w:ascii="Book Antiqua" w:eastAsia="Times New Roman" w:hAnsi="Book Antiqua"/>
          <w:b/>
          <w:bCs/>
        </w:rPr>
        <w:t>128</w:t>
      </w:r>
      <w:r>
        <w:rPr>
          <w:rFonts w:ascii="Book Antiqua" w:eastAsia="Times New Roman" w:hAnsi="Book Antiqua"/>
        </w:rPr>
        <w:t>: 950-955 [PMID: 25837517 DOI: 10.1016/j.amjmed.2015.02.017]</w:t>
      </w:r>
    </w:p>
    <w:p w14:paraId="0FEA8E4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84 </w:t>
      </w:r>
      <w:r>
        <w:rPr>
          <w:rFonts w:ascii="Book Antiqua" w:eastAsia="Times New Roman" w:hAnsi="Book Antiqua"/>
          <w:b/>
          <w:bCs/>
        </w:rPr>
        <w:t>Mazzaro C</w:t>
      </w:r>
      <w:r>
        <w:rPr>
          <w:rFonts w:ascii="Book Antiqua" w:eastAsia="Times New Roman" w:hAnsi="Book Antiqua"/>
        </w:rPr>
        <w:t xml:space="preserve">, Quartuccio L, Adinolfi LE, Roccatello D, Pozzato G, Nevola R, Tonizzo M, Gitto S, Andreone P, Gattei V. A Review on Extrahepatic Manifestations of Chronic Hepatitis C Virus Infection and the Impact of Direct-Acting Antiviral Therapy. </w:t>
      </w:r>
      <w:r>
        <w:rPr>
          <w:rFonts w:ascii="Book Antiqua" w:eastAsia="Times New Roman" w:hAnsi="Book Antiqua"/>
          <w:i/>
          <w:iCs/>
        </w:rPr>
        <w:t>Viruses</w:t>
      </w:r>
      <w:r>
        <w:rPr>
          <w:rFonts w:ascii="Book Antiqua" w:eastAsia="Times New Roman" w:hAnsi="Book Antiqua"/>
        </w:rPr>
        <w:t xml:space="preserve"> 2021; </w:t>
      </w:r>
      <w:r>
        <w:rPr>
          <w:rFonts w:ascii="Book Antiqua" w:eastAsia="Times New Roman" w:hAnsi="Book Antiqua"/>
          <w:b/>
          <w:bCs/>
        </w:rPr>
        <w:t>13</w:t>
      </w:r>
      <w:r>
        <w:rPr>
          <w:rFonts w:ascii="Book Antiqua" w:eastAsia="Times New Roman" w:hAnsi="Book Antiqua"/>
        </w:rPr>
        <w:t xml:space="preserve"> [PMID: 34835054 DOI: 10.3390/v13112249]</w:t>
      </w:r>
    </w:p>
    <w:p w14:paraId="34601AA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85 </w:t>
      </w:r>
      <w:r>
        <w:rPr>
          <w:rFonts w:ascii="Book Antiqua" w:eastAsia="Times New Roman" w:hAnsi="Book Antiqua"/>
          <w:b/>
          <w:bCs/>
        </w:rPr>
        <w:t>Sollima S</w:t>
      </w:r>
      <w:r>
        <w:rPr>
          <w:rFonts w:ascii="Book Antiqua" w:eastAsia="Times New Roman" w:hAnsi="Book Antiqua"/>
        </w:rPr>
        <w:t xml:space="preserve">, Milazzo L, Peri AM, Torre A, Antinori S, Galli M. Persistent mixed cryoglobulinaemia vasculitis despite hepatitis C virus eradication after interferon-free antiviral therapy. </w:t>
      </w:r>
      <w:r>
        <w:rPr>
          <w:rFonts w:ascii="Book Antiqua" w:eastAsia="Times New Roman" w:hAnsi="Book Antiqua"/>
          <w:i/>
          <w:iCs/>
        </w:rPr>
        <w:t>Rheumatology (Oxford)</w:t>
      </w:r>
      <w:r>
        <w:rPr>
          <w:rFonts w:ascii="Book Antiqua" w:eastAsia="Times New Roman" w:hAnsi="Book Antiqua"/>
        </w:rPr>
        <w:t xml:space="preserve"> 2016; </w:t>
      </w:r>
      <w:r>
        <w:rPr>
          <w:rFonts w:ascii="Book Antiqua" w:eastAsia="Times New Roman" w:hAnsi="Book Antiqua"/>
          <w:b/>
          <w:bCs/>
        </w:rPr>
        <w:t>55</w:t>
      </w:r>
      <w:r>
        <w:rPr>
          <w:rFonts w:ascii="Book Antiqua" w:eastAsia="Times New Roman" w:hAnsi="Book Antiqua"/>
        </w:rPr>
        <w:t>: 2084-2085 [PMID: 27338085 DOI: 10.1093/rheumatology/kew268]</w:t>
      </w:r>
    </w:p>
    <w:p w14:paraId="65EB0D4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86 </w:t>
      </w:r>
      <w:r>
        <w:rPr>
          <w:rFonts w:ascii="Book Antiqua" w:eastAsia="Times New Roman" w:hAnsi="Book Antiqua"/>
          <w:b/>
          <w:bCs/>
        </w:rPr>
        <w:t>Ghosn M</w:t>
      </w:r>
      <w:r>
        <w:rPr>
          <w:rFonts w:ascii="Book Antiqua" w:eastAsia="Times New Roman" w:hAnsi="Book Antiqua"/>
        </w:rPr>
        <w:t>, Palmer MB, Najem CE, Haddad D, Merkel PA, Hogan JJ. New-onset hepatitis C virus-associated glomerulonephritis following sustained virologic response with direct-acting antiviral therapy</w:t>
      </w:r>
      <w:r>
        <w:rPr>
          <w:rFonts w:eastAsia="Times New Roman"/>
        </w:rPr>
        <w:t> </w:t>
      </w:r>
      <w:r>
        <w:rPr>
          <w:rFonts w:ascii="Book Antiqua" w:eastAsia="Times New Roman" w:hAnsi="Book Antiqua"/>
        </w:rPr>
        <w:t xml:space="preserve">. </w:t>
      </w:r>
      <w:r>
        <w:rPr>
          <w:rFonts w:ascii="Book Antiqua" w:eastAsia="Times New Roman" w:hAnsi="Book Antiqua"/>
          <w:i/>
          <w:iCs/>
        </w:rPr>
        <w:t>Clin Nephrol</w:t>
      </w:r>
      <w:r>
        <w:rPr>
          <w:rFonts w:ascii="Book Antiqua" w:eastAsia="Times New Roman" w:hAnsi="Book Antiqua"/>
        </w:rPr>
        <w:t xml:space="preserve"> 2017; </w:t>
      </w:r>
      <w:r>
        <w:rPr>
          <w:rFonts w:ascii="Book Antiqua" w:eastAsia="Times New Roman" w:hAnsi="Book Antiqua"/>
          <w:b/>
          <w:bCs/>
        </w:rPr>
        <w:t>87 (2017)</w:t>
      </w:r>
      <w:r>
        <w:rPr>
          <w:rFonts w:ascii="Book Antiqua" w:eastAsia="Times New Roman" w:hAnsi="Book Antiqua"/>
        </w:rPr>
        <w:t>: 261-266 [PMID: 28332476 DOI: 10.5414/CN109019]</w:t>
      </w:r>
    </w:p>
    <w:p w14:paraId="05690E6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87 </w:t>
      </w:r>
      <w:r>
        <w:rPr>
          <w:rFonts w:ascii="Book Antiqua" w:eastAsia="Times New Roman" w:hAnsi="Book Antiqua"/>
          <w:b/>
          <w:bCs/>
        </w:rPr>
        <w:t>Lauletta G</w:t>
      </w:r>
      <w:r>
        <w:rPr>
          <w:rFonts w:ascii="Book Antiqua" w:eastAsia="Times New Roman" w:hAnsi="Book Antiqua"/>
        </w:rPr>
        <w:t xml:space="preserve">, Russi S, Pavone F, Vacca A, Dammacco F. Direct-acting antiviral agents in the therapy of hepatitis C virus-related mixed cryoglobulinaemia: a single-centre experience. </w:t>
      </w:r>
      <w:r>
        <w:rPr>
          <w:rFonts w:ascii="Book Antiqua" w:eastAsia="Times New Roman" w:hAnsi="Book Antiqua"/>
          <w:i/>
          <w:iCs/>
        </w:rPr>
        <w:t>Arthritis Res Ther</w:t>
      </w:r>
      <w:r>
        <w:rPr>
          <w:rFonts w:ascii="Book Antiqua" w:eastAsia="Times New Roman" w:hAnsi="Book Antiqua"/>
        </w:rPr>
        <w:t xml:space="preserve"> 2017; </w:t>
      </w:r>
      <w:r>
        <w:rPr>
          <w:rFonts w:ascii="Book Antiqua" w:eastAsia="Times New Roman" w:hAnsi="Book Antiqua"/>
          <w:b/>
          <w:bCs/>
        </w:rPr>
        <w:t>19</w:t>
      </w:r>
      <w:r>
        <w:rPr>
          <w:rFonts w:ascii="Book Antiqua" w:eastAsia="Times New Roman" w:hAnsi="Book Antiqua"/>
        </w:rPr>
        <w:t>: 74 [PMID: 28388935 DOI: 10.1186/s13075-017-1280-6]</w:t>
      </w:r>
    </w:p>
    <w:p w14:paraId="2A5A1BF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88 </w:t>
      </w:r>
      <w:r>
        <w:rPr>
          <w:rFonts w:ascii="Book Antiqua" w:eastAsia="Times New Roman" w:hAnsi="Book Antiqua"/>
          <w:b/>
          <w:bCs/>
        </w:rPr>
        <w:t>Artemova M</w:t>
      </w:r>
      <w:r>
        <w:rPr>
          <w:rFonts w:ascii="Book Antiqua" w:eastAsia="Times New Roman" w:hAnsi="Book Antiqua"/>
        </w:rPr>
        <w:t xml:space="preserve">, Abdurakhmanov D, Ignatova T, Mukhin N. Persistent hepatitis C virus-associated cryoglobulinemic vasculitis following virus eradication after direct-acting antiviral therapy. </w:t>
      </w:r>
      <w:r>
        <w:rPr>
          <w:rFonts w:ascii="Book Antiqua" w:eastAsia="Times New Roman" w:hAnsi="Book Antiqua"/>
          <w:i/>
          <w:iCs/>
        </w:rPr>
        <w:t>Hepatology</w:t>
      </w:r>
      <w:r>
        <w:rPr>
          <w:rFonts w:ascii="Book Antiqua" w:eastAsia="Times New Roman" w:hAnsi="Book Antiqua"/>
        </w:rPr>
        <w:t xml:space="preserve"> 2017; </w:t>
      </w:r>
      <w:r>
        <w:rPr>
          <w:rFonts w:ascii="Book Antiqua" w:eastAsia="Times New Roman" w:hAnsi="Book Antiqua"/>
          <w:b/>
          <w:bCs/>
        </w:rPr>
        <w:t>65</w:t>
      </w:r>
      <w:r>
        <w:rPr>
          <w:rFonts w:ascii="Book Antiqua" w:eastAsia="Times New Roman" w:hAnsi="Book Antiqua"/>
        </w:rPr>
        <w:t>: 1770-1771 [PMID: 27943361 DOI: 10.1002/hep.28981]</w:t>
      </w:r>
    </w:p>
    <w:p w14:paraId="5DEFECC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89 </w:t>
      </w:r>
      <w:r>
        <w:rPr>
          <w:rFonts w:ascii="Book Antiqua" w:eastAsia="Times New Roman" w:hAnsi="Book Antiqua"/>
          <w:b/>
          <w:bCs/>
        </w:rPr>
        <w:t>Saadoun D</w:t>
      </w:r>
      <w:r>
        <w:rPr>
          <w:rFonts w:ascii="Book Antiqua" w:eastAsia="Times New Roman" w:hAnsi="Book Antiqua"/>
        </w:rPr>
        <w:t xml:space="preserve">, Pol S, Ferfar Y, Alric L, Hezode C, Si Ahmed SN, de Saint Martin L, Comarmond C, Bouyer AS, Musset L, Poynard T, Resche Rigon M, Cacoub P. Efficacy and Safety of Sofosbuvir Plus Daclatasvir for Treatment of HCV-Associated Cryoglobulinemia Vasculitis. </w:t>
      </w:r>
      <w:r>
        <w:rPr>
          <w:rFonts w:ascii="Book Antiqua" w:eastAsia="Times New Roman" w:hAnsi="Book Antiqua"/>
          <w:i/>
          <w:iCs/>
        </w:rPr>
        <w:t>Gastroenterology</w:t>
      </w:r>
      <w:r>
        <w:rPr>
          <w:rFonts w:ascii="Book Antiqua" w:eastAsia="Times New Roman" w:hAnsi="Book Antiqua"/>
        </w:rPr>
        <w:t xml:space="preserve"> 2017; </w:t>
      </w:r>
      <w:r>
        <w:rPr>
          <w:rFonts w:ascii="Book Antiqua" w:eastAsia="Times New Roman" w:hAnsi="Book Antiqua"/>
          <w:b/>
          <w:bCs/>
        </w:rPr>
        <w:t>153</w:t>
      </w:r>
      <w:r>
        <w:rPr>
          <w:rFonts w:ascii="Book Antiqua" w:eastAsia="Times New Roman" w:hAnsi="Book Antiqua"/>
        </w:rPr>
        <w:t>: 49-52.e5 [PMID: 28288791 DOI: 10.1053/j.gastro.2017.03.006]</w:t>
      </w:r>
    </w:p>
    <w:p w14:paraId="585B9FE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90 </w:t>
      </w:r>
      <w:r>
        <w:rPr>
          <w:rFonts w:ascii="Book Antiqua" w:eastAsia="Times New Roman" w:hAnsi="Book Antiqua"/>
          <w:b/>
          <w:bCs/>
        </w:rPr>
        <w:t>Del Padre M</w:t>
      </w:r>
      <w:r>
        <w:rPr>
          <w:rFonts w:ascii="Book Antiqua" w:eastAsia="Times New Roman" w:hAnsi="Book Antiqua"/>
        </w:rPr>
        <w:t>, Todi L, Mitrevski M, Marrapodi R, Colantuono S, Fiorilli M, Casato M, Visentini M. Reversion of anergy signatures in clonal CD21</w:t>
      </w:r>
      <w:r>
        <w:rPr>
          <w:rFonts w:ascii="Book Antiqua" w:eastAsia="Times New Roman" w:hAnsi="Book Antiqua"/>
          <w:vertAlign w:val="superscript"/>
        </w:rPr>
        <w:t>low</w:t>
      </w:r>
      <w:r>
        <w:rPr>
          <w:rFonts w:ascii="Book Antiqua" w:eastAsia="Times New Roman" w:hAnsi="Book Antiqua"/>
        </w:rPr>
        <w:t xml:space="preserve"> B cells of mixed cryoglobulinemia after clearance of HCV viremia. </w:t>
      </w:r>
      <w:r>
        <w:rPr>
          <w:rFonts w:ascii="Book Antiqua" w:eastAsia="Times New Roman" w:hAnsi="Book Antiqua"/>
          <w:i/>
          <w:iCs/>
        </w:rPr>
        <w:t>Blood</w:t>
      </w:r>
      <w:r>
        <w:rPr>
          <w:rFonts w:ascii="Book Antiqua" w:eastAsia="Times New Roman" w:hAnsi="Book Antiqua"/>
        </w:rPr>
        <w:t xml:space="preserve"> 2017; </w:t>
      </w:r>
      <w:r>
        <w:rPr>
          <w:rFonts w:ascii="Book Antiqua" w:eastAsia="Times New Roman" w:hAnsi="Book Antiqua"/>
          <w:b/>
          <w:bCs/>
        </w:rPr>
        <w:t>130</w:t>
      </w:r>
      <w:r>
        <w:rPr>
          <w:rFonts w:ascii="Book Antiqua" w:eastAsia="Times New Roman" w:hAnsi="Book Antiqua"/>
        </w:rPr>
        <w:t>: 35-38 [PMID: 28507081 DOI: 10.1182/blood-2017-03-771238]</w:t>
      </w:r>
    </w:p>
    <w:p w14:paraId="4E1151C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91 </w:t>
      </w:r>
      <w:r>
        <w:rPr>
          <w:rFonts w:ascii="Book Antiqua" w:eastAsia="Times New Roman" w:hAnsi="Book Antiqua"/>
          <w:b/>
          <w:bCs/>
        </w:rPr>
        <w:t>Sikorska-Wiśniewska M</w:t>
      </w:r>
      <w:r>
        <w:rPr>
          <w:rFonts w:ascii="Book Antiqua" w:eastAsia="Times New Roman" w:hAnsi="Book Antiqua"/>
        </w:rPr>
        <w:t xml:space="preserve">, Sikorska K, Wróblewska A, Liberek T, Perkowska-Ptasińska A, Dębska-Ślizień A. Recurrence of Cryoglobulinemia Secondary to Hepatitis C in a Patient with HCV RNA (-) Negative in the Serum. </w:t>
      </w:r>
      <w:r>
        <w:rPr>
          <w:rFonts w:ascii="Book Antiqua" w:eastAsia="Times New Roman" w:hAnsi="Book Antiqua"/>
          <w:i/>
          <w:iCs/>
        </w:rPr>
        <w:t>Case Rep Nephrol Dial</w:t>
      </w:r>
      <w:r>
        <w:rPr>
          <w:rFonts w:ascii="Book Antiqua" w:eastAsia="Times New Roman" w:hAnsi="Book Antiqua"/>
        </w:rPr>
        <w:t xml:space="preserve"> 2021; </w:t>
      </w:r>
      <w:r>
        <w:rPr>
          <w:rFonts w:ascii="Book Antiqua" w:eastAsia="Times New Roman" w:hAnsi="Book Antiqua"/>
          <w:b/>
          <w:bCs/>
        </w:rPr>
        <w:t>11</w:t>
      </w:r>
      <w:r>
        <w:rPr>
          <w:rFonts w:ascii="Book Antiqua" w:eastAsia="Times New Roman" w:hAnsi="Book Antiqua"/>
        </w:rPr>
        <w:t>: 110-115 [PMID: 34250027 DOI: 10.1159/000515587]</w:t>
      </w:r>
    </w:p>
    <w:p w14:paraId="097C283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92 </w:t>
      </w:r>
      <w:r>
        <w:rPr>
          <w:rFonts w:ascii="Book Antiqua" w:eastAsia="Times New Roman" w:hAnsi="Book Antiqua"/>
          <w:b/>
          <w:bCs/>
        </w:rPr>
        <w:t>Abdelhamid WAR</w:t>
      </w:r>
      <w:r>
        <w:rPr>
          <w:rFonts w:ascii="Book Antiqua" w:eastAsia="Times New Roman" w:hAnsi="Book Antiqua"/>
        </w:rPr>
        <w:t xml:space="preserve">, Shendi A, Zahran M, Elbary EA, Fadda S. Hepatitis C-related membranoproliferative glomerulonephritis in the era of direct antiviral agents. </w:t>
      </w:r>
      <w:r>
        <w:rPr>
          <w:rFonts w:ascii="Book Antiqua" w:eastAsia="Times New Roman" w:hAnsi="Book Antiqua"/>
          <w:i/>
          <w:iCs/>
        </w:rPr>
        <w:t>J Bras Nefrol</w:t>
      </w:r>
      <w:r>
        <w:rPr>
          <w:rFonts w:ascii="Book Antiqua" w:eastAsia="Times New Roman" w:hAnsi="Book Antiqua"/>
        </w:rPr>
        <w:t xml:space="preserve"> 2021 [PMID: 33605311 DOI: 10.1590/2175-8239-JBN-2020-0148]</w:t>
      </w:r>
    </w:p>
    <w:p w14:paraId="7B1FEB1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93 </w:t>
      </w:r>
      <w:r>
        <w:rPr>
          <w:rFonts w:ascii="Book Antiqua" w:eastAsia="Times New Roman" w:hAnsi="Book Antiqua"/>
          <w:b/>
          <w:bCs/>
        </w:rPr>
        <w:t>Zignego AL</w:t>
      </w:r>
      <w:r>
        <w:rPr>
          <w:rFonts w:ascii="Book Antiqua" w:eastAsia="Times New Roman" w:hAnsi="Book Antiqua"/>
        </w:rPr>
        <w:t xml:space="preserve">, Pawlotsky JM, Bondin M, Cacoub P. Expert opinion on managing chronic HCV in patients with mixed cryoglobulinaemia vasculitis. </w:t>
      </w:r>
      <w:r>
        <w:rPr>
          <w:rFonts w:ascii="Book Antiqua" w:eastAsia="Times New Roman" w:hAnsi="Book Antiqua"/>
          <w:i/>
          <w:iCs/>
        </w:rPr>
        <w:t>Antivir Ther</w:t>
      </w:r>
      <w:r>
        <w:rPr>
          <w:rFonts w:ascii="Book Antiqua" w:eastAsia="Times New Roman" w:hAnsi="Book Antiqua"/>
        </w:rPr>
        <w:t xml:space="preserve"> 2018; </w:t>
      </w:r>
      <w:r>
        <w:rPr>
          <w:rFonts w:ascii="Book Antiqua" w:eastAsia="Times New Roman" w:hAnsi="Book Antiqua"/>
          <w:b/>
          <w:bCs/>
        </w:rPr>
        <w:t>23</w:t>
      </w:r>
      <w:r>
        <w:rPr>
          <w:rFonts w:ascii="Book Antiqua" w:eastAsia="Times New Roman" w:hAnsi="Book Antiqua"/>
        </w:rPr>
        <w:t>: 1-9 [PMID: 30451151 DOI: 10.3851/IMP3246]</w:t>
      </w:r>
    </w:p>
    <w:p w14:paraId="128BEAF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94 </w:t>
      </w:r>
      <w:r>
        <w:rPr>
          <w:rFonts w:ascii="Book Antiqua" w:eastAsia="Times New Roman" w:hAnsi="Book Antiqua"/>
          <w:b/>
          <w:bCs/>
        </w:rPr>
        <w:t>Chen YC</w:t>
      </w:r>
      <w:r>
        <w:rPr>
          <w:rFonts w:ascii="Book Antiqua" w:eastAsia="Times New Roman" w:hAnsi="Book Antiqua"/>
        </w:rPr>
        <w:t xml:space="preserve">, Ko PH, Lee CC, Tseng CW, Tseng KC. Baseline thrombopoietin level is associated with platelet count improvement in thrombocytopenic chronic hepatitis C patients after successful direct-acting antiviral agent therapy. </w:t>
      </w:r>
      <w:r>
        <w:rPr>
          <w:rFonts w:ascii="Book Antiqua" w:eastAsia="Times New Roman" w:hAnsi="Book Antiqua"/>
          <w:i/>
          <w:iCs/>
        </w:rPr>
        <w:t>BMC Gastroenterol</w:t>
      </w:r>
      <w:r>
        <w:rPr>
          <w:rFonts w:ascii="Book Antiqua" w:eastAsia="Times New Roman" w:hAnsi="Book Antiqua"/>
        </w:rPr>
        <w:t xml:space="preserve"> 2021; </w:t>
      </w:r>
      <w:r>
        <w:rPr>
          <w:rFonts w:ascii="Book Antiqua" w:eastAsia="Times New Roman" w:hAnsi="Book Antiqua"/>
          <w:b/>
          <w:bCs/>
        </w:rPr>
        <w:t>21</w:t>
      </w:r>
      <w:r>
        <w:rPr>
          <w:rFonts w:ascii="Book Antiqua" w:eastAsia="Times New Roman" w:hAnsi="Book Antiqua"/>
        </w:rPr>
        <w:t>: 30 [PMID: 33478399 DOI: 10.1186/s12876-021-01606-x]</w:t>
      </w:r>
    </w:p>
    <w:p w14:paraId="1CC2C6F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95 </w:t>
      </w:r>
      <w:r>
        <w:rPr>
          <w:rFonts w:ascii="Book Antiqua" w:eastAsia="Times New Roman" w:hAnsi="Book Antiqua"/>
          <w:b/>
          <w:bCs/>
        </w:rPr>
        <w:t>Saif-Al-Islam M</w:t>
      </w:r>
      <w:r>
        <w:rPr>
          <w:rFonts w:ascii="Book Antiqua" w:eastAsia="Times New Roman" w:hAnsi="Book Antiqua"/>
        </w:rPr>
        <w:t xml:space="preserve">, Abdelaal UM, Younis MA, Alghany Algahlan HA, Khalaf S. Effect of Direct-Acting Antiviral Therapy on Thrombocytopenic Patients with Hepatitis C Virus-Related Chronic Liver Disease. </w:t>
      </w:r>
      <w:r>
        <w:rPr>
          <w:rFonts w:ascii="Book Antiqua" w:eastAsia="Times New Roman" w:hAnsi="Book Antiqua"/>
          <w:i/>
          <w:iCs/>
        </w:rPr>
        <w:t>Gastroenterol Res Pract</w:t>
      </w:r>
      <w:r>
        <w:rPr>
          <w:rFonts w:ascii="Book Antiqua" w:eastAsia="Times New Roman" w:hAnsi="Book Antiqua"/>
        </w:rPr>
        <w:t xml:space="preserve"> 2021; </w:t>
      </w:r>
      <w:r>
        <w:rPr>
          <w:rFonts w:ascii="Book Antiqua" w:eastAsia="Times New Roman" w:hAnsi="Book Antiqua"/>
          <w:b/>
          <w:bCs/>
        </w:rPr>
        <w:t>2021</w:t>
      </w:r>
      <w:r>
        <w:rPr>
          <w:rFonts w:ascii="Book Antiqua" w:eastAsia="Times New Roman" w:hAnsi="Book Antiqua"/>
        </w:rPr>
        <w:t>: 8811203 [PMID: 34122539 DOI: 10.1155/2021/8811203]</w:t>
      </w:r>
    </w:p>
    <w:p w14:paraId="7757265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96 </w:t>
      </w:r>
      <w:r>
        <w:rPr>
          <w:rFonts w:ascii="Book Antiqua" w:eastAsia="Times New Roman" w:hAnsi="Book Antiqua"/>
          <w:b/>
          <w:bCs/>
        </w:rPr>
        <w:t>Dahal S</w:t>
      </w:r>
      <w:r>
        <w:rPr>
          <w:rFonts w:ascii="Book Antiqua" w:eastAsia="Times New Roman" w:hAnsi="Book Antiqua"/>
        </w:rPr>
        <w:t xml:space="preserve">, Upadhyay S, Banjade R, Dhakal P, Khanal N, Bhatt VR. Thrombocytopenia in Patients with Chronic Hepatitis C Virus Infection. </w:t>
      </w:r>
      <w:r>
        <w:rPr>
          <w:rFonts w:ascii="Book Antiqua" w:eastAsia="Times New Roman" w:hAnsi="Book Antiqua"/>
          <w:i/>
          <w:iCs/>
        </w:rPr>
        <w:t>Mediterr J Hematol Infect Dis</w:t>
      </w:r>
      <w:r>
        <w:rPr>
          <w:rFonts w:ascii="Book Antiqua" w:eastAsia="Times New Roman" w:hAnsi="Book Antiqua"/>
        </w:rPr>
        <w:t xml:space="preserve"> 2017; </w:t>
      </w:r>
      <w:r>
        <w:rPr>
          <w:rFonts w:ascii="Book Antiqua" w:eastAsia="Times New Roman" w:hAnsi="Book Antiqua"/>
          <w:b/>
          <w:bCs/>
        </w:rPr>
        <w:t>9</w:t>
      </w:r>
      <w:r>
        <w:rPr>
          <w:rFonts w:ascii="Book Antiqua" w:eastAsia="Times New Roman" w:hAnsi="Book Antiqua"/>
        </w:rPr>
        <w:t>: e2017019 [PMID: 28293407 DOI: 10.4084/MJHID.2017.019]</w:t>
      </w:r>
    </w:p>
    <w:p w14:paraId="65672ED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97 </w:t>
      </w:r>
      <w:r>
        <w:rPr>
          <w:rFonts w:ascii="Book Antiqua" w:eastAsia="Times New Roman" w:hAnsi="Book Antiqua"/>
          <w:b/>
          <w:bCs/>
        </w:rPr>
        <w:t>Chen YC</w:t>
      </w:r>
      <w:r>
        <w:rPr>
          <w:rFonts w:ascii="Book Antiqua" w:eastAsia="Times New Roman" w:hAnsi="Book Antiqua"/>
        </w:rPr>
        <w:t xml:space="preserve">, Tseng CW, Tseng KC. Rapid platelet count improvement in chronic hepatitis C patients with thrombocytopenia receiving direct-acting antiviral agents. </w:t>
      </w:r>
      <w:r>
        <w:rPr>
          <w:rFonts w:ascii="Book Antiqua" w:eastAsia="Times New Roman" w:hAnsi="Book Antiqua"/>
          <w:i/>
          <w:iCs/>
        </w:rPr>
        <w:t>Medicine (Baltimore)</w:t>
      </w:r>
      <w:r>
        <w:rPr>
          <w:rFonts w:ascii="Book Antiqua" w:eastAsia="Times New Roman" w:hAnsi="Book Antiqua"/>
        </w:rPr>
        <w:t xml:space="preserve"> 2020; </w:t>
      </w:r>
      <w:r>
        <w:rPr>
          <w:rFonts w:ascii="Book Antiqua" w:eastAsia="Times New Roman" w:hAnsi="Book Antiqua"/>
          <w:b/>
          <w:bCs/>
        </w:rPr>
        <w:t>99</w:t>
      </w:r>
      <w:r>
        <w:rPr>
          <w:rFonts w:ascii="Book Antiqua" w:eastAsia="Times New Roman" w:hAnsi="Book Antiqua"/>
        </w:rPr>
        <w:t>: e20156 [PMID: 32384505 DOI: 10.1097/MD.0000000000020156]</w:t>
      </w:r>
    </w:p>
    <w:p w14:paraId="427E1BA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98 </w:t>
      </w:r>
      <w:r>
        <w:rPr>
          <w:rFonts w:ascii="Book Antiqua" w:eastAsia="Times New Roman" w:hAnsi="Book Antiqua"/>
          <w:b/>
          <w:bCs/>
        </w:rPr>
        <w:t>Hermos JA</w:t>
      </w:r>
      <w:r>
        <w:rPr>
          <w:rFonts w:ascii="Book Antiqua" w:eastAsia="Times New Roman" w:hAnsi="Book Antiqua"/>
        </w:rPr>
        <w:t xml:space="preserve">, Quach L, Gagnon DR, Weber HC, Altincatal A, Cho K, Lawler EV, Grotzinger KM. Incident severe thrombocytopenia in veterans treated with pegylated interferon plus ribavirin for chronic hepatitis C infection. </w:t>
      </w:r>
      <w:r>
        <w:rPr>
          <w:rFonts w:ascii="Book Antiqua" w:eastAsia="Times New Roman" w:hAnsi="Book Antiqua"/>
          <w:i/>
          <w:iCs/>
        </w:rPr>
        <w:t>Pharmacoepidemiol Drug Saf</w:t>
      </w:r>
      <w:r>
        <w:rPr>
          <w:rFonts w:ascii="Book Antiqua" w:eastAsia="Times New Roman" w:hAnsi="Book Antiqua"/>
        </w:rPr>
        <w:t xml:space="preserve"> 2014; </w:t>
      </w:r>
      <w:r>
        <w:rPr>
          <w:rFonts w:ascii="Book Antiqua" w:eastAsia="Times New Roman" w:hAnsi="Book Antiqua"/>
          <w:b/>
          <w:bCs/>
        </w:rPr>
        <w:t>23</w:t>
      </w:r>
      <w:r>
        <w:rPr>
          <w:rFonts w:ascii="Book Antiqua" w:eastAsia="Times New Roman" w:hAnsi="Book Antiqua"/>
        </w:rPr>
        <w:t>: 480-488 [PMID: 24677630 DOI: 10.1002/pds.3585]</w:t>
      </w:r>
    </w:p>
    <w:p w14:paraId="7AF8563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99 </w:t>
      </w:r>
      <w:r>
        <w:rPr>
          <w:rFonts w:ascii="Book Antiqua" w:eastAsia="Times New Roman" w:hAnsi="Book Antiqua"/>
          <w:b/>
          <w:bCs/>
        </w:rPr>
        <w:t>Peck-Radosavljevic M</w:t>
      </w:r>
      <w:r>
        <w:rPr>
          <w:rFonts w:ascii="Book Antiqua" w:eastAsia="Times New Roman" w:hAnsi="Book Antiqua"/>
        </w:rPr>
        <w:t xml:space="preserve">. Thrombocytopenia in chronic liver disease. </w:t>
      </w:r>
      <w:r>
        <w:rPr>
          <w:rFonts w:ascii="Book Antiqua" w:eastAsia="Times New Roman" w:hAnsi="Book Antiqua"/>
          <w:i/>
          <w:iCs/>
        </w:rPr>
        <w:t>Liver Int</w:t>
      </w:r>
      <w:r>
        <w:rPr>
          <w:rFonts w:ascii="Book Antiqua" w:eastAsia="Times New Roman" w:hAnsi="Book Antiqua"/>
        </w:rPr>
        <w:t xml:space="preserve"> 2017; </w:t>
      </w:r>
      <w:r>
        <w:rPr>
          <w:rFonts w:ascii="Book Antiqua" w:eastAsia="Times New Roman" w:hAnsi="Book Antiqua"/>
          <w:b/>
          <w:bCs/>
        </w:rPr>
        <w:t>37</w:t>
      </w:r>
      <w:r>
        <w:rPr>
          <w:rFonts w:ascii="Book Antiqua" w:eastAsia="Times New Roman" w:hAnsi="Book Antiqua"/>
        </w:rPr>
        <w:t>: 778-793 [PMID: 27860293 DOI: 10.1111/liv.13317]</w:t>
      </w:r>
    </w:p>
    <w:p w14:paraId="2410A02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100 </w:t>
      </w:r>
      <w:r>
        <w:rPr>
          <w:rFonts w:ascii="Book Antiqua" w:eastAsia="Times New Roman" w:hAnsi="Book Antiqua"/>
          <w:b/>
          <w:bCs/>
        </w:rPr>
        <w:t>Soliman Z</w:t>
      </w:r>
      <w:r>
        <w:rPr>
          <w:rFonts w:ascii="Book Antiqua" w:eastAsia="Times New Roman" w:hAnsi="Book Antiqua"/>
        </w:rPr>
        <w:t xml:space="preserve">, El Kassas M, Elsharkawy A, Elbadry M, Hamada Y, ElHusseiny R, M El-Nahaas S, Fouad R, Esmat G, Abdel Alem S. Improvement of platelet in thrombocytopenic HCV patients after treatment with direct-acting antiviral agents and its relation to outcome. </w:t>
      </w:r>
      <w:r>
        <w:rPr>
          <w:rFonts w:ascii="Book Antiqua" w:eastAsia="Times New Roman" w:hAnsi="Book Antiqua"/>
          <w:i/>
          <w:iCs/>
        </w:rPr>
        <w:t>Platelets</w:t>
      </w:r>
      <w:r>
        <w:rPr>
          <w:rFonts w:ascii="Book Antiqua" w:eastAsia="Times New Roman" w:hAnsi="Book Antiqua"/>
        </w:rPr>
        <w:t xml:space="preserve"> 2021; </w:t>
      </w:r>
      <w:r>
        <w:rPr>
          <w:rFonts w:ascii="Book Antiqua" w:eastAsia="Times New Roman" w:hAnsi="Book Antiqua"/>
          <w:b/>
          <w:bCs/>
        </w:rPr>
        <w:t>32</w:t>
      </w:r>
      <w:r>
        <w:rPr>
          <w:rFonts w:ascii="Book Antiqua" w:eastAsia="Times New Roman" w:hAnsi="Book Antiqua"/>
        </w:rPr>
        <w:t>: 383-390 [PMID: 32250721 DOI: 10.1080/09537104.2020.1742313]</w:t>
      </w:r>
    </w:p>
    <w:p w14:paraId="2CDCAAB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101 </w:t>
      </w:r>
      <w:r>
        <w:rPr>
          <w:rFonts w:ascii="Book Antiqua" w:eastAsia="Times New Roman" w:hAnsi="Book Antiqua"/>
          <w:b/>
          <w:bCs/>
        </w:rPr>
        <w:t>Henson JB</w:t>
      </w:r>
      <w:r>
        <w:rPr>
          <w:rFonts w:ascii="Book Antiqua" w:eastAsia="Times New Roman" w:hAnsi="Book Antiqua"/>
        </w:rPr>
        <w:t xml:space="preserve">, Sise ME. The association of hepatitis C infection with the onset of CKD and progression into ESRD. </w:t>
      </w:r>
      <w:r>
        <w:rPr>
          <w:rFonts w:ascii="Book Antiqua" w:eastAsia="Times New Roman" w:hAnsi="Book Antiqua"/>
          <w:i/>
          <w:iCs/>
        </w:rPr>
        <w:t>Semin Dial</w:t>
      </w:r>
      <w:r>
        <w:rPr>
          <w:rFonts w:ascii="Book Antiqua" w:eastAsia="Times New Roman" w:hAnsi="Book Antiqua"/>
        </w:rPr>
        <w:t xml:space="preserve"> 2019; </w:t>
      </w:r>
      <w:r>
        <w:rPr>
          <w:rFonts w:ascii="Book Antiqua" w:eastAsia="Times New Roman" w:hAnsi="Book Antiqua"/>
          <w:b/>
          <w:bCs/>
        </w:rPr>
        <w:t>32</w:t>
      </w:r>
      <w:r>
        <w:rPr>
          <w:rFonts w:ascii="Book Antiqua" w:eastAsia="Times New Roman" w:hAnsi="Book Antiqua"/>
        </w:rPr>
        <w:t>: 108-118 [PMID: 30496620 DOI: 10.1111/sdi.12759]</w:t>
      </w:r>
    </w:p>
    <w:p w14:paraId="288F2C2B"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102 </w:t>
      </w:r>
      <w:r>
        <w:rPr>
          <w:rFonts w:ascii="Book Antiqua" w:eastAsia="Times New Roman" w:hAnsi="Book Antiqua"/>
          <w:b/>
          <w:bCs/>
        </w:rPr>
        <w:t>Guo S,</w:t>
      </w:r>
      <w:r>
        <w:rPr>
          <w:rFonts w:ascii="Book Antiqua" w:eastAsia="Times New Roman" w:hAnsi="Book Antiqua"/>
        </w:rPr>
        <w:t xml:space="preserve"> Kapp ME, Beltran DM, Cardona CY, Caster DJ, Reichel RR,</w:t>
      </w:r>
      <w:r>
        <w:rPr>
          <w:rFonts w:ascii="Book Antiqua" w:eastAsia="Times New Roman" w:hAnsi="Book Antiqua"/>
          <w:i/>
        </w:rPr>
        <w:t xml:space="preserve"> et al</w:t>
      </w:r>
      <w:r>
        <w:rPr>
          <w:rFonts w:ascii="Book Antiqua" w:eastAsia="Times New Roman" w:hAnsi="Book Antiqua"/>
        </w:rPr>
        <w:t xml:space="preserve">. Spectrum of Kidney Diseases in Patients With Hepatitis C Virus Infection. A 10-Year Study. </w:t>
      </w:r>
      <w:r>
        <w:rPr>
          <w:rFonts w:ascii="Book Antiqua" w:eastAsia="Times New Roman" w:hAnsi="Book Antiqua"/>
          <w:i/>
        </w:rPr>
        <w:t>Am J Clin Pathol</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bCs/>
        </w:rPr>
        <w:t>156</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399-408</w:t>
      </w:r>
      <w:r>
        <w:rPr>
          <w:rFonts w:ascii="Book Antiqua" w:hAnsi="Book Antiqua" w:hint="eastAsia"/>
          <w:lang w:eastAsia="zh-CN"/>
        </w:rPr>
        <w:t xml:space="preserve"> </w:t>
      </w:r>
      <w:r>
        <w:rPr>
          <w:rFonts w:ascii="Book Antiqua" w:eastAsia="Times New Roman" w:hAnsi="Book Antiqua"/>
        </w:rPr>
        <w:t>[DOI: 10.1093/ajcp/aqaa238</w:t>
      </w:r>
      <w:r>
        <w:rPr>
          <w:rFonts w:ascii="Book Antiqua" w:hAnsi="Book Antiqua" w:hint="eastAsia"/>
          <w:lang w:eastAsia="zh-CN"/>
        </w:rPr>
        <w:t>]</w:t>
      </w:r>
    </w:p>
    <w:p w14:paraId="179E2BB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103 </w:t>
      </w:r>
      <w:r>
        <w:rPr>
          <w:rFonts w:ascii="Book Antiqua" w:eastAsia="Times New Roman" w:hAnsi="Book Antiqua"/>
          <w:b/>
          <w:bCs/>
        </w:rPr>
        <w:t>Iovănescu VF</w:t>
      </w:r>
      <w:r>
        <w:rPr>
          <w:rFonts w:ascii="Book Antiqua" w:eastAsia="Times New Roman" w:hAnsi="Book Antiqua"/>
        </w:rPr>
        <w:t xml:space="preserve">, Constantinescu AF, Streba CT, Zaharie SI, Vere CC, Mandache E, Penescu MN, MoŢa E. Clinical and pathological considerations on renal diseases in patients with chronic viral hepatitis. </w:t>
      </w:r>
      <w:r>
        <w:rPr>
          <w:rFonts w:ascii="Book Antiqua" w:eastAsia="Times New Roman" w:hAnsi="Book Antiqua"/>
          <w:i/>
          <w:iCs/>
        </w:rPr>
        <w:t>Rom J Morphol Embryol</w:t>
      </w:r>
      <w:r>
        <w:rPr>
          <w:rFonts w:ascii="Book Antiqua" w:eastAsia="Times New Roman" w:hAnsi="Book Antiqua"/>
        </w:rPr>
        <w:t xml:space="preserve"> 2016; </w:t>
      </w:r>
      <w:r>
        <w:rPr>
          <w:rFonts w:ascii="Book Antiqua" w:eastAsia="Times New Roman" w:hAnsi="Book Antiqua"/>
          <w:b/>
          <w:bCs/>
        </w:rPr>
        <w:t>57</w:t>
      </w:r>
      <w:r>
        <w:rPr>
          <w:rFonts w:ascii="Book Antiqua" w:eastAsia="Times New Roman" w:hAnsi="Book Antiqua"/>
        </w:rPr>
        <w:t>: 401-406 [PMID: 27516011]</w:t>
      </w:r>
    </w:p>
    <w:p w14:paraId="2A00BB64"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104 </w:t>
      </w:r>
      <w:r>
        <w:rPr>
          <w:rFonts w:ascii="Book Antiqua" w:eastAsia="Times New Roman" w:hAnsi="Book Antiqua"/>
          <w:b/>
          <w:bCs/>
        </w:rPr>
        <w:t>Ratiu IA,</w:t>
      </w:r>
      <w:r>
        <w:rPr>
          <w:rFonts w:ascii="Book Antiqua" w:eastAsia="Times New Roman" w:hAnsi="Book Antiqua"/>
        </w:rPr>
        <w:t xml:space="preserve"> Peride I, Fratila O, Adriana B, Bako GC, Ratiu C,</w:t>
      </w:r>
      <w:r>
        <w:rPr>
          <w:rFonts w:ascii="Book Antiqua" w:eastAsia="Times New Roman" w:hAnsi="Book Antiqua"/>
          <w:i/>
        </w:rPr>
        <w:t xml:space="preserve"> et al</w:t>
      </w:r>
      <w:r>
        <w:rPr>
          <w:rFonts w:ascii="Book Antiqua" w:eastAsia="Times New Roman" w:hAnsi="Book Antiqua"/>
        </w:rPr>
        <w:t xml:space="preserve">. Efficacy of Direct Acting Antivirals and the Role of Corticosteroids in Rapidly Progressive </w:t>
      </w:r>
      <w:r>
        <w:rPr>
          <w:rFonts w:ascii="Book Antiqua" w:eastAsia="Times New Roman" w:hAnsi="Book Antiqua"/>
        </w:rPr>
        <w:lastRenderedPageBreak/>
        <w:t xml:space="preserve">Cryoglobulinemic Glomerulonephritis Associated to Hepatitis C Related Liver Cirrhosis. Case Report. </w:t>
      </w:r>
      <w:r>
        <w:rPr>
          <w:rFonts w:ascii="Book Antiqua" w:eastAsia="Times New Roman" w:hAnsi="Book Antiqua"/>
          <w:i/>
        </w:rPr>
        <w:t>Annals of Case Reports</w:t>
      </w:r>
      <w:r>
        <w:rPr>
          <w:rFonts w:ascii="Book Antiqua" w:hAnsi="Book Antiqua" w:hint="eastAsia"/>
          <w:lang w:eastAsia="zh-CN"/>
        </w:rPr>
        <w:t xml:space="preserve"> </w:t>
      </w:r>
      <w:r>
        <w:rPr>
          <w:rFonts w:ascii="Book Antiqua" w:eastAsia="Times New Roman" w:hAnsi="Book Antiqua"/>
        </w:rPr>
        <w:t>2020;</w:t>
      </w:r>
      <w:r>
        <w:rPr>
          <w:rFonts w:ascii="Book Antiqua" w:hAnsi="Book Antiqua" w:hint="eastAsia"/>
          <w:lang w:eastAsia="zh-CN"/>
        </w:rPr>
        <w:t xml:space="preserve"> </w:t>
      </w:r>
      <w:r>
        <w:rPr>
          <w:rFonts w:ascii="Book Antiqua" w:eastAsia="Times New Roman" w:hAnsi="Book Antiqua"/>
          <w:b/>
        </w:rPr>
        <w:t>14</w:t>
      </w:r>
      <w:r>
        <w:rPr>
          <w:rFonts w:ascii="Book Antiqua" w:hAnsi="Book Antiqua" w:hint="eastAsia"/>
          <w:lang w:eastAsia="zh-CN"/>
        </w:rPr>
        <w:t>:</w:t>
      </w:r>
      <w:r>
        <w:rPr>
          <w:rFonts w:ascii="Book Antiqua" w:eastAsia="Times New Roman" w:hAnsi="Book Antiqua"/>
        </w:rPr>
        <w:t xml:space="preserve"> 1-5</w:t>
      </w:r>
      <w:r>
        <w:rPr>
          <w:rFonts w:ascii="Book Antiqua" w:hAnsi="Book Antiqua" w:hint="eastAsia"/>
          <w:lang w:eastAsia="zh-CN"/>
        </w:rPr>
        <w:t xml:space="preserve"> </w:t>
      </w:r>
      <w:r>
        <w:rPr>
          <w:rFonts w:ascii="Book Antiqua" w:eastAsia="Times New Roman" w:hAnsi="Book Antiqua"/>
        </w:rPr>
        <w:t>[DOI: 10.29011/2574-7754.100510</w:t>
      </w:r>
      <w:r>
        <w:rPr>
          <w:rFonts w:ascii="Book Antiqua" w:hAnsi="Book Antiqua" w:hint="eastAsia"/>
          <w:lang w:eastAsia="zh-CN"/>
        </w:rPr>
        <w:t>]</w:t>
      </w:r>
    </w:p>
    <w:p w14:paraId="7921BAF9"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105 </w:t>
      </w:r>
      <w:r>
        <w:rPr>
          <w:rFonts w:ascii="Book Antiqua" w:eastAsia="Times New Roman" w:hAnsi="Book Antiqua"/>
          <w:b/>
          <w:bCs/>
        </w:rPr>
        <w:t>Barsoum RS,</w:t>
      </w:r>
      <w:r>
        <w:rPr>
          <w:rFonts w:ascii="Book Antiqua" w:eastAsia="Times New Roman" w:hAnsi="Book Antiqua"/>
        </w:rPr>
        <w:t xml:space="preserve"> William EA, Khalil SS. Hepatitis C and kidney disease: A narrative review. </w:t>
      </w:r>
      <w:r>
        <w:rPr>
          <w:rFonts w:ascii="Book Antiqua" w:eastAsia="Times New Roman" w:hAnsi="Book Antiqua"/>
          <w:i/>
        </w:rPr>
        <w:t>Journal of Advanced Research</w:t>
      </w:r>
      <w:r>
        <w:rPr>
          <w:rFonts w:ascii="Book Antiqua" w:hAnsi="Book Antiqua" w:hint="eastAsia"/>
          <w:lang w:eastAsia="zh-CN"/>
        </w:rPr>
        <w:t xml:space="preserve"> </w:t>
      </w:r>
      <w:r>
        <w:rPr>
          <w:rFonts w:ascii="Book Antiqua" w:eastAsia="Times New Roman" w:hAnsi="Book Antiqua"/>
        </w:rPr>
        <w:t>2017;</w:t>
      </w:r>
      <w:r>
        <w:rPr>
          <w:rFonts w:ascii="Book Antiqua" w:hAnsi="Book Antiqua" w:hint="eastAsia"/>
          <w:lang w:eastAsia="zh-CN"/>
        </w:rPr>
        <w:t xml:space="preserve"> </w:t>
      </w:r>
      <w:r>
        <w:rPr>
          <w:rFonts w:ascii="Book Antiqua" w:eastAsia="Times New Roman" w:hAnsi="Book Antiqua"/>
          <w:b/>
        </w:rPr>
        <w:t>8</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113-130</w:t>
      </w:r>
      <w:r>
        <w:rPr>
          <w:rFonts w:ascii="Book Antiqua" w:hAnsi="Book Antiqua" w:hint="eastAsia"/>
          <w:lang w:eastAsia="zh-CN"/>
        </w:rPr>
        <w:t xml:space="preserve"> </w:t>
      </w:r>
      <w:r>
        <w:rPr>
          <w:rFonts w:ascii="Book Antiqua" w:eastAsia="Times New Roman" w:hAnsi="Book Antiqua"/>
        </w:rPr>
        <w:t>[DOI: 10.1016/j.jare.2016.07.004</w:t>
      </w:r>
      <w:r>
        <w:rPr>
          <w:rFonts w:ascii="Book Antiqua" w:hAnsi="Book Antiqua" w:hint="eastAsia"/>
          <w:lang w:eastAsia="zh-CN"/>
        </w:rPr>
        <w:t>]</w:t>
      </w:r>
    </w:p>
    <w:p w14:paraId="1E0EE5E2"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106 </w:t>
      </w:r>
      <w:r>
        <w:rPr>
          <w:rFonts w:ascii="Book Antiqua" w:eastAsia="Times New Roman" w:hAnsi="Book Antiqua"/>
          <w:b/>
          <w:bCs/>
        </w:rPr>
        <w:t>Lai T-S,</w:t>
      </w:r>
      <w:r>
        <w:rPr>
          <w:rFonts w:ascii="Book Antiqua" w:eastAsia="Times New Roman" w:hAnsi="Book Antiqua"/>
        </w:rPr>
        <w:t xml:space="preserve"> Lee M-H, Yang H-I, You S-L, Lu S-N, Wang L-Y,</w:t>
      </w:r>
      <w:r>
        <w:rPr>
          <w:rFonts w:ascii="Book Antiqua" w:eastAsia="Times New Roman" w:hAnsi="Book Antiqua"/>
          <w:i/>
        </w:rPr>
        <w:t xml:space="preserve"> et al</w:t>
      </w:r>
      <w:r>
        <w:rPr>
          <w:rFonts w:ascii="Book Antiqua" w:eastAsia="Times New Roman" w:hAnsi="Book Antiqua"/>
        </w:rPr>
        <w:t xml:space="preserve">. High hepatitis C viral load and genotype 2 are strong predictors of chronic kidney disease. </w:t>
      </w:r>
      <w:r>
        <w:rPr>
          <w:rFonts w:ascii="Book Antiqua" w:eastAsia="Times New Roman" w:hAnsi="Book Antiqua"/>
          <w:i/>
        </w:rPr>
        <w:t>Kidney International</w:t>
      </w:r>
      <w:r>
        <w:rPr>
          <w:rFonts w:ascii="Book Antiqua" w:hAnsi="Book Antiqua" w:hint="eastAsia"/>
          <w:lang w:eastAsia="zh-CN"/>
        </w:rPr>
        <w:t xml:space="preserve"> </w:t>
      </w:r>
      <w:r>
        <w:rPr>
          <w:rFonts w:ascii="Book Antiqua" w:eastAsia="Times New Roman" w:hAnsi="Book Antiqua"/>
        </w:rPr>
        <w:t>2017;</w:t>
      </w:r>
      <w:r>
        <w:rPr>
          <w:rFonts w:ascii="Book Antiqua" w:hAnsi="Book Antiqua" w:hint="eastAsia"/>
          <w:lang w:eastAsia="zh-CN"/>
        </w:rPr>
        <w:t xml:space="preserve"> </w:t>
      </w:r>
      <w:r>
        <w:rPr>
          <w:rFonts w:ascii="Book Antiqua" w:eastAsia="Times New Roman" w:hAnsi="Book Antiqua"/>
          <w:b/>
        </w:rPr>
        <w:t>92</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703-709</w:t>
      </w:r>
      <w:r>
        <w:rPr>
          <w:rFonts w:ascii="Book Antiqua" w:hAnsi="Book Antiqua" w:hint="eastAsia"/>
          <w:lang w:eastAsia="zh-CN"/>
        </w:rPr>
        <w:t xml:space="preserve"> </w:t>
      </w:r>
      <w:r>
        <w:rPr>
          <w:rFonts w:ascii="Book Antiqua" w:eastAsia="Times New Roman" w:hAnsi="Book Antiqua"/>
        </w:rPr>
        <w:t>[DOI: 10.1016/j.kint.2017.03.021</w:t>
      </w:r>
      <w:r>
        <w:rPr>
          <w:rFonts w:ascii="Book Antiqua" w:hAnsi="Book Antiqua" w:hint="eastAsia"/>
          <w:lang w:eastAsia="zh-CN"/>
        </w:rPr>
        <w:t>]</w:t>
      </w:r>
    </w:p>
    <w:p w14:paraId="3C95D9A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107 </w:t>
      </w:r>
      <w:r>
        <w:rPr>
          <w:rFonts w:ascii="Book Antiqua" w:eastAsia="Times New Roman" w:hAnsi="Book Antiqua"/>
          <w:b/>
          <w:bCs/>
        </w:rPr>
        <w:t>Fabrizi F</w:t>
      </w:r>
      <w:r>
        <w:rPr>
          <w:rFonts w:ascii="Book Antiqua" w:eastAsia="Times New Roman" w:hAnsi="Book Antiqua"/>
        </w:rPr>
        <w:t xml:space="preserve">, Donato FM, Messa P. Association Between Hepatitis C Virus and Chronic Kidney Disease: A Systematic Review and Meta-Analysis. </w:t>
      </w:r>
      <w:r>
        <w:rPr>
          <w:rFonts w:ascii="Book Antiqua" w:eastAsia="Times New Roman" w:hAnsi="Book Antiqua"/>
          <w:i/>
          <w:iCs/>
        </w:rPr>
        <w:t>Ann Hepatol</w:t>
      </w:r>
      <w:r>
        <w:rPr>
          <w:rFonts w:ascii="Book Antiqua" w:eastAsia="Times New Roman" w:hAnsi="Book Antiqua"/>
        </w:rPr>
        <w:t xml:space="preserve"> 2018; </w:t>
      </w:r>
      <w:r>
        <w:rPr>
          <w:rFonts w:ascii="Book Antiqua" w:eastAsia="Times New Roman" w:hAnsi="Book Antiqua"/>
          <w:b/>
          <w:bCs/>
        </w:rPr>
        <w:t>17</w:t>
      </w:r>
      <w:r>
        <w:rPr>
          <w:rFonts w:ascii="Book Antiqua" w:eastAsia="Times New Roman" w:hAnsi="Book Antiqua"/>
        </w:rPr>
        <w:t>: 364-391 [PMID: 29735788 DOI: 10.5604/01.3001.0011.7382]</w:t>
      </w:r>
    </w:p>
    <w:p w14:paraId="5BCBD19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108 </w:t>
      </w:r>
      <w:r>
        <w:rPr>
          <w:rFonts w:ascii="Book Antiqua" w:eastAsia="Times New Roman" w:hAnsi="Book Antiqua"/>
          <w:b/>
          <w:bCs/>
        </w:rPr>
        <w:t>Fabrizi F</w:t>
      </w:r>
      <w:r>
        <w:rPr>
          <w:rFonts w:ascii="Book Antiqua" w:eastAsia="Times New Roman" w:hAnsi="Book Antiqua"/>
        </w:rPr>
        <w:t xml:space="preserve">, Cerutti R, Dixit V, Messa P. The impact of antiviral therapy for HCV on kidney disease: a systematic review and meta-analysis. </w:t>
      </w:r>
      <w:r>
        <w:rPr>
          <w:rFonts w:ascii="Book Antiqua" w:eastAsia="Times New Roman" w:hAnsi="Book Antiqua"/>
          <w:i/>
          <w:iCs/>
        </w:rPr>
        <w:t>Nefrologia (Engl Ed)</w:t>
      </w:r>
      <w:r>
        <w:rPr>
          <w:rFonts w:ascii="Book Antiqua" w:eastAsia="Times New Roman" w:hAnsi="Book Antiqua"/>
        </w:rPr>
        <w:t xml:space="preserve"> 2020; </w:t>
      </w:r>
      <w:r>
        <w:rPr>
          <w:rFonts w:ascii="Book Antiqua" w:eastAsia="Times New Roman" w:hAnsi="Book Antiqua"/>
          <w:b/>
          <w:bCs/>
        </w:rPr>
        <w:t>40</w:t>
      </w:r>
      <w:r>
        <w:rPr>
          <w:rFonts w:ascii="Book Antiqua" w:eastAsia="Times New Roman" w:hAnsi="Book Antiqua"/>
        </w:rPr>
        <w:t>: 299-310 [PMID: 31813592 DOI: 10.1016/j.nefro.2019.07.007]</w:t>
      </w:r>
    </w:p>
    <w:p w14:paraId="3534FD67"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109 </w:t>
      </w:r>
      <w:r>
        <w:rPr>
          <w:rFonts w:ascii="Book Antiqua" w:eastAsia="Times New Roman" w:hAnsi="Book Antiqua"/>
          <w:b/>
          <w:bCs/>
        </w:rPr>
        <w:t>Suda G,</w:t>
      </w:r>
      <w:r>
        <w:rPr>
          <w:rFonts w:ascii="Book Antiqua" w:eastAsia="Times New Roman" w:hAnsi="Book Antiqua"/>
        </w:rPr>
        <w:t xml:space="preserve"> Ogawa K, Kimura M, Nakai M, Sho T, Morikawa K,</w:t>
      </w:r>
      <w:r>
        <w:rPr>
          <w:rFonts w:ascii="Book Antiqua" w:eastAsia="Times New Roman" w:hAnsi="Book Antiqua"/>
          <w:i/>
        </w:rPr>
        <w:t xml:space="preserve"> et al</w:t>
      </w:r>
      <w:r>
        <w:rPr>
          <w:rFonts w:ascii="Book Antiqua" w:eastAsia="Times New Roman" w:hAnsi="Book Antiqua"/>
        </w:rPr>
        <w:t xml:space="preserve">. Novel Treatment of Hepatitis C Virus Infection for Patients with Renal Impairment. </w:t>
      </w:r>
      <w:r>
        <w:rPr>
          <w:rFonts w:ascii="Book Antiqua" w:eastAsia="Times New Roman" w:hAnsi="Book Antiqua"/>
          <w:i/>
        </w:rPr>
        <w:t>J Clin Transl Hepatol</w:t>
      </w:r>
      <w:r>
        <w:rPr>
          <w:rFonts w:ascii="Book Antiqua" w:hAnsi="Book Antiqua" w:hint="eastAsia"/>
          <w:lang w:eastAsia="zh-CN"/>
        </w:rPr>
        <w:t xml:space="preserve"> </w:t>
      </w:r>
      <w:r>
        <w:rPr>
          <w:rFonts w:ascii="Book Antiqua" w:eastAsia="Times New Roman" w:hAnsi="Book Antiqua"/>
        </w:rPr>
        <w:t>2016;</w:t>
      </w:r>
      <w:r>
        <w:rPr>
          <w:rFonts w:ascii="Book Antiqua" w:hAnsi="Book Antiqua" w:hint="eastAsia"/>
          <w:lang w:eastAsia="zh-CN"/>
        </w:rPr>
        <w:t xml:space="preserve"> </w:t>
      </w:r>
      <w:r>
        <w:rPr>
          <w:rFonts w:ascii="Book Antiqua" w:eastAsia="Times New Roman" w:hAnsi="Book Antiqua"/>
        </w:rPr>
        <w:t>4:</w:t>
      </w:r>
      <w:r>
        <w:rPr>
          <w:rFonts w:ascii="Book Antiqua" w:hAnsi="Book Antiqua" w:hint="eastAsia"/>
          <w:lang w:eastAsia="zh-CN"/>
        </w:rPr>
        <w:t xml:space="preserve"> </w:t>
      </w:r>
      <w:r>
        <w:rPr>
          <w:rFonts w:ascii="Book Antiqua" w:eastAsia="Times New Roman" w:hAnsi="Book Antiqua"/>
        </w:rPr>
        <w:t>320-327</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10.14218/JCTH.2016.00032</w:t>
      </w:r>
      <w:r>
        <w:rPr>
          <w:rFonts w:ascii="Book Antiqua" w:hAnsi="Book Antiqua" w:hint="eastAsia"/>
          <w:lang w:eastAsia="zh-CN"/>
        </w:rPr>
        <w:t>]</w:t>
      </w:r>
    </w:p>
    <w:p w14:paraId="4CEA26F1"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110 </w:t>
      </w:r>
      <w:r>
        <w:rPr>
          <w:rFonts w:ascii="Book Antiqua" w:eastAsia="Times New Roman" w:hAnsi="Book Antiqua"/>
          <w:b/>
          <w:bCs/>
        </w:rPr>
        <w:t>Kao CC,</w:t>
      </w:r>
      <w:r>
        <w:rPr>
          <w:rFonts w:ascii="Book Antiqua" w:eastAsia="Times New Roman" w:hAnsi="Book Antiqua"/>
        </w:rPr>
        <w:t xml:space="preserve"> Lin YS, Chu HC, Fang TC, Wu MS, Kang YN. Association of Renal Function and Direct-Acting Antiviral Agents for HCV: A Network Meta-Analysis. </w:t>
      </w:r>
      <w:r>
        <w:rPr>
          <w:rFonts w:ascii="Book Antiqua" w:eastAsia="Times New Roman" w:hAnsi="Book Antiqua"/>
          <w:i/>
        </w:rPr>
        <w:t>J Clin Med</w:t>
      </w:r>
      <w:r>
        <w:rPr>
          <w:rFonts w:ascii="Book Antiqua" w:eastAsia="Times New Roman" w:hAnsi="Book Antiqua"/>
        </w:rPr>
        <w:t xml:space="preserve"> 2018;</w:t>
      </w:r>
      <w:r>
        <w:rPr>
          <w:rFonts w:ascii="Book Antiqua" w:hAnsi="Book Antiqua" w:hint="eastAsia"/>
          <w:lang w:eastAsia="zh-CN"/>
        </w:rPr>
        <w:t xml:space="preserve"> </w:t>
      </w:r>
      <w:r>
        <w:rPr>
          <w:rFonts w:ascii="Book Antiqua" w:eastAsia="Times New Roman" w:hAnsi="Book Antiqua"/>
          <w:b/>
        </w:rPr>
        <w:t>7</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1-14</w:t>
      </w:r>
      <w:r>
        <w:rPr>
          <w:rFonts w:ascii="Book Antiqua" w:hAnsi="Book Antiqua" w:hint="eastAsia"/>
          <w:lang w:eastAsia="zh-CN"/>
        </w:rPr>
        <w:t xml:space="preserve"> </w:t>
      </w:r>
      <w:r>
        <w:rPr>
          <w:rFonts w:ascii="Book Antiqua" w:eastAsia="Times New Roman" w:hAnsi="Book Antiqua"/>
        </w:rPr>
        <w:t>[DOI: 10.3390/jcm7100314</w:t>
      </w:r>
      <w:r>
        <w:rPr>
          <w:rFonts w:ascii="Book Antiqua" w:hAnsi="Book Antiqua" w:hint="eastAsia"/>
          <w:lang w:eastAsia="zh-CN"/>
        </w:rPr>
        <w:t>]</w:t>
      </w:r>
    </w:p>
    <w:p w14:paraId="4DE4D32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111 </w:t>
      </w:r>
      <w:r>
        <w:rPr>
          <w:rFonts w:ascii="Book Antiqua" w:eastAsia="Times New Roman" w:hAnsi="Book Antiqua"/>
          <w:b/>
          <w:bCs/>
        </w:rPr>
        <w:t>Rutledge SM</w:t>
      </w:r>
      <w:r>
        <w:rPr>
          <w:rFonts w:ascii="Book Antiqua" w:eastAsia="Times New Roman" w:hAnsi="Book Antiqua"/>
        </w:rPr>
        <w:t xml:space="preserve">, Chung RT, Sise ME. Treatment of hepatitis C virus infection in patients with mixed cryoglobulinemic syndrome and cryoglobulinemic glomerulonephritis. </w:t>
      </w:r>
      <w:r>
        <w:rPr>
          <w:rFonts w:ascii="Book Antiqua" w:eastAsia="Times New Roman" w:hAnsi="Book Antiqua"/>
          <w:i/>
          <w:iCs/>
        </w:rPr>
        <w:t>Hemodial Int</w:t>
      </w:r>
      <w:r>
        <w:rPr>
          <w:rFonts w:ascii="Book Antiqua" w:eastAsia="Times New Roman" w:hAnsi="Book Antiqua"/>
        </w:rPr>
        <w:t xml:space="preserve"> 2018; </w:t>
      </w:r>
      <w:r>
        <w:rPr>
          <w:rFonts w:ascii="Book Antiqua" w:eastAsia="Times New Roman" w:hAnsi="Book Antiqua"/>
          <w:b/>
          <w:bCs/>
        </w:rPr>
        <w:t xml:space="preserve">22 </w:t>
      </w:r>
      <w:r>
        <w:rPr>
          <w:rFonts w:ascii="Book Antiqua" w:eastAsia="Times New Roman" w:hAnsi="Book Antiqua"/>
          <w:bCs/>
        </w:rPr>
        <w:t>Suppl 1</w:t>
      </w:r>
      <w:r>
        <w:rPr>
          <w:rFonts w:ascii="Book Antiqua" w:eastAsia="Times New Roman" w:hAnsi="Book Antiqua"/>
        </w:rPr>
        <w:t>: S81-S96 [PMID: 29694729 DOI: 10.1111/hdi.12649]</w:t>
      </w:r>
    </w:p>
    <w:p w14:paraId="5E864734"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112 </w:t>
      </w:r>
      <w:r>
        <w:rPr>
          <w:rFonts w:ascii="Book Antiqua" w:eastAsia="Times New Roman" w:hAnsi="Book Antiqua"/>
          <w:b/>
          <w:bCs/>
        </w:rPr>
        <w:t>Salvadori M,</w:t>
      </w:r>
      <w:r>
        <w:rPr>
          <w:rFonts w:ascii="Book Antiqua" w:eastAsia="Times New Roman" w:hAnsi="Book Antiqua"/>
        </w:rPr>
        <w:t xml:space="preserve"> Tsalouchos A. Hepatitis C Virus Infection and Renal Disorders. REVIEW ARTICLE. </w:t>
      </w:r>
      <w:r>
        <w:rPr>
          <w:rFonts w:ascii="Book Antiqua" w:eastAsia="Times New Roman" w:hAnsi="Book Antiqua"/>
          <w:i/>
        </w:rPr>
        <w:t>Journal of Renal and Hepatic Disorders</w:t>
      </w:r>
      <w:r>
        <w:rPr>
          <w:rFonts w:ascii="Book Antiqua" w:hAnsi="Book Antiqua" w:hint="eastAsia"/>
          <w:lang w:eastAsia="zh-CN"/>
        </w:rPr>
        <w:t xml:space="preserve"> </w:t>
      </w:r>
      <w:r>
        <w:rPr>
          <w:rFonts w:ascii="Book Antiqua" w:eastAsia="Times New Roman" w:hAnsi="Book Antiqua"/>
        </w:rPr>
        <w:t>2019;</w:t>
      </w:r>
      <w:r>
        <w:rPr>
          <w:rFonts w:ascii="Book Antiqua" w:hAnsi="Book Antiqua" w:hint="eastAsia"/>
          <w:lang w:eastAsia="zh-CN"/>
        </w:rPr>
        <w:t xml:space="preserve"> </w:t>
      </w:r>
      <w:r>
        <w:rPr>
          <w:rFonts w:ascii="Book Antiqua" w:eastAsia="Times New Roman" w:hAnsi="Book Antiqua"/>
          <w:b/>
        </w:rPr>
        <w:t>3</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1-14</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10.15586/JRENHEP.2019.43</w:t>
      </w:r>
      <w:r>
        <w:rPr>
          <w:rFonts w:ascii="Book Antiqua" w:hAnsi="Book Antiqua" w:hint="eastAsia"/>
          <w:lang w:eastAsia="zh-CN"/>
        </w:rPr>
        <w:t>]</w:t>
      </w:r>
    </w:p>
    <w:p w14:paraId="60667845"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113 </w:t>
      </w:r>
      <w:r>
        <w:rPr>
          <w:rFonts w:ascii="Book Antiqua" w:eastAsia="Times New Roman" w:hAnsi="Book Antiqua"/>
          <w:b/>
          <w:bCs/>
        </w:rPr>
        <w:t>Arruda RM,</w:t>
      </w:r>
      <w:r>
        <w:rPr>
          <w:rFonts w:ascii="Book Antiqua" w:eastAsia="Times New Roman" w:hAnsi="Book Antiqua"/>
        </w:rPr>
        <w:t xml:space="preserve"> Batista AD, Filgueira NA, Moura IF, Sette LH, Lopes EP. Remission of long-term hepatic and renal disease induced by HCV after direct-acting antivirals therapy. </w:t>
      </w:r>
      <w:r>
        <w:rPr>
          <w:rFonts w:ascii="Book Antiqua" w:eastAsia="Times New Roman" w:hAnsi="Book Antiqua"/>
          <w:i/>
        </w:rPr>
        <w:t>Braz J Nephrol</w:t>
      </w:r>
      <w:r>
        <w:rPr>
          <w:rFonts w:ascii="Book Antiqua" w:eastAsia="Times New Roman" w:hAnsi="Book Antiqua"/>
        </w:rPr>
        <w:t xml:space="preserve"> 2021;</w:t>
      </w:r>
      <w:r>
        <w:rPr>
          <w:rFonts w:ascii="Book Antiqua" w:hAnsi="Book Antiqua" w:hint="eastAsia"/>
          <w:lang w:eastAsia="zh-CN"/>
        </w:rPr>
        <w:t xml:space="preserve"> </w:t>
      </w:r>
      <w:r>
        <w:rPr>
          <w:rFonts w:ascii="Book Antiqua" w:eastAsia="Times New Roman" w:hAnsi="Book Antiqua"/>
          <w:b/>
        </w:rPr>
        <w:t>43</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117-120</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10.1590/2175-8239-JBN-2019-0165</w:t>
      </w:r>
      <w:r>
        <w:rPr>
          <w:rFonts w:ascii="Book Antiqua" w:hAnsi="Book Antiqua" w:hint="eastAsia"/>
          <w:lang w:eastAsia="zh-CN"/>
        </w:rPr>
        <w:t>]</w:t>
      </w:r>
    </w:p>
    <w:p w14:paraId="5620DBD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114 </w:t>
      </w:r>
      <w:r>
        <w:rPr>
          <w:rFonts w:ascii="Book Antiqua" w:eastAsia="Times New Roman" w:hAnsi="Book Antiqua"/>
          <w:b/>
          <w:bCs/>
        </w:rPr>
        <w:t>Elmowafy AY</w:t>
      </w:r>
      <w:r>
        <w:rPr>
          <w:rFonts w:ascii="Book Antiqua" w:eastAsia="Times New Roman" w:hAnsi="Book Antiqua"/>
        </w:rPr>
        <w:t xml:space="preserve">, El Maghrabi HM, Zahab MA, Elwasif SM, Bakr MA. Sofosbuvir and Daclatsvir in Treatment of Hepatitis C Virus-related Membranoproliferative Glomerulonephritis With Cryoglobulinemia in a Patient With Hepatitis C Genotype 4. </w:t>
      </w:r>
      <w:r>
        <w:rPr>
          <w:rFonts w:ascii="Book Antiqua" w:eastAsia="Times New Roman" w:hAnsi="Book Antiqua"/>
          <w:i/>
          <w:iCs/>
        </w:rPr>
        <w:t>Iran J Kidney Dis</w:t>
      </w:r>
      <w:r>
        <w:rPr>
          <w:rFonts w:ascii="Book Antiqua" w:eastAsia="Times New Roman" w:hAnsi="Book Antiqua"/>
        </w:rPr>
        <w:t xml:space="preserve"> 2018; </w:t>
      </w:r>
      <w:r>
        <w:rPr>
          <w:rFonts w:ascii="Book Antiqua" w:eastAsia="Times New Roman" w:hAnsi="Book Antiqua"/>
          <w:b/>
          <w:bCs/>
        </w:rPr>
        <w:t>12</w:t>
      </w:r>
      <w:r>
        <w:rPr>
          <w:rFonts w:ascii="Book Antiqua" w:eastAsia="Times New Roman" w:hAnsi="Book Antiqua"/>
        </w:rPr>
        <w:t>: 382-384 [PMID: 30595569]</w:t>
      </w:r>
    </w:p>
    <w:p w14:paraId="459F7D3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115 </w:t>
      </w:r>
      <w:r>
        <w:rPr>
          <w:rFonts w:ascii="Book Antiqua" w:eastAsia="Times New Roman" w:hAnsi="Book Antiqua"/>
          <w:b/>
          <w:bCs/>
        </w:rPr>
        <w:t>Bohorquez H</w:t>
      </w:r>
      <w:r>
        <w:rPr>
          <w:rFonts w:ascii="Book Antiqua" w:eastAsia="Times New Roman" w:hAnsi="Book Antiqua"/>
        </w:rPr>
        <w:t xml:space="preserve">, Velez JCQ, Lusco M, Scheuermann J, Cohen AJ. Hepatitis C-associated focal proliferative glomerulonephritis in an aviremic recipient of a hepatitis C-positive antibody donor liver. </w:t>
      </w:r>
      <w:r>
        <w:rPr>
          <w:rFonts w:ascii="Book Antiqua" w:eastAsia="Times New Roman" w:hAnsi="Book Antiqua"/>
          <w:i/>
          <w:iCs/>
        </w:rPr>
        <w:t>Am J Transplant</w:t>
      </w:r>
      <w:r>
        <w:rPr>
          <w:rFonts w:ascii="Book Antiqua" w:eastAsia="Times New Roman" w:hAnsi="Book Antiqua"/>
        </w:rPr>
        <w:t xml:space="preserve"> 2021; </w:t>
      </w:r>
      <w:r>
        <w:rPr>
          <w:rFonts w:ascii="Book Antiqua" w:eastAsia="Times New Roman" w:hAnsi="Book Antiqua"/>
          <w:b/>
          <w:bCs/>
        </w:rPr>
        <w:t>21</w:t>
      </w:r>
      <w:r>
        <w:rPr>
          <w:rFonts w:ascii="Book Antiqua" w:eastAsia="Times New Roman" w:hAnsi="Book Antiqua"/>
        </w:rPr>
        <w:t>: 2895-2899 [PMID: 33721396 DOI: 10.1111/ajt.16565]</w:t>
      </w:r>
    </w:p>
    <w:p w14:paraId="1294395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116 </w:t>
      </w:r>
      <w:r>
        <w:rPr>
          <w:rFonts w:ascii="Book Antiqua" w:eastAsia="Times New Roman" w:hAnsi="Book Antiqua"/>
          <w:b/>
          <w:bCs/>
        </w:rPr>
        <w:t>Muro K</w:t>
      </w:r>
      <w:r>
        <w:rPr>
          <w:rFonts w:ascii="Book Antiqua" w:eastAsia="Times New Roman" w:hAnsi="Book Antiqua"/>
        </w:rPr>
        <w:t xml:space="preserve">, Toda N, Yamamoto S, Yanagita M. The Successful Treatment of a Case of HCV-associated Cryoglobulinemic Glomerulonephritis with Rituximab, Direct-acting Antiviral Agents, Plasmapheresis and Long-term Steroid Despite Serologically Persistent Cryoglobulinemia. </w:t>
      </w:r>
      <w:r>
        <w:rPr>
          <w:rFonts w:ascii="Book Antiqua" w:eastAsia="Times New Roman" w:hAnsi="Book Antiqua"/>
          <w:i/>
          <w:iCs/>
        </w:rPr>
        <w:t>Intern Med</w:t>
      </w:r>
      <w:r>
        <w:rPr>
          <w:rFonts w:ascii="Book Antiqua" w:eastAsia="Times New Roman" w:hAnsi="Book Antiqua"/>
        </w:rPr>
        <w:t xml:space="preserve"> 2021; </w:t>
      </w:r>
      <w:r>
        <w:rPr>
          <w:rFonts w:ascii="Book Antiqua" w:eastAsia="Times New Roman" w:hAnsi="Book Antiqua"/>
          <w:b/>
          <w:bCs/>
        </w:rPr>
        <w:t>60</w:t>
      </w:r>
      <w:r>
        <w:rPr>
          <w:rFonts w:ascii="Book Antiqua" w:eastAsia="Times New Roman" w:hAnsi="Book Antiqua"/>
        </w:rPr>
        <w:t>: 583-589 [PMID: 32999232 DOI: 10.2169/internalmedicine.5461-20]</w:t>
      </w:r>
    </w:p>
    <w:p w14:paraId="5B69AB6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117 </w:t>
      </w:r>
      <w:r>
        <w:rPr>
          <w:rFonts w:ascii="Book Antiqua" w:eastAsia="Times New Roman" w:hAnsi="Book Antiqua"/>
          <w:b/>
          <w:bCs/>
        </w:rPr>
        <w:t>Lens S,</w:t>
      </w:r>
      <w:r>
        <w:rPr>
          <w:rFonts w:ascii="Book Antiqua" w:eastAsia="Times New Roman" w:hAnsi="Book Antiqua"/>
        </w:rPr>
        <w:t xml:space="preserve"> Rodriguez-Tajes S, Llovet L-P, Maduell F, Londoño M-C. Treating Hepatitis C in Patients with Renal Failure. </w:t>
      </w:r>
      <w:r>
        <w:rPr>
          <w:rFonts w:ascii="Book Antiqua" w:eastAsia="Times New Roman" w:hAnsi="Book Antiqua"/>
          <w:i/>
        </w:rPr>
        <w:t>Digestive Diseases</w:t>
      </w:r>
      <w:r>
        <w:rPr>
          <w:rFonts w:ascii="Book Antiqua" w:hAnsi="Book Antiqua" w:hint="eastAsia"/>
          <w:lang w:eastAsia="zh-CN"/>
        </w:rPr>
        <w:t xml:space="preserve"> </w:t>
      </w:r>
      <w:r>
        <w:rPr>
          <w:rFonts w:ascii="Book Antiqua" w:eastAsia="Times New Roman" w:hAnsi="Book Antiqua"/>
        </w:rPr>
        <w:t>2017;</w:t>
      </w:r>
      <w:r>
        <w:rPr>
          <w:rFonts w:ascii="Book Antiqua" w:hAnsi="Book Antiqua" w:hint="eastAsia"/>
          <w:lang w:eastAsia="zh-CN"/>
        </w:rPr>
        <w:t xml:space="preserve"> </w:t>
      </w:r>
      <w:r>
        <w:rPr>
          <w:rFonts w:ascii="Book Antiqua" w:eastAsia="Times New Roman" w:hAnsi="Book Antiqua"/>
        </w:rPr>
        <w:t>339-346</w:t>
      </w:r>
      <w:r>
        <w:rPr>
          <w:rFonts w:ascii="Book Antiqua" w:hAnsi="Book Antiqua" w:hint="eastAsia"/>
          <w:lang w:eastAsia="zh-CN"/>
        </w:rPr>
        <w:t xml:space="preserve"> </w:t>
      </w:r>
      <w:r>
        <w:rPr>
          <w:rFonts w:ascii="Book Antiqua" w:eastAsia="Times New Roman" w:hAnsi="Book Antiqua"/>
        </w:rPr>
        <w:t>[DOI: 10.1159/000456585</w:t>
      </w:r>
      <w:r>
        <w:rPr>
          <w:rFonts w:ascii="Book Antiqua" w:hAnsi="Book Antiqua" w:hint="eastAsia"/>
          <w:lang w:eastAsia="zh-CN"/>
        </w:rPr>
        <w:t>]</w:t>
      </w:r>
    </w:p>
    <w:p w14:paraId="7FE2847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118 </w:t>
      </w:r>
      <w:r>
        <w:rPr>
          <w:rFonts w:ascii="Book Antiqua" w:eastAsia="Times New Roman" w:hAnsi="Book Antiqua"/>
          <w:b/>
          <w:bCs/>
        </w:rPr>
        <w:t>Palombo SB</w:t>
      </w:r>
      <w:r>
        <w:rPr>
          <w:rFonts w:ascii="Book Antiqua" w:eastAsia="Times New Roman" w:hAnsi="Book Antiqua"/>
        </w:rPr>
        <w:t xml:space="preserve">, Wendel EC, Kidd LR, Yazdi F, Naljayan MV. MPGN and mixed cryoglobulinemia in a patient with hepatitis C - new treatment implications and renal outcomes. </w:t>
      </w:r>
      <w:r>
        <w:rPr>
          <w:rFonts w:ascii="Book Antiqua" w:eastAsia="Times New Roman" w:hAnsi="Book Antiqua"/>
          <w:i/>
          <w:iCs/>
        </w:rPr>
        <w:t>Clin Nephrol Case Stud</w:t>
      </w:r>
      <w:r>
        <w:rPr>
          <w:rFonts w:ascii="Book Antiqua" w:eastAsia="Times New Roman" w:hAnsi="Book Antiqua"/>
        </w:rPr>
        <w:t xml:space="preserve"> 2017; </w:t>
      </w:r>
      <w:r>
        <w:rPr>
          <w:rFonts w:ascii="Book Antiqua" w:eastAsia="Times New Roman" w:hAnsi="Book Antiqua"/>
          <w:b/>
          <w:bCs/>
        </w:rPr>
        <w:t>5</w:t>
      </w:r>
      <w:r>
        <w:rPr>
          <w:rFonts w:ascii="Book Antiqua" w:eastAsia="Times New Roman" w:hAnsi="Book Antiqua"/>
        </w:rPr>
        <w:t>: 66-69 [PMID: 29098140 DOI: 10.5414/CNCS109099]</w:t>
      </w:r>
    </w:p>
    <w:p w14:paraId="3000731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119 </w:t>
      </w:r>
      <w:r>
        <w:rPr>
          <w:rFonts w:ascii="Book Antiqua" w:eastAsia="Times New Roman" w:hAnsi="Book Antiqua"/>
          <w:b/>
          <w:bCs/>
        </w:rPr>
        <w:t>Isnard Bagnis C</w:t>
      </w:r>
      <w:r>
        <w:rPr>
          <w:rFonts w:ascii="Book Antiqua" w:eastAsia="Times New Roman" w:hAnsi="Book Antiqua"/>
        </w:rPr>
        <w:t xml:space="preserve">, Cacoub P. Hepatitis C Therapy in Renal Patients: Who, How, When? </w:t>
      </w:r>
      <w:r>
        <w:rPr>
          <w:rFonts w:ascii="Book Antiqua" w:eastAsia="Times New Roman" w:hAnsi="Book Antiqua"/>
          <w:i/>
          <w:iCs/>
        </w:rPr>
        <w:t>Infect Dis Ther</w:t>
      </w:r>
      <w:r>
        <w:rPr>
          <w:rFonts w:ascii="Book Antiqua" w:eastAsia="Times New Roman" w:hAnsi="Book Antiqua"/>
        </w:rPr>
        <w:t xml:space="preserve"> 2016; </w:t>
      </w:r>
      <w:r>
        <w:rPr>
          <w:rFonts w:ascii="Book Antiqua" w:eastAsia="Times New Roman" w:hAnsi="Book Antiqua"/>
          <w:b/>
          <w:bCs/>
        </w:rPr>
        <w:t>5</w:t>
      </w:r>
      <w:r>
        <w:rPr>
          <w:rFonts w:ascii="Book Antiqua" w:eastAsia="Times New Roman" w:hAnsi="Book Antiqua"/>
        </w:rPr>
        <w:t>: 313-327 [PMID: 27388502 DOI: 10.1007/s40121-016-0116-z]</w:t>
      </w:r>
    </w:p>
    <w:p w14:paraId="1C4D0E0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120 </w:t>
      </w:r>
      <w:r>
        <w:rPr>
          <w:rFonts w:ascii="Book Antiqua" w:eastAsia="Times New Roman" w:hAnsi="Book Antiqua"/>
          <w:b/>
          <w:bCs/>
        </w:rPr>
        <w:t>Schrezenmeier E</w:t>
      </w:r>
      <w:r>
        <w:rPr>
          <w:rFonts w:ascii="Book Antiqua" w:eastAsia="Times New Roman" w:hAnsi="Book Antiqua"/>
        </w:rPr>
        <w:t xml:space="preserve">, Wu K, Halleck F, Liefeldt L, Brakemeier S, Bachmann F, Kron S, Budde K, Duerr M. Successful Recovery of Acute Renal Transplant Failure in Recurrent Hepatitis C Virus-Associated Membranoproliferative Glomerulonephritis. </w:t>
      </w:r>
      <w:r>
        <w:rPr>
          <w:rFonts w:ascii="Book Antiqua" w:eastAsia="Times New Roman" w:hAnsi="Book Antiqua"/>
          <w:i/>
          <w:iCs/>
        </w:rPr>
        <w:t>Am J Transplant</w:t>
      </w:r>
      <w:r>
        <w:rPr>
          <w:rFonts w:ascii="Book Antiqua" w:eastAsia="Times New Roman" w:hAnsi="Book Antiqua"/>
        </w:rPr>
        <w:t xml:space="preserve"> 2017; </w:t>
      </w:r>
      <w:r>
        <w:rPr>
          <w:rFonts w:ascii="Book Antiqua" w:eastAsia="Times New Roman" w:hAnsi="Book Antiqua"/>
          <w:b/>
          <w:bCs/>
        </w:rPr>
        <w:t>17</w:t>
      </w:r>
      <w:r>
        <w:rPr>
          <w:rFonts w:ascii="Book Antiqua" w:eastAsia="Times New Roman" w:hAnsi="Book Antiqua"/>
        </w:rPr>
        <w:t>: 819-823 [PMID: 27778453 DOI: 10.1111/ajt.14091]</w:t>
      </w:r>
    </w:p>
    <w:p w14:paraId="532105D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121 </w:t>
      </w:r>
      <w:r>
        <w:rPr>
          <w:rFonts w:ascii="Book Antiqua" w:eastAsia="Times New Roman" w:hAnsi="Book Antiqua"/>
          <w:b/>
          <w:bCs/>
        </w:rPr>
        <w:t>Angeletti A</w:t>
      </w:r>
      <w:r>
        <w:rPr>
          <w:rFonts w:ascii="Book Antiqua" w:eastAsia="Times New Roman" w:hAnsi="Book Antiqua"/>
        </w:rPr>
        <w:t xml:space="preserve">, Cantarelli C, Cravedi P. HCV-Associated Nephropathies in the Era of Direct Acting Antiviral Agents. </w:t>
      </w:r>
      <w:r>
        <w:rPr>
          <w:rFonts w:ascii="Book Antiqua" w:eastAsia="Times New Roman" w:hAnsi="Book Antiqua"/>
          <w:i/>
          <w:iCs/>
        </w:rPr>
        <w:t>Front Med (Lausanne)</w:t>
      </w:r>
      <w:r>
        <w:rPr>
          <w:rFonts w:ascii="Book Antiqua" w:eastAsia="Times New Roman" w:hAnsi="Book Antiqua"/>
        </w:rPr>
        <w:t xml:space="preserve"> 2019; </w:t>
      </w:r>
      <w:r>
        <w:rPr>
          <w:rFonts w:ascii="Book Antiqua" w:eastAsia="Times New Roman" w:hAnsi="Book Antiqua"/>
          <w:b/>
          <w:bCs/>
        </w:rPr>
        <w:t>6</w:t>
      </w:r>
      <w:r>
        <w:rPr>
          <w:rFonts w:ascii="Book Antiqua" w:eastAsia="Times New Roman" w:hAnsi="Book Antiqua"/>
        </w:rPr>
        <w:t>: 20 [PMID: 30800660 DOI: 10.3389/fmed.2019.00020]</w:t>
      </w:r>
    </w:p>
    <w:p w14:paraId="34EA631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122 </w:t>
      </w:r>
      <w:r>
        <w:rPr>
          <w:rFonts w:ascii="Book Antiqua" w:eastAsia="Times New Roman" w:hAnsi="Book Antiqua"/>
          <w:b/>
          <w:bCs/>
        </w:rPr>
        <w:t>Shimada M</w:t>
      </w:r>
      <w:r>
        <w:rPr>
          <w:rFonts w:ascii="Book Antiqua" w:eastAsia="Times New Roman" w:hAnsi="Book Antiqua"/>
        </w:rPr>
        <w:t xml:space="preserve">, Nakamura N, Endo T, Yamabe H, Nakamura M, Murakami R, Narita I, Tomita H. Daclatasvir/asunaprevir based direct-acting antiviral therapy ameliorate hepatitis C virus-associated cryoglobulinemic membranoproliferative glomerulonephritis: a case report. </w:t>
      </w:r>
      <w:r>
        <w:rPr>
          <w:rFonts w:ascii="Book Antiqua" w:eastAsia="Times New Roman" w:hAnsi="Book Antiqua"/>
          <w:i/>
          <w:iCs/>
        </w:rPr>
        <w:t>BMC Nephrol</w:t>
      </w:r>
      <w:r>
        <w:rPr>
          <w:rFonts w:ascii="Book Antiqua" w:eastAsia="Times New Roman" w:hAnsi="Book Antiqua"/>
        </w:rPr>
        <w:t xml:space="preserve"> 2017; </w:t>
      </w:r>
      <w:r>
        <w:rPr>
          <w:rFonts w:ascii="Book Antiqua" w:eastAsia="Times New Roman" w:hAnsi="Book Antiqua"/>
          <w:b/>
          <w:bCs/>
        </w:rPr>
        <w:t>18</w:t>
      </w:r>
      <w:r>
        <w:rPr>
          <w:rFonts w:ascii="Book Antiqua" w:eastAsia="Times New Roman" w:hAnsi="Book Antiqua"/>
        </w:rPr>
        <w:t>: 109 [PMID: 28356063 DOI: 10.1186/s12882-017-0534-5]</w:t>
      </w:r>
    </w:p>
    <w:p w14:paraId="1EE79271"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123 </w:t>
      </w:r>
      <w:r>
        <w:rPr>
          <w:rFonts w:ascii="Book Antiqua" w:eastAsia="Times New Roman" w:hAnsi="Book Antiqua"/>
          <w:b/>
          <w:bCs/>
        </w:rPr>
        <w:t>Ezzat WM,</w:t>
      </w:r>
      <w:r>
        <w:rPr>
          <w:rFonts w:ascii="Book Antiqua" w:eastAsia="Times New Roman" w:hAnsi="Book Antiqua"/>
        </w:rPr>
        <w:t xml:space="preserve"> Elhosary YA, Abdulla NA, Raslan HM, Saleh OM, Ibrahim MH,</w:t>
      </w:r>
      <w:r>
        <w:rPr>
          <w:rFonts w:ascii="Book Antiqua" w:eastAsia="Times New Roman" w:hAnsi="Book Antiqua"/>
          <w:i/>
        </w:rPr>
        <w:t xml:space="preserve"> et al</w:t>
      </w:r>
      <w:r>
        <w:rPr>
          <w:rFonts w:ascii="Book Antiqua" w:eastAsia="Times New Roman" w:hAnsi="Book Antiqua"/>
        </w:rPr>
        <w:t xml:space="preserve">. Insulin resistance and early virological response in chronic HCV infection. </w:t>
      </w:r>
      <w:r>
        <w:rPr>
          <w:rFonts w:ascii="Book Antiqua" w:eastAsia="Times New Roman" w:hAnsi="Book Antiqua"/>
          <w:i/>
        </w:rPr>
        <w:t>Journal of Genetic Engineering and Biotechnology</w:t>
      </w:r>
      <w:r>
        <w:rPr>
          <w:rFonts w:ascii="Book Antiqua" w:hAnsi="Book Antiqua" w:hint="eastAsia"/>
          <w:lang w:eastAsia="zh-CN"/>
        </w:rPr>
        <w:t xml:space="preserve"> </w:t>
      </w:r>
      <w:r>
        <w:rPr>
          <w:rFonts w:ascii="Book Antiqua" w:eastAsia="Times New Roman" w:hAnsi="Book Antiqua"/>
        </w:rPr>
        <w:t>2013;</w:t>
      </w:r>
      <w:r>
        <w:rPr>
          <w:rFonts w:ascii="Book Antiqua" w:hAnsi="Book Antiqua" w:hint="eastAsia"/>
          <w:lang w:eastAsia="zh-CN"/>
        </w:rPr>
        <w:t xml:space="preserve"> </w:t>
      </w:r>
      <w:r>
        <w:rPr>
          <w:rFonts w:ascii="Book Antiqua" w:eastAsia="Times New Roman" w:hAnsi="Book Antiqua"/>
          <w:b/>
        </w:rPr>
        <w:t>11</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69-73</w:t>
      </w:r>
      <w:r>
        <w:rPr>
          <w:rFonts w:ascii="Book Antiqua" w:hAnsi="Book Antiqua" w:hint="eastAsia"/>
          <w:lang w:eastAsia="zh-CN"/>
        </w:rPr>
        <w:t xml:space="preserve"> </w:t>
      </w:r>
      <w:r>
        <w:rPr>
          <w:rFonts w:ascii="Book Antiqua" w:eastAsia="Times New Roman" w:hAnsi="Book Antiqua"/>
        </w:rPr>
        <w:t>[DOI: 10.1016/j.jgeb.2012.11.001</w:t>
      </w:r>
      <w:r>
        <w:rPr>
          <w:rFonts w:ascii="Book Antiqua" w:hAnsi="Book Antiqua" w:hint="eastAsia"/>
          <w:lang w:eastAsia="zh-CN"/>
        </w:rPr>
        <w:t>]</w:t>
      </w:r>
    </w:p>
    <w:p w14:paraId="34E9B7E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124 </w:t>
      </w:r>
      <w:r>
        <w:rPr>
          <w:rFonts w:ascii="Book Antiqua" w:eastAsia="Times New Roman" w:hAnsi="Book Antiqua"/>
          <w:b/>
          <w:bCs/>
        </w:rPr>
        <w:t>Adinolfi LE</w:t>
      </w:r>
      <w:r>
        <w:rPr>
          <w:rFonts w:ascii="Book Antiqua" w:eastAsia="Times New Roman" w:hAnsi="Book Antiqua"/>
        </w:rPr>
        <w:t xml:space="preserve">, Petta S, Fracanzani AL, Nevola R, Coppola C, Narciso V, Rinaldi L, Calvaruso V, Pafundi PC, Lombardi R, Staiano L, Di Marco V, Solano A, Marrone A, Saturnino M, Rini F, Guerrera B, Troina G, Giordano M, Craxì A, Sasso FC. Reduced incidence of type 2 diabetes in patients with chronic hepatitis C virus infection cleared by direct-acting antiviral therapy: A prospective study. </w:t>
      </w:r>
      <w:r>
        <w:rPr>
          <w:rFonts w:ascii="Book Antiqua" w:eastAsia="Times New Roman" w:hAnsi="Book Antiqua"/>
          <w:i/>
          <w:iCs/>
        </w:rPr>
        <w:t>Diabetes Obes Metab</w:t>
      </w:r>
      <w:r>
        <w:rPr>
          <w:rFonts w:ascii="Book Antiqua" w:eastAsia="Times New Roman" w:hAnsi="Book Antiqua"/>
        </w:rPr>
        <w:t xml:space="preserve"> 2020; </w:t>
      </w:r>
      <w:r>
        <w:rPr>
          <w:rFonts w:ascii="Book Antiqua" w:eastAsia="Times New Roman" w:hAnsi="Book Antiqua"/>
          <w:b/>
          <w:bCs/>
        </w:rPr>
        <w:t>22</w:t>
      </w:r>
      <w:r>
        <w:rPr>
          <w:rFonts w:ascii="Book Antiqua" w:eastAsia="Times New Roman" w:hAnsi="Book Antiqua"/>
        </w:rPr>
        <w:t>: 2408-2416 [PMID: 32761721 DOI: 10.1111/dom.14168]</w:t>
      </w:r>
    </w:p>
    <w:p w14:paraId="05417510"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125 </w:t>
      </w:r>
      <w:r>
        <w:rPr>
          <w:rFonts w:ascii="Book Antiqua" w:eastAsia="Times New Roman" w:hAnsi="Book Antiqua"/>
          <w:b/>
          <w:bCs/>
        </w:rPr>
        <w:t>Urganci N,</w:t>
      </w:r>
      <w:r>
        <w:rPr>
          <w:rFonts w:ascii="Book Antiqua" w:eastAsia="Times New Roman" w:hAnsi="Book Antiqua"/>
        </w:rPr>
        <w:t xml:space="preserve"> Kalyoncub D, Geylani-Gulec S. Insulin resistance in children with chronic hepatitis C and its association with response to IFN-alpha and ribavirin. </w:t>
      </w:r>
      <w:r>
        <w:rPr>
          <w:rFonts w:ascii="Book Antiqua" w:eastAsia="Times New Roman" w:hAnsi="Book Antiqua"/>
          <w:i/>
        </w:rPr>
        <w:t>Revista de Gastroenterología de México</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rPr>
        <w:t>86:</w:t>
      </w:r>
      <w:r>
        <w:rPr>
          <w:rFonts w:ascii="Book Antiqua" w:hAnsi="Book Antiqua" w:hint="eastAsia"/>
          <w:lang w:eastAsia="zh-CN"/>
        </w:rPr>
        <w:t xml:space="preserve"> </w:t>
      </w:r>
      <w:r>
        <w:rPr>
          <w:rFonts w:ascii="Book Antiqua" w:eastAsia="Times New Roman" w:hAnsi="Book Antiqua"/>
        </w:rPr>
        <w:t>140-144</w:t>
      </w:r>
      <w:r>
        <w:rPr>
          <w:rFonts w:ascii="Book Antiqua" w:hAnsi="Book Antiqua" w:hint="eastAsia"/>
          <w:lang w:eastAsia="zh-CN"/>
        </w:rPr>
        <w:t xml:space="preserve"> </w:t>
      </w:r>
      <w:r>
        <w:rPr>
          <w:rFonts w:ascii="Book Antiqua" w:eastAsia="Times New Roman" w:hAnsi="Book Antiqua"/>
        </w:rPr>
        <w:t>[DOI: 10.1016/j.rgmxen.2020.07.006</w:t>
      </w:r>
      <w:r>
        <w:rPr>
          <w:rFonts w:ascii="Book Antiqua" w:hAnsi="Book Antiqua" w:hint="eastAsia"/>
          <w:lang w:eastAsia="zh-CN"/>
        </w:rPr>
        <w:t>]</w:t>
      </w:r>
    </w:p>
    <w:p w14:paraId="3B348D40"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126 </w:t>
      </w:r>
      <w:r>
        <w:rPr>
          <w:rFonts w:ascii="Book Antiqua" w:eastAsia="Times New Roman" w:hAnsi="Book Antiqua"/>
          <w:b/>
          <w:bCs/>
        </w:rPr>
        <w:t>Hum J</w:t>
      </w:r>
      <w:r>
        <w:rPr>
          <w:rFonts w:ascii="Book Antiqua" w:eastAsia="Times New Roman" w:hAnsi="Book Antiqua"/>
        </w:rPr>
        <w:t xml:space="preserve">, Jou JH. The link between hepatitis C virus and diabetes mellitus: Improvement in insulin resistance after eradication of hepatitis C virus. </w:t>
      </w:r>
      <w:r>
        <w:rPr>
          <w:rFonts w:ascii="Book Antiqua" w:eastAsia="Times New Roman" w:hAnsi="Book Antiqua"/>
          <w:i/>
          <w:iCs/>
        </w:rPr>
        <w:t>Clin Liver Dis (Hoboken)</w:t>
      </w:r>
      <w:r>
        <w:rPr>
          <w:rFonts w:ascii="Book Antiqua" w:eastAsia="Times New Roman" w:hAnsi="Book Antiqua"/>
        </w:rPr>
        <w:t xml:space="preserve"> 2018; </w:t>
      </w:r>
      <w:r>
        <w:rPr>
          <w:rFonts w:ascii="Book Antiqua" w:eastAsia="Times New Roman" w:hAnsi="Book Antiqua"/>
          <w:b/>
          <w:bCs/>
        </w:rPr>
        <w:t>11</w:t>
      </w:r>
      <w:r>
        <w:rPr>
          <w:rFonts w:ascii="Book Antiqua" w:eastAsia="Times New Roman" w:hAnsi="Book Antiqua"/>
        </w:rPr>
        <w:t>: 73-76 [PMID: 30992793 DOI: 10.1002/cld.694]</w:t>
      </w:r>
    </w:p>
    <w:p w14:paraId="6A1BB10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127 </w:t>
      </w:r>
      <w:r>
        <w:rPr>
          <w:rFonts w:ascii="Book Antiqua" w:eastAsia="Times New Roman" w:hAnsi="Book Antiqua"/>
          <w:b/>
          <w:bCs/>
        </w:rPr>
        <w:t>Jeong D</w:t>
      </w:r>
      <w:r>
        <w:rPr>
          <w:rFonts w:ascii="Book Antiqua" w:eastAsia="Times New Roman" w:hAnsi="Book Antiqua"/>
        </w:rPr>
        <w:t xml:space="preserve">, Karim ME, Wong S, Wilton J, Butt ZA, Binka M, Adu PA, Bartlett S, Pearce M, Clementi E, Yu A, Alvarez M, Samji H, Velásquez García HA, Abdia Y, Krajden M, Janjua NZ. Impact of HCV infection and ethnicity on incident type 2 diabetes: findings from a large population-based cohort in British Columbia. </w:t>
      </w:r>
      <w:r>
        <w:rPr>
          <w:rFonts w:ascii="Book Antiqua" w:eastAsia="Times New Roman" w:hAnsi="Book Antiqua"/>
          <w:i/>
          <w:iCs/>
        </w:rPr>
        <w:t>BMJ Open Diabetes Res Care</w:t>
      </w:r>
      <w:r>
        <w:rPr>
          <w:rFonts w:ascii="Book Antiqua" w:eastAsia="Times New Roman" w:hAnsi="Book Antiqua"/>
        </w:rPr>
        <w:t xml:space="preserve"> 2021; </w:t>
      </w:r>
      <w:r>
        <w:rPr>
          <w:rFonts w:ascii="Book Antiqua" w:eastAsia="Times New Roman" w:hAnsi="Book Antiqua"/>
          <w:b/>
          <w:bCs/>
        </w:rPr>
        <w:t>9</w:t>
      </w:r>
      <w:r>
        <w:rPr>
          <w:rFonts w:ascii="Book Antiqua" w:eastAsia="Times New Roman" w:hAnsi="Book Antiqua"/>
        </w:rPr>
        <w:t xml:space="preserve"> [PMID: 34099439 DOI: 10.1136/bmjdrc-2021-002145]</w:t>
      </w:r>
    </w:p>
    <w:p w14:paraId="43645A00"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128 </w:t>
      </w:r>
      <w:r>
        <w:rPr>
          <w:rFonts w:ascii="Book Antiqua" w:eastAsia="Times New Roman" w:hAnsi="Book Antiqua"/>
          <w:b/>
          <w:bCs/>
        </w:rPr>
        <w:t>Huang JF</w:t>
      </w:r>
      <w:r>
        <w:rPr>
          <w:rFonts w:ascii="Book Antiqua" w:eastAsia="Times New Roman" w:hAnsi="Book Antiqua"/>
        </w:rPr>
        <w:t xml:space="preserve">, Huang CF, Yeh ML, Dai CY, Hsieh MH, Yang JF, Huang CI, Lin YH, Liang PC, Lin ZY, Chen SC, Yu ML, Chuang WL. The outcomes of glucose abnormalities in chronic hepatitis C patients receiving interferon-free direct antiviral agents. </w:t>
      </w:r>
      <w:r>
        <w:rPr>
          <w:rFonts w:ascii="Book Antiqua" w:eastAsia="Times New Roman" w:hAnsi="Book Antiqua"/>
          <w:i/>
          <w:iCs/>
        </w:rPr>
        <w:t>Kaohsiung J Med Sci</w:t>
      </w:r>
      <w:r>
        <w:rPr>
          <w:rFonts w:ascii="Book Antiqua" w:eastAsia="Times New Roman" w:hAnsi="Book Antiqua"/>
        </w:rPr>
        <w:t xml:space="preserve"> 2017; </w:t>
      </w:r>
      <w:r>
        <w:rPr>
          <w:rFonts w:ascii="Book Antiqua" w:eastAsia="Times New Roman" w:hAnsi="Book Antiqua"/>
          <w:b/>
          <w:bCs/>
        </w:rPr>
        <w:t>33</w:t>
      </w:r>
      <w:r>
        <w:rPr>
          <w:rFonts w:ascii="Book Antiqua" w:eastAsia="Times New Roman" w:hAnsi="Book Antiqua"/>
        </w:rPr>
        <w:t>: 567-571 [PMID: 29050674 DOI: 10.1016/j.kjms.2017.07.003]</w:t>
      </w:r>
    </w:p>
    <w:p w14:paraId="7BDD8BC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129 </w:t>
      </w:r>
      <w:r>
        <w:rPr>
          <w:rFonts w:ascii="Book Antiqua" w:eastAsia="Times New Roman" w:hAnsi="Book Antiqua"/>
          <w:b/>
          <w:bCs/>
        </w:rPr>
        <w:t>Tsai MC</w:t>
      </w:r>
      <w:r>
        <w:rPr>
          <w:rFonts w:ascii="Book Antiqua" w:eastAsia="Times New Roman" w:hAnsi="Book Antiqua"/>
        </w:rPr>
        <w:t xml:space="preserve">, Kao KL, Huang HC, Chen W, Fang CK, Sung FC, Wu SI, Stewart R. Incidence of Type 2 Diabetes in Patients With Chronic Hepatitis C Receiving Interferon-Based Therapy. </w:t>
      </w:r>
      <w:r>
        <w:rPr>
          <w:rFonts w:ascii="Book Antiqua" w:eastAsia="Times New Roman" w:hAnsi="Book Antiqua"/>
          <w:i/>
          <w:iCs/>
        </w:rPr>
        <w:t>Diabetes Care</w:t>
      </w:r>
      <w:r>
        <w:rPr>
          <w:rFonts w:ascii="Book Antiqua" w:eastAsia="Times New Roman" w:hAnsi="Book Antiqua"/>
        </w:rPr>
        <w:t xml:space="preserve"> 2020; </w:t>
      </w:r>
      <w:r>
        <w:rPr>
          <w:rFonts w:ascii="Book Antiqua" w:eastAsia="Times New Roman" w:hAnsi="Book Antiqua"/>
          <w:b/>
          <w:bCs/>
        </w:rPr>
        <w:t>43</w:t>
      </w:r>
      <w:r>
        <w:rPr>
          <w:rFonts w:ascii="Book Antiqua" w:eastAsia="Times New Roman" w:hAnsi="Book Antiqua"/>
        </w:rPr>
        <w:t>: e63-e64 [PMID: 32209648 DOI: 10.2337/dc19-1704]</w:t>
      </w:r>
    </w:p>
    <w:p w14:paraId="7D47A8E7"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130 </w:t>
      </w:r>
      <w:r>
        <w:rPr>
          <w:rFonts w:ascii="Book Antiqua" w:eastAsia="Times New Roman" w:hAnsi="Book Antiqua"/>
          <w:b/>
          <w:bCs/>
        </w:rPr>
        <w:t>Ribaldone DG,</w:t>
      </w:r>
      <w:r>
        <w:rPr>
          <w:rFonts w:ascii="Book Antiqua" w:eastAsia="Times New Roman" w:hAnsi="Book Antiqua"/>
        </w:rPr>
        <w:t xml:space="preserve"> Sacco M, Saracco GM. The Effect of Viral Clearance Achieved by Direct-Acting Antiviral Agents on Hepatitis C Virus Positive Patients with Type 2 Diabetes Mellitus: A Word of Caution after the Initial Enthusiasm. </w:t>
      </w:r>
      <w:r>
        <w:rPr>
          <w:rFonts w:ascii="Book Antiqua" w:eastAsia="Times New Roman" w:hAnsi="Book Antiqua"/>
          <w:i/>
        </w:rPr>
        <w:t>Journal of Clinical Medicine</w:t>
      </w:r>
      <w:r>
        <w:rPr>
          <w:rFonts w:ascii="Book Antiqua" w:hAnsi="Book Antiqua" w:hint="eastAsia"/>
          <w:lang w:eastAsia="zh-CN"/>
        </w:rPr>
        <w:t xml:space="preserve"> </w:t>
      </w:r>
      <w:r>
        <w:rPr>
          <w:rFonts w:ascii="Book Antiqua" w:eastAsia="Times New Roman" w:hAnsi="Book Antiqua"/>
        </w:rPr>
        <w:t>2020;</w:t>
      </w:r>
      <w:r>
        <w:rPr>
          <w:rFonts w:ascii="Book Antiqua" w:hAnsi="Book Antiqua" w:hint="eastAsia"/>
          <w:lang w:eastAsia="zh-CN"/>
        </w:rPr>
        <w:t xml:space="preserve"> </w:t>
      </w:r>
      <w:r>
        <w:rPr>
          <w:rFonts w:ascii="Book Antiqua" w:eastAsia="Times New Roman" w:hAnsi="Book Antiqua"/>
          <w:b/>
        </w:rPr>
        <w:t>9</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1-18</w:t>
      </w:r>
      <w:r>
        <w:rPr>
          <w:rFonts w:ascii="Book Antiqua" w:hAnsi="Book Antiqua" w:hint="eastAsia"/>
          <w:lang w:eastAsia="zh-CN"/>
        </w:rPr>
        <w:t xml:space="preserve"> </w:t>
      </w:r>
      <w:r>
        <w:rPr>
          <w:rFonts w:ascii="Book Antiqua" w:eastAsia="Times New Roman" w:hAnsi="Book Antiqua"/>
        </w:rPr>
        <w:t>[DOI: 10.3390/jcm9020563</w:t>
      </w:r>
      <w:r>
        <w:rPr>
          <w:rFonts w:ascii="Book Antiqua" w:hAnsi="Book Antiqua" w:hint="eastAsia"/>
          <w:lang w:eastAsia="zh-CN"/>
        </w:rPr>
        <w:t>]</w:t>
      </w:r>
    </w:p>
    <w:p w14:paraId="4127A9D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131 </w:t>
      </w:r>
      <w:r>
        <w:rPr>
          <w:rFonts w:ascii="Book Antiqua" w:eastAsia="Times New Roman" w:hAnsi="Book Antiqua"/>
          <w:b/>
          <w:bCs/>
        </w:rPr>
        <w:t>Mahmoud B</w:t>
      </w:r>
      <w:r>
        <w:rPr>
          <w:rFonts w:ascii="Book Antiqua" w:eastAsia="Times New Roman" w:hAnsi="Book Antiqua"/>
        </w:rPr>
        <w:t xml:space="preserve">, Moneim AA, Mabrouk D. The impact of HCV eradication on hyperglycemia, insulin resistance, cytokine production, and insulin receptor substrate-1 and 2 expression in patients with HCV infection. </w:t>
      </w:r>
      <w:r>
        <w:rPr>
          <w:rFonts w:ascii="Book Antiqua" w:eastAsia="Times New Roman" w:hAnsi="Book Antiqua"/>
          <w:i/>
          <w:iCs/>
        </w:rPr>
        <w:t>Clin Exp Med</w:t>
      </w:r>
      <w:r>
        <w:rPr>
          <w:rFonts w:ascii="Book Antiqua" w:eastAsia="Times New Roman" w:hAnsi="Book Antiqua"/>
        </w:rPr>
        <w:t xml:space="preserve"> 2021 [PMID: 34757525 DOI: 10.1007/s10238-021-00773-1]</w:t>
      </w:r>
    </w:p>
    <w:p w14:paraId="29AC7E8B"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132 </w:t>
      </w:r>
      <w:r>
        <w:rPr>
          <w:rFonts w:ascii="Book Antiqua" w:eastAsia="Times New Roman" w:hAnsi="Book Antiqua"/>
          <w:b/>
          <w:bCs/>
        </w:rPr>
        <w:t>Yosef T,</w:t>
      </w:r>
      <w:r>
        <w:rPr>
          <w:rFonts w:ascii="Book Antiqua" w:eastAsia="Times New Roman" w:hAnsi="Book Antiqua"/>
        </w:rPr>
        <w:t xml:space="preserve"> Ibrahim WA, El Ghandour A, Attia S, El Nakeep S. Efect of diferent direct-acting antiviral regimens for treatment of nondiabetic hepatitis C virus-infected Egyptian patients on insulin resistance and sensitivity. </w:t>
      </w:r>
      <w:r>
        <w:rPr>
          <w:rFonts w:ascii="Book Antiqua" w:eastAsia="Times New Roman" w:hAnsi="Book Antiqua"/>
          <w:i/>
        </w:rPr>
        <w:t>Egypt J Intern Med</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33</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1-14</w:t>
      </w:r>
      <w:r>
        <w:rPr>
          <w:rFonts w:ascii="Book Antiqua" w:hAnsi="Book Antiqua" w:hint="eastAsia"/>
          <w:lang w:eastAsia="zh-CN"/>
        </w:rPr>
        <w:t xml:space="preserve"> </w:t>
      </w:r>
      <w:r>
        <w:rPr>
          <w:rFonts w:ascii="Book Antiqua" w:eastAsia="Times New Roman" w:hAnsi="Book Antiqua"/>
        </w:rPr>
        <w:t>[DOI: 10.1186/s43162-021-00075-8</w:t>
      </w:r>
      <w:r>
        <w:rPr>
          <w:rFonts w:ascii="Book Antiqua" w:hAnsi="Book Antiqua" w:hint="eastAsia"/>
          <w:lang w:eastAsia="zh-CN"/>
        </w:rPr>
        <w:t>]</w:t>
      </w:r>
    </w:p>
    <w:p w14:paraId="597F6C9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133 </w:t>
      </w:r>
      <w:r>
        <w:rPr>
          <w:rFonts w:ascii="Book Antiqua" w:eastAsia="Times New Roman" w:hAnsi="Book Antiqua"/>
          <w:b/>
          <w:bCs/>
        </w:rPr>
        <w:t>Zignego AL</w:t>
      </w:r>
      <w:r>
        <w:rPr>
          <w:rFonts w:ascii="Book Antiqua" w:eastAsia="Times New Roman" w:hAnsi="Book Antiqua"/>
        </w:rPr>
        <w:t xml:space="preserve">, Ramos-Casals M, Ferri C, Saadoun D, Arcaini L, Roccatello D, Antonelli A, Desbois AC, Comarmond C, Gragnani L, Casato M, Lamprecht P, Mangia A, Tzioufas AG, Younossi ZM, Cacoub P; ISG-EHCV. International therapeutic guidelines for patients with HCV-related extrahepatic disorders. A multidisciplinary expert statement. </w:t>
      </w:r>
      <w:r>
        <w:rPr>
          <w:rFonts w:ascii="Book Antiqua" w:eastAsia="Times New Roman" w:hAnsi="Book Antiqua"/>
          <w:i/>
          <w:iCs/>
        </w:rPr>
        <w:t>Autoimmun Rev</w:t>
      </w:r>
      <w:r>
        <w:rPr>
          <w:rFonts w:ascii="Book Antiqua" w:eastAsia="Times New Roman" w:hAnsi="Book Antiqua"/>
        </w:rPr>
        <w:t xml:space="preserve"> 2017; </w:t>
      </w:r>
      <w:r>
        <w:rPr>
          <w:rFonts w:ascii="Book Antiqua" w:eastAsia="Times New Roman" w:hAnsi="Book Antiqua"/>
          <w:b/>
          <w:bCs/>
        </w:rPr>
        <w:t>16</w:t>
      </w:r>
      <w:r>
        <w:rPr>
          <w:rFonts w:ascii="Book Antiqua" w:eastAsia="Times New Roman" w:hAnsi="Book Antiqua"/>
        </w:rPr>
        <w:t>: 523-541 [PMID: 28286108 DOI: 10.1016/j.autrev.2017.03.004]</w:t>
      </w:r>
    </w:p>
    <w:p w14:paraId="0876C63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134 </w:t>
      </w:r>
      <w:r>
        <w:rPr>
          <w:rFonts w:ascii="Book Antiqua" w:eastAsia="Times New Roman" w:hAnsi="Book Antiqua"/>
          <w:b/>
          <w:bCs/>
        </w:rPr>
        <w:t>Andres J</w:t>
      </w:r>
      <w:r>
        <w:rPr>
          <w:rFonts w:ascii="Book Antiqua" w:eastAsia="Times New Roman" w:hAnsi="Book Antiqua"/>
        </w:rPr>
        <w:t xml:space="preserve">, Barros M, Arutunian M, Zhao H. Treatment of Hepatitis C Virus and Long-Term Effect on Glycemic Control. </w:t>
      </w:r>
      <w:r>
        <w:rPr>
          <w:rFonts w:ascii="Book Antiqua" w:eastAsia="Times New Roman" w:hAnsi="Book Antiqua"/>
          <w:i/>
          <w:iCs/>
        </w:rPr>
        <w:t>J Manag Care Spec Pharm</w:t>
      </w:r>
      <w:r>
        <w:rPr>
          <w:rFonts w:ascii="Book Antiqua" w:eastAsia="Times New Roman" w:hAnsi="Book Antiqua"/>
        </w:rPr>
        <w:t xml:space="preserve"> 2020; </w:t>
      </w:r>
      <w:r>
        <w:rPr>
          <w:rFonts w:ascii="Book Antiqua" w:eastAsia="Times New Roman" w:hAnsi="Book Antiqua"/>
          <w:b/>
          <w:bCs/>
        </w:rPr>
        <w:t>26</w:t>
      </w:r>
      <w:r>
        <w:rPr>
          <w:rFonts w:ascii="Book Antiqua" w:eastAsia="Times New Roman" w:hAnsi="Book Antiqua"/>
        </w:rPr>
        <w:t>: 775-781 [PMID: 32463777 DOI: 10.18553/jmcp.2020.26.6.775]</w:t>
      </w:r>
    </w:p>
    <w:p w14:paraId="4F9FC7A9"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135 </w:t>
      </w:r>
      <w:r>
        <w:rPr>
          <w:rFonts w:ascii="Book Antiqua" w:eastAsia="Times New Roman" w:hAnsi="Book Antiqua"/>
          <w:b/>
          <w:bCs/>
        </w:rPr>
        <w:t>Treppo E,</w:t>
      </w:r>
      <w:r>
        <w:rPr>
          <w:rFonts w:ascii="Book Antiqua" w:eastAsia="Times New Roman" w:hAnsi="Book Antiqua"/>
        </w:rPr>
        <w:t xml:space="preserve"> Quartuccio L, Ragab G, De Vita S. Rheumatologic manifestations of Hepatitis C Virus. Hepatitis C Infection: A Systemic Disease. Review. </w:t>
      </w:r>
      <w:r>
        <w:rPr>
          <w:rFonts w:ascii="Book Antiqua" w:eastAsia="Times New Roman" w:hAnsi="Book Antiqua"/>
          <w:i/>
        </w:rPr>
        <w:t>Minerva Medica</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112</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201-</w:t>
      </w:r>
      <w:r>
        <w:rPr>
          <w:rFonts w:ascii="Book Antiqua" w:hAnsi="Book Antiqua" w:hint="eastAsia"/>
          <w:lang w:eastAsia="zh-CN"/>
        </w:rPr>
        <w:t>2</w:t>
      </w:r>
      <w:r>
        <w:rPr>
          <w:rFonts w:ascii="Book Antiqua" w:eastAsia="Times New Roman" w:hAnsi="Book Antiqua"/>
        </w:rPr>
        <w:t>14</w:t>
      </w:r>
      <w:r>
        <w:rPr>
          <w:rFonts w:ascii="Book Antiqua" w:hAnsi="Book Antiqua" w:hint="eastAsia"/>
          <w:lang w:eastAsia="zh-CN"/>
        </w:rPr>
        <w:t xml:space="preserve"> </w:t>
      </w:r>
      <w:r>
        <w:rPr>
          <w:rFonts w:ascii="Book Antiqua" w:eastAsia="Times New Roman" w:hAnsi="Book Antiqua"/>
        </w:rPr>
        <w:t>[DOI: 10.23736/S0026-4806.20.07158-X</w:t>
      </w:r>
      <w:r>
        <w:rPr>
          <w:rFonts w:ascii="Book Antiqua" w:hAnsi="Book Antiqua" w:hint="eastAsia"/>
          <w:lang w:eastAsia="zh-CN"/>
        </w:rPr>
        <w:t>]</w:t>
      </w:r>
    </w:p>
    <w:p w14:paraId="3FBB6C6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136 </w:t>
      </w:r>
      <w:r>
        <w:rPr>
          <w:rFonts w:ascii="Book Antiqua" w:eastAsia="Times New Roman" w:hAnsi="Book Antiqua"/>
          <w:b/>
          <w:bCs/>
        </w:rPr>
        <w:t>Shahin AA</w:t>
      </w:r>
      <w:r>
        <w:rPr>
          <w:rFonts w:ascii="Book Antiqua" w:eastAsia="Times New Roman" w:hAnsi="Book Antiqua"/>
        </w:rPr>
        <w:t xml:space="preserve">, Zayed HS, Said M, Amer SA. Efficacy and safety of sofosbuvir-based, interferon-free therapy : The Management of rheumatologic extrahepatic manifestations </w:t>
      </w:r>
      <w:r>
        <w:rPr>
          <w:rFonts w:ascii="Book Antiqua" w:eastAsia="Times New Roman" w:hAnsi="Book Antiqua"/>
        </w:rPr>
        <w:lastRenderedPageBreak/>
        <w:t xml:space="preserve">associated with chronic hepatitis C virus infection. </w:t>
      </w:r>
      <w:r>
        <w:rPr>
          <w:rFonts w:ascii="Book Antiqua" w:eastAsia="Times New Roman" w:hAnsi="Book Antiqua"/>
          <w:i/>
          <w:iCs/>
        </w:rPr>
        <w:t>Z Rheumatol</w:t>
      </w:r>
      <w:r>
        <w:rPr>
          <w:rFonts w:ascii="Book Antiqua" w:eastAsia="Times New Roman" w:hAnsi="Book Antiqua"/>
        </w:rPr>
        <w:t xml:space="preserve"> 2018; </w:t>
      </w:r>
      <w:r>
        <w:rPr>
          <w:rFonts w:ascii="Book Antiqua" w:eastAsia="Times New Roman" w:hAnsi="Book Antiqua"/>
          <w:b/>
          <w:bCs/>
        </w:rPr>
        <w:t>77</w:t>
      </w:r>
      <w:r>
        <w:rPr>
          <w:rFonts w:ascii="Book Antiqua" w:eastAsia="Times New Roman" w:hAnsi="Book Antiqua"/>
        </w:rPr>
        <w:t>: 621-628 [PMID: 28795238 DOI: 10.1007/s00393-017-0356-7]</w:t>
      </w:r>
    </w:p>
    <w:p w14:paraId="143A3BE8"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137 </w:t>
      </w:r>
      <w:r>
        <w:rPr>
          <w:rFonts w:ascii="Book Antiqua" w:eastAsia="Times New Roman" w:hAnsi="Book Antiqua"/>
          <w:b/>
          <w:bCs/>
        </w:rPr>
        <w:t>Flores-Chávez A,</w:t>
      </w:r>
      <w:r>
        <w:rPr>
          <w:rFonts w:ascii="Book Antiqua" w:eastAsia="Times New Roman" w:hAnsi="Book Antiqua"/>
        </w:rPr>
        <w:t xml:space="preserve"> Carrion JA, Forns X, Ramos-Casals M. Extrahepatic manifestations associated with chronic Hepatitis C Virus infection. </w:t>
      </w:r>
      <w:r>
        <w:rPr>
          <w:rFonts w:ascii="Book Antiqua" w:eastAsia="Times New Roman" w:hAnsi="Book Antiqua"/>
          <w:i/>
        </w:rPr>
        <w:t>Rev Esp Sanid Penit</w:t>
      </w:r>
      <w:r>
        <w:rPr>
          <w:rFonts w:ascii="Book Antiqua" w:hAnsi="Book Antiqua" w:hint="eastAsia"/>
          <w:lang w:eastAsia="zh-CN"/>
        </w:rPr>
        <w:t xml:space="preserve"> </w:t>
      </w:r>
      <w:r>
        <w:rPr>
          <w:rFonts w:ascii="Book Antiqua" w:eastAsia="Times New Roman" w:hAnsi="Book Antiqua"/>
        </w:rPr>
        <w:t>2017;</w:t>
      </w:r>
      <w:r>
        <w:rPr>
          <w:rFonts w:ascii="Book Antiqua" w:hAnsi="Book Antiqua" w:hint="eastAsia"/>
          <w:lang w:eastAsia="zh-CN"/>
        </w:rPr>
        <w:t xml:space="preserve"> </w:t>
      </w:r>
      <w:r>
        <w:rPr>
          <w:rFonts w:ascii="Book Antiqua" w:eastAsia="Times New Roman" w:hAnsi="Book Antiqua"/>
          <w:b/>
        </w:rPr>
        <w:t>19</w:t>
      </w:r>
      <w:r>
        <w:rPr>
          <w:rFonts w:ascii="Book Antiqua" w:eastAsia="Times New Roman" w:hAnsi="Book Antiqua"/>
        </w:rPr>
        <w:t>: 87-97</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10.4321/S1575-06202017000300004</w:t>
      </w:r>
      <w:r>
        <w:rPr>
          <w:rFonts w:ascii="Book Antiqua" w:hAnsi="Book Antiqua" w:hint="eastAsia"/>
          <w:lang w:eastAsia="zh-CN"/>
        </w:rPr>
        <w:t>]</w:t>
      </w:r>
    </w:p>
    <w:p w14:paraId="1918E54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138 </w:t>
      </w:r>
      <w:r>
        <w:rPr>
          <w:rFonts w:ascii="Book Antiqua" w:eastAsia="Times New Roman" w:hAnsi="Book Antiqua"/>
          <w:b/>
          <w:bCs/>
        </w:rPr>
        <w:t>Kchir H</w:t>
      </w:r>
      <w:r>
        <w:rPr>
          <w:rFonts w:ascii="Book Antiqua" w:eastAsia="Times New Roman" w:hAnsi="Book Antiqua"/>
        </w:rPr>
        <w:t xml:space="preserve">, Kaffel D, Cherif D, Hamdi W, Maamouri N. Rheumatologic manifestations during chronic viral hepatitis C. </w:t>
      </w:r>
      <w:r>
        <w:rPr>
          <w:rFonts w:ascii="Book Antiqua" w:eastAsia="Times New Roman" w:hAnsi="Book Antiqua"/>
          <w:i/>
          <w:iCs/>
        </w:rPr>
        <w:t>Tunis Med</w:t>
      </w:r>
      <w:r>
        <w:rPr>
          <w:rFonts w:ascii="Book Antiqua" w:eastAsia="Times New Roman" w:hAnsi="Book Antiqua"/>
        </w:rPr>
        <w:t xml:space="preserve"> 2019; </w:t>
      </w:r>
      <w:r>
        <w:rPr>
          <w:rFonts w:ascii="Book Antiqua" w:eastAsia="Times New Roman" w:hAnsi="Book Antiqua"/>
          <w:b/>
          <w:bCs/>
        </w:rPr>
        <w:t>97</w:t>
      </w:r>
      <w:r>
        <w:rPr>
          <w:rFonts w:ascii="Book Antiqua" w:eastAsia="Times New Roman" w:hAnsi="Book Antiqua"/>
        </w:rPr>
        <w:t>: 1251-1257 [PMID: 32173827]</w:t>
      </w:r>
    </w:p>
    <w:p w14:paraId="6B1FF4BC"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139 </w:t>
      </w:r>
      <w:r>
        <w:rPr>
          <w:rFonts w:ascii="Book Antiqua" w:eastAsia="Times New Roman" w:hAnsi="Book Antiqua"/>
          <w:b/>
          <w:bCs/>
        </w:rPr>
        <w:t>Ezzat WM</w:t>
      </w:r>
      <w:r>
        <w:rPr>
          <w:rFonts w:ascii="Book Antiqua" w:eastAsia="Times New Roman" w:hAnsi="Book Antiqua"/>
        </w:rPr>
        <w:t xml:space="preserve">, Raslan HM, Aly AA, Emara NA, El Menyawi MM, Edrees A. Anti-cyclic citrullinated peptide antibodies as a discriminating marker between rheumatoid arthritis and chronic hepatitis C-related polyarthropathy. </w:t>
      </w:r>
      <w:r>
        <w:rPr>
          <w:rFonts w:ascii="Book Antiqua" w:eastAsia="Times New Roman" w:hAnsi="Book Antiqua"/>
          <w:i/>
          <w:iCs/>
        </w:rPr>
        <w:t>Rheumatol Int</w:t>
      </w:r>
      <w:r>
        <w:rPr>
          <w:rFonts w:ascii="Book Antiqua" w:eastAsia="Times New Roman" w:hAnsi="Book Antiqua"/>
        </w:rPr>
        <w:t xml:space="preserve"> 2011; </w:t>
      </w:r>
      <w:r>
        <w:rPr>
          <w:rFonts w:ascii="Book Antiqua" w:eastAsia="Times New Roman" w:hAnsi="Book Antiqua"/>
          <w:b/>
          <w:bCs/>
        </w:rPr>
        <w:t>31</w:t>
      </w:r>
      <w:r>
        <w:rPr>
          <w:rFonts w:ascii="Book Antiqua" w:eastAsia="Times New Roman" w:hAnsi="Book Antiqua"/>
        </w:rPr>
        <w:t>: 65-69 [PMID: 19882340 DOI: 10.1007/s00296-009-1225-8]</w:t>
      </w:r>
    </w:p>
    <w:p w14:paraId="43FCAF62"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140 </w:t>
      </w:r>
      <w:r>
        <w:rPr>
          <w:rFonts w:ascii="Book Antiqua" w:eastAsia="Times New Roman" w:hAnsi="Book Antiqua"/>
          <w:b/>
          <w:bCs/>
        </w:rPr>
        <w:t>Priora M,</w:t>
      </w:r>
      <w:r>
        <w:rPr>
          <w:rFonts w:ascii="Book Antiqua" w:eastAsia="Times New Roman" w:hAnsi="Book Antiqua"/>
        </w:rPr>
        <w:t xml:space="preserve"> Borrelli R, Parisi S, Ditto MC, Realmuto C, Laganà A,</w:t>
      </w:r>
      <w:r>
        <w:rPr>
          <w:rFonts w:ascii="Book Antiqua" w:eastAsia="Times New Roman" w:hAnsi="Book Antiqua"/>
          <w:i/>
        </w:rPr>
        <w:t xml:space="preserve"> et al</w:t>
      </w:r>
      <w:r>
        <w:rPr>
          <w:rFonts w:ascii="Book Antiqua" w:eastAsia="Times New Roman" w:hAnsi="Book Antiqua"/>
        </w:rPr>
        <w:t xml:space="preserve">. Autoantibodies and Rheumatologic Manifestations in Hepatitis C Virus Infection. </w:t>
      </w:r>
      <w:r>
        <w:rPr>
          <w:rFonts w:ascii="Book Antiqua" w:eastAsia="Times New Roman" w:hAnsi="Book Antiqua"/>
          <w:i/>
        </w:rPr>
        <w:t>Biology</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10</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1-12</w:t>
      </w:r>
      <w:r>
        <w:rPr>
          <w:rFonts w:ascii="Book Antiqua" w:hAnsi="Book Antiqua" w:hint="eastAsia"/>
          <w:lang w:eastAsia="zh-CN"/>
        </w:rPr>
        <w:t xml:space="preserve"> </w:t>
      </w:r>
      <w:r>
        <w:rPr>
          <w:rFonts w:ascii="Book Antiqua" w:eastAsia="Times New Roman" w:hAnsi="Book Antiqua"/>
        </w:rPr>
        <w:t>[DOI: 10.3390/biology10111071</w:t>
      </w:r>
      <w:r>
        <w:rPr>
          <w:rFonts w:ascii="Book Antiqua" w:hAnsi="Book Antiqua" w:hint="eastAsia"/>
          <w:lang w:eastAsia="zh-CN"/>
        </w:rPr>
        <w:t>]</w:t>
      </w:r>
    </w:p>
    <w:p w14:paraId="4FE1096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141 </w:t>
      </w:r>
      <w:r>
        <w:rPr>
          <w:rFonts w:ascii="Book Antiqua" w:eastAsia="Times New Roman" w:hAnsi="Book Antiqua"/>
          <w:b/>
          <w:bCs/>
        </w:rPr>
        <w:t>Priora M</w:t>
      </w:r>
      <w:r>
        <w:rPr>
          <w:rFonts w:ascii="Book Antiqua" w:eastAsia="Times New Roman" w:hAnsi="Book Antiqua"/>
        </w:rPr>
        <w:t xml:space="preserve">, Realmuto C, Parisi S, Ditto MC, Borrelli R, Peroni CL, Laganà A, Fusaro E. Rheumatologic manifestations of hepatitis C in the era of direct-acting antiviral agents. </w:t>
      </w:r>
      <w:r>
        <w:rPr>
          <w:rFonts w:ascii="Book Antiqua" w:eastAsia="Times New Roman" w:hAnsi="Book Antiqua"/>
          <w:i/>
          <w:iCs/>
        </w:rPr>
        <w:t>Minerva Gastroenterol Dietol</w:t>
      </w:r>
      <w:r>
        <w:rPr>
          <w:rFonts w:ascii="Book Antiqua" w:eastAsia="Times New Roman" w:hAnsi="Book Antiqua"/>
        </w:rPr>
        <w:t xml:space="preserve"> 2020; </w:t>
      </w:r>
      <w:r>
        <w:rPr>
          <w:rFonts w:ascii="Book Antiqua" w:eastAsia="Times New Roman" w:hAnsi="Book Antiqua"/>
          <w:b/>
          <w:bCs/>
        </w:rPr>
        <w:t>66</w:t>
      </w:r>
      <w:r>
        <w:rPr>
          <w:rFonts w:ascii="Book Antiqua" w:eastAsia="Times New Roman" w:hAnsi="Book Antiqua"/>
        </w:rPr>
        <w:t>: 280-289 [PMID: 32218427 DOI: 10.23736/S1121-421X.20.02680-X]</w:t>
      </w:r>
    </w:p>
    <w:p w14:paraId="0732CD9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142 </w:t>
      </w:r>
      <w:r>
        <w:rPr>
          <w:rFonts w:ascii="Book Antiqua" w:eastAsia="Times New Roman" w:hAnsi="Book Antiqua"/>
          <w:b/>
          <w:bCs/>
        </w:rPr>
        <w:t>Mohanty A</w:t>
      </w:r>
      <w:r>
        <w:rPr>
          <w:rFonts w:ascii="Book Antiqua" w:eastAsia="Times New Roman" w:hAnsi="Book Antiqua"/>
        </w:rPr>
        <w:t xml:space="preserve">, Salameh S, Butt AA. Impact of Direct Acting Antiviral Agent Therapy upon Extrahepatic Manifestations of Hepatitis C Virus Infection. </w:t>
      </w:r>
      <w:r>
        <w:rPr>
          <w:rFonts w:ascii="Book Antiqua" w:eastAsia="Times New Roman" w:hAnsi="Book Antiqua"/>
          <w:i/>
          <w:iCs/>
        </w:rPr>
        <w:t>Curr HIV/AIDS Rep</w:t>
      </w:r>
      <w:r>
        <w:rPr>
          <w:rFonts w:ascii="Book Antiqua" w:eastAsia="Times New Roman" w:hAnsi="Book Antiqua"/>
        </w:rPr>
        <w:t xml:space="preserve"> 2019; </w:t>
      </w:r>
      <w:r>
        <w:rPr>
          <w:rFonts w:ascii="Book Antiqua" w:eastAsia="Times New Roman" w:hAnsi="Book Antiqua"/>
          <w:b/>
          <w:bCs/>
        </w:rPr>
        <w:t>16</w:t>
      </w:r>
      <w:r>
        <w:rPr>
          <w:rFonts w:ascii="Book Antiqua" w:eastAsia="Times New Roman" w:hAnsi="Book Antiqua"/>
        </w:rPr>
        <w:t>: 389-394 [PMID: 31482299 DOI: 10.1007/s11904-019-00466-1]</w:t>
      </w:r>
    </w:p>
    <w:p w14:paraId="43053E5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143 </w:t>
      </w:r>
      <w:r>
        <w:rPr>
          <w:rFonts w:ascii="Book Antiqua" w:eastAsia="Times New Roman" w:hAnsi="Book Antiqua"/>
          <w:b/>
          <w:bCs/>
        </w:rPr>
        <w:t>de Oliveira IMX,</w:t>
      </w:r>
      <w:r>
        <w:rPr>
          <w:rFonts w:ascii="Book Antiqua" w:eastAsia="Times New Roman" w:hAnsi="Book Antiqua"/>
        </w:rPr>
        <w:t xml:space="preserve"> da Silva RSU. Rheumatological Manifestations Associated with Viral Hepatitis B or C. </w:t>
      </w:r>
      <w:r>
        <w:rPr>
          <w:rFonts w:ascii="Book Antiqua" w:eastAsia="Times New Roman" w:hAnsi="Book Antiqua"/>
          <w:i/>
        </w:rPr>
        <w:t>Journal of the Brazilian Society of Tropical Medicine</w:t>
      </w:r>
      <w:r>
        <w:rPr>
          <w:rFonts w:ascii="Book Antiqua" w:hAnsi="Book Antiqua" w:hint="eastAsia"/>
          <w:lang w:eastAsia="zh-CN"/>
        </w:rPr>
        <w:t xml:space="preserve"> </w:t>
      </w:r>
      <w:r>
        <w:rPr>
          <w:rFonts w:ascii="Book Antiqua" w:eastAsia="Times New Roman" w:hAnsi="Book Antiqua"/>
        </w:rPr>
        <w:t>2019;</w:t>
      </w:r>
      <w:r>
        <w:rPr>
          <w:rFonts w:ascii="Book Antiqua" w:hAnsi="Book Antiqua" w:hint="eastAsia"/>
          <w:lang w:eastAsia="zh-CN"/>
        </w:rPr>
        <w:t xml:space="preserve"> </w:t>
      </w:r>
      <w:r>
        <w:rPr>
          <w:rFonts w:ascii="Book Antiqua" w:eastAsia="Times New Roman" w:hAnsi="Book Antiqua"/>
        </w:rPr>
        <w:t>52:</w:t>
      </w:r>
      <w:r>
        <w:rPr>
          <w:rFonts w:ascii="Book Antiqua" w:hAnsi="Book Antiqua" w:hint="eastAsia"/>
          <w:lang w:eastAsia="zh-CN"/>
        </w:rPr>
        <w:t xml:space="preserve"> </w:t>
      </w:r>
      <w:r>
        <w:rPr>
          <w:rFonts w:ascii="Book Antiqua" w:eastAsia="Times New Roman" w:hAnsi="Book Antiqua"/>
        </w:rPr>
        <w:t>1-7</w:t>
      </w:r>
      <w:r>
        <w:rPr>
          <w:rFonts w:ascii="Book Antiqua" w:hAnsi="Book Antiqua" w:hint="eastAsia"/>
          <w:lang w:eastAsia="zh-CN"/>
        </w:rPr>
        <w:t xml:space="preserve"> </w:t>
      </w:r>
      <w:r>
        <w:rPr>
          <w:rFonts w:ascii="Book Antiqua" w:eastAsia="Times New Roman" w:hAnsi="Book Antiqua"/>
        </w:rPr>
        <w:t>[DOI: 10.1590/0037-8682-0407-2018</w:t>
      </w:r>
      <w:r>
        <w:rPr>
          <w:rFonts w:ascii="Book Antiqua" w:hAnsi="Book Antiqua" w:hint="eastAsia"/>
          <w:lang w:eastAsia="zh-CN"/>
        </w:rPr>
        <w:t>]</w:t>
      </w:r>
    </w:p>
    <w:p w14:paraId="3B367E4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144 </w:t>
      </w:r>
      <w:r>
        <w:rPr>
          <w:rFonts w:ascii="Book Antiqua" w:eastAsia="Times New Roman" w:hAnsi="Book Antiqua"/>
          <w:b/>
          <w:bCs/>
        </w:rPr>
        <w:t>Alian SM,</w:t>
      </w:r>
      <w:r>
        <w:rPr>
          <w:rFonts w:ascii="Book Antiqua" w:eastAsia="Times New Roman" w:hAnsi="Book Antiqua"/>
        </w:rPr>
        <w:t xml:space="preserve"> Wahba MO, Gomaa AF, Khalil SS. The efficacy and safety of direct-acting antiviral drugs in the management of hepatitis C virus-related arthritis. </w:t>
      </w:r>
      <w:r>
        <w:rPr>
          <w:rFonts w:ascii="Book Antiqua" w:eastAsia="Times New Roman" w:hAnsi="Book Antiqua"/>
          <w:i/>
        </w:rPr>
        <w:t>Egyptian Rheumatology and Rehabilitation</w:t>
      </w:r>
      <w:r>
        <w:rPr>
          <w:rFonts w:ascii="Book Antiqua" w:hAnsi="Book Antiqua" w:hint="eastAsia"/>
          <w:lang w:eastAsia="zh-CN"/>
        </w:rPr>
        <w:t xml:space="preserve"> </w:t>
      </w:r>
      <w:r>
        <w:rPr>
          <w:rFonts w:ascii="Book Antiqua" w:eastAsia="Times New Roman" w:hAnsi="Book Antiqua"/>
        </w:rPr>
        <w:t>2020;</w:t>
      </w:r>
      <w:r>
        <w:rPr>
          <w:rFonts w:ascii="Book Antiqua" w:hAnsi="Book Antiqua" w:hint="eastAsia"/>
          <w:lang w:eastAsia="zh-CN"/>
        </w:rPr>
        <w:t xml:space="preserve"> </w:t>
      </w:r>
      <w:r>
        <w:rPr>
          <w:rFonts w:ascii="Book Antiqua" w:eastAsia="Times New Roman" w:hAnsi="Book Antiqua"/>
          <w:b/>
        </w:rPr>
        <w:t>47</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1-8</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10.1186/s43166-020-00021-6</w:t>
      </w:r>
      <w:r>
        <w:rPr>
          <w:rFonts w:ascii="Book Antiqua" w:hAnsi="Book Antiqua" w:hint="eastAsia"/>
          <w:lang w:eastAsia="zh-CN"/>
        </w:rPr>
        <w:t>]</w:t>
      </w:r>
    </w:p>
    <w:p w14:paraId="34984E3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145 </w:t>
      </w:r>
      <w:r>
        <w:rPr>
          <w:rFonts w:ascii="Book Antiqua" w:eastAsia="Times New Roman" w:hAnsi="Book Antiqua"/>
          <w:b/>
          <w:bCs/>
        </w:rPr>
        <w:t>Butt AA</w:t>
      </w:r>
      <w:r>
        <w:rPr>
          <w:rFonts w:ascii="Book Antiqua" w:eastAsia="Times New Roman" w:hAnsi="Book Antiqua"/>
        </w:rPr>
        <w:t xml:space="preserve">, Xiaoqiang W, Budoff M, Leaf D, Kuller LH, Justice AC. Hepatitis C virus infection and the risk of coronary disease. </w:t>
      </w:r>
      <w:r>
        <w:rPr>
          <w:rFonts w:ascii="Book Antiqua" w:eastAsia="Times New Roman" w:hAnsi="Book Antiqua"/>
          <w:i/>
          <w:iCs/>
        </w:rPr>
        <w:t>Clin Infect Dis</w:t>
      </w:r>
      <w:r>
        <w:rPr>
          <w:rFonts w:ascii="Book Antiqua" w:eastAsia="Times New Roman" w:hAnsi="Book Antiqua"/>
        </w:rPr>
        <w:t xml:space="preserve"> 2009; </w:t>
      </w:r>
      <w:r>
        <w:rPr>
          <w:rFonts w:ascii="Book Antiqua" w:eastAsia="Times New Roman" w:hAnsi="Book Antiqua"/>
          <w:b/>
          <w:bCs/>
        </w:rPr>
        <w:t>49</w:t>
      </w:r>
      <w:r>
        <w:rPr>
          <w:rFonts w:ascii="Book Antiqua" w:eastAsia="Times New Roman" w:hAnsi="Book Antiqua"/>
        </w:rPr>
        <w:t>: 225-232 [PMID: 19508169 DOI: 10.1086/599371]</w:t>
      </w:r>
    </w:p>
    <w:p w14:paraId="51FDE362"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146 </w:t>
      </w:r>
      <w:r>
        <w:rPr>
          <w:rFonts w:ascii="Book Antiqua" w:eastAsia="Times New Roman" w:hAnsi="Book Antiqua"/>
          <w:b/>
          <w:bCs/>
        </w:rPr>
        <w:t>Cacoub P</w:t>
      </w:r>
      <w:r>
        <w:rPr>
          <w:rFonts w:ascii="Book Antiqua" w:eastAsia="Times New Roman" w:hAnsi="Book Antiqua"/>
        </w:rPr>
        <w:t xml:space="preserve">. Hepatitis C Virus Infection, a New Modifiable Cardiovascular Risk Factor. </w:t>
      </w:r>
      <w:r>
        <w:rPr>
          <w:rFonts w:ascii="Book Antiqua" w:eastAsia="Times New Roman" w:hAnsi="Book Antiqua"/>
          <w:i/>
          <w:iCs/>
        </w:rPr>
        <w:t>Gastroenterology</w:t>
      </w:r>
      <w:r>
        <w:rPr>
          <w:rFonts w:ascii="Book Antiqua" w:eastAsia="Times New Roman" w:hAnsi="Book Antiqua"/>
        </w:rPr>
        <w:t xml:space="preserve"> 2019; </w:t>
      </w:r>
      <w:r>
        <w:rPr>
          <w:rFonts w:ascii="Book Antiqua" w:eastAsia="Times New Roman" w:hAnsi="Book Antiqua"/>
          <w:b/>
          <w:bCs/>
        </w:rPr>
        <w:t>156</w:t>
      </w:r>
      <w:r>
        <w:rPr>
          <w:rFonts w:ascii="Book Antiqua" w:eastAsia="Times New Roman" w:hAnsi="Book Antiqua"/>
        </w:rPr>
        <w:t>: 862-864 [PMID: 30776342 DOI: 10.1053/j.gastro.2019.02.009]</w:t>
      </w:r>
    </w:p>
    <w:p w14:paraId="1408F80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147 </w:t>
      </w:r>
      <w:r>
        <w:rPr>
          <w:rFonts w:ascii="Book Antiqua" w:eastAsia="Times New Roman" w:hAnsi="Book Antiqua"/>
          <w:b/>
          <w:bCs/>
        </w:rPr>
        <w:t>Lee MH</w:t>
      </w:r>
      <w:r>
        <w:rPr>
          <w:rFonts w:ascii="Book Antiqua" w:eastAsia="Times New Roman" w:hAnsi="Book Antiqua"/>
        </w:rPr>
        <w:t xml:space="preserve">, Yang HI, Wang CH, Jen CL, Yeh SH, Liu CJ, You SL, Chen WJ, Chen CJ. Hepatitis C virus infection and increased risk of cerebrovascular disease. </w:t>
      </w:r>
      <w:r>
        <w:rPr>
          <w:rFonts w:ascii="Book Antiqua" w:eastAsia="Times New Roman" w:hAnsi="Book Antiqua"/>
          <w:i/>
          <w:iCs/>
        </w:rPr>
        <w:t>Stroke</w:t>
      </w:r>
      <w:r>
        <w:rPr>
          <w:rFonts w:ascii="Book Antiqua" w:eastAsia="Times New Roman" w:hAnsi="Book Antiqua"/>
        </w:rPr>
        <w:t xml:space="preserve"> 2010; </w:t>
      </w:r>
      <w:r>
        <w:rPr>
          <w:rFonts w:ascii="Book Antiqua" w:eastAsia="Times New Roman" w:hAnsi="Book Antiqua"/>
          <w:b/>
          <w:bCs/>
        </w:rPr>
        <w:t>41</w:t>
      </w:r>
      <w:r>
        <w:rPr>
          <w:rFonts w:ascii="Book Antiqua" w:eastAsia="Times New Roman" w:hAnsi="Book Antiqua"/>
        </w:rPr>
        <w:t>: 2894-2900 [PMID: 20966408 DOI: 10.1161/strokeaha.110.598136]</w:t>
      </w:r>
    </w:p>
    <w:p w14:paraId="3720CF35"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148 </w:t>
      </w:r>
      <w:r>
        <w:rPr>
          <w:rFonts w:ascii="Book Antiqua" w:eastAsia="Times New Roman" w:hAnsi="Book Antiqua"/>
          <w:b/>
          <w:bCs/>
        </w:rPr>
        <w:t>Petta S</w:t>
      </w:r>
      <w:r>
        <w:rPr>
          <w:rFonts w:ascii="Book Antiqua" w:eastAsia="Times New Roman" w:hAnsi="Book Antiqua"/>
        </w:rPr>
        <w:t xml:space="preserve">, Maida M, Macaluso FS, Barbara M, Licata A, Craxì A, Cammà C. Hepatitis C Virus Infection Is Associated With Increased Cardiovascular Mortality: A Meta-Analysis of Observational Studies. </w:t>
      </w:r>
      <w:r>
        <w:rPr>
          <w:rFonts w:ascii="Book Antiqua" w:eastAsia="Times New Roman" w:hAnsi="Book Antiqua"/>
          <w:i/>
          <w:iCs/>
        </w:rPr>
        <w:t>Gastroenterology</w:t>
      </w:r>
      <w:r>
        <w:rPr>
          <w:rFonts w:ascii="Book Antiqua" w:eastAsia="Times New Roman" w:hAnsi="Book Antiqua"/>
        </w:rPr>
        <w:t xml:space="preserve"> 2016; </w:t>
      </w:r>
      <w:r>
        <w:rPr>
          <w:rFonts w:ascii="Book Antiqua" w:eastAsia="Times New Roman" w:hAnsi="Book Antiqua"/>
          <w:b/>
          <w:bCs/>
        </w:rPr>
        <w:t>150</w:t>
      </w:r>
      <w:r>
        <w:rPr>
          <w:rFonts w:ascii="Book Antiqua" w:eastAsia="Times New Roman" w:hAnsi="Book Antiqua"/>
        </w:rPr>
        <w:t>: 145-155.e4; quiz e15-6 [PMID: 26386298 DOI: 10.1053/j.gastro.2015.09.007]</w:t>
      </w:r>
    </w:p>
    <w:p w14:paraId="00B9FED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149 </w:t>
      </w:r>
      <w:r>
        <w:rPr>
          <w:rFonts w:ascii="Book Antiqua" w:eastAsia="Times New Roman" w:hAnsi="Book Antiqua"/>
          <w:b/>
          <w:bCs/>
        </w:rPr>
        <w:t>Matsumori A</w:t>
      </w:r>
      <w:r>
        <w:rPr>
          <w:rFonts w:ascii="Book Antiqua" w:eastAsia="Times New Roman" w:hAnsi="Book Antiqua"/>
        </w:rPr>
        <w:t xml:space="preserve">, Shimada T, Chapman NM, Tracy SM, Mason JW. Myocarditis and heart failure associated with hepatitis C virus infection. </w:t>
      </w:r>
      <w:r>
        <w:rPr>
          <w:rFonts w:ascii="Book Antiqua" w:eastAsia="Times New Roman" w:hAnsi="Book Antiqua"/>
          <w:i/>
          <w:iCs/>
        </w:rPr>
        <w:t>J Card Fail</w:t>
      </w:r>
      <w:r>
        <w:rPr>
          <w:rFonts w:ascii="Book Antiqua" w:eastAsia="Times New Roman" w:hAnsi="Book Antiqua"/>
        </w:rPr>
        <w:t xml:space="preserve"> 2006; </w:t>
      </w:r>
      <w:r>
        <w:rPr>
          <w:rFonts w:ascii="Book Antiqua" w:eastAsia="Times New Roman" w:hAnsi="Book Antiqua"/>
          <w:b/>
          <w:bCs/>
        </w:rPr>
        <w:t>12</w:t>
      </w:r>
      <w:r>
        <w:rPr>
          <w:rFonts w:ascii="Book Antiqua" w:eastAsia="Times New Roman" w:hAnsi="Book Antiqua"/>
        </w:rPr>
        <w:t>: 293-298 [PMID: 16679263 DOI: 10.1016/j.cardfail.2005.11.004]</w:t>
      </w:r>
    </w:p>
    <w:p w14:paraId="7A726F1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150 </w:t>
      </w:r>
      <w:r>
        <w:rPr>
          <w:rFonts w:ascii="Book Antiqua" w:eastAsia="Times New Roman" w:hAnsi="Book Antiqua"/>
          <w:b/>
          <w:bCs/>
        </w:rPr>
        <w:t>Nevola R</w:t>
      </w:r>
      <w:r>
        <w:rPr>
          <w:rFonts w:ascii="Book Antiqua" w:eastAsia="Times New Roman" w:hAnsi="Book Antiqua"/>
        </w:rPr>
        <w:t xml:space="preserve">, Acierno C, Pafundi PC, Adinolfi LE. Chronic hepatitis C infection induces cardiovascular disease and type 2 diabetes: mechanisms and management. </w:t>
      </w:r>
      <w:r>
        <w:rPr>
          <w:rFonts w:ascii="Book Antiqua" w:eastAsia="Times New Roman" w:hAnsi="Book Antiqua"/>
          <w:i/>
          <w:iCs/>
        </w:rPr>
        <w:t>Minerva Med</w:t>
      </w:r>
      <w:r>
        <w:rPr>
          <w:rFonts w:ascii="Book Antiqua" w:eastAsia="Times New Roman" w:hAnsi="Book Antiqua"/>
        </w:rPr>
        <w:t xml:space="preserve"> 2021; </w:t>
      </w:r>
      <w:r>
        <w:rPr>
          <w:rFonts w:ascii="Book Antiqua" w:eastAsia="Times New Roman" w:hAnsi="Book Antiqua"/>
          <w:b/>
          <w:bCs/>
        </w:rPr>
        <w:t>112</w:t>
      </w:r>
      <w:r>
        <w:rPr>
          <w:rFonts w:ascii="Book Antiqua" w:eastAsia="Times New Roman" w:hAnsi="Book Antiqua"/>
        </w:rPr>
        <w:t>: 188-200 [PMID: 33205641 DOI: 10.23736/S0026-4806.20.07129-3]</w:t>
      </w:r>
    </w:p>
    <w:p w14:paraId="131CE8A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151 </w:t>
      </w:r>
      <w:r>
        <w:rPr>
          <w:rFonts w:ascii="Book Antiqua" w:eastAsia="Times New Roman" w:hAnsi="Book Antiqua"/>
          <w:b/>
          <w:bCs/>
        </w:rPr>
        <w:t>Adinolfi LE</w:t>
      </w:r>
      <w:r>
        <w:rPr>
          <w:rFonts w:ascii="Book Antiqua" w:eastAsia="Times New Roman" w:hAnsi="Book Antiqua"/>
        </w:rPr>
        <w:t xml:space="preserve">, Restivo L, Zampino R, Guerrera B, Lonardo A, Ruggiero L, Riello F, Loria P, Florio A. Chronic HCV infection is a risk of atherosclerosis. Role of HCV and HCV-related steatosis. </w:t>
      </w:r>
      <w:r>
        <w:rPr>
          <w:rFonts w:ascii="Book Antiqua" w:eastAsia="Times New Roman" w:hAnsi="Book Antiqua"/>
          <w:i/>
          <w:iCs/>
        </w:rPr>
        <w:t>Atherosclerosis</w:t>
      </w:r>
      <w:r>
        <w:rPr>
          <w:rFonts w:ascii="Book Antiqua" w:eastAsia="Times New Roman" w:hAnsi="Book Antiqua"/>
        </w:rPr>
        <w:t xml:space="preserve"> 2012; </w:t>
      </w:r>
      <w:r>
        <w:rPr>
          <w:rFonts w:ascii="Book Antiqua" w:eastAsia="Times New Roman" w:hAnsi="Book Antiqua"/>
          <w:b/>
          <w:bCs/>
        </w:rPr>
        <w:t>221</w:t>
      </w:r>
      <w:r>
        <w:rPr>
          <w:rFonts w:ascii="Book Antiqua" w:eastAsia="Times New Roman" w:hAnsi="Book Antiqua"/>
        </w:rPr>
        <w:t>: 496-502 [PMID: 22385985 DOI: 10.1016/j.atherosclerosis.2012.01.051]</w:t>
      </w:r>
    </w:p>
    <w:p w14:paraId="57151FB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152 </w:t>
      </w:r>
      <w:r>
        <w:rPr>
          <w:rFonts w:ascii="Book Antiqua" w:eastAsia="Times New Roman" w:hAnsi="Book Antiqua"/>
          <w:b/>
          <w:bCs/>
        </w:rPr>
        <w:t>Adinolfi LE</w:t>
      </w:r>
      <w:r>
        <w:rPr>
          <w:rFonts w:ascii="Book Antiqua" w:eastAsia="Times New Roman" w:hAnsi="Book Antiqua"/>
        </w:rPr>
        <w:t xml:space="preserve">, Rinaldi L, Nevola R. Chronic hepatitis C, atherosclerosis and cardiovascular disease: What impact of direct-acting antiviral treatments? </w:t>
      </w:r>
      <w:r>
        <w:rPr>
          <w:rFonts w:ascii="Book Antiqua" w:eastAsia="Times New Roman" w:hAnsi="Book Antiqua"/>
          <w:i/>
          <w:iCs/>
        </w:rPr>
        <w:t>World J Gastroenterol</w:t>
      </w:r>
      <w:r>
        <w:rPr>
          <w:rFonts w:ascii="Book Antiqua" w:eastAsia="Times New Roman" w:hAnsi="Book Antiqua"/>
        </w:rPr>
        <w:t xml:space="preserve"> 2018; </w:t>
      </w:r>
      <w:r>
        <w:rPr>
          <w:rFonts w:ascii="Book Antiqua" w:eastAsia="Times New Roman" w:hAnsi="Book Antiqua"/>
          <w:b/>
          <w:bCs/>
        </w:rPr>
        <w:t>24</w:t>
      </w:r>
      <w:r>
        <w:rPr>
          <w:rFonts w:ascii="Book Antiqua" w:eastAsia="Times New Roman" w:hAnsi="Book Antiqua"/>
        </w:rPr>
        <w:t>: 4617-4621 [PMID: 30416309 DOI: 10.3748/wjg.v24.i41.4617]</w:t>
      </w:r>
    </w:p>
    <w:p w14:paraId="606E5DE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153 </w:t>
      </w:r>
      <w:r>
        <w:rPr>
          <w:rFonts w:ascii="Book Antiqua" w:eastAsia="Times New Roman" w:hAnsi="Book Antiqua"/>
          <w:b/>
          <w:bCs/>
        </w:rPr>
        <w:t>Zampino R</w:t>
      </w:r>
      <w:r>
        <w:rPr>
          <w:rFonts w:ascii="Book Antiqua" w:eastAsia="Times New Roman" w:hAnsi="Book Antiqua"/>
        </w:rPr>
        <w:t>, Marrone A, Rinaldi L, Guerrera B, Nevola R, Boemio A, Iuliano N, Giordano M, Passariello N, Sasso FC, Albano E, Adinolfi LE. Endotoxinemia contributes to steatosis, insulin resistance and atherosclerosis in chronic hepatitis C: the role of pro-</w:t>
      </w:r>
      <w:r>
        <w:rPr>
          <w:rFonts w:ascii="Book Antiqua" w:eastAsia="Times New Roman" w:hAnsi="Book Antiqua"/>
        </w:rPr>
        <w:lastRenderedPageBreak/>
        <w:t xml:space="preserve">inflammatory cytokines and oxidative stress. </w:t>
      </w:r>
      <w:r>
        <w:rPr>
          <w:rFonts w:ascii="Book Antiqua" w:eastAsia="Times New Roman" w:hAnsi="Book Antiqua"/>
          <w:i/>
          <w:iCs/>
        </w:rPr>
        <w:t>Infection</w:t>
      </w:r>
      <w:r>
        <w:rPr>
          <w:rFonts w:ascii="Book Antiqua" w:eastAsia="Times New Roman" w:hAnsi="Book Antiqua"/>
        </w:rPr>
        <w:t xml:space="preserve"> 2018; </w:t>
      </w:r>
      <w:r>
        <w:rPr>
          <w:rFonts w:ascii="Book Antiqua" w:eastAsia="Times New Roman" w:hAnsi="Book Antiqua"/>
          <w:b/>
          <w:bCs/>
        </w:rPr>
        <w:t>46</w:t>
      </w:r>
      <w:r>
        <w:rPr>
          <w:rFonts w:ascii="Book Antiqua" w:eastAsia="Times New Roman" w:hAnsi="Book Antiqua"/>
        </w:rPr>
        <w:t>: 793-799 [PMID: 30066228 DOI: 10.1007/s15010-018-1185-6]</w:t>
      </w:r>
    </w:p>
    <w:p w14:paraId="05168B5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154 </w:t>
      </w:r>
      <w:r>
        <w:rPr>
          <w:rFonts w:ascii="Book Antiqua" w:eastAsia="Times New Roman" w:hAnsi="Book Antiqua"/>
          <w:b/>
          <w:bCs/>
        </w:rPr>
        <w:t>Durante-Mangoni E</w:t>
      </w:r>
      <w:r>
        <w:rPr>
          <w:rFonts w:ascii="Book Antiqua" w:eastAsia="Times New Roman" w:hAnsi="Book Antiqua"/>
        </w:rPr>
        <w:t xml:space="preserve">, Zampino R, Marrone A, Tripodi MF, Rinaldi L, Restivo L, Cioffi M, Ruggiero G, Adinolfi LE. Hepatic steatosis and insulin resistance are associated with serum imbalance of adiponectin/tumour necrosis factor-alpha in chronic hepatitis C patients. </w:t>
      </w:r>
      <w:r>
        <w:rPr>
          <w:rFonts w:ascii="Book Antiqua" w:eastAsia="Times New Roman" w:hAnsi="Book Antiqua"/>
          <w:i/>
          <w:iCs/>
        </w:rPr>
        <w:t>Aliment Pharmacol Ther</w:t>
      </w:r>
      <w:r>
        <w:rPr>
          <w:rFonts w:ascii="Book Antiqua" w:eastAsia="Times New Roman" w:hAnsi="Book Antiqua"/>
        </w:rPr>
        <w:t xml:space="preserve"> 2006; </w:t>
      </w:r>
      <w:r>
        <w:rPr>
          <w:rFonts w:ascii="Book Antiqua" w:eastAsia="Times New Roman" w:hAnsi="Book Antiqua"/>
          <w:b/>
          <w:bCs/>
        </w:rPr>
        <w:t>24</w:t>
      </w:r>
      <w:r>
        <w:rPr>
          <w:rFonts w:ascii="Book Antiqua" w:eastAsia="Times New Roman" w:hAnsi="Book Antiqua"/>
        </w:rPr>
        <w:t>: 1349-1357 [PMID: 17059516 DOI: 10.1111/j.1365-2036.2006.03114.x]</w:t>
      </w:r>
    </w:p>
    <w:p w14:paraId="4CEC6990"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155 </w:t>
      </w:r>
      <w:r>
        <w:rPr>
          <w:rFonts w:ascii="Book Antiqua" w:eastAsia="Times New Roman" w:hAnsi="Book Antiqua"/>
          <w:b/>
          <w:bCs/>
        </w:rPr>
        <w:t>Onoue K</w:t>
      </w:r>
      <w:r>
        <w:rPr>
          <w:rFonts w:ascii="Book Antiqua" w:eastAsia="Times New Roman" w:hAnsi="Book Antiqua"/>
        </w:rPr>
        <w:t xml:space="preserve">, Saito Y. Hepatitis C Virus and Cardiovascular Disease. </w:t>
      </w:r>
      <w:r>
        <w:rPr>
          <w:rFonts w:ascii="Book Antiqua" w:eastAsia="Times New Roman" w:hAnsi="Book Antiqua"/>
          <w:i/>
          <w:iCs/>
        </w:rPr>
        <w:t>Circ J</w:t>
      </w:r>
      <w:r>
        <w:rPr>
          <w:rFonts w:ascii="Book Antiqua" w:eastAsia="Times New Roman" w:hAnsi="Book Antiqua"/>
        </w:rPr>
        <w:t xml:space="preserve"> 2018; </w:t>
      </w:r>
      <w:r>
        <w:rPr>
          <w:rFonts w:ascii="Book Antiqua" w:eastAsia="Times New Roman" w:hAnsi="Book Antiqua"/>
          <w:b/>
          <w:bCs/>
        </w:rPr>
        <w:t>82</w:t>
      </w:r>
      <w:r>
        <w:rPr>
          <w:rFonts w:ascii="Book Antiqua" w:eastAsia="Times New Roman" w:hAnsi="Book Antiqua"/>
        </w:rPr>
        <w:t>: 1503-1504 [PMID: 29743382 DOI: 10.1253/circj.CJ-18-0459]</w:t>
      </w:r>
    </w:p>
    <w:p w14:paraId="249A94C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156 </w:t>
      </w:r>
      <w:r>
        <w:rPr>
          <w:rFonts w:ascii="Book Antiqua" w:eastAsia="Times New Roman" w:hAnsi="Book Antiqua"/>
          <w:b/>
          <w:bCs/>
        </w:rPr>
        <w:t>Su X</w:t>
      </w:r>
      <w:r>
        <w:rPr>
          <w:rFonts w:ascii="Book Antiqua" w:eastAsia="Times New Roman" w:hAnsi="Book Antiqua"/>
        </w:rPr>
        <w:t xml:space="preserve">, Zhao X, Deng JL, Li SN, Du X, Dong JZ, Ma CS. Antiviral treatment for hepatitis C is associated with a reduced risk of atherosclerotic cardiovascular outcomes: A systematic review and meta-analysis. </w:t>
      </w:r>
      <w:r>
        <w:rPr>
          <w:rFonts w:ascii="Book Antiqua" w:eastAsia="Times New Roman" w:hAnsi="Book Antiqua"/>
          <w:i/>
          <w:iCs/>
        </w:rPr>
        <w:t>J Viral Hepat</w:t>
      </w:r>
      <w:r>
        <w:rPr>
          <w:rFonts w:ascii="Book Antiqua" w:eastAsia="Times New Roman" w:hAnsi="Book Antiqua"/>
        </w:rPr>
        <w:t xml:space="preserve"> 2021; </w:t>
      </w:r>
      <w:r>
        <w:rPr>
          <w:rFonts w:ascii="Book Antiqua" w:eastAsia="Times New Roman" w:hAnsi="Book Antiqua"/>
          <w:b/>
          <w:bCs/>
        </w:rPr>
        <w:t>28</w:t>
      </w:r>
      <w:r>
        <w:rPr>
          <w:rFonts w:ascii="Book Antiqua" w:eastAsia="Times New Roman" w:hAnsi="Book Antiqua"/>
        </w:rPr>
        <w:t>: 664-671 [PMID: 33452699 DOI: 10.1111/jvh.13469]</w:t>
      </w:r>
    </w:p>
    <w:p w14:paraId="594B4DFE"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157 </w:t>
      </w:r>
      <w:r>
        <w:rPr>
          <w:rFonts w:ascii="Book Antiqua" w:eastAsia="Times New Roman" w:hAnsi="Book Antiqua"/>
          <w:b/>
          <w:bCs/>
        </w:rPr>
        <w:t>Sasso FC</w:t>
      </w:r>
      <w:r>
        <w:rPr>
          <w:rFonts w:ascii="Book Antiqua" w:eastAsia="Times New Roman" w:hAnsi="Book Antiqua"/>
        </w:rPr>
        <w:t xml:space="preserve">, Pafundi PC, Caturano A, Galiero R, Vetrano E, Nevola R, Petta S, Fracanzani AL, Coppola C, Di Marco V, Solano A, Lombardi R, Giordano M, Craxi A, Perrella A, Sardu C, Marfella R, Salvatore T, Adinolfi LE, Rinaldi L. Impact of direct acting antivirals (DAAs) on cardiovascular events in HCV cohort with pre-diabetes. </w:t>
      </w:r>
      <w:r>
        <w:rPr>
          <w:rFonts w:ascii="Book Antiqua" w:eastAsia="Times New Roman" w:hAnsi="Book Antiqua"/>
          <w:i/>
          <w:iCs/>
        </w:rPr>
        <w:t>Nutr Metab Cardiovasc Dis</w:t>
      </w:r>
      <w:r>
        <w:rPr>
          <w:rFonts w:ascii="Book Antiqua" w:eastAsia="Times New Roman" w:hAnsi="Book Antiqua"/>
        </w:rPr>
        <w:t xml:space="preserve"> 2021; </w:t>
      </w:r>
      <w:r>
        <w:rPr>
          <w:rFonts w:ascii="Book Antiqua" w:eastAsia="Times New Roman" w:hAnsi="Book Antiqua"/>
          <w:b/>
          <w:bCs/>
        </w:rPr>
        <w:t>31</w:t>
      </w:r>
      <w:r>
        <w:rPr>
          <w:rFonts w:ascii="Book Antiqua" w:eastAsia="Times New Roman" w:hAnsi="Book Antiqua"/>
        </w:rPr>
        <w:t>: 2345-2353 [PMID: 34053830 DOI: 10.1016/j.numecd.2021.04.016]</w:t>
      </w:r>
    </w:p>
    <w:p w14:paraId="38FBFB1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158 </w:t>
      </w:r>
      <w:r>
        <w:rPr>
          <w:rFonts w:ascii="Book Antiqua" w:eastAsia="Times New Roman" w:hAnsi="Book Antiqua"/>
          <w:b/>
          <w:bCs/>
        </w:rPr>
        <w:t>Adinolfi LE</w:t>
      </w:r>
      <w:r>
        <w:rPr>
          <w:rFonts w:ascii="Book Antiqua" w:eastAsia="Times New Roman" w:hAnsi="Book Antiqua"/>
        </w:rPr>
        <w:t xml:space="preserve">, Petta S, Fracanzani AL, Coppola C, Narciso V, Nevola R, Rinaldi L, Calvaruso V, Staiano L, Di Marco V, Marrone A, Pafundi PC, Solano A, Lombardi R, Sasso FC, Saturnino M, Rini F, Guerrera B, Troina G, Giordano M, Craxì A. Impact of hepatitis C virus clearance by direct-acting antiviral treatment on the incidence of major cardiovascular events: A prospective multicentre study. </w:t>
      </w:r>
      <w:r>
        <w:rPr>
          <w:rFonts w:ascii="Book Antiqua" w:eastAsia="Times New Roman" w:hAnsi="Book Antiqua"/>
          <w:i/>
          <w:iCs/>
        </w:rPr>
        <w:t>Atherosclerosis</w:t>
      </w:r>
      <w:r>
        <w:rPr>
          <w:rFonts w:ascii="Book Antiqua" w:eastAsia="Times New Roman" w:hAnsi="Book Antiqua"/>
        </w:rPr>
        <w:t xml:space="preserve"> 2020; </w:t>
      </w:r>
      <w:r>
        <w:rPr>
          <w:rFonts w:ascii="Book Antiqua" w:eastAsia="Times New Roman" w:hAnsi="Book Antiqua"/>
          <w:b/>
          <w:bCs/>
        </w:rPr>
        <w:t>296</w:t>
      </w:r>
      <w:r>
        <w:rPr>
          <w:rFonts w:ascii="Book Antiqua" w:eastAsia="Times New Roman" w:hAnsi="Book Antiqua"/>
        </w:rPr>
        <w:t>: 40-47 [PMID: 32005004 DOI: 10.1016/j.atherosclerosis.2020.01.010]</w:t>
      </w:r>
    </w:p>
    <w:p w14:paraId="35DC77D3"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159 </w:t>
      </w:r>
      <w:r>
        <w:rPr>
          <w:rFonts w:ascii="Book Antiqua" w:eastAsia="Times New Roman" w:hAnsi="Book Antiqua"/>
          <w:b/>
          <w:bCs/>
        </w:rPr>
        <w:t>Muñoz-Hernández R,</w:t>
      </w:r>
      <w:r>
        <w:rPr>
          <w:rFonts w:ascii="Book Antiqua" w:eastAsia="Times New Roman" w:hAnsi="Book Antiqua"/>
        </w:rPr>
        <w:t xml:space="preserve"> Ampuero J, Millán R, Gil-Gómez A, Rojas Á, Macher HC. Hepatitis C Virus Clearance by Direct-Acting Antivirals Agents Improves Endothelial Dysfunction and Subclinical Atherosclerosis: HEPCAR Study. </w:t>
      </w:r>
      <w:r>
        <w:rPr>
          <w:rFonts w:ascii="Book Antiqua" w:eastAsia="Times New Roman" w:hAnsi="Book Antiqua"/>
          <w:i/>
        </w:rPr>
        <w:t>Clin Transl Gastroenterol</w:t>
      </w:r>
      <w:r>
        <w:rPr>
          <w:rFonts w:ascii="Book Antiqua" w:hAnsi="Book Antiqua" w:hint="eastAsia"/>
          <w:i/>
          <w:lang w:eastAsia="zh-CN"/>
        </w:rPr>
        <w:t xml:space="preserve"> </w:t>
      </w:r>
      <w:r>
        <w:rPr>
          <w:rFonts w:ascii="Book Antiqua" w:eastAsia="Times New Roman" w:hAnsi="Book Antiqua"/>
        </w:rPr>
        <w:t>2020;</w:t>
      </w:r>
      <w:r>
        <w:rPr>
          <w:rFonts w:ascii="Book Antiqua" w:hAnsi="Book Antiqua" w:hint="eastAsia"/>
          <w:lang w:eastAsia="zh-CN"/>
        </w:rPr>
        <w:t xml:space="preserve"> </w:t>
      </w:r>
      <w:r>
        <w:rPr>
          <w:rFonts w:ascii="Book Antiqua" w:eastAsia="Times New Roman" w:hAnsi="Book Antiqua"/>
          <w:b/>
        </w:rPr>
        <w:t>11</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e00203</w:t>
      </w:r>
      <w:r>
        <w:rPr>
          <w:rFonts w:ascii="Book Antiqua" w:hAnsi="Book Antiqua" w:hint="eastAsia"/>
          <w:lang w:eastAsia="zh-CN"/>
        </w:rPr>
        <w:t xml:space="preserve"> </w:t>
      </w:r>
      <w:r>
        <w:rPr>
          <w:rFonts w:ascii="Book Antiqua" w:eastAsia="Times New Roman" w:hAnsi="Book Antiqua"/>
        </w:rPr>
        <w:t>[DOI: 10.14309/ctg.0000000000000203</w:t>
      </w:r>
      <w:r>
        <w:rPr>
          <w:rFonts w:ascii="Book Antiqua" w:hAnsi="Book Antiqua" w:hint="eastAsia"/>
          <w:lang w:eastAsia="zh-CN"/>
        </w:rPr>
        <w:t>]</w:t>
      </w:r>
    </w:p>
    <w:p w14:paraId="65EDA4A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160 </w:t>
      </w:r>
      <w:r>
        <w:rPr>
          <w:rFonts w:ascii="Book Antiqua" w:eastAsia="Times New Roman" w:hAnsi="Book Antiqua"/>
          <w:b/>
          <w:bCs/>
        </w:rPr>
        <w:t>Sakai H</w:t>
      </w:r>
      <w:r>
        <w:rPr>
          <w:rFonts w:ascii="Book Antiqua" w:eastAsia="Times New Roman" w:hAnsi="Book Antiqua"/>
        </w:rPr>
        <w:t xml:space="preserve">, Miwa T, Ikoma Y, Hanai T, Nakamura N, Imai K, Kitagawa J, Shirakami Y, Kanemura N, Suetsugu A, Takai K, Shiraki M, Shimizu M. Development of diffuse large B-cell lymphoma after sofosbuvir-ledipasvir treatment for chronic hepatitis C: A case report and literature review. </w:t>
      </w:r>
      <w:r>
        <w:rPr>
          <w:rFonts w:ascii="Book Antiqua" w:eastAsia="Times New Roman" w:hAnsi="Book Antiqua"/>
          <w:i/>
          <w:iCs/>
        </w:rPr>
        <w:t>Mol Clin Oncol</w:t>
      </w:r>
      <w:r>
        <w:rPr>
          <w:rFonts w:ascii="Book Antiqua" w:eastAsia="Times New Roman" w:hAnsi="Book Antiqua"/>
        </w:rPr>
        <w:t xml:space="preserve"> 2020; </w:t>
      </w:r>
      <w:r>
        <w:rPr>
          <w:rFonts w:ascii="Book Antiqua" w:eastAsia="Times New Roman" w:hAnsi="Book Antiqua"/>
          <w:b/>
          <w:bCs/>
        </w:rPr>
        <w:t>13</w:t>
      </w:r>
      <w:r>
        <w:rPr>
          <w:rFonts w:ascii="Book Antiqua" w:eastAsia="Times New Roman" w:hAnsi="Book Antiqua"/>
        </w:rPr>
        <w:t>: 1 [PMID: 32754315 DOI: 10.3892/mco.2020.2071]</w:t>
      </w:r>
    </w:p>
    <w:p w14:paraId="68D2940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161 </w:t>
      </w:r>
      <w:r>
        <w:rPr>
          <w:rFonts w:ascii="Book Antiqua" w:eastAsia="Times New Roman" w:hAnsi="Book Antiqua"/>
          <w:b/>
          <w:bCs/>
        </w:rPr>
        <w:t>Mert D</w:t>
      </w:r>
      <w:r>
        <w:rPr>
          <w:rFonts w:ascii="Book Antiqua" w:eastAsia="Times New Roman" w:hAnsi="Book Antiqua"/>
        </w:rPr>
        <w:t xml:space="preserve">, Merdin A, Ceken S, Dal MS, Ertek M, Altuntas F. Evaluation of hepatitis B virus, hepatitis C virus, and human immunodeficiency virus seroprevalence in patients with diffuse large B cell lymphoma and Hodgkin's lymphoma. </w:t>
      </w:r>
      <w:r>
        <w:rPr>
          <w:rFonts w:ascii="Book Antiqua" w:eastAsia="Times New Roman" w:hAnsi="Book Antiqua"/>
          <w:i/>
          <w:iCs/>
        </w:rPr>
        <w:t>J Cancer Res Ther</w:t>
      </w:r>
      <w:r>
        <w:rPr>
          <w:rFonts w:ascii="Book Antiqua" w:eastAsia="Times New Roman" w:hAnsi="Book Antiqua"/>
        </w:rPr>
        <w:t xml:space="preserve"> 2021; </w:t>
      </w:r>
      <w:r>
        <w:rPr>
          <w:rFonts w:ascii="Book Antiqua" w:eastAsia="Times New Roman" w:hAnsi="Book Antiqua"/>
          <w:b/>
          <w:bCs/>
        </w:rPr>
        <w:t>17</w:t>
      </w:r>
      <w:r>
        <w:rPr>
          <w:rFonts w:ascii="Book Antiqua" w:eastAsia="Times New Roman" w:hAnsi="Book Antiqua"/>
        </w:rPr>
        <w:t>: 951-955 [PMID: 34528547 DOI: 10.4103/jcrt.JCRT_465_19]</w:t>
      </w:r>
    </w:p>
    <w:p w14:paraId="71869A7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162 </w:t>
      </w:r>
      <w:r>
        <w:rPr>
          <w:rFonts w:ascii="Book Antiqua" w:eastAsia="Times New Roman" w:hAnsi="Book Antiqua"/>
          <w:b/>
          <w:bCs/>
        </w:rPr>
        <w:t>Samonakis DN</w:t>
      </w:r>
      <w:r>
        <w:rPr>
          <w:rFonts w:ascii="Book Antiqua" w:eastAsia="Times New Roman" w:hAnsi="Book Antiqua"/>
        </w:rPr>
        <w:t xml:space="preserve">, Psyllaki M, Pavlaki KI, Drakos E, Kehagias E, Tzardi M, Papadaki HA. Aggressive recurrence of Non-Hodgkin's Lymphoma after successful clearance of hepatitis C virus with direct acting antivirals. </w:t>
      </w:r>
      <w:r>
        <w:rPr>
          <w:rFonts w:ascii="Book Antiqua" w:eastAsia="Times New Roman" w:hAnsi="Book Antiqua"/>
          <w:i/>
          <w:iCs/>
        </w:rPr>
        <w:t>Ann Hepatol</w:t>
      </w:r>
      <w:r>
        <w:rPr>
          <w:rFonts w:ascii="Book Antiqua" w:eastAsia="Times New Roman" w:hAnsi="Book Antiqua"/>
        </w:rPr>
        <w:t xml:space="preserve"> 2021; </w:t>
      </w:r>
      <w:r>
        <w:rPr>
          <w:rFonts w:ascii="Book Antiqua" w:eastAsia="Times New Roman" w:hAnsi="Book Antiqua"/>
          <w:b/>
          <w:bCs/>
        </w:rPr>
        <w:t>21</w:t>
      </w:r>
      <w:r>
        <w:rPr>
          <w:rFonts w:ascii="Book Antiqua" w:eastAsia="Times New Roman" w:hAnsi="Book Antiqua"/>
        </w:rPr>
        <w:t>: 100141 [PMID: 31694799 DOI: 10.1016/j.aohep.2019.08.012]</w:t>
      </w:r>
    </w:p>
    <w:p w14:paraId="53E024E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163 </w:t>
      </w:r>
      <w:r>
        <w:rPr>
          <w:rFonts w:ascii="Book Antiqua" w:eastAsia="Times New Roman" w:hAnsi="Book Antiqua"/>
          <w:b/>
          <w:bCs/>
        </w:rPr>
        <w:t>Kim M</w:t>
      </w:r>
      <w:r>
        <w:rPr>
          <w:rFonts w:ascii="Book Antiqua" w:eastAsia="Times New Roman" w:hAnsi="Book Antiqua"/>
        </w:rPr>
        <w:t xml:space="preserve">, Lee YK, Park B, Oh DJ, Choi HG. Hepatitis virus B and C infections are associated with an increased risk of non-Hodgkin lymphoma: A nested case-control study using a national sample cohort. </w:t>
      </w:r>
      <w:r>
        <w:rPr>
          <w:rFonts w:ascii="Book Antiqua" w:eastAsia="Times New Roman" w:hAnsi="Book Antiqua"/>
          <w:i/>
          <w:iCs/>
        </w:rPr>
        <w:t>J Med Virol</w:t>
      </w:r>
      <w:r>
        <w:rPr>
          <w:rFonts w:ascii="Book Antiqua" w:eastAsia="Times New Roman" w:hAnsi="Book Antiqua"/>
        </w:rPr>
        <w:t xml:space="preserve"> 2020; </w:t>
      </w:r>
      <w:r>
        <w:rPr>
          <w:rFonts w:ascii="Book Antiqua" w:eastAsia="Times New Roman" w:hAnsi="Book Antiqua"/>
          <w:b/>
          <w:bCs/>
        </w:rPr>
        <w:t>92</w:t>
      </w:r>
      <w:r>
        <w:rPr>
          <w:rFonts w:ascii="Book Antiqua" w:eastAsia="Times New Roman" w:hAnsi="Book Antiqua"/>
        </w:rPr>
        <w:t>: 1214-1220 [PMID: 31825111 DOI: 10.1002/jmv.25653]</w:t>
      </w:r>
    </w:p>
    <w:p w14:paraId="58F4F7A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164 </w:t>
      </w:r>
      <w:r>
        <w:rPr>
          <w:rFonts w:ascii="Book Antiqua" w:eastAsia="Times New Roman" w:hAnsi="Book Antiqua"/>
          <w:b/>
          <w:bCs/>
        </w:rPr>
        <w:t>Alkrekshi A</w:t>
      </w:r>
      <w:r>
        <w:rPr>
          <w:rFonts w:ascii="Book Antiqua" w:eastAsia="Times New Roman" w:hAnsi="Book Antiqua"/>
        </w:rPr>
        <w:t xml:space="preserve">, Kassem A, Park C, Tse W. Risk of Non-Hodgkin's Lymphoma in HCV Patients in the United States Between 2013 and 2020: A Population-Based Study. </w:t>
      </w:r>
      <w:r>
        <w:rPr>
          <w:rFonts w:ascii="Book Antiqua" w:eastAsia="Times New Roman" w:hAnsi="Book Antiqua"/>
          <w:i/>
          <w:iCs/>
        </w:rPr>
        <w:t>Clin Lymphoma Myeloma Leuk</w:t>
      </w:r>
      <w:r>
        <w:rPr>
          <w:rFonts w:ascii="Book Antiqua" w:eastAsia="Times New Roman" w:hAnsi="Book Antiqua"/>
        </w:rPr>
        <w:t xml:space="preserve"> 2021; </w:t>
      </w:r>
      <w:r>
        <w:rPr>
          <w:rFonts w:ascii="Book Antiqua" w:eastAsia="Times New Roman" w:hAnsi="Book Antiqua"/>
          <w:b/>
          <w:bCs/>
        </w:rPr>
        <w:t>21</w:t>
      </w:r>
      <w:r>
        <w:rPr>
          <w:rFonts w:ascii="Book Antiqua" w:eastAsia="Times New Roman" w:hAnsi="Book Antiqua"/>
        </w:rPr>
        <w:t>: e832-e838 [PMID: 34330674 DOI: 10.1016/j.clml.2021.06.014]</w:t>
      </w:r>
    </w:p>
    <w:p w14:paraId="48CDA8EB"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165 </w:t>
      </w:r>
      <w:r>
        <w:rPr>
          <w:rFonts w:ascii="Book Antiqua" w:eastAsia="Times New Roman" w:hAnsi="Book Antiqua"/>
          <w:b/>
          <w:bCs/>
        </w:rPr>
        <w:t>Tsai Y-F,</w:t>
      </w:r>
      <w:r>
        <w:rPr>
          <w:rFonts w:ascii="Book Antiqua" w:eastAsia="Times New Roman" w:hAnsi="Book Antiqua"/>
        </w:rPr>
        <w:t xml:space="preserve"> Liu Y-C, Yang C-I, Chuang T-M, Ke Y-L, Yeh T-J,</w:t>
      </w:r>
      <w:r>
        <w:rPr>
          <w:rFonts w:ascii="Book Antiqua" w:eastAsia="Times New Roman" w:hAnsi="Book Antiqua"/>
          <w:i/>
        </w:rPr>
        <w:t xml:space="preserve"> et al</w:t>
      </w:r>
      <w:r>
        <w:rPr>
          <w:rFonts w:ascii="Book Antiqua" w:eastAsia="Times New Roman" w:hAnsi="Book Antiqua"/>
        </w:rPr>
        <w:t xml:space="preserve">. Poor Prognosis of Diffuse Large B-Cell Lymphoma with Hepatitis C Infection. </w:t>
      </w:r>
      <w:r>
        <w:rPr>
          <w:rFonts w:ascii="Book Antiqua" w:eastAsia="Times New Roman" w:hAnsi="Book Antiqua"/>
          <w:i/>
        </w:rPr>
        <w:t>Journal of Personalized Medicine</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rPr>
        <w:t>11:</w:t>
      </w:r>
      <w:r>
        <w:rPr>
          <w:rFonts w:ascii="Book Antiqua" w:hAnsi="Book Antiqua" w:hint="eastAsia"/>
          <w:lang w:eastAsia="zh-CN"/>
        </w:rPr>
        <w:t xml:space="preserve"> </w:t>
      </w:r>
      <w:r>
        <w:rPr>
          <w:rFonts w:ascii="Book Antiqua" w:eastAsia="Times New Roman" w:hAnsi="Book Antiqua"/>
        </w:rPr>
        <w:t>1-13</w:t>
      </w:r>
      <w:r>
        <w:rPr>
          <w:rFonts w:ascii="Book Antiqua" w:hAnsi="Book Antiqua" w:hint="eastAsia"/>
          <w:lang w:eastAsia="zh-CN"/>
        </w:rPr>
        <w:t xml:space="preserve"> </w:t>
      </w:r>
      <w:r>
        <w:rPr>
          <w:rFonts w:ascii="Book Antiqua" w:eastAsia="Times New Roman" w:hAnsi="Book Antiqua"/>
        </w:rPr>
        <w:t>[DOI: 10.3390/jpm11090844</w:t>
      </w:r>
      <w:r>
        <w:rPr>
          <w:rFonts w:ascii="Book Antiqua" w:hAnsi="Book Antiqua" w:hint="eastAsia"/>
          <w:lang w:eastAsia="zh-CN"/>
        </w:rPr>
        <w:t>]</w:t>
      </w:r>
    </w:p>
    <w:p w14:paraId="14D624C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166 </w:t>
      </w:r>
      <w:r>
        <w:rPr>
          <w:rFonts w:ascii="Book Antiqua" w:eastAsia="Times New Roman" w:hAnsi="Book Antiqua"/>
          <w:b/>
          <w:bCs/>
        </w:rPr>
        <w:t>Sagnelli E</w:t>
      </w:r>
      <w:r>
        <w:rPr>
          <w:rFonts w:ascii="Book Antiqua" w:eastAsia="Times New Roman" w:hAnsi="Book Antiqua"/>
        </w:rPr>
        <w:t xml:space="preserve">, Sagnelli C, Russo A, Pisaturo M, Camaioni C, Astorri R, Coppola N. Impact of DAA-Based Regimens on HCV-Related Extra-Hepatic Damage: A Narrative Review. </w:t>
      </w:r>
      <w:r>
        <w:rPr>
          <w:rFonts w:ascii="Book Antiqua" w:eastAsia="Times New Roman" w:hAnsi="Book Antiqua"/>
          <w:i/>
          <w:iCs/>
        </w:rPr>
        <w:t>Adv Exp Med Biol</w:t>
      </w:r>
      <w:r>
        <w:rPr>
          <w:rFonts w:ascii="Book Antiqua" w:eastAsia="Times New Roman" w:hAnsi="Book Antiqua"/>
        </w:rPr>
        <w:t xml:space="preserve"> 2021; </w:t>
      </w:r>
      <w:r>
        <w:rPr>
          <w:rFonts w:ascii="Book Antiqua" w:eastAsia="Times New Roman" w:hAnsi="Book Antiqua"/>
          <w:b/>
          <w:bCs/>
        </w:rPr>
        <w:t>1323</w:t>
      </w:r>
      <w:r>
        <w:rPr>
          <w:rFonts w:ascii="Book Antiqua" w:eastAsia="Times New Roman" w:hAnsi="Book Antiqua"/>
        </w:rPr>
        <w:t>: 115-147 [PMID: 33326112 DOI: 10.1007/5584_2020_604]</w:t>
      </w:r>
    </w:p>
    <w:p w14:paraId="764CAA5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167 </w:t>
      </w:r>
      <w:r>
        <w:rPr>
          <w:rFonts w:ascii="Book Antiqua" w:eastAsia="Times New Roman" w:hAnsi="Book Antiqua"/>
          <w:b/>
          <w:bCs/>
        </w:rPr>
        <w:t>Defrancesco I</w:t>
      </w:r>
      <w:r>
        <w:rPr>
          <w:rFonts w:ascii="Book Antiqua" w:eastAsia="Times New Roman" w:hAnsi="Book Antiqua"/>
        </w:rPr>
        <w:t xml:space="preserve">, Zerbi C, Rattotti S, Merli M, Bruno R, Paulli M, Arcaini L. HCV infection and non-Hodgkin lymphomas: an evolving story. </w:t>
      </w:r>
      <w:r>
        <w:rPr>
          <w:rFonts w:ascii="Book Antiqua" w:eastAsia="Times New Roman" w:hAnsi="Book Antiqua"/>
          <w:i/>
          <w:iCs/>
        </w:rPr>
        <w:t>Clin Exp Med</w:t>
      </w:r>
      <w:r>
        <w:rPr>
          <w:rFonts w:ascii="Book Antiqua" w:eastAsia="Times New Roman" w:hAnsi="Book Antiqua"/>
        </w:rPr>
        <w:t xml:space="preserve"> 2020; </w:t>
      </w:r>
      <w:r>
        <w:rPr>
          <w:rFonts w:ascii="Book Antiqua" w:eastAsia="Times New Roman" w:hAnsi="Book Antiqua"/>
          <w:b/>
          <w:bCs/>
        </w:rPr>
        <w:t>20</w:t>
      </w:r>
      <w:r>
        <w:rPr>
          <w:rFonts w:ascii="Book Antiqua" w:eastAsia="Times New Roman" w:hAnsi="Book Antiqua"/>
        </w:rPr>
        <w:t>: 321-328 [PMID: 32052244 DOI: 10.1007/s10238-020-00615-6]</w:t>
      </w:r>
    </w:p>
    <w:p w14:paraId="7630E96E"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168 </w:t>
      </w:r>
      <w:r>
        <w:rPr>
          <w:rFonts w:ascii="Book Antiqua" w:eastAsia="Times New Roman" w:hAnsi="Book Antiqua"/>
          <w:b/>
          <w:bCs/>
        </w:rPr>
        <w:t>Mazzaro C,</w:t>
      </w:r>
      <w:r>
        <w:rPr>
          <w:rFonts w:ascii="Book Antiqua" w:eastAsia="Times New Roman" w:hAnsi="Book Antiqua"/>
        </w:rPr>
        <w:t xml:space="preserve"> Maso LD, Visentini M, Ermacora A, Andreone P, Gattei V,</w:t>
      </w:r>
      <w:r>
        <w:rPr>
          <w:rFonts w:ascii="Book Antiqua" w:eastAsia="Times New Roman" w:hAnsi="Book Antiqua"/>
          <w:i/>
        </w:rPr>
        <w:t xml:space="preserve"> et al</w:t>
      </w:r>
      <w:r>
        <w:rPr>
          <w:rFonts w:ascii="Book Antiqua" w:eastAsia="Times New Roman" w:hAnsi="Book Antiqua"/>
        </w:rPr>
        <w:t>. Hepatitis C virus</w:t>
      </w:r>
      <w:r>
        <w:rPr>
          <w:rFonts w:ascii="宋体" w:eastAsia="宋体" w:hAnsi="宋体" w:cs="宋体" w:hint="eastAsia"/>
        </w:rPr>
        <w:t>‐</w:t>
      </w:r>
      <w:r>
        <w:rPr>
          <w:rFonts w:ascii="Book Antiqua" w:eastAsia="Times New Roman" w:hAnsi="Book Antiqua"/>
        </w:rPr>
        <w:t>associated indolent B</w:t>
      </w:r>
      <w:r>
        <w:rPr>
          <w:rFonts w:ascii="宋体" w:eastAsia="宋体" w:hAnsi="宋体" w:cs="宋体" w:hint="eastAsia"/>
        </w:rPr>
        <w:t>‐</w:t>
      </w:r>
      <w:r>
        <w:rPr>
          <w:rFonts w:ascii="Book Antiqua" w:eastAsia="Times New Roman" w:hAnsi="Book Antiqua"/>
        </w:rPr>
        <w:t xml:space="preserve">cell lymphomas: A review on the role of the new direct antiviral agents therapy. </w:t>
      </w:r>
      <w:r>
        <w:rPr>
          <w:rFonts w:ascii="Book Antiqua" w:eastAsia="Times New Roman" w:hAnsi="Book Antiqua"/>
          <w:i/>
        </w:rPr>
        <w:t>Hematological Oncology</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39</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439-447</w:t>
      </w:r>
      <w:r>
        <w:rPr>
          <w:rFonts w:ascii="Book Antiqua" w:hAnsi="Book Antiqua" w:hint="eastAsia"/>
          <w:lang w:eastAsia="zh-CN"/>
        </w:rPr>
        <w:t xml:space="preserve"> </w:t>
      </w:r>
      <w:r>
        <w:rPr>
          <w:rFonts w:ascii="Book Antiqua" w:eastAsia="Times New Roman" w:hAnsi="Book Antiqua"/>
        </w:rPr>
        <w:t>[DOI: 10.1002/hon.2862</w:t>
      </w:r>
      <w:r>
        <w:rPr>
          <w:rFonts w:ascii="Book Antiqua" w:hAnsi="Book Antiqua" w:hint="eastAsia"/>
          <w:lang w:eastAsia="zh-CN"/>
        </w:rPr>
        <w:t>]</w:t>
      </w:r>
    </w:p>
    <w:p w14:paraId="4D7828F5"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169 </w:t>
      </w:r>
      <w:r>
        <w:rPr>
          <w:rFonts w:ascii="Book Antiqua" w:eastAsia="Times New Roman" w:hAnsi="Book Antiqua"/>
          <w:b/>
          <w:bCs/>
        </w:rPr>
        <w:t>Zhang M,</w:t>
      </w:r>
      <w:r>
        <w:rPr>
          <w:rFonts w:ascii="Book Antiqua" w:eastAsia="Times New Roman" w:hAnsi="Book Antiqua"/>
        </w:rPr>
        <w:t xml:space="preserve"> Gao F, Peng L, Shen L, Zhao P, Ni B,</w:t>
      </w:r>
      <w:r>
        <w:rPr>
          <w:rFonts w:ascii="Book Antiqua" w:eastAsia="Times New Roman" w:hAnsi="Book Antiqua"/>
          <w:i/>
        </w:rPr>
        <w:t xml:space="preserve"> et al</w:t>
      </w:r>
      <w:r>
        <w:rPr>
          <w:rFonts w:ascii="Book Antiqua" w:eastAsia="Times New Roman" w:hAnsi="Book Antiqua"/>
        </w:rPr>
        <w:t xml:space="preserve">. Distinct clinical features and prognostic factors of hepatitis C virus-associated non-Hodgkin’s lymphoma: a systematic review and meta-analysis. </w:t>
      </w:r>
      <w:r>
        <w:rPr>
          <w:rFonts w:ascii="Book Antiqua" w:eastAsia="Times New Roman" w:hAnsi="Book Antiqua"/>
          <w:i/>
        </w:rPr>
        <w:t>Cancer Cell International</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21</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1-15 [DOI:</w:t>
      </w:r>
      <w:r>
        <w:rPr>
          <w:rFonts w:ascii="Book Antiqua" w:hAnsi="Book Antiqua" w:hint="eastAsia"/>
          <w:lang w:eastAsia="zh-CN"/>
        </w:rPr>
        <w:t xml:space="preserve"> </w:t>
      </w:r>
      <w:r>
        <w:rPr>
          <w:rFonts w:ascii="Book Antiqua" w:eastAsia="Times New Roman" w:hAnsi="Book Antiqua"/>
        </w:rPr>
        <w:t>10.21203/RS.3.RS-472650/V1</w:t>
      </w:r>
      <w:r>
        <w:rPr>
          <w:rFonts w:ascii="Book Antiqua" w:hAnsi="Book Antiqua" w:hint="eastAsia"/>
          <w:lang w:eastAsia="zh-CN"/>
        </w:rPr>
        <w:t>]</w:t>
      </w:r>
    </w:p>
    <w:p w14:paraId="15C80C8F"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170 </w:t>
      </w:r>
      <w:r>
        <w:rPr>
          <w:rFonts w:ascii="Book Antiqua" w:eastAsia="Times New Roman" w:hAnsi="Book Antiqua"/>
          <w:b/>
          <w:bCs/>
        </w:rPr>
        <w:t>Zaimi Y,</w:t>
      </w:r>
      <w:r>
        <w:rPr>
          <w:rFonts w:ascii="Book Antiqua" w:eastAsia="Times New Roman" w:hAnsi="Book Antiqua"/>
        </w:rPr>
        <w:t xml:space="preserve"> Ayari M, Cherifi W, Ksontini FL, Ayadi S, Mabrouk EBH,</w:t>
      </w:r>
      <w:r>
        <w:rPr>
          <w:rFonts w:ascii="Book Antiqua" w:eastAsia="Times New Roman" w:hAnsi="Book Antiqua"/>
          <w:i/>
        </w:rPr>
        <w:t xml:space="preserve"> et al</w:t>
      </w:r>
      <w:r>
        <w:rPr>
          <w:rFonts w:ascii="Book Antiqua" w:eastAsia="Times New Roman" w:hAnsi="Book Antiqua"/>
        </w:rPr>
        <w:t xml:space="preserve">. Primary hepatic large B-cell lymphoma following direct-acting antiviral treatment for hepatitis C. </w:t>
      </w:r>
      <w:r>
        <w:rPr>
          <w:rFonts w:ascii="Book Antiqua" w:eastAsia="Times New Roman" w:hAnsi="Book Antiqua"/>
          <w:i/>
        </w:rPr>
        <w:t>BMJ Open Gastroenterology</w:t>
      </w:r>
      <w:r>
        <w:rPr>
          <w:rFonts w:ascii="Book Antiqua" w:hAnsi="Book Antiqua" w:hint="eastAsia"/>
          <w:i/>
          <w:lang w:eastAsia="zh-CN"/>
        </w:rPr>
        <w:t xml:space="preserve"> </w:t>
      </w:r>
      <w:r>
        <w:rPr>
          <w:rFonts w:ascii="Book Antiqua" w:eastAsia="Times New Roman" w:hAnsi="Book Antiqua"/>
          <w:i/>
        </w:rPr>
        <w:t>Hepatology</w:t>
      </w:r>
      <w:r>
        <w:rPr>
          <w:rFonts w:ascii="Book Antiqua" w:hAnsi="Book Antiqua" w:hint="eastAsia"/>
          <w:lang w:eastAsia="zh-CN"/>
        </w:rPr>
        <w:t xml:space="preserve"> </w:t>
      </w:r>
      <w:r>
        <w:rPr>
          <w:rFonts w:ascii="Book Antiqua" w:eastAsia="Times New Roman" w:hAnsi="Book Antiqua"/>
        </w:rPr>
        <w:t>2021;</w:t>
      </w:r>
      <w:r>
        <w:rPr>
          <w:rFonts w:ascii="Book Antiqua" w:hAnsi="Book Antiqua" w:hint="eastAsia"/>
          <w:lang w:eastAsia="zh-CN"/>
        </w:rPr>
        <w:t xml:space="preserve"> </w:t>
      </w:r>
      <w:r>
        <w:rPr>
          <w:rFonts w:ascii="Book Antiqua" w:eastAsia="Times New Roman" w:hAnsi="Book Antiqua"/>
          <w:b/>
        </w:rPr>
        <w:t>8</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1-4</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10.1136/bmjgast-2021-000721</w:t>
      </w:r>
      <w:r>
        <w:rPr>
          <w:rFonts w:ascii="Book Antiqua" w:hAnsi="Book Antiqua" w:hint="eastAsia"/>
          <w:lang w:eastAsia="zh-CN"/>
        </w:rPr>
        <w:t>]</w:t>
      </w:r>
    </w:p>
    <w:p w14:paraId="36967D5A"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171 </w:t>
      </w:r>
      <w:r>
        <w:rPr>
          <w:rFonts w:ascii="Book Antiqua" w:eastAsia="Times New Roman" w:hAnsi="Book Antiqua"/>
          <w:b/>
          <w:bCs/>
        </w:rPr>
        <w:t>Amodio P,</w:t>
      </w:r>
      <w:r>
        <w:rPr>
          <w:rFonts w:ascii="Book Antiqua" w:eastAsia="Times New Roman" w:hAnsi="Book Antiqua"/>
        </w:rPr>
        <w:t xml:space="preserve"> Salari L, Montagnese S, Schiff S, Neri D, Bianco T,</w:t>
      </w:r>
      <w:r>
        <w:rPr>
          <w:rFonts w:ascii="Book Antiqua" w:eastAsia="Times New Roman" w:hAnsi="Book Antiqua"/>
          <w:i/>
        </w:rPr>
        <w:t xml:space="preserve"> et al</w:t>
      </w:r>
      <w:r>
        <w:rPr>
          <w:rFonts w:ascii="Book Antiqua" w:eastAsia="Times New Roman" w:hAnsi="Book Antiqua"/>
        </w:rPr>
        <w:t xml:space="preserve">. Hepatitis C virus infection and health-related quality of life. </w:t>
      </w:r>
      <w:r>
        <w:rPr>
          <w:rFonts w:ascii="Book Antiqua" w:eastAsia="Times New Roman" w:hAnsi="Book Antiqua"/>
          <w:i/>
        </w:rPr>
        <w:t>World J Gastroenterol</w:t>
      </w:r>
      <w:r>
        <w:rPr>
          <w:rFonts w:ascii="Book Antiqua" w:hAnsi="Book Antiqua" w:hint="eastAsia"/>
          <w:lang w:eastAsia="zh-CN"/>
        </w:rPr>
        <w:t xml:space="preserve"> </w:t>
      </w:r>
      <w:r>
        <w:rPr>
          <w:rFonts w:ascii="Book Antiqua" w:eastAsia="Times New Roman" w:hAnsi="Book Antiqua"/>
        </w:rPr>
        <w:t>2012;</w:t>
      </w:r>
      <w:r>
        <w:rPr>
          <w:rFonts w:ascii="Book Antiqua" w:hAnsi="Book Antiqua" w:hint="eastAsia"/>
          <w:lang w:eastAsia="zh-CN"/>
        </w:rPr>
        <w:t xml:space="preserve"> </w:t>
      </w:r>
      <w:r>
        <w:rPr>
          <w:rFonts w:ascii="Book Antiqua" w:eastAsia="Times New Roman" w:hAnsi="Book Antiqua"/>
          <w:b/>
        </w:rPr>
        <w:t>18</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2295-2299</w:t>
      </w:r>
      <w:r>
        <w:rPr>
          <w:rFonts w:ascii="Book Antiqua" w:hAnsi="Book Antiqua" w:hint="eastAsia"/>
          <w:lang w:eastAsia="zh-CN"/>
        </w:rPr>
        <w:t xml:space="preserve"> </w:t>
      </w:r>
      <w:r>
        <w:rPr>
          <w:rFonts w:ascii="Book Antiqua" w:eastAsia="Times New Roman" w:hAnsi="Book Antiqua"/>
        </w:rPr>
        <w:t>[DOI: 10.3748/wjg.v18.i19.2295</w:t>
      </w:r>
      <w:r>
        <w:rPr>
          <w:rFonts w:ascii="Book Antiqua" w:hAnsi="Book Antiqua" w:hint="eastAsia"/>
          <w:lang w:eastAsia="zh-CN"/>
        </w:rPr>
        <w:t>]</w:t>
      </w:r>
    </w:p>
    <w:p w14:paraId="4653B06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172 </w:t>
      </w:r>
      <w:r>
        <w:rPr>
          <w:rFonts w:ascii="Book Antiqua" w:eastAsia="Times New Roman" w:hAnsi="Book Antiqua"/>
          <w:b/>
          <w:bCs/>
        </w:rPr>
        <w:t>Tagliapietra M</w:t>
      </w:r>
      <w:r>
        <w:rPr>
          <w:rFonts w:ascii="Book Antiqua" w:eastAsia="Times New Roman" w:hAnsi="Book Antiqua"/>
        </w:rPr>
        <w:t xml:space="preserve">, Monaco S. Neuroimaging Findings in Chronic Hepatitis C Virus Infection: Correlation with Neurocognitive and Neuropsychiatric Manifestations. </w:t>
      </w:r>
      <w:r>
        <w:rPr>
          <w:rFonts w:ascii="Book Antiqua" w:eastAsia="Times New Roman" w:hAnsi="Book Antiqua"/>
          <w:i/>
          <w:iCs/>
        </w:rPr>
        <w:t>Int J Mol Sci</w:t>
      </w:r>
      <w:r>
        <w:rPr>
          <w:rFonts w:ascii="Book Antiqua" w:eastAsia="Times New Roman" w:hAnsi="Book Antiqua"/>
        </w:rPr>
        <w:t xml:space="preserve"> 2020; </w:t>
      </w:r>
      <w:r>
        <w:rPr>
          <w:rFonts w:ascii="Book Antiqua" w:eastAsia="Times New Roman" w:hAnsi="Book Antiqua"/>
          <w:b/>
          <w:bCs/>
        </w:rPr>
        <w:t>21</w:t>
      </w:r>
      <w:r>
        <w:rPr>
          <w:rFonts w:ascii="Book Antiqua" w:eastAsia="Times New Roman" w:hAnsi="Book Antiqua"/>
        </w:rPr>
        <w:t xml:space="preserve"> [PMID: 32252497 DOI: 10.3390/ijms21072478]</w:t>
      </w:r>
    </w:p>
    <w:p w14:paraId="13A3169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173 </w:t>
      </w:r>
      <w:r>
        <w:rPr>
          <w:rFonts w:ascii="Book Antiqua" w:eastAsia="Times New Roman" w:hAnsi="Book Antiqua"/>
          <w:b/>
          <w:bCs/>
        </w:rPr>
        <w:t>Faccioli J</w:t>
      </w:r>
      <w:r>
        <w:rPr>
          <w:rFonts w:ascii="Book Antiqua" w:eastAsia="Times New Roman" w:hAnsi="Book Antiqua"/>
        </w:rPr>
        <w:t xml:space="preserve">, Nardelli S, Gioia S, Riggio O, Ridola L. Neurological and psychiatric effects of hepatitis C virus infection. </w:t>
      </w:r>
      <w:r>
        <w:rPr>
          <w:rFonts w:ascii="Book Antiqua" w:eastAsia="Times New Roman" w:hAnsi="Book Antiqua"/>
          <w:i/>
          <w:iCs/>
        </w:rPr>
        <w:t>World J Gastroenterol</w:t>
      </w:r>
      <w:r>
        <w:rPr>
          <w:rFonts w:ascii="Book Antiqua" w:eastAsia="Times New Roman" w:hAnsi="Book Antiqua"/>
        </w:rPr>
        <w:t xml:space="preserve"> 2021; </w:t>
      </w:r>
      <w:r>
        <w:rPr>
          <w:rFonts w:ascii="Book Antiqua" w:eastAsia="Times New Roman" w:hAnsi="Book Antiqua"/>
          <w:b/>
          <w:bCs/>
        </w:rPr>
        <w:t>27</w:t>
      </w:r>
      <w:r>
        <w:rPr>
          <w:rFonts w:ascii="Book Antiqua" w:eastAsia="Times New Roman" w:hAnsi="Book Antiqua"/>
        </w:rPr>
        <w:t>: 4846-4861 [PMID: 34447230 DOI: 10.3748/wjg.v27.i29.4846]</w:t>
      </w:r>
    </w:p>
    <w:p w14:paraId="72A5868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174 </w:t>
      </w:r>
      <w:r>
        <w:rPr>
          <w:rFonts w:ascii="Book Antiqua" w:eastAsia="Times New Roman" w:hAnsi="Book Antiqua"/>
          <w:b/>
          <w:bCs/>
        </w:rPr>
        <w:t>Abrantes J</w:t>
      </w:r>
      <w:r>
        <w:rPr>
          <w:rFonts w:ascii="Book Antiqua" w:eastAsia="Times New Roman" w:hAnsi="Book Antiqua"/>
        </w:rPr>
        <w:t xml:space="preserve">, Torres DS, Brandão-Mello CE. Patients with Hepatitis C Infection and Normal Liver Function: A Neuropsychological and Neurophysiological Assessment of Cognitive Functions. </w:t>
      </w:r>
      <w:r>
        <w:rPr>
          <w:rFonts w:ascii="Book Antiqua" w:eastAsia="Times New Roman" w:hAnsi="Book Antiqua"/>
          <w:i/>
          <w:iCs/>
        </w:rPr>
        <w:t>Int J Hepatol</w:t>
      </w:r>
      <w:r>
        <w:rPr>
          <w:rFonts w:ascii="Book Antiqua" w:eastAsia="Times New Roman" w:hAnsi="Book Antiqua"/>
        </w:rPr>
        <w:t xml:space="preserve"> 2021; </w:t>
      </w:r>
      <w:r>
        <w:rPr>
          <w:rFonts w:ascii="Book Antiqua" w:eastAsia="Times New Roman" w:hAnsi="Book Antiqua"/>
          <w:b/>
          <w:bCs/>
        </w:rPr>
        <w:t>2021</w:t>
      </w:r>
      <w:r>
        <w:rPr>
          <w:rFonts w:ascii="Book Antiqua" w:eastAsia="Times New Roman" w:hAnsi="Book Antiqua"/>
        </w:rPr>
        <w:t>: 8823676 [PMID: 34113467 DOI: 10.1155/2021/8823676]</w:t>
      </w:r>
    </w:p>
    <w:p w14:paraId="5326B85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175 </w:t>
      </w:r>
      <w:r>
        <w:rPr>
          <w:rFonts w:ascii="Book Antiqua" w:eastAsia="Times New Roman" w:hAnsi="Book Antiqua"/>
          <w:b/>
          <w:bCs/>
        </w:rPr>
        <w:t>Hilsabeck RC</w:t>
      </w:r>
      <w:r>
        <w:rPr>
          <w:rFonts w:ascii="Book Antiqua" w:eastAsia="Times New Roman" w:hAnsi="Book Antiqua"/>
        </w:rPr>
        <w:t xml:space="preserve">, Hassanein TI, Carlson MD, Ziegler EA, Perry W. Cognitive functioning and psychiatric symptomatology in patients with chronic hepatitis C. </w:t>
      </w:r>
      <w:r>
        <w:rPr>
          <w:rFonts w:ascii="Book Antiqua" w:eastAsia="Times New Roman" w:hAnsi="Book Antiqua"/>
          <w:i/>
          <w:iCs/>
        </w:rPr>
        <w:t>J Int Neuropsychol Soc</w:t>
      </w:r>
      <w:r>
        <w:rPr>
          <w:rFonts w:ascii="Book Antiqua" w:eastAsia="Times New Roman" w:hAnsi="Book Antiqua"/>
        </w:rPr>
        <w:t xml:space="preserve"> 2003; </w:t>
      </w:r>
      <w:r>
        <w:rPr>
          <w:rFonts w:ascii="Book Antiqua" w:eastAsia="Times New Roman" w:hAnsi="Book Antiqua"/>
          <w:b/>
          <w:bCs/>
        </w:rPr>
        <w:t>9</w:t>
      </w:r>
      <w:r>
        <w:rPr>
          <w:rFonts w:ascii="Book Antiqua" w:eastAsia="Times New Roman" w:hAnsi="Book Antiqua"/>
        </w:rPr>
        <w:t>: 847-854 [PMID: 14632243 DOI: 10.1017/S1355617703960048]</w:t>
      </w:r>
    </w:p>
    <w:p w14:paraId="0F79DC2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176 </w:t>
      </w:r>
      <w:r>
        <w:rPr>
          <w:rFonts w:ascii="Book Antiqua" w:eastAsia="Times New Roman" w:hAnsi="Book Antiqua"/>
          <w:b/>
          <w:bCs/>
        </w:rPr>
        <w:t>Moretti R</w:t>
      </w:r>
      <w:r>
        <w:rPr>
          <w:rFonts w:ascii="Book Antiqua" w:eastAsia="Times New Roman" w:hAnsi="Book Antiqua"/>
        </w:rPr>
        <w:t xml:space="preserve">, Gazzin S, Crocè LS, Baso B, Masutti F, Bedogni G, Tiribelli C. Rapid identification system of frontal dysfunction in subclinical hepatic encephalopathy. </w:t>
      </w:r>
      <w:r>
        <w:rPr>
          <w:rFonts w:ascii="Book Antiqua" w:eastAsia="Times New Roman" w:hAnsi="Book Antiqua"/>
          <w:i/>
          <w:iCs/>
        </w:rPr>
        <w:t>Ann Hepatol</w:t>
      </w:r>
      <w:r>
        <w:rPr>
          <w:rFonts w:ascii="Book Antiqua" w:eastAsia="Times New Roman" w:hAnsi="Book Antiqua"/>
        </w:rPr>
        <w:t xml:space="preserve"> 2016; </w:t>
      </w:r>
      <w:r>
        <w:rPr>
          <w:rFonts w:ascii="Book Antiqua" w:eastAsia="Times New Roman" w:hAnsi="Book Antiqua"/>
          <w:b/>
          <w:bCs/>
        </w:rPr>
        <w:t>15</w:t>
      </w:r>
      <w:r>
        <w:rPr>
          <w:rFonts w:ascii="Book Antiqua" w:eastAsia="Times New Roman" w:hAnsi="Book Antiqua"/>
        </w:rPr>
        <w:t>: 559-567 [PMID: 27236155 DOI: 10.5604/16652681.1203153]</w:t>
      </w:r>
    </w:p>
    <w:p w14:paraId="50FFD77A"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177 </w:t>
      </w:r>
      <w:r>
        <w:rPr>
          <w:rFonts w:ascii="Book Antiqua" w:eastAsia="Times New Roman" w:hAnsi="Book Antiqua"/>
          <w:b/>
          <w:bCs/>
        </w:rPr>
        <w:t>Salama II,</w:t>
      </w:r>
      <w:r>
        <w:rPr>
          <w:rFonts w:ascii="Book Antiqua" w:eastAsia="Times New Roman" w:hAnsi="Book Antiqua"/>
        </w:rPr>
        <w:t xml:space="preserve"> Sami SM, Abdellatif GA, Mohsen A, Rasmy H, Kamel SA,</w:t>
      </w:r>
      <w:r>
        <w:rPr>
          <w:rFonts w:ascii="Book Antiqua" w:eastAsia="Times New Roman" w:hAnsi="Book Antiqua"/>
          <w:i/>
        </w:rPr>
        <w:t xml:space="preserve"> et al</w:t>
      </w:r>
      <w:r>
        <w:rPr>
          <w:rFonts w:ascii="Book Antiqua" w:eastAsia="Times New Roman" w:hAnsi="Book Antiqua"/>
        </w:rPr>
        <w:t xml:space="preserve">. Plasma microRNAs biomarkers in mild cognitive impairment among patients with type 2 diabetes mellitus. </w:t>
      </w:r>
      <w:r>
        <w:rPr>
          <w:rFonts w:ascii="Book Antiqua" w:eastAsia="Times New Roman" w:hAnsi="Book Antiqua"/>
          <w:i/>
        </w:rPr>
        <w:t>PLoS One</w:t>
      </w:r>
      <w:r>
        <w:rPr>
          <w:rFonts w:ascii="Book Antiqua" w:hAnsi="Book Antiqua" w:hint="eastAsia"/>
          <w:lang w:eastAsia="zh-CN"/>
        </w:rPr>
        <w:t xml:space="preserve"> </w:t>
      </w:r>
      <w:r>
        <w:rPr>
          <w:rFonts w:ascii="Book Antiqua" w:eastAsia="Times New Roman" w:hAnsi="Book Antiqua"/>
        </w:rPr>
        <w:t>2020;</w:t>
      </w:r>
      <w:r>
        <w:rPr>
          <w:rFonts w:ascii="Book Antiqua" w:hAnsi="Book Antiqua" w:hint="eastAsia"/>
          <w:lang w:eastAsia="zh-CN"/>
        </w:rPr>
        <w:t xml:space="preserve"> </w:t>
      </w:r>
      <w:r>
        <w:rPr>
          <w:rFonts w:ascii="Book Antiqua" w:eastAsia="Times New Roman" w:hAnsi="Book Antiqua"/>
          <w:b/>
        </w:rPr>
        <w:t>15</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e0236453</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10.1371/journal.pone.0236453</w:t>
      </w:r>
      <w:r>
        <w:rPr>
          <w:rFonts w:ascii="Book Antiqua" w:hAnsi="Book Antiqua" w:hint="eastAsia"/>
          <w:lang w:eastAsia="zh-CN"/>
        </w:rPr>
        <w:t>]</w:t>
      </w:r>
    </w:p>
    <w:p w14:paraId="01FA4136"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178 </w:t>
      </w:r>
      <w:r>
        <w:rPr>
          <w:rFonts w:ascii="Book Antiqua" w:eastAsia="Times New Roman" w:hAnsi="Book Antiqua"/>
          <w:b/>
          <w:bCs/>
        </w:rPr>
        <w:t>Abrantes J</w:t>
      </w:r>
      <w:r>
        <w:rPr>
          <w:rFonts w:ascii="Book Antiqua" w:eastAsia="Times New Roman" w:hAnsi="Book Antiqua"/>
        </w:rPr>
        <w:t xml:space="preserve">, Torres DS, de Mello CE. Patients with hepatitis C infection and normal liver function: an evaluation of cognitive function. </w:t>
      </w:r>
      <w:r>
        <w:rPr>
          <w:rFonts w:ascii="Book Antiqua" w:eastAsia="Times New Roman" w:hAnsi="Book Antiqua"/>
          <w:i/>
          <w:iCs/>
        </w:rPr>
        <w:t>Postgrad Med J</w:t>
      </w:r>
      <w:r>
        <w:rPr>
          <w:rFonts w:ascii="Book Antiqua" w:eastAsia="Times New Roman" w:hAnsi="Book Antiqua"/>
        </w:rPr>
        <w:t xml:space="preserve"> 2013; </w:t>
      </w:r>
      <w:r>
        <w:rPr>
          <w:rFonts w:ascii="Book Antiqua" w:eastAsia="Times New Roman" w:hAnsi="Book Antiqua"/>
          <w:b/>
          <w:bCs/>
        </w:rPr>
        <w:t>89</w:t>
      </w:r>
      <w:r>
        <w:rPr>
          <w:rFonts w:ascii="Book Antiqua" w:eastAsia="Times New Roman" w:hAnsi="Book Antiqua"/>
        </w:rPr>
        <w:t>: 433-439 [PMID: 23625064 DOI: 10.1136/postgradmedj-2012-131185]</w:t>
      </w:r>
    </w:p>
    <w:p w14:paraId="78A4589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179 </w:t>
      </w:r>
      <w:r>
        <w:rPr>
          <w:rFonts w:ascii="Book Antiqua" w:eastAsia="Times New Roman" w:hAnsi="Book Antiqua"/>
          <w:b/>
          <w:bCs/>
        </w:rPr>
        <w:t>Adinolfi LE</w:t>
      </w:r>
      <w:r>
        <w:rPr>
          <w:rFonts w:ascii="Book Antiqua" w:eastAsia="Times New Roman" w:hAnsi="Book Antiqua"/>
        </w:rPr>
        <w:t xml:space="preserve">, Nevola R, Lus G, Restivo L, Guerrera B, Romano C, Zampino R, Rinaldi L, Sellitto A, Giordano M, Marrone A. Chronic hepatitis C virus infection and neurological and psychiatric disorders: an overview. </w:t>
      </w:r>
      <w:r>
        <w:rPr>
          <w:rFonts w:ascii="Book Antiqua" w:eastAsia="Times New Roman" w:hAnsi="Book Antiqua"/>
          <w:i/>
          <w:iCs/>
        </w:rPr>
        <w:t>World J Gastroenterol</w:t>
      </w:r>
      <w:r>
        <w:rPr>
          <w:rFonts w:ascii="Book Antiqua" w:eastAsia="Times New Roman" w:hAnsi="Book Antiqua"/>
        </w:rPr>
        <w:t xml:space="preserve"> 2015; </w:t>
      </w:r>
      <w:r>
        <w:rPr>
          <w:rFonts w:ascii="Book Antiqua" w:eastAsia="Times New Roman" w:hAnsi="Book Antiqua"/>
          <w:b/>
          <w:bCs/>
        </w:rPr>
        <w:t>21</w:t>
      </w:r>
      <w:r>
        <w:rPr>
          <w:rFonts w:ascii="Book Antiqua" w:eastAsia="Times New Roman" w:hAnsi="Book Antiqua"/>
        </w:rPr>
        <w:t>: 2269-2280 [PMID: 25741133 DOI: 10.3748/wjg.v21.i8.2269]</w:t>
      </w:r>
    </w:p>
    <w:p w14:paraId="53E72D2A"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180 </w:t>
      </w:r>
      <w:r>
        <w:rPr>
          <w:rFonts w:ascii="Book Antiqua" w:eastAsia="Times New Roman" w:hAnsi="Book Antiqua"/>
          <w:b/>
          <w:bCs/>
        </w:rPr>
        <w:t>Monaco S</w:t>
      </w:r>
      <w:r>
        <w:rPr>
          <w:rFonts w:ascii="Book Antiqua" w:eastAsia="Times New Roman" w:hAnsi="Book Antiqua"/>
        </w:rPr>
        <w:t xml:space="preserve">, Ferrari S, Gajofatto A, Zanusso G, Mariotto S. HCV-related nervous system disorders. </w:t>
      </w:r>
      <w:r>
        <w:rPr>
          <w:rFonts w:ascii="Book Antiqua" w:eastAsia="Times New Roman" w:hAnsi="Book Antiqua"/>
          <w:i/>
          <w:iCs/>
        </w:rPr>
        <w:t>Clin Dev Immunol</w:t>
      </w:r>
      <w:r>
        <w:rPr>
          <w:rFonts w:ascii="Book Antiqua" w:eastAsia="Times New Roman" w:hAnsi="Book Antiqua"/>
        </w:rPr>
        <w:t xml:space="preserve"> 2012; </w:t>
      </w:r>
      <w:r>
        <w:rPr>
          <w:rFonts w:ascii="Book Antiqua" w:eastAsia="Times New Roman" w:hAnsi="Book Antiqua"/>
          <w:b/>
          <w:bCs/>
        </w:rPr>
        <w:t>2012</w:t>
      </w:r>
      <w:r>
        <w:rPr>
          <w:rFonts w:ascii="Book Antiqua" w:eastAsia="Times New Roman" w:hAnsi="Book Antiqua"/>
        </w:rPr>
        <w:t>: 236148 [PMID: 22899946 DOI: 10.1155/2012/236148]</w:t>
      </w:r>
    </w:p>
    <w:p w14:paraId="66BC775A"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181 </w:t>
      </w:r>
      <w:r>
        <w:rPr>
          <w:rFonts w:ascii="Book Antiqua" w:eastAsia="Times New Roman" w:hAnsi="Book Antiqua"/>
          <w:b/>
          <w:bCs/>
        </w:rPr>
        <w:t>Huckans M,</w:t>
      </w:r>
      <w:r>
        <w:rPr>
          <w:rFonts w:ascii="Book Antiqua" w:eastAsia="Times New Roman" w:hAnsi="Book Antiqua"/>
        </w:rPr>
        <w:t xml:space="preserve"> Fuller BE, Olavarria H, Sasaki AW, Chang M, Flora KD,</w:t>
      </w:r>
      <w:r>
        <w:rPr>
          <w:rFonts w:ascii="Book Antiqua" w:eastAsia="Times New Roman" w:hAnsi="Book Antiqua"/>
          <w:i/>
        </w:rPr>
        <w:t xml:space="preserve"> et al</w:t>
      </w:r>
      <w:r>
        <w:rPr>
          <w:rFonts w:ascii="Book Antiqua" w:eastAsia="Times New Roman" w:hAnsi="Book Antiqua"/>
        </w:rPr>
        <w:t xml:space="preserve">. Multi-analyte profile analysis of plasma immune proteins: altered expression of peripheral immune factors is associated with neuropsychiatric symptom severity in adults with and without chronic hepatitis C virus infection. </w:t>
      </w:r>
      <w:r>
        <w:rPr>
          <w:rFonts w:ascii="Book Antiqua" w:eastAsia="Times New Roman" w:hAnsi="Book Antiqua"/>
          <w:i/>
        </w:rPr>
        <w:t>Brain Behav</w:t>
      </w:r>
      <w:r>
        <w:rPr>
          <w:rFonts w:ascii="Book Antiqua" w:hAnsi="Book Antiqua" w:hint="eastAsia"/>
          <w:lang w:eastAsia="zh-CN"/>
        </w:rPr>
        <w:t xml:space="preserve"> </w:t>
      </w:r>
      <w:r>
        <w:rPr>
          <w:rFonts w:ascii="Book Antiqua" w:eastAsia="Times New Roman" w:hAnsi="Book Antiqua"/>
        </w:rPr>
        <w:t>2014;</w:t>
      </w:r>
      <w:r>
        <w:rPr>
          <w:rFonts w:ascii="Book Antiqua" w:hAnsi="Book Antiqua" w:hint="eastAsia"/>
          <w:lang w:eastAsia="zh-CN"/>
        </w:rPr>
        <w:t xml:space="preserve"> </w:t>
      </w:r>
      <w:r>
        <w:rPr>
          <w:rFonts w:ascii="Book Antiqua" w:eastAsia="Times New Roman" w:hAnsi="Book Antiqua"/>
          <w:b/>
          <w:bCs/>
        </w:rPr>
        <w:t>4</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123-142</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10.1002/brb3.200</w:t>
      </w:r>
      <w:r>
        <w:rPr>
          <w:rFonts w:ascii="Book Antiqua" w:hAnsi="Book Antiqua" w:hint="eastAsia"/>
          <w:lang w:eastAsia="zh-CN"/>
        </w:rPr>
        <w:t>]</w:t>
      </w:r>
    </w:p>
    <w:p w14:paraId="673BA264"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182 </w:t>
      </w:r>
      <w:r>
        <w:rPr>
          <w:rFonts w:ascii="Book Antiqua" w:eastAsia="Times New Roman" w:hAnsi="Book Antiqua"/>
          <w:b/>
          <w:bCs/>
        </w:rPr>
        <w:t>Yeoh SW</w:t>
      </w:r>
      <w:r>
        <w:rPr>
          <w:rFonts w:ascii="Book Antiqua" w:eastAsia="Times New Roman" w:hAnsi="Book Antiqua"/>
        </w:rPr>
        <w:t xml:space="preserve">, Holmes ACN, Saling MM, Everall IP, Nicoll AJ. Depression, fatigue and neurocognitive deficits in chronic hepatitis C. </w:t>
      </w:r>
      <w:r>
        <w:rPr>
          <w:rFonts w:ascii="Book Antiqua" w:eastAsia="Times New Roman" w:hAnsi="Book Antiqua"/>
          <w:i/>
          <w:iCs/>
        </w:rPr>
        <w:t>Hepatol Int</w:t>
      </w:r>
      <w:r>
        <w:rPr>
          <w:rFonts w:ascii="Book Antiqua" w:eastAsia="Times New Roman" w:hAnsi="Book Antiqua"/>
        </w:rPr>
        <w:t xml:space="preserve"> 2018; </w:t>
      </w:r>
      <w:r>
        <w:rPr>
          <w:rFonts w:ascii="Book Antiqua" w:eastAsia="Times New Roman" w:hAnsi="Book Antiqua"/>
          <w:b/>
          <w:bCs/>
        </w:rPr>
        <w:t>12</w:t>
      </w:r>
      <w:r>
        <w:rPr>
          <w:rFonts w:ascii="Book Antiqua" w:eastAsia="Times New Roman" w:hAnsi="Book Antiqua"/>
        </w:rPr>
        <w:t>: 294-304 [PMID: 29931590 DOI: 10.1007/s12072-018-9879-5]</w:t>
      </w:r>
    </w:p>
    <w:p w14:paraId="75D1C957"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183 </w:t>
      </w:r>
      <w:r>
        <w:rPr>
          <w:rFonts w:ascii="Book Antiqua" w:eastAsia="Times New Roman" w:hAnsi="Book Antiqua"/>
          <w:b/>
          <w:bCs/>
        </w:rPr>
        <w:t>Weissenborn K,</w:t>
      </w:r>
      <w:r>
        <w:rPr>
          <w:rFonts w:ascii="Book Antiqua" w:eastAsia="Times New Roman" w:hAnsi="Book Antiqua"/>
        </w:rPr>
        <w:t xml:space="preserve"> Ennen JC, Bokemeyer M, Ahl B, Wurster U, Tillmann H,</w:t>
      </w:r>
      <w:r>
        <w:rPr>
          <w:rFonts w:ascii="Book Antiqua" w:eastAsia="Times New Roman" w:hAnsi="Book Antiqua"/>
          <w:i/>
        </w:rPr>
        <w:t xml:space="preserve"> et al</w:t>
      </w:r>
      <w:r>
        <w:rPr>
          <w:rFonts w:ascii="Book Antiqua" w:eastAsia="Times New Roman" w:hAnsi="Book Antiqua"/>
        </w:rPr>
        <w:t xml:space="preserve">. Monoaminergic neurotransmission is altered in hepatitis C virus infected patients with chronic fatigue and cognitive impairment. </w:t>
      </w:r>
      <w:r>
        <w:rPr>
          <w:rFonts w:ascii="Book Antiqua" w:eastAsia="Times New Roman" w:hAnsi="Book Antiqua"/>
          <w:i/>
        </w:rPr>
        <w:t>Gut</w:t>
      </w:r>
      <w:r>
        <w:rPr>
          <w:rFonts w:ascii="Book Antiqua" w:hAnsi="Book Antiqua" w:hint="eastAsia"/>
          <w:lang w:eastAsia="zh-CN"/>
        </w:rPr>
        <w:t xml:space="preserve"> </w:t>
      </w:r>
      <w:r>
        <w:rPr>
          <w:rFonts w:ascii="Book Antiqua" w:eastAsia="Times New Roman" w:hAnsi="Book Antiqua"/>
        </w:rPr>
        <w:t>2006;</w:t>
      </w:r>
      <w:r>
        <w:rPr>
          <w:rFonts w:ascii="Book Antiqua" w:hAnsi="Book Antiqua" w:hint="eastAsia"/>
          <w:lang w:eastAsia="zh-CN"/>
        </w:rPr>
        <w:t xml:space="preserve"> </w:t>
      </w:r>
      <w:r>
        <w:rPr>
          <w:rFonts w:ascii="Book Antiqua" w:eastAsia="Times New Roman" w:hAnsi="Book Antiqua"/>
          <w:b/>
        </w:rPr>
        <w:t>55</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1624-1630</w:t>
      </w:r>
      <w:r>
        <w:rPr>
          <w:rFonts w:ascii="Book Antiqua" w:hAnsi="Book Antiqua" w:hint="eastAsia"/>
          <w:lang w:eastAsia="zh-CN"/>
        </w:rPr>
        <w:t xml:space="preserve"> </w:t>
      </w:r>
      <w:r>
        <w:rPr>
          <w:rFonts w:ascii="Book Antiqua" w:eastAsia="Times New Roman" w:hAnsi="Book Antiqua"/>
        </w:rPr>
        <w:t>[DOI: 10.1136/gut.2005.080267</w:t>
      </w:r>
      <w:r>
        <w:rPr>
          <w:rFonts w:ascii="Book Antiqua" w:hAnsi="Book Antiqua" w:hint="eastAsia"/>
          <w:lang w:eastAsia="zh-CN"/>
        </w:rPr>
        <w:t>]</w:t>
      </w:r>
    </w:p>
    <w:p w14:paraId="0C2607D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lastRenderedPageBreak/>
        <w:t xml:space="preserve">184 </w:t>
      </w:r>
      <w:r>
        <w:rPr>
          <w:rFonts w:ascii="Book Antiqua" w:eastAsia="Times New Roman" w:hAnsi="Book Antiqua"/>
          <w:b/>
          <w:bCs/>
        </w:rPr>
        <w:t>Boscarino JA</w:t>
      </w:r>
      <w:r>
        <w:rPr>
          <w:rFonts w:ascii="Book Antiqua" w:eastAsia="Times New Roman" w:hAnsi="Book Antiqua"/>
        </w:rPr>
        <w:t xml:space="preserve">, Lu M, Moorman AC, Gordon SC, Rupp LB, Spradling PR, Teshale EH, Schmidt MA, Vijayadeva V, Holmberg SD; Chronic Hepatitis Cohort Study (CHeCS) Investigators. Predictors of poor mental and physical health status among patients with chronic hepatitis C infection: the Chronic Hepatitis Cohort Study (CHeCS). </w:t>
      </w:r>
      <w:r>
        <w:rPr>
          <w:rFonts w:ascii="Book Antiqua" w:eastAsia="Times New Roman" w:hAnsi="Book Antiqua"/>
          <w:i/>
          <w:iCs/>
        </w:rPr>
        <w:t>Hepatology</w:t>
      </w:r>
      <w:r>
        <w:rPr>
          <w:rFonts w:ascii="Book Antiqua" w:eastAsia="Times New Roman" w:hAnsi="Book Antiqua"/>
        </w:rPr>
        <w:t xml:space="preserve"> 2015; </w:t>
      </w:r>
      <w:r>
        <w:rPr>
          <w:rFonts w:ascii="Book Antiqua" w:eastAsia="Times New Roman" w:hAnsi="Book Antiqua"/>
          <w:b/>
          <w:bCs/>
        </w:rPr>
        <w:t>61</w:t>
      </w:r>
      <w:r>
        <w:rPr>
          <w:rFonts w:ascii="Book Antiqua" w:eastAsia="Times New Roman" w:hAnsi="Book Antiqua"/>
        </w:rPr>
        <w:t>: 802-811 [PMID: 25203533 DOI: 10.1002/hep.27422]</w:t>
      </w:r>
    </w:p>
    <w:p w14:paraId="2A07990D"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185 </w:t>
      </w:r>
      <w:r>
        <w:rPr>
          <w:rFonts w:ascii="Book Antiqua" w:eastAsia="Times New Roman" w:hAnsi="Book Antiqua"/>
          <w:b/>
          <w:bCs/>
        </w:rPr>
        <w:t>Lee K</w:t>
      </w:r>
      <w:r>
        <w:rPr>
          <w:rFonts w:ascii="Book Antiqua" w:eastAsia="Times New Roman" w:hAnsi="Book Antiqua"/>
        </w:rPr>
        <w:t xml:space="preserve">, Otgonsuren M, Younoszai Z, Mir HM, Younossi ZM. Association of chronic liver disease with depression: a population-based study. </w:t>
      </w:r>
      <w:r>
        <w:rPr>
          <w:rFonts w:ascii="Book Antiqua" w:eastAsia="Times New Roman" w:hAnsi="Book Antiqua"/>
          <w:i/>
          <w:iCs/>
        </w:rPr>
        <w:t>Psychosomatics</w:t>
      </w:r>
      <w:r>
        <w:rPr>
          <w:rFonts w:ascii="Book Antiqua" w:eastAsia="Times New Roman" w:hAnsi="Book Antiqua"/>
        </w:rPr>
        <w:t xml:space="preserve"> 2013; </w:t>
      </w:r>
      <w:r>
        <w:rPr>
          <w:rFonts w:ascii="Book Antiqua" w:eastAsia="Times New Roman" w:hAnsi="Book Antiqua"/>
          <w:b/>
          <w:bCs/>
        </w:rPr>
        <w:t>54</w:t>
      </w:r>
      <w:r>
        <w:rPr>
          <w:rFonts w:ascii="Book Antiqua" w:eastAsia="Times New Roman" w:hAnsi="Book Antiqua"/>
        </w:rPr>
        <w:t>: 52-59 [PMID: 23295007 DOI: 10.1016/j.psym.2012.09.005]</w:t>
      </w:r>
    </w:p>
    <w:p w14:paraId="00874851"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186 </w:t>
      </w:r>
      <w:r>
        <w:rPr>
          <w:rFonts w:ascii="Book Antiqua" w:eastAsia="Times New Roman" w:hAnsi="Book Antiqua"/>
          <w:b/>
          <w:bCs/>
        </w:rPr>
        <w:t>Zacks S,</w:t>
      </w:r>
      <w:r>
        <w:rPr>
          <w:rFonts w:ascii="Book Antiqua" w:eastAsia="Times New Roman" w:hAnsi="Book Antiqua"/>
        </w:rPr>
        <w:t xml:space="preserve"> Beavers K, Theodore D, Dougherty K, Batey B, Shumaker J,</w:t>
      </w:r>
      <w:r>
        <w:rPr>
          <w:rFonts w:ascii="Book Antiqua" w:eastAsia="Times New Roman" w:hAnsi="Book Antiqua"/>
          <w:i/>
        </w:rPr>
        <w:t xml:space="preserve"> et al</w:t>
      </w:r>
      <w:r>
        <w:rPr>
          <w:rFonts w:ascii="Book Antiqua" w:eastAsia="Times New Roman" w:hAnsi="Book Antiqua"/>
        </w:rPr>
        <w:t>. Social stigmatization and hepatitis C virus infection.</w:t>
      </w:r>
      <w:r>
        <w:rPr>
          <w:rFonts w:ascii="Book Antiqua" w:eastAsia="Times New Roman" w:hAnsi="Book Antiqua"/>
          <w:i/>
        </w:rPr>
        <w:t xml:space="preserve"> J Clin Gastroenterol</w:t>
      </w:r>
      <w:r>
        <w:rPr>
          <w:rFonts w:ascii="Book Antiqua" w:hAnsi="Book Antiqua" w:hint="eastAsia"/>
          <w:lang w:eastAsia="zh-CN"/>
        </w:rPr>
        <w:t xml:space="preserve"> </w:t>
      </w:r>
      <w:r>
        <w:rPr>
          <w:rFonts w:ascii="Book Antiqua" w:eastAsia="Times New Roman" w:hAnsi="Book Antiqua"/>
        </w:rPr>
        <w:t>2006;</w:t>
      </w:r>
      <w:r>
        <w:rPr>
          <w:rFonts w:ascii="Book Antiqua" w:hAnsi="Book Antiqua" w:hint="eastAsia"/>
          <w:lang w:eastAsia="zh-CN"/>
        </w:rPr>
        <w:t xml:space="preserve"> </w:t>
      </w:r>
      <w:r>
        <w:rPr>
          <w:rFonts w:ascii="Book Antiqua" w:eastAsia="Times New Roman" w:hAnsi="Book Antiqua"/>
          <w:b/>
        </w:rPr>
        <w:t>40</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220-224</w:t>
      </w:r>
      <w:r>
        <w:rPr>
          <w:rFonts w:ascii="Book Antiqua" w:hAnsi="Book Antiqua" w:hint="eastAsia"/>
          <w:lang w:eastAsia="zh-CN"/>
        </w:rPr>
        <w:t xml:space="preserve"> </w:t>
      </w:r>
      <w:r>
        <w:rPr>
          <w:rFonts w:ascii="Book Antiqua" w:eastAsia="Times New Roman" w:hAnsi="Book Antiqua"/>
        </w:rPr>
        <w:t>[DOI:</w:t>
      </w:r>
      <w:r>
        <w:rPr>
          <w:rFonts w:ascii="Book Antiqua" w:hAnsi="Book Antiqua" w:hint="eastAsia"/>
          <w:lang w:eastAsia="zh-CN"/>
        </w:rPr>
        <w:t xml:space="preserve"> </w:t>
      </w:r>
      <w:r>
        <w:rPr>
          <w:rFonts w:ascii="Book Antiqua" w:eastAsia="Times New Roman" w:hAnsi="Book Antiqua"/>
        </w:rPr>
        <w:t>10.1097/00004836-200603000-00009</w:t>
      </w:r>
      <w:r>
        <w:rPr>
          <w:rFonts w:ascii="Book Antiqua" w:hAnsi="Book Antiqua" w:hint="eastAsia"/>
          <w:lang w:eastAsia="zh-CN"/>
        </w:rPr>
        <w:t>]</w:t>
      </w:r>
    </w:p>
    <w:p w14:paraId="60EDEE9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187 </w:t>
      </w:r>
      <w:r>
        <w:rPr>
          <w:rFonts w:ascii="Book Antiqua" w:eastAsia="Times New Roman" w:hAnsi="Book Antiqua"/>
          <w:b/>
          <w:bCs/>
        </w:rPr>
        <w:t>Golden J</w:t>
      </w:r>
      <w:r>
        <w:rPr>
          <w:rFonts w:ascii="Book Antiqua" w:eastAsia="Times New Roman" w:hAnsi="Book Antiqua"/>
        </w:rPr>
        <w:t xml:space="preserve">, O'Dwyer AM, Conroy RM. Depression and anxiety in patients with hepatitis C: prevalence, detection rates and risk factors. </w:t>
      </w:r>
      <w:r>
        <w:rPr>
          <w:rFonts w:ascii="Book Antiqua" w:eastAsia="Times New Roman" w:hAnsi="Book Antiqua"/>
          <w:i/>
          <w:iCs/>
        </w:rPr>
        <w:t>Gen Hosp Psychiatry</w:t>
      </w:r>
      <w:r>
        <w:rPr>
          <w:rFonts w:ascii="Book Antiqua" w:eastAsia="Times New Roman" w:hAnsi="Book Antiqua"/>
        </w:rPr>
        <w:t xml:space="preserve"> 2005; </w:t>
      </w:r>
      <w:r>
        <w:rPr>
          <w:rFonts w:ascii="Book Antiqua" w:eastAsia="Times New Roman" w:hAnsi="Book Antiqua"/>
          <w:b/>
          <w:bCs/>
        </w:rPr>
        <w:t>27</w:t>
      </w:r>
      <w:r>
        <w:rPr>
          <w:rFonts w:ascii="Book Antiqua" w:eastAsia="Times New Roman" w:hAnsi="Book Antiqua"/>
        </w:rPr>
        <w:t>: 431-438 [PMID: 16271658 DOI: 10.1016/j.genhosppsych.2005.06.006]</w:t>
      </w:r>
    </w:p>
    <w:p w14:paraId="22E611C9"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188 </w:t>
      </w:r>
      <w:r>
        <w:rPr>
          <w:rFonts w:ascii="Book Antiqua" w:eastAsia="Times New Roman" w:hAnsi="Book Antiqua"/>
          <w:b/>
          <w:bCs/>
        </w:rPr>
        <w:t>Machado MO</w:t>
      </w:r>
      <w:r>
        <w:rPr>
          <w:rFonts w:ascii="Book Antiqua" w:eastAsia="Times New Roman" w:hAnsi="Book Antiqua"/>
        </w:rPr>
        <w:t xml:space="preserve">, Oriolo G, Bortolato B, Köhler CA, Maes M, Solmi M, Grande I, Martín-Santos R, Vieta E, Carvalho AF. Biological mechanisms of depression following treatment with interferon for chronic hepatitis C: A critical systematic review. </w:t>
      </w:r>
      <w:r>
        <w:rPr>
          <w:rFonts w:ascii="Book Antiqua" w:eastAsia="Times New Roman" w:hAnsi="Book Antiqua"/>
          <w:i/>
          <w:iCs/>
        </w:rPr>
        <w:t>J Affect Disord</w:t>
      </w:r>
      <w:r>
        <w:rPr>
          <w:rFonts w:ascii="Book Antiqua" w:eastAsia="Times New Roman" w:hAnsi="Book Antiqua"/>
        </w:rPr>
        <w:t xml:space="preserve"> 2017; </w:t>
      </w:r>
      <w:r>
        <w:rPr>
          <w:rFonts w:ascii="Book Antiqua" w:eastAsia="Times New Roman" w:hAnsi="Book Antiqua"/>
          <w:b/>
          <w:bCs/>
        </w:rPr>
        <w:t>209</w:t>
      </w:r>
      <w:r>
        <w:rPr>
          <w:rFonts w:ascii="Book Antiqua" w:eastAsia="Times New Roman" w:hAnsi="Book Antiqua"/>
        </w:rPr>
        <w:t>: 235-245 [PMID: 27936453 DOI: 10.1016/j.jad.2016.11.039]</w:t>
      </w:r>
    </w:p>
    <w:p w14:paraId="6F451A8B" w14:textId="77777777" w:rsidR="008A6CD8" w:rsidRDefault="00477245">
      <w:pPr>
        <w:shd w:val="clear" w:color="auto" w:fill="FFFFFF"/>
        <w:spacing w:line="360" w:lineRule="auto"/>
        <w:jc w:val="both"/>
        <w:rPr>
          <w:rFonts w:ascii="Book Antiqua" w:hAnsi="Book Antiqua"/>
          <w:lang w:eastAsia="zh-CN"/>
        </w:rPr>
      </w:pPr>
      <w:r>
        <w:rPr>
          <w:rFonts w:ascii="Book Antiqua" w:eastAsia="Times New Roman" w:hAnsi="Book Antiqua"/>
        </w:rPr>
        <w:t xml:space="preserve">189 </w:t>
      </w:r>
      <w:r>
        <w:rPr>
          <w:rFonts w:ascii="Book Antiqua" w:eastAsia="Times New Roman" w:hAnsi="Book Antiqua"/>
          <w:b/>
          <w:bCs/>
        </w:rPr>
        <w:t>Bell AM,</w:t>
      </w:r>
      <w:r>
        <w:rPr>
          <w:rFonts w:ascii="Book Antiqua" w:eastAsia="Times New Roman" w:hAnsi="Book Antiqua"/>
        </w:rPr>
        <w:t xml:space="preserve"> Wagner JL, Barber KE, Stover KR. Elbasvir/grazoprevir:a review of the latest agent in the fight against hepatitis C. </w:t>
      </w:r>
      <w:r>
        <w:rPr>
          <w:rFonts w:ascii="Book Antiqua" w:eastAsia="Times New Roman" w:hAnsi="Book Antiqua"/>
          <w:i/>
        </w:rPr>
        <w:t>Int J Hepatol</w:t>
      </w:r>
      <w:r>
        <w:rPr>
          <w:rFonts w:ascii="Book Antiqua" w:hAnsi="Book Antiqua" w:hint="eastAsia"/>
          <w:lang w:eastAsia="zh-CN"/>
        </w:rPr>
        <w:t xml:space="preserve"> </w:t>
      </w:r>
      <w:r>
        <w:rPr>
          <w:rFonts w:ascii="Book Antiqua" w:eastAsia="Times New Roman" w:hAnsi="Book Antiqua"/>
        </w:rPr>
        <w:t>2016;</w:t>
      </w:r>
      <w:r>
        <w:rPr>
          <w:rFonts w:ascii="Book Antiqua" w:hAnsi="Book Antiqua" w:hint="eastAsia"/>
          <w:lang w:eastAsia="zh-CN"/>
        </w:rPr>
        <w:t xml:space="preserve"> </w:t>
      </w:r>
      <w:r>
        <w:rPr>
          <w:rFonts w:ascii="Book Antiqua" w:eastAsia="Times New Roman" w:hAnsi="Book Antiqua"/>
          <w:b/>
        </w:rPr>
        <w:t>2016</w:t>
      </w:r>
      <w:r>
        <w:rPr>
          <w:rFonts w:ascii="Book Antiqua" w:eastAsia="Times New Roman" w:hAnsi="Book Antiqua"/>
        </w:rPr>
        <w:t>:</w:t>
      </w:r>
      <w:r>
        <w:rPr>
          <w:rFonts w:ascii="Book Antiqua" w:hAnsi="Book Antiqua" w:hint="eastAsia"/>
          <w:lang w:eastAsia="zh-CN"/>
        </w:rPr>
        <w:t xml:space="preserve"> </w:t>
      </w:r>
      <w:r>
        <w:rPr>
          <w:rFonts w:ascii="Book Antiqua" w:eastAsia="Times New Roman" w:hAnsi="Book Antiqua"/>
        </w:rPr>
        <w:t>3852126</w:t>
      </w:r>
      <w:r>
        <w:rPr>
          <w:rFonts w:ascii="Book Antiqua" w:hAnsi="Book Antiqua" w:hint="eastAsia"/>
          <w:lang w:eastAsia="zh-CN"/>
        </w:rPr>
        <w:t xml:space="preserve"> </w:t>
      </w:r>
      <w:r>
        <w:rPr>
          <w:rFonts w:ascii="Book Antiqua" w:eastAsia="Times New Roman" w:hAnsi="Book Antiqua"/>
        </w:rPr>
        <w:t>[DOI: 10.1155/2016/3852126</w:t>
      </w:r>
      <w:r>
        <w:rPr>
          <w:rFonts w:ascii="Book Antiqua" w:hAnsi="Book Antiqua" w:hint="eastAsia"/>
          <w:lang w:eastAsia="zh-CN"/>
        </w:rPr>
        <w:t>]</w:t>
      </w:r>
    </w:p>
    <w:p w14:paraId="49182E1F"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190 </w:t>
      </w:r>
      <w:r>
        <w:rPr>
          <w:rFonts w:ascii="Book Antiqua" w:eastAsia="Times New Roman" w:hAnsi="Book Antiqua"/>
          <w:b/>
          <w:bCs/>
        </w:rPr>
        <w:t>Bertino G</w:t>
      </w:r>
      <w:r>
        <w:rPr>
          <w:rFonts w:ascii="Book Antiqua" w:eastAsia="Times New Roman" w:hAnsi="Book Antiqua"/>
        </w:rPr>
        <w:t xml:space="preserve">, Ardiri A, Proiti M, Rigano G, Frazzetto E, Demma S, Ruggeri MI, Scuderi L, Malaguarnera G, Bertino N, Rapisarda V, Di Carlo I, Toro A, Salomone F, Malaguarnera M, Bertino E, Malaguarnera M. Chronic hepatitis C: This and the new era of treatment. </w:t>
      </w:r>
      <w:r>
        <w:rPr>
          <w:rFonts w:ascii="Book Antiqua" w:eastAsia="Times New Roman" w:hAnsi="Book Antiqua"/>
          <w:i/>
          <w:iCs/>
        </w:rPr>
        <w:t>World J Hepatol</w:t>
      </w:r>
      <w:r>
        <w:rPr>
          <w:rFonts w:ascii="Book Antiqua" w:eastAsia="Times New Roman" w:hAnsi="Book Antiqua"/>
        </w:rPr>
        <w:t xml:space="preserve"> 2016; </w:t>
      </w:r>
      <w:r>
        <w:rPr>
          <w:rFonts w:ascii="Book Antiqua" w:eastAsia="Times New Roman" w:hAnsi="Book Antiqua"/>
          <w:b/>
          <w:bCs/>
        </w:rPr>
        <w:t>8</w:t>
      </w:r>
      <w:r>
        <w:rPr>
          <w:rFonts w:ascii="Book Antiqua" w:eastAsia="Times New Roman" w:hAnsi="Book Antiqua"/>
        </w:rPr>
        <w:t>: 92-106 [PMID: 26807205 DOI: 10.4254/wjh.v8.i2.92]</w:t>
      </w:r>
    </w:p>
    <w:p w14:paraId="3FAE3D31"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191 </w:t>
      </w:r>
      <w:r>
        <w:rPr>
          <w:rFonts w:ascii="Book Antiqua" w:eastAsia="Times New Roman" w:hAnsi="Book Antiqua"/>
          <w:b/>
          <w:bCs/>
        </w:rPr>
        <w:t>Greig SL</w:t>
      </w:r>
      <w:r>
        <w:rPr>
          <w:rFonts w:ascii="Book Antiqua" w:eastAsia="Times New Roman" w:hAnsi="Book Antiqua"/>
        </w:rPr>
        <w:t xml:space="preserve">. Sofosbuvir/Velpatasvir: A Review in Chronic Hepatitis C. </w:t>
      </w:r>
      <w:r>
        <w:rPr>
          <w:rFonts w:ascii="Book Antiqua" w:eastAsia="Times New Roman" w:hAnsi="Book Antiqua"/>
          <w:i/>
          <w:iCs/>
        </w:rPr>
        <w:t>Drugs</w:t>
      </w:r>
      <w:r>
        <w:rPr>
          <w:rFonts w:ascii="Book Antiqua" w:eastAsia="Times New Roman" w:hAnsi="Book Antiqua"/>
        </w:rPr>
        <w:t xml:space="preserve"> 2016; </w:t>
      </w:r>
      <w:r>
        <w:rPr>
          <w:rFonts w:ascii="Book Antiqua" w:eastAsia="Times New Roman" w:hAnsi="Book Antiqua"/>
          <w:b/>
          <w:bCs/>
        </w:rPr>
        <w:t>76</w:t>
      </w:r>
      <w:r>
        <w:rPr>
          <w:rFonts w:ascii="Book Antiqua" w:eastAsia="Times New Roman" w:hAnsi="Book Antiqua"/>
        </w:rPr>
        <w:t>: 1567-1578 [PMID: 27730529 DOI: 10.1007/s40265-016-0648-2]</w:t>
      </w:r>
    </w:p>
    <w:p w14:paraId="1A6E6A2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192 </w:t>
      </w:r>
      <w:r>
        <w:rPr>
          <w:rFonts w:ascii="Book Antiqua" w:eastAsia="Times New Roman" w:hAnsi="Book Antiqua"/>
          <w:b/>
          <w:bCs/>
        </w:rPr>
        <w:t>Younossi ZM</w:t>
      </w:r>
      <w:r>
        <w:rPr>
          <w:rFonts w:ascii="Book Antiqua" w:eastAsia="Times New Roman" w:hAnsi="Book Antiqua"/>
        </w:rPr>
        <w:t xml:space="preserve">, Stepanova M, Feld J, Zeuzem S, Sulkowski M, Foster GR, Mangia A, Charlton M, O'Leary JG, Curry MP, Nader F, Henry L, Hunt S. Sofosbuvir and </w:t>
      </w:r>
      <w:r>
        <w:rPr>
          <w:rFonts w:ascii="Book Antiqua" w:eastAsia="Times New Roman" w:hAnsi="Book Antiqua"/>
        </w:rPr>
        <w:lastRenderedPageBreak/>
        <w:t xml:space="preserve">Velpatasvir Combination Improves Patient-reported Outcomes for Patients With HCV Infection, Without or With Compensated or Decompensated Cirrhosis. </w:t>
      </w:r>
      <w:r>
        <w:rPr>
          <w:rFonts w:ascii="Book Antiqua" w:eastAsia="Times New Roman" w:hAnsi="Book Antiqua"/>
          <w:i/>
          <w:iCs/>
        </w:rPr>
        <w:t>Clin Gastroenterol Hepatol</w:t>
      </w:r>
      <w:r>
        <w:rPr>
          <w:rFonts w:ascii="Book Antiqua" w:eastAsia="Times New Roman" w:hAnsi="Book Antiqua"/>
        </w:rPr>
        <w:t xml:space="preserve"> 2017; </w:t>
      </w:r>
      <w:r>
        <w:rPr>
          <w:rFonts w:ascii="Book Antiqua" w:eastAsia="Times New Roman" w:hAnsi="Book Antiqua"/>
          <w:b/>
          <w:bCs/>
        </w:rPr>
        <w:t>15</w:t>
      </w:r>
      <w:r>
        <w:rPr>
          <w:rFonts w:ascii="Book Antiqua" w:eastAsia="Times New Roman" w:hAnsi="Book Antiqua"/>
        </w:rPr>
        <w:t>: 421-430.e6 [PMID: 27847279 DOI: 10.1016/j.cgh.2016.10.037]</w:t>
      </w:r>
    </w:p>
    <w:p w14:paraId="18EB1C7B"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193 </w:t>
      </w:r>
      <w:r>
        <w:rPr>
          <w:rFonts w:ascii="Book Antiqua" w:eastAsia="Times New Roman" w:hAnsi="Book Antiqua"/>
          <w:b/>
          <w:bCs/>
        </w:rPr>
        <w:t>Nardelli S</w:t>
      </w:r>
      <w:r>
        <w:rPr>
          <w:rFonts w:ascii="Book Antiqua" w:eastAsia="Times New Roman" w:hAnsi="Book Antiqua"/>
        </w:rPr>
        <w:t xml:space="preserve">, Riggio O, Rosati D, Gioia S, Farcomeni A, Ridola L. Hepatitis C virus eradication with directly acting antivirals improves health-related quality of life and psychological symptoms. </w:t>
      </w:r>
      <w:r>
        <w:rPr>
          <w:rFonts w:ascii="Book Antiqua" w:eastAsia="Times New Roman" w:hAnsi="Book Antiqua"/>
          <w:i/>
          <w:iCs/>
        </w:rPr>
        <w:t>World J Gastroenterol</w:t>
      </w:r>
      <w:r>
        <w:rPr>
          <w:rFonts w:ascii="Book Antiqua" w:eastAsia="Times New Roman" w:hAnsi="Book Antiqua"/>
        </w:rPr>
        <w:t xml:space="preserve"> 2019; </w:t>
      </w:r>
      <w:r>
        <w:rPr>
          <w:rFonts w:ascii="Book Antiqua" w:eastAsia="Times New Roman" w:hAnsi="Book Antiqua"/>
          <w:b/>
          <w:bCs/>
        </w:rPr>
        <w:t>25</w:t>
      </w:r>
      <w:r>
        <w:rPr>
          <w:rFonts w:ascii="Book Antiqua" w:eastAsia="Times New Roman" w:hAnsi="Book Antiqua"/>
        </w:rPr>
        <w:t>: 6928-6938 [PMID: 31908396 DOI: 10.3748/wjg.v25.i48.6928]</w:t>
      </w:r>
    </w:p>
    <w:p w14:paraId="0EB06B03"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194 </w:t>
      </w:r>
      <w:r>
        <w:rPr>
          <w:rFonts w:ascii="Book Antiqua" w:eastAsia="Times New Roman" w:hAnsi="Book Antiqua"/>
          <w:b/>
          <w:bCs/>
        </w:rPr>
        <w:t>Younossi ZM</w:t>
      </w:r>
      <w:r>
        <w:rPr>
          <w:rFonts w:ascii="Book Antiqua" w:eastAsia="Times New Roman" w:hAnsi="Book Antiqua"/>
        </w:rPr>
        <w:t xml:space="preserve">, Stepanova M, Feld J, Zeuzem S, Jacobson I, Agarwal K, Hezode C, Nader F, Henry L, Hunt S. Sofosbuvir/velpatasvir improves patient-reported outcomes in HCV patients: Results from ASTRAL-1 placebo-controlled trial. </w:t>
      </w:r>
      <w:r>
        <w:rPr>
          <w:rFonts w:ascii="Book Antiqua" w:eastAsia="Times New Roman" w:hAnsi="Book Antiqua"/>
          <w:i/>
          <w:iCs/>
        </w:rPr>
        <w:t>J Hepatol</w:t>
      </w:r>
      <w:r>
        <w:rPr>
          <w:rFonts w:ascii="Book Antiqua" w:eastAsia="Times New Roman" w:hAnsi="Book Antiqua"/>
        </w:rPr>
        <w:t xml:space="preserve"> 2016; </w:t>
      </w:r>
      <w:r>
        <w:rPr>
          <w:rFonts w:ascii="Book Antiqua" w:eastAsia="Times New Roman" w:hAnsi="Book Antiqua"/>
          <w:b/>
          <w:bCs/>
        </w:rPr>
        <w:t>65</w:t>
      </w:r>
      <w:r>
        <w:rPr>
          <w:rFonts w:ascii="Book Antiqua" w:eastAsia="Times New Roman" w:hAnsi="Book Antiqua"/>
        </w:rPr>
        <w:t>: 33-39 [PMID: 26956698 DOI: 10.1016/j.jhep.2016.02.042]</w:t>
      </w:r>
    </w:p>
    <w:p w14:paraId="2105FAC7"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195 </w:t>
      </w:r>
      <w:r>
        <w:rPr>
          <w:rFonts w:ascii="Book Antiqua" w:eastAsia="Times New Roman" w:hAnsi="Book Antiqua"/>
          <w:b/>
          <w:bCs/>
        </w:rPr>
        <w:t>Kleefeld F</w:t>
      </w:r>
      <w:r>
        <w:rPr>
          <w:rFonts w:ascii="Book Antiqua" w:eastAsia="Times New Roman" w:hAnsi="Book Antiqua"/>
        </w:rPr>
        <w:t xml:space="preserve">, Heller S, Ingiliz P, Jessen H, Petersen A, Kopp U, Kraft A, Hahn K. Interferon-free therapy in hepatitis C virus (HCV) monoinfected and HCV/HIV coinfected patients: effect on cognitive function, fatigue, and mental health. </w:t>
      </w:r>
      <w:r>
        <w:rPr>
          <w:rFonts w:ascii="Book Antiqua" w:eastAsia="Times New Roman" w:hAnsi="Book Antiqua"/>
          <w:i/>
          <w:iCs/>
        </w:rPr>
        <w:t>J Neurovirol</w:t>
      </w:r>
      <w:r>
        <w:rPr>
          <w:rFonts w:ascii="Book Antiqua" w:eastAsia="Times New Roman" w:hAnsi="Book Antiqua"/>
        </w:rPr>
        <w:t xml:space="preserve"> 2018; </w:t>
      </w:r>
      <w:r>
        <w:rPr>
          <w:rFonts w:ascii="Book Antiqua" w:eastAsia="Times New Roman" w:hAnsi="Book Antiqua"/>
          <w:b/>
          <w:bCs/>
        </w:rPr>
        <w:t>24</w:t>
      </w:r>
      <w:r>
        <w:rPr>
          <w:rFonts w:ascii="Book Antiqua" w:eastAsia="Times New Roman" w:hAnsi="Book Antiqua"/>
        </w:rPr>
        <w:t>: 557-569 [PMID: 29785584 DOI: 10.1007/s13365-018-0647-z]</w:t>
      </w:r>
    </w:p>
    <w:p w14:paraId="7D726FF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196 </w:t>
      </w:r>
      <w:r>
        <w:rPr>
          <w:rFonts w:ascii="Book Antiqua" w:eastAsia="Times New Roman" w:hAnsi="Book Antiqua"/>
          <w:b/>
          <w:bCs/>
        </w:rPr>
        <w:t>Younossi ZM</w:t>
      </w:r>
      <w:r>
        <w:rPr>
          <w:rFonts w:ascii="Book Antiqua" w:eastAsia="Times New Roman" w:hAnsi="Book Antiqua"/>
        </w:rPr>
        <w:t xml:space="preserve">, Stepanova M, Henry L, Nader F, Hunt S. An In-Depth Analysis of Patient-Reported Outcomes in Patients With Chronic Hepatitis C Treated With Different Anti-Viral Regimens. </w:t>
      </w:r>
      <w:r>
        <w:rPr>
          <w:rFonts w:ascii="Book Antiqua" w:eastAsia="Times New Roman" w:hAnsi="Book Antiqua"/>
          <w:i/>
          <w:iCs/>
        </w:rPr>
        <w:t>Am J Gastroenterol</w:t>
      </w:r>
      <w:r>
        <w:rPr>
          <w:rFonts w:ascii="Book Antiqua" w:eastAsia="Times New Roman" w:hAnsi="Book Antiqua"/>
        </w:rPr>
        <w:t xml:space="preserve"> 2016; </w:t>
      </w:r>
      <w:r>
        <w:rPr>
          <w:rFonts w:ascii="Book Antiqua" w:eastAsia="Times New Roman" w:hAnsi="Book Antiqua"/>
          <w:b/>
          <w:bCs/>
        </w:rPr>
        <w:t>111</w:t>
      </w:r>
      <w:r>
        <w:rPr>
          <w:rFonts w:ascii="Book Antiqua" w:eastAsia="Times New Roman" w:hAnsi="Book Antiqua"/>
        </w:rPr>
        <w:t>: 808-816 [PMID: 27021197 DOI: 10.1038/ajg.2016.99]</w:t>
      </w:r>
    </w:p>
    <w:p w14:paraId="2A3E6878" w14:textId="77777777" w:rsidR="008A6CD8" w:rsidRDefault="00477245">
      <w:pPr>
        <w:shd w:val="clear" w:color="auto" w:fill="FFFFFF"/>
        <w:spacing w:line="360" w:lineRule="auto"/>
        <w:jc w:val="both"/>
        <w:rPr>
          <w:rFonts w:ascii="Book Antiqua" w:eastAsia="Times New Roman" w:hAnsi="Book Antiqua"/>
        </w:rPr>
      </w:pPr>
      <w:r>
        <w:rPr>
          <w:rFonts w:ascii="Book Antiqua" w:eastAsia="Times New Roman" w:hAnsi="Book Antiqua"/>
        </w:rPr>
        <w:t xml:space="preserve">197 </w:t>
      </w:r>
      <w:r>
        <w:rPr>
          <w:rFonts w:ascii="Book Antiqua" w:eastAsia="Times New Roman" w:hAnsi="Book Antiqua"/>
          <w:b/>
          <w:bCs/>
        </w:rPr>
        <w:t>Ridola L</w:t>
      </w:r>
      <w:r>
        <w:rPr>
          <w:rFonts w:ascii="Book Antiqua" w:eastAsia="Times New Roman" w:hAnsi="Book Antiqua"/>
        </w:rPr>
        <w:t xml:space="preserve">, Riggio O, Gioia S, Faccioli J, Nardelli S. Clinical management of type C hepatic encephalopathy. </w:t>
      </w:r>
      <w:r>
        <w:rPr>
          <w:rFonts w:ascii="Book Antiqua" w:eastAsia="Times New Roman" w:hAnsi="Book Antiqua"/>
          <w:i/>
          <w:iCs/>
        </w:rPr>
        <w:t>United European Gastroenterol J</w:t>
      </w:r>
      <w:r>
        <w:rPr>
          <w:rFonts w:ascii="Book Antiqua" w:eastAsia="Times New Roman" w:hAnsi="Book Antiqua"/>
        </w:rPr>
        <w:t xml:space="preserve"> 2020; </w:t>
      </w:r>
      <w:r>
        <w:rPr>
          <w:rFonts w:ascii="Book Antiqua" w:eastAsia="Times New Roman" w:hAnsi="Book Antiqua"/>
          <w:b/>
          <w:bCs/>
        </w:rPr>
        <w:t>8</w:t>
      </w:r>
      <w:r>
        <w:rPr>
          <w:rFonts w:ascii="Book Antiqua" w:eastAsia="Times New Roman" w:hAnsi="Book Antiqua"/>
        </w:rPr>
        <w:t>: 536-543 [PMID: 32213035 DOI: 10.1177/2050640620909675]</w:t>
      </w:r>
    </w:p>
    <w:p w14:paraId="373A824F" w14:textId="77777777" w:rsidR="008A6CD8" w:rsidRDefault="008A6CD8">
      <w:pPr>
        <w:shd w:val="clear" w:color="auto" w:fill="FFFFFF"/>
        <w:spacing w:line="360" w:lineRule="auto"/>
        <w:jc w:val="both"/>
        <w:rPr>
          <w:rFonts w:ascii="Book Antiqua" w:hAnsi="Book Antiqua"/>
        </w:rPr>
      </w:pPr>
    </w:p>
    <w:p w14:paraId="5AA5EBD0" w14:textId="77777777" w:rsidR="008A6CD8" w:rsidRDefault="008A6CD8">
      <w:pPr>
        <w:autoSpaceDE w:val="0"/>
        <w:autoSpaceDN w:val="0"/>
        <w:adjustRightInd w:val="0"/>
        <w:spacing w:line="360" w:lineRule="auto"/>
        <w:jc w:val="both"/>
        <w:rPr>
          <w:rFonts w:ascii="Book Antiqua" w:eastAsia="DejaVuSans" w:hAnsi="Book Antiqua"/>
          <w:i/>
          <w:iCs/>
        </w:rPr>
      </w:pPr>
    </w:p>
    <w:p w14:paraId="2A545F9C" w14:textId="77777777" w:rsidR="008A6CD8" w:rsidRDefault="008A6CD8">
      <w:pPr>
        <w:autoSpaceDE w:val="0"/>
        <w:autoSpaceDN w:val="0"/>
        <w:adjustRightInd w:val="0"/>
        <w:spacing w:line="360" w:lineRule="auto"/>
        <w:jc w:val="both"/>
        <w:rPr>
          <w:rFonts w:ascii="Book Antiqua" w:eastAsia="DejaVuSans" w:hAnsi="Book Antiqua"/>
        </w:rPr>
      </w:pPr>
    </w:p>
    <w:p w14:paraId="01E49D5F" w14:textId="77777777" w:rsidR="008A6CD8" w:rsidRDefault="008A6CD8">
      <w:pPr>
        <w:autoSpaceDE w:val="0"/>
        <w:autoSpaceDN w:val="0"/>
        <w:adjustRightInd w:val="0"/>
        <w:spacing w:line="360" w:lineRule="auto"/>
        <w:jc w:val="both"/>
        <w:rPr>
          <w:rFonts w:ascii="Book Antiqua" w:eastAsia="DejaVuSans" w:hAnsi="Book Antiqua"/>
        </w:rPr>
      </w:pPr>
    </w:p>
    <w:p w14:paraId="3A75F3BE" w14:textId="77777777" w:rsidR="008A6CD8" w:rsidRDefault="008A6CD8">
      <w:pPr>
        <w:autoSpaceDE w:val="0"/>
        <w:autoSpaceDN w:val="0"/>
        <w:adjustRightInd w:val="0"/>
        <w:spacing w:line="360" w:lineRule="auto"/>
        <w:jc w:val="both"/>
        <w:rPr>
          <w:rFonts w:ascii="Book Antiqua" w:eastAsia="DejaVuSans" w:hAnsi="Book Antiqua"/>
        </w:rPr>
      </w:pPr>
    </w:p>
    <w:p w14:paraId="5A149CA3" w14:textId="77777777" w:rsidR="008A6CD8" w:rsidRDefault="008A6CD8">
      <w:pPr>
        <w:autoSpaceDE w:val="0"/>
        <w:autoSpaceDN w:val="0"/>
        <w:adjustRightInd w:val="0"/>
        <w:spacing w:line="360" w:lineRule="auto"/>
        <w:jc w:val="both"/>
        <w:rPr>
          <w:rFonts w:ascii="Book Antiqua" w:eastAsia="DejaVuSans" w:hAnsi="Book Antiqua"/>
        </w:rPr>
      </w:pPr>
    </w:p>
    <w:p w14:paraId="63C9F72C" w14:textId="77777777" w:rsidR="008A6CD8" w:rsidRDefault="00477245">
      <w:pPr>
        <w:rPr>
          <w:rFonts w:ascii="Book Antiqua" w:eastAsia="Book Antiqua" w:hAnsi="Book Antiqua" w:cs="Book Antiqua"/>
          <w:b/>
        </w:rPr>
      </w:pPr>
      <w:r>
        <w:rPr>
          <w:rFonts w:ascii="Book Antiqua" w:eastAsia="Book Antiqua" w:hAnsi="Book Antiqua" w:cs="Book Antiqua"/>
          <w:b/>
        </w:rPr>
        <w:br w:type="page"/>
      </w:r>
    </w:p>
    <w:p w14:paraId="561C4AA5" w14:textId="77777777" w:rsidR="008A6CD8" w:rsidRDefault="00477245">
      <w:pPr>
        <w:spacing w:line="360" w:lineRule="auto"/>
        <w:jc w:val="both"/>
        <w:rPr>
          <w:rFonts w:ascii="Book Antiqua" w:hAnsi="Book Antiqua"/>
        </w:rPr>
      </w:pPr>
      <w:r>
        <w:rPr>
          <w:rFonts w:ascii="Book Antiqua" w:eastAsia="Book Antiqua" w:hAnsi="Book Antiqua" w:cs="Book Antiqua"/>
          <w:b/>
        </w:rPr>
        <w:lastRenderedPageBreak/>
        <w:t>Footnotes</w:t>
      </w:r>
    </w:p>
    <w:p w14:paraId="166878DB" w14:textId="77777777" w:rsidR="008A6CD8" w:rsidRDefault="00477245">
      <w:pPr>
        <w:spacing w:line="360" w:lineRule="auto"/>
        <w:rPr>
          <w:rFonts w:ascii="Book Antiqua" w:eastAsia="宋体" w:hAnsi="Book Antiqua"/>
          <w:lang w:eastAsia="zh-CN"/>
        </w:rPr>
      </w:pPr>
      <w:r>
        <w:rPr>
          <w:rFonts w:ascii="Book Antiqua" w:eastAsia="Book Antiqua" w:hAnsi="Book Antiqua" w:cs="Book Antiqua"/>
          <w:b/>
          <w:bCs/>
        </w:rPr>
        <w:t xml:space="preserve">Conflict-of-interest statement: </w:t>
      </w:r>
      <w:r>
        <w:rPr>
          <w:rFonts w:ascii="Book Antiqua" w:hAnsi="Book Antiqua" w:cs="Book Antiqua" w:hint="eastAsia"/>
          <w:color w:val="000000"/>
          <w:lang w:eastAsia="zh-CN"/>
        </w:rPr>
        <w:t>All</w:t>
      </w:r>
      <w:r>
        <w:rPr>
          <w:rFonts w:ascii="Book Antiqua" w:eastAsia="Book Antiqua" w:hAnsi="Book Antiqua" w:cs="Book Antiqua"/>
          <w:color w:val="000000"/>
        </w:rPr>
        <w:t xml:space="preserve"> authors declare that they have no conflict of interest.</w:t>
      </w:r>
    </w:p>
    <w:p w14:paraId="40F12607" w14:textId="77777777" w:rsidR="008A6CD8" w:rsidRDefault="008A6CD8">
      <w:pPr>
        <w:spacing w:line="360" w:lineRule="auto"/>
        <w:jc w:val="both"/>
        <w:rPr>
          <w:rFonts w:ascii="Book Antiqua" w:hAnsi="Book Antiqua"/>
        </w:rPr>
      </w:pPr>
    </w:p>
    <w:p w14:paraId="7E4CA46B" w14:textId="77777777" w:rsidR="008A6CD8" w:rsidRDefault="0047724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4CA0D1" w14:textId="77777777" w:rsidR="008A6CD8" w:rsidRDefault="008A6CD8">
      <w:pPr>
        <w:spacing w:line="360" w:lineRule="auto"/>
        <w:jc w:val="both"/>
        <w:rPr>
          <w:rFonts w:ascii="Book Antiqua" w:hAnsi="Book Antiqua"/>
        </w:rPr>
      </w:pPr>
    </w:p>
    <w:p w14:paraId="5FC26D2E"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40E37632"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13A38FF" w14:textId="77777777" w:rsidR="008A6CD8" w:rsidRDefault="008A6CD8">
      <w:pPr>
        <w:spacing w:line="360" w:lineRule="auto"/>
        <w:jc w:val="both"/>
        <w:rPr>
          <w:rFonts w:ascii="Book Antiqua" w:hAnsi="Book Antiqua"/>
        </w:rPr>
      </w:pPr>
    </w:p>
    <w:p w14:paraId="61A990DC"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January 17, 2022</w:t>
      </w:r>
    </w:p>
    <w:p w14:paraId="41273C70"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March 8, 2022</w:t>
      </w:r>
    </w:p>
    <w:p w14:paraId="19465979" w14:textId="77777777" w:rsidR="008A6CD8" w:rsidRDefault="00477245">
      <w:pPr>
        <w:spacing w:line="360" w:lineRule="auto"/>
        <w:jc w:val="both"/>
        <w:rPr>
          <w:rFonts w:ascii="Book Antiqua" w:hAnsi="Book Antiqua"/>
          <w:lang w:eastAsia="zh-CN"/>
        </w:rPr>
      </w:pPr>
      <w:r>
        <w:rPr>
          <w:rFonts w:ascii="Book Antiqua" w:eastAsia="Book Antiqua" w:hAnsi="Book Antiqua" w:cs="Book Antiqua"/>
          <w:b/>
        </w:rPr>
        <w:t xml:space="preserve">Article in press: </w:t>
      </w:r>
      <w:r>
        <w:rPr>
          <w:rFonts w:ascii="Book Antiqua" w:eastAsia="Book Antiqua" w:hAnsi="Book Antiqua" w:cs="Book Antiqua"/>
        </w:rPr>
        <w:t>May 22, 2022</w:t>
      </w:r>
    </w:p>
    <w:p w14:paraId="3AE3470E" w14:textId="77777777" w:rsidR="008A6CD8" w:rsidRDefault="008A6CD8">
      <w:pPr>
        <w:spacing w:line="360" w:lineRule="auto"/>
        <w:jc w:val="both"/>
        <w:rPr>
          <w:rFonts w:ascii="Book Antiqua" w:hAnsi="Book Antiqua"/>
          <w:lang w:eastAsia="zh-CN"/>
        </w:rPr>
      </w:pPr>
    </w:p>
    <w:p w14:paraId="3C29C498" w14:textId="77777777" w:rsidR="008A6CD8" w:rsidRDefault="008A6CD8">
      <w:pPr>
        <w:spacing w:line="360" w:lineRule="auto"/>
        <w:jc w:val="both"/>
        <w:rPr>
          <w:rFonts w:ascii="Book Antiqua" w:hAnsi="Book Antiqua"/>
        </w:rPr>
      </w:pPr>
    </w:p>
    <w:p w14:paraId="2967D343"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0F20753A" w14:textId="77777777" w:rsidR="008A6CD8" w:rsidRDefault="00477245">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Egypt</w:t>
      </w:r>
    </w:p>
    <w:p w14:paraId="6B3DFB46" w14:textId="77777777" w:rsidR="008A6CD8" w:rsidRDefault="00477245">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43DD9807" w14:textId="77777777" w:rsidR="008A6CD8" w:rsidRDefault="00477245">
      <w:pPr>
        <w:spacing w:line="360" w:lineRule="auto"/>
        <w:jc w:val="both"/>
        <w:rPr>
          <w:rFonts w:ascii="Book Antiqua" w:hAnsi="Book Antiqua"/>
        </w:rPr>
      </w:pPr>
      <w:r>
        <w:rPr>
          <w:rFonts w:ascii="Book Antiqua" w:eastAsia="Book Antiqua" w:hAnsi="Book Antiqua" w:cs="Book Antiqua"/>
        </w:rPr>
        <w:t>Grade A (Excellent): 0</w:t>
      </w:r>
    </w:p>
    <w:p w14:paraId="271E1817" w14:textId="77777777" w:rsidR="008A6CD8" w:rsidRDefault="00477245">
      <w:pPr>
        <w:spacing w:line="360" w:lineRule="auto"/>
        <w:jc w:val="both"/>
        <w:rPr>
          <w:rFonts w:ascii="Book Antiqua" w:hAnsi="Book Antiqua"/>
        </w:rPr>
      </w:pPr>
      <w:r>
        <w:rPr>
          <w:rFonts w:ascii="Book Antiqua" w:eastAsia="Book Antiqua" w:hAnsi="Book Antiqua" w:cs="Book Antiqua"/>
        </w:rPr>
        <w:t>Grade B (Very good): B</w:t>
      </w:r>
    </w:p>
    <w:p w14:paraId="488EF223" w14:textId="77777777" w:rsidR="008A6CD8" w:rsidRDefault="00477245">
      <w:pPr>
        <w:spacing w:line="360" w:lineRule="auto"/>
        <w:jc w:val="both"/>
        <w:rPr>
          <w:rFonts w:ascii="Book Antiqua" w:hAnsi="Book Antiqua"/>
        </w:rPr>
      </w:pPr>
      <w:r>
        <w:rPr>
          <w:rFonts w:ascii="Book Antiqua" w:eastAsia="Book Antiqua" w:hAnsi="Book Antiqua" w:cs="Book Antiqua"/>
        </w:rPr>
        <w:t>Grade C (Good): 0</w:t>
      </w:r>
    </w:p>
    <w:p w14:paraId="2EEC0301" w14:textId="77777777" w:rsidR="008A6CD8" w:rsidRDefault="00477245">
      <w:pPr>
        <w:spacing w:line="360" w:lineRule="auto"/>
        <w:jc w:val="both"/>
        <w:rPr>
          <w:rFonts w:ascii="Book Antiqua" w:hAnsi="Book Antiqua"/>
        </w:rPr>
      </w:pPr>
      <w:r>
        <w:rPr>
          <w:rFonts w:ascii="Book Antiqua" w:eastAsia="Book Antiqua" w:hAnsi="Book Antiqua" w:cs="Book Antiqua"/>
        </w:rPr>
        <w:t>Grade D (Fair): D</w:t>
      </w:r>
    </w:p>
    <w:p w14:paraId="2F3C127C" w14:textId="77777777" w:rsidR="008A6CD8" w:rsidRDefault="00477245">
      <w:pPr>
        <w:spacing w:line="360" w:lineRule="auto"/>
        <w:jc w:val="both"/>
        <w:rPr>
          <w:rFonts w:ascii="Book Antiqua" w:hAnsi="Book Antiqua"/>
        </w:rPr>
      </w:pPr>
      <w:r>
        <w:rPr>
          <w:rFonts w:ascii="Book Antiqua" w:eastAsia="Book Antiqua" w:hAnsi="Book Antiqua" w:cs="Book Antiqua"/>
        </w:rPr>
        <w:t>Grade E (Poor): 0</w:t>
      </w:r>
    </w:p>
    <w:p w14:paraId="2E9DDFB6" w14:textId="77777777" w:rsidR="008A6CD8" w:rsidRDefault="008A6CD8">
      <w:pPr>
        <w:spacing w:line="360" w:lineRule="auto"/>
        <w:jc w:val="both"/>
        <w:rPr>
          <w:rFonts w:ascii="Book Antiqua" w:hAnsi="Book Antiqua"/>
        </w:rPr>
      </w:pPr>
    </w:p>
    <w:p w14:paraId="799C1996" w14:textId="77777777" w:rsidR="008A6CD8" w:rsidRDefault="00477245">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Fateh A, Iran; Mukhopadhyay A, India</w:t>
      </w:r>
      <w:r>
        <w:rPr>
          <w:rFonts w:ascii="Book Antiqua" w:eastAsia="Book Antiqua" w:hAnsi="Book Antiqua" w:cs="Book Antiqua"/>
          <w:b/>
        </w:rPr>
        <w:t xml:space="preserve"> A-Editor: </w:t>
      </w:r>
      <w:r>
        <w:rPr>
          <w:rFonts w:ascii="Book Antiqua" w:hAnsi="Book Antiqua" w:cs="Book Antiqua"/>
          <w:lang w:eastAsia="zh-CN"/>
        </w:rPr>
        <w:t>Poddighe</w:t>
      </w:r>
      <w:r>
        <w:rPr>
          <w:rFonts w:ascii="Book Antiqua" w:hAnsi="Book Antiqua" w:cs="Book Antiqua" w:hint="eastAsia"/>
          <w:lang w:eastAsia="zh-CN"/>
        </w:rPr>
        <w:t xml:space="preserve"> D, </w:t>
      </w:r>
      <w:r>
        <w:rPr>
          <w:rFonts w:ascii="Book Antiqua" w:hAnsi="Book Antiqua" w:cs="Book Antiqua"/>
          <w:lang w:eastAsia="zh-CN"/>
        </w:rPr>
        <w:t>Kazakhstan</w:t>
      </w:r>
      <w:r>
        <w:rPr>
          <w:rFonts w:ascii="Book Antiqua" w:eastAsia="Book Antiqua" w:hAnsi="Book Antiqua" w:cs="Book Antiqua"/>
          <w:b/>
        </w:rPr>
        <w:t xml:space="preserve"> S-Editor: </w:t>
      </w:r>
      <w:r>
        <w:rPr>
          <w:rFonts w:ascii="Book Antiqua" w:hAnsi="Book Antiqua" w:cs="Book Antiqua"/>
          <w:lang w:eastAsia="zh-CN"/>
        </w:rPr>
        <w:t>Wang LL</w:t>
      </w:r>
      <w:r>
        <w:rPr>
          <w:rFonts w:ascii="Book Antiqua" w:eastAsia="Book Antiqua" w:hAnsi="Book Antiqua" w:cs="Book Antiqua"/>
          <w:b/>
        </w:rPr>
        <w:t xml:space="preserve"> L-Editor: </w:t>
      </w:r>
      <w:r>
        <w:rPr>
          <w:rFonts w:ascii="Book Antiqua" w:eastAsia="Book Antiqua" w:hAnsi="Book Antiqua" w:cs="Book Antiqua"/>
        </w:rPr>
        <w:t>Wang TQ</w:t>
      </w:r>
      <w:r>
        <w:rPr>
          <w:rFonts w:ascii="Book Antiqua" w:eastAsia="Book Antiqua" w:hAnsi="Book Antiqua" w:cs="Book Antiqua"/>
          <w:b/>
        </w:rPr>
        <w:t xml:space="preserve"> P-Editor: </w:t>
      </w:r>
      <w:r>
        <w:rPr>
          <w:rFonts w:ascii="Book Antiqua" w:eastAsia="Book Antiqua" w:hAnsi="Book Antiqua" w:cs="Book Antiqua"/>
        </w:rPr>
        <w:t xml:space="preserve">Wang </w:t>
      </w:r>
      <w:r>
        <w:rPr>
          <w:rFonts w:ascii="Book Antiqua" w:hAnsi="Book Antiqua" w:cs="Book Antiqua" w:hint="eastAsia"/>
          <w:lang w:eastAsia="zh-CN"/>
        </w:rPr>
        <w:t>LL</w:t>
      </w:r>
      <w:r>
        <w:rPr>
          <w:rFonts w:ascii="Book Antiqua" w:eastAsia="Book Antiqua" w:hAnsi="Book Antiqua" w:cs="Book Antiqua"/>
          <w:b/>
        </w:rPr>
        <w:t xml:space="preserve"> </w:t>
      </w:r>
      <w:r>
        <w:rPr>
          <w:rFonts w:ascii="Book Antiqua" w:eastAsia="Book Antiqua" w:hAnsi="Book Antiqua" w:cs="Book Antiqua"/>
          <w:b/>
        </w:rPr>
        <w:br w:type="page"/>
      </w:r>
    </w:p>
    <w:p w14:paraId="748E92D7" w14:textId="77777777" w:rsidR="008A6CD8" w:rsidRDefault="008A6CD8">
      <w:pPr>
        <w:spacing w:line="360" w:lineRule="auto"/>
        <w:jc w:val="both"/>
        <w:rPr>
          <w:rFonts w:ascii="Book Antiqua" w:hAnsi="Book Antiqua"/>
        </w:rPr>
        <w:sectPr w:rsidR="008A6CD8">
          <w:pgSz w:w="12240" w:h="15840"/>
          <w:pgMar w:top="1440" w:right="1440" w:bottom="1440" w:left="1440" w:header="720" w:footer="720" w:gutter="0"/>
          <w:cols w:space="720"/>
          <w:docGrid w:linePitch="360"/>
        </w:sectPr>
      </w:pPr>
    </w:p>
    <w:p w14:paraId="1CA42BFB" w14:textId="77777777" w:rsidR="008A6CD8" w:rsidRDefault="00477245">
      <w:pPr>
        <w:spacing w:line="360" w:lineRule="auto"/>
        <w:jc w:val="both"/>
        <w:rPr>
          <w:rFonts w:ascii="Book Antiqua" w:hAnsi="Book Antiqua" w:cs="Book Antiqua"/>
          <w:b/>
          <w:lang w:eastAsia="zh-CN"/>
        </w:rPr>
      </w:pPr>
      <w:r>
        <w:rPr>
          <w:rFonts w:ascii="Book Antiqua" w:eastAsia="Book Antiqua" w:hAnsi="Book Antiqua" w:cs="Book Antiqua"/>
          <w:b/>
        </w:rPr>
        <w:lastRenderedPageBreak/>
        <w:t>Figure Legends</w:t>
      </w:r>
    </w:p>
    <w:p w14:paraId="613808FC" w14:textId="0321EE2F" w:rsidR="008A6CD8" w:rsidRDefault="006D3513">
      <w:pPr>
        <w:spacing w:line="360" w:lineRule="auto"/>
        <w:jc w:val="both"/>
        <w:rPr>
          <w:rFonts w:ascii="Book Antiqua" w:eastAsia="Book Antiqua" w:hAnsi="Book Antiqua" w:cs="Book Antiqua"/>
          <w:b/>
        </w:rPr>
      </w:pPr>
      <w:r>
        <w:rPr>
          <w:noProof/>
        </w:rPr>
        <w:drawing>
          <wp:inline distT="0" distB="0" distL="0" distR="0" wp14:anchorId="73785394" wp14:editId="3A12ED2F">
            <wp:extent cx="5384800" cy="3111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0" cy="3111500"/>
                    </a:xfrm>
                    <a:prstGeom prst="rect">
                      <a:avLst/>
                    </a:prstGeom>
                    <a:noFill/>
                    <a:ln>
                      <a:noFill/>
                    </a:ln>
                  </pic:spPr>
                </pic:pic>
              </a:graphicData>
            </a:graphic>
          </wp:inline>
        </w:drawing>
      </w:r>
    </w:p>
    <w:p w14:paraId="3DBD8C5B" w14:textId="77777777" w:rsidR="008A6CD8" w:rsidRDefault="00477245">
      <w:pPr>
        <w:spacing w:line="360" w:lineRule="auto"/>
        <w:jc w:val="both"/>
        <w:rPr>
          <w:rFonts w:ascii="Book Antiqua" w:hAnsi="Book Antiqua" w:cs="Book Antiqua"/>
          <w:lang w:eastAsia="zh-CN"/>
        </w:rPr>
      </w:pPr>
      <w:r>
        <w:rPr>
          <w:rFonts w:ascii="Book Antiqua" w:eastAsia="Book Antiqua" w:hAnsi="Book Antiqua" w:cs="Book Antiqua"/>
          <w:b/>
        </w:rPr>
        <w:t>Figure 1</w:t>
      </w:r>
      <w:r>
        <w:rPr>
          <w:rFonts w:ascii="Book Antiqua" w:hAnsi="Book Antiqua" w:cs="Book Antiqua" w:hint="eastAsia"/>
          <w:b/>
          <w:lang w:eastAsia="zh-CN"/>
        </w:rPr>
        <w:t xml:space="preserve"> </w:t>
      </w:r>
      <w:r>
        <w:rPr>
          <w:rFonts w:ascii="Book Antiqua" w:eastAsia="Book Antiqua" w:hAnsi="Book Antiqua" w:cs="Book Antiqua"/>
          <w:b/>
        </w:rPr>
        <w:t xml:space="preserve">Pathophysiology of </w:t>
      </w:r>
      <w:r>
        <w:rPr>
          <w:rFonts w:ascii="Book Antiqua" w:hAnsi="Book Antiqua" w:cs="Book Antiqua" w:hint="eastAsia"/>
          <w:b/>
          <w:lang w:eastAsia="zh-CN"/>
        </w:rPr>
        <w:t>h</w:t>
      </w:r>
      <w:r>
        <w:rPr>
          <w:rFonts w:ascii="Book Antiqua" w:eastAsia="Book Antiqua" w:hAnsi="Book Antiqua" w:cs="Book Antiqua"/>
          <w:b/>
        </w:rPr>
        <w:t>epatitis C virus infection in hepatic and extrahepatic diseases</w:t>
      </w:r>
      <w:r>
        <w:rPr>
          <w:rFonts w:ascii="Book Antiqua" w:hAnsi="Book Antiqua" w:cs="Book Antiqua" w:hint="eastAsia"/>
          <w:b/>
          <w:lang w:eastAsia="zh-CN"/>
        </w:rPr>
        <w:t>.</w:t>
      </w:r>
      <w:r>
        <w:rPr>
          <w:rFonts w:ascii="Book Antiqua" w:eastAsia="Book Antiqua" w:hAnsi="Book Antiqua" w:cs="Book Antiqua"/>
          <w:b/>
        </w:rPr>
        <w:t xml:space="preserve"> </w:t>
      </w:r>
      <w:r>
        <w:rPr>
          <w:rFonts w:ascii="Book Antiqua" w:eastAsia="Book Antiqua" w:hAnsi="Book Antiqua" w:cs="Book Antiqua"/>
        </w:rPr>
        <w:t xml:space="preserve">IR: </w:t>
      </w:r>
      <w:r>
        <w:rPr>
          <w:rFonts w:ascii="Book Antiqua" w:eastAsia="Book Antiqua" w:hAnsi="Book Antiqua" w:cs="Book Antiqua"/>
          <w:bCs/>
        </w:rPr>
        <w:t>Insulin resistance;</w:t>
      </w:r>
      <w:r>
        <w:rPr>
          <w:rFonts w:ascii="Book Antiqua" w:eastAsia="Book Antiqua" w:hAnsi="Book Antiqua" w:cs="Book Antiqua"/>
        </w:rPr>
        <w:t xml:space="preserve"> T2DM: </w:t>
      </w:r>
      <w:r>
        <w:rPr>
          <w:rFonts w:ascii="Book Antiqua" w:eastAsia="Book Antiqua" w:hAnsi="Book Antiqua" w:cs="Book Antiqua"/>
          <w:bCs/>
        </w:rPr>
        <w:t>Type 2 Diabetes Mellitus;</w:t>
      </w:r>
      <w:r>
        <w:rPr>
          <w:rFonts w:ascii="Book Antiqua" w:eastAsia="Book Antiqua" w:hAnsi="Book Antiqua" w:cs="Book Antiqua"/>
        </w:rPr>
        <w:t xml:space="preserve"> IL-1B: </w:t>
      </w:r>
      <w:r>
        <w:rPr>
          <w:rFonts w:ascii="Book Antiqua" w:eastAsia="Book Antiqua" w:hAnsi="Book Antiqua" w:cs="Book Antiqua"/>
          <w:bCs/>
        </w:rPr>
        <w:t>Interleukin-1 beta;</w:t>
      </w:r>
      <w:r>
        <w:rPr>
          <w:rFonts w:ascii="Book Antiqua" w:eastAsia="Book Antiqua" w:hAnsi="Book Antiqua" w:cs="Book Antiqua"/>
        </w:rPr>
        <w:t xml:space="preserve"> TNF-a: </w:t>
      </w:r>
      <w:r>
        <w:rPr>
          <w:rFonts w:ascii="Book Antiqua" w:eastAsia="Book Antiqua" w:hAnsi="Book Antiqua" w:cs="Book Antiqua"/>
          <w:bCs/>
        </w:rPr>
        <w:t>Tumor necrosis factor-alpha;</w:t>
      </w:r>
      <w:r>
        <w:rPr>
          <w:rFonts w:ascii="Book Antiqua" w:eastAsia="Book Antiqua" w:hAnsi="Book Antiqua" w:cs="Book Antiqua"/>
        </w:rPr>
        <w:t xml:space="preserve"> RF: </w:t>
      </w:r>
      <w:r>
        <w:rPr>
          <w:rFonts w:ascii="Book Antiqua" w:eastAsia="Book Antiqua" w:hAnsi="Book Antiqua" w:cs="Book Antiqua"/>
          <w:bCs/>
        </w:rPr>
        <w:t>Rheumatoid factor;</w:t>
      </w:r>
      <w:r>
        <w:rPr>
          <w:rFonts w:ascii="Book Antiqua" w:eastAsia="Book Antiqua" w:hAnsi="Book Antiqua" w:cs="Book Antiqua"/>
        </w:rPr>
        <w:t xml:space="preserve"> ASMA: </w:t>
      </w:r>
      <w:r>
        <w:rPr>
          <w:rFonts w:ascii="Book Antiqua" w:eastAsia="Book Antiqua" w:hAnsi="Book Antiqua" w:cs="Book Antiqua"/>
          <w:bCs/>
        </w:rPr>
        <w:t>Anti-smooth muscle antibody;</w:t>
      </w:r>
      <w:r>
        <w:rPr>
          <w:rFonts w:ascii="Book Antiqua" w:eastAsia="Book Antiqua" w:hAnsi="Book Antiqua" w:cs="Book Antiqua"/>
        </w:rPr>
        <w:t xml:space="preserve"> B cell NHLs: </w:t>
      </w:r>
      <w:r>
        <w:rPr>
          <w:rFonts w:ascii="Book Antiqua" w:eastAsia="Book Antiqua" w:hAnsi="Book Antiqua" w:cs="Book Antiqua"/>
          <w:bCs/>
        </w:rPr>
        <w:t>B-cell non-Hodgkin lymphomas</w:t>
      </w:r>
      <w:r>
        <w:rPr>
          <w:rFonts w:ascii="Book Antiqua" w:hAnsi="Book Antiqua" w:cs="Book Antiqua" w:hint="eastAsia"/>
          <w:bCs/>
          <w:lang w:eastAsia="zh-CN"/>
        </w:rPr>
        <w:t>.</w:t>
      </w:r>
    </w:p>
    <w:p w14:paraId="2BBE4C9C" w14:textId="77777777" w:rsidR="008A6CD8" w:rsidRDefault="00477245">
      <w:pPr>
        <w:rPr>
          <w:rFonts w:ascii="Book Antiqua" w:hAnsi="Book Antiqua"/>
          <w:b/>
          <w:bCs/>
        </w:rPr>
      </w:pPr>
      <w:r>
        <w:rPr>
          <w:rFonts w:ascii="Book Antiqua" w:hAnsi="Book Antiqua"/>
          <w:b/>
          <w:bCs/>
        </w:rPr>
        <w:br w:type="page"/>
      </w:r>
    </w:p>
    <w:p w14:paraId="3E8DD670" w14:textId="77777777" w:rsidR="008A6CD8" w:rsidRDefault="00477245">
      <w:pPr>
        <w:spacing w:line="360" w:lineRule="auto"/>
        <w:jc w:val="both"/>
        <w:rPr>
          <w:rFonts w:ascii="Book Antiqua" w:eastAsia="Book Antiqua" w:hAnsi="Book Antiqua" w:cs="Book Antiqua"/>
          <w:b/>
          <w:bCs/>
        </w:rPr>
      </w:pPr>
      <w:r>
        <w:rPr>
          <w:rFonts w:ascii="Book Antiqua" w:eastAsia="Book Antiqua" w:hAnsi="Book Antiqua" w:cs="Book Antiqua"/>
          <w:b/>
        </w:rPr>
        <w:lastRenderedPageBreak/>
        <w:t>Table</w:t>
      </w:r>
      <w:r>
        <w:rPr>
          <w:rFonts w:ascii="Book Antiqua" w:hAnsi="Book Antiqua" w:cs="Book Antiqua" w:hint="eastAsia"/>
          <w:b/>
          <w:lang w:eastAsia="zh-CN"/>
        </w:rPr>
        <w:t xml:space="preserve"> </w:t>
      </w:r>
      <w:r>
        <w:rPr>
          <w:rFonts w:ascii="Book Antiqua" w:eastAsia="Book Antiqua" w:hAnsi="Book Antiqua" w:cs="Book Antiqua"/>
          <w:b/>
        </w:rPr>
        <w:t>1</w:t>
      </w:r>
      <w:r>
        <w:rPr>
          <w:rFonts w:ascii="Book Antiqua" w:hAnsi="Book Antiqua" w:cs="Book Antiqua" w:hint="eastAsia"/>
          <w:b/>
          <w:lang w:eastAsia="zh-CN"/>
        </w:rPr>
        <w:t xml:space="preserve"> </w:t>
      </w:r>
      <w:r>
        <w:rPr>
          <w:rFonts w:ascii="Book Antiqua" w:eastAsia="Book Antiqua" w:hAnsi="Book Antiqua" w:cs="Book Antiqua"/>
          <w:b/>
          <w:bCs/>
        </w:rPr>
        <w:t xml:space="preserve">Current diagnostic and tools to assess liver disease stages and severity in </w:t>
      </w:r>
      <w:r>
        <w:rPr>
          <w:rFonts w:ascii="Book Antiqua" w:hAnsi="Book Antiqua" w:cs="Book Antiqua" w:hint="eastAsia"/>
          <w:b/>
          <w:bCs/>
          <w:lang w:eastAsia="zh-CN"/>
        </w:rPr>
        <w:t>h</w:t>
      </w:r>
      <w:r>
        <w:rPr>
          <w:rFonts w:ascii="Book Antiqua" w:eastAsia="Book Antiqua" w:hAnsi="Book Antiqua" w:cs="Book Antiqua"/>
          <w:b/>
          <w:bCs/>
        </w:rPr>
        <w:t xml:space="preserve">epatitis C virus infected patients </w:t>
      </w:r>
    </w:p>
    <w:tbl>
      <w:tblPr>
        <w:tblW w:w="5000" w:type="pct"/>
        <w:tblBorders>
          <w:top w:val="single" w:sz="4" w:space="0" w:color="auto"/>
          <w:bottom w:val="single" w:sz="4" w:space="0" w:color="auto"/>
        </w:tblBorders>
        <w:tblLook w:val="04A0" w:firstRow="1" w:lastRow="0" w:firstColumn="1" w:lastColumn="0" w:noHBand="0" w:noVBand="1"/>
      </w:tblPr>
      <w:tblGrid>
        <w:gridCol w:w="1134"/>
        <w:gridCol w:w="2738"/>
        <w:gridCol w:w="1982"/>
        <w:gridCol w:w="2221"/>
        <w:gridCol w:w="1473"/>
        <w:gridCol w:w="2430"/>
        <w:gridCol w:w="982"/>
      </w:tblGrid>
      <w:tr w:rsidR="008A6CD8" w14:paraId="4A6B4F03" w14:textId="77777777">
        <w:trPr>
          <w:trHeight w:val="288"/>
        </w:trPr>
        <w:tc>
          <w:tcPr>
            <w:tcW w:w="436" w:type="pct"/>
            <w:tcBorders>
              <w:top w:val="single" w:sz="4" w:space="0" w:color="auto"/>
              <w:bottom w:val="single" w:sz="4" w:space="0" w:color="auto"/>
            </w:tcBorders>
            <w:shd w:val="clear" w:color="auto" w:fill="auto"/>
            <w:vAlign w:val="center"/>
          </w:tcPr>
          <w:p w14:paraId="62685164"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 xml:space="preserve">Diagnostic </w:t>
            </w:r>
            <w:r>
              <w:rPr>
                <w:rFonts w:ascii="Book Antiqua" w:hAnsi="Book Antiqua" w:cstheme="majorBidi" w:hint="eastAsia"/>
                <w:b/>
                <w:bCs/>
                <w:lang w:eastAsia="zh-CN"/>
              </w:rPr>
              <w:t>t</w:t>
            </w:r>
            <w:r>
              <w:rPr>
                <w:rFonts w:ascii="Book Antiqua" w:hAnsi="Book Antiqua" w:cstheme="majorBidi"/>
                <w:b/>
                <w:bCs/>
              </w:rPr>
              <w:t>ool</w:t>
            </w:r>
          </w:p>
        </w:tc>
        <w:tc>
          <w:tcPr>
            <w:tcW w:w="1057" w:type="pct"/>
            <w:tcBorders>
              <w:top w:val="single" w:sz="4" w:space="0" w:color="auto"/>
              <w:bottom w:val="single" w:sz="4" w:space="0" w:color="auto"/>
            </w:tcBorders>
            <w:shd w:val="clear" w:color="auto" w:fill="auto"/>
            <w:noWrap/>
            <w:vAlign w:val="center"/>
          </w:tcPr>
          <w:p w14:paraId="570746D6"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Early fibrosis stages (METAVIR less than F2)</w:t>
            </w:r>
          </w:p>
        </w:tc>
        <w:tc>
          <w:tcPr>
            <w:tcW w:w="765" w:type="pct"/>
            <w:tcBorders>
              <w:top w:val="single" w:sz="4" w:space="0" w:color="auto"/>
              <w:bottom w:val="single" w:sz="4" w:space="0" w:color="auto"/>
            </w:tcBorders>
            <w:shd w:val="clear" w:color="auto" w:fill="auto"/>
            <w:noWrap/>
            <w:vAlign w:val="center"/>
          </w:tcPr>
          <w:p w14:paraId="4D3573F5"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Fibrosis F2</w:t>
            </w:r>
          </w:p>
        </w:tc>
        <w:tc>
          <w:tcPr>
            <w:tcW w:w="857" w:type="pct"/>
            <w:tcBorders>
              <w:top w:val="single" w:sz="4" w:space="0" w:color="auto"/>
              <w:bottom w:val="single" w:sz="4" w:space="0" w:color="auto"/>
            </w:tcBorders>
            <w:shd w:val="clear" w:color="auto" w:fill="auto"/>
            <w:noWrap/>
            <w:vAlign w:val="center"/>
          </w:tcPr>
          <w:p w14:paraId="16AE4D48"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Fibrosis 3</w:t>
            </w:r>
          </w:p>
        </w:tc>
        <w:tc>
          <w:tcPr>
            <w:tcW w:w="568" w:type="pct"/>
            <w:tcBorders>
              <w:top w:val="single" w:sz="4" w:space="0" w:color="auto"/>
              <w:bottom w:val="single" w:sz="4" w:space="0" w:color="auto"/>
            </w:tcBorders>
            <w:shd w:val="clear" w:color="auto" w:fill="auto"/>
            <w:noWrap/>
            <w:vAlign w:val="center"/>
          </w:tcPr>
          <w:p w14:paraId="37D77D60"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Compensated cirrhosis</w:t>
            </w:r>
          </w:p>
        </w:tc>
        <w:tc>
          <w:tcPr>
            <w:tcW w:w="938" w:type="pct"/>
            <w:tcBorders>
              <w:top w:val="single" w:sz="4" w:space="0" w:color="auto"/>
              <w:bottom w:val="single" w:sz="4" w:space="0" w:color="auto"/>
            </w:tcBorders>
            <w:shd w:val="clear" w:color="auto" w:fill="auto"/>
            <w:noWrap/>
            <w:vAlign w:val="center"/>
          </w:tcPr>
          <w:p w14:paraId="60F1AAE2"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Decompensated cirrhosis</w:t>
            </w:r>
          </w:p>
        </w:tc>
        <w:tc>
          <w:tcPr>
            <w:tcW w:w="378" w:type="pct"/>
            <w:tcBorders>
              <w:top w:val="single" w:sz="4" w:space="0" w:color="auto"/>
              <w:bottom w:val="single" w:sz="4" w:space="0" w:color="auto"/>
            </w:tcBorders>
            <w:shd w:val="clear" w:color="auto" w:fill="auto"/>
            <w:vAlign w:val="center"/>
          </w:tcPr>
          <w:p w14:paraId="3235863B" w14:textId="77777777" w:rsidR="008A6CD8" w:rsidRDefault="00477245">
            <w:pPr>
              <w:spacing w:line="360" w:lineRule="auto"/>
              <w:jc w:val="both"/>
              <w:rPr>
                <w:rFonts w:ascii="Book Antiqua" w:hAnsi="Book Antiqua" w:cstheme="majorBidi"/>
                <w:b/>
                <w:bCs/>
                <w:lang w:eastAsia="zh-CN"/>
              </w:rPr>
            </w:pPr>
            <w:r>
              <w:rPr>
                <w:rFonts w:ascii="Book Antiqua" w:hAnsi="Book Antiqua" w:cstheme="majorBidi"/>
                <w:b/>
                <w:bCs/>
              </w:rPr>
              <w:t>Ref</w:t>
            </w:r>
            <w:r>
              <w:rPr>
                <w:rFonts w:ascii="Book Antiqua" w:hAnsi="Book Antiqua" w:cstheme="majorBidi" w:hint="eastAsia"/>
                <w:b/>
                <w:bCs/>
                <w:lang w:eastAsia="zh-CN"/>
              </w:rPr>
              <w:t>.</w:t>
            </w:r>
          </w:p>
        </w:tc>
      </w:tr>
      <w:tr w:rsidR="008A6CD8" w14:paraId="3B102392" w14:textId="77777777">
        <w:trPr>
          <w:trHeight w:val="432"/>
        </w:trPr>
        <w:tc>
          <w:tcPr>
            <w:tcW w:w="436" w:type="pct"/>
            <w:tcBorders>
              <w:top w:val="single" w:sz="4" w:space="0" w:color="auto"/>
            </w:tcBorders>
            <w:shd w:val="clear" w:color="auto" w:fill="auto"/>
            <w:vAlign w:val="center"/>
          </w:tcPr>
          <w:p w14:paraId="11C30E2B" w14:textId="77777777" w:rsidR="008A6CD8" w:rsidRDefault="00477245">
            <w:pPr>
              <w:spacing w:line="360" w:lineRule="auto"/>
              <w:jc w:val="both"/>
              <w:rPr>
                <w:rFonts w:ascii="Book Antiqua" w:hAnsi="Book Antiqua" w:cstheme="majorBidi"/>
                <w:bCs/>
              </w:rPr>
            </w:pPr>
            <w:r>
              <w:rPr>
                <w:rFonts w:ascii="Book Antiqua" w:hAnsi="Book Antiqua" w:cstheme="majorBidi"/>
                <w:bCs/>
              </w:rPr>
              <w:t xml:space="preserve">HCV </w:t>
            </w:r>
            <w:r>
              <w:rPr>
                <w:rFonts w:ascii="Book Antiqua" w:hAnsi="Book Antiqua" w:cstheme="majorBidi" w:hint="eastAsia"/>
                <w:bCs/>
                <w:lang w:eastAsia="zh-CN"/>
              </w:rPr>
              <w:t>a</w:t>
            </w:r>
            <w:r>
              <w:rPr>
                <w:rFonts w:ascii="Book Antiqua" w:hAnsi="Book Antiqua" w:cstheme="majorBidi"/>
                <w:bCs/>
              </w:rPr>
              <w:t>ntibody</w:t>
            </w:r>
          </w:p>
        </w:tc>
        <w:tc>
          <w:tcPr>
            <w:tcW w:w="1057" w:type="pct"/>
            <w:tcBorders>
              <w:top w:val="single" w:sz="4" w:space="0" w:color="auto"/>
            </w:tcBorders>
            <w:shd w:val="clear" w:color="auto" w:fill="auto"/>
            <w:noWrap/>
            <w:vAlign w:val="center"/>
          </w:tcPr>
          <w:p w14:paraId="03034691"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765" w:type="pct"/>
            <w:tcBorders>
              <w:top w:val="single" w:sz="4" w:space="0" w:color="auto"/>
            </w:tcBorders>
            <w:shd w:val="clear" w:color="auto" w:fill="auto"/>
            <w:noWrap/>
            <w:vAlign w:val="center"/>
          </w:tcPr>
          <w:p w14:paraId="2FB6CBF8"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857" w:type="pct"/>
            <w:tcBorders>
              <w:top w:val="single" w:sz="4" w:space="0" w:color="auto"/>
            </w:tcBorders>
            <w:shd w:val="clear" w:color="auto" w:fill="auto"/>
            <w:noWrap/>
            <w:vAlign w:val="center"/>
          </w:tcPr>
          <w:p w14:paraId="12BBB1C8"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568" w:type="pct"/>
            <w:tcBorders>
              <w:top w:val="single" w:sz="4" w:space="0" w:color="auto"/>
            </w:tcBorders>
            <w:shd w:val="clear" w:color="auto" w:fill="auto"/>
            <w:noWrap/>
            <w:vAlign w:val="center"/>
          </w:tcPr>
          <w:p w14:paraId="459FF11D"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938" w:type="pct"/>
            <w:tcBorders>
              <w:top w:val="single" w:sz="4" w:space="0" w:color="auto"/>
            </w:tcBorders>
            <w:shd w:val="clear" w:color="auto" w:fill="auto"/>
            <w:noWrap/>
            <w:vAlign w:val="center"/>
          </w:tcPr>
          <w:p w14:paraId="23F1CCDD"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378" w:type="pct"/>
            <w:vMerge w:val="restart"/>
            <w:tcBorders>
              <w:top w:val="single" w:sz="4" w:space="0" w:color="auto"/>
            </w:tcBorders>
            <w:shd w:val="clear" w:color="auto" w:fill="auto"/>
            <w:vAlign w:val="center"/>
          </w:tcPr>
          <w:p w14:paraId="0E4D0046" w14:textId="77777777" w:rsidR="008A6CD8" w:rsidRDefault="00477245">
            <w:pPr>
              <w:spacing w:line="360" w:lineRule="auto"/>
              <w:jc w:val="both"/>
              <w:rPr>
                <w:rFonts w:ascii="Book Antiqua" w:hAnsi="Book Antiqua" w:cstheme="majorBidi"/>
              </w:rPr>
            </w:pPr>
            <w:r>
              <w:rPr>
                <w:rFonts w:ascii="Book Antiqua" w:hAnsi="Book Antiqua" w:cstheme="majorBidi"/>
              </w:rPr>
              <w:t>AASLD and IDSA</w:t>
            </w:r>
            <w:r>
              <w:rPr>
                <w:rFonts w:ascii="Book Antiqua" w:hAnsi="Book Antiqua" w:cstheme="majorBidi"/>
                <w:vertAlign w:val="superscript"/>
              </w:rPr>
              <w:t>[</w:t>
            </w:r>
            <w:r>
              <w:rPr>
                <w:rFonts w:ascii="Book Antiqua" w:hAnsi="Book Antiqua" w:cstheme="majorBidi"/>
                <w:bCs/>
                <w:vertAlign w:val="superscript"/>
              </w:rPr>
              <w:t>30]</w:t>
            </w:r>
          </w:p>
        </w:tc>
      </w:tr>
      <w:tr w:rsidR="008A6CD8" w14:paraId="5ED732B8" w14:textId="77777777">
        <w:trPr>
          <w:trHeight w:val="2694"/>
        </w:trPr>
        <w:tc>
          <w:tcPr>
            <w:tcW w:w="436" w:type="pct"/>
            <w:shd w:val="clear" w:color="auto" w:fill="auto"/>
            <w:vAlign w:val="center"/>
          </w:tcPr>
          <w:p w14:paraId="75315CF8" w14:textId="77777777" w:rsidR="008A6CD8" w:rsidRDefault="00477245">
            <w:pPr>
              <w:spacing w:line="360" w:lineRule="auto"/>
              <w:jc w:val="both"/>
              <w:rPr>
                <w:rFonts w:ascii="Book Antiqua" w:hAnsi="Book Antiqua" w:cstheme="majorBidi"/>
                <w:bCs/>
              </w:rPr>
            </w:pPr>
            <w:r>
              <w:rPr>
                <w:rFonts w:ascii="Book Antiqua" w:hAnsi="Book Antiqua" w:cstheme="majorBidi"/>
                <w:bCs/>
              </w:rPr>
              <w:t>Quantitative HCV RNA (viral load)</w:t>
            </w:r>
          </w:p>
        </w:tc>
        <w:tc>
          <w:tcPr>
            <w:tcW w:w="1057" w:type="pct"/>
            <w:shd w:val="clear" w:color="auto" w:fill="auto"/>
            <w:noWrap/>
            <w:vAlign w:val="center"/>
          </w:tcPr>
          <w:p w14:paraId="01C89A7F"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765" w:type="pct"/>
            <w:shd w:val="clear" w:color="auto" w:fill="auto"/>
            <w:noWrap/>
            <w:vAlign w:val="center"/>
          </w:tcPr>
          <w:p w14:paraId="07DBAC1E"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857" w:type="pct"/>
            <w:shd w:val="clear" w:color="auto" w:fill="auto"/>
            <w:noWrap/>
            <w:vAlign w:val="center"/>
          </w:tcPr>
          <w:p w14:paraId="1166B44D"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568" w:type="pct"/>
            <w:shd w:val="clear" w:color="auto" w:fill="auto"/>
            <w:noWrap/>
            <w:vAlign w:val="center"/>
          </w:tcPr>
          <w:p w14:paraId="2C1F9753"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938" w:type="pct"/>
            <w:shd w:val="clear" w:color="auto" w:fill="auto"/>
            <w:noWrap/>
            <w:vAlign w:val="center"/>
          </w:tcPr>
          <w:p w14:paraId="52FD1FEF"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378" w:type="pct"/>
            <w:vMerge/>
            <w:shd w:val="clear" w:color="auto" w:fill="auto"/>
            <w:vAlign w:val="center"/>
          </w:tcPr>
          <w:p w14:paraId="53BEEEAD" w14:textId="77777777" w:rsidR="008A6CD8" w:rsidRDefault="008A6CD8">
            <w:pPr>
              <w:spacing w:line="360" w:lineRule="auto"/>
              <w:jc w:val="both"/>
              <w:rPr>
                <w:rFonts w:ascii="Book Antiqua" w:hAnsi="Book Antiqua" w:cstheme="majorBidi"/>
              </w:rPr>
            </w:pPr>
          </w:p>
        </w:tc>
      </w:tr>
      <w:tr w:rsidR="008A6CD8" w14:paraId="2754070B" w14:textId="77777777">
        <w:trPr>
          <w:trHeight w:val="432"/>
        </w:trPr>
        <w:tc>
          <w:tcPr>
            <w:tcW w:w="436" w:type="pct"/>
            <w:shd w:val="clear" w:color="auto" w:fill="auto"/>
            <w:vAlign w:val="center"/>
          </w:tcPr>
          <w:p w14:paraId="00C1AED0" w14:textId="77777777" w:rsidR="008A6CD8" w:rsidRDefault="00477245">
            <w:pPr>
              <w:spacing w:line="360" w:lineRule="auto"/>
              <w:jc w:val="both"/>
              <w:rPr>
                <w:rFonts w:ascii="Book Antiqua" w:hAnsi="Book Antiqua" w:cstheme="majorBidi"/>
                <w:bCs/>
              </w:rPr>
            </w:pPr>
            <w:r>
              <w:rPr>
                <w:rFonts w:ascii="Book Antiqua" w:hAnsi="Book Antiqua" w:cstheme="majorBidi"/>
                <w:bCs/>
              </w:rPr>
              <w:t xml:space="preserve">Platelet </w:t>
            </w:r>
            <w:r>
              <w:rPr>
                <w:rFonts w:ascii="Book Antiqua" w:hAnsi="Book Antiqua" w:cstheme="majorBidi" w:hint="eastAsia"/>
                <w:bCs/>
                <w:lang w:eastAsia="zh-CN"/>
              </w:rPr>
              <w:t>c</w:t>
            </w:r>
            <w:r>
              <w:rPr>
                <w:rFonts w:ascii="Book Antiqua" w:hAnsi="Book Antiqua" w:cstheme="majorBidi"/>
                <w:bCs/>
              </w:rPr>
              <w:t>ount &lt; 150000/mm</w:t>
            </w:r>
            <w:r>
              <w:rPr>
                <w:rFonts w:ascii="Book Antiqua" w:hAnsi="Book Antiqua" w:cstheme="majorBidi"/>
                <w:bCs/>
                <w:vertAlign w:val="superscript"/>
              </w:rPr>
              <w:t>3</w:t>
            </w:r>
            <w:r>
              <w:rPr>
                <w:rFonts w:ascii="Book Antiqua" w:hAnsi="Book Antiqua" w:cstheme="majorBidi"/>
                <w:bCs/>
              </w:rPr>
              <w:t>)</w:t>
            </w:r>
          </w:p>
        </w:tc>
        <w:tc>
          <w:tcPr>
            <w:tcW w:w="1057" w:type="pct"/>
            <w:shd w:val="clear" w:color="auto" w:fill="auto"/>
            <w:noWrap/>
            <w:vAlign w:val="center"/>
          </w:tcPr>
          <w:p w14:paraId="215C1F9B" w14:textId="77777777" w:rsidR="008A6CD8" w:rsidRDefault="00477245">
            <w:pPr>
              <w:spacing w:line="360" w:lineRule="auto"/>
              <w:jc w:val="both"/>
              <w:rPr>
                <w:rFonts w:ascii="Book Antiqua" w:hAnsi="Book Antiqua" w:cstheme="majorBidi"/>
              </w:rPr>
            </w:pPr>
            <w:r>
              <w:rPr>
                <w:rFonts w:ascii="Book Antiqua" w:hAnsi="Book Antiqua" w:cstheme="majorBidi"/>
              </w:rPr>
              <w:t>Normal</w:t>
            </w:r>
          </w:p>
        </w:tc>
        <w:tc>
          <w:tcPr>
            <w:tcW w:w="765" w:type="pct"/>
            <w:shd w:val="clear" w:color="auto" w:fill="auto"/>
            <w:noWrap/>
            <w:vAlign w:val="center"/>
          </w:tcPr>
          <w:p w14:paraId="66354012" w14:textId="77777777" w:rsidR="008A6CD8" w:rsidRDefault="00477245">
            <w:pPr>
              <w:spacing w:line="360" w:lineRule="auto"/>
              <w:jc w:val="both"/>
              <w:rPr>
                <w:rFonts w:ascii="Book Antiqua" w:hAnsi="Book Antiqua" w:cstheme="majorBidi"/>
              </w:rPr>
            </w:pPr>
            <w:r>
              <w:rPr>
                <w:rFonts w:ascii="Book Antiqua" w:hAnsi="Book Antiqua" w:cstheme="majorBidi"/>
              </w:rPr>
              <w:t>Normal</w:t>
            </w:r>
          </w:p>
        </w:tc>
        <w:tc>
          <w:tcPr>
            <w:tcW w:w="857" w:type="pct"/>
            <w:shd w:val="clear" w:color="auto" w:fill="auto"/>
            <w:noWrap/>
            <w:vAlign w:val="center"/>
          </w:tcPr>
          <w:p w14:paraId="23E7D1D0" w14:textId="77777777" w:rsidR="008A6CD8" w:rsidRDefault="00477245">
            <w:pPr>
              <w:spacing w:line="360" w:lineRule="auto"/>
              <w:jc w:val="both"/>
              <w:rPr>
                <w:rFonts w:ascii="Book Antiqua" w:hAnsi="Book Antiqua" w:cstheme="majorBidi"/>
              </w:rPr>
            </w:pPr>
            <w:r>
              <w:rPr>
                <w:rFonts w:ascii="Book Antiqua" w:hAnsi="Book Antiqua" w:cstheme="majorBidi"/>
              </w:rPr>
              <w:t>Normal</w:t>
            </w:r>
          </w:p>
        </w:tc>
        <w:tc>
          <w:tcPr>
            <w:tcW w:w="568" w:type="pct"/>
            <w:shd w:val="clear" w:color="auto" w:fill="auto"/>
            <w:noWrap/>
            <w:vAlign w:val="center"/>
          </w:tcPr>
          <w:p w14:paraId="0F68DD80" w14:textId="77777777" w:rsidR="008A6CD8" w:rsidRDefault="00477245">
            <w:pPr>
              <w:spacing w:line="360" w:lineRule="auto"/>
              <w:jc w:val="both"/>
              <w:rPr>
                <w:rFonts w:ascii="Book Antiqua" w:hAnsi="Book Antiqua" w:cstheme="majorBidi"/>
              </w:rPr>
            </w:pPr>
            <w:r>
              <w:rPr>
                <w:rFonts w:ascii="Book Antiqua" w:hAnsi="Book Antiqua" w:cstheme="majorBidi"/>
              </w:rPr>
              <w:t>&lt; 150000/mm</w:t>
            </w:r>
            <w:r>
              <w:rPr>
                <w:rFonts w:ascii="Book Antiqua" w:hAnsi="Book Antiqua" w:cstheme="majorBidi"/>
                <w:vertAlign w:val="superscript"/>
              </w:rPr>
              <w:t>3</w:t>
            </w:r>
          </w:p>
        </w:tc>
        <w:tc>
          <w:tcPr>
            <w:tcW w:w="938" w:type="pct"/>
            <w:shd w:val="clear" w:color="auto" w:fill="auto"/>
            <w:noWrap/>
            <w:vAlign w:val="center"/>
          </w:tcPr>
          <w:p w14:paraId="45062F2C" w14:textId="77777777" w:rsidR="008A6CD8" w:rsidRDefault="00477245">
            <w:pPr>
              <w:spacing w:line="360" w:lineRule="auto"/>
              <w:jc w:val="both"/>
              <w:rPr>
                <w:rFonts w:ascii="Book Antiqua" w:hAnsi="Book Antiqua" w:cstheme="majorBidi"/>
              </w:rPr>
            </w:pPr>
            <w:r>
              <w:rPr>
                <w:rFonts w:ascii="Book Antiqua" w:hAnsi="Book Antiqua" w:cstheme="majorBidi"/>
              </w:rPr>
              <w:t>&lt; 150000/mm</w:t>
            </w:r>
            <w:r>
              <w:rPr>
                <w:rFonts w:ascii="Book Antiqua" w:hAnsi="Book Antiqua" w:cstheme="majorBidi"/>
                <w:vertAlign w:val="superscript"/>
              </w:rPr>
              <w:t>3</w:t>
            </w:r>
          </w:p>
        </w:tc>
        <w:tc>
          <w:tcPr>
            <w:tcW w:w="378" w:type="pct"/>
            <w:vMerge/>
            <w:shd w:val="clear" w:color="auto" w:fill="auto"/>
            <w:vAlign w:val="center"/>
          </w:tcPr>
          <w:p w14:paraId="194C8341" w14:textId="77777777" w:rsidR="008A6CD8" w:rsidRDefault="008A6CD8">
            <w:pPr>
              <w:spacing w:line="360" w:lineRule="auto"/>
              <w:jc w:val="both"/>
              <w:rPr>
                <w:rFonts w:ascii="Book Antiqua" w:hAnsi="Book Antiqua" w:cstheme="majorBidi"/>
              </w:rPr>
            </w:pPr>
          </w:p>
        </w:tc>
      </w:tr>
      <w:tr w:rsidR="008A6CD8" w14:paraId="54A1B1B8" w14:textId="77777777">
        <w:trPr>
          <w:trHeight w:val="432"/>
        </w:trPr>
        <w:tc>
          <w:tcPr>
            <w:tcW w:w="436" w:type="pct"/>
            <w:shd w:val="clear" w:color="auto" w:fill="auto"/>
            <w:vAlign w:val="center"/>
          </w:tcPr>
          <w:p w14:paraId="5D9EEDD6" w14:textId="77777777" w:rsidR="008A6CD8" w:rsidRDefault="00477245">
            <w:pPr>
              <w:spacing w:line="360" w:lineRule="auto"/>
              <w:jc w:val="both"/>
              <w:rPr>
                <w:rFonts w:ascii="Book Antiqua" w:hAnsi="Book Antiqua" w:cstheme="majorBidi"/>
                <w:bCs/>
              </w:rPr>
            </w:pPr>
            <w:r>
              <w:rPr>
                <w:rFonts w:ascii="Book Antiqua" w:hAnsi="Book Antiqua" w:cstheme="majorBidi"/>
                <w:bCs/>
              </w:rPr>
              <w:t>Total and direct bilirubi</w:t>
            </w:r>
            <w:r>
              <w:rPr>
                <w:rFonts w:ascii="Book Antiqua" w:hAnsi="Book Antiqua" w:cstheme="majorBidi"/>
                <w:bCs/>
              </w:rPr>
              <w:lastRenderedPageBreak/>
              <w:t>n, ALT &amp; AST</w:t>
            </w:r>
          </w:p>
        </w:tc>
        <w:tc>
          <w:tcPr>
            <w:tcW w:w="1057" w:type="pct"/>
            <w:shd w:val="clear" w:color="auto" w:fill="auto"/>
            <w:noWrap/>
            <w:vAlign w:val="center"/>
          </w:tcPr>
          <w:p w14:paraId="35171777" w14:textId="77777777" w:rsidR="008A6CD8" w:rsidRDefault="00477245">
            <w:pPr>
              <w:spacing w:line="360" w:lineRule="auto"/>
              <w:jc w:val="both"/>
              <w:rPr>
                <w:rFonts w:ascii="Book Antiqua" w:hAnsi="Book Antiqua" w:cstheme="majorBidi"/>
              </w:rPr>
            </w:pPr>
            <w:r>
              <w:rPr>
                <w:rFonts w:ascii="Book Antiqua" w:hAnsi="Book Antiqua" w:cstheme="majorBidi"/>
              </w:rPr>
              <w:lastRenderedPageBreak/>
              <w:t>Normal/elevated</w:t>
            </w:r>
          </w:p>
        </w:tc>
        <w:tc>
          <w:tcPr>
            <w:tcW w:w="765" w:type="pct"/>
            <w:shd w:val="clear" w:color="auto" w:fill="auto"/>
            <w:noWrap/>
            <w:vAlign w:val="center"/>
          </w:tcPr>
          <w:p w14:paraId="51EBF936" w14:textId="77777777" w:rsidR="008A6CD8" w:rsidRDefault="00477245">
            <w:pPr>
              <w:spacing w:line="360" w:lineRule="auto"/>
              <w:jc w:val="both"/>
              <w:rPr>
                <w:rFonts w:ascii="Book Antiqua" w:hAnsi="Book Antiqua" w:cstheme="majorBidi"/>
              </w:rPr>
            </w:pPr>
            <w:r>
              <w:rPr>
                <w:rFonts w:ascii="Book Antiqua" w:hAnsi="Book Antiqua" w:cstheme="majorBidi"/>
              </w:rPr>
              <w:t>Normal/elevated</w:t>
            </w:r>
          </w:p>
        </w:tc>
        <w:tc>
          <w:tcPr>
            <w:tcW w:w="857" w:type="pct"/>
            <w:shd w:val="clear" w:color="auto" w:fill="auto"/>
            <w:noWrap/>
            <w:vAlign w:val="center"/>
          </w:tcPr>
          <w:p w14:paraId="64C4634F" w14:textId="77777777" w:rsidR="008A6CD8" w:rsidRDefault="00477245">
            <w:pPr>
              <w:spacing w:line="360" w:lineRule="auto"/>
              <w:jc w:val="both"/>
              <w:rPr>
                <w:rFonts w:ascii="Book Antiqua" w:hAnsi="Book Antiqua" w:cstheme="majorBidi"/>
              </w:rPr>
            </w:pPr>
            <w:r>
              <w:rPr>
                <w:rFonts w:ascii="Book Antiqua" w:hAnsi="Book Antiqua" w:cstheme="majorBidi"/>
              </w:rPr>
              <w:t>Normal/elevated</w:t>
            </w:r>
          </w:p>
        </w:tc>
        <w:tc>
          <w:tcPr>
            <w:tcW w:w="568" w:type="pct"/>
            <w:shd w:val="clear" w:color="auto" w:fill="auto"/>
            <w:noWrap/>
            <w:vAlign w:val="center"/>
          </w:tcPr>
          <w:p w14:paraId="5D22AD9B" w14:textId="77777777" w:rsidR="008A6CD8" w:rsidRDefault="00477245">
            <w:pPr>
              <w:spacing w:line="360" w:lineRule="auto"/>
              <w:jc w:val="both"/>
              <w:rPr>
                <w:rFonts w:ascii="Book Antiqua" w:hAnsi="Book Antiqua" w:cstheme="majorBidi"/>
              </w:rPr>
            </w:pPr>
            <w:r>
              <w:rPr>
                <w:rFonts w:ascii="Book Antiqua" w:hAnsi="Book Antiqua" w:cstheme="majorBidi"/>
              </w:rPr>
              <w:t>Elevated</w:t>
            </w:r>
          </w:p>
        </w:tc>
        <w:tc>
          <w:tcPr>
            <w:tcW w:w="938" w:type="pct"/>
            <w:shd w:val="clear" w:color="auto" w:fill="auto"/>
            <w:noWrap/>
            <w:vAlign w:val="center"/>
          </w:tcPr>
          <w:p w14:paraId="166B0055" w14:textId="77777777" w:rsidR="008A6CD8" w:rsidRDefault="00477245">
            <w:pPr>
              <w:spacing w:line="360" w:lineRule="auto"/>
              <w:jc w:val="both"/>
              <w:rPr>
                <w:rFonts w:ascii="Book Antiqua" w:hAnsi="Book Antiqua" w:cstheme="majorBidi"/>
              </w:rPr>
            </w:pPr>
            <w:r>
              <w:rPr>
                <w:rFonts w:ascii="Book Antiqua" w:hAnsi="Book Antiqua" w:cstheme="majorBidi"/>
              </w:rPr>
              <w:t>Elevated</w:t>
            </w:r>
          </w:p>
        </w:tc>
        <w:tc>
          <w:tcPr>
            <w:tcW w:w="378" w:type="pct"/>
            <w:vMerge/>
            <w:shd w:val="clear" w:color="auto" w:fill="auto"/>
            <w:vAlign w:val="center"/>
          </w:tcPr>
          <w:p w14:paraId="21F87B5F" w14:textId="77777777" w:rsidR="008A6CD8" w:rsidRDefault="008A6CD8">
            <w:pPr>
              <w:spacing w:line="360" w:lineRule="auto"/>
              <w:jc w:val="both"/>
              <w:rPr>
                <w:rFonts w:ascii="Book Antiqua" w:hAnsi="Book Antiqua" w:cstheme="majorBidi"/>
              </w:rPr>
            </w:pPr>
          </w:p>
        </w:tc>
      </w:tr>
      <w:tr w:rsidR="008A6CD8" w14:paraId="3982A2FF" w14:textId="77777777">
        <w:trPr>
          <w:trHeight w:val="432"/>
        </w:trPr>
        <w:tc>
          <w:tcPr>
            <w:tcW w:w="436" w:type="pct"/>
            <w:shd w:val="clear" w:color="auto" w:fill="auto"/>
            <w:vAlign w:val="center"/>
          </w:tcPr>
          <w:p w14:paraId="5A2BC140" w14:textId="77777777" w:rsidR="008A6CD8" w:rsidRDefault="00477245">
            <w:pPr>
              <w:spacing w:line="360" w:lineRule="auto"/>
              <w:jc w:val="both"/>
              <w:rPr>
                <w:rFonts w:ascii="Book Antiqua" w:hAnsi="Book Antiqua" w:cstheme="majorBidi"/>
                <w:bCs/>
              </w:rPr>
            </w:pPr>
            <w:r>
              <w:rPr>
                <w:rFonts w:ascii="Book Antiqua" w:hAnsi="Book Antiqua" w:cstheme="majorBidi"/>
                <w:bCs/>
              </w:rPr>
              <w:t xml:space="preserve">Child- Pugh </w:t>
            </w:r>
          </w:p>
        </w:tc>
        <w:tc>
          <w:tcPr>
            <w:tcW w:w="1057" w:type="pct"/>
            <w:shd w:val="clear" w:color="auto" w:fill="auto"/>
            <w:noWrap/>
            <w:vAlign w:val="center"/>
          </w:tcPr>
          <w:p w14:paraId="5BA1932F" w14:textId="77777777" w:rsidR="008A6CD8" w:rsidRDefault="00477245">
            <w:pPr>
              <w:spacing w:line="360" w:lineRule="auto"/>
              <w:jc w:val="both"/>
              <w:rPr>
                <w:rFonts w:ascii="Book Antiqua" w:hAnsi="Book Antiqua" w:cstheme="majorBidi"/>
              </w:rPr>
            </w:pPr>
            <w:r>
              <w:rPr>
                <w:rFonts w:ascii="Book Antiqua" w:hAnsi="Book Antiqua" w:cstheme="majorBidi"/>
              </w:rPr>
              <w:t>--------</w:t>
            </w:r>
          </w:p>
        </w:tc>
        <w:tc>
          <w:tcPr>
            <w:tcW w:w="765" w:type="pct"/>
            <w:shd w:val="clear" w:color="auto" w:fill="auto"/>
            <w:noWrap/>
            <w:vAlign w:val="center"/>
          </w:tcPr>
          <w:p w14:paraId="6098513B" w14:textId="77777777" w:rsidR="008A6CD8" w:rsidRDefault="00477245">
            <w:pPr>
              <w:spacing w:line="360" w:lineRule="auto"/>
              <w:jc w:val="both"/>
              <w:rPr>
                <w:rFonts w:ascii="Book Antiqua" w:hAnsi="Book Antiqua" w:cstheme="majorBidi"/>
              </w:rPr>
            </w:pPr>
            <w:r>
              <w:rPr>
                <w:rFonts w:ascii="Book Antiqua" w:hAnsi="Book Antiqua" w:cstheme="majorBidi"/>
              </w:rPr>
              <w:t>--------</w:t>
            </w:r>
          </w:p>
        </w:tc>
        <w:tc>
          <w:tcPr>
            <w:tcW w:w="857" w:type="pct"/>
            <w:shd w:val="clear" w:color="auto" w:fill="auto"/>
            <w:noWrap/>
            <w:vAlign w:val="center"/>
          </w:tcPr>
          <w:p w14:paraId="4E71387F" w14:textId="77777777" w:rsidR="008A6CD8" w:rsidRDefault="00477245">
            <w:pPr>
              <w:spacing w:line="360" w:lineRule="auto"/>
              <w:jc w:val="both"/>
              <w:rPr>
                <w:rFonts w:ascii="Book Antiqua" w:hAnsi="Book Antiqua" w:cstheme="majorBidi"/>
              </w:rPr>
            </w:pPr>
            <w:r>
              <w:rPr>
                <w:rFonts w:ascii="Book Antiqua" w:hAnsi="Book Antiqua" w:cstheme="majorBidi"/>
              </w:rPr>
              <w:t>--------</w:t>
            </w:r>
          </w:p>
        </w:tc>
        <w:tc>
          <w:tcPr>
            <w:tcW w:w="568" w:type="pct"/>
            <w:shd w:val="clear" w:color="auto" w:fill="auto"/>
            <w:noWrap/>
            <w:vAlign w:val="center"/>
          </w:tcPr>
          <w:p w14:paraId="689147D6" w14:textId="77777777" w:rsidR="008A6CD8" w:rsidRDefault="00477245">
            <w:pPr>
              <w:spacing w:line="360" w:lineRule="auto"/>
              <w:jc w:val="both"/>
              <w:rPr>
                <w:rFonts w:ascii="Book Antiqua" w:hAnsi="Book Antiqua" w:cstheme="majorBidi"/>
              </w:rPr>
            </w:pPr>
            <w:r>
              <w:rPr>
                <w:rFonts w:ascii="Book Antiqua" w:hAnsi="Book Antiqua" w:cstheme="majorBidi"/>
              </w:rPr>
              <w:t>Class A (scores 5-6)</w:t>
            </w:r>
          </w:p>
        </w:tc>
        <w:tc>
          <w:tcPr>
            <w:tcW w:w="938" w:type="pct"/>
            <w:shd w:val="clear" w:color="auto" w:fill="auto"/>
            <w:noWrap/>
            <w:vAlign w:val="center"/>
          </w:tcPr>
          <w:p w14:paraId="287DC592" w14:textId="77777777" w:rsidR="008A6CD8" w:rsidRDefault="00477245">
            <w:pPr>
              <w:spacing w:line="360" w:lineRule="auto"/>
              <w:jc w:val="both"/>
              <w:rPr>
                <w:rFonts w:ascii="Book Antiqua" w:hAnsi="Book Antiqua" w:cstheme="majorBidi"/>
              </w:rPr>
            </w:pPr>
            <w:r>
              <w:rPr>
                <w:rFonts w:ascii="Book Antiqua" w:hAnsi="Book Antiqua" w:cstheme="majorBidi"/>
              </w:rPr>
              <w:t>Class B (scores 7-9)</w:t>
            </w:r>
            <w:r>
              <w:rPr>
                <w:rFonts w:ascii="Book Antiqua" w:hAnsi="Book Antiqua" w:cstheme="majorBidi" w:hint="eastAsia"/>
                <w:lang w:eastAsia="zh-CN"/>
              </w:rPr>
              <w:t xml:space="preserve">; </w:t>
            </w:r>
            <w:r>
              <w:rPr>
                <w:rFonts w:ascii="Book Antiqua" w:hAnsi="Book Antiqua" w:cstheme="majorBidi"/>
              </w:rPr>
              <w:t>Class C (scores 10-15)</w:t>
            </w:r>
          </w:p>
        </w:tc>
        <w:tc>
          <w:tcPr>
            <w:tcW w:w="378" w:type="pct"/>
            <w:vMerge/>
            <w:shd w:val="clear" w:color="auto" w:fill="auto"/>
            <w:vAlign w:val="center"/>
          </w:tcPr>
          <w:p w14:paraId="7C1129EF" w14:textId="77777777" w:rsidR="008A6CD8" w:rsidRDefault="008A6CD8">
            <w:pPr>
              <w:spacing w:line="360" w:lineRule="auto"/>
              <w:jc w:val="both"/>
              <w:rPr>
                <w:rFonts w:ascii="Book Antiqua" w:hAnsi="Book Antiqua" w:cstheme="majorBidi"/>
              </w:rPr>
            </w:pPr>
          </w:p>
        </w:tc>
      </w:tr>
      <w:tr w:rsidR="008A6CD8" w14:paraId="2327D31A" w14:textId="77777777">
        <w:trPr>
          <w:trHeight w:val="432"/>
        </w:trPr>
        <w:tc>
          <w:tcPr>
            <w:tcW w:w="436" w:type="pct"/>
            <w:shd w:val="clear" w:color="auto" w:fill="auto"/>
            <w:vAlign w:val="center"/>
          </w:tcPr>
          <w:p w14:paraId="63B3DD23" w14:textId="77777777" w:rsidR="008A6CD8" w:rsidRDefault="00477245">
            <w:pPr>
              <w:spacing w:line="360" w:lineRule="auto"/>
              <w:jc w:val="both"/>
              <w:rPr>
                <w:rFonts w:ascii="Book Antiqua" w:hAnsi="Book Antiqua" w:cstheme="majorBidi"/>
                <w:bCs/>
              </w:rPr>
            </w:pPr>
            <w:r>
              <w:rPr>
                <w:rFonts w:ascii="Book Antiqua" w:hAnsi="Book Antiqua" w:cstheme="majorBidi"/>
                <w:bCs/>
              </w:rPr>
              <w:t>FIB-4 Score</w:t>
            </w:r>
          </w:p>
        </w:tc>
        <w:tc>
          <w:tcPr>
            <w:tcW w:w="1057" w:type="pct"/>
            <w:shd w:val="clear" w:color="auto" w:fill="auto"/>
            <w:noWrap/>
            <w:vAlign w:val="center"/>
          </w:tcPr>
          <w:p w14:paraId="06377304" w14:textId="77777777" w:rsidR="008A6CD8" w:rsidRDefault="00477245">
            <w:pPr>
              <w:spacing w:line="360" w:lineRule="auto"/>
              <w:jc w:val="both"/>
              <w:rPr>
                <w:rFonts w:ascii="Book Antiqua" w:hAnsi="Book Antiqua" w:cstheme="majorBidi"/>
              </w:rPr>
            </w:pPr>
            <w:r>
              <w:rPr>
                <w:rFonts w:ascii="Book Antiqua" w:hAnsi="Book Antiqua" w:cstheme="majorBidi"/>
              </w:rPr>
              <w:t>&lt; 1.45</w:t>
            </w:r>
          </w:p>
        </w:tc>
        <w:tc>
          <w:tcPr>
            <w:tcW w:w="765" w:type="pct"/>
            <w:shd w:val="clear" w:color="auto" w:fill="auto"/>
            <w:noWrap/>
            <w:vAlign w:val="center"/>
          </w:tcPr>
          <w:p w14:paraId="18441821" w14:textId="77777777" w:rsidR="008A6CD8" w:rsidRDefault="00477245">
            <w:pPr>
              <w:spacing w:line="360" w:lineRule="auto"/>
              <w:jc w:val="both"/>
              <w:rPr>
                <w:rFonts w:ascii="Book Antiqua" w:hAnsi="Book Antiqua" w:cstheme="majorBidi"/>
              </w:rPr>
            </w:pPr>
            <w:r>
              <w:rPr>
                <w:rFonts w:ascii="Book Antiqua" w:hAnsi="Book Antiqua" w:cstheme="majorBidi"/>
              </w:rPr>
              <w:t>≥ 1.45 but &lt; 2.67</w:t>
            </w:r>
          </w:p>
        </w:tc>
        <w:tc>
          <w:tcPr>
            <w:tcW w:w="857" w:type="pct"/>
            <w:shd w:val="clear" w:color="auto" w:fill="auto"/>
            <w:noWrap/>
            <w:vAlign w:val="center"/>
          </w:tcPr>
          <w:p w14:paraId="075E5BE5" w14:textId="77777777" w:rsidR="008A6CD8" w:rsidRDefault="00477245">
            <w:pPr>
              <w:spacing w:line="360" w:lineRule="auto"/>
              <w:jc w:val="both"/>
              <w:rPr>
                <w:rFonts w:ascii="Book Antiqua" w:hAnsi="Book Antiqua" w:cstheme="majorBidi"/>
              </w:rPr>
            </w:pPr>
            <w:r>
              <w:rPr>
                <w:rFonts w:ascii="Book Antiqua" w:hAnsi="Book Antiqua" w:cstheme="majorBidi"/>
              </w:rPr>
              <w:t>≥ 2.67 but &lt; 3.25</w:t>
            </w:r>
          </w:p>
        </w:tc>
        <w:tc>
          <w:tcPr>
            <w:tcW w:w="568" w:type="pct"/>
            <w:shd w:val="clear" w:color="auto" w:fill="auto"/>
            <w:noWrap/>
            <w:vAlign w:val="center"/>
          </w:tcPr>
          <w:p w14:paraId="49F8129E" w14:textId="77777777" w:rsidR="008A6CD8" w:rsidRDefault="00477245">
            <w:pPr>
              <w:spacing w:line="360" w:lineRule="auto"/>
              <w:jc w:val="both"/>
              <w:rPr>
                <w:rFonts w:ascii="Book Antiqua" w:hAnsi="Book Antiqua" w:cstheme="majorBidi"/>
              </w:rPr>
            </w:pPr>
            <w:r>
              <w:rPr>
                <w:rFonts w:ascii="Book Antiqua" w:hAnsi="Book Antiqua" w:cstheme="majorBidi"/>
              </w:rPr>
              <w:t>≥ 3.25</w:t>
            </w:r>
          </w:p>
        </w:tc>
        <w:tc>
          <w:tcPr>
            <w:tcW w:w="938" w:type="pct"/>
            <w:shd w:val="clear" w:color="auto" w:fill="auto"/>
            <w:noWrap/>
            <w:vAlign w:val="center"/>
          </w:tcPr>
          <w:p w14:paraId="4CEF1A9A" w14:textId="77777777" w:rsidR="008A6CD8" w:rsidRDefault="00477245">
            <w:pPr>
              <w:spacing w:line="360" w:lineRule="auto"/>
              <w:jc w:val="both"/>
              <w:rPr>
                <w:rFonts w:ascii="Book Antiqua" w:hAnsi="Book Antiqua" w:cstheme="majorBidi"/>
              </w:rPr>
            </w:pPr>
            <w:r>
              <w:rPr>
                <w:rFonts w:ascii="Book Antiqua" w:hAnsi="Book Antiqua" w:cstheme="majorBidi"/>
              </w:rPr>
              <w:t>&gt; 3.25</w:t>
            </w:r>
          </w:p>
        </w:tc>
        <w:tc>
          <w:tcPr>
            <w:tcW w:w="378" w:type="pct"/>
            <w:shd w:val="clear" w:color="auto" w:fill="auto"/>
            <w:vAlign w:val="center"/>
          </w:tcPr>
          <w:p w14:paraId="0BDC72AB" w14:textId="77777777" w:rsidR="008A6CD8" w:rsidRDefault="00477245">
            <w:pPr>
              <w:spacing w:line="360" w:lineRule="auto"/>
              <w:jc w:val="both"/>
              <w:rPr>
                <w:rFonts w:ascii="Book Antiqua" w:hAnsi="Book Antiqua" w:cstheme="majorBidi"/>
              </w:rPr>
            </w:pPr>
            <w:r>
              <w:rPr>
                <w:rFonts w:ascii="Book Antiqua" w:hAnsi="Book Antiqua" w:cstheme="majorBidi"/>
              </w:rPr>
              <w:t>Filozof</w:t>
            </w:r>
            <w:r>
              <w:rPr>
                <w:rFonts w:ascii="Book Antiqua" w:hAnsi="Book Antiqua" w:cstheme="majorBidi"/>
                <w:i/>
              </w:rPr>
              <w:t xml:space="preserve"> et al</w:t>
            </w:r>
            <w:r>
              <w:rPr>
                <w:rFonts w:ascii="Book Antiqua" w:hAnsi="Book Antiqua" w:cstheme="majorBidi"/>
                <w:vertAlign w:val="superscript"/>
              </w:rPr>
              <w:t>[</w:t>
            </w:r>
            <w:r>
              <w:rPr>
                <w:rFonts w:ascii="Book Antiqua" w:hAnsi="Book Antiqua" w:cstheme="majorBidi"/>
                <w:bCs/>
                <w:vertAlign w:val="superscript"/>
              </w:rPr>
              <w:t>31]</w:t>
            </w:r>
          </w:p>
        </w:tc>
      </w:tr>
      <w:tr w:rsidR="008A6CD8" w14:paraId="5358B99F" w14:textId="77777777">
        <w:trPr>
          <w:trHeight w:val="3824"/>
        </w:trPr>
        <w:tc>
          <w:tcPr>
            <w:tcW w:w="436" w:type="pct"/>
            <w:shd w:val="clear" w:color="auto" w:fill="auto"/>
            <w:vAlign w:val="center"/>
          </w:tcPr>
          <w:p w14:paraId="49DA6323" w14:textId="77777777" w:rsidR="008A6CD8" w:rsidRDefault="00477245">
            <w:pPr>
              <w:spacing w:line="360" w:lineRule="auto"/>
              <w:jc w:val="both"/>
              <w:rPr>
                <w:rFonts w:ascii="Book Antiqua" w:hAnsi="Book Antiqua" w:cstheme="majorBidi"/>
                <w:bCs/>
              </w:rPr>
            </w:pPr>
            <w:r>
              <w:rPr>
                <w:rFonts w:ascii="Book Antiqua" w:hAnsi="Book Antiqua" w:cstheme="majorBidi"/>
                <w:bCs/>
              </w:rPr>
              <w:t xml:space="preserve"> Fibroscan by transient elastography</w:t>
            </w:r>
          </w:p>
        </w:tc>
        <w:tc>
          <w:tcPr>
            <w:tcW w:w="1057" w:type="pct"/>
            <w:shd w:val="clear" w:color="auto" w:fill="auto"/>
            <w:noWrap/>
            <w:vAlign w:val="center"/>
          </w:tcPr>
          <w:p w14:paraId="5A1A159F" w14:textId="77777777" w:rsidR="008A6CD8" w:rsidRDefault="00477245">
            <w:pPr>
              <w:spacing w:line="360" w:lineRule="auto"/>
              <w:jc w:val="both"/>
              <w:rPr>
                <w:rFonts w:ascii="Book Antiqua" w:hAnsi="Book Antiqua" w:cstheme="majorBidi"/>
              </w:rPr>
            </w:pPr>
            <w:r>
              <w:rPr>
                <w:rFonts w:ascii="Book Antiqua" w:hAnsi="Book Antiqua" w:cstheme="majorBidi"/>
              </w:rPr>
              <w:t>5.3 kPa</w:t>
            </w:r>
          </w:p>
        </w:tc>
        <w:tc>
          <w:tcPr>
            <w:tcW w:w="765" w:type="pct"/>
            <w:shd w:val="clear" w:color="auto" w:fill="auto"/>
            <w:noWrap/>
            <w:vAlign w:val="center"/>
          </w:tcPr>
          <w:p w14:paraId="35BC61C9" w14:textId="77777777" w:rsidR="008A6CD8" w:rsidRDefault="00477245">
            <w:pPr>
              <w:spacing w:line="360" w:lineRule="auto"/>
              <w:jc w:val="both"/>
              <w:rPr>
                <w:rFonts w:ascii="Book Antiqua" w:hAnsi="Book Antiqua" w:cstheme="majorBidi"/>
              </w:rPr>
            </w:pPr>
            <w:r>
              <w:rPr>
                <w:rFonts w:ascii="Book Antiqua" w:hAnsi="Book Antiqua" w:cstheme="majorBidi"/>
              </w:rPr>
              <w:t>7.4 kPa</w:t>
            </w:r>
          </w:p>
        </w:tc>
        <w:tc>
          <w:tcPr>
            <w:tcW w:w="857" w:type="pct"/>
            <w:shd w:val="clear" w:color="auto" w:fill="auto"/>
            <w:noWrap/>
            <w:vAlign w:val="center"/>
          </w:tcPr>
          <w:p w14:paraId="17001A83" w14:textId="77777777" w:rsidR="008A6CD8" w:rsidRDefault="00477245">
            <w:pPr>
              <w:spacing w:line="360" w:lineRule="auto"/>
              <w:jc w:val="both"/>
              <w:rPr>
                <w:rFonts w:ascii="Book Antiqua" w:hAnsi="Book Antiqua" w:cstheme="majorBidi"/>
              </w:rPr>
            </w:pPr>
            <w:r>
              <w:rPr>
                <w:rFonts w:ascii="Book Antiqua" w:hAnsi="Book Antiqua" w:cstheme="majorBidi"/>
              </w:rPr>
              <w:t>9.1 kPa</w:t>
            </w:r>
          </w:p>
        </w:tc>
        <w:tc>
          <w:tcPr>
            <w:tcW w:w="568" w:type="pct"/>
            <w:shd w:val="clear" w:color="auto" w:fill="auto"/>
            <w:noWrap/>
            <w:vAlign w:val="center"/>
          </w:tcPr>
          <w:p w14:paraId="7A05D9CB" w14:textId="77777777" w:rsidR="008A6CD8" w:rsidRDefault="00477245">
            <w:pPr>
              <w:spacing w:line="360" w:lineRule="auto"/>
              <w:jc w:val="both"/>
              <w:rPr>
                <w:rFonts w:ascii="Book Antiqua" w:hAnsi="Book Antiqua" w:cstheme="majorBidi"/>
              </w:rPr>
            </w:pPr>
            <w:r>
              <w:rPr>
                <w:rFonts w:ascii="Book Antiqua" w:hAnsi="Book Antiqua" w:cstheme="majorBidi"/>
              </w:rPr>
              <w:t>13.2 kPa</w:t>
            </w:r>
          </w:p>
        </w:tc>
        <w:tc>
          <w:tcPr>
            <w:tcW w:w="938" w:type="pct"/>
            <w:shd w:val="clear" w:color="auto" w:fill="auto"/>
            <w:noWrap/>
            <w:vAlign w:val="center"/>
          </w:tcPr>
          <w:p w14:paraId="4D814884" w14:textId="77777777" w:rsidR="008A6CD8" w:rsidRDefault="00477245">
            <w:pPr>
              <w:spacing w:line="360" w:lineRule="auto"/>
              <w:jc w:val="both"/>
              <w:rPr>
                <w:rFonts w:ascii="Book Antiqua" w:hAnsi="Book Antiqua" w:cstheme="majorBidi"/>
              </w:rPr>
            </w:pPr>
            <w:r>
              <w:rPr>
                <w:rFonts w:ascii="Book Antiqua" w:hAnsi="Book Antiqua" w:cstheme="majorBidi"/>
              </w:rPr>
              <w:t>13.2 kPa</w:t>
            </w:r>
          </w:p>
        </w:tc>
        <w:tc>
          <w:tcPr>
            <w:tcW w:w="378" w:type="pct"/>
            <w:shd w:val="clear" w:color="auto" w:fill="auto"/>
            <w:vAlign w:val="center"/>
          </w:tcPr>
          <w:p w14:paraId="73C7CEE2" w14:textId="77777777" w:rsidR="008A6CD8" w:rsidRDefault="00477245">
            <w:pPr>
              <w:spacing w:line="360" w:lineRule="auto"/>
              <w:jc w:val="both"/>
              <w:rPr>
                <w:rFonts w:ascii="Book Antiqua" w:hAnsi="Book Antiqua" w:cstheme="majorBidi"/>
              </w:rPr>
            </w:pPr>
            <w:r>
              <w:rPr>
                <w:rFonts w:ascii="Book Antiqua" w:hAnsi="Book Antiqua" w:cstheme="majorBidi"/>
              </w:rPr>
              <w:t>Platon</w:t>
            </w:r>
            <w:r>
              <w:rPr>
                <w:rFonts w:ascii="Book Antiqua" w:hAnsi="Book Antiqua" w:cstheme="majorBidi"/>
                <w:i/>
              </w:rPr>
              <w:t xml:space="preserve"> et al</w:t>
            </w:r>
            <w:r>
              <w:rPr>
                <w:rFonts w:ascii="Book Antiqua" w:hAnsi="Book Antiqua" w:cstheme="majorBidi"/>
                <w:vertAlign w:val="superscript"/>
              </w:rPr>
              <w:t>[</w:t>
            </w:r>
            <w:r>
              <w:rPr>
                <w:rFonts w:ascii="Book Antiqua" w:hAnsi="Book Antiqua" w:cstheme="majorBidi"/>
                <w:bCs/>
                <w:vertAlign w:val="superscript"/>
              </w:rPr>
              <w:t>32]</w:t>
            </w:r>
          </w:p>
        </w:tc>
      </w:tr>
      <w:tr w:rsidR="008A6CD8" w14:paraId="29F70EF9" w14:textId="77777777">
        <w:trPr>
          <w:trHeight w:val="432"/>
        </w:trPr>
        <w:tc>
          <w:tcPr>
            <w:tcW w:w="436" w:type="pct"/>
            <w:shd w:val="clear" w:color="auto" w:fill="auto"/>
            <w:vAlign w:val="center"/>
          </w:tcPr>
          <w:p w14:paraId="0DD5FCFB" w14:textId="77777777" w:rsidR="008A6CD8" w:rsidRDefault="00477245">
            <w:pPr>
              <w:spacing w:line="360" w:lineRule="auto"/>
              <w:jc w:val="both"/>
              <w:rPr>
                <w:rFonts w:ascii="Book Antiqua" w:hAnsi="Book Antiqua" w:cstheme="majorBidi"/>
                <w:bCs/>
              </w:rPr>
            </w:pPr>
            <w:r>
              <w:rPr>
                <w:rFonts w:ascii="Book Antiqua" w:hAnsi="Book Antiqua" w:cstheme="majorBidi"/>
                <w:bCs/>
              </w:rPr>
              <w:t>Fibro test</w:t>
            </w:r>
          </w:p>
        </w:tc>
        <w:tc>
          <w:tcPr>
            <w:tcW w:w="1057" w:type="pct"/>
            <w:shd w:val="clear" w:color="auto" w:fill="auto"/>
            <w:noWrap/>
            <w:vAlign w:val="center"/>
          </w:tcPr>
          <w:p w14:paraId="6556D218" w14:textId="77777777" w:rsidR="008A6CD8" w:rsidRDefault="00477245">
            <w:pPr>
              <w:spacing w:line="360" w:lineRule="auto"/>
              <w:jc w:val="both"/>
              <w:rPr>
                <w:rFonts w:ascii="Book Antiqua" w:hAnsi="Book Antiqua" w:cstheme="majorBidi"/>
              </w:rPr>
            </w:pPr>
            <w:r>
              <w:rPr>
                <w:rFonts w:ascii="Book Antiqua" w:hAnsi="Book Antiqua" w:cstheme="majorBidi"/>
              </w:rPr>
              <w:t>&lt; 0.48</w:t>
            </w:r>
          </w:p>
        </w:tc>
        <w:tc>
          <w:tcPr>
            <w:tcW w:w="765" w:type="pct"/>
            <w:shd w:val="clear" w:color="auto" w:fill="auto"/>
            <w:noWrap/>
            <w:vAlign w:val="center"/>
          </w:tcPr>
          <w:p w14:paraId="4EC6C34D" w14:textId="77777777" w:rsidR="008A6CD8" w:rsidRDefault="00477245">
            <w:pPr>
              <w:spacing w:line="360" w:lineRule="auto"/>
              <w:jc w:val="both"/>
              <w:rPr>
                <w:rFonts w:ascii="Book Antiqua" w:hAnsi="Book Antiqua" w:cstheme="majorBidi"/>
              </w:rPr>
            </w:pPr>
            <w:r>
              <w:rPr>
                <w:rFonts w:ascii="Book Antiqua" w:hAnsi="Book Antiqua" w:cstheme="majorBidi"/>
              </w:rPr>
              <w:t>0.48 - 0.58</w:t>
            </w:r>
          </w:p>
        </w:tc>
        <w:tc>
          <w:tcPr>
            <w:tcW w:w="857" w:type="pct"/>
            <w:shd w:val="clear" w:color="auto" w:fill="auto"/>
            <w:noWrap/>
            <w:vAlign w:val="center"/>
          </w:tcPr>
          <w:p w14:paraId="3A3F3FFB" w14:textId="77777777" w:rsidR="008A6CD8" w:rsidRDefault="00477245">
            <w:pPr>
              <w:spacing w:line="360" w:lineRule="auto"/>
              <w:jc w:val="both"/>
              <w:rPr>
                <w:rFonts w:ascii="Book Antiqua" w:hAnsi="Book Antiqua" w:cstheme="majorBidi"/>
              </w:rPr>
            </w:pPr>
            <w:r>
              <w:rPr>
                <w:rFonts w:ascii="Book Antiqua" w:hAnsi="Book Antiqua" w:cstheme="majorBidi"/>
              </w:rPr>
              <w:t>&gt; 0.58 but &lt; 0.74</w:t>
            </w:r>
          </w:p>
        </w:tc>
        <w:tc>
          <w:tcPr>
            <w:tcW w:w="568" w:type="pct"/>
            <w:shd w:val="clear" w:color="auto" w:fill="auto"/>
            <w:noWrap/>
            <w:vAlign w:val="center"/>
          </w:tcPr>
          <w:p w14:paraId="27866650" w14:textId="77777777" w:rsidR="008A6CD8" w:rsidRDefault="00477245">
            <w:pPr>
              <w:spacing w:line="360" w:lineRule="auto"/>
              <w:jc w:val="both"/>
              <w:rPr>
                <w:rFonts w:ascii="Book Antiqua" w:hAnsi="Book Antiqua" w:cstheme="majorBidi"/>
              </w:rPr>
            </w:pPr>
            <w:r>
              <w:rPr>
                <w:rFonts w:ascii="Book Antiqua" w:hAnsi="Book Antiqua" w:cstheme="majorBidi"/>
              </w:rPr>
              <w:t>&gt; 0.74</w:t>
            </w:r>
          </w:p>
        </w:tc>
        <w:tc>
          <w:tcPr>
            <w:tcW w:w="938" w:type="pct"/>
            <w:shd w:val="clear" w:color="auto" w:fill="auto"/>
            <w:noWrap/>
            <w:vAlign w:val="center"/>
          </w:tcPr>
          <w:p w14:paraId="6A0FD4A4" w14:textId="77777777" w:rsidR="008A6CD8" w:rsidRDefault="00477245">
            <w:pPr>
              <w:spacing w:line="360" w:lineRule="auto"/>
              <w:jc w:val="both"/>
              <w:rPr>
                <w:rFonts w:ascii="Book Antiqua" w:hAnsi="Book Antiqua" w:cstheme="majorBidi"/>
              </w:rPr>
            </w:pPr>
            <w:r>
              <w:rPr>
                <w:rFonts w:ascii="Book Antiqua" w:hAnsi="Book Antiqua" w:cstheme="majorBidi"/>
              </w:rPr>
              <w:t>&gt; 0.74</w:t>
            </w:r>
          </w:p>
        </w:tc>
        <w:tc>
          <w:tcPr>
            <w:tcW w:w="378" w:type="pct"/>
            <w:shd w:val="clear" w:color="auto" w:fill="auto"/>
            <w:vAlign w:val="center"/>
          </w:tcPr>
          <w:p w14:paraId="7C5D7FA6" w14:textId="77777777" w:rsidR="008A6CD8" w:rsidRDefault="00477245">
            <w:pPr>
              <w:spacing w:line="360" w:lineRule="auto"/>
              <w:jc w:val="both"/>
              <w:rPr>
                <w:rFonts w:ascii="Book Antiqua" w:hAnsi="Book Antiqua" w:cstheme="majorBidi"/>
              </w:rPr>
            </w:pPr>
            <w:r>
              <w:rPr>
                <w:rFonts w:ascii="Book Antiqua" w:hAnsi="Book Antiqua" w:cstheme="majorBidi"/>
              </w:rPr>
              <w:t>Laboratory Corporation of America</w:t>
            </w:r>
            <w:r>
              <w:rPr>
                <w:rFonts w:ascii="Book Antiqua" w:hAnsi="Book Antiqua" w:cstheme="majorBidi"/>
                <w:vertAlign w:val="superscript"/>
              </w:rPr>
              <w:t>[</w:t>
            </w:r>
            <w:r>
              <w:rPr>
                <w:rFonts w:ascii="Book Antiqua" w:hAnsi="Book Antiqua" w:cstheme="majorBidi"/>
                <w:bCs/>
                <w:vertAlign w:val="superscript"/>
              </w:rPr>
              <w:t>33]</w:t>
            </w:r>
          </w:p>
        </w:tc>
      </w:tr>
      <w:tr w:rsidR="008A6CD8" w14:paraId="43110053" w14:textId="77777777">
        <w:trPr>
          <w:trHeight w:val="432"/>
        </w:trPr>
        <w:tc>
          <w:tcPr>
            <w:tcW w:w="436" w:type="pct"/>
            <w:shd w:val="clear" w:color="auto" w:fill="auto"/>
            <w:vAlign w:val="center"/>
          </w:tcPr>
          <w:p w14:paraId="0606301E" w14:textId="77777777" w:rsidR="008A6CD8" w:rsidRDefault="00477245">
            <w:pPr>
              <w:spacing w:line="360" w:lineRule="auto"/>
              <w:jc w:val="both"/>
              <w:rPr>
                <w:rFonts w:ascii="Book Antiqua" w:hAnsi="Book Antiqua" w:cstheme="majorBidi"/>
                <w:bCs/>
              </w:rPr>
            </w:pPr>
            <w:r>
              <w:rPr>
                <w:rFonts w:ascii="Book Antiqua" w:hAnsi="Book Antiqua" w:cstheme="majorBidi"/>
                <w:bCs/>
              </w:rPr>
              <w:lastRenderedPageBreak/>
              <w:t>Enhanced liver fibrosis test</w:t>
            </w:r>
          </w:p>
        </w:tc>
        <w:tc>
          <w:tcPr>
            <w:tcW w:w="1057" w:type="pct"/>
            <w:shd w:val="clear" w:color="auto" w:fill="auto"/>
            <w:noWrap/>
            <w:vAlign w:val="center"/>
          </w:tcPr>
          <w:p w14:paraId="36709137" w14:textId="77777777" w:rsidR="008A6CD8" w:rsidRDefault="00477245">
            <w:pPr>
              <w:spacing w:line="360" w:lineRule="auto"/>
              <w:jc w:val="both"/>
              <w:rPr>
                <w:rFonts w:ascii="Book Antiqua" w:hAnsi="Book Antiqua" w:cstheme="majorBidi"/>
              </w:rPr>
            </w:pPr>
            <w:r>
              <w:rPr>
                <w:rFonts w:ascii="Book Antiqua" w:hAnsi="Book Antiqua" w:cstheme="majorBidi"/>
              </w:rPr>
              <w:t>&lt; 7.7</w:t>
            </w:r>
          </w:p>
        </w:tc>
        <w:tc>
          <w:tcPr>
            <w:tcW w:w="765" w:type="pct"/>
            <w:shd w:val="clear" w:color="auto" w:fill="auto"/>
            <w:noWrap/>
            <w:vAlign w:val="center"/>
          </w:tcPr>
          <w:p w14:paraId="177FCC2A" w14:textId="77777777" w:rsidR="008A6CD8" w:rsidRDefault="00477245">
            <w:pPr>
              <w:spacing w:line="360" w:lineRule="auto"/>
              <w:jc w:val="both"/>
              <w:rPr>
                <w:rFonts w:ascii="Book Antiqua" w:hAnsi="Book Antiqua" w:cstheme="majorBidi"/>
              </w:rPr>
            </w:pPr>
            <w:r>
              <w:rPr>
                <w:rFonts w:ascii="Book Antiqua" w:hAnsi="Book Antiqua" w:cstheme="majorBidi"/>
              </w:rPr>
              <w:t>7.7</w:t>
            </w:r>
          </w:p>
        </w:tc>
        <w:tc>
          <w:tcPr>
            <w:tcW w:w="857" w:type="pct"/>
            <w:shd w:val="clear" w:color="auto" w:fill="auto"/>
            <w:noWrap/>
            <w:vAlign w:val="center"/>
          </w:tcPr>
          <w:p w14:paraId="1CC8314A" w14:textId="77777777" w:rsidR="008A6CD8" w:rsidRDefault="00477245">
            <w:pPr>
              <w:spacing w:line="360" w:lineRule="auto"/>
              <w:jc w:val="both"/>
              <w:rPr>
                <w:rFonts w:ascii="Book Antiqua" w:hAnsi="Book Antiqua" w:cstheme="majorBidi"/>
              </w:rPr>
            </w:pPr>
            <w:r>
              <w:rPr>
                <w:rFonts w:ascii="Book Antiqua" w:hAnsi="Book Antiqua" w:cstheme="majorBidi"/>
              </w:rPr>
              <w:t>9.8</w:t>
            </w:r>
          </w:p>
        </w:tc>
        <w:tc>
          <w:tcPr>
            <w:tcW w:w="568" w:type="pct"/>
            <w:shd w:val="clear" w:color="auto" w:fill="auto"/>
            <w:noWrap/>
            <w:vAlign w:val="center"/>
          </w:tcPr>
          <w:p w14:paraId="4717A90B" w14:textId="77777777" w:rsidR="008A6CD8" w:rsidRDefault="00477245">
            <w:pPr>
              <w:spacing w:line="360" w:lineRule="auto"/>
              <w:jc w:val="both"/>
              <w:rPr>
                <w:rFonts w:ascii="Book Antiqua" w:hAnsi="Book Antiqua" w:cstheme="majorBidi"/>
              </w:rPr>
            </w:pPr>
            <w:r>
              <w:rPr>
                <w:rFonts w:ascii="Book Antiqua" w:hAnsi="Book Antiqua" w:cstheme="majorBidi"/>
              </w:rPr>
              <w:t>11.3</w:t>
            </w:r>
          </w:p>
        </w:tc>
        <w:tc>
          <w:tcPr>
            <w:tcW w:w="938" w:type="pct"/>
            <w:shd w:val="clear" w:color="auto" w:fill="auto"/>
            <w:noWrap/>
            <w:vAlign w:val="center"/>
          </w:tcPr>
          <w:p w14:paraId="71BCD792" w14:textId="77777777" w:rsidR="008A6CD8" w:rsidRDefault="00477245">
            <w:pPr>
              <w:spacing w:line="360" w:lineRule="auto"/>
              <w:jc w:val="both"/>
              <w:rPr>
                <w:rFonts w:ascii="Book Antiqua" w:hAnsi="Book Antiqua" w:cstheme="majorBidi"/>
              </w:rPr>
            </w:pPr>
            <w:r>
              <w:rPr>
                <w:rFonts w:ascii="Book Antiqua" w:hAnsi="Book Antiqua" w:cstheme="majorBidi"/>
              </w:rPr>
              <w:t>11.3</w:t>
            </w:r>
          </w:p>
        </w:tc>
        <w:tc>
          <w:tcPr>
            <w:tcW w:w="378" w:type="pct"/>
            <w:shd w:val="clear" w:color="auto" w:fill="auto"/>
            <w:vAlign w:val="center"/>
          </w:tcPr>
          <w:p w14:paraId="74A6EE4D" w14:textId="77777777" w:rsidR="008A6CD8" w:rsidRDefault="00477245">
            <w:pPr>
              <w:spacing w:line="360" w:lineRule="auto"/>
              <w:jc w:val="both"/>
              <w:rPr>
                <w:rFonts w:ascii="Book Antiqua" w:hAnsi="Book Antiqua" w:cstheme="majorBidi"/>
              </w:rPr>
            </w:pPr>
            <w:r>
              <w:rPr>
                <w:rFonts w:ascii="Book Antiqua" w:hAnsi="Book Antiqua" w:cstheme="majorBidi"/>
              </w:rPr>
              <w:t>Lichtinghagen</w:t>
            </w:r>
            <w:r>
              <w:rPr>
                <w:rFonts w:ascii="Book Antiqua" w:hAnsi="Book Antiqua" w:cstheme="majorBidi"/>
                <w:i/>
              </w:rPr>
              <w:t xml:space="preserve"> et al</w:t>
            </w:r>
            <w:r>
              <w:rPr>
                <w:rFonts w:ascii="Book Antiqua" w:hAnsi="Book Antiqua" w:cstheme="majorBidi"/>
                <w:vertAlign w:val="superscript"/>
              </w:rPr>
              <w:t>[</w:t>
            </w:r>
            <w:r>
              <w:rPr>
                <w:rFonts w:ascii="Book Antiqua" w:hAnsi="Book Antiqua" w:cstheme="majorBidi"/>
                <w:bCs/>
                <w:vertAlign w:val="superscript"/>
              </w:rPr>
              <w:t>34]</w:t>
            </w:r>
          </w:p>
        </w:tc>
      </w:tr>
      <w:tr w:rsidR="008A6CD8" w14:paraId="7250513E" w14:textId="77777777">
        <w:trPr>
          <w:trHeight w:val="4315"/>
        </w:trPr>
        <w:tc>
          <w:tcPr>
            <w:tcW w:w="436" w:type="pct"/>
            <w:shd w:val="clear" w:color="auto" w:fill="auto"/>
            <w:vAlign w:val="center"/>
          </w:tcPr>
          <w:p w14:paraId="7E464FD5" w14:textId="77777777" w:rsidR="008A6CD8" w:rsidRDefault="00477245">
            <w:pPr>
              <w:spacing w:line="360" w:lineRule="auto"/>
              <w:jc w:val="both"/>
              <w:rPr>
                <w:rFonts w:ascii="Book Antiqua" w:hAnsi="Book Antiqua" w:cstheme="majorBidi"/>
                <w:bCs/>
              </w:rPr>
            </w:pPr>
            <w:r>
              <w:rPr>
                <w:rFonts w:ascii="Book Antiqua" w:hAnsi="Book Antiqua" w:cstheme="majorBidi"/>
                <w:bCs/>
              </w:rPr>
              <w:t xml:space="preserve">Aspartate aminotransferase to platelet ratio index </w:t>
            </w:r>
          </w:p>
        </w:tc>
        <w:tc>
          <w:tcPr>
            <w:tcW w:w="1057" w:type="pct"/>
            <w:shd w:val="clear" w:color="auto" w:fill="auto"/>
            <w:noWrap/>
            <w:vAlign w:val="center"/>
          </w:tcPr>
          <w:p w14:paraId="6A719CDB" w14:textId="77777777" w:rsidR="008A6CD8" w:rsidRDefault="00477245">
            <w:pPr>
              <w:spacing w:line="360" w:lineRule="auto"/>
              <w:jc w:val="both"/>
              <w:rPr>
                <w:rFonts w:ascii="Book Antiqua" w:hAnsi="Book Antiqua" w:cstheme="majorBidi"/>
              </w:rPr>
            </w:pPr>
            <w:r>
              <w:rPr>
                <w:rFonts w:ascii="Book Antiqua" w:hAnsi="Book Antiqua" w:cstheme="majorBidi"/>
              </w:rPr>
              <w:t>&lt; 0.77</w:t>
            </w:r>
          </w:p>
        </w:tc>
        <w:tc>
          <w:tcPr>
            <w:tcW w:w="765" w:type="pct"/>
            <w:shd w:val="clear" w:color="auto" w:fill="auto"/>
            <w:noWrap/>
            <w:vAlign w:val="center"/>
          </w:tcPr>
          <w:p w14:paraId="239B6EC7" w14:textId="77777777" w:rsidR="008A6CD8" w:rsidRDefault="00477245">
            <w:pPr>
              <w:spacing w:line="360" w:lineRule="auto"/>
              <w:jc w:val="both"/>
              <w:rPr>
                <w:rFonts w:ascii="Book Antiqua" w:hAnsi="Book Antiqua" w:cstheme="majorBidi"/>
              </w:rPr>
            </w:pPr>
            <w:r>
              <w:rPr>
                <w:rFonts w:ascii="Book Antiqua" w:hAnsi="Book Antiqua" w:cstheme="majorBidi"/>
              </w:rPr>
              <w:t>0.77</w:t>
            </w:r>
          </w:p>
        </w:tc>
        <w:tc>
          <w:tcPr>
            <w:tcW w:w="857" w:type="pct"/>
            <w:shd w:val="clear" w:color="auto" w:fill="auto"/>
            <w:noWrap/>
            <w:vAlign w:val="center"/>
          </w:tcPr>
          <w:p w14:paraId="1CF58D61" w14:textId="77777777" w:rsidR="008A6CD8" w:rsidRDefault="00477245">
            <w:pPr>
              <w:spacing w:line="360" w:lineRule="auto"/>
              <w:jc w:val="both"/>
              <w:rPr>
                <w:rFonts w:ascii="Book Antiqua" w:hAnsi="Book Antiqua" w:cstheme="majorBidi"/>
              </w:rPr>
            </w:pPr>
            <w:r>
              <w:rPr>
                <w:rFonts w:ascii="Book Antiqua" w:hAnsi="Book Antiqua" w:cstheme="majorBidi"/>
              </w:rPr>
              <w:t>0.77</w:t>
            </w:r>
          </w:p>
        </w:tc>
        <w:tc>
          <w:tcPr>
            <w:tcW w:w="568" w:type="pct"/>
            <w:shd w:val="clear" w:color="auto" w:fill="auto"/>
            <w:noWrap/>
            <w:vAlign w:val="center"/>
          </w:tcPr>
          <w:p w14:paraId="133D87DA" w14:textId="77777777" w:rsidR="008A6CD8" w:rsidRDefault="00477245">
            <w:pPr>
              <w:spacing w:line="360" w:lineRule="auto"/>
              <w:jc w:val="both"/>
              <w:rPr>
                <w:rFonts w:ascii="Book Antiqua" w:hAnsi="Book Antiqua" w:cstheme="majorBidi"/>
              </w:rPr>
            </w:pPr>
            <w:r>
              <w:rPr>
                <w:rFonts w:ascii="Book Antiqua" w:hAnsi="Book Antiqua" w:cstheme="majorBidi"/>
              </w:rPr>
              <w:t>≥ 0.83</w:t>
            </w:r>
          </w:p>
        </w:tc>
        <w:tc>
          <w:tcPr>
            <w:tcW w:w="938" w:type="pct"/>
            <w:shd w:val="clear" w:color="auto" w:fill="auto"/>
            <w:noWrap/>
            <w:vAlign w:val="center"/>
          </w:tcPr>
          <w:p w14:paraId="3A915FDB" w14:textId="77777777" w:rsidR="008A6CD8" w:rsidRDefault="00477245">
            <w:pPr>
              <w:spacing w:line="360" w:lineRule="auto"/>
              <w:jc w:val="both"/>
              <w:rPr>
                <w:rFonts w:ascii="Book Antiqua" w:hAnsi="Book Antiqua" w:cstheme="majorBidi"/>
              </w:rPr>
            </w:pPr>
            <w:r>
              <w:rPr>
                <w:rFonts w:ascii="Book Antiqua" w:hAnsi="Book Antiqua" w:cstheme="majorBidi"/>
              </w:rPr>
              <w:t>≥ 0.83</w:t>
            </w:r>
          </w:p>
        </w:tc>
        <w:tc>
          <w:tcPr>
            <w:tcW w:w="378" w:type="pct"/>
            <w:shd w:val="clear" w:color="auto" w:fill="auto"/>
            <w:vAlign w:val="center"/>
          </w:tcPr>
          <w:p w14:paraId="76172E18" w14:textId="77777777" w:rsidR="008A6CD8" w:rsidRDefault="00477245">
            <w:pPr>
              <w:spacing w:line="360" w:lineRule="auto"/>
              <w:jc w:val="both"/>
              <w:rPr>
                <w:rFonts w:ascii="Book Antiqua" w:hAnsi="Book Antiqua" w:cstheme="majorBidi"/>
              </w:rPr>
            </w:pPr>
            <w:r>
              <w:rPr>
                <w:rFonts w:ascii="Book Antiqua" w:hAnsi="Book Antiqua" w:cstheme="majorBidi"/>
              </w:rPr>
              <w:t>Lin</w:t>
            </w:r>
            <w:r>
              <w:rPr>
                <w:rFonts w:ascii="Book Antiqua" w:hAnsi="Book Antiqua" w:cstheme="majorBidi"/>
                <w:i/>
              </w:rPr>
              <w:t xml:space="preserve"> et al</w:t>
            </w:r>
            <w:r>
              <w:rPr>
                <w:rFonts w:ascii="Book Antiqua" w:hAnsi="Book Antiqua" w:cstheme="majorBidi"/>
                <w:vertAlign w:val="superscript"/>
              </w:rPr>
              <w:t>[</w:t>
            </w:r>
            <w:r>
              <w:rPr>
                <w:rFonts w:ascii="Book Antiqua" w:hAnsi="Book Antiqua" w:cstheme="majorBidi"/>
                <w:bCs/>
                <w:vertAlign w:val="superscript"/>
              </w:rPr>
              <w:t>35]</w:t>
            </w:r>
          </w:p>
        </w:tc>
      </w:tr>
      <w:tr w:rsidR="008A6CD8" w14:paraId="1DA37495" w14:textId="77777777">
        <w:trPr>
          <w:trHeight w:val="3257"/>
        </w:trPr>
        <w:tc>
          <w:tcPr>
            <w:tcW w:w="436" w:type="pct"/>
            <w:shd w:val="clear" w:color="auto" w:fill="auto"/>
            <w:vAlign w:val="center"/>
          </w:tcPr>
          <w:p w14:paraId="0E49A18D" w14:textId="77777777" w:rsidR="008A6CD8" w:rsidRDefault="00477245">
            <w:pPr>
              <w:spacing w:line="360" w:lineRule="auto"/>
              <w:jc w:val="both"/>
              <w:rPr>
                <w:rFonts w:ascii="Book Antiqua" w:hAnsi="Book Antiqua" w:cstheme="majorBidi"/>
                <w:bCs/>
              </w:rPr>
            </w:pPr>
            <w:r>
              <w:rPr>
                <w:rFonts w:ascii="Book Antiqua" w:hAnsi="Book Antiqua" w:cstheme="majorBidi"/>
                <w:bCs/>
              </w:rPr>
              <w:t>Liver nodularity and/or splenomegaly</w:t>
            </w:r>
          </w:p>
        </w:tc>
        <w:tc>
          <w:tcPr>
            <w:tcW w:w="1057" w:type="pct"/>
            <w:shd w:val="clear" w:color="auto" w:fill="auto"/>
            <w:noWrap/>
            <w:vAlign w:val="center"/>
          </w:tcPr>
          <w:p w14:paraId="39C75299" w14:textId="77777777" w:rsidR="008A6CD8" w:rsidRDefault="00477245">
            <w:pPr>
              <w:spacing w:line="360" w:lineRule="auto"/>
              <w:jc w:val="both"/>
              <w:rPr>
                <w:rFonts w:ascii="Book Antiqua" w:hAnsi="Book Antiqua" w:cstheme="majorBidi"/>
              </w:rPr>
            </w:pPr>
            <w:r>
              <w:rPr>
                <w:rFonts w:ascii="Book Antiqua" w:hAnsi="Book Antiqua" w:cstheme="majorBidi"/>
              </w:rPr>
              <w:t>Negative</w:t>
            </w:r>
          </w:p>
        </w:tc>
        <w:tc>
          <w:tcPr>
            <w:tcW w:w="765" w:type="pct"/>
            <w:shd w:val="clear" w:color="auto" w:fill="auto"/>
            <w:noWrap/>
            <w:vAlign w:val="center"/>
          </w:tcPr>
          <w:p w14:paraId="2EB89026" w14:textId="77777777" w:rsidR="008A6CD8" w:rsidRDefault="00477245">
            <w:pPr>
              <w:spacing w:line="360" w:lineRule="auto"/>
              <w:jc w:val="both"/>
              <w:rPr>
                <w:rFonts w:ascii="Book Antiqua" w:hAnsi="Book Antiqua" w:cstheme="majorBidi"/>
              </w:rPr>
            </w:pPr>
            <w:r>
              <w:rPr>
                <w:rFonts w:ascii="Book Antiqua" w:hAnsi="Book Antiqua" w:cstheme="majorBidi"/>
              </w:rPr>
              <w:t>Negative</w:t>
            </w:r>
          </w:p>
        </w:tc>
        <w:tc>
          <w:tcPr>
            <w:tcW w:w="857" w:type="pct"/>
            <w:shd w:val="clear" w:color="auto" w:fill="auto"/>
            <w:noWrap/>
            <w:vAlign w:val="center"/>
          </w:tcPr>
          <w:p w14:paraId="797ED01A" w14:textId="77777777" w:rsidR="008A6CD8" w:rsidRDefault="00477245">
            <w:pPr>
              <w:spacing w:line="360" w:lineRule="auto"/>
              <w:jc w:val="both"/>
              <w:rPr>
                <w:rFonts w:ascii="Book Antiqua" w:hAnsi="Book Antiqua" w:cstheme="majorBidi"/>
              </w:rPr>
            </w:pPr>
            <w:r>
              <w:rPr>
                <w:rFonts w:ascii="Book Antiqua" w:hAnsi="Book Antiqua" w:cstheme="majorBidi"/>
              </w:rPr>
              <w:t>Negative</w:t>
            </w:r>
          </w:p>
        </w:tc>
        <w:tc>
          <w:tcPr>
            <w:tcW w:w="568" w:type="pct"/>
            <w:shd w:val="clear" w:color="auto" w:fill="auto"/>
            <w:noWrap/>
            <w:vAlign w:val="center"/>
          </w:tcPr>
          <w:p w14:paraId="11026E88"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938" w:type="pct"/>
            <w:shd w:val="clear" w:color="auto" w:fill="auto"/>
            <w:noWrap/>
            <w:vAlign w:val="center"/>
          </w:tcPr>
          <w:p w14:paraId="25571F44" w14:textId="77777777" w:rsidR="008A6CD8" w:rsidRDefault="00477245">
            <w:pPr>
              <w:spacing w:line="360" w:lineRule="auto"/>
              <w:jc w:val="both"/>
              <w:rPr>
                <w:rFonts w:ascii="Book Antiqua" w:hAnsi="Book Antiqua" w:cstheme="majorBidi"/>
              </w:rPr>
            </w:pPr>
            <w:r>
              <w:rPr>
                <w:rFonts w:ascii="Book Antiqua" w:hAnsi="Book Antiqua" w:cstheme="majorBidi"/>
              </w:rPr>
              <w:t>Positive</w:t>
            </w:r>
          </w:p>
        </w:tc>
        <w:tc>
          <w:tcPr>
            <w:tcW w:w="378" w:type="pct"/>
            <w:vMerge w:val="restart"/>
            <w:shd w:val="clear" w:color="auto" w:fill="auto"/>
            <w:vAlign w:val="center"/>
          </w:tcPr>
          <w:p w14:paraId="1A572E99" w14:textId="77777777" w:rsidR="008A6CD8" w:rsidRDefault="00477245">
            <w:pPr>
              <w:spacing w:line="360" w:lineRule="auto"/>
              <w:jc w:val="both"/>
              <w:rPr>
                <w:rFonts w:ascii="Book Antiqua" w:hAnsi="Book Antiqua" w:cstheme="majorBidi"/>
              </w:rPr>
            </w:pPr>
            <w:r>
              <w:rPr>
                <w:rFonts w:ascii="Book Antiqua" w:hAnsi="Book Antiqua" w:cstheme="majorBidi"/>
              </w:rPr>
              <w:t>AASLD and IDSA</w:t>
            </w:r>
            <w:r>
              <w:rPr>
                <w:rFonts w:ascii="Book Antiqua" w:hAnsi="Book Antiqua" w:cstheme="majorBidi"/>
                <w:vertAlign w:val="superscript"/>
              </w:rPr>
              <w:t>[</w:t>
            </w:r>
            <w:r>
              <w:rPr>
                <w:rFonts w:ascii="Book Antiqua" w:hAnsi="Book Antiqua" w:cstheme="majorBidi"/>
                <w:bCs/>
                <w:vertAlign w:val="superscript"/>
              </w:rPr>
              <w:t>30]</w:t>
            </w:r>
          </w:p>
        </w:tc>
      </w:tr>
      <w:tr w:rsidR="008A6CD8" w14:paraId="3D7CA3D6" w14:textId="77777777">
        <w:trPr>
          <w:trHeight w:val="432"/>
        </w:trPr>
        <w:tc>
          <w:tcPr>
            <w:tcW w:w="436" w:type="pct"/>
            <w:shd w:val="clear" w:color="auto" w:fill="auto"/>
            <w:vAlign w:val="center"/>
          </w:tcPr>
          <w:p w14:paraId="22BC392B" w14:textId="77777777" w:rsidR="008A6CD8" w:rsidRDefault="00477245">
            <w:pPr>
              <w:spacing w:line="360" w:lineRule="auto"/>
              <w:jc w:val="both"/>
              <w:rPr>
                <w:rFonts w:ascii="Book Antiqua" w:hAnsi="Book Antiqua" w:cstheme="majorBidi"/>
                <w:bCs/>
              </w:rPr>
            </w:pPr>
            <w:r>
              <w:rPr>
                <w:rFonts w:ascii="Book Antiqua" w:hAnsi="Book Antiqua" w:cstheme="majorBidi"/>
                <w:bCs/>
              </w:rPr>
              <w:lastRenderedPageBreak/>
              <w:t>Prior liver biopsy</w:t>
            </w:r>
          </w:p>
        </w:tc>
        <w:tc>
          <w:tcPr>
            <w:tcW w:w="1057" w:type="pct"/>
            <w:shd w:val="clear" w:color="auto" w:fill="auto"/>
            <w:noWrap/>
            <w:vAlign w:val="center"/>
          </w:tcPr>
          <w:p w14:paraId="29E9F393"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F0: </w:t>
            </w:r>
            <w:r>
              <w:rPr>
                <w:rFonts w:ascii="Book Antiqua" w:hAnsi="Book Antiqua" w:cstheme="majorBidi" w:hint="eastAsia"/>
                <w:lang w:eastAsia="zh-CN"/>
              </w:rPr>
              <w:t>N</w:t>
            </w:r>
            <w:r>
              <w:rPr>
                <w:rFonts w:ascii="Book Antiqua" w:hAnsi="Book Antiqua" w:cstheme="majorBidi"/>
              </w:rPr>
              <w:t>o fibrosis</w:t>
            </w:r>
            <w:r>
              <w:rPr>
                <w:rFonts w:ascii="Book Antiqua" w:hAnsi="Book Antiqua" w:cstheme="majorBidi" w:hint="eastAsia"/>
                <w:lang w:eastAsia="zh-CN"/>
              </w:rPr>
              <w:t xml:space="preserve">; </w:t>
            </w:r>
            <w:r>
              <w:rPr>
                <w:rFonts w:ascii="Book Antiqua" w:hAnsi="Book Antiqua" w:cstheme="majorBidi"/>
              </w:rPr>
              <w:t xml:space="preserve">F1: </w:t>
            </w:r>
            <w:r>
              <w:rPr>
                <w:rFonts w:ascii="Book Antiqua" w:hAnsi="Book Antiqua" w:cstheme="majorBidi" w:hint="eastAsia"/>
                <w:lang w:eastAsia="zh-CN"/>
              </w:rPr>
              <w:t>P</w:t>
            </w:r>
            <w:r>
              <w:rPr>
                <w:rFonts w:ascii="Book Antiqua" w:hAnsi="Book Antiqua" w:cstheme="majorBidi"/>
              </w:rPr>
              <w:t>ortal fibrosis without septa</w:t>
            </w:r>
          </w:p>
          <w:p w14:paraId="0F3216C9" w14:textId="77777777" w:rsidR="008A6CD8" w:rsidRDefault="008A6CD8">
            <w:pPr>
              <w:spacing w:line="360" w:lineRule="auto"/>
              <w:jc w:val="both"/>
              <w:rPr>
                <w:rFonts w:ascii="Book Antiqua" w:hAnsi="Book Antiqua" w:cstheme="majorBidi"/>
              </w:rPr>
            </w:pPr>
          </w:p>
        </w:tc>
        <w:tc>
          <w:tcPr>
            <w:tcW w:w="765" w:type="pct"/>
            <w:shd w:val="clear" w:color="auto" w:fill="auto"/>
            <w:noWrap/>
            <w:vAlign w:val="center"/>
          </w:tcPr>
          <w:p w14:paraId="0FA0E255"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F2: </w:t>
            </w:r>
            <w:r>
              <w:rPr>
                <w:rFonts w:ascii="Book Antiqua" w:hAnsi="Book Antiqua" w:cstheme="majorBidi" w:hint="eastAsia"/>
                <w:lang w:eastAsia="zh-CN"/>
              </w:rPr>
              <w:t>P</w:t>
            </w:r>
            <w:r>
              <w:rPr>
                <w:rFonts w:ascii="Book Antiqua" w:hAnsi="Book Antiqua" w:cstheme="majorBidi"/>
              </w:rPr>
              <w:t xml:space="preserve">ortal </w:t>
            </w:r>
            <w:r>
              <w:rPr>
                <w:rFonts w:ascii="Book Antiqua" w:hAnsi="Book Antiqua" w:cstheme="majorBidi" w:hint="eastAsia"/>
                <w:lang w:eastAsia="zh-CN"/>
              </w:rPr>
              <w:t>F</w:t>
            </w:r>
            <w:r>
              <w:rPr>
                <w:rFonts w:ascii="Book Antiqua" w:hAnsi="Book Antiqua" w:cstheme="majorBidi"/>
              </w:rPr>
              <w:t>ibrosis with few septa</w:t>
            </w:r>
          </w:p>
          <w:p w14:paraId="2A178B08" w14:textId="77777777" w:rsidR="008A6CD8" w:rsidRDefault="008A6CD8">
            <w:pPr>
              <w:spacing w:line="360" w:lineRule="auto"/>
              <w:jc w:val="both"/>
              <w:rPr>
                <w:rFonts w:ascii="Book Antiqua" w:hAnsi="Book Antiqua" w:cstheme="majorBidi"/>
              </w:rPr>
            </w:pPr>
          </w:p>
        </w:tc>
        <w:tc>
          <w:tcPr>
            <w:tcW w:w="857" w:type="pct"/>
            <w:shd w:val="clear" w:color="auto" w:fill="auto"/>
            <w:noWrap/>
            <w:vAlign w:val="center"/>
          </w:tcPr>
          <w:p w14:paraId="643D7591"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F3: </w:t>
            </w:r>
            <w:r>
              <w:rPr>
                <w:rFonts w:ascii="Book Antiqua" w:hAnsi="Book Antiqua" w:cstheme="majorBidi" w:hint="eastAsia"/>
                <w:lang w:eastAsia="zh-CN"/>
              </w:rPr>
              <w:t>N</w:t>
            </w:r>
            <w:r>
              <w:rPr>
                <w:rFonts w:ascii="Book Antiqua" w:hAnsi="Book Antiqua" w:cstheme="majorBidi"/>
              </w:rPr>
              <w:t xml:space="preserve">umerous </w:t>
            </w:r>
            <w:r>
              <w:rPr>
                <w:rFonts w:ascii="Book Antiqua" w:hAnsi="Book Antiqua" w:cstheme="majorBidi" w:hint="eastAsia"/>
                <w:lang w:eastAsia="zh-CN"/>
              </w:rPr>
              <w:t>s</w:t>
            </w:r>
            <w:r>
              <w:rPr>
                <w:rFonts w:ascii="Book Antiqua" w:hAnsi="Book Antiqua" w:cstheme="majorBidi"/>
              </w:rPr>
              <w:t>epta without cirrhosis</w:t>
            </w:r>
          </w:p>
          <w:p w14:paraId="24D41657" w14:textId="77777777" w:rsidR="008A6CD8" w:rsidRDefault="008A6CD8">
            <w:pPr>
              <w:spacing w:line="360" w:lineRule="auto"/>
              <w:jc w:val="both"/>
              <w:rPr>
                <w:rFonts w:ascii="Book Antiqua" w:hAnsi="Book Antiqua" w:cstheme="majorBidi"/>
              </w:rPr>
            </w:pPr>
          </w:p>
        </w:tc>
        <w:tc>
          <w:tcPr>
            <w:tcW w:w="568" w:type="pct"/>
            <w:shd w:val="clear" w:color="auto" w:fill="auto"/>
            <w:noWrap/>
            <w:vAlign w:val="center"/>
          </w:tcPr>
          <w:p w14:paraId="7769D933"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F4: </w:t>
            </w:r>
            <w:r>
              <w:rPr>
                <w:rFonts w:ascii="Book Antiqua" w:hAnsi="Book Antiqua" w:cstheme="majorBidi" w:hint="eastAsia"/>
                <w:lang w:eastAsia="zh-CN"/>
              </w:rPr>
              <w:t>C</w:t>
            </w:r>
            <w:r>
              <w:rPr>
                <w:rFonts w:ascii="Book Antiqua" w:hAnsi="Book Antiqua" w:cstheme="majorBidi"/>
              </w:rPr>
              <w:t>irrhosis</w:t>
            </w:r>
          </w:p>
          <w:p w14:paraId="32BE7250" w14:textId="77777777" w:rsidR="008A6CD8" w:rsidRDefault="008A6CD8">
            <w:pPr>
              <w:spacing w:line="360" w:lineRule="auto"/>
              <w:jc w:val="both"/>
              <w:rPr>
                <w:rFonts w:ascii="Book Antiqua" w:hAnsi="Book Antiqua" w:cstheme="majorBidi"/>
              </w:rPr>
            </w:pPr>
          </w:p>
        </w:tc>
        <w:tc>
          <w:tcPr>
            <w:tcW w:w="938" w:type="pct"/>
            <w:shd w:val="clear" w:color="auto" w:fill="auto"/>
            <w:noWrap/>
            <w:vAlign w:val="center"/>
          </w:tcPr>
          <w:p w14:paraId="4F343968"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F4: </w:t>
            </w:r>
            <w:r>
              <w:rPr>
                <w:rFonts w:ascii="Book Antiqua" w:hAnsi="Book Antiqua" w:cstheme="majorBidi" w:hint="eastAsia"/>
                <w:lang w:eastAsia="zh-CN"/>
              </w:rPr>
              <w:t>C</w:t>
            </w:r>
            <w:r>
              <w:rPr>
                <w:rFonts w:ascii="Book Antiqua" w:hAnsi="Book Antiqua" w:cstheme="majorBidi"/>
              </w:rPr>
              <w:t>irrhosis</w:t>
            </w:r>
          </w:p>
          <w:p w14:paraId="218B3C86" w14:textId="77777777" w:rsidR="008A6CD8" w:rsidRDefault="008A6CD8">
            <w:pPr>
              <w:spacing w:line="360" w:lineRule="auto"/>
              <w:jc w:val="both"/>
              <w:rPr>
                <w:rFonts w:ascii="Book Antiqua" w:hAnsi="Book Antiqua" w:cstheme="majorBidi"/>
              </w:rPr>
            </w:pPr>
          </w:p>
        </w:tc>
        <w:tc>
          <w:tcPr>
            <w:tcW w:w="378" w:type="pct"/>
            <w:vMerge/>
            <w:shd w:val="clear" w:color="auto" w:fill="auto"/>
            <w:vAlign w:val="center"/>
          </w:tcPr>
          <w:p w14:paraId="759DB02D" w14:textId="77777777" w:rsidR="008A6CD8" w:rsidRDefault="008A6CD8">
            <w:pPr>
              <w:spacing w:line="360" w:lineRule="auto"/>
              <w:jc w:val="both"/>
              <w:rPr>
                <w:rFonts w:ascii="Book Antiqua" w:hAnsi="Book Antiqua" w:cstheme="majorBidi"/>
                <w:highlight w:val="cyan"/>
              </w:rPr>
            </w:pPr>
          </w:p>
        </w:tc>
      </w:tr>
    </w:tbl>
    <w:p w14:paraId="71A61B63" w14:textId="77777777" w:rsidR="008A6CD8" w:rsidRDefault="00477245">
      <w:pPr>
        <w:spacing w:line="360" w:lineRule="auto"/>
        <w:jc w:val="both"/>
        <w:rPr>
          <w:rFonts w:ascii="Book Antiqua" w:hAnsi="Book Antiqua"/>
          <w:bCs/>
          <w:lang w:eastAsia="zh-CN"/>
        </w:rPr>
      </w:pPr>
      <w:r>
        <w:rPr>
          <w:rFonts w:ascii="Book Antiqua" w:hAnsi="Book Antiqua" w:hint="eastAsia"/>
          <w:bCs/>
          <w:lang w:eastAsia="zh-CN"/>
        </w:rPr>
        <w:t xml:space="preserve">HCV: </w:t>
      </w:r>
      <w:r>
        <w:rPr>
          <w:rFonts w:ascii="Book Antiqua" w:hAnsi="Book Antiqua" w:cs="Book Antiqua" w:hint="eastAsia"/>
          <w:bCs/>
          <w:lang w:eastAsia="zh-CN"/>
        </w:rPr>
        <w:t>H</w:t>
      </w:r>
      <w:r>
        <w:rPr>
          <w:rFonts w:ascii="Book Antiqua" w:eastAsia="Book Antiqua" w:hAnsi="Book Antiqua" w:cs="Book Antiqua"/>
          <w:bCs/>
        </w:rPr>
        <w:t>epatitis C virus</w:t>
      </w:r>
      <w:r>
        <w:rPr>
          <w:rFonts w:ascii="Book Antiqua" w:hAnsi="Book Antiqua" w:cs="Book Antiqua" w:hint="eastAsia"/>
          <w:bCs/>
          <w:lang w:eastAsia="zh-CN"/>
        </w:rPr>
        <w:t>.</w:t>
      </w:r>
    </w:p>
    <w:p w14:paraId="0C758C38" w14:textId="77777777" w:rsidR="008A6CD8" w:rsidRDefault="00477245">
      <w:pPr>
        <w:spacing w:line="360" w:lineRule="auto"/>
        <w:jc w:val="both"/>
        <w:rPr>
          <w:rFonts w:ascii="Book Antiqua" w:hAnsi="Book Antiqua"/>
          <w:b/>
          <w:bCs/>
        </w:rPr>
      </w:pPr>
      <w:r>
        <w:rPr>
          <w:rFonts w:ascii="Book Antiqua" w:hAnsi="Book Antiqua"/>
          <w:b/>
          <w:bCs/>
        </w:rPr>
        <w:br w:type="page"/>
      </w:r>
    </w:p>
    <w:p w14:paraId="1490FF83" w14:textId="77777777" w:rsidR="008A6CD8" w:rsidRDefault="00477245">
      <w:pPr>
        <w:spacing w:line="360" w:lineRule="auto"/>
        <w:jc w:val="both"/>
        <w:rPr>
          <w:rFonts w:ascii="Book Antiqua" w:hAnsi="Book Antiqua" w:cstheme="majorBidi"/>
          <w:b/>
        </w:rPr>
      </w:pPr>
      <w:r>
        <w:rPr>
          <w:rFonts w:ascii="Book Antiqua" w:hAnsi="Book Antiqua"/>
          <w:b/>
          <w:bCs/>
        </w:rPr>
        <w:lastRenderedPageBreak/>
        <w:t>Table</w:t>
      </w:r>
      <w:r>
        <w:rPr>
          <w:rFonts w:ascii="Book Antiqua" w:hAnsi="Book Antiqua" w:hint="eastAsia"/>
          <w:b/>
          <w:bCs/>
          <w:lang w:eastAsia="zh-CN"/>
        </w:rPr>
        <w:t xml:space="preserve"> </w:t>
      </w:r>
      <w:r>
        <w:rPr>
          <w:rFonts w:ascii="Book Antiqua" w:hAnsi="Book Antiqua"/>
          <w:b/>
          <w:bCs/>
        </w:rPr>
        <w:t>2</w:t>
      </w:r>
      <w:r>
        <w:rPr>
          <w:rFonts w:ascii="Book Antiqua" w:hAnsi="Book Antiqua" w:hint="eastAsia"/>
          <w:b/>
          <w:bCs/>
          <w:lang w:eastAsia="zh-CN"/>
        </w:rPr>
        <w:t xml:space="preserve"> </w:t>
      </w:r>
      <w:r>
        <w:rPr>
          <w:rFonts w:ascii="Book Antiqua" w:hAnsi="Book Antiqua"/>
          <w:b/>
        </w:rPr>
        <w:t>R</w:t>
      </w:r>
      <w:r>
        <w:rPr>
          <w:rFonts w:ascii="Book Antiqua" w:hAnsi="Book Antiqua" w:cstheme="majorBidi"/>
          <w:b/>
        </w:rPr>
        <w:t>ecommended direct-acting antiviral</w:t>
      </w:r>
      <w:r>
        <w:rPr>
          <w:rFonts w:ascii="Book Antiqua" w:hAnsi="Book Antiqua" w:cstheme="majorBidi" w:hint="eastAsia"/>
          <w:b/>
          <w:lang w:eastAsia="zh-CN"/>
        </w:rPr>
        <w:t xml:space="preserve"> </w:t>
      </w:r>
      <w:r>
        <w:rPr>
          <w:rFonts w:ascii="Book Antiqua" w:hAnsi="Book Antiqua" w:cstheme="majorBidi"/>
          <w:b/>
        </w:rPr>
        <w:t xml:space="preserve">regimens for treatment of </w:t>
      </w:r>
      <w:r>
        <w:rPr>
          <w:rFonts w:ascii="Book Antiqua" w:hAnsi="Book Antiqua" w:cstheme="majorBidi" w:hint="eastAsia"/>
          <w:b/>
          <w:lang w:eastAsia="zh-CN"/>
        </w:rPr>
        <w:t>h</w:t>
      </w:r>
      <w:r>
        <w:rPr>
          <w:rFonts w:ascii="Book Antiqua" w:hAnsi="Book Antiqua" w:cstheme="majorBidi"/>
          <w:b/>
        </w:rPr>
        <w:t>epatitis C virus infection according to AASL/ADSA 2021</w:t>
      </w:r>
    </w:p>
    <w:tbl>
      <w:tblPr>
        <w:tblW w:w="5307" w:type="pct"/>
        <w:tblBorders>
          <w:top w:val="single" w:sz="4" w:space="0" w:color="auto"/>
          <w:bottom w:val="single" w:sz="4" w:space="0" w:color="auto"/>
        </w:tblBorders>
        <w:tblLayout w:type="fixed"/>
        <w:tblLook w:val="04A0" w:firstRow="1" w:lastRow="0" w:firstColumn="1" w:lastColumn="0" w:noHBand="0" w:noVBand="1"/>
      </w:tblPr>
      <w:tblGrid>
        <w:gridCol w:w="1416"/>
        <w:gridCol w:w="1277"/>
        <w:gridCol w:w="1700"/>
        <w:gridCol w:w="2410"/>
        <w:gridCol w:w="3445"/>
        <w:gridCol w:w="3508"/>
      </w:tblGrid>
      <w:tr w:rsidR="008A6CD8" w14:paraId="03A8ABD4" w14:textId="77777777">
        <w:trPr>
          <w:trHeight w:val="152"/>
        </w:trPr>
        <w:tc>
          <w:tcPr>
            <w:tcW w:w="515" w:type="pct"/>
            <w:tcBorders>
              <w:top w:val="single" w:sz="4" w:space="0" w:color="auto"/>
              <w:bottom w:val="single" w:sz="4" w:space="0" w:color="auto"/>
            </w:tcBorders>
            <w:shd w:val="clear" w:color="auto" w:fill="auto"/>
            <w:vAlign w:val="center"/>
          </w:tcPr>
          <w:p w14:paraId="19A6FCCA" w14:textId="77777777" w:rsidR="008A6CD8" w:rsidRDefault="00477245">
            <w:pPr>
              <w:spacing w:line="360" w:lineRule="auto"/>
              <w:jc w:val="both"/>
              <w:rPr>
                <w:rFonts w:ascii="Book Antiqua" w:hAnsi="Book Antiqua" w:cstheme="majorBidi"/>
              </w:rPr>
            </w:pPr>
            <w:r>
              <w:rPr>
                <w:rFonts w:ascii="Book Antiqua" w:hAnsi="Book Antiqua" w:cstheme="majorBidi"/>
                <w:b/>
                <w:bCs/>
              </w:rPr>
              <w:t>Treatment</w:t>
            </w:r>
          </w:p>
        </w:tc>
        <w:tc>
          <w:tcPr>
            <w:tcW w:w="1082" w:type="pct"/>
            <w:gridSpan w:val="2"/>
            <w:tcBorders>
              <w:top w:val="single" w:sz="4" w:space="0" w:color="auto"/>
              <w:bottom w:val="single" w:sz="4" w:space="0" w:color="auto"/>
            </w:tcBorders>
            <w:shd w:val="clear" w:color="auto" w:fill="auto"/>
            <w:noWrap/>
            <w:vAlign w:val="center"/>
          </w:tcPr>
          <w:p w14:paraId="363C8DB3" w14:textId="77777777" w:rsidR="008A6CD8" w:rsidRDefault="00477245">
            <w:pPr>
              <w:spacing w:line="360" w:lineRule="auto"/>
              <w:jc w:val="center"/>
              <w:rPr>
                <w:rFonts w:ascii="Book Antiqua" w:hAnsi="Book Antiqua" w:cstheme="majorBidi"/>
                <w:bCs/>
              </w:rPr>
            </w:pPr>
            <w:r>
              <w:rPr>
                <w:rFonts w:ascii="Book Antiqua" w:hAnsi="Book Antiqua" w:cstheme="majorBidi"/>
                <w:b/>
                <w:bCs/>
              </w:rPr>
              <w:t>No cirrhosis</w:t>
            </w:r>
          </w:p>
        </w:tc>
        <w:tc>
          <w:tcPr>
            <w:tcW w:w="2128" w:type="pct"/>
            <w:gridSpan w:val="2"/>
            <w:tcBorders>
              <w:top w:val="single" w:sz="4" w:space="0" w:color="auto"/>
              <w:bottom w:val="single" w:sz="4" w:space="0" w:color="auto"/>
            </w:tcBorders>
            <w:shd w:val="clear" w:color="auto" w:fill="auto"/>
            <w:noWrap/>
            <w:vAlign w:val="center"/>
          </w:tcPr>
          <w:p w14:paraId="4C14EE55" w14:textId="77777777" w:rsidR="008A6CD8" w:rsidRDefault="00477245">
            <w:pPr>
              <w:spacing w:line="360" w:lineRule="auto"/>
              <w:jc w:val="center"/>
              <w:rPr>
                <w:rFonts w:ascii="Book Antiqua" w:hAnsi="Book Antiqua" w:cstheme="majorBidi"/>
                <w:bCs/>
              </w:rPr>
            </w:pPr>
            <w:r>
              <w:rPr>
                <w:rFonts w:ascii="Book Antiqua" w:hAnsi="Book Antiqua" w:cstheme="majorBidi"/>
                <w:b/>
                <w:bCs/>
              </w:rPr>
              <w:t>Compensated cirrhosis</w:t>
            </w:r>
          </w:p>
        </w:tc>
        <w:tc>
          <w:tcPr>
            <w:tcW w:w="1275" w:type="pct"/>
            <w:tcBorders>
              <w:top w:val="single" w:sz="4" w:space="0" w:color="auto"/>
              <w:bottom w:val="single" w:sz="4" w:space="0" w:color="auto"/>
            </w:tcBorders>
            <w:shd w:val="clear" w:color="auto" w:fill="auto"/>
            <w:noWrap/>
          </w:tcPr>
          <w:p w14:paraId="5A0818B5" w14:textId="77777777" w:rsidR="008A6CD8" w:rsidRDefault="00477245">
            <w:pPr>
              <w:spacing w:line="360" w:lineRule="auto"/>
              <w:jc w:val="both"/>
              <w:rPr>
                <w:rFonts w:ascii="Book Antiqua" w:hAnsi="Book Antiqua" w:cstheme="majorBidi"/>
              </w:rPr>
            </w:pPr>
            <w:r>
              <w:rPr>
                <w:rFonts w:ascii="Book Antiqua" w:hAnsi="Book Antiqua" w:cstheme="majorBidi"/>
                <w:b/>
                <w:bCs/>
              </w:rPr>
              <w:t>Decompensated cirrhosis</w:t>
            </w:r>
          </w:p>
        </w:tc>
      </w:tr>
      <w:tr w:rsidR="008A6CD8" w14:paraId="45DDA3CC" w14:textId="77777777">
        <w:trPr>
          <w:trHeight w:val="152"/>
        </w:trPr>
        <w:tc>
          <w:tcPr>
            <w:tcW w:w="515" w:type="pct"/>
            <w:tcBorders>
              <w:top w:val="single" w:sz="4" w:space="0" w:color="auto"/>
              <w:bottom w:val="single" w:sz="4" w:space="0" w:color="auto"/>
            </w:tcBorders>
            <w:shd w:val="clear" w:color="auto" w:fill="auto"/>
            <w:vAlign w:val="center"/>
          </w:tcPr>
          <w:p w14:paraId="78D48FD8" w14:textId="77777777" w:rsidR="008A6CD8" w:rsidRDefault="008A6CD8">
            <w:pPr>
              <w:spacing w:line="360" w:lineRule="auto"/>
              <w:jc w:val="both"/>
              <w:rPr>
                <w:rFonts w:ascii="Book Antiqua" w:hAnsi="Book Antiqua" w:cstheme="majorBidi"/>
                <w:b/>
              </w:rPr>
            </w:pPr>
          </w:p>
        </w:tc>
        <w:tc>
          <w:tcPr>
            <w:tcW w:w="464" w:type="pct"/>
            <w:tcBorders>
              <w:top w:val="single" w:sz="4" w:space="0" w:color="auto"/>
              <w:bottom w:val="single" w:sz="4" w:space="0" w:color="auto"/>
            </w:tcBorders>
            <w:shd w:val="clear" w:color="auto" w:fill="auto"/>
            <w:noWrap/>
            <w:vAlign w:val="center"/>
          </w:tcPr>
          <w:p w14:paraId="0D9F5BA4"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Naïve HCV infected patient</w:t>
            </w:r>
          </w:p>
        </w:tc>
        <w:tc>
          <w:tcPr>
            <w:tcW w:w="618" w:type="pct"/>
            <w:tcBorders>
              <w:top w:val="single" w:sz="4" w:space="0" w:color="auto"/>
              <w:bottom w:val="single" w:sz="4" w:space="0" w:color="auto"/>
            </w:tcBorders>
            <w:shd w:val="clear" w:color="auto" w:fill="auto"/>
            <w:noWrap/>
            <w:vAlign w:val="center"/>
          </w:tcPr>
          <w:p w14:paraId="358B53F5"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Previously treated</w:t>
            </w:r>
            <w:r>
              <w:rPr>
                <w:rFonts w:ascii="Book Antiqua" w:hAnsi="Book Antiqua" w:cstheme="majorBidi" w:hint="eastAsia"/>
                <w:b/>
                <w:bCs/>
                <w:lang w:eastAsia="zh-CN"/>
              </w:rPr>
              <w:t xml:space="preserve"> </w:t>
            </w:r>
            <w:r>
              <w:rPr>
                <w:rFonts w:ascii="Book Antiqua" w:hAnsi="Book Antiqua" w:cstheme="majorBidi"/>
                <w:b/>
                <w:bCs/>
              </w:rPr>
              <w:t>patients</w:t>
            </w:r>
          </w:p>
        </w:tc>
        <w:tc>
          <w:tcPr>
            <w:tcW w:w="876" w:type="pct"/>
            <w:tcBorders>
              <w:top w:val="single" w:sz="4" w:space="0" w:color="auto"/>
              <w:bottom w:val="single" w:sz="4" w:space="0" w:color="auto"/>
            </w:tcBorders>
            <w:shd w:val="clear" w:color="auto" w:fill="auto"/>
            <w:noWrap/>
            <w:vAlign w:val="center"/>
          </w:tcPr>
          <w:p w14:paraId="3D20AC61"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Naïve HCV infected patients</w:t>
            </w:r>
          </w:p>
        </w:tc>
        <w:tc>
          <w:tcPr>
            <w:tcW w:w="1252" w:type="pct"/>
            <w:tcBorders>
              <w:top w:val="single" w:sz="4" w:space="0" w:color="auto"/>
              <w:bottom w:val="single" w:sz="4" w:space="0" w:color="auto"/>
            </w:tcBorders>
            <w:shd w:val="clear" w:color="auto" w:fill="auto"/>
            <w:noWrap/>
            <w:vAlign w:val="center"/>
          </w:tcPr>
          <w:p w14:paraId="2981DEEE" w14:textId="77777777" w:rsidR="008A6CD8" w:rsidRDefault="00477245">
            <w:pPr>
              <w:spacing w:line="360" w:lineRule="auto"/>
              <w:jc w:val="both"/>
              <w:rPr>
                <w:rFonts w:ascii="Book Antiqua" w:hAnsi="Book Antiqua" w:cstheme="majorBidi"/>
                <w:b/>
                <w:bCs/>
              </w:rPr>
            </w:pPr>
            <w:r>
              <w:rPr>
                <w:rFonts w:ascii="Book Antiqua" w:hAnsi="Book Antiqua" w:cstheme="majorBidi"/>
                <w:b/>
                <w:bCs/>
              </w:rPr>
              <w:t>Previously treated patients</w:t>
            </w:r>
          </w:p>
        </w:tc>
        <w:tc>
          <w:tcPr>
            <w:tcW w:w="1275" w:type="pct"/>
            <w:tcBorders>
              <w:top w:val="single" w:sz="4" w:space="0" w:color="auto"/>
              <w:bottom w:val="single" w:sz="4" w:space="0" w:color="auto"/>
            </w:tcBorders>
            <w:shd w:val="clear" w:color="auto" w:fill="auto"/>
            <w:noWrap/>
          </w:tcPr>
          <w:p w14:paraId="76521431" w14:textId="77777777" w:rsidR="008A6CD8" w:rsidRDefault="008A6CD8">
            <w:pPr>
              <w:spacing w:line="360" w:lineRule="auto"/>
              <w:jc w:val="both"/>
              <w:rPr>
                <w:rFonts w:ascii="Book Antiqua" w:hAnsi="Book Antiqua" w:cstheme="majorBidi"/>
                <w:b/>
              </w:rPr>
            </w:pPr>
          </w:p>
        </w:tc>
      </w:tr>
      <w:tr w:rsidR="008A6CD8" w14:paraId="1B3548A6" w14:textId="77777777">
        <w:trPr>
          <w:trHeight w:val="2843"/>
        </w:trPr>
        <w:tc>
          <w:tcPr>
            <w:tcW w:w="515" w:type="pct"/>
            <w:tcBorders>
              <w:top w:val="single" w:sz="4" w:space="0" w:color="auto"/>
            </w:tcBorders>
            <w:shd w:val="clear" w:color="auto" w:fill="auto"/>
            <w:vAlign w:val="center"/>
          </w:tcPr>
          <w:p w14:paraId="62E196A9" w14:textId="77777777" w:rsidR="008A6CD8" w:rsidRDefault="00477245">
            <w:pPr>
              <w:spacing w:line="360" w:lineRule="auto"/>
              <w:jc w:val="both"/>
              <w:rPr>
                <w:rFonts w:ascii="Book Antiqua" w:hAnsi="Book Antiqua" w:cstheme="majorBidi"/>
                <w:bCs/>
              </w:rPr>
            </w:pPr>
            <w:r>
              <w:rPr>
                <w:rFonts w:ascii="Book Antiqua" w:hAnsi="Book Antiqua" w:cstheme="majorBidi"/>
                <w:bCs/>
              </w:rPr>
              <w:t>Sofosbuvir (400 mg)/Velpatasvir (100 mg)</w:t>
            </w:r>
          </w:p>
        </w:tc>
        <w:tc>
          <w:tcPr>
            <w:tcW w:w="464" w:type="pct"/>
            <w:tcBorders>
              <w:top w:val="single" w:sz="4" w:space="0" w:color="auto"/>
            </w:tcBorders>
            <w:shd w:val="clear" w:color="auto" w:fill="auto"/>
            <w:noWrap/>
            <w:vAlign w:val="center"/>
          </w:tcPr>
          <w:p w14:paraId="035DAB2A" w14:textId="77777777" w:rsidR="008A6CD8" w:rsidRDefault="00477245">
            <w:pPr>
              <w:spacing w:line="360" w:lineRule="auto"/>
              <w:jc w:val="both"/>
              <w:rPr>
                <w:rFonts w:ascii="Book Antiqua" w:hAnsi="Book Antiqua" w:cstheme="majorBidi"/>
              </w:rPr>
            </w:pPr>
            <w:r>
              <w:rPr>
                <w:rFonts w:ascii="Book Antiqua" w:hAnsi="Book Antiqua" w:cstheme="majorBidi"/>
              </w:rPr>
              <w:t>12 wk</w:t>
            </w:r>
          </w:p>
        </w:tc>
        <w:tc>
          <w:tcPr>
            <w:tcW w:w="618" w:type="pct"/>
            <w:tcBorders>
              <w:top w:val="single" w:sz="4" w:space="0" w:color="auto"/>
            </w:tcBorders>
            <w:shd w:val="clear" w:color="auto" w:fill="auto"/>
            <w:vAlign w:val="center"/>
          </w:tcPr>
          <w:p w14:paraId="3B7C0E99" w14:textId="77777777" w:rsidR="008A6CD8" w:rsidRDefault="00477245">
            <w:pPr>
              <w:spacing w:line="360" w:lineRule="auto"/>
              <w:jc w:val="both"/>
              <w:rPr>
                <w:rFonts w:ascii="Book Antiqua" w:hAnsi="Book Antiqua" w:cstheme="majorBidi"/>
              </w:rPr>
            </w:pPr>
            <w:r>
              <w:rPr>
                <w:rFonts w:ascii="Book Antiqua" w:hAnsi="Book Antiqua" w:cstheme="majorBidi"/>
              </w:rPr>
              <w:t>Sofosbuvir (400 mg)/Velpatasvir (100 mg)/Voxilapevir (100 mg), 12 wk, for</w:t>
            </w:r>
            <w:r>
              <w:rPr>
                <w:rFonts w:ascii="Book Antiqua" w:hAnsi="Book Antiqua" w:cstheme="majorBidi"/>
                <w:bCs/>
              </w:rPr>
              <w:t xml:space="preserve"> all genotypes.</w:t>
            </w:r>
            <w:r>
              <w:rPr>
                <w:rFonts w:ascii="Book Antiqua" w:hAnsi="Book Antiqua" w:cstheme="majorBidi" w:hint="eastAsia"/>
                <w:bCs/>
                <w:lang w:eastAsia="zh-CN"/>
              </w:rPr>
              <w:t xml:space="preserve"> </w:t>
            </w:r>
            <w:r>
              <w:rPr>
                <w:rFonts w:ascii="Book Antiqua" w:hAnsi="Book Antiqua" w:cstheme="majorBidi"/>
                <w:bCs/>
              </w:rPr>
              <w:t>ALTERNATIVE</w:t>
            </w:r>
            <w:r>
              <w:rPr>
                <w:rFonts w:ascii="Book Antiqua" w:hAnsi="Book Antiqua" w:cstheme="majorBidi"/>
                <w:bCs/>
                <w:lang w:eastAsia="zh-CN"/>
              </w:rPr>
              <w:t>:</w:t>
            </w:r>
            <w:r>
              <w:rPr>
                <w:rFonts w:ascii="Book Antiqua" w:hAnsi="Book Antiqua" w:cstheme="majorBidi" w:hint="eastAsia"/>
                <w:bCs/>
                <w:lang w:eastAsia="zh-CN"/>
              </w:rPr>
              <w:t xml:space="preserve"> </w:t>
            </w:r>
            <w:r>
              <w:rPr>
                <w:rFonts w:ascii="Book Antiqua" w:hAnsi="Book Antiqua" w:cstheme="majorBidi"/>
              </w:rPr>
              <w:t xml:space="preserve">Glecaprevir (300 mg)/Pibrentasvir (120 mg), but </w:t>
            </w:r>
            <w:r>
              <w:rPr>
                <w:rFonts w:ascii="Book Antiqua" w:hAnsi="Book Antiqua" w:cstheme="majorBidi"/>
                <w:bCs/>
              </w:rPr>
              <w:t xml:space="preserve">not </w:t>
            </w:r>
            <w:r>
              <w:rPr>
                <w:rFonts w:ascii="Book Antiqua" w:hAnsi="Book Antiqua" w:cstheme="majorBidi"/>
                <w:bCs/>
              </w:rPr>
              <w:lastRenderedPageBreak/>
              <w:t>recommended</w:t>
            </w:r>
            <w:r>
              <w:rPr>
                <w:rFonts w:ascii="Book Antiqua" w:hAnsi="Book Antiqua" w:cstheme="majorBidi"/>
              </w:rPr>
              <w:t xml:space="preserve"> for genotype 3 with Sofosbuvir/NS5A inhibitor</w:t>
            </w:r>
          </w:p>
        </w:tc>
        <w:tc>
          <w:tcPr>
            <w:tcW w:w="876" w:type="pct"/>
            <w:tcBorders>
              <w:top w:val="single" w:sz="4" w:space="0" w:color="auto"/>
            </w:tcBorders>
            <w:shd w:val="clear" w:color="auto" w:fill="auto"/>
            <w:vAlign w:val="center"/>
          </w:tcPr>
          <w:p w14:paraId="2148E118" w14:textId="77777777" w:rsidR="008A6CD8" w:rsidRDefault="00477245">
            <w:pPr>
              <w:spacing w:line="360" w:lineRule="auto"/>
              <w:jc w:val="both"/>
              <w:rPr>
                <w:rFonts w:ascii="Book Antiqua" w:hAnsi="Book Antiqua" w:cstheme="majorBidi"/>
              </w:rPr>
            </w:pPr>
            <w:r>
              <w:rPr>
                <w:rFonts w:ascii="Book Antiqua" w:hAnsi="Book Antiqua" w:cstheme="majorBidi"/>
              </w:rPr>
              <w:lastRenderedPageBreak/>
              <w:t xml:space="preserve">For genotypes 1, 2, 4, 5, and 6 &amp; genotype 3 with NS5A-RAS Y93H negative, 12 wk, but </w:t>
            </w:r>
            <w:r>
              <w:rPr>
                <w:rFonts w:ascii="Book Antiqua" w:hAnsi="Book Antiqua" w:cstheme="majorBidi"/>
                <w:bCs/>
              </w:rPr>
              <w:t>not recommended</w:t>
            </w:r>
            <w:r>
              <w:rPr>
                <w:rFonts w:ascii="Book Antiqua" w:hAnsi="Book Antiqua" w:cstheme="majorBidi"/>
              </w:rPr>
              <w:t xml:space="preserve"> for genotype 3 with NS5A-RAS Y93H positivity</w:t>
            </w:r>
          </w:p>
        </w:tc>
        <w:tc>
          <w:tcPr>
            <w:tcW w:w="1252" w:type="pct"/>
            <w:tcBorders>
              <w:top w:val="single" w:sz="4" w:space="0" w:color="auto"/>
            </w:tcBorders>
            <w:shd w:val="clear" w:color="auto" w:fill="auto"/>
            <w:vAlign w:val="center"/>
          </w:tcPr>
          <w:p w14:paraId="03F02393" w14:textId="77777777" w:rsidR="008A6CD8" w:rsidRDefault="00477245">
            <w:pPr>
              <w:spacing w:line="360" w:lineRule="auto"/>
              <w:jc w:val="both"/>
              <w:rPr>
                <w:rFonts w:ascii="Book Antiqua" w:hAnsi="Book Antiqua" w:cstheme="majorBidi"/>
              </w:rPr>
            </w:pPr>
            <w:r>
              <w:rPr>
                <w:rFonts w:ascii="Book Antiqua" w:hAnsi="Book Antiqua" w:cstheme="majorBidi"/>
              </w:rPr>
              <w:t>Sofosbuvir (400 mg)/Velpatasvir (100 mg)/Voxilapevir (100 mg), 12 wk, for</w:t>
            </w:r>
            <w:r>
              <w:rPr>
                <w:rFonts w:ascii="Book Antiqua" w:hAnsi="Book Antiqua" w:cstheme="majorBidi"/>
                <w:bCs/>
              </w:rPr>
              <w:t xml:space="preserve"> genotypes 1, 2, 4, 5, and 6; </w:t>
            </w:r>
            <w:r>
              <w:rPr>
                <w:rFonts w:ascii="Book Antiqua" w:hAnsi="Book Antiqua" w:cstheme="majorBidi"/>
              </w:rPr>
              <w:t>for</w:t>
            </w:r>
            <w:r>
              <w:rPr>
                <w:rFonts w:ascii="Book Antiqua" w:hAnsi="Book Antiqua" w:cstheme="majorBidi"/>
                <w:bCs/>
              </w:rPr>
              <w:t xml:space="preserve"> genotype 3, </w:t>
            </w:r>
            <w:r>
              <w:rPr>
                <w:rFonts w:ascii="Book Antiqua" w:hAnsi="Book Antiqua" w:cstheme="majorBidi"/>
              </w:rPr>
              <w:t xml:space="preserve">12 wk in addition to weight-based Ribavirin. </w:t>
            </w:r>
            <w:r>
              <w:rPr>
                <w:rFonts w:ascii="Book Antiqua" w:hAnsi="Book Antiqua" w:cstheme="majorBidi"/>
                <w:bCs/>
              </w:rPr>
              <w:t>ALTERNATIVE:</w:t>
            </w:r>
            <w:r>
              <w:rPr>
                <w:rFonts w:ascii="Book Antiqua" w:hAnsi="Book Antiqua" w:cstheme="majorBidi"/>
              </w:rPr>
              <w:t xml:space="preserve"> Glecaprevir (300 mg)/Pibrentasvir (120 mg), but not recommended for genotype 3 with Sofosbuvir/NS5A inhibitor</w:t>
            </w:r>
          </w:p>
        </w:tc>
        <w:tc>
          <w:tcPr>
            <w:tcW w:w="1275" w:type="pct"/>
            <w:vMerge w:val="restart"/>
            <w:tcBorders>
              <w:top w:val="single" w:sz="4" w:space="0" w:color="auto"/>
            </w:tcBorders>
            <w:shd w:val="clear" w:color="auto" w:fill="auto"/>
            <w:noWrap/>
            <w:vAlign w:val="center"/>
          </w:tcPr>
          <w:p w14:paraId="2E916751" w14:textId="77777777" w:rsidR="008A6CD8" w:rsidRDefault="00477245">
            <w:pPr>
              <w:shd w:val="clear" w:color="auto" w:fill="F2F2F2" w:themeFill="background1" w:themeFillShade="F2"/>
              <w:spacing w:line="360" w:lineRule="auto"/>
              <w:jc w:val="both"/>
              <w:rPr>
                <w:rFonts w:ascii="Book Antiqua" w:hAnsi="Book Antiqua" w:cstheme="majorBidi"/>
                <w:lang w:eastAsia="zh-CN"/>
              </w:rPr>
            </w:pPr>
            <w:r>
              <w:rPr>
                <w:rFonts w:ascii="Book Antiqua" w:hAnsi="Book Antiqua" w:cstheme="majorBidi"/>
              </w:rPr>
              <w:t xml:space="preserve">Patients with HCV infection who have decompensated cirrhosis, </w:t>
            </w:r>
            <w:r>
              <w:rPr>
                <w:rFonts w:ascii="Book Antiqua" w:hAnsi="Book Antiqua" w:cstheme="majorBidi"/>
                <w:i/>
              </w:rPr>
              <w:t>i</w:t>
            </w:r>
            <w:r>
              <w:rPr>
                <w:rFonts w:ascii="Book Antiqua" w:hAnsi="Book Antiqua" w:cstheme="majorBidi" w:hint="eastAsia"/>
                <w:i/>
                <w:lang w:eastAsia="zh-CN"/>
              </w:rPr>
              <w:t>.</w:t>
            </w:r>
            <w:r>
              <w:rPr>
                <w:rFonts w:ascii="Book Antiqua" w:hAnsi="Book Antiqua" w:cstheme="majorBidi"/>
                <w:i/>
              </w:rPr>
              <w:t>e</w:t>
            </w:r>
            <w:r>
              <w:rPr>
                <w:rFonts w:ascii="Book Antiqua" w:hAnsi="Book Antiqua" w:cstheme="majorBidi" w:hint="eastAsia"/>
                <w:i/>
                <w:lang w:eastAsia="zh-CN"/>
              </w:rPr>
              <w:t>.</w:t>
            </w:r>
            <w:r>
              <w:rPr>
                <w:rFonts w:ascii="Book Antiqua" w:hAnsi="Book Antiqua" w:cstheme="majorBidi"/>
                <w:i/>
              </w:rPr>
              <w:t xml:space="preserve">, </w:t>
            </w:r>
            <w:r>
              <w:rPr>
                <w:rFonts w:ascii="Book Antiqua" w:hAnsi="Book Antiqua" w:cstheme="majorBidi"/>
              </w:rPr>
              <w:t>Child-P</w:t>
            </w:r>
            <w:r>
              <w:rPr>
                <w:rFonts w:ascii="Book Antiqua" w:hAnsi="Book Antiqua" w:cstheme="majorBidi"/>
                <w:shd w:val="clear" w:color="auto" w:fill="F2F2F2" w:themeFill="background1" w:themeFillShade="F2"/>
              </w:rPr>
              <w:t>ugh</w:t>
            </w:r>
            <w:r>
              <w:rPr>
                <w:rFonts w:ascii="Book Antiqua" w:hAnsi="Book Antiqua" w:cstheme="majorBidi" w:hint="eastAsia"/>
                <w:shd w:val="clear" w:color="auto" w:fill="F2F2F2" w:themeFill="background1" w:themeFillShade="F2"/>
                <w:lang w:eastAsia="zh-CN"/>
              </w:rPr>
              <w:t xml:space="preserve"> </w:t>
            </w:r>
            <w:r>
              <w:rPr>
                <w:rFonts w:ascii="Book Antiqua" w:hAnsi="Book Antiqua" w:cstheme="majorBidi"/>
                <w:shd w:val="clear" w:color="auto" w:fill="F2F2F2" w:themeFill="background1" w:themeFillShade="F2"/>
              </w:rPr>
              <w:t>class B or class C, should be referred to a medical practitioner with expertise in that condition, ideally in a liver transplant</w:t>
            </w:r>
            <w:r>
              <w:rPr>
                <w:rFonts w:ascii="Book Antiqua" w:hAnsi="Book Antiqua" w:cstheme="majorBidi"/>
              </w:rPr>
              <w:t xml:space="preserve"> center</w:t>
            </w:r>
          </w:p>
        </w:tc>
      </w:tr>
      <w:tr w:rsidR="008A6CD8" w14:paraId="61460994" w14:textId="77777777">
        <w:trPr>
          <w:trHeight w:val="2528"/>
        </w:trPr>
        <w:tc>
          <w:tcPr>
            <w:tcW w:w="515" w:type="pct"/>
            <w:shd w:val="clear" w:color="auto" w:fill="auto"/>
            <w:vAlign w:val="center"/>
          </w:tcPr>
          <w:p w14:paraId="6630C0F3" w14:textId="77777777" w:rsidR="008A6CD8" w:rsidRDefault="00477245">
            <w:pPr>
              <w:spacing w:line="360" w:lineRule="auto"/>
              <w:jc w:val="both"/>
              <w:rPr>
                <w:rFonts w:ascii="Book Antiqua" w:hAnsi="Book Antiqua" w:cstheme="majorBidi"/>
                <w:bCs/>
              </w:rPr>
            </w:pPr>
            <w:r>
              <w:rPr>
                <w:rFonts w:ascii="Book Antiqua" w:hAnsi="Book Antiqua" w:cstheme="majorBidi"/>
                <w:bCs/>
              </w:rPr>
              <w:t>Glecaprevir (300 mg)/Pibrentasvir (120 mg)</w:t>
            </w:r>
          </w:p>
        </w:tc>
        <w:tc>
          <w:tcPr>
            <w:tcW w:w="464" w:type="pct"/>
            <w:shd w:val="clear" w:color="auto" w:fill="auto"/>
            <w:noWrap/>
            <w:vAlign w:val="center"/>
          </w:tcPr>
          <w:p w14:paraId="77671067" w14:textId="77777777" w:rsidR="008A6CD8" w:rsidRDefault="00477245">
            <w:pPr>
              <w:spacing w:line="360" w:lineRule="auto"/>
              <w:jc w:val="both"/>
              <w:rPr>
                <w:rFonts w:ascii="Book Antiqua" w:hAnsi="Book Antiqua" w:cstheme="majorBidi"/>
              </w:rPr>
            </w:pPr>
            <w:r>
              <w:rPr>
                <w:rFonts w:ascii="Book Antiqua" w:hAnsi="Book Antiqua" w:cstheme="majorBidi"/>
              </w:rPr>
              <w:t>8 wk</w:t>
            </w:r>
          </w:p>
        </w:tc>
        <w:tc>
          <w:tcPr>
            <w:tcW w:w="618" w:type="pct"/>
            <w:shd w:val="clear" w:color="auto" w:fill="auto"/>
            <w:vAlign w:val="center"/>
          </w:tcPr>
          <w:p w14:paraId="47ED2F5C" w14:textId="77777777" w:rsidR="008A6CD8" w:rsidRDefault="00477245">
            <w:pPr>
              <w:spacing w:line="360" w:lineRule="auto"/>
              <w:jc w:val="both"/>
              <w:rPr>
                <w:rFonts w:ascii="Book Antiqua" w:hAnsi="Book Antiqua" w:cstheme="majorBidi"/>
              </w:rPr>
            </w:pPr>
            <w:r>
              <w:rPr>
                <w:rFonts w:ascii="Book Antiqua" w:hAnsi="Book Antiqua" w:cstheme="majorBidi"/>
              </w:rPr>
              <w:t>16 wk</w:t>
            </w:r>
            <w:r>
              <w:rPr>
                <w:rFonts w:ascii="Book Antiqua" w:hAnsi="Book Antiqua" w:cstheme="majorBidi" w:hint="eastAsia"/>
                <w:lang w:eastAsia="zh-CN"/>
              </w:rPr>
              <w:t xml:space="preserve"> </w:t>
            </w:r>
            <w:r>
              <w:rPr>
                <w:rFonts w:ascii="Book Antiqua" w:hAnsi="Book Antiqua" w:cstheme="majorBidi"/>
              </w:rPr>
              <w:t>in addition to Sofosbuvir (400 mg) + weight-based Ribavirin</w:t>
            </w:r>
            <w:r>
              <w:rPr>
                <w:rFonts w:ascii="Book Antiqua" w:hAnsi="Book Antiqua" w:cstheme="majorBidi" w:hint="eastAsia"/>
                <w:lang w:eastAsia="zh-CN"/>
              </w:rPr>
              <w:t xml:space="preserve"> </w:t>
            </w:r>
            <w:r>
              <w:rPr>
                <w:rFonts w:ascii="Book Antiqua" w:hAnsi="Book Antiqua" w:cstheme="majorBidi"/>
                <w:bCs/>
              </w:rPr>
              <w:t>ALTERNATIVE:</w:t>
            </w:r>
            <w:r>
              <w:rPr>
                <w:rFonts w:ascii="Book Antiqua" w:hAnsi="Book Antiqua" w:cstheme="majorBidi" w:hint="eastAsia"/>
                <w:bCs/>
                <w:lang w:eastAsia="zh-CN"/>
              </w:rPr>
              <w:t xml:space="preserve"> </w:t>
            </w:r>
            <w:r>
              <w:rPr>
                <w:rFonts w:ascii="Book Antiqua" w:hAnsi="Book Antiqua" w:cstheme="majorBidi"/>
              </w:rPr>
              <w:t>12 wk</w:t>
            </w:r>
            <w:r>
              <w:rPr>
                <w:rFonts w:ascii="Book Antiqua" w:hAnsi="Book Antiqua" w:cstheme="majorBidi" w:hint="eastAsia"/>
                <w:lang w:eastAsia="zh-CN"/>
              </w:rPr>
              <w:t xml:space="preserve"> </w:t>
            </w:r>
            <w:r>
              <w:rPr>
                <w:rFonts w:ascii="Book Antiqua" w:hAnsi="Book Antiqua" w:cstheme="majorBidi"/>
              </w:rPr>
              <w:t>of Sofosbuvir (400 mg)/Velpatasvir (100 mg)/Voxilapevir (100 mg)</w:t>
            </w:r>
          </w:p>
        </w:tc>
        <w:tc>
          <w:tcPr>
            <w:tcW w:w="876" w:type="pct"/>
            <w:shd w:val="clear" w:color="auto" w:fill="auto"/>
            <w:noWrap/>
            <w:vAlign w:val="center"/>
          </w:tcPr>
          <w:p w14:paraId="713EC4A5" w14:textId="77777777" w:rsidR="008A6CD8" w:rsidRDefault="00477245">
            <w:pPr>
              <w:spacing w:line="360" w:lineRule="auto"/>
              <w:jc w:val="both"/>
              <w:rPr>
                <w:rFonts w:ascii="Book Antiqua" w:hAnsi="Book Antiqua" w:cstheme="majorBidi"/>
              </w:rPr>
            </w:pPr>
            <w:r>
              <w:rPr>
                <w:rFonts w:ascii="Book Antiqua" w:hAnsi="Book Antiqua" w:cstheme="majorBidi"/>
              </w:rPr>
              <w:t>8 wk</w:t>
            </w:r>
          </w:p>
        </w:tc>
        <w:tc>
          <w:tcPr>
            <w:tcW w:w="1252" w:type="pct"/>
            <w:shd w:val="clear" w:color="auto" w:fill="auto"/>
            <w:noWrap/>
            <w:vAlign w:val="center"/>
          </w:tcPr>
          <w:p w14:paraId="100AE12F"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16 wk in addition to Sofosbuvir (400 mg) + weight-based Ribavirin. </w:t>
            </w:r>
            <w:r>
              <w:rPr>
                <w:rFonts w:ascii="Book Antiqua" w:hAnsi="Book Antiqua" w:cstheme="majorBidi"/>
                <w:bCs/>
              </w:rPr>
              <w:t xml:space="preserve">ALTERNATIVE: </w:t>
            </w:r>
            <w:r>
              <w:rPr>
                <w:rFonts w:ascii="Book Antiqua" w:hAnsi="Book Antiqua" w:cstheme="majorBidi"/>
              </w:rPr>
              <w:t>12 wk of Sofosbuvir (400 mg)/Velpatasvir (100 mg)/Voxilapevir (100 mg) in addition to weight-based Ribavirin</w:t>
            </w:r>
          </w:p>
        </w:tc>
        <w:tc>
          <w:tcPr>
            <w:tcW w:w="1275" w:type="pct"/>
            <w:vMerge/>
            <w:shd w:val="clear" w:color="auto" w:fill="auto"/>
            <w:vAlign w:val="center"/>
          </w:tcPr>
          <w:p w14:paraId="0C6D89A4" w14:textId="77777777" w:rsidR="008A6CD8" w:rsidRDefault="008A6CD8">
            <w:pPr>
              <w:spacing w:line="360" w:lineRule="auto"/>
              <w:jc w:val="both"/>
              <w:rPr>
                <w:rFonts w:ascii="Book Antiqua" w:hAnsi="Book Antiqua" w:cstheme="majorBidi"/>
              </w:rPr>
            </w:pPr>
          </w:p>
        </w:tc>
      </w:tr>
      <w:tr w:rsidR="008A6CD8" w14:paraId="0DAE824C" w14:textId="77777777">
        <w:trPr>
          <w:trHeight w:val="70"/>
        </w:trPr>
        <w:tc>
          <w:tcPr>
            <w:tcW w:w="515" w:type="pct"/>
            <w:shd w:val="clear" w:color="auto" w:fill="auto"/>
            <w:vAlign w:val="center"/>
          </w:tcPr>
          <w:p w14:paraId="56EA6B06" w14:textId="77777777" w:rsidR="008A6CD8" w:rsidRDefault="00477245">
            <w:pPr>
              <w:spacing w:line="360" w:lineRule="auto"/>
              <w:jc w:val="both"/>
              <w:rPr>
                <w:rFonts w:ascii="Book Antiqua" w:hAnsi="Book Antiqua" w:cstheme="majorBidi"/>
                <w:bCs/>
              </w:rPr>
            </w:pPr>
            <w:r>
              <w:rPr>
                <w:rFonts w:ascii="Book Antiqua" w:hAnsi="Book Antiqua" w:cstheme="majorBidi"/>
                <w:bCs/>
              </w:rPr>
              <w:lastRenderedPageBreak/>
              <w:t>Elbasvir (50 mg)/Grazoprevir (100 mg)</w:t>
            </w:r>
          </w:p>
        </w:tc>
        <w:tc>
          <w:tcPr>
            <w:tcW w:w="464" w:type="pct"/>
            <w:shd w:val="clear" w:color="auto" w:fill="auto"/>
            <w:noWrap/>
            <w:vAlign w:val="center"/>
          </w:tcPr>
          <w:p w14:paraId="7A18B379"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12 wk for </w:t>
            </w:r>
            <w:r>
              <w:rPr>
                <w:rFonts w:ascii="Book Antiqua" w:hAnsi="Book Antiqua" w:cstheme="majorBidi"/>
                <w:bCs/>
              </w:rPr>
              <w:t>genotype 1b</w:t>
            </w:r>
          </w:p>
        </w:tc>
        <w:tc>
          <w:tcPr>
            <w:tcW w:w="618" w:type="pct"/>
            <w:shd w:val="clear" w:color="auto" w:fill="auto"/>
            <w:vAlign w:val="center"/>
          </w:tcPr>
          <w:p w14:paraId="20AA112F" w14:textId="77777777" w:rsidR="008A6CD8" w:rsidRDefault="00477245">
            <w:pPr>
              <w:spacing w:line="360" w:lineRule="auto"/>
              <w:jc w:val="both"/>
              <w:rPr>
                <w:rFonts w:ascii="Book Antiqua" w:hAnsi="Book Antiqua" w:cstheme="majorBidi"/>
                <w:lang w:eastAsia="zh-CN"/>
              </w:rPr>
            </w:pPr>
            <w:r>
              <w:rPr>
                <w:rFonts w:ascii="Book Antiqua" w:hAnsi="Book Antiqua" w:cstheme="majorBidi"/>
              </w:rPr>
              <w:t xml:space="preserve">12 wk Sofosbuvir (400 mg)/Velpatasvir (100 mg)/Voxilapevir (100 mg). </w:t>
            </w:r>
            <w:r>
              <w:rPr>
                <w:rFonts w:ascii="Book Antiqua" w:hAnsi="Book Antiqua" w:cstheme="majorBidi"/>
                <w:bCs/>
              </w:rPr>
              <w:t>However</w:t>
            </w:r>
            <w:r>
              <w:rPr>
                <w:rFonts w:ascii="Book Antiqua" w:hAnsi="Book Antiqua" w:cstheme="majorBidi"/>
              </w:rPr>
              <w:t xml:space="preserve">, Glecaprevir/Pibrentasvir for 16 wk is </w:t>
            </w:r>
            <w:r>
              <w:rPr>
                <w:rFonts w:ascii="Book Antiqua" w:hAnsi="Book Antiqua" w:cstheme="majorBidi" w:hint="eastAsia"/>
                <w:lang w:eastAsia="zh-CN"/>
              </w:rPr>
              <w:t>n</w:t>
            </w:r>
            <w:r>
              <w:rPr>
                <w:rFonts w:ascii="Book Antiqua" w:hAnsi="Book Antiqua" w:cstheme="majorBidi"/>
              </w:rPr>
              <w:t>ot recommended as an alternative for this group of patients</w:t>
            </w:r>
          </w:p>
        </w:tc>
        <w:tc>
          <w:tcPr>
            <w:tcW w:w="876" w:type="pct"/>
            <w:shd w:val="clear" w:color="auto" w:fill="auto"/>
            <w:noWrap/>
            <w:vAlign w:val="center"/>
          </w:tcPr>
          <w:p w14:paraId="37620507" w14:textId="77777777" w:rsidR="008A6CD8" w:rsidRDefault="00477245">
            <w:pPr>
              <w:spacing w:line="360" w:lineRule="auto"/>
              <w:jc w:val="both"/>
              <w:rPr>
                <w:rFonts w:ascii="Book Antiqua" w:hAnsi="Book Antiqua" w:cstheme="majorBidi"/>
              </w:rPr>
            </w:pPr>
            <w:r>
              <w:rPr>
                <w:rFonts w:ascii="Book Antiqua" w:hAnsi="Book Antiqua" w:cstheme="majorBidi"/>
              </w:rPr>
              <w:t xml:space="preserve">12 wk for </w:t>
            </w:r>
            <w:r>
              <w:rPr>
                <w:rFonts w:ascii="Book Antiqua" w:hAnsi="Book Antiqua" w:cstheme="majorBidi"/>
                <w:bCs/>
              </w:rPr>
              <w:t>genotype 1B</w:t>
            </w:r>
          </w:p>
        </w:tc>
        <w:tc>
          <w:tcPr>
            <w:tcW w:w="1252" w:type="pct"/>
            <w:shd w:val="clear" w:color="auto" w:fill="auto"/>
            <w:noWrap/>
            <w:vAlign w:val="center"/>
          </w:tcPr>
          <w:p w14:paraId="4667A5EC" w14:textId="77777777" w:rsidR="008A6CD8" w:rsidRDefault="00477245">
            <w:pPr>
              <w:spacing w:line="360" w:lineRule="auto"/>
              <w:jc w:val="both"/>
              <w:rPr>
                <w:rFonts w:ascii="Book Antiqua" w:hAnsi="Book Antiqua" w:cstheme="majorBidi"/>
              </w:rPr>
            </w:pPr>
            <w:r>
              <w:rPr>
                <w:rFonts w:ascii="Book Antiqua" w:hAnsi="Book Antiqua" w:cstheme="majorBidi"/>
              </w:rPr>
              <w:t>NA</w:t>
            </w:r>
          </w:p>
        </w:tc>
        <w:tc>
          <w:tcPr>
            <w:tcW w:w="1275" w:type="pct"/>
            <w:vMerge/>
            <w:shd w:val="clear" w:color="auto" w:fill="auto"/>
            <w:vAlign w:val="center"/>
          </w:tcPr>
          <w:p w14:paraId="11553A69" w14:textId="77777777" w:rsidR="008A6CD8" w:rsidRDefault="008A6CD8">
            <w:pPr>
              <w:spacing w:line="360" w:lineRule="auto"/>
              <w:jc w:val="both"/>
              <w:rPr>
                <w:rFonts w:ascii="Book Antiqua" w:hAnsi="Book Antiqua" w:cstheme="majorBidi"/>
              </w:rPr>
            </w:pPr>
          </w:p>
        </w:tc>
      </w:tr>
    </w:tbl>
    <w:p w14:paraId="7AC96144" w14:textId="77777777" w:rsidR="008A6CD8" w:rsidRDefault="00477245">
      <w:pPr>
        <w:spacing w:line="360" w:lineRule="auto"/>
        <w:jc w:val="both"/>
        <w:rPr>
          <w:rFonts w:ascii="Book Antiqua" w:hAnsi="Book Antiqua"/>
          <w:bCs/>
          <w:lang w:eastAsia="zh-CN"/>
        </w:rPr>
      </w:pPr>
      <w:r>
        <w:rPr>
          <w:rFonts w:ascii="Book Antiqua" w:hAnsi="Book Antiqua" w:hint="eastAsia"/>
          <w:bCs/>
          <w:lang w:eastAsia="zh-CN"/>
        </w:rPr>
        <w:t xml:space="preserve">HCV: </w:t>
      </w:r>
      <w:r>
        <w:rPr>
          <w:rFonts w:ascii="Book Antiqua" w:hAnsi="Book Antiqua" w:cs="Book Antiqua" w:hint="eastAsia"/>
          <w:bCs/>
          <w:lang w:eastAsia="zh-CN"/>
        </w:rPr>
        <w:t>H</w:t>
      </w:r>
      <w:r>
        <w:rPr>
          <w:rFonts w:ascii="Book Antiqua" w:eastAsia="Book Antiqua" w:hAnsi="Book Antiqua" w:cs="Book Antiqua"/>
          <w:bCs/>
        </w:rPr>
        <w:t>epatitis C virus</w:t>
      </w:r>
      <w:r>
        <w:rPr>
          <w:rFonts w:ascii="Book Antiqua" w:hAnsi="Book Antiqua" w:cs="Book Antiqua"/>
          <w:bCs/>
          <w:lang w:eastAsia="zh-CN"/>
        </w:rPr>
        <w:t xml:space="preserve">; RAS: </w:t>
      </w:r>
      <w:r>
        <w:rPr>
          <w:rFonts w:ascii="Book Antiqua" w:eastAsia="Book Antiqua" w:hAnsi="Book Antiqua" w:cs="Book Antiqua"/>
        </w:rPr>
        <w:t>Resistance-associated substitutions</w:t>
      </w:r>
      <w:r>
        <w:rPr>
          <w:rFonts w:ascii="Book Antiqua" w:hAnsi="Book Antiqua"/>
          <w:bCs/>
          <w:lang w:eastAsia="zh-CN"/>
        </w:rPr>
        <w:t>; NA: not applicable</w:t>
      </w:r>
    </w:p>
    <w:p w14:paraId="1AA56EBB" w14:textId="4F2DB2B6" w:rsidR="00520721" w:rsidRDefault="00520721">
      <w:pPr>
        <w:spacing w:line="360" w:lineRule="auto"/>
        <w:jc w:val="both"/>
        <w:rPr>
          <w:rFonts w:ascii="Book Antiqua" w:hAnsi="Book Antiqua"/>
          <w:b/>
          <w:bCs/>
        </w:rPr>
      </w:pPr>
    </w:p>
    <w:p w14:paraId="4B80F40B" w14:textId="40942F1E" w:rsidR="00520721" w:rsidRPr="00520721" w:rsidRDefault="00520721" w:rsidP="00520721">
      <w:pPr>
        <w:rPr>
          <w:rFonts w:ascii="Book Antiqua" w:hAnsi="Book Antiqua"/>
          <w:b/>
          <w:bCs/>
        </w:rPr>
      </w:pPr>
      <w:r>
        <w:rPr>
          <w:rFonts w:ascii="Book Antiqua" w:hAnsi="Book Antiqua"/>
          <w:b/>
          <w:bCs/>
        </w:rPr>
        <w:br w:type="page"/>
      </w:r>
    </w:p>
    <w:p w14:paraId="2D1F1693" w14:textId="77777777" w:rsidR="00520721" w:rsidRDefault="00520721" w:rsidP="00520721">
      <w:pPr>
        <w:snapToGrid w:val="0"/>
        <w:ind w:leftChars="100" w:left="240"/>
        <w:jc w:val="center"/>
        <w:rPr>
          <w:rFonts w:ascii="Book Antiqua" w:hAnsi="Book Antiqua"/>
        </w:rPr>
      </w:pPr>
    </w:p>
    <w:p w14:paraId="1CB1D14F" w14:textId="77777777" w:rsidR="00520721" w:rsidRDefault="00520721" w:rsidP="00520721">
      <w:pPr>
        <w:snapToGrid w:val="0"/>
        <w:ind w:leftChars="100" w:left="240"/>
        <w:jc w:val="center"/>
        <w:rPr>
          <w:rFonts w:ascii="Book Antiqua" w:hAnsi="Book Antiqua"/>
        </w:rPr>
      </w:pPr>
    </w:p>
    <w:p w14:paraId="6CB7773F" w14:textId="77777777" w:rsidR="00520721" w:rsidRDefault="00520721" w:rsidP="00520721">
      <w:pPr>
        <w:snapToGrid w:val="0"/>
        <w:ind w:leftChars="100" w:left="240"/>
        <w:jc w:val="center"/>
        <w:rPr>
          <w:rFonts w:ascii="Book Antiqua" w:hAnsi="Book Antiqua"/>
        </w:rPr>
      </w:pPr>
    </w:p>
    <w:p w14:paraId="5566AAE4" w14:textId="77777777" w:rsidR="00520721" w:rsidRDefault="00520721" w:rsidP="00520721">
      <w:pPr>
        <w:snapToGrid w:val="0"/>
        <w:ind w:leftChars="100" w:left="240"/>
        <w:jc w:val="center"/>
        <w:rPr>
          <w:rFonts w:ascii="Book Antiqua" w:hAnsi="Book Antiqua"/>
        </w:rPr>
      </w:pPr>
      <w:r>
        <w:rPr>
          <w:rFonts w:ascii="Book Antiqua" w:hAnsi="Book Antiqua"/>
          <w:noProof/>
        </w:rPr>
        <w:drawing>
          <wp:inline distT="0" distB="0" distL="0" distR="0" wp14:anchorId="01802F0D" wp14:editId="2D99B5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B6C22B" w14:textId="77777777" w:rsidR="00520721" w:rsidRDefault="00520721" w:rsidP="00520721">
      <w:pPr>
        <w:snapToGrid w:val="0"/>
        <w:ind w:leftChars="100" w:left="240"/>
        <w:jc w:val="center"/>
        <w:rPr>
          <w:rFonts w:ascii="Book Antiqua" w:hAnsi="Book Antiqua"/>
        </w:rPr>
      </w:pPr>
    </w:p>
    <w:p w14:paraId="2443E78E" w14:textId="77777777" w:rsidR="00520721" w:rsidRDefault="00520721" w:rsidP="0052072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16F6B2" w14:textId="77777777" w:rsidR="00520721" w:rsidRDefault="00520721" w:rsidP="005207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02E8C5" w14:textId="77777777" w:rsidR="00520721" w:rsidRDefault="00520721" w:rsidP="0052072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A8D32A" w14:textId="77777777" w:rsidR="00520721" w:rsidRDefault="00520721" w:rsidP="005207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B9C700" w14:textId="77777777" w:rsidR="00520721" w:rsidRDefault="00520721" w:rsidP="0052072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14358D" w14:textId="77777777" w:rsidR="00520721" w:rsidRDefault="00520721" w:rsidP="0052072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5720F1" w14:textId="77777777" w:rsidR="00520721" w:rsidRDefault="00520721" w:rsidP="00520721">
      <w:pPr>
        <w:snapToGrid w:val="0"/>
        <w:ind w:leftChars="100" w:left="240"/>
        <w:jc w:val="center"/>
        <w:rPr>
          <w:rFonts w:ascii="Book Antiqua" w:hAnsi="Book Antiqua"/>
        </w:rPr>
      </w:pPr>
    </w:p>
    <w:p w14:paraId="4A97724D" w14:textId="77777777" w:rsidR="00520721" w:rsidRDefault="00520721" w:rsidP="00520721">
      <w:pPr>
        <w:snapToGrid w:val="0"/>
        <w:ind w:leftChars="100" w:left="240"/>
        <w:jc w:val="center"/>
        <w:rPr>
          <w:rFonts w:ascii="Book Antiqua" w:hAnsi="Book Antiqua"/>
        </w:rPr>
      </w:pPr>
    </w:p>
    <w:p w14:paraId="2F08C905" w14:textId="77777777" w:rsidR="00520721" w:rsidRDefault="00520721" w:rsidP="00520721">
      <w:pPr>
        <w:snapToGrid w:val="0"/>
        <w:ind w:leftChars="100" w:left="240"/>
        <w:jc w:val="center"/>
        <w:rPr>
          <w:rFonts w:ascii="Book Antiqua" w:hAnsi="Book Antiqua"/>
        </w:rPr>
      </w:pPr>
    </w:p>
    <w:p w14:paraId="7F147E82" w14:textId="77777777" w:rsidR="00520721" w:rsidRDefault="00520721" w:rsidP="00520721">
      <w:pPr>
        <w:snapToGrid w:val="0"/>
        <w:ind w:leftChars="100" w:left="240"/>
        <w:jc w:val="center"/>
        <w:rPr>
          <w:rFonts w:ascii="Book Antiqua" w:hAnsi="Book Antiqua"/>
        </w:rPr>
      </w:pPr>
      <w:r>
        <w:rPr>
          <w:rFonts w:ascii="Book Antiqua" w:hAnsi="Book Antiqua"/>
          <w:noProof/>
        </w:rPr>
        <w:drawing>
          <wp:inline distT="0" distB="0" distL="0" distR="0" wp14:anchorId="7CCA520D" wp14:editId="78BABC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5591AD" w14:textId="77777777" w:rsidR="00520721" w:rsidRDefault="00520721" w:rsidP="00520721">
      <w:pPr>
        <w:snapToGrid w:val="0"/>
        <w:rPr>
          <w:rFonts w:ascii="Book Antiqua" w:hAnsi="Book Antiqua"/>
        </w:rPr>
      </w:pPr>
    </w:p>
    <w:p w14:paraId="41C293E8" w14:textId="77777777" w:rsidR="00520721" w:rsidRDefault="00520721" w:rsidP="00520721">
      <w:pPr>
        <w:snapToGrid w:val="0"/>
        <w:ind w:leftChars="100" w:left="240"/>
        <w:jc w:val="right"/>
        <w:rPr>
          <w:rFonts w:ascii="Book Antiqua" w:hAnsi="Book Antiqua"/>
          <w:color w:val="000000" w:themeColor="text1"/>
        </w:rPr>
      </w:pPr>
    </w:p>
    <w:p w14:paraId="60B100FF" w14:textId="77777777" w:rsidR="00520721" w:rsidRDefault="00520721" w:rsidP="0052072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8BCD46B" w14:textId="77777777" w:rsidR="008A6CD8" w:rsidRDefault="008A6CD8">
      <w:pPr>
        <w:spacing w:line="360" w:lineRule="auto"/>
        <w:jc w:val="both"/>
        <w:rPr>
          <w:rFonts w:ascii="Book Antiqua" w:hAnsi="Book Antiqua"/>
          <w:b/>
          <w:bCs/>
        </w:rPr>
      </w:pPr>
    </w:p>
    <w:sectPr w:rsidR="008A6CD8">
      <w:pgSz w:w="15840" w:h="12240" w:orient="landscape"/>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CA5F" w14:textId="77777777" w:rsidR="00EB1B68" w:rsidRDefault="00EB1B68">
      <w:r>
        <w:separator/>
      </w:r>
    </w:p>
  </w:endnote>
  <w:endnote w:type="continuationSeparator" w:id="0">
    <w:p w14:paraId="776825A5" w14:textId="77777777" w:rsidR="00EB1B68" w:rsidRDefault="00E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PHM F+ Gulliver">
    <w:altName w:val="Cambria"/>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jaVuSans">
    <w:altName w:val="★懐流体"/>
    <w:charset w:val="80"/>
    <w:family w:val="auto"/>
    <w:pitch w:val="default"/>
    <w:sig w:usb0="00000000" w:usb1="00000000" w:usb2="00000010" w:usb3="00000000" w:csb0="00020000" w:csb1="00000000"/>
  </w:font>
  <w:font w:name="MinionPro-Regular">
    <w:altName w:val="MS Gothic"/>
    <w:charset w:val="00"/>
    <w:family w:val="auto"/>
    <w:pitch w:val="default"/>
    <w:sig w:usb0="00000000" w:usb1="0000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OTNEJMQuadraat">
    <w:altName w:val="Yu Gothic"/>
    <w:charset w:val="80"/>
    <w:family w:val="roman"/>
    <w:pitch w:val="default"/>
    <w:sig w:usb0="00000000" w:usb1="00000000" w:usb2="00000010" w:usb3="00000000" w:csb0="0002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5E88" w14:textId="77777777" w:rsidR="008A6CD8" w:rsidRDefault="00477245">
    <w:pPr>
      <w:pStyle w:val="a8"/>
      <w:jc w:val="right"/>
      <w:rPr>
        <w:rFonts w:ascii="Book Antiqua" w:hAnsi="Book Antiqua"/>
      </w:rPr>
    </w:pP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62</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62</w:t>
    </w:r>
    <w:r>
      <w:rPr>
        <w:rFonts w:ascii="Book Antiqua" w:hAnsi="Book Antiqua"/>
        <w:bCs/>
      </w:rPr>
      <w:fldChar w:fldCharType="end"/>
    </w:r>
  </w:p>
  <w:p w14:paraId="43DC7C72" w14:textId="77777777" w:rsidR="008A6CD8" w:rsidRDefault="008A6C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EE62" w14:textId="77777777" w:rsidR="00EB1B68" w:rsidRDefault="00EB1B68">
      <w:r>
        <w:separator/>
      </w:r>
    </w:p>
  </w:footnote>
  <w:footnote w:type="continuationSeparator" w:id="0">
    <w:p w14:paraId="35D49977" w14:textId="77777777" w:rsidR="00EB1B68" w:rsidRDefault="00EB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7D80"/>
    <w:rsid w:val="00011FB6"/>
    <w:rsid w:val="00016A83"/>
    <w:rsid w:val="00021D3C"/>
    <w:rsid w:val="0002559F"/>
    <w:rsid w:val="00043DD5"/>
    <w:rsid w:val="00047E02"/>
    <w:rsid w:val="00056046"/>
    <w:rsid w:val="00063505"/>
    <w:rsid w:val="00064E59"/>
    <w:rsid w:val="00072852"/>
    <w:rsid w:val="0007495D"/>
    <w:rsid w:val="00094DDD"/>
    <w:rsid w:val="000A347A"/>
    <w:rsid w:val="000B0A23"/>
    <w:rsid w:val="000C0837"/>
    <w:rsid w:val="000C0F3F"/>
    <w:rsid w:val="000C199E"/>
    <w:rsid w:val="000D47D4"/>
    <w:rsid w:val="000E0EBE"/>
    <w:rsid w:val="000E1034"/>
    <w:rsid w:val="000E11AF"/>
    <w:rsid w:val="000E295E"/>
    <w:rsid w:val="000E2C9B"/>
    <w:rsid w:val="000E7572"/>
    <w:rsid w:val="001151B8"/>
    <w:rsid w:val="00123511"/>
    <w:rsid w:val="00141BA7"/>
    <w:rsid w:val="00160FD6"/>
    <w:rsid w:val="00172BEA"/>
    <w:rsid w:val="00177C8A"/>
    <w:rsid w:val="0019228B"/>
    <w:rsid w:val="00197547"/>
    <w:rsid w:val="001A0D2A"/>
    <w:rsid w:val="001A2D46"/>
    <w:rsid w:val="001A3B7F"/>
    <w:rsid w:val="001B02E1"/>
    <w:rsid w:val="001B1329"/>
    <w:rsid w:val="001B3450"/>
    <w:rsid w:val="001B374E"/>
    <w:rsid w:val="001B59FD"/>
    <w:rsid w:val="001D1574"/>
    <w:rsid w:val="001D24E3"/>
    <w:rsid w:val="001E102C"/>
    <w:rsid w:val="001F16DC"/>
    <w:rsid w:val="001F23BA"/>
    <w:rsid w:val="001F35BC"/>
    <w:rsid w:val="001F4CF7"/>
    <w:rsid w:val="001F5A06"/>
    <w:rsid w:val="002016D7"/>
    <w:rsid w:val="00204B50"/>
    <w:rsid w:val="002053A1"/>
    <w:rsid w:val="0023090F"/>
    <w:rsid w:val="002347BB"/>
    <w:rsid w:val="00242F31"/>
    <w:rsid w:val="002440D3"/>
    <w:rsid w:val="00244B33"/>
    <w:rsid w:val="00253190"/>
    <w:rsid w:val="00256998"/>
    <w:rsid w:val="0026031B"/>
    <w:rsid w:val="00260EED"/>
    <w:rsid w:val="00261B9E"/>
    <w:rsid w:val="00264020"/>
    <w:rsid w:val="002730CD"/>
    <w:rsid w:val="00273C42"/>
    <w:rsid w:val="002749DD"/>
    <w:rsid w:val="002764FD"/>
    <w:rsid w:val="0028195B"/>
    <w:rsid w:val="002A148F"/>
    <w:rsid w:val="002A26C9"/>
    <w:rsid w:val="002A4652"/>
    <w:rsid w:val="002A600A"/>
    <w:rsid w:val="002A7442"/>
    <w:rsid w:val="002B0E21"/>
    <w:rsid w:val="002C7D80"/>
    <w:rsid w:val="002D6F53"/>
    <w:rsid w:val="002D7713"/>
    <w:rsid w:val="002F16EC"/>
    <w:rsid w:val="002F32CF"/>
    <w:rsid w:val="002F4A99"/>
    <w:rsid w:val="002F4D87"/>
    <w:rsid w:val="002F5DFD"/>
    <w:rsid w:val="00306D63"/>
    <w:rsid w:val="003220ED"/>
    <w:rsid w:val="003249FF"/>
    <w:rsid w:val="003265CF"/>
    <w:rsid w:val="0034268F"/>
    <w:rsid w:val="00347F92"/>
    <w:rsid w:val="00352FC6"/>
    <w:rsid w:val="00367F35"/>
    <w:rsid w:val="0037538D"/>
    <w:rsid w:val="00397584"/>
    <w:rsid w:val="003A6053"/>
    <w:rsid w:val="003A627C"/>
    <w:rsid w:val="003C4426"/>
    <w:rsid w:val="003D6694"/>
    <w:rsid w:val="003D6DDB"/>
    <w:rsid w:val="003E321D"/>
    <w:rsid w:val="003E61B9"/>
    <w:rsid w:val="00406A3D"/>
    <w:rsid w:val="00406BEB"/>
    <w:rsid w:val="004128D7"/>
    <w:rsid w:val="00420F6B"/>
    <w:rsid w:val="00435176"/>
    <w:rsid w:val="00445F6E"/>
    <w:rsid w:val="00454C43"/>
    <w:rsid w:val="00464C90"/>
    <w:rsid w:val="00476E00"/>
    <w:rsid w:val="00477245"/>
    <w:rsid w:val="00482877"/>
    <w:rsid w:val="00493A58"/>
    <w:rsid w:val="004A695A"/>
    <w:rsid w:val="004A717D"/>
    <w:rsid w:val="004B6FB9"/>
    <w:rsid w:val="004B737E"/>
    <w:rsid w:val="004C41DD"/>
    <w:rsid w:val="004D0C60"/>
    <w:rsid w:val="004D0D0C"/>
    <w:rsid w:val="004D0D5B"/>
    <w:rsid w:val="004D0F3A"/>
    <w:rsid w:val="004E1DED"/>
    <w:rsid w:val="004E70F2"/>
    <w:rsid w:val="004F08A6"/>
    <w:rsid w:val="004F7247"/>
    <w:rsid w:val="004F7F03"/>
    <w:rsid w:val="00506271"/>
    <w:rsid w:val="00520721"/>
    <w:rsid w:val="005212F5"/>
    <w:rsid w:val="005234D4"/>
    <w:rsid w:val="00535C18"/>
    <w:rsid w:val="00542368"/>
    <w:rsid w:val="00546EC9"/>
    <w:rsid w:val="005540E2"/>
    <w:rsid w:val="005605E8"/>
    <w:rsid w:val="00563C3D"/>
    <w:rsid w:val="00577A4E"/>
    <w:rsid w:val="005813BF"/>
    <w:rsid w:val="00582209"/>
    <w:rsid w:val="0058562E"/>
    <w:rsid w:val="0059146F"/>
    <w:rsid w:val="00596540"/>
    <w:rsid w:val="005A5373"/>
    <w:rsid w:val="005D3F9D"/>
    <w:rsid w:val="005D4BE4"/>
    <w:rsid w:val="005D5164"/>
    <w:rsid w:val="005E0F58"/>
    <w:rsid w:val="005E426F"/>
    <w:rsid w:val="005F2A60"/>
    <w:rsid w:val="005F644E"/>
    <w:rsid w:val="00612C5D"/>
    <w:rsid w:val="00616EFE"/>
    <w:rsid w:val="00620E58"/>
    <w:rsid w:val="006240DF"/>
    <w:rsid w:val="00625147"/>
    <w:rsid w:val="0062588C"/>
    <w:rsid w:val="0063236F"/>
    <w:rsid w:val="00637472"/>
    <w:rsid w:val="00637F24"/>
    <w:rsid w:val="006438D2"/>
    <w:rsid w:val="006440F4"/>
    <w:rsid w:val="00644844"/>
    <w:rsid w:val="00646C46"/>
    <w:rsid w:val="0065049A"/>
    <w:rsid w:val="006873CF"/>
    <w:rsid w:val="006970F2"/>
    <w:rsid w:val="006A4E35"/>
    <w:rsid w:val="006C1847"/>
    <w:rsid w:val="006C1E3E"/>
    <w:rsid w:val="006C5C99"/>
    <w:rsid w:val="006D3513"/>
    <w:rsid w:val="006D7646"/>
    <w:rsid w:val="0070097B"/>
    <w:rsid w:val="007009B3"/>
    <w:rsid w:val="00703ACE"/>
    <w:rsid w:val="00704FCE"/>
    <w:rsid w:val="00711559"/>
    <w:rsid w:val="00712541"/>
    <w:rsid w:val="007128DC"/>
    <w:rsid w:val="0072398C"/>
    <w:rsid w:val="00725744"/>
    <w:rsid w:val="00730E7A"/>
    <w:rsid w:val="00734581"/>
    <w:rsid w:val="00741CDE"/>
    <w:rsid w:val="00742B3F"/>
    <w:rsid w:val="00744E9C"/>
    <w:rsid w:val="007559E1"/>
    <w:rsid w:val="00755D12"/>
    <w:rsid w:val="007563FF"/>
    <w:rsid w:val="00762DFF"/>
    <w:rsid w:val="007739E9"/>
    <w:rsid w:val="007766E2"/>
    <w:rsid w:val="0078346C"/>
    <w:rsid w:val="00786096"/>
    <w:rsid w:val="007923CC"/>
    <w:rsid w:val="007B21A0"/>
    <w:rsid w:val="007B57D4"/>
    <w:rsid w:val="007B5C54"/>
    <w:rsid w:val="007C1822"/>
    <w:rsid w:val="007D1187"/>
    <w:rsid w:val="007D6BF8"/>
    <w:rsid w:val="007E23FE"/>
    <w:rsid w:val="007E3EA0"/>
    <w:rsid w:val="007E65C3"/>
    <w:rsid w:val="007E75B8"/>
    <w:rsid w:val="00801DCB"/>
    <w:rsid w:val="00803051"/>
    <w:rsid w:val="00806247"/>
    <w:rsid w:val="00812D23"/>
    <w:rsid w:val="008149FD"/>
    <w:rsid w:val="00831C43"/>
    <w:rsid w:val="00833810"/>
    <w:rsid w:val="008433F1"/>
    <w:rsid w:val="00883F2E"/>
    <w:rsid w:val="00891EBB"/>
    <w:rsid w:val="008949D1"/>
    <w:rsid w:val="00897A15"/>
    <w:rsid w:val="008A0A2D"/>
    <w:rsid w:val="008A1E40"/>
    <w:rsid w:val="008A6CD8"/>
    <w:rsid w:val="008B7578"/>
    <w:rsid w:val="008C1269"/>
    <w:rsid w:val="008C1D3C"/>
    <w:rsid w:val="008D31E4"/>
    <w:rsid w:val="008E4F2E"/>
    <w:rsid w:val="008E7DE4"/>
    <w:rsid w:val="008F044E"/>
    <w:rsid w:val="008F08EA"/>
    <w:rsid w:val="00902550"/>
    <w:rsid w:val="00903077"/>
    <w:rsid w:val="009039B5"/>
    <w:rsid w:val="00914B04"/>
    <w:rsid w:val="009218D7"/>
    <w:rsid w:val="00922018"/>
    <w:rsid w:val="0092278E"/>
    <w:rsid w:val="00926A0D"/>
    <w:rsid w:val="009403DB"/>
    <w:rsid w:val="009462E6"/>
    <w:rsid w:val="009522C1"/>
    <w:rsid w:val="00962152"/>
    <w:rsid w:val="00963142"/>
    <w:rsid w:val="0096396A"/>
    <w:rsid w:val="00974B38"/>
    <w:rsid w:val="00983372"/>
    <w:rsid w:val="009A4179"/>
    <w:rsid w:val="009A4CA2"/>
    <w:rsid w:val="009A7A74"/>
    <w:rsid w:val="009C28F8"/>
    <w:rsid w:val="009C30F7"/>
    <w:rsid w:val="009C70A4"/>
    <w:rsid w:val="009D129A"/>
    <w:rsid w:val="009D15A2"/>
    <w:rsid w:val="009E6016"/>
    <w:rsid w:val="009F3D3B"/>
    <w:rsid w:val="00A0508C"/>
    <w:rsid w:val="00A0514D"/>
    <w:rsid w:val="00A235AF"/>
    <w:rsid w:val="00A35C25"/>
    <w:rsid w:val="00A64195"/>
    <w:rsid w:val="00A65625"/>
    <w:rsid w:val="00A71EBD"/>
    <w:rsid w:val="00A76E98"/>
    <w:rsid w:val="00A77B3E"/>
    <w:rsid w:val="00A82D7E"/>
    <w:rsid w:val="00A85363"/>
    <w:rsid w:val="00A853A4"/>
    <w:rsid w:val="00A86055"/>
    <w:rsid w:val="00A93BE4"/>
    <w:rsid w:val="00A95A02"/>
    <w:rsid w:val="00AA3867"/>
    <w:rsid w:val="00AA3E27"/>
    <w:rsid w:val="00AA4FBD"/>
    <w:rsid w:val="00AB1890"/>
    <w:rsid w:val="00AC4697"/>
    <w:rsid w:val="00AD1E9E"/>
    <w:rsid w:val="00AE1E78"/>
    <w:rsid w:val="00AE63D3"/>
    <w:rsid w:val="00AF319D"/>
    <w:rsid w:val="00B149F7"/>
    <w:rsid w:val="00B15693"/>
    <w:rsid w:val="00B21EB6"/>
    <w:rsid w:val="00B25A6B"/>
    <w:rsid w:val="00B31EA3"/>
    <w:rsid w:val="00B369CA"/>
    <w:rsid w:val="00B40CDF"/>
    <w:rsid w:val="00B43DDC"/>
    <w:rsid w:val="00B4408F"/>
    <w:rsid w:val="00B65E68"/>
    <w:rsid w:val="00B82CE6"/>
    <w:rsid w:val="00B92704"/>
    <w:rsid w:val="00BA04A7"/>
    <w:rsid w:val="00BB14D7"/>
    <w:rsid w:val="00BB2286"/>
    <w:rsid w:val="00BB76A8"/>
    <w:rsid w:val="00BC3A3B"/>
    <w:rsid w:val="00BE0DF1"/>
    <w:rsid w:val="00BE563F"/>
    <w:rsid w:val="00BF4818"/>
    <w:rsid w:val="00C019CE"/>
    <w:rsid w:val="00C031C0"/>
    <w:rsid w:val="00C14A95"/>
    <w:rsid w:val="00C27F32"/>
    <w:rsid w:val="00C33F3E"/>
    <w:rsid w:val="00C34AE3"/>
    <w:rsid w:val="00C35A06"/>
    <w:rsid w:val="00C45290"/>
    <w:rsid w:val="00C51328"/>
    <w:rsid w:val="00C53D98"/>
    <w:rsid w:val="00C61046"/>
    <w:rsid w:val="00C710F7"/>
    <w:rsid w:val="00C73352"/>
    <w:rsid w:val="00C80D55"/>
    <w:rsid w:val="00C85B9F"/>
    <w:rsid w:val="00C96577"/>
    <w:rsid w:val="00C96D4B"/>
    <w:rsid w:val="00CA0A1D"/>
    <w:rsid w:val="00CA21B7"/>
    <w:rsid w:val="00CA2A55"/>
    <w:rsid w:val="00CA3617"/>
    <w:rsid w:val="00CA6B00"/>
    <w:rsid w:val="00CA7645"/>
    <w:rsid w:val="00CB2252"/>
    <w:rsid w:val="00CD2B01"/>
    <w:rsid w:val="00CE35EE"/>
    <w:rsid w:val="00D1204F"/>
    <w:rsid w:val="00D1481E"/>
    <w:rsid w:val="00D248E3"/>
    <w:rsid w:val="00D37FBC"/>
    <w:rsid w:val="00D4050F"/>
    <w:rsid w:val="00D51442"/>
    <w:rsid w:val="00D71D3E"/>
    <w:rsid w:val="00D72598"/>
    <w:rsid w:val="00D810B4"/>
    <w:rsid w:val="00D872EF"/>
    <w:rsid w:val="00D92F58"/>
    <w:rsid w:val="00D9405C"/>
    <w:rsid w:val="00D94FAB"/>
    <w:rsid w:val="00DB7184"/>
    <w:rsid w:val="00DC1832"/>
    <w:rsid w:val="00DC4BC2"/>
    <w:rsid w:val="00DD0939"/>
    <w:rsid w:val="00DD42AC"/>
    <w:rsid w:val="00DD4592"/>
    <w:rsid w:val="00DE13FF"/>
    <w:rsid w:val="00DF5780"/>
    <w:rsid w:val="00E016C3"/>
    <w:rsid w:val="00E132AE"/>
    <w:rsid w:val="00E212BD"/>
    <w:rsid w:val="00E27003"/>
    <w:rsid w:val="00E36325"/>
    <w:rsid w:val="00E36A85"/>
    <w:rsid w:val="00E46166"/>
    <w:rsid w:val="00E51F75"/>
    <w:rsid w:val="00E5600C"/>
    <w:rsid w:val="00E65C97"/>
    <w:rsid w:val="00E7111D"/>
    <w:rsid w:val="00E740EA"/>
    <w:rsid w:val="00E8623C"/>
    <w:rsid w:val="00E866CB"/>
    <w:rsid w:val="00E9196E"/>
    <w:rsid w:val="00E93208"/>
    <w:rsid w:val="00E95B07"/>
    <w:rsid w:val="00E96A64"/>
    <w:rsid w:val="00EA1436"/>
    <w:rsid w:val="00EA4E48"/>
    <w:rsid w:val="00EA55CC"/>
    <w:rsid w:val="00EB1B68"/>
    <w:rsid w:val="00EB6436"/>
    <w:rsid w:val="00EC511E"/>
    <w:rsid w:val="00EC7D38"/>
    <w:rsid w:val="00ED25F9"/>
    <w:rsid w:val="00ED7FDA"/>
    <w:rsid w:val="00EE4929"/>
    <w:rsid w:val="00EE744A"/>
    <w:rsid w:val="00EF38E6"/>
    <w:rsid w:val="00EF5C82"/>
    <w:rsid w:val="00F150ED"/>
    <w:rsid w:val="00F26F81"/>
    <w:rsid w:val="00F3202B"/>
    <w:rsid w:val="00F32A15"/>
    <w:rsid w:val="00F34CA7"/>
    <w:rsid w:val="00F353C0"/>
    <w:rsid w:val="00F41A15"/>
    <w:rsid w:val="00F41B50"/>
    <w:rsid w:val="00F43C54"/>
    <w:rsid w:val="00F50B86"/>
    <w:rsid w:val="00F52310"/>
    <w:rsid w:val="00F53354"/>
    <w:rsid w:val="00F56511"/>
    <w:rsid w:val="00F6031F"/>
    <w:rsid w:val="00F677C6"/>
    <w:rsid w:val="00F74028"/>
    <w:rsid w:val="00F81C84"/>
    <w:rsid w:val="00F86597"/>
    <w:rsid w:val="00F91EEC"/>
    <w:rsid w:val="00F92CD9"/>
    <w:rsid w:val="00F93378"/>
    <w:rsid w:val="00FA349E"/>
    <w:rsid w:val="00FA54FF"/>
    <w:rsid w:val="00FB32D9"/>
    <w:rsid w:val="00FB6D2C"/>
    <w:rsid w:val="00FC13F1"/>
    <w:rsid w:val="00FD2A99"/>
    <w:rsid w:val="00FD5633"/>
    <w:rsid w:val="00FD5BC1"/>
    <w:rsid w:val="00FD7B45"/>
    <w:rsid w:val="00FD7E18"/>
    <w:rsid w:val="00FF1B86"/>
    <w:rsid w:val="00FF31C4"/>
    <w:rsid w:val="00FF7B61"/>
    <w:rsid w:val="181F04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FCF4C"/>
  <w15:docId w15:val="{62216B34-0452-44AB-BA9C-F8996BA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keepNext/>
      <w:keepLines/>
      <w:bidi/>
      <w:spacing w:before="240" w:line="276" w:lineRule="auto"/>
      <w:outlineLvl w:val="0"/>
    </w:pPr>
    <w:rPr>
      <w:rFonts w:ascii="Calibri Light" w:hAnsi="Calibri Light"/>
      <w:color w:val="2E74B5"/>
      <w:sz w:val="32"/>
      <w:szCs w:val="32"/>
    </w:rPr>
  </w:style>
  <w:style w:type="paragraph" w:styleId="2">
    <w:name w:val="heading 2"/>
    <w:basedOn w:val="a"/>
    <w:next w:val="a"/>
    <w:link w:val="20"/>
    <w:uiPriority w:val="9"/>
    <w:semiHidden/>
    <w:unhideWhenUsed/>
    <w:qFormat/>
    <w:pPr>
      <w:keepNext/>
      <w:keepLines/>
      <w:bidi/>
      <w:spacing w:before="40" w:line="276" w:lineRule="auto"/>
      <w:outlineLvl w:val="1"/>
    </w:pPr>
    <w:rPr>
      <w:rFonts w:ascii="Calibri Light" w:hAnsi="Calibri Light"/>
      <w:color w:val="2E74B5"/>
      <w:sz w:val="26"/>
      <w:szCs w:val="26"/>
    </w:rPr>
  </w:style>
  <w:style w:type="paragraph" w:styleId="3">
    <w:name w:val="heading 3"/>
    <w:basedOn w:val="a"/>
    <w:next w:val="a"/>
    <w:link w:val="30"/>
    <w:uiPriority w:val="9"/>
    <w:semiHidden/>
    <w:unhideWhenUsed/>
    <w:qFormat/>
    <w:pPr>
      <w:keepNext/>
      <w:keepLines/>
      <w:bidi/>
      <w:spacing w:before="40" w:line="276" w:lineRule="auto"/>
      <w:outlineLvl w:val="2"/>
    </w:pPr>
    <w:rPr>
      <w:rFonts w:ascii="Calibri Light" w:hAnsi="Calibri Light"/>
      <w:color w:val="1F4D78"/>
    </w:rPr>
  </w:style>
  <w:style w:type="paragraph" w:styleId="4">
    <w:name w:val="heading 4"/>
    <w:basedOn w:val="a"/>
    <w:next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pPr>
      <w:spacing w:after="200"/>
    </w:pPr>
    <w:rPr>
      <w:i/>
      <w:iCs/>
      <w:color w:val="1F497D" w:themeColor="text2"/>
      <w:sz w:val="18"/>
      <w:szCs w:val="18"/>
    </w:rPr>
  </w:style>
  <w:style w:type="paragraph" w:styleId="a4">
    <w:name w:val="annotation text"/>
    <w:basedOn w:val="a"/>
    <w:link w:val="a5"/>
    <w:uiPriority w:val="99"/>
    <w:unhideWhenUsed/>
    <w:qFormat/>
    <w:pPr>
      <w:bidi/>
      <w:spacing w:after="200"/>
    </w:pPr>
    <w:rPr>
      <w:rFonts w:ascii="Calibri" w:eastAsia="Calibri" w:hAnsi="Calibri" w:cs="Arial"/>
      <w:sz w:val="20"/>
      <w:szCs w:val="20"/>
    </w:rPr>
  </w:style>
  <w:style w:type="paragraph" w:styleId="a6">
    <w:name w:val="Balloon Text"/>
    <w:basedOn w:val="a"/>
    <w:link w:val="a7"/>
    <w:uiPriority w:val="99"/>
    <w:semiHidden/>
    <w:unhideWhenUsed/>
    <w:qFormat/>
    <w:pPr>
      <w:bidi/>
    </w:pPr>
    <w:rPr>
      <w:rFonts w:ascii="Tahoma" w:eastAsia="Calibri" w:hAnsi="Tahoma" w:cs="Tahoma"/>
      <w:sz w:val="16"/>
      <w:szCs w:val="16"/>
    </w:rPr>
  </w:style>
  <w:style w:type="paragraph" w:styleId="a8">
    <w:name w:val="footer"/>
    <w:basedOn w:val="a"/>
    <w:link w:val="a9"/>
    <w:uiPriority w:val="99"/>
    <w:unhideWhenUsed/>
    <w:qFormat/>
    <w:pPr>
      <w:tabs>
        <w:tab w:val="center" w:pos="4680"/>
        <w:tab w:val="right" w:pos="9360"/>
      </w:tabs>
    </w:pPr>
  </w:style>
  <w:style w:type="paragraph" w:styleId="aa">
    <w:name w:val="header"/>
    <w:basedOn w:val="a"/>
    <w:link w:val="ab"/>
    <w:uiPriority w:val="99"/>
    <w:unhideWhenUsed/>
    <w:qFormat/>
    <w:pPr>
      <w:tabs>
        <w:tab w:val="center" w:pos="4680"/>
        <w:tab w:val="right" w:pos="9360"/>
      </w:tabs>
    </w:pPr>
  </w:style>
  <w:style w:type="paragraph" w:styleId="ac">
    <w:name w:val="Normal (Web)"/>
    <w:basedOn w:val="a"/>
    <w:uiPriority w:val="99"/>
    <w:unhideWhenUsed/>
    <w:qFormat/>
    <w:pPr>
      <w:spacing w:before="100" w:beforeAutospacing="1" w:after="100" w:afterAutospacing="1"/>
    </w:pPr>
  </w:style>
  <w:style w:type="paragraph" w:styleId="ad">
    <w:name w:val="annotation subject"/>
    <w:basedOn w:val="a4"/>
    <w:next w:val="a4"/>
    <w:link w:val="ae"/>
    <w:uiPriority w:val="99"/>
    <w:semiHidden/>
    <w:unhideWhenUsed/>
    <w:qFormat/>
    <w:rPr>
      <w:b/>
      <w:bCs/>
    </w:rPr>
  </w:style>
  <w:style w:type="character" w:styleId="af">
    <w:name w:val="Strong"/>
    <w:uiPriority w:val="22"/>
    <w:qFormat/>
    <w:rPr>
      <w:b/>
      <w:bCs/>
    </w:rPr>
  </w:style>
  <w:style w:type="character" w:styleId="af0">
    <w:name w:val="FollowedHyperlink"/>
    <w:uiPriority w:val="99"/>
    <w:semiHidden/>
    <w:unhideWhenUsed/>
    <w:qFormat/>
    <w:rPr>
      <w:color w:val="954F72"/>
      <w:u w:val="single"/>
    </w:rPr>
  </w:style>
  <w:style w:type="character" w:styleId="af1">
    <w:name w:val="Emphasis"/>
    <w:uiPriority w:val="20"/>
    <w:qFormat/>
    <w:rPr>
      <w:i/>
      <w:iCs/>
    </w:rPr>
  </w:style>
  <w:style w:type="character" w:styleId="af2">
    <w:name w:val="line number"/>
    <w:basedOn w:val="a0"/>
    <w:uiPriority w:val="99"/>
    <w:semiHidden/>
    <w:unhideWhenUsed/>
    <w:qFormat/>
  </w:style>
  <w:style w:type="character" w:styleId="af3">
    <w:name w:val="Hyperlink"/>
    <w:uiPriority w:val="99"/>
    <w:unhideWhenUsed/>
    <w:rPr>
      <w:color w:val="0000FF"/>
      <w:u w:val="single"/>
    </w:rPr>
  </w:style>
  <w:style w:type="character" w:styleId="af4">
    <w:name w:val="annotation reference"/>
    <w:uiPriority w:val="99"/>
    <w:semiHidden/>
    <w:unhideWhenUsed/>
    <w:qFormat/>
    <w:rPr>
      <w:sz w:val="16"/>
      <w:szCs w:val="16"/>
    </w:rPr>
  </w:style>
  <w:style w:type="character" w:customStyle="1" w:styleId="mixed-citation">
    <w:name w:val="mixed-citation"/>
    <w:basedOn w:val="a0"/>
    <w:qFormat/>
  </w:style>
  <w:style w:type="character" w:customStyle="1" w:styleId="ab">
    <w:name w:val="页眉 字符"/>
    <w:basedOn w:val="a0"/>
    <w:link w:val="aa"/>
    <w:uiPriority w:val="99"/>
    <w:qFormat/>
    <w:rPr>
      <w:sz w:val="24"/>
      <w:szCs w:val="24"/>
    </w:rPr>
  </w:style>
  <w:style w:type="character" w:customStyle="1" w:styleId="a9">
    <w:name w:val="页脚 字符"/>
    <w:basedOn w:val="a0"/>
    <w:link w:val="a8"/>
    <w:uiPriority w:val="99"/>
    <w:qFormat/>
    <w:rPr>
      <w:sz w:val="24"/>
      <w:szCs w:val="24"/>
    </w:rPr>
  </w:style>
  <w:style w:type="character" w:customStyle="1" w:styleId="10">
    <w:name w:val="标题 1 字符"/>
    <w:basedOn w:val="a0"/>
    <w:link w:val="1"/>
    <w:uiPriority w:val="9"/>
    <w:qFormat/>
    <w:rPr>
      <w:rFonts w:ascii="Calibri Light" w:hAnsi="Calibri Light"/>
      <w:color w:val="2E74B5"/>
      <w:sz w:val="32"/>
      <w:szCs w:val="32"/>
    </w:rPr>
  </w:style>
  <w:style w:type="character" w:customStyle="1" w:styleId="20">
    <w:name w:val="标题 2 字符"/>
    <w:basedOn w:val="a0"/>
    <w:link w:val="2"/>
    <w:uiPriority w:val="9"/>
    <w:semiHidden/>
    <w:qFormat/>
    <w:rPr>
      <w:rFonts w:ascii="Calibri Light" w:hAnsi="Calibri Light"/>
      <w:color w:val="2E74B5"/>
      <w:sz w:val="26"/>
      <w:szCs w:val="26"/>
    </w:rPr>
  </w:style>
  <w:style w:type="character" w:customStyle="1" w:styleId="30">
    <w:name w:val="标题 3 字符"/>
    <w:basedOn w:val="a0"/>
    <w:link w:val="3"/>
    <w:uiPriority w:val="9"/>
    <w:semiHidden/>
    <w:rPr>
      <w:rFonts w:ascii="Calibri Light" w:hAnsi="Calibri Light"/>
      <w:color w:val="1F4D78"/>
      <w:sz w:val="24"/>
      <w:szCs w:val="24"/>
    </w:rPr>
  </w:style>
  <w:style w:type="character" w:customStyle="1" w:styleId="40">
    <w:name w:val="标题 4 字符"/>
    <w:basedOn w:val="a0"/>
    <w:link w:val="4"/>
    <w:uiPriority w:val="9"/>
    <w:qFormat/>
    <w:rPr>
      <w:b/>
      <w:bCs/>
      <w:sz w:val="24"/>
      <w:szCs w:val="24"/>
    </w:rPr>
  </w:style>
  <w:style w:type="paragraph" w:customStyle="1" w:styleId="Default">
    <w:name w:val="Default"/>
    <w:qFormat/>
    <w:pPr>
      <w:autoSpaceDE w:val="0"/>
      <w:autoSpaceDN w:val="0"/>
      <w:adjustRightInd w:val="0"/>
    </w:pPr>
    <w:rPr>
      <w:rFonts w:ascii="GEPHM F+ Gulliver" w:eastAsia="Calibri" w:hAnsi="GEPHM F+ Gulliver" w:cs="GEPHM F+ Gulliver"/>
      <w:color w:val="000000"/>
      <w:sz w:val="24"/>
      <w:szCs w:val="24"/>
      <w:lang w:eastAsia="en-US"/>
    </w:rPr>
  </w:style>
  <w:style w:type="character" w:customStyle="1" w:styleId="period">
    <w:name w:val="period"/>
    <w:basedOn w:val="a0"/>
    <w:qFormat/>
  </w:style>
  <w:style w:type="character" w:customStyle="1" w:styleId="cit">
    <w:name w:val="cit"/>
    <w:basedOn w:val="a0"/>
    <w:qFormat/>
  </w:style>
  <w:style w:type="character" w:customStyle="1" w:styleId="citation-doi">
    <w:name w:val="citation-doi"/>
    <w:basedOn w:val="a0"/>
    <w:qFormat/>
  </w:style>
  <w:style w:type="character" w:customStyle="1" w:styleId="secondary-date">
    <w:name w:val="secondary-date"/>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figpopup-sensitive-area">
    <w:name w:val="figpopup-sensitive-area"/>
    <w:basedOn w:val="a0"/>
    <w:qFormat/>
  </w:style>
  <w:style w:type="paragraph" w:customStyle="1" w:styleId="p">
    <w:name w:val="p"/>
    <w:basedOn w:val="a"/>
    <w:qFormat/>
    <w:pPr>
      <w:spacing w:before="100" w:beforeAutospacing="1" w:after="100" w:afterAutospacing="1"/>
    </w:pPr>
  </w:style>
  <w:style w:type="character" w:customStyle="1" w:styleId="title-text">
    <w:name w:val="title-text"/>
    <w:basedOn w:val="a0"/>
    <w:qFormat/>
  </w:style>
  <w:style w:type="character" w:customStyle="1" w:styleId="anchor-text">
    <w:name w:val="anchor-text"/>
    <w:basedOn w:val="a0"/>
    <w:qFormat/>
  </w:style>
  <w:style w:type="character" w:customStyle="1" w:styleId="element-citation">
    <w:name w:val="element-citation"/>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nowrap">
    <w:name w:val="nowrap"/>
    <w:basedOn w:val="a0"/>
    <w:qFormat/>
  </w:style>
  <w:style w:type="character" w:customStyle="1" w:styleId="fm-vol-iss-date">
    <w:name w:val="fm-vol-iss-date"/>
    <w:basedOn w:val="a0"/>
    <w:qFormat/>
  </w:style>
  <w:style w:type="character" w:customStyle="1" w:styleId="doi">
    <w:name w:val="doi"/>
    <w:basedOn w:val="a0"/>
    <w:qFormat/>
  </w:style>
  <w:style w:type="character" w:customStyle="1" w:styleId="fm-citation-ids-label">
    <w:name w:val="fm-citation-ids-label"/>
    <w:basedOn w:val="a0"/>
    <w:qFormat/>
  </w:style>
  <w:style w:type="character" w:customStyle="1" w:styleId="article-headerpages">
    <w:name w:val="article-header__pages"/>
    <w:basedOn w:val="a0"/>
    <w:qFormat/>
  </w:style>
  <w:style w:type="character" w:customStyle="1" w:styleId="article-headerdate">
    <w:name w:val="article-header__date"/>
    <w:basedOn w:val="a0"/>
    <w:qFormat/>
  </w:style>
  <w:style w:type="character" w:customStyle="1" w:styleId="ref-title">
    <w:name w:val="ref-title"/>
    <w:basedOn w:val="a0"/>
    <w:qFormat/>
  </w:style>
  <w:style w:type="character" w:customStyle="1" w:styleId="ref-iss">
    <w:name w:val="ref-iss"/>
    <w:basedOn w:val="a0"/>
    <w:qFormat/>
  </w:style>
  <w:style w:type="character" w:customStyle="1" w:styleId="publicationmetajournal">
    <w:name w:val="publication_meta_journal"/>
    <w:basedOn w:val="a0"/>
    <w:qFormat/>
  </w:style>
  <w:style w:type="paragraph" w:styleId="af5">
    <w:name w:val="List Paragraph"/>
    <w:basedOn w:val="a"/>
    <w:link w:val="af6"/>
    <w:uiPriority w:val="34"/>
    <w:qFormat/>
    <w:pPr>
      <w:bidi/>
      <w:spacing w:after="200" w:line="276" w:lineRule="auto"/>
      <w:ind w:left="720"/>
      <w:contextualSpacing/>
    </w:pPr>
    <w:rPr>
      <w:rFonts w:ascii="Calibri" w:eastAsia="Calibri" w:hAnsi="Calibri" w:cs="Arial"/>
      <w:sz w:val="22"/>
      <w:szCs w:val="22"/>
    </w:rPr>
  </w:style>
  <w:style w:type="character" w:customStyle="1" w:styleId="a5">
    <w:name w:val="批注文字 字符"/>
    <w:basedOn w:val="a0"/>
    <w:link w:val="a4"/>
    <w:uiPriority w:val="99"/>
    <w:qFormat/>
    <w:rPr>
      <w:rFonts w:ascii="Calibri" w:eastAsia="Calibri" w:hAnsi="Calibri" w:cs="Arial"/>
    </w:rPr>
  </w:style>
  <w:style w:type="character" w:customStyle="1" w:styleId="ae">
    <w:name w:val="批注主题 字符"/>
    <w:basedOn w:val="a5"/>
    <w:link w:val="ad"/>
    <w:uiPriority w:val="99"/>
    <w:semiHidden/>
    <w:qFormat/>
    <w:rPr>
      <w:rFonts w:ascii="Calibri" w:eastAsia="Calibri" w:hAnsi="Calibri" w:cs="Arial"/>
      <w:b/>
      <w:bCs/>
    </w:rPr>
  </w:style>
  <w:style w:type="character" w:customStyle="1" w:styleId="a7">
    <w:name w:val="批注框文本 字符"/>
    <w:basedOn w:val="a0"/>
    <w:link w:val="a6"/>
    <w:uiPriority w:val="99"/>
    <w:semiHidden/>
    <w:qFormat/>
    <w:rPr>
      <w:rFonts w:ascii="Tahoma" w:eastAsia="Calibri" w:hAnsi="Tahoma" w:cs="Tahoma"/>
      <w:sz w:val="16"/>
      <w:szCs w:val="16"/>
    </w:rPr>
  </w:style>
  <w:style w:type="paragraph" w:styleId="af7">
    <w:name w:val="No Spacing"/>
    <w:uiPriority w:val="1"/>
    <w:qFormat/>
    <w:rPr>
      <w:rFonts w:ascii="Calibri" w:eastAsia="Calibri" w:hAnsi="Calibri" w:cs="Arial"/>
      <w:sz w:val="22"/>
      <w:szCs w:val="22"/>
      <w:lang w:eastAsia="en-US"/>
    </w:rPr>
  </w:style>
  <w:style w:type="character" w:customStyle="1" w:styleId="label">
    <w:name w:val="label"/>
    <w:basedOn w:val="a0"/>
    <w:qFormat/>
  </w:style>
  <w:style w:type="character" w:customStyle="1" w:styleId="inlineblock">
    <w:name w:val="inlineblock"/>
    <w:basedOn w:val="a0"/>
    <w:qFormat/>
  </w:style>
  <w:style w:type="character" w:customStyle="1" w:styleId="sciprofiles-linkname">
    <w:name w:val="sciprofiles-link__name"/>
    <w:basedOn w:val="a0"/>
    <w:qFormat/>
  </w:style>
  <w:style w:type="character" w:customStyle="1" w:styleId="af6">
    <w:name w:val="列表段落 字符"/>
    <w:link w:val="af5"/>
    <w:uiPriority w:val="34"/>
    <w:qFormat/>
    <w:locked/>
    <w:rPr>
      <w:rFonts w:ascii="Calibri" w:eastAsia="Calibri" w:hAnsi="Calibri" w:cs="Arial"/>
      <w:sz w:val="22"/>
      <w:szCs w:val="22"/>
    </w:rPr>
  </w:style>
  <w:style w:type="paragraph" w:customStyle="1" w:styleId="11">
    <w:name w:val="修订1"/>
    <w:hidden/>
    <w:uiPriority w:val="99"/>
    <w:semiHidden/>
    <w:qFormat/>
    <w:rPr>
      <w:sz w:val="24"/>
      <w:szCs w:val="24"/>
      <w:lang w:eastAsia="en-US"/>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hAnsi="Courier New" w:cs="Courier New"/>
      <w:sz w:val="20"/>
      <w:szCs w:val="21"/>
    </w:rPr>
  </w:style>
  <w:style w:type="character" w:customStyle="1" w:styleId="identifier">
    <w:name w:val="identifier"/>
    <w:basedOn w:val="a0"/>
    <w:qFormat/>
  </w:style>
  <w:style w:type="character" w:customStyle="1" w:styleId="id-label">
    <w:name w:val="id-label"/>
    <w:basedOn w:val="a0"/>
    <w:qFormat/>
  </w:style>
  <w:style w:type="character" w:customStyle="1" w:styleId="docsum-journal-citation">
    <w:name w:val="docsum-journal-citation"/>
    <w:basedOn w:val="a0"/>
    <w:qFormat/>
  </w:style>
  <w:style w:type="character" w:customStyle="1" w:styleId="citation-part">
    <w:name w:val="citation-part"/>
    <w:basedOn w:val="a0"/>
    <w:qFormat/>
  </w:style>
  <w:style w:type="character" w:customStyle="1" w:styleId="docsum-pmid">
    <w:name w:val="docsum-pmid"/>
    <w:basedOn w:val="a0"/>
  </w:style>
  <w:style w:type="character" w:customStyle="1" w:styleId="free-label">
    <w:name w:val="free-label"/>
    <w:basedOn w:val="a0"/>
    <w:qFormat/>
  </w:style>
  <w:style w:type="paragraph" w:customStyle="1" w:styleId="nova-legacy-e-listitem">
    <w:name w:val="nova-legacy-e-list__item"/>
    <w:basedOn w:val="a"/>
    <w:qFormat/>
    <w:pPr>
      <w:spacing w:before="100" w:beforeAutospacing="1" w:after="100" w:afterAutospacing="1"/>
    </w:pPr>
    <w:rPr>
      <w:rFonts w:eastAsia="Times New Roman"/>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doilabel">
    <w:name w:val="doi__label"/>
    <w:basedOn w:val="a0"/>
    <w:qFormat/>
  </w:style>
  <w:style w:type="character" w:customStyle="1" w:styleId="metadata--doi">
    <w:name w:val="metadata--doi"/>
    <w:basedOn w:val="a0"/>
    <w:qFormat/>
  </w:style>
  <w:style w:type="character" w:customStyle="1" w:styleId="metadata--pmid">
    <w:name w:val="metadata--pmid"/>
    <w:basedOn w:val="a0"/>
    <w:qFormat/>
  </w:style>
  <w:style w:type="character" w:customStyle="1" w:styleId="color">
    <w:name w:val="colo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0B01-290A-42B2-ACE8-93CB5741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17019</Words>
  <Characters>97010</Characters>
  <Application>Microsoft Office Word</Application>
  <DocSecurity>0</DocSecurity>
  <Lines>808</Lines>
  <Paragraphs>227</Paragraphs>
  <ScaleCrop>false</ScaleCrop>
  <Company/>
  <LinksUpToDate>false</LinksUpToDate>
  <CharactersWithSpaces>113802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wdm</cp:lastModifiedBy>
  <cp:revision>6</cp:revision>
  <dcterms:created xsi:type="dcterms:W3CDTF">2022-05-22T07:11:00Z</dcterms:created>
  <dcterms:modified xsi:type="dcterms:W3CDTF">2022-07-05T08:00:00Z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B013E700AC23425CB26E29F3975D30D6</vt:lpwstr>
  </property>
</Properties>
</file>