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184D2D" w:rsidP="00F50781">
      <w:pPr>
        <w:rPr>
          <w:rFonts w:ascii="Book Antiqua" w:hAnsi="Book Antiqua"/>
          <w:b/>
          <w:noProof/>
          <w:color w:val="0000FF"/>
          <w:sz w:val="28"/>
          <w:szCs w:val="28"/>
          <w:shd w:val="clear" w:color="auto" w:fill="FFFFFF"/>
        </w:rPr>
      </w:pPr>
      <w:r>
        <w:rPr>
          <w:noProof/>
        </w:rPr>
        <w:drawing>
          <wp:inline distT="0" distB="0" distL="0" distR="0" wp14:anchorId="7CBCE938" wp14:editId="5E872C7C">
            <wp:extent cx="5874106" cy="13556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77174" cy="1356375"/>
                    </a:xfrm>
                    <a:prstGeom prst="rect">
                      <a:avLst/>
                    </a:prstGeom>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B64DB1" w:rsidRPr="0072071C" w:rsidRDefault="0072071C">
            <w:pPr>
              <w:spacing w:line="360" w:lineRule="auto"/>
              <w:rPr>
                <w:rFonts w:ascii="Book Antiqua" w:hAnsi="Book Antiqua"/>
                <w:bCs/>
                <w:color w:val="000000"/>
                <w:sz w:val="24"/>
                <w:szCs w:val="24"/>
              </w:rPr>
            </w:pPr>
            <w:r w:rsidRPr="0072071C">
              <w:rPr>
                <w:rFonts w:ascii="Book Antiqua" w:hAnsi="Book Antiqua"/>
                <w:bCs/>
                <w:color w:val="000000"/>
                <w:sz w:val="24"/>
                <w:szCs w:val="24"/>
              </w:rPr>
              <w:t>Cardiovascular assessment in liver transplant for non-alcoholic steatohepatitis patients: What we do, what we should do</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B64DB1" w:rsidRPr="0072071C" w:rsidRDefault="0072071C">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sidRPr="0072071C">
              <w:rPr>
                <w:rFonts w:ascii="Book Antiqua" w:hAnsi="Book Antiqua" w:cs="Book Antiqua"/>
                <w:color w:val="000000"/>
                <w:sz w:val="24"/>
                <w:szCs w:val="24"/>
              </w:rPr>
              <w:t>Yolanda Sanchez-Torrijos, Javier Ampuero, Manuel Romero-Gómez</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B64DB1" w:rsidRPr="0072071C" w:rsidRDefault="0072071C">
            <w:pPr>
              <w:pStyle w:val="a9"/>
              <w:spacing w:line="360" w:lineRule="auto"/>
              <w:rPr>
                <w:rFonts w:ascii="Book Antiqua" w:hAnsi="Book Antiqua"/>
                <w:sz w:val="24"/>
                <w:szCs w:val="24"/>
              </w:rPr>
            </w:pPr>
            <w:r w:rsidRPr="0072071C">
              <w:rPr>
                <w:rFonts w:ascii="Book Antiqua" w:hAnsi="Book Antiqua"/>
                <w:sz w:val="24"/>
                <w:szCs w:val="24"/>
              </w:rPr>
              <w:t>Sanchez-Torrijos Y, Ampuero J, Romero-Gómez M. Cardio</w:t>
            </w:r>
            <w:r w:rsidRPr="0072071C">
              <w:rPr>
                <w:rFonts w:ascii="Book Antiqua" w:hAnsi="Book Antiqua"/>
                <w:sz w:val="24"/>
                <w:szCs w:val="24"/>
              </w:rPr>
              <w:softHyphen/>
              <w:t>vascular assessment in liver transplant for non-alcoholic steatohepatitis patients: What we do, what we should do.</w:t>
            </w:r>
            <w:r w:rsidRPr="0072071C">
              <w:rPr>
                <w:rFonts w:ascii="Book Antiqua" w:hAnsi="Book Antiqua"/>
                <w:i/>
                <w:iCs/>
                <w:sz w:val="24"/>
                <w:szCs w:val="24"/>
              </w:rPr>
              <w:t xml:space="preserve"> World J Hepatol</w:t>
            </w:r>
            <w:r>
              <w:rPr>
                <w:rFonts w:ascii="Book Antiqua" w:hAnsi="Book Antiqua"/>
                <w:sz w:val="24"/>
                <w:szCs w:val="24"/>
              </w:rPr>
              <w:t xml:space="preserve"> 2017; 9(15): 697-703</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72071C" w:rsidRDefault="0072071C" w:rsidP="003577BA">
            <w:pPr>
              <w:pStyle w:val="a8"/>
              <w:spacing w:line="360" w:lineRule="auto"/>
              <w:rPr>
                <w:rFonts w:ascii="Book Antiqua" w:hAnsi="Book Antiqua"/>
                <w:b w:val="0"/>
                <w:sz w:val="24"/>
                <w:szCs w:val="24"/>
                <w:lang w:val="en-US"/>
              </w:rPr>
            </w:pPr>
            <w:r w:rsidRPr="0072071C">
              <w:rPr>
                <w:rFonts w:ascii="Book Antiqua" w:hAnsi="Book Antiqua"/>
                <w:b w:val="0"/>
                <w:sz w:val="24"/>
                <w:szCs w:val="24"/>
                <w:lang w:val="en-US"/>
              </w:rPr>
              <w:t>http://www.wjgnet.com/1948-5182/full/v9/i15/697.htm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72071C" w:rsidRDefault="0072071C" w:rsidP="003577BA">
            <w:pPr>
              <w:pStyle w:val="a8"/>
              <w:spacing w:line="360" w:lineRule="auto"/>
              <w:rPr>
                <w:rFonts w:ascii="Book Antiqua" w:hAnsi="Book Antiqua"/>
                <w:b w:val="0"/>
                <w:sz w:val="24"/>
                <w:szCs w:val="24"/>
                <w:lang w:val="en-US"/>
              </w:rPr>
            </w:pPr>
            <w:r w:rsidRPr="0072071C">
              <w:rPr>
                <w:rFonts w:ascii="Book Antiqua" w:hAnsi="Book Antiqua"/>
                <w:b w:val="0"/>
                <w:sz w:val="24"/>
                <w:szCs w:val="24"/>
                <w:lang w:val="en-US"/>
              </w:rPr>
              <w:t>http://dx.doi.org/10.4254/wjh.v9.i15.697</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B64DB1" w:rsidRDefault="008F437D">
            <w:pPr>
              <w:pStyle w:val="aa"/>
              <w:spacing w:line="360" w:lineRule="auto"/>
              <w:rPr>
                <w:rFonts w:ascii="Book Antiqua" w:hAnsi="Book Antiqua"/>
                <w:color w:val="000000"/>
                <w:sz w:val="24"/>
                <w:szCs w:val="24"/>
                <w:lang w:val="zh-CN"/>
              </w:rPr>
            </w:pPr>
            <w:r w:rsidRPr="0072071C">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w:t>
            </w:r>
            <w:r w:rsidRPr="0072071C">
              <w:rPr>
                <w:rFonts w:ascii="Book Antiqua" w:hAnsi="Book Antiqua"/>
                <w:color w:val="000000"/>
                <w:sz w:val="24"/>
                <w:szCs w:val="24"/>
              </w:rPr>
              <w:t>Creative Commons Attribution Non Commercial (CC BY-NC 4.0) license, which permits others to distribute, remix, adapt, build upon this work non-commercially, and license their derivative works on different terms, provided the original work is properly cited</w:t>
            </w:r>
            <w:r w:rsidRPr="0072071C">
              <w:rPr>
                <w:rFonts w:ascii="Book Antiqua" w:hAnsi="Book Antiqua"/>
                <w:color w:val="000000"/>
                <w:sz w:val="24"/>
                <w:szCs w:val="24"/>
              </w:rPr>
              <w:t xml:space="preserve"> and the use is non-commercial. </w:t>
            </w:r>
            <w:r>
              <w:rPr>
                <w:rFonts w:ascii="Book Antiqua" w:hAnsi="Book Antiqua"/>
                <w:color w:val="000000"/>
                <w:sz w:val="24"/>
                <w:szCs w:val="24"/>
                <w:lang w:val="zh-CN"/>
              </w:rPr>
              <w:t>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B64DB1" w:rsidRPr="0072071C" w:rsidRDefault="0072071C">
            <w:pPr>
              <w:pStyle w:val="E-1"/>
              <w:spacing w:line="360" w:lineRule="auto"/>
              <w:rPr>
                <w:rFonts w:ascii="Book Antiqua" w:hAnsi="Book Antiqua"/>
                <w:sz w:val="24"/>
                <w:szCs w:val="24"/>
              </w:rPr>
            </w:pPr>
            <w:r w:rsidRPr="0072071C">
              <w:rPr>
                <w:rFonts w:ascii="Book Antiqua" w:hAnsi="Book Antiqua"/>
                <w:sz w:val="24"/>
                <w:szCs w:val="24"/>
              </w:rPr>
              <w:t xml:space="preserve">Non-alcoholic fatty liver disease is a growing condition due to the current lifestyle. It is considered the liver manifestation of the metabolic syndrome, so it is strongly related to cardiovascular disease. Given that is one of the main </w:t>
            </w:r>
            <w:r w:rsidRPr="0072071C">
              <w:rPr>
                <w:rFonts w:ascii="Book Antiqua" w:hAnsi="Book Antiqua"/>
                <w:sz w:val="24"/>
                <w:szCs w:val="24"/>
              </w:rPr>
              <w:lastRenderedPageBreak/>
              <w:t xml:space="preserve">indications of liver transplantation, it is essential to carry out an adequate assessment of the pre-transplant cardiovascular risk, as well as an individualized management of the patient in the post-transplantation period (due to the pre-existent cardiovascular risk factors and </w:t>
            </w:r>
            <w:r>
              <w:rPr>
                <w:rFonts w:ascii="Book Antiqua" w:hAnsi="Book Antiqua"/>
                <w:sz w:val="24"/>
                <w:szCs w:val="24"/>
              </w:rPr>
              <w:t>the immunosuppressive therapy).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B64DB1" w:rsidRPr="0072071C" w:rsidRDefault="0072071C">
            <w:pPr>
              <w:pStyle w:val="E-1"/>
              <w:spacing w:line="360" w:lineRule="auto"/>
              <w:rPr>
                <w:rFonts w:ascii="Book Antiqua" w:hAnsi="Book Antiqua"/>
                <w:sz w:val="24"/>
                <w:szCs w:val="24"/>
              </w:rPr>
            </w:pPr>
            <w:r w:rsidRPr="0072071C">
              <w:rPr>
                <w:rFonts w:ascii="Book Antiqua" w:hAnsi="Book Antiqua"/>
                <w:sz w:val="24"/>
                <w:szCs w:val="24"/>
              </w:rPr>
              <w:t>Cardiovascular risk; Non-alcoholic fatty liver disease; Non-alcoholic steatohepatitis; Pre-transplant as</w:t>
            </w:r>
            <w:r>
              <w:rPr>
                <w:rFonts w:ascii="Book Antiqua" w:hAnsi="Book Antiqua"/>
                <w:sz w:val="24"/>
                <w:szCs w:val="24"/>
              </w:rPr>
              <w:t>sessment; Liver transplantation</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B64DB1" w:rsidRDefault="008F437D">
            <w:pPr>
              <w:pStyle w:val="a8"/>
              <w:spacing w:line="360" w:lineRule="auto"/>
              <w:rPr>
                <w:rFonts w:ascii="Book Antiqua" w:hAnsi="Book Antiqua"/>
                <w:b w:val="0"/>
                <w:sz w:val="24"/>
                <w:szCs w:val="24"/>
                <w:lang w:val="en-US"/>
              </w:rPr>
            </w:pPr>
            <w:r>
              <w:rPr>
                <w:rFonts w:ascii="Book Antiqua" w:hAnsi="Book Antiqua"/>
                <w:b w:val="0"/>
                <w:sz w:val="24"/>
                <w:szCs w:val="24"/>
                <w:lang w:val="en-US"/>
              </w:rPr>
              <w:t>© The Author(s) 2017. Published by Baishideng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B64DB1" w:rsidRDefault="008F437D">
            <w:pPr>
              <w:pStyle w:val="a8"/>
              <w:spacing w:line="360" w:lineRule="auto"/>
              <w:rPr>
                <w:rFonts w:ascii="Book Antiqua" w:hAnsi="Book Antiqua"/>
                <w:b w:val="0"/>
                <w:i/>
                <w:sz w:val="24"/>
                <w:szCs w:val="24"/>
                <w:lang w:val="en-US"/>
              </w:rPr>
            </w:pPr>
            <w:r>
              <w:rPr>
                <w:rFonts w:ascii="Book Antiqua" w:hAnsi="Book Antiqua"/>
                <w:b w:val="0"/>
                <w:sz w:val="24"/>
                <w:szCs w:val="24"/>
              </w:rPr>
              <w:t>World Journal of Hepatology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B64DB1" w:rsidRDefault="008F437D">
            <w:pPr>
              <w:pStyle w:val="a8"/>
              <w:spacing w:line="360" w:lineRule="auto"/>
              <w:rPr>
                <w:rFonts w:ascii="Book Antiqua" w:hAnsi="Book Antiqua"/>
                <w:b w:val="0"/>
                <w:sz w:val="24"/>
                <w:szCs w:val="24"/>
                <w:lang w:val="en-US"/>
              </w:rPr>
            </w:pPr>
            <w:r>
              <w:rPr>
                <w:rFonts w:ascii="Book Antiqua" w:hAnsi="Book Antiqua"/>
                <w:b w:val="0"/>
                <w:sz w:val="24"/>
                <w:szCs w:val="24"/>
              </w:rPr>
              <w:t>1948-5182</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B64DB1" w:rsidRDefault="008F437D">
            <w:pPr>
              <w:spacing w:line="360" w:lineRule="auto"/>
              <w:rPr>
                <w:rFonts w:ascii="Book Antiqua" w:hAnsi="Book Antiqua"/>
                <w:color w:val="000000"/>
                <w:sz w:val="24"/>
                <w:szCs w:val="24"/>
              </w:rPr>
            </w:pPr>
            <w:r>
              <w:rPr>
                <w:rFonts w:ascii="Book Antiqua" w:hAnsi="Book Antiqua"/>
                <w:color w:val="000000"/>
                <w:sz w:val="24"/>
                <w:szCs w:val="24"/>
              </w:rPr>
              <w:t>Baishideng Publishing Group Inc, 7901 Stoneridge Drive,</w:t>
            </w:r>
            <w:r>
              <w:rPr>
                <w:rFonts w:ascii="Book Antiqua" w:hAnsi="Book Antiqua"/>
                <w:color w:val="000000"/>
                <w:sz w:val="24"/>
                <w:szCs w:val="24"/>
              </w:rPr>
              <w:t xml:space="preserve"> Suite 501,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B64DB1" w:rsidRDefault="008F437D">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Pr>
        <w:rPr>
          <w:rFonts w:hint="eastAsia"/>
        </w:rPr>
      </w:pPr>
    </w:p>
    <w:p w:rsidR="0072071C" w:rsidRDefault="0072071C" w:rsidP="00F50781">
      <w:pPr>
        <w:rPr>
          <w:rFonts w:hint="eastAsia"/>
        </w:rPr>
      </w:pPr>
    </w:p>
    <w:p w:rsidR="0072071C" w:rsidRDefault="0072071C" w:rsidP="00F50781">
      <w:pPr>
        <w:rPr>
          <w:rFonts w:hint="eastAsia"/>
        </w:rPr>
      </w:pPr>
    </w:p>
    <w:p w:rsidR="0072071C" w:rsidRDefault="0072071C" w:rsidP="00F50781">
      <w:pPr>
        <w:rPr>
          <w:rFonts w:hint="eastAsia"/>
        </w:rPr>
      </w:pPr>
    </w:p>
    <w:p w:rsidR="0072071C" w:rsidRDefault="0072071C" w:rsidP="00F50781">
      <w:pPr>
        <w:rPr>
          <w:rFonts w:hint="eastAsia"/>
        </w:rPr>
      </w:pPr>
    </w:p>
    <w:p w:rsidR="0072071C" w:rsidRDefault="0072071C" w:rsidP="00F50781">
      <w:pPr>
        <w:rPr>
          <w:rFonts w:hint="eastAsia"/>
        </w:rPr>
      </w:pPr>
    </w:p>
    <w:p w:rsidR="0072071C" w:rsidRDefault="0072071C" w:rsidP="00F50781">
      <w:pPr>
        <w:rPr>
          <w:rFonts w:hint="eastAsia"/>
        </w:rPr>
      </w:pPr>
    </w:p>
    <w:p w:rsidR="0072071C" w:rsidRDefault="0072071C" w:rsidP="00F50781">
      <w:pPr>
        <w:rPr>
          <w:rFonts w:hint="eastAsia"/>
        </w:rPr>
      </w:pPr>
    </w:p>
    <w:p w:rsidR="0072071C" w:rsidRDefault="0072071C" w:rsidP="00F50781">
      <w:pPr>
        <w:rPr>
          <w:rFonts w:hint="eastAsia"/>
        </w:rPr>
      </w:pPr>
    </w:p>
    <w:p w:rsidR="0072071C" w:rsidRDefault="0072071C" w:rsidP="00F50781">
      <w:pPr>
        <w:rPr>
          <w:rFonts w:hint="eastAsia"/>
        </w:rPr>
      </w:pPr>
    </w:p>
    <w:p w:rsidR="0072071C" w:rsidRDefault="0072071C" w:rsidP="00F50781">
      <w:pPr>
        <w:rPr>
          <w:rFonts w:hint="eastAsia"/>
        </w:rPr>
      </w:pPr>
    </w:p>
    <w:p w:rsidR="0072071C" w:rsidRDefault="0072071C" w:rsidP="00F50781">
      <w:pPr>
        <w:rPr>
          <w:rFonts w:hint="eastAsia"/>
        </w:rPr>
      </w:pPr>
    </w:p>
    <w:p w:rsidR="0072071C" w:rsidRDefault="0072071C" w:rsidP="00F50781">
      <w:pPr>
        <w:rPr>
          <w:rFonts w:hint="eastAsia"/>
        </w:rPr>
      </w:pPr>
    </w:p>
    <w:p w:rsidR="0072071C" w:rsidRDefault="0072071C" w:rsidP="00F50781">
      <w:pPr>
        <w:rPr>
          <w:rFonts w:hint="eastAsia"/>
        </w:rPr>
      </w:pPr>
    </w:p>
    <w:p w:rsidR="0072071C" w:rsidRDefault="0072071C" w:rsidP="00F50781">
      <w:pPr>
        <w:rPr>
          <w:rFonts w:hint="eastAsia"/>
        </w:rPr>
      </w:pPr>
    </w:p>
    <w:p w:rsidR="0072071C" w:rsidRDefault="0072071C" w:rsidP="00F50781">
      <w:pPr>
        <w:rPr>
          <w:rFonts w:hint="eastAsia"/>
        </w:rPr>
      </w:pPr>
    </w:p>
    <w:p w:rsidR="0072071C" w:rsidRDefault="0072071C" w:rsidP="00F50781">
      <w:pPr>
        <w:rPr>
          <w:rFonts w:hint="eastAsia"/>
        </w:rPr>
      </w:pPr>
    </w:p>
    <w:p w:rsidR="0072071C" w:rsidRDefault="0072071C" w:rsidP="00F50781">
      <w:pPr>
        <w:rPr>
          <w:rFonts w:hint="eastAsia"/>
        </w:rPr>
      </w:pPr>
    </w:p>
    <w:p w:rsidR="0072071C" w:rsidRDefault="0072071C" w:rsidP="00F50781">
      <w:pPr>
        <w:rPr>
          <w:rFonts w:hint="eastAsia"/>
        </w:rPr>
      </w:pPr>
    </w:p>
    <w:p w:rsidR="0072071C" w:rsidRDefault="0072071C" w:rsidP="00F50781">
      <w:pPr>
        <w:rPr>
          <w:rFonts w:hint="eastAsia"/>
        </w:rPr>
      </w:pPr>
    </w:p>
    <w:p w:rsidR="0072071C" w:rsidRPr="0072071C" w:rsidRDefault="0072071C" w:rsidP="0072071C">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bookmarkStart w:id="0" w:name="_GoBack"/>
      <w:bookmarkEnd w:id="0"/>
      <w:r w:rsidRPr="0072071C">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lastRenderedPageBreak/>
        <w:t>MINIREVIEWS</w:t>
      </w:r>
    </w:p>
    <w:p w:rsidR="0072071C" w:rsidRDefault="0072071C" w:rsidP="0072071C"/>
    <w:p w:rsidR="0072071C" w:rsidRPr="005C657C" w:rsidRDefault="0072071C" w:rsidP="0072071C">
      <w:pPr>
        <w:pStyle w:val="a8"/>
        <w:rPr>
          <w:lang w:val="en-US"/>
        </w:rPr>
      </w:pPr>
      <w:r w:rsidRPr="005C657C">
        <w:rPr>
          <w:lang w:val="en-US"/>
        </w:rPr>
        <w:t>Cardiovascular assessment in liver transplant for non-alcoholic steatohepatitis patients: What we do, what we should do</w:t>
      </w:r>
    </w:p>
    <w:p w:rsidR="0072071C" w:rsidRDefault="0072071C" w:rsidP="0072071C">
      <w:pPr>
        <w:rPr>
          <w:rFonts w:hint="eastAsia"/>
        </w:rPr>
      </w:pPr>
    </w:p>
    <w:p w:rsidR="0072071C" w:rsidRPr="005C657C" w:rsidRDefault="0072071C" w:rsidP="0072071C">
      <w:pPr>
        <w:pStyle w:val="ae"/>
        <w:rPr>
          <w:lang w:val="en-US"/>
        </w:rPr>
      </w:pPr>
      <w:r w:rsidRPr="005C657C">
        <w:rPr>
          <w:lang w:val="en-US"/>
        </w:rPr>
        <w:t>Yolanda Sanchez-Torrijos, Javier Ampuero, Manuel Romero-Gómez</w:t>
      </w:r>
    </w:p>
    <w:p w:rsidR="0072071C" w:rsidRDefault="0072071C" w:rsidP="0072071C">
      <w:pPr>
        <w:rPr>
          <w:rFonts w:hint="eastAsia"/>
        </w:rPr>
      </w:pPr>
    </w:p>
    <w:p w:rsidR="0072071C" w:rsidRPr="005C657C" w:rsidRDefault="0072071C" w:rsidP="0072071C">
      <w:pPr>
        <w:suppressAutoHyphens/>
        <w:autoSpaceDE w:val="0"/>
        <w:autoSpaceDN w:val="0"/>
        <w:adjustRightInd w:val="0"/>
        <w:spacing w:line="210" w:lineRule="atLeast"/>
        <w:textAlignment w:val="center"/>
        <w:rPr>
          <w:color w:val="000000"/>
          <w:spacing w:val="-4"/>
          <w:kern w:val="0"/>
          <w:sz w:val="18"/>
          <w:szCs w:val="18"/>
        </w:rPr>
      </w:pPr>
      <w:r w:rsidRPr="005C657C">
        <w:rPr>
          <w:rFonts w:ascii="Tahoma" w:hAnsi="Tahoma" w:cs="Tahoma"/>
          <w:color w:val="000000"/>
          <w:spacing w:val="-4"/>
          <w:kern w:val="0"/>
          <w:sz w:val="18"/>
          <w:szCs w:val="18"/>
        </w:rPr>
        <w:t>Yolanda Sanchez-Torrijos, Javier Ampuero, Manuel Romero-Gómez,</w:t>
      </w:r>
      <w:r w:rsidRPr="005C657C">
        <w:rPr>
          <w:color w:val="000000"/>
          <w:spacing w:val="-4"/>
          <w:kern w:val="0"/>
          <w:sz w:val="18"/>
          <w:szCs w:val="18"/>
        </w:rPr>
        <w:t xml:space="preserve"> Unidad Intercentros de Aparato Digestivo, Hospitales Universitarios Virgen del Rocio - Virgen Macarena, 41013 Sevilla, Spain</w:t>
      </w:r>
    </w:p>
    <w:p w:rsidR="0072071C" w:rsidRPr="005C657C" w:rsidRDefault="0072071C" w:rsidP="0072071C">
      <w:pPr>
        <w:suppressAutoHyphens/>
        <w:autoSpaceDE w:val="0"/>
        <w:autoSpaceDN w:val="0"/>
        <w:adjustRightInd w:val="0"/>
        <w:spacing w:line="210" w:lineRule="atLeast"/>
        <w:textAlignment w:val="center"/>
        <w:rPr>
          <w:color w:val="000000"/>
          <w:spacing w:val="-4"/>
          <w:kern w:val="0"/>
          <w:sz w:val="18"/>
          <w:szCs w:val="18"/>
        </w:rPr>
      </w:pPr>
      <w:r w:rsidRPr="005C657C">
        <w:rPr>
          <w:rFonts w:ascii="Tahoma" w:hAnsi="Tahoma" w:cs="Tahoma"/>
          <w:color w:val="000000"/>
          <w:spacing w:val="-4"/>
          <w:kern w:val="0"/>
          <w:sz w:val="18"/>
          <w:szCs w:val="18"/>
        </w:rPr>
        <w:t>Javier Ampuero, Manuel Romero-Gómez,</w:t>
      </w:r>
      <w:r w:rsidRPr="005C657C">
        <w:rPr>
          <w:color w:val="000000"/>
          <w:spacing w:val="-4"/>
          <w:kern w:val="0"/>
          <w:sz w:val="18"/>
          <w:szCs w:val="18"/>
        </w:rPr>
        <w:t xml:space="preserve"> Instituto de Biome</w:t>
      </w:r>
      <w:r w:rsidRPr="005C657C">
        <w:rPr>
          <w:color w:val="000000"/>
          <w:spacing w:val="-4"/>
          <w:kern w:val="0"/>
          <w:sz w:val="18"/>
          <w:szCs w:val="18"/>
        </w:rPr>
        <w:softHyphen/>
        <w:t>dicina de Sevilla, 41013 Sevilla, Spain</w:t>
      </w:r>
    </w:p>
    <w:p w:rsidR="0072071C" w:rsidRPr="005C657C" w:rsidRDefault="0072071C" w:rsidP="0072071C">
      <w:pPr>
        <w:suppressAutoHyphens/>
        <w:autoSpaceDE w:val="0"/>
        <w:autoSpaceDN w:val="0"/>
        <w:adjustRightInd w:val="0"/>
        <w:spacing w:line="210" w:lineRule="atLeast"/>
        <w:textAlignment w:val="center"/>
        <w:rPr>
          <w:color w:val="000000"/>
          <w:spacing w:val="-2"/>
          <w:kern w:val="0"/>
          <w:sz w:val="18"/>
          <w:szCs w:val="18"/>
        </w:rPr>
      </w:pPr>
      <w:r w:rsidRPr="005C657C">
        <w:rPr>
          <w:rFonts w:ascii="Tahoma" w:hAnsi="Tahoma" w:cs="Tahoma"/>
          <w:color w:val="000000"/>
          <w:spacing w:val="-2"/>
          <w:kern w:val="0"/>
          <w:sz w:val="18"/>
          <w:szCs w:val="18"/>
        </w:rPr>
        <w:t>Javier Ampuero, Manuel Romero-Gómez,</w:t>
      </w:r>
      <w:r w:rsidRPr="005C657C">
        <w:rPr>
          <w:color w:val="000000"/>
          <w:spacing w:val="-2"/>
          <w:kern w:val="0"/>
          <w:sz w:val="18"/>
          <w:szCs w:val="18"/>
        </w:rPr>
        <w:t xml:space="preserve"> Centro de In</w:t>
      </w:r>
      <w:r w:rsidRPr="005C657C">
        <w:rPr>
          <w:color w:val="000000"/>
          <w:spacing w:val="-2"/>
          <w:kern w:val="0"/>
          <w:sz w:val="18"/>
          <w:szCs w:val="18"/>
        </w:rPr>
        <w:softHyphen/>
        <w:t>vestigación Biomédica en Red de Enfermedades Hepáticas y Digestivas (CIBERehd), 28029 Madrid, Spain</w:t>
      </w:r>
    </w:p>
    <w:p w:rsidR="0072071C" w:rsidRPr="005C657C" w:rsidRDefault="0072071C" w:rsidP="0072071C">
      <w:pPr>
        <w:suppressAutoHyphens/>
        <w:autoSpaceDE w:val="0"/>
        <w:autoSpaceDN w:val="0"/>
        <w:adjustRightInd w:val="0"/>
        <w:spacing w:line="210" w:lineRule="atLeast"/>
        <w:textAlignment w:val="center"/>
        <w:rPr>
          <w:color w:val="000000"/>
          <w:spacing w:val="-2"/>
          <w:kern w:val="0"/>
          <w:sz w:val="18"/>
          <w:szCs w:val="18"/>
        </w:rPr>
      </w:pPr>
      <w:r w:rsidRPr="005C657C">
        <w:rPr>
          <w:rFonts w:ascii="Tahoma" w:hAnsi="Tahoma" w:cs="Tahoma"/>
          <w:color w:val="000000"/>
          <w:kern w:val="0"/>
          <w:sz w:val="18"/>
          <w:szCs w:val="18"/>
        </w:rPr>
        <w:t>Author contributions:</w:t>
      </w:r>
      <w:r w:rsidRPr="005C657C">
        <w:rPr>
          <w:b/>
          <w:bCs/>
          <w:color w:val="000000"/>
          <w:spacing w:val="-2"/>
          <w:kern w:val="0"/>
          <w:sz w:val="18"/>
          <w:szCs w:val="18"/>
        </w:rPr>
        <w:t xml:space="preserve"> </w:t>
      </w:r>
      <w:r w:rsidRPr="005C657C">
        <w:rPr>
          <w:color w:val="000000"/>
          <w:spacing w:val="-2"/>
          <w:kern w:val="0"/>
          <w:sz w:val="18"/>
          <w:szCs w:val="18"/>
        </w:rPr>
        <w:t>Ampuero J contributed as guarantor of the article; Ampuero J contributed to review design; all authors contributed to drafting the manuscript.</w:t>
      </w:r>
    </w:p>
    <w:p w:rsidR="0072071C" w:rsidRPr="005C657C" w:rsidRDefault="0072071C" w:rsidP="0072071C">
      <w:pPr>
        <w:suppressAutoHyphens/>
        <w:autoSpaceDE w:val="0"/>
        <w:autoSpaceDN w:val="0"/>
        <w:adjustRightInd w:val="0"/>
        <w:spacing w:line="210" w:lineRule="atLeast"/>
        <w:textAlignment w:val="center"/>
        <w:rPr>
          <w:color w:val="000000"/>
          <w:spacing w:val="-2"/>
          <w:kern w:val="0"/>
          <w:sz w:val="18"/>
          <w:szCs w:val="18"/>
        </w:rPr>
      </w:pPr>
      <w:r w:rsidRPr="005C657C">
        <w:rPr>
          <w:rFonts w:ascii="Tahoma" w:hAnsi="Tahoma" w:cs="Tahoma"/>
          <w:color w:val="000000"/>
          <w:kern w:val="0"/>
          <w:sz w:val="18"/>
          <w:szCs w:val="18"/>
        </w:rPr>
        <w:t>Correspondence to:</w:t>
      </w:r>
      <w:r w:rsidRPr="005C657C">
        <w:rPr>
          <w:b/>
          <w:bCs/>
          <w:color w:val="000000"/>
          <w:spacing w:val="-2"/>
          <w:kern w:val="0"/>
          <w:sz w:val="18"/>
          <w:szCs w:val="18"/>
        </w:rPr>
        <w:t xml:space="preserve"> </w:t>
      </w:r>
      <w:r w:rsidRPr="005C657C">
        <w:rPr>
          <w:rFonts w:ascii="Tahoma" w:hAnsi="Tahoma" w:cs="Tahoma"/>
          <w:color w:val="000000"/>
          <w:spacing w:val="-2"/>
          <w:kern w:val="0"/>
          <w:sz w:val="18"/>
          <w:szCs w:val="18"/>
        </w:rPr>
        <w:t>Javier Ampuero, MD, PhD,</w:t>
      </w:r>
      <w:r w:rsidRPr="005C657C">
        <w:rPr>
          <w:color w:val="000000"/>
          <w:spacing w:val="-2"/>
          <w:kern w:val="0"/>
          <w:sz w:val="18"/>
          <w:szCs w:val="18"/>
        </w:rPr>
        <w:t xml:space="preserve"> Unidad Intercentros de Aparato Digestivo, Hospitales Universitarios Virgen del Rocio - Virgen Macarena, Avenida Manuel Siurot s/n, 41013 Sevilla, Spain. javi.ampuero@gmail.com</w:t>
      </w:r>
    </w:p>
    <w:p w:rsidR="0072071C" w:rsidRPr="005C657C" w:rsidRDefault="0072071C" w:rsidP="0072071C">
      <w:pPr>
        <w:suppressAutoHyphens/>
        <w:autoSpaceDE w:val="0"/>
        <w:autoSpaceDN w:val="0"/>
        <w:adjustRightInd w:val="0"/>
        <w:spacing w:line="210" w:lineRule="atLeast"/>
        <w:textAlignment w:val="center"/>
        <w:rPr>
          <w:b/>
          <w:bCs/>
          <w:color w:val="000000"/>
          <w:spacing w:val="-2"/>
          <w:kern w:val="0"/>
          <w:sz w:val="18"/>
          <w:szCs w:val="18"/>
        </w:rPr>
      </w:pPr>
      <w:r w:rsidRPr="005C657C">
        <w:rPr>
          <w:rFonts w:ascii="Tahoma" w:hAnsi="Tahoma" w:cs="Tahoma"/>
          <w:color w:val="000000"/>
          <w:kern w:val="0"/>
          <w:sz w:val="18"/>
          <w:szCs w:val="18"/>
        </w:rPr>
        <w:t>Telephone:</w:t>
      </w:r>
      <w:r w:rsidRPr="005C657C">
        <w:rPr>
          <w:b/>
          <w:bCs/>
          <w:color w:val="000000"/>
          <w:spacing w:val="-2"/>
          <w:kern w:val="0"/>
          <w:sz w:val="18"/>
          <w:szCs w:val="18"/>
        </w:rPr>
        <w:t xml:space="preserve"> </w:t>
      </w:r>
      <w:r w:rsidRPr="005C657C">
        <w:rPr>
          <w:color w:val="000000"/>
          <w:spacing w:val="-2"/>
          <w:kern w:val="0"/>
          <w:sz w:val="18"/>
          <w:szCs w:val="18"/>
        </w:rPr>
        <w:t>+34-95-5015761</w:t>
      </w:r>
      <w:r>
        <w:rPr>
          <w:rFonts w:hint="eastAsia"/>
          <w:b/>
          <w:bCs/>
          <w:color w:val="000000"/>
          <w:spacing w:val="-2"/>
          <w:kern w:val="0"/>
          <w:sz w:val="18"/>
          <w:szCs w:val="18"/>
        </w:rPr>
        <w:t xml:space="preserve">   </w:t>
      </w:r>
      <w:r w:rsidRPr="005C657C">
        <w:rPr>
          <w:rFonts w:ascii="Tahoma" w:hAnsi="Tahoma" w:cs="Tahoma"/>
          <w:color w:val="000000"/>
          <w:kern w:val="0"/>
          <w:sz w:val="18"/>
          <w:szCs w:val="18"/>
        </w:rPr>
        <w:t>Fax:</w:t>
      </w:r>
      <w:r w:rsidRPr="005C657C">
        <w:rPr>
          <w:color w:val="000000"/>
          <w:spacing w:val="-2"/>
          <w:kern w:val="0"/>
          <w:sz w:val="18"/>
          <w:szCs w:val="18"/>
        </w:rPr>
        <w:t xml:space="preserve"> +34-95-5015899</w:t>
      </w:r>
    </w:p>
    <w:p w:rsidR="0072071C" w:rsidRPr="005C657C" w:rsidRDefault="0072071C" w:rsidP="0072071C">
      <w:pPr>
        <w:suppressAutoHyphens/>
        <w:autoSpaceDE w:val="0"/>
        <w:autoSpaceDN w:val="0"/>
        <w:adjustRightInd w:val="0"/>
        <w:spacing w:line="210" w:lineRule="atLeast"/>
        <w:textAlignment w:val="center"/>
        <w:rPr>
          <w:b/>
          <w:bCs/>
          <w:color w:val="000000"/>
          <w:spacing w:val="-2"/>
          <w:kern w:val="0"/>
          <w:sz w:val="18"/>
          <w:szCs w:val="18"/>
        </w:rPr>
      </w:pPr>
      <w:r w:rsidRPr="005C657C">
        <w:rPr>
          <w:rFonts w:ascii="Tahoma" w:hAnsi="Tahoma" w:cs="Tahoma"/>
          <w:color w:val="000000"/>
          <w:spacing w:val="-2"/>
          <w:kern w:val="0"/>
          <w:sz w:val="18"/>
          <w:szCs w:val="18"/>
        </w:rPr>
        <w:t>Received:</w:t>
      </w:r>
      <w:r w:rsidRPr="005C657C">
        <w:rPr>
          <w:color w:val="000000"/>
          <w:spacing w:val="-2"/>
          <w:kern w:val="0"/>
          <w:sz w:val="18"/>
          <w:szCs w:val="18"/>
        </w:rPr>
        <w:t xml:space="preserve"> January 28, 2017 </w:t>
      </w:r>
      <w:r>
        <w:rPr>
          <w:rFonts w:hint="eastAsia"/>
          <w:b/>
          <w:bCs/>
          <w:color w:val="000000"/>
          <w:spacing w:val="-2"/>
          <w:kern w:val="0"/>
          <w:sz w:val="18"/>
          <w:szCs w:val="18"/>
        </w:rPr>
        <w:t xml:space="preserve">  </w:t>
      </w:r>
      <w:r w:rsidRPr="005C657C">
        <w:rPr>
          <w:rFonts w:ascii="Tahoma" w:hAnsi="Tahoma" w:cs="Tahoma"/>
          <w:color w:val="000000"/>
          <w:spacing w:val="-2"/>
          <w:kern w:val="0"/>
          <w:sz w:val="18"/>
          <w:szCs w:val="18"/>
        </w:rPr>
        <w:t>Revised:</w:t>
      </w:r>
      <w:r w:rsidRPr="005C657C">
        <w:rPr>
          <w:b/>
          <w:bCs/>
          <w:color w:val="000000"/>
          <w:spacing w:val="-2"/>
          <w:kern w:val="0"/>
          <w:sz w:val="18"/>
          <w:szCs w:val="18"/>
        </w:rPr>
        <w:t xml:space="preserve"> </w:t>
      </w:r>
      <w:r w:rsidRPr="005C657C">
        <w:rPr>
          <w:color w:val="000000"/>
          <w:spacing w:val="-2"/>
          <w:kern w:val="0"/>
          <w:sz w:val="18"/>
          <w:szCs w:val="18"/>
        </w:rPr>
        <w:t xml:space="preserve">April 7, 2017 </w:t>
      </w:r>
      <w:r>
        <w:rPr>
          <w:rFonts w:hint="eastAsia"/>
          <w:b/>
          <w:bCs/>
          <w:color w:val="000000"/>
          <w:spacing w:val="-2"/>
          <w:kern w:val="0"/>
          <w:sz w:val="18"/>
          <w:szCs w:val="18"/>
        </w:rPr>
        <w:t xml:space="preserve">  </w:t>
      </w:r>
      <w:r w:rsidRPr="005C657C">
        <w:rPr>
          <w:rFonts w:ascii="Tahoma" w:hAnsi="Tahoma" w:cs="Tahoma"/>
          <w:color w:val="000000"/>
          <w:spacing w:val="-2"/>
          <w:kern w:val="0"/>
          <w:sz w:val="18"/>
          <w:szCs w:val="18"/>
        </w:rPr>
        <w:t>Accepted:</w:t>
      </w:r>
      <w:r w:rsidRPr="005C657C">
        <w:rPr>
          <w:b/>
          <w:bCs/>
          <w:color w:val="000000"/>
          <w:spacing w:val="-2"/>
          <w:kern w:val="0"/>
          <w:sz w:val="18"/>
          <w:szCs w:val="18"/>
        </w:rPr>
        <w:t xml:space="preserve"> </w:t>
      </w:r>
      <w:r w:rsidRPr="005C657C">
        <w:rPr>
          <w:color w:val="000000"/>
          <w:spacing w:val="-2"/>
          <w:kern w:val="0"/>
          <w:sz w:val="18"/>
          <w:szCs w:val="18"/>
        </w:rPr>
        <w:t>April 23, 2017</w:t>
      </w:r>
    </w:p>
    <w:p w:rsidR="0072071C" w:rsidRPr="005C657C" w:rsidRDefault="0072071C" w:rsidP="0072071C">
      <w:pPr>
        <w:suppressAutoHyphens/>
        <w:autoSpaceDE w:val="0"/>
        <w:autoSpaceDN w:val="0"/>
        <w:adjustRightInd w:val="0"/>
        <w:spacing w:line="210" w:lineRule="atLeast"/>
        <w:textAlignment w:val="center"/>
        <w:rPr>
          <w:b/>
          <w:bCs/>
          <w:color w:val="000000"/>
          <w:spacing w:val="-2"/>
          <w:kern w:val="0"/>
          <w:sz w:val="18"/>
          <w:szCs w:val="18"/>
        </w:rPr>
      </w:pPr>
      <w:r w:rsidRPr="005C657C">
        <w:rPr>
          <w:rFonts w:ascii="Tahoma" w:hAnsi="Tahoma" w:cs="Tahoma"/>
          <w:color w:val="000000"/>
          <w:spacing w:val="-2"/>
          <w:kern w:val="0"/>
          <w:sz w:val="18"/>
          <w:szCs w:val="18"/>
        </w:rPr>
        <w:t>Published online:</w:t>
      </w:r>
      <w:r w:rsidRPr="005C657C">
        <w:rPr>
          <w:color w:val="000000"/>
          <w:spacing w:val="-2"/>
          <w:kern w:val="0"/>
          <w:sz w:val="18"/>
          <w:szCs w:val="18"/>
        </w:rPr>
        <w:t xml:space="preserve"> May 28, 2017</w:t>
      </w:r>
    </w:p>
    <w:p w:rsidR="0072071C" w:rsidRPr="005C657C" w:rsidRDefault="0072071C" w:rsidP="0072071C">
      <w:pPr>
        <w:autoSpaceDE w:val="0"/>
        <w:autoSpaceDN w:val="0"/>
        <w:adjustRightInd w:val="0"/>
        <w:spacing w:line="288" w:lineRule="auto"/>
        <w:textAlignment w:val="center"/>
        <w:rPr>
          <w:rFonts w:ascii="Century Gothic" w:hAnsi="Century Gothic" w:cs="Century Gothic"/>
          <w:b/>
          <w:bCs/>
          <w:color w:val="000000"/>
          <w:spacing w:val="12"/>
          <w:kern w:val="0"/>
          <w:sz w:val="24"/>
        </w:rPr>
      </w:pPr>
    </w:p>
    <w:p w:rsidR="0072071C" w:rsidRPr="005C657C" w:rsidRDefault="0072071C" w:rsidP="0072071C">
      <w:pPr>
        <w:autoSpaceDE w:val="0"/>
        <w:autoSpaceDN w:val="0"/>
        <w:adjustRightInd w:val="0"/>
        <w:spacing w:line="288" w:lineRule="auto"/>
        <w:textAlignment w:val="center"/>
        <w:rPr>
          <w:rFonts w:ascii="Century Gothic" w:hAnsi="Century Gothic" w:cs="Century Gothic"/>
          <w:b/>
          <w:bCs/>
          <w:color w:val="000000"/>
          <w:spacing w:val="12"/>
          <w:kern w:val="0"/>
          <w:sz w:val="24"/>
        </w:rPr>
      </w:pPr>
      <w:r w:rsidRPr="005C657C">
        <w:rPr>
          <w:rFonts w:ascii="Century Gothic" w:hAnsi="Century Gothic" w:cs="Century Gothic"/>
          <w:b/>
          <w:bCs/>
          <w:color w:val="000000"/>
          <w:spacing w:val="12"/>
          <w:kern w:val="0"/>
          <w:sz w:val="24"/>
        </w:rPr>
        <w:t>Abstract</w:t>
      </w:r>
    </w:p>
    <w:p w:rsidR="0072071C" w:rsidRPr="005C657C" w:rsidRDefault="0072071C" w:rsidP="0072071C">
      <w:pPr>
        <w:suppressAutoHyphens/>
        <w:autoSpaceDE w:val="0"/>
        <w:autoSpaceDN w:val="0"/>
        <w:adjustRightInd w:val="0"/>
        <w:spacing w:line="230" w:lineRule="atLeast"/>
        <w:textAlignment w:val="center"/>
        <w:rPr>
          <w:rFonts w:ascii="Tahoma" w:hAnsi="Tahoma" w:cs="Tahoma"/>
          <w:color w:val="000000"/>
          <w:spacing w:val="-8"/>
          <w:kern w:val="0"/>
          <w:sz w:val="19"/>
          <w:szCs w:val="19"/>
        </w:rPr>
      </w:pPr>
      <w:r w:rsidRPr="005C657C">
        <w:rPr>
          <w:rFonts w:ascii="Tahoma" w:hAnsi="Tahoma" w:cs="Tahoma"/>
          <w:color w:val="000000"/>
          <w:spacing w:val="-8"/>
          <w:kern w:val="0"/>
          <w:sz w:val="19"/>
          <w:szCs w:val="19"/>
        </w:rPr>
        <w:t>Non-alcoholic fatty liver disease (NAFLD) is increasing considerably due to the current lifestyle, which means that it is becoming one of the main indications for liver transplantation. On the other hand, there is a strong association between NAFLD and cardiovascular disease. This has been evidenced in many studies revealing a higher presence of carotid plaques or carotid intima-media thickness, leading to cardiovascular events and, ultimately, mortality. According to the liver transplant guidelines, screening for heart disease in trans</w:t>
      </w:r>
      <w:r w:rsidRPr="005C657C">
        <w:rPr>
          <w:rFonts w:ascii="Tahoma" w:hAnsi="Tahoma" w:cs="Tahoma"/>
          <w:color w:val="000000"/>
          <w:spacing w:val="-8"/>
          <w:kern w:val="0"/>
          <w:sz w:val="19"/>
          <w:szCs w:val="19"/>
        </w:rPr>
        <w:softHyphen/>
        <w:t>plant candidates should be performed by electrocar</w:t>
      </w:r>
      <w:r w:rsidRPr="005C657C">
        <w:rPr>
          <w:rFonts w:ascii="Tahoma" w:hAnsi="Tahoma" w:cs="Tahoma"/>
          <w:color w:val="000000"/>
          <w:spacing w:val="-8"/>
          <w:kern w:val="0"/>
          <w:sz w:val="19"/>
          <w:szCs w:val="19"/>
        </w:rPr>
        <w:softHyphen/>
        <w:t>diogram and transthoracic echocardiography while a stress echocardiogram should be reserved for those with more than two cardiovascular risk factors or greater than 50 years old. However, there are no specific recommendations in NAFLD patients requiring a liver transplantation, despite its well-known cardiovascular risk association. Many studies have shown that these patients probably require a more exhaustive assessment and a global approach including other specialists such as cardiologists or nutritionists. Also, the incidence of cardiovascular disease is also increased in NAFLD patients in the post-transplantation period in comparison with other etiologies, because of the pre-existent risk factors together with the immunosuppressive therapy. Therefore, an early intervention on the lifestyle and the individualized selection of the immunosuppressive regimen could lead to a modification of the cardiovascular risk factors in NAFLD patients requiring a liver transplantation.</w:t>
      </w:r>
    </w:p>
    <w:p w:rsidR="0072071C" w:rsidRPr="005C657C" w:rsidRDefault="0072071C" w:rsidP="0072071C">
      <w:pPr>
        <w:suppressAutoHyphens/>
        <w:autoSpaceDE w:val="0"/>
        <w:autoSpaceDN w:val="0"/>
        <w:adjustRightInd w:val="0"/>
        <w:spacing w:line="230" w:lineRule="atLeast"/>
        <w:textAlignment w:val="center"/>
        <w:rPr>
          <w:b/>
          <w:bCs/>
          <w:color w:val="000000"/>
          <w:spacing w:val="-1"/>
          <w:kern w:val="0"/>
          <w:sz w:val="19"/>
          <w:szCs w:val="19"/>
        </w:rPr>
      </w:pPr>
    </w:p>
    <w:p w:rsidR="0072071C" w:rsidRPr="005C657C" w:rsidRDefault="0072071C" w:rsidP="0072071C">
      <w:pPr>
        <w:suppressAutoHyphens/>
        <w:autoSpaceDE w:val="0"/>
        <w:autoSpaceDN w:val="0"/>
        <w:adjustRightInd w:val="0"/>
        <w:spacing w:line="230" w:lineRule="atLeast"/>
        <w:textAlignment w:val="center"/>
        <w:rPr>
          <w:rFonts w:ascii="Tahoma" w:hAnsi="Tahoma" w:cs="Tahoma"/>
          <w:b/>
          <w:bCs/>
          <w:color w:val="000000"/>
          <w:spacing w:val="-1"/>
          <w:kern w:val="0"/>
          <w:sz w:val="19"/>
          <w:szCs w:val="19"/>
        </w:rPr>
      </w:pPr>
      <w:r w:rsidRPr="005C657C">
        <w:rPr>
          <w:b/>
          <w:bCs/>
          <w:color w:val="000000"/>
          <w:spacing w:val="-1"/>
          <w:kern w:val="0"/>
          <w:sz w:val="19"/>
          <w:szCs w:val="19"/>
        </w:rPr>
        <w:t>Key words:</w:t>
      </w:r>
      <w:r w:rsidRPr="005C657C">
        <w:rPr>
          <w:rFonts w:ascii="Tahoma" w:hAnsi="Tahoma" w:cs="Tahoma"/>
          <w:b/>
          <w:bCs/>
          <w:color w:val="000000"/>
          <w:spacing w:val="-1"/>
          <w:kern w:val="0"/>
          <w:sz w:val="19"/>
          <w:szCs w:val="19"/>
        </w:rPr>
        <w:t xml:space="preserve"> </w:t>
      </w:r>
      <w:r w:rsidRPr="005C657C">
        <w:rPr>
          <w:rFonts w:ascii="Tahoma" w:hAnsi="Tahoma" w:cs="Tahoma"/>
          <w:color w:val="000000"/>
          <w:spacing w:val="-1"/>
          <w:kern w:val="0"/>
          <w:sz w:val="19"/>
          <w:szCs w:val="19"/>
        </w:rPr>
        <w:t>Cardiovascular risk; Non-alcoholic fatty liver disease; Non-alcoholic steatohepatitis; Pre-transplant assessment; Liver transplantation</w:t>
      </w:r>
    </w:p>
    <w:p w:rsidR="0072071C" w:rsidRPr="005C657C" w:rsidRDefault="0072071C" w:rsidP="0072071C">
      <w:pPr>
        <w:suppressAutoHyphens/>
        <w:autoSpaceDE w:val="0"/>
        <w:autoSpaceDN w:val="0"/>
        <w:adjustRightInd w:val="0"/>
        <w:spacing w:line="230" w:lineRule="atLeast"/>
        <w:textAlignment w:val="center"/>
        <w:rPr>
          <w:rFonts w:ascii="Tahoma" w:hAnsi="Tahoma" w:cs="Tahoma"/>
          <w:b/>
          <w:bCs/>
          <w:color w:val="000000"/>
          <w:spacing w:val="-1"/>
          <w:kern w:val="0"/>
          <w:sz w:val="17"/>
          <w:szCs w:val="17"/>
        </w:rPr>
      </w:pPr>
    </w:p>
    <w:p w:rsidR="0072071C" w:rsidRPr="008575FB" w:rsidRDefault="0072071C" w:rsidP="0072071C">
      <w:pPr>
        <w:suppressAutoHyphens/>
        <w:autoSpaceDE w:val="0"/>
        <w:autoSpaceDN w:val="0"/>
        <w:adjustRightInd w:val="0"/>
        <w:spacing w:line="230" w:lineRule="atLeast"/>
        <w:textAlignment w:val="center"/>
        <w:rPr>
          <w:rFonts w:ascii="Tahoma" w:hAnsi="Tahoma" w:cs="Tahoma"/>
          <w:color w:val="000000"/>
          <w:spacing w:val="-1"/>
          <w:kern w:val="0"/>
          <w:sz w:val="17"/>
          <w:szCs w:val="17"/>
        </w:rPr>
      </w:pPr>
      <w:proofErr w:type="gramStart"/>
      <w:r w:rsidRPr="008575FB">
        <w:rPr>
          <w:rFonts w:ascii="Tahoma" w:hAnsi="Tahoma" w:cs="Tahoma"/>
          <w:b/>
          <w:bCs/>
          <w:color w:val="000000"/>
          <w:spacing w:val="-1"/>
          <w:kern w:val="0"/>
          <w:sz w:val="17"/>
          <w:szCs w:val="17"/>
        </w:rPr>
        <w:t>© The Author(s) 2017.</w:t>
      </w:r>
      <w:proofErr w:type="gramEnd"/>
      <w:r w:rsidRPr="008575FB">
        <w:rPr>
          <w:rFonts w:ascii="Tahoma" w:hAnsi="Tahoma" w:cs="Tahoma"/>
          <w:color w:val="000000"/>
          <w:spacing w:val="-1"/>
          <w:kern w:val="0"/>
          <w:sz w:val="17"/>
          <w:szCs w:val="17"/>
        </w:rPr>
        <w:t xml:space="preserve"> </w:t>
      </w:r>
      <w:proofErr w:type="gramStart"/>
      <w:r w:rsidRPr="008575FB">
        <w:rPr>
          <w:rFonts w:ascii="Tahoma" w:hAnsi="Tahoma" w:cs="Tahoma"/>
          <w:color w:val="000000"/>
          <w:spacing w:val="-1"/>
          <w:kern w:val="0"/>
          <w:sz w:val="17"/>
          <w:szCs w:val="17"/>
        </w:rPr>
        <w:t>Published by Baishideng Publishing Group Inc.</w:t>
      </w:r>
      <w:proofErr w:type="gramEnd"/>
      <w:r w:rsidRPr="008575FB">
        <w:rPr>
          <w:rFonts w:ascii="Tahoma" w:hAnsi="Tahoma" w:cs="Tahoma"/>
          <w:color w:val="000000"/>
          <w:spacing w:val="-1"/>
          <w:kern w:val="0"/>
          <w:sz w:val="17"/>
          <w:szCs w:val="17"/>
        </w:rPr>
        <w:t xml:space="preserve"> All rights reserved.</w:t>
      </w:r>
    </w:p>
    <w:p w:rsidR="0072071C" w:rsidRDefault="0072071C" w:rsidP="0072071C">
      <w:pPr>
        <w:suppressAutoHyphens/>
        <w:autoSpaceDE w:val="0"/>
        <w:autoSpaceDN w:val="0"/>
        <w:adjustRightInd w:val="0"/>
        <w:spacing w:line="230" w:lineRule="atLeast"/>
        <w:textAlignment w:val="center"/>
        <w:rPr>
          <w:rFonts w:hint="eastAsia"/>
          <w:color w:val="000000"/>
          <w:spacing w:val="-2"/>
          <w:kern w:val="0"/>
          <w:sz w:val="18"/>
          <w:szCs w:val="18"/>
        </w:rPr>
      </w:pPr>
    </w:p>
    <w:p w:rsidR="0072071C" w:rsidRPr="005C657C" w:rsidRDefault="0072071C" w:rsidP="0072071C">
      <w:pPr>
        <w:suppressAutoHyphens/>
        <w:autoSpaceDE w:val="0"/>
        <w:autoSpaceDN w:val="0"/>
        <w:adjustRightInd w:val="0"/>
        <w:spacing w:line="230" w:lineRule="atLeast"/>
        <w:textAlignment w:val="center"/>
        <w:rPr>
          <w:b/>
          <w:bCs/>
          <w:color w:val="000000"/>
          <w:spacing w:val="-2"/>
          <w:kern w:val="0"/>
          <w:sz w:val="18"/>
          <w:szCs w:val="18"/>
          <w:lang w:val="zh-TW"/>
        </w:rPr>
      </w:pPr>
      <w:r w:rsidRPr="005C657C">
        <w:rPr>
          <w:color w:val="000000"/>
          <w:spacing w:val="-2"/>
          <w:kern w:val="0"/>
          <w:sz w:val="18"/>
          <w:szCs w:val="18"/>
        </w:rPr>
        <w:t>Sanchez-Torrijos Y, Ampuero J, Romero-Gómez M. Cardio</w:t>
      </w:r>
      <w:r w:rsidRPr="005C657C">
        <w:rPr>
          <w:color w:val="000000"/>
          <w:spacing w:val="-2"/>
          <w:kern w:val="0"/>
          <w:sz w:val="18"/>
          <w:szCs w:val="18"/>
        </w:rPr>
        <w:softHyphen/>
        <w:t xml:space="preserve">vascular assessment in liver transplant for non-alcoholic steatohepatitis </w:t>
      </w:r>
      <w:r w:rsidRPr="005C657C">
        <w:rPr>
          <w:color w:val="000000"/>
          <w:spacing w:val="-2"/>
          <w:kern w:val="0"/>
          <w:sz w:val="18"/>
          <w:szCs w:val="18"/>
        </w:rPr>
        <w:lastRenderedPageBreak/>
        <w:t>patients: What we do, what we should do.</w:t>
      </w:r>
      <w:r w:rsidRPr="005C657C">
        <w:rPr>
          <w:i/>
          <w:iCs/>
          <w:color w:val="000000"/>
          <w:spacing w:val="-2"/>
          <w:kern w:val="0"/>
          <w:sz w:val="18"/>
          <w:szCs w:val="18"/>
        </w:rPr>
        <w:t xml:space="preserve"> World J Hepatol</w:t>
      </w:r>
      <w:r w:rsidRPr="005C657C">
        <w:rPr>
          <w:color w:val="000000"/>
          <w:spacing w:val="-2"/>
          <w:kern w:val="0"/>
          <w:sz w:val="18"/>
          <w:szCs w:val="18"/>
        </w:rPr>
        <w:t xml:space="preserve"> 2017; 9(15): 697-</w:t>
      </w:r>
      <w:proofErr w:type="gramStart"/>
      <w:r w:rsidRPr="005C657C">
        <w:rPr>
          <w:color w:val="000000"/>
          <w:spacing w:val="-2"/>
          <w:kern w:val="0"/>
          <w:sz w:val="18"/>
          <w:szCs w:val="18"/>
        </w:rPr>
        <w:t>703  Available</w:t>
      </w:r>
      <w:proofErr w:type="gramEnd"/>
      <w:r w:rsidRPr="005C657C">
        <w:rPr>
          <w:color w:val="000000"/>
          <w:spacing w:val="-2"/>
          <w:kern w:val="0"/>
          <w:sz w:val="18"/>
          <w:szCs w:val="18"/>
        </w:rPr>
        <w:t xml:space="preserve"> from: URL: http://www.wjgnet.com/1948-5182/full/v9/i15/697.htm  DOI: http://dx.doi.org/10.4254/wjh.v9.i15.697</w:t>
      </w:r>
    </w:p>
    <w:p w:rsidR="0072071C" w:rsidRPr="005C657C" w:rsidRDefault="0072071C" w:rsidP="0072071C">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72071C" w:rsidRPr="005C657C" w:rsidRDefault="0072071C" w:rsidP="0072071C">
      <w:pPr>
        <w:suppressAutoHyphens/>
        <w:autoSpaceDE w:val="0"/>
        <w:autoSpaceDN w:val="0"/>
        <w:adjustRightInd w:val="0"/>
        <w:spacing w:line="230" w:lineRule="atLeast"/>
        <w:textAlignment w:val="center"/>
        <w:rPr>
          <w:rFonts w:ascii="Tahoma" w:hAnsi="Tahoma" w:cs="Tahoma"/>
          <w:b/>
          <w:bCs/>
          <w:color w:val="000000"/>
          <w:spacing w:val="-4"/>
          <w:kern w:val="0"/>
          <w:sz w:val="19"/>
          <w:szCs w:val="19"/>
        </w:rPr>
      </w:pPr>
      <w:r w:rsidRPr="005C657C">
        <w:rPr>
          <w:b/>
          <w:bCs/>
          <w:color w:val="000000"/>
          <w:spacing w:val="-3"/>
          <w:kern w:val="0"/>
          <w:sz w:val="19"/>
          <w:szCs w:val="19"/>
        </w:rPr>
        <w:t>Core tip:</w:t>
      </w:r>
      <w:r w:rsidRPr="005C657C">
        <w:rPr>
          <w:rFonts w:ascii="Tahoma" w:hAnsi="Tahoma" w:cs="Tahoma"/>
          <w:b/>
          <w:bCs/>
          <w:color w:val="000000"/>
          <w:spacing w:val="-1"/>
          <w:kern w:val="0"/>
          <w:sz w:val="19"/>
          <w:szCs w:val="19"/>
        </w:rPr>
        <w:t xml:space="preserve"> </w:t>
      </w:r>
      <w:r w:rsidRPr="005C657C">
        <w:rPr>
          <w:rFonts w:ascii="Tahoma" w:hAnsi="Tahoma" w:cs="Tahoma"/>
          <w:color w:val="000000"/>
          <w:spacing w:val="-4"/>
          <w:kern w:val="0"/>
          <w:sz w:val="19"/>
          <w:szCs w:val="19"/>
        </w:rPr>
        <w:t>Non-alcoholic fatty liver disease is a growing condition due to the current lifestyle. It is considered the liver manifestation of the metabolic syndrome, so it is strongly related to cardiovascular disease. Given that is one of the main indications of liver transplantation, it is essential to carry out an adequate assessment of the pre-transplant cardiovascular risk, as well as an individualized management of the patient in the post-transplantation period (due to the pre-existent cardiovascular risk factors and the immunosuppressive therapy).</w:t>
      </w:r>
    </w:p>
    <w:p w:rsidR="0072071C" w:rsidRPr="005C657C" w:rsidRDefault="0072071C" w:rsidP="0072071C">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72071C" w:rsidRPr="005C657C" w:rsidRDefault="0072071C" w:rsidP="0072071C">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5C657C">
        <w:rPr>
          <w:rFonts w:ascii="Univers" w:hAnsi="Univers" w:cs="Univers"/>
          <w:b/>
          <w:bCs/>
          <w:color w:val="000000"/>
          <w:spacing w:val="-2"/>
          <w:kern w:val="0"/>
          <w:sz w:val="24"/>
          <w:u w:val="single"/>
        </w:rPr>
        <w:t>INTRODUCTION</w:t>
      </w:r>
    </w:p>
    <w:p w:rsidR="0072071C" w:rsidRPr="005C657C" w:rsidRDefault="0072071C" w:rsidP="0072071C">
      <w:pPr>
        <w:suppressAutoHyphens/>
        <w:autoSpaceDE w:val="0"/>
        <w:autoSpaceDN w:val="0"/>
        <w:adjustRightInd w:val="0"/>
        <w:spacing w:line="288" w:lineRule="auto"/>
        <w:textAlignment w:val="center"/>
        <w:rPr>
          <w:rFonts w:ascii="Verdana" w:hAnsi="Verdana" w:cs="Verdana"/>
          <w:color w:val="000000"/>
          <w:spacing w:val="-13"/>
          <w:kern w:val="0"/>
          <w:sz w:val="18"/>
          <w:szCs w:val="18"/>
        </w:rPr>
      </w:pPr>
      <w:r w:rsidRPr="005C657C">
        <w:rPr>
          <w:rFonts w:ascii="Verdana" w:hAnsi="Verdana" w:cs="Verdana"/>
          <w:color w:val="000000"/>
          <w:spacing w:val="-13"/>
          <w:kern w:val="0"/>
          <w:sz w:val="18"/>
          <w:szCs w:val="18"/>
        </w:rPr>
        <w:t>Non-alcoholic fatty liver disease (NAFLD) is a clinical-pathological condition that encompasses a wide range of liver damage not caused by chronic alcohol con</w:t>
      </w:r>
      <w:r w:rsidRPr="005C657C">
        <w:rPr>
          <w:rFonts w:ascii="Verdana" w:hAnsi="Verdana" w:cs="Verdana"/>
          <w:color w:val="000000"/>
          <w:spacing w:val="-13"/>
          <w:kern w:val="0"/>
          <w:sz w:val="18"/>
          <w:szCs w:val="18"/>
        </w:rPr>
        <w:softHyphen/>
        <w:t xml:space="preserve">sumption, including steatosis, non-alcoholic steatohepatitis (NASH) and </w:t>
      </w:r>
      <w:proofErr w:type="gramStart"/>
      <w:r w:rsidRPr="005C657C">
        <w:rPr>
          <w:rFonts w:ascii="Verdana" w:hAnsi="Verdana" w:cs="Verdana"/>
          <w:color w:val="000000"/>
          <w:spacing w:val="-13"/>
          <w:kern w:val="0"/>
          <w:sz w:val="18"/>
          <w:szCs w:val="18"/>
        </w:rPr>
        <w:t>cirrhosis</w:t>
      </w:r>
      <w:r w:rsidRPr="005C657C">
        <w:rPr>
          <w:rFonts w:ascii="Verdana" w:hAnsi="Verdana" w:cs="Verdana"/>
          <w:color w:val="000000"/>
          <w:spacing w:val="-13"/>
          <w:kern w:val="0"/>
          <w:sz w:val="18"/>
          <w:szCs w:val="18"/>
          <w:vertAlign w:val="superscript"/>
        </w:rPr>
        <w:t>[</w:t>
      </w:r>
      <w:proofErr w:type="gramEnd"/>
      <w:r w:rsidRPr="005C657C">
        <w:rPr>
          <w:rFonts w:ascii="Verdana" w:hAnsi="Verdana" w:cs="Verdana"/>
          <w:color w:val="000000"/>
          <w:spacing w:val="-13"/>
          <w:kern w:val="0"/>
          <w:sz w:val="18"/>
          <w:szCs w:val="18"/>
          <w:vertAlign w:val="superscript"/>
        </w:rPr>
        <w:t>1]</w:t>
      </w:r>
      <w:r w:rsidRPr="005C657C">
        <w:rPr>
          <w:rFonts w:ascii="Verdana" w:hAnsi="Verdana" w:cs="Verdana"/>
          <w:color w:val="000000"/>
          <w:spacing w:val="-13"/>
          <w:kern w:val="0"/>
          <w:sz w:val="18"/>
          <w:szCs w:val="18"/>
        </w:rPr>
        <w:t>. NAFLD is considered a hepatic manifestation of metabolic syndrome. Its prevalence has increased considerably over last years, especially in Western countries, due to the current lifestyle (diet, sedentary lifestyle, obesity</w:t>
      </w:r>
      <w:proofErr w:type="gramStart"/>
      <w:r w:rsidRPr="005C657C">
        <w:rPr>
          <w:rFonts w:ascii="Verdana" w:hAnsi="Verdana" w:cs="Verdana"/>
          <w:color w:val="000000"/>
          <w:spacing w:val="-13"/>
          <w:kern w:val="0"/>
          <w:sz w:val="18"/>
          <w:szCs w:val="18"/>
        </w:rPr>
        <w:t>)</w:t>
      </w:r>
      <w:r w:rsidRPr="005C657C">
        <w:rPr>
          <w:rFonts w:ascii="Verdana" w:hAnsi="Verdana" w:cs="Verdana"/>
          <w:color w:val="000000"/>
          <w:spacing w:val="-13"/>
          <w:kern w:val="0"/>
          <w:sz w:val="18"/>
          <w:szCs w:val="18"/>
          <w:vertAlign w:val="superscript"/>
        </w:rPr>
        <w:t>[</w:t>
      </w:r>
      <w:proofErr w:type="gramEnd"/>
      <w:r w:rsidRPr="005C657C">
        <w:rPr>
          <w:rFonts w:ascii="Verdana" w:hAnsi="Verdana" w:cs="Verdana"/>
          <w:color w:val="000000"/>
          <w:spacing w:val="-13"/>
          <w:kern w:val="0"/>
          <w:sz w:val="18"/>
          <w:szCs w:val="18"/>
          <w:vertAlign w:val="superscript"/>
        </w:rPr>
        <w:t>2,3]</w:t>
      </w:r>
      <w:r w:rsidRPr="005C657C">
        <w:rPr>
          <w:rFonts w:ascii="Verdana" w:hAnsi="Verdana" w:cs="Verdana"/>
          <w:color w:val="000000"/>
          <w:spacing w:val="-13"/>
          <w:kern w:val="0"/>
          <w:sz w:val="18"/>
          <w:szCs w:val="18"/>
        </w:rPr>
        <w:t>. It has been calculated that up to 30% of the population shows NAFLD, representing up to the 70% in patients with type 2 diabetes mellitus (DM</w:t>
      </w:r>
      <w:proofErr w:type="gramStart"/>
      <w:r w:rsidRPr="005C657C">
        <w:rPr>
          <w:rFonts w:ascii="Verdana" w:hAnsi="Verdana" w:cs="Verdana"/>
          <w:color w:val="000000"/>
          <w:spacing w:val="-13"/>
          <w:kern w:val="0"/>
          <w:sz w:val="18"/>
          <w:szCs w:val="18"/>
        </w:rPr>
        <w:t>)</w:t>
      </w:r>
      <w:r w:rsidRPr="005C657C">
        <w:rPr>
          <w:rFonts w:ascii="Verdana" w:hAnsi="Verdana" w:cs="Verdana"/>
          <w:color w:val="000000"/>
          <w:spacing w:val="-13"/>
          <w:kern w:val="0"/>
          <w:sz w:val="18"/>
          <w:szCs w:val="18"/>
          <w:vertAlign w:val="superscript"/>
        </w:rPr>
        <w:t>[</w:t>
      </w:r>
      <w:proofErr w:type="gramEnd"/>
      <w:r w:rsidRPr="005C657C">
        <w:rPr>
          <w:rFonts w:ascii="Verdana" w:hAnsi="Verdana" w:cs="Verdana"/>
          <w:color w:val="000000"/>
          <w:spacing w:val="-13"/>
          <w:kern w:val="0"/>
          <w:sz w:val="18"/>
          <w:szCs w:val="18"/>
          <w:vertAlign w:val="superscript"/>
        </w:rPr>
        <w:t>4]</w:t>
      </w:r>
      <w:r w:rsidRPr="005C657C">
        <w:rPr>
          <w:rFonts w:ascii="Verdana" w:hAnsi="Verdana" w:cs="Verdana"/>
          <w:color w:val="000000"/>
          <w:spacing w:val="-13"/>
          <w:kern w:val="0"/>
          <w:sz w:val="18"/>
          <w:szCs w:val="18"/>
        </w:rPr>
        <w:t xml:space="preserve">. On the other hand, the prevalence of NASH (characterized by the presence of inflammation) is around 3%-5%. In NASH patients, cardiovascular (CV) risk represents one of the leading causes of mortality due to the frequent association with dyslipidemia, DM and other features of metabolic </w:t>
      </w:r>
      <w:proofErr w:type="gramStart"/>
      <w:r w:rsidRPr="005C657C">
        <w:rPr>
          <w:rFonts w:ascii="Verdana" w:hAnsi="Verdana" w:cs="Verdana"/>
          <w:color w:val="000000"/>
          <w:spacing w:val="-13"/>
          <w:kern w:val="0"/>
          <w:sz w:val="18"/>
          <w:szCs w:val="18"/>
        </w:rPr>
        <w:t>syndrome</w:t>
      </w:r>
      <w:r w:rsidRPr="005C657C">
        <w:rPr>
          <w:rFonts w:ascii="Verdana" w:hAnsi="Verdana" w:cs="Verdana"/>
          <w:color w:val="000000"/>
          <w:spacing w:val="-13"/>
          <w:kern w:val="0"/>
          <w:sz w:val="18"/>
          <w:szCs w:val="18"/>
          <w:vertAlign w:val="superscript"/>
        </w:rPr>
        <w:t>[</w:t>
      </w:r>
      <w:proofErr w:type="gramEnd"/>
      <w:r w:rsidRPr="005C657C">
        <w:rPr>
          <w:rFonts w:ascii="Verdana" w:hAnsi="Verdana" w:cs="Verdana"/>
          <w:color w:val="000000"/>
          <w:spacing w:val="-13"/>
          <w:kern w:val="0"/>
          <w:sz w:val="18"/>
          <w:szCs w:val="18"/>
          <w:vertAlign w:val="superscript"/>
        </w:rPr>
        <w:t>5]</w:t>
      </w:r>
      <w:r w:rsidRPr="005C657C">
        <w:rPr>
          <w:rFonts w:ascii="Verdana" w:hAnsi="Verdana" w:cs="Verdana"/>
          <w:color w:val="000000"/>
          <w:spacing w:val="-13"/>
          <w:kern w:val="0"/>
          <w:sz w:val="18"/>
          <w:szCs w:val="18"/>
        </w:rPr>
        <w:t xml:space="preserve">. In fact, NASH patients suffer more subclinical atherosclerosis, heart disease, and CV clinical events than those without </w:t>
      </w:r>
      <w:proofErr w:type="gramStart"/>
      <w:r w:rsidRPr="005C657C">
        <w:rPr>
          <w:rFonts w:ascii="Verdana" w:hAnsi="Verdana" w:cs="Verdana"/>
          <w:color w:val="000000"/>
          <w:spacing w:val="-13"/>
          <w:kern w:val="0"/>
          <w:sz w:val="18"/>
          <w:szCs w:val="18"/>
        </w:rPr>
        <w:t>it</w:t>
      </w:r>
      <w:r w:rsidRPr="005C657C">
        <w:rPr>
          <w:rFonts w:ascii="Verdana" w:hAnsi="Verdana" w:cs="Verdana"/>
          <w:color w:val="000000"/>
          <w:spacing w:val="-13"/>
          <w:kern w:val="0"/>
          <w:sz w:val="18"/>
          <w:szCs w:val="18"/>
          <w:vertAlign w:val="superscript"/>
        </w:rPr>
        <w:t>[</w:t>
      </w:r>
      <w:proofErr w:type="gramEnd"/>
      <w:r w:rsidRPr="005C657C">
        <w:rPr>
          <w:rFonts w:ascii="Verdana" w:hAnsi="Verdana" w:cs="Verdana"/>
          <w:color w:val="000000"/>
          <w:spacing w:val="-13"/>
          <w:kern w:val="0"/>
          <w:sz w:val="18"/>
          <w:szCs w:val="18"/>
          <w:vertAlign w:val="superscript"/>
        </w:rPr>
        <w:t>6]</w:t>
      </w:r>
      <w:r w:rsidRPr="005C657C">
        <w:rPr>
          <w:rFonts w:ascii="Verdana" w:hAnsi="Verdana" w:cs="Verdana"/>
          <w:color w:val="000000"/>
          <w:spacing w:val="-13"/>
          <w:kern w:val="0"/>
          <w:sz w:val="18"/>
          <w:szCs w:val="18"/>
        </w:rPr>
        <w:t xml:space="preserve">. This latter, together with NASH has become the second cause of liver transplantation (LT) in the United </w:t>
      </w:r>
      <w:proofErr w:type="gramStart"/>
      <w:r w:rsidRPr="005C657C">
        <w:rPr>
          <w:rFonts w:ascii="Verdana" w:hAnsi="Verdana" w:cs="Verdana"/>
          <w:color w:val="000000"/>
          <w:spacing w:val="-13"/>
          <w:kern w:val="0"/>
          <w:sz w:val="18"/>
          <w:szCs w:val="18"/>
        </w:rPr>
        <w:t>States  and</w:t>
      </w:r>
      <w:proofErr w:type="gramEnd"/>
      <w:r w:rsidRPr="005C657C">
        <w:rPr>
          <w:rFonts w:ascii="Verdana" w:hAnsi="Verdana" w:cs="Verdana"/>
          <w:color w:val="000000"/>
          <w:spacing w:val="-13"/>
          <w:kern w:val="0"/>
          <w:sz w:val="18"/>
          <w:szCs w:val="18"/>
        </w:rPr>
        <w:t xml:space="preserve"> Europe</w:t>
      </w:r>
      <w:r w:rsidRPr="005C657C">
        <w:rPr>
          <w:rFonts w:ascii="Verdana" w:hAnsi="Verdana" w:cs="Verdana"/>
          <w:color w:val="000000"/>
          <w:spacing w:val="-13"/>
          <w:kern w:val="0"/>
          <w:sz w:val="18"/>
          <w:szCs w:val="18"/>
          <w:vertAlign w:val="superscript"/>
        </w:rPr>
        <w:t>[7]</w:t>
      </w:r>
      <w:r w:rsidRPr="005C657C">
        <w:rPr>
          <w:rFonts w:ascii="Verdana" w:hAnsi="Verdana" w:cs="Verdana"/>
          <w:color w:val="000000"/>
          <w:spacing w:val="-13"/>
          <w:kern w:val="0"/>
          <w:sz w:val="18"/>
          <w:szCs w:val="18"/>
        </w:rPr>
        <w:t xml:space="preserve">, makes especially relevant the adequate cardiovascular assessment in LT setting. </w:t>
      </w:r>
    </w:p>
    <w:p w:rsidR="0072071C" w:rsidRPr="005C657C" w:rsidRDefault="0072071C" w:rsidP="0072071C">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72071C" w:rsidRPr="005C657C" w:rsidRDefault="0072071C" w:rsidP="0072071C">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5C657C">
        <w:rPr>
          <w:rFonts w:ascii="Univers" w:hAnsi="Univers" w:cs="Univers"/>
          <w:b/>
          <w:bCs/>
          <w:color w:val="000000"/>
          <w:spacing w:val="-2"/>
          <w:kern w:val="0"/>
          <w:sz w:val="24"/>
          <w:u w:val="single"/>
        </w:rPr>
        <w:t>CV RISK IN NAFLD PATIENTS</w:t>
      </w:r>
    </w:p>
    <w:p w:rsidR="0072071C" w:rsidRPr="005C657C" w:rsidRDefault="0072071C" w:rsidP="0072071C">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5C657C">
        <w:rPr>
          <w:rFonts w:ascii="Verdana" w:hAnsi="Verdana" w:cs="Verdana"/>
          <w:color w:val="000000"/>
          <w:spacing w:val="-13"/>
          <w:kern w:val="0"/>
          <w:sz w:val="18"/>
          <w:szCs w:val="18"/>
        </w:rPr>
        <w:t>Several studies have clearly demonstrated the link between NAFLD and CV risk. It is not surprising, con</w:t>
      </w:r>
      <w:r w:rsidRPr="005C657C">
        <w:rPr>
          <w:rFonts w:ascii="Verdana" w:hAnsi="Verdana" w:cs="Verdana"/>
          <w:color w:val="000000"/>
          <w:spacing w:val="-13"/>
          <w:kern w:val="0"/>
          <w:sz w:val="18"/>
          <w:szCs w:val="18"/>
        </w:rPr>
        <w:softHyphen/>
        <w:t>sidering that they share many risk factors derived from metabolic syndrome (such as obesity, insulin resistance, DM, sedentary lifestyle, hypertension, dyslipidemia) and genetics (PNPLA3, TM6SF2)</w:t>
      </w:r>
      <w:r w:rsidRPr="005C657C">
        <w:rPr>
          <w:rFonts w:ascii="Verdana" w:hAnsi="Verdana" w:cs="Verdana"/>
          <w:color w:val="000000"/>
          <w:spacing w:val="-13"/>
          <w:kern w:val="0"/>
          <w:sz w:val="18"/>
          <w:szCs w:val="18"/>
          <w:vertAlign w:val="superscript"/>
        </w:rPr>
        <w:t>[8]</w:t>
      </w:r>
      <w:r w:rsidRPr="005C657C">
        <w:rPr>
          <w:rFonts w:ascii="Verdana" w:hAnsi="Verdana" w:cs="Verdana"/>
          <w:color w:val="000000"/>
          <w:spacing w:val="-13"/>
          <w:kern w:val="0"/>
          <w:sz w:val="18"/>
          <w:szCs w:val="18"/>
        </w:rPr>
        <w:t xml:space="preserve">. Gut microbiota also plays an important role. In both mice and humans, a high-fat diet results in an increase of lipopolysaccharides in plasma (a cellular component of Gram-negative bacteria) by modifying the microbiota and, therefore, the intestinal permeability. That is the reason to increase TLR4 receptor expression, stimulating liver cells to produce inflammatory cytokines and creating a systemic pro-inflammatory status, which favors </w:t>
      </w:r>
      <w:proofErr w:type="gramStart"/>
      <w:r w:rsidRPr="005C657C">
        <w:rPr>
          <w:rFonts w:ascii="Verdana" w:hAnsi="Verdana" w:cs="Verdana"/>
          <w:color w:val="000000"/>
          <w:spacing w:val="-13"/>
          <w:kern w:val="0"/>
          <w:sz w:val="18"/>
          <w:szCs w:val="18"/>
        </w:rPr>
        <w:t>atherosclerosis</w:t>
      </w:r>
      <w:r w:rsidRPr="005C657C">
        <w:rPr>
          <w:rFonts w:ascii="Verdana" w:hAnsi="Verdana" w:cs="Verdana"/>
          <w:color w:val="000000"/>
          <w:spacing w:val="-13"/>
          <w:kern w:val="0"/>
          <w:sz w:val="18"/>
          <w:szCs w:val="18"/>
          <w:vertAlign w:val="superscript"/>
        </w:rPr>
        <w:t>[</w:t>
      </w:r>
      <w:proofErr w:type="gramEnd"/>
      <w:r w:rsidRPr="005C657C">
        <w:rPr>
          <w:rFonts w:ascii="Verdana" w:hAnsi="Verdana" w:cs="Verdana"/>
          <w:color w:val="000000"/>
          <w:spacing w:val="-13"/>
          <w:kern w:val="0"/>
          <w:sz w:val="18"/>
          <w:szCs w:val="18"/>
          <w:vertAlign w:val="superscript"/>
        </w:rPr>
        <w:t>9,10]</w:t>
      </w:r>
      <w:r w:rsidRPr="005C657C">
        <w:rPr>
          <w:rFonts w:ascii="Verdana" w:hAnsi="Verdana" w:cs="Verdana"/>
          <w:color w:val="000000"/>
          <w:spacing w:val="-13"/>
          <w:kern w:val="0"/>
          <w:sz w:val="18"/>
          <w:szCs w:val="18"/>
        </w:rPr>
        <w:t>. According to CV risk, we can classify it in three steps: Subclinical atherosclerosis, clinical events, and mortality.</w:t>
      </w:r>
    </w:p>
    <w:p w:rsidR="0072071C" w:rsidRPr="005C657C" w:rsidRDefault="0072071C" w:rsidP="0072071C">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5C657C">
        <w:rPr>
          <w:rFonts w:ascii="Verdana" w:hAnsi="Verdana" w:cs="Verdana"/>
          <w:color w:val="000000"/>
          <w:spacing w:val="-11"/>
          <w:kern w:val="0"/>
          <w:sz w:val="18"/>
          <w:szCs w:val="18"/>
        </w:rPr>
        <w:t>Firstly, a higher prevalence of subclinical athero</w:t>
      </w:r>
      <w:r w:rsidRPr="005C657C">
        <w:rPr>
          <w:rFonts w:ascii="Verdana" w:hAnsi="Verdana" w:cs="Verdana"/>
          <w:color w:val="000000"/>
          <w:spacing w:val="-11"/>
          <w:kern w:val="0"/>
          <w:sz w:val="18"/>
          <w:szCs w:val="18"/>
        </w:rPr>
        <w:softHyphen/>
        <w:t xml:space="preserve">sclerosis has been well-documented (Table 1). In 2005, Brea </w:t>
      </w:r>
      <w:r w:rsidRPr="005C657C">
        <w:rPr>
          <w:rFonts w:ascii="Verdana" w:hAnsi="Verdana" w:cs="Verdana"/>
          <w:i/>
          <w:iCs/>
          <w:color w:val="000000"/>
          <w:spacing w:val="-11"/>
          <w:kern w:val="0"/>
          <w:sz w:val="18"/>
          <w:szCs w:val="18"/>
        </w:rPr>
        <w:t xml:space="preserve">et </w:t>
      </w:r>
      <w:proofErr w:type="gramStart"/>
      <w:r w:rsidRPr="005C657C">
        <w:rPr>
          <w:rFonts w:ascii="Verdana" w:hAnsi="Verdana" w:cs="Verdana"/>
          <w:i/>
          <w:iCs/>
          <w:color w:val="000000"/>
          <w:spacing w:val="-11"/>
          <w:kern w:val="0"/>
          <w:sz w:val="18"/>
          <w:szCs w:val="18"/>
        </w:rPr>
        <w:t>al</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11]</w:t>
      </w:r>
      <w:r w:rsidRPr="005C657C">
        <w:rPr>
          <w:rFonts w:ascii="Verdana" w:hAnsi="Verdana" w:cs="Verdana"/>
          <w:color w:val="000000"/>
          <w:spacing w:val="-11"/>
          <w:kern w:val="0"/>
          <w:sz w:val="18"/>
          <w:szCs w:val="18"/>
        </w:rPr>
        <w:t xml:space="preserve"> published that NAFLD patients showed an increased carotid artery intima-media thickness (CIMT) and a higher prevalence of carotid plaques (50% </w:t>
      </w:r>
      <w:r w:rsidRPr="005C657C">
        <w:rPr>
          <w:rFonts w:ascii="Verdana" w:hAnsi="Verdana" w:cs="Verdana"/>
          <w:i/>
          <w:iCs/>
          <w:color w:val="000000"/>
          <w:spacing w:val="-11"/>
          <w:kern w:val="0"/>
          <w:sz w:val="18"/>
          <w:szCs w:val="18"/>
        </w:rPr>
        <w:t>vs</w:t>
      </w:r>
      <w:r w:rsidRPr="005C657C">
        <w:rPr>
          <w:rFonts w:ascii="Verdana" w:hAnsi="Verdana" w:cs="Verdana"/>
          <w:color w:val="000000"/>
          <w:spacing w:val="-11"/>
          <w:kern w:val="0"/>
          <w:sz w:val="18"/>
          <w:szCs w:val="18"/>
        </w:rPr>
        <w:t xml:space="preserve"> 25%) compared to healthy controls. Regarding NAFLD subjects, NASH patients showed greater subclinical atherosclerosis in comparison with those with simple steatosis and the CV risk was progressively increased according to liver </w:t>
      </w:r>
      <w:proofErr w:type="gramStart"/>
      <w:r w:rsidRPr="005C657C">
        <w:rPr>
          <w:rFonts w:ascii="Verdana" w:hAnsi="Verdana" w:cs="Verdana"/>
          <w:color w:val="000000"/>
          <w:spacing w:val="-11"/>
          <w:kern w:val="0"/>
          <w:sz w:val="18"/>
          <w:szCs w:val="18"/>
        </w:rPr>
        <w:t>fibrosis</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11]</w:t>
      </w:r>
      <w:r w:rsidRPr="005C657C">
        <w:rPr>
          <w:rFonts w:ascii="Verdana" w:hAnsi="Verdana" w:cs="Verdana"/>
          <w:color w:val="000000"/>
          <w:spacing w:val="-11"/>
          <w:kern w:val="0"/>
          <w:sz w:val="18"/>
          <w:szCs w:val="18"/>
        </w:rPr>
        <w:t xml:space="preserve">. Later, Kim </w:t>
      </w:r>
      <w:r w:rsidRPr="005C657C">
        <w:rPr>
          <w:rFonts w:ascii="Verdana" w:hAnsi="Verdana" w:cs="Verdana"/>
          <w:i/>
          <w:iCs/>
          <w:color w:val="000000"/>
          <w:spacing w:val="-11"/>
          <w:kern w:val="0"/>
          <w:sz w:val="18"/>
          <w:szCs w:val="18"/>
        </w:rPr>
        <w:t xml:space="preserve">et </w:t>
      </w:r>
      <w:proofErr w:type="gramStart"/>
      <w:r w:rsidRPr="005C657C">
        <w:rPr>
          <w:rFonts w:ascii="Verdana" w:hAnsi="Verdana" w:cs="Verdana"/>
          <w:i/>
          <w:iCs/>
          <w:color w:val="000000"/>
          <w:spacing w:val="-11"/>
          <w:kern w:val="0"/>
          <w:sz w:val="18"/>
          <w:szCs w:val="18"/>
        </w:rPr>
        <w:t>al</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12]</w:t>
      </w:r>
      <w:r w:rsidRPr="005C657C">
        <w:rPr>
          <w:rFonts w:ascii="Verdana" w:hAnsi="Verdana" w:cs="Verdana"/>
          <w:color w:val="000000"/>
          <w:spacing w:val="-11"/>
          <w:kern w:val="0"/>
          <w:sz w:val="18"/>
          <w:szCs w:val="18"/>
        </w:rPr>
        <w:t xml:space="preserve"> identified that patients with NAFLD had a higher percentage of coronary artery calcification (by computerized tomography) independently of other known factors. More recently, Puchner </w:t>
      </w:r>
      <w:r w:rsidRPr="005C657C">
        <w:rPr>
          <w:rFonts w:ascii="Verdana" w:hAnsi="Verdana" w:cs="Verdana"/>
          <w:i/>
          <w:iCs/>
          <w:color w:val="000000"/>
          <w:spacing w:val="-11"/>
          <w:kern w:val="0"/>
          <w:sz w:val="18"/>
          <w:szCs w:val="18"/>
        </w:rPr>
        <w:t xml:space="preserve">et </w:t>
      </w:r>
      <w:proofErr w:type="gramStart"/>
      <w:r w:rsidRPr="005C657C">
        <w:rPr>
          <w:rFonts w:ascii="Verdana" w:hAnsi="Verdana" w:cs="Verdana"/>
          <w:i/>
          <w:iCs/>
          <w:color w:val="000000"/>
          <w:spacing w:val="-11"/>
          <w:kern w:val="0"/>
          <w:sz w:val="18"/>
          <w:szCs w:val="18"/>
        </w:rPr>
        <w:t>al</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13]</w:t>
      </w:r>
      <w:r w:rsidRPr="005C657C">
        <w:rPr>
          <w:rFonts w:ascii="Verdana" w:hAnsi="Verdana" w:cs="Verdana"/>
          <w:color w:val="000000"/>
          <w:spacing w:val="-11"/>
          <w:kern w:val="0"/>
          <w:sz w:val="18"/>
          <w:szCs w:val="18"/>
        </w:rPr>
        <w:t xml:space="preserve"> again assessed the link between NAFLD and advanced coronary arterial disease. After performing a coronariography by computerized tomography, they found that the presence of significant coronary stenosis (16% </w:t>
      </w:r>
      <w:r w:rsidRPr="005C657C">
        <w:rPr>
          <w:rFonts w:ascii="Verdana" w:hAnsi="Verdana" w:cs="Verdana"/>
          <w:i/>
          <w:iCs/>
          <w:color w:val="000000"/>
          <w:spacing w:val="-11"/>
          <w:kern w:val="0"/>
          <w:sz w:val="18"/>
          <w:szCs w:val="18"/>
        </w:rPr>
        <w:t>vs</w:t>
      </w:r>
      <w:r w:rsidRPr="005C657C">
        <w:rPr>
          <w:rFonts w:ascii="Verdana" w:hAnsi="Verdana" w:cs="Verdana"/>
          <w:color w:val="000000"/>
          <w:spacing w:val="-11"/>
          <w:kern w:val="0"/>
          <w:sz w:val="18"/>
          <w:szCs w:val="18"/>
        </w:rPr>
        <w:t xml:space="preserve"> 5%), global carotid plaques (78% </w:t>
      </w:r>
      <w:r w:rsidRPr="005C657C">
        <w:rPr>
          <w:rFonts w:ascii="Verdana" w:hAnsi="Verdana" w:cs="Verdana"/>
          <w:i/>
          <w:iCs/>
          <w:color w:val="000000"/>
          <w:spacing w:val="-11"/>
          <w:kern w:val="0"/>
          <w:sz w:val="18"/>
          <w:szCs w:val="18"/>
        </w:rPr>
        <w:t>vs</w:t>
      </w:r>
      <w:r w:rsidRPr="005C657C">
        <w:rPr>
          <w:rFonts w:ascii="Verdana" w:hAnsi="Verdana" w:cs="Verdana"/>
          <w:color w:val="000000"/>
          <w:spacing w:val="-11"/>
          <w:kern w:val="0"/>
          <w:sz w:val="18"/>
          <w:szCs w:val="18"/>
        </w:rPr>
        <w:t xml:space="preserve"> 24%) and high-risk carotid plaques (59% </w:t>
      </w:r>
      <w:r w:rsidRPr="005C657C">
        <w:rPr>
          <w:rFonts w:ascii="Verdana" w:hAnsi="Verdana" w:cs="Verdana"/>
          <w:i/>
          <w:iCs/>
          <w:color w:val="000000"/>
          <w:spacing w:val="-11"/>
          <w:kern w:val="0"/>
          <w:sz w:val="18"/>
          <w:szCs w:val="18"/>
        </w:rPr>
        <w:lastRenderedPageBreak/>
        <w:t>vs</w:t>
      </w:r>
      <w:r w:rsidRPr="005C657C">
        <w:rPr>
          <w:rFonts w:ascii="Verdana" w:hAnsi="Verdana" w:cs="Verdana"/>
          <w:color w:val="000000"/>
          <w:spacing w:val="-11"/>
          <w:kern w:val="0"/>
          <w:sz w:val="18"/>
          <w:szCs w:val="18"/>
        </w:rPr>
        <w:t xml:space="preserve"> 19%) were more prevalent in individuals with NAFLD. All of these findings have been confirmed in a recent meta-analysis, as NAFLD patients showed a greater link with subclinical atherosclerosis regarding CIMT [OR 2.04 (95%CI: 1.65-2.51)] and the presence of carotid plaques [OR 2.82 (95%CI: 1.87-4.27)</w:t>
      </w:r>
      <w:proofErr w:type="gramStart"/>
      <w:r w:rsidRPr="005C657C">
        <w:rPr>
          <w:rFonts w:ascii="Verdana" w:hAnsi="Verdana" w:cs="Verdana"/>
          <w:color w:val="000000"/>
          <w:spacing w:val="-11"/>
          <w:kern w:val="0"/>
          <w:sz w:val="18"/>
          <w:szCs w:val="18"/>
        </w:rPr>
        <w:t>]</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14]</w:t>
      </w:r>
      <w:r w:rsidRPr="005C657C">
        <w:rPr>
          <w:rFonts w:ascii="Verdana" w:hAnsi="Verdana" w:cs="Verdana"/>
          <w:color w:val="000000"/>
          <w:spacing w:val="-11"/>
          <w:kern w:val="0"/>
          <w:sz w:val="18"/>
          <w:szCs w:val="18"/>
        </w:rPr>
        <w:t xml:space="preserve">. Secondly, NAFLD patients suffer more CV events than the overall population. In 2016, Fracanzani </w:t>
      </w:r>
      <w:r w:rsidRPr="005C657C">
        <w:rPr>
          <w:rFonts w:ascii="Verdana" w:hAnsi="Verdana" w:cs="Verdana"/>
          <w:i/>
          <w:iCs/>
          <w:color w:val="000000"/>
          <w:spacing w:val="-11"/>
          <w:kern w:val="0"/>
          <w:sz w:val="18"/>
          <w:szCs w:val="18"/>
        </w:rPr>
        <w:t xml:space="preserve">et </w:t>
      </w:r>
      <w:proofErr w:type="gramStart"/>
      <w:r w:rsidRPr="005C657C">
        <w:rPr>
          <w:rFonts w:ascii="Verdana" w:hAnsi="Verdana" w:cs="Verdana"/>
          <w:i/>
          <w:iCs/>
          <w:color w:val="000000"/>
          <w:spacing w:val="-11"/>
          <w:kern w:val="0"/>
          <w:sz w:val="18"/>
          <w:szCs w:val="18"/>
        </w:rPr>
        <w:t>al</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 xml:space="preserve">15] </w:t>
      </w:r>
      <w:r w:rsidRPr="005C657C">
        <w:rPr>
          <w:rFonts w:ascii="Verdana" w:hAnsi="Verdana" w:cs="Verdana"/>
          <w:color w:val="000000"/>
          <w:spacing w:val="-11"/>
          <w:kern w:val="0"/>
          <w:sz w:val="18"/>
          <w:szCs w:val="18"/>
        </w:rPr>
        <w:t xml:space="preserve">aimed to evaluate the incidence of CV and cerebrovascular events in patients with NAFLD, who had been monitored for 10 years. Patients presented a higher number of CV events than the control group (19% </w:t>
      </w:r>
      <w:r w:rsidRPr="005C657C">
        <w:rPr>
          <w:rFonts w:ascii="Verdana" w:hAnsi="Verdana" w:cs="Verdana"/>
          <w:i/>
          <w:iCs/>
          <w:color w:val="000000"/>
          <w:spacing w:val="-11"/>
          <w:kern w:val="0"/>
          <w:sz w:val="18"/>
          <w:szCs w:val="18"/>
        </w:rPr>
        <w:t>vs</w:t>
      </w:r>
      <w:r w:rsidRPr="005C657C">
        <w:rPr>
          <w:rFonts w:ascii="Verdana" w:hAnsi="Verdana" w:cs="Verdana"/>
          <w:color w:val="000000"/>
          <w:spacing w:val="-11"/>
          <w:kern w:val="0"/>
          <w:sz w:val="18"/>
          <w:szCs w:val="18"/>
        </w:rPr>
        <w:t xml:space="preserve"> 10%), being the presence of carotid plaques [OR 5.08 (95%CI: 2.56-10.95)] and liver steatosis [OR 1.99 (95CI: 1.01-3.94)] the main risk </w:t>
      </w:r>
      <w:proofErr w:type="gramStart"/>
      <w:r w:rsidRPr="005C657C">
        <w:rPr>
          <w:rFonts w:ascii="Verdana" w:hAnsi="Verdana" w:cs="Verdana"/>
          <w:color w:val="000000"/>
          <w:spacing w:val="-11"/>
          <w:kern w:val="0"/>
          <w:sz w:val="18"/>
          <w:szCs w:val="18"/>
        </w:rPr>
        <w:t>factors</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15]</w:t>
      </w:r>
      <w:r w:rsidRPr="005C657C">
        <w:rPr>
          <w:rFonts w:ascii="Verdana" w:hAnsi="Verdana" w:cs="Verdana"/>
          <w:color w:val="000000"/>
          <w:spacing w:val="-11"/>
          <w:kern w:val="0"/>
          <w:sz w:val="18"/>
          <w:szCs w:val="18"/>
        </w:rPr>
        <w:t xml:space="preserve">. As a consequence of the higher prevalence of subclinical atherosclerosis and clinical events, CV mortality is ultimately increased as well. In fact, CV-related death appears to be one of the leading causes of death in most of the studies in NASH patients (Table 2). Ekstedt </w:t>
      </w:r>
      <w:r w:rsidRPr="005C657C">
        <w:rPr>
          <w:rFonts w:ascii="Verdana" w:hAnsi="Verdana" w:cs="Verdana"/>
          <w:i/>
          <w:iCs/>
          <w:color w:val="000000"/>
          <w:spacing w:val="-11"/>
          <w:kern w:val="0"/>
          <w:sz w:val="18"/>
          <w:szCs w:val="18"/>
        </w:rPr>
        <w:t xml:space="preserve">et </w:t>
      </w:r>
      <w:proofErr w:type="gramStart"/>
      <w:r w:rsidRPr="005C657C">
        <w:rPr>
          <w:rFonts w:ascii="Verdana" w:hAnsi="Verdana" w:cs="Verdana"/>
          <w:i/>
          <w:iCs/>
          <w:color w:val="000000"/>
          <w:spacing w:val="-11"/>
          <w:kern w:val="0"/>
          <w:sz w:val="18"/>
          <w:szCs w:val="18"/>
        </w:rPr>
        <w:t>al</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16]</w:t>
      </w:r>
      <w:r w:rsidRPr="005C657C">
        <w:rPr>
          <w:rFonts w:ascii="Verdana" w:hAnsi="Verdana" w:cs="Verdana"/>
          <w:color w:val="000000"/>
          <w:spacing w:val="-11"/>
          <w:kern w:val="0"/>
          <w:sz w:val="18"/>
          <w:szCs w:val="18"/>
        </w:rPr>
        <w:t xml:space="preserve"> followed-up 229 patients during more than 30 years, concluding that CV disease was the first cause of mortality for NASH patients without cirrhosis.</w:t>
      </w:r>
      <w:r w:rsidRPr="005C657C">
        <w:rPr>
          <w:rFonts w:ascii="Verdana" w:hAnsi="Verdana" w:cs="Verdana"/>
          <w:color w:val="000000"/>
          <w:spacing w:val="-9"/>
          <w:kern w:val="0"/>
          <w:sz w:val="18"/>
          <w:szCs w:val="18"/>
        </w:rPr>
        <w:t xml:space="preserve"> </w:t>
      </w:r>
    </w:p>
    <w:p w:rsidR="0072071C" w:rsidRPr="005C657C" w:rsidRDefault="0072071C" w:rsidP="0072071C">
      <w:pPr>
        <w:suppressAutoHyphens/>
        <w:autoSpaceDE w:val="0"/>
        <w:autoSpaceDN w:val="0"/>
        <w:adjustRightInd w:val="0"/>
        <w:spacing w:line="288" w:lineRule="auto"/>
        <w:ind w:firstLine="283"/>
        <w:textAlignment w:val="center"/>
        <w:rPr>
          <w:rFonts w:ascii="Verdana" w:hAnsi="Verdana" w:cs="Verdana"/>
          <w:color w:val="000000"/>
          <w:spacing w:val="-13"/>
          <w:kern w:val="0"/>
          <w:sz w:val="18"/>
          <w:szCs w:val="18"/>
        </w:rPr>
      </w:pPr>
      <w:r w:rsidRPr="005C657C">
        <w:rPr>
          <w:rFonts w:ascii="Verdana" w:hAnsi="Verdana" w:cs="Verdana"/>
          <w:color w:val="000000"/>
          <w:spacing w:val="-13"/>
          <w:kern w:val="0"/>
          <w:sz w:val="18"/>
          <w:szCs w:val="18"/>
        </w:rPr>
        <w:t xml:space="preserve">Taking all together, the European Association for the Study of the Liver recommend screening for CV disease in patients with NAFLD, irrespective of the presence of other traditional risk </w:t>
      </w:r>
      <w:proofErr w:type="gramStart"/>
      <w:r w:rsidRPr="005C657C">
        <w:rPr>
          <w:rFonts w:ascii="Verdana" w:hAnsi="Verdana" w:cs="Verdana"/>
          <w:color w:val="000000"/>
          <w:spacing w:val="-13"/>
          <w:kern w:val="0"/>
          <w:sz w:val="18"/>
          <w:szCs w:val="18"/>
        </w:rPr>
        <w:t>factors</w:t>
      </w:r>
      <w:r w:rsidRPr="005C657C">
        <w:rPr>
          <w:rFonts w:ascii="Verdana" w:hAnsi="Verdana" w:cs="Verdana"/>
          <w:color w:val="000000"/>
          <w:spacing w:val="-13"/>
          <w:kern w:val="0"/>
          <w:sz w:val="18"/>
          <w:szCs w:val="18"/>
          <w:vertAlign w:val="superscript"/>
        </w:rPr>
        <w:t>[</w:t>
      </w:r>
      <w:proofErr w:type="gramEnd"/>
      <w:r w:rsidRPr="005C657C">
        <w:rPr>
          <w:rFonts w:ascii="Verdana" w:hAnsi="Verdana" w:cs="Verdana"/>
          <w:color w:val="000000"/>
          <w:spacing w:val="-13"/>
          <w:kern w:val="0"/>
          <w:sz w:val="18"/>
          <w:szCs w:val="18"/>
          <w:vertAlign w:val="superscript"/>
        </w:rPr>
        <w:t>17]</w:t>
      </w:r>
      <w:r w:rsidRPr="005C657C">
        <w:rPr>
          <w:rFonts w:ascii="Verdana" w:hAnsi="Verdana" w:cs="Verdana"/>
          <w:color w:val="000000"/>
          <w:spacing w:val="-13"/>
          <w:kern w:val="0"/>
          <w:sz w:val="18"/>
          <w:szCs w:val="18"/>
        </w:rPr>
        <w:t xml:space="preserve">. </w:t>
      </w:r>
    </w:p>
    <w:p w:rsidR="0072071C" w:rsidRPr="005C657C" w:rsidRDefault="0072071C" w:rsidP="0072071C">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72071C" w:rsidRPr="005C657C" w:rsidRDefault="0072071C" w:rsidP="0072071C">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5C657C">
        <w:rPr>
          <w:rFonts w:ascii="Univers" w:hAnsi="Univers" w:cs="Univers"/>
          <w:b/>
          <w:bCs/>
          <w:color w:val="000000"/>
          <w:spacing w:val="-2"/>
          <w:kern w:val="0"/>
          <w:sz w:val="24"/>
          <w:u w:val="single"/>
        </w:rPr>
        <w:t>CV EVALUATION PRE-LT</w:t>
      </w:r>
    </w:p>
    <w:p w:rsidR="0072071C" w:rsidRPr="005C657C" w:rsidRDefault="0072071C" w:rsidP="0072071C">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5C657C">
        <w:rPr>
          <w:rFonts w:ascii="Verdana" w:hAnsi="Verdana" w:cs="Verdana"/>
          <w:color w:val="000000"/>
          <w:spacing w:val="-9"/>
          <w:kern w:val="0"/>
          <w:sz w:val="18"/>
          <w:szCs w:val="18"/>
        </w:rPr>
        <w:t>CV disease is a major cause of death in post-LT knowing that this risk is bigger in patients showing pre-LT risk factors (irrespective of the etiology). For example, coronary artery disease has been observed in as many as 60% of potential LT candidates and, obviously, its presence increases the CV morbi-mortality pre and post-</w:t>
      </w:r>
      <w:proofErr w:type="gramStart"/>
      <w:r w:rsidRPr="005C657C">
        <w:rPr>
          <w:rFonts w:ascii="Verdana" w:hAnsi="Verdana" w:cs="Verdana"/>
          <w:color w:val="000000"/>
          <w:spacing w:val="-9"/>
          <w:kern w:val="0"/>
          <w:sz w:val="18"/>
          <w:szCs w:val="18"/>
        </w:rPr>
        <w:t>surgery</w:t>
      </w:r>
      <w:r w:rsidRPr="005C657C">
        <w:rPr>
          <w:rFonts w:ascii="Verdana" w:hAnsi="Verdana" w:cs="Verdana"/>
          <w:color w:val="000000"/>
          <w:spacing w:val="-9"/>
          <w:kern w:val="0"/>
          <w:sz w:val="18"/>
          <w:szCs w:val="18"/>
          <w:vertAlign w:val="superscript"/>
        </w:rPr>
        <w:t>[</w:t>
      </w:r>
      <w:proofErr w:type="gramEnd"/>
      <w:r w:rsidRPr="005C657C">
        <w:rPr>
          <w:rFonts w:ascii="Verdana" w:hAnsi="Verdana" w:cs="Verdana"/>
          <w:color w:val="000000"/>
          <w:spacing w:val="-9"/>
          <w:kern w:val="0"/>
          <w:sz w:val="18"/>
          <w:szCs w:val="18"/>
          <w:vertAlign w:val="superscript"/>
        </w:rPr>
        <w:t>18]</w:t>
      </w:r>
      <w:r w:rsidRPr="005C657C">
        <w:rPr>
          <w:rFonts w:ascii="Verdana" w:hAnsi="Verdana" w:cs="Verdana"/>
          <w:color w:val="000000"/>
          <w:spacing w:val="-9"/>
          <w:kern w:val="0"/>
          <w:sz w:val="18"/>
          <w:szCs w:val="18"/>
        </w:rPr>
        <w:t>. Therefore, it is essential an adequate CV assessment to prevent these complications and increase post-LT survival rates.</w:t>
      </w:r>
    </w:p>
    <w:p w:rsidR="0072071C" w:rsidRPr="005C657C" w:rsidRDefault="0072071C" w:rsidP="0072071C">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5C657C">
        <w:rPr>
          <w:rFonts w:ascii="Verdana" w:hAnsi="Verdana" w:cs="Verdana"/>
          <w:color w:val="000000"/>
          <w:spacing w:val="-11"/>
          <w:kern w:val="0"/>
          <w:sz w:val="18"/>
          <w:szCs w:val="18"/>
        </w:rPr>
        <w:t>To be included on the liver transplant list, com</w:t>
      </w:r>
      <w:r w:rsidRPr="005C657C">
        <w:rPr>
          <w:rFonts w:ascii="Verdana" w:hAnsi="Verdana" w:cs="Verdana"/>
          <w:color w:val="000000"/>
          <w:spacing w:val="-11"/>
          <w:kern w:val="0"/>
          <w:sz w:val="18"/>
          <w:szCs w:val="18"/>
        </w:rPr>
        <w:softHyphen/>
        <w:t>prehensive evaluation must be performed to evaluate the peri-surgery risk that could prevent from good long-term results. Regarding to CV assessment, current recommen</w:t>
      </w:r>
      <w:r w:rsidRPr="005C657C">
        <w:rPr>
          <w:rFonts w:ascii="Verdana" w:hAnsi="Verdana" w:cs="Verdana"/>
          <w:color w:val="000000"/>
          <w:spacing w:val="-11"/>
          <w:kern w:val="0"/>
          <w:sz w:val="18"/>
          <w:szCs w:val="18"/>
        </w:rPr>
        <w:softHyphen/>
        <w:t>dations include</w:t>
      </w:r>
      <w:r w:rsidRPr="005C657C">
        <w:rPr>
          <w:rFonts w:ascii="Verdana" w:hAnsi="Verdana" w:cs="Verdana"/>
          <w:color w:val="000000"/>
          <w:spacing w:val="-11"/>
          <w:kern w:val="0"/>
          <w:sz w:val="18"/>
          <w:szCs w:val="18"/>
          <w:vertAlign w:val="superscript"/>
        </w:rPr>
        <w:t>[19]</w:t>
      </w:r>
      <w:r w:rsidRPr="005C657C">
        <w:rPr>
          <w:rFonts w:ascii="Verdana" w:hAnsi="Verdana" w:cs="Verdana"/>
          <w:color w:val="000000"/>
          <w:spacing w:val="-11"/>
          <w:kern w:val="0"/>
          <w:sz w:val="18"/>
          <w:szCs w:val="18"/>
        </w:rPr>
        <w:t xml:space="preserve">: (1) to carry out an electrocardiogram and a trans-thoracic echocardiography to rule out underlying heart disease; (2) in patients with &gt; 2 CV risk factors or those older than 50 years old, an ergometry or a stress echocardiogram with dobutamine to detect subclinical ischemic cardiopathy; and (3) whether a significant coronary artery disease is detected during the usual evaluation, a coronariography must be performed (if this latter results effective, the survival rate after </w:t>
      </w:r>
      <w:r w:rsidRPr="005C657C">
        <w:rPr>
          <w:rFonts w:ascii="Verdana" w:hAnsi="Verdana" w:cs="Verdana"/>
          <w:color w:val="000000"/>
          <w:spacing w:val="-14"/>
          <w:kern w:val="0"/>
          <w:sz w:val="18"/>
          <w:szCs w:val="18"/>
        </w:rPr>
        <w:t>LT is similar to those who do not have previous CV disease</w:t>
      </w:r>
      <w:r w:rsidRPr="005C657C">
        <w:rPr>
          <w:rFonts w:ascii="Verdana" w:hAnsi="Verdana" w:cs="Verdana"/>
          <w:color w:val="000000"/>
          <w:spacing w:val="-14"/>
          <w:kern w:val="0"/>
          <w:sz w:val="18"/>
          <w:szCs w:val="18"/>
          <w:vertAlign w:val="superscript"/>
        </w:rPr>
        <w:t>[20,21]</w:t>
      </w:r>
      <w:r w:rsidRPr="005C657C">
        <w:rPr>
          <w:rFonts w:ascii="Verdana" w:hAnsi="Verdana" w:cs="Verdana"/>
          <w:color w:val="000000"/>
          <w:spacing w:val="-14"/>
          <w:kern w:val="0"/>
          <w:sz w:val="18"/>
          <w:szCs w:val="18"/>
        </w:rPr>
        <w:t xml:space="preserve">). Sometimes, non-invasive methods to </w:t>
      </w:r>
      <w:r w:rsidRPr="005C657C">
        <w:rPr>
          <w:rFonts w:ascii="Verdana" w:hAnsi="Verdana" w:cs="Verdana"/>
          <w:color w:val="000000"/>
          <w:spacing w:val="-11"/>
          <w:kern w:val="0"/>
          <w:sz w:val="18"/>
          <w:szCs w:val="18"/>
        </w:rPr>
        <w:t>screen for CV disease have low sensitivity and specificity compared to other tests (</w:t>
      </w:r>
      <w:r w:rsidRPr="005C657C">
        <w:rPr>
          <w:rFonts w:ascii="Verdana" w:hAnsi="Verdana" w:cs="Verdana"/>
          <w:i/>
          <w:iCs/>
          <w:color w:val="000000"/>
          <w:spacing w:val="-11"/>
          <w:kern w:val="0"/>
          <w:sz w:val="18"/>
          <w:szCs w:val="18"/>
        </w:rPr>
        <w:t>i.e</w:t>
      </w:r>
      <w:r w:rsidRPr="005C657C">
        <w:rPr>
          <w:rFonts w:ascii="Verdana" w:hAnsi="Verdana" w:cs="Verdana"/>
          <w:color w:val="000000"/>
          <w:spacing w:val="-11"/>
          <w:kern w:val="0"/>
          <w:sz w:val="18"/>
          <w:szCs w:val="18"/>
        </w:rPr>
        <w:t>., angiography</w:t>
      </w:r>
      <w:proofErr w:type="gramStart"/>
      <w:r w:rsidRPr="005C657C">
        <w:rPr>
          <w:rFonts w:ascii="Verdana" w:hAnsi="Verdana" w:cs="Verdana"/>
          <w:color w:val="000000"/>
          <w:spacing w:val="-11"/>
          <w:kern w:val="0"/>
          <w:sz w:val="18"/>
          <w:szCs w:val="18"/>
        </w:rPr>
        <w:t>)</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22]</w:t>
      </w:r>
      <w:r w:rsidRPr="005C657C">
        <w:rPr>
          <w:rFonts w:ascii="Verdana" w:hAnsi="Verdana" w:cs="Verdana"/>
          <w:color w:val="000000"/>
          <w:spacing w:val="-11"/>
          <w:kern w:val="0"/>
          <w:sz w:val="18"/>
          <w:szCs w:val="18"/>
        </w:rPr>
        <w:t>. However, there is no sufficient evidence to recommend invasive tests to evaluate CV risk before LT in asymptomatic patients. Therefore, the American Heart Association and the American College of Cardiology Foundation</w:t>
      </w:r>
      <w:r w:rsidRPr="005C657C">
        <w:rPr>
          <w:rFonts w:ascii="Verdana" w:hAnsi="Verdana" w:cs="Verdana"/>
          <w:color w:val="000000"/>
          <w:spacing w:val="-11"/>
          <w:kern w:val="0"/>
          <w:sz w:val="18"/>
          <w:szCs w:val="18"/>
          <w:vertAlign w:val="superscript"/>
        </w:rPr>
        <w:t>[23]</w:t>
      </w:r>
      <w:r w:rsidRPr="005C657C">
        <w:rPr>
          <w:rFonts w:ascii="Verdana" w:hAnsi="Verdana" w:cs="Verdana"/>
          <w:color w:val="000000"/>
          <w:spacing w:val="-11"/>
          <w:kern w:val="0"/>
          <w:sz w:val="18"/>
          <w:szCs w:val="18"/>
        </w:rPr>
        <w:t xml:space="preserve"> propose to perform a coronariography in CV high-risk candidates, defined as those who have &gt; 2 CV risk factors (DM, age &gt; 60 years, smokers, AHT, and dyslipidemia). On the other hand, they recommend non-invasive stress tests in those patients with low risk of CV </w:t>
      </w:r>
      <w:proofErr w:type="gramStart"/>
      <w:r w:rsidRPr="005C657C">
        <w:rPr>
          <w:rFonts w:ascii="Verdana" w:hAnsi="Verdana" w:cs="Verdana"/>
          <w:color w:val="000000"/>
          <w:spacing w:val="-11"/>
          <w:kern w:val="0"/>
          <w:sz w:val="18"/>
          <w:szCs w:val="18"/>
        </w:rPr>
        <w:t>disease</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24]</w:t>
      </w:r>
      <w:r w:rsidRPr="005C657C">
        <w:rPr>
          <w:rFonts w:ascii="Verdana" w:hAnsi="Verdana" w:cs="Verdana"/>
          <w:color w:val="000000"/>
          <w:spacing w:val="-11"/>
          <w:kern w:val="0"/>
          <w:sz w:val="18"/>
          <w:szCs w:val="18"/>
        </w:rPr>
        <w:t>.</w:t>
      </w:r>
    </w:p>
    <w:p w:rsidR="0072071C" w:rsidRPr="005C657C" w:rsidRDefault="0072071C" w:rsidP="0072071C">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5C657C">
        <w:rPr>
          <w:rFonts w:ascii="Verdana" w:hAnsi="Verdana" w:cs="Verdana"/>
          <w:color w:val="000000"/>
          <w:spacing w:val="-9"/>
          <w:kern w:val="0"/>
          <w:sz w:val="18"/>
          <w:szCs w:val="18"/>
        </w:rPr>
        <w:t xml:space="preserve">Given that CV risk factors before LT have a great impact, it has been proposed that the Framingham Risk Score (an algorithm to predict CV risk at 10 years including age, sex, smoking, DM, arterial hypertension, and dyslipidemia) could be useful for predicting post-LT CV risk in candidate patients. This strategy could lead to performing individualized diagnostic and therapeutic tests depending on the </w:t>
      </w:r>
      <w:proofErr w:type="gramStart"/>
      <w:r w:rsidRPr="005C657C">
        <w:rPr>
          <w:rFonts w:ascii="Verdana" w:hAnsi="Verdana" w:cs="Verdana"/>
          <w:color w:val="000000"/>
          <w:spacing w:val="-9"/>
          <w:kern w:val="0"/>
          <w:sz w:val="18"/>
          <w:szCs w:val="18"/>
        </w:rPr>
        <w:t>score</w:t>
      </w:r>
      <w:r w:rsidRPr="005C657C">
        <w:rPr>
          <w:rFonts w:ascii="Verdana" w:hAnsi="Verdana" w:cs="Verdana"/>
          <w:color w:val="000000"/>
          <w:spacing w:val="-9"/>
          <w:kern w:val="0"/>
          <w:sz w:val="18"/>
          <w:szCs w:val="18"/>
          <w:vertAlign w:val="superscript"/>
        </w:rPr>
        <w:t>[</w:t>
      </w:r>
      <w:proofErr w:type="gramEnd"/>
      <w:r w:rsidRPr="005C657C">
        <w:rPr>
          <w:rFonts w:ascii="Verdana" w:hAnsi="Verdana" w:cs="Verdana"/>
          <w:color w:val="000000"/>
          <w:spacing w:val="-9"/>
          <w:kern w:val="0"/>
          <w:sz w:val="18"/>
          <w:szCs w:val="18"/>
          <w:vertAlign w:val="superscript"/>
        </w:rPr>
        <w:t>25]</w:t>
      </w:r>
      <w:r w:rsidRPr="005C657C">
        <w:rPr>
          <w:rFonts w:ascii="Verdana" w:hAnsi="Verdana" w:cs="Verdana"/>
          <w:color w:val="000000"/>
          <w:spacing w:val="-9"/>
          <w:kern w:val="0"/>
          <w:sz w:val="18"/>
          <w:szCs w:val="18"/>
        </w:rPr>
        <w:t>.</w:t>
      </w:r>
    </w:p>
    <w:p w:rsidR="0072071C" w:rsidRPr="005C657C" w:rsidRDefault="0072071C" w:rsidP="0072071C">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5C657C">
        <w:rPr>
          <w:rFonts w:ascii="Verdana" w:hAnsi="Verdana" w:cs="Verdana"/>
          <w:color w:val="000000"/>
          <w:spacing w:val="-9"/>
          <w:kern w:val="0"/>
          <w:sz w:val="18"/>
          <w:szCs w:val="18"/>
        </w:rPr>
        <w:t xml:space="preserve">Clinical guidelines for NAFLD patients recommend that CV risk must be carefully evaluated in LT setting because theoretically these subjects have more risk factors to suffer CV-related clinical events and mortality. Even </w:t>
      </w:r>
      <w:r w:rsidRPr="005C657C">
        <w:rPr>
          <w:rFonts w:ascii="Verdana" w:hAnsi="Verdana" w:cs="Verdana"/>
          <w:color w:val="000000"/>
          <w:spacing w:val="-9"/>
          <w:kern w:val="0"/>
          <w:sz w:val="18"/>
          <w:szCs w:val="18"/>
        </w:rPr>
        <w:lastRenderedPageBreak/>
        <w:t xml:space="preserve">more, some of them probably would require invasive tests but the best method remains unclear. The British </w:t>
      </w:r>
      <w:proofErr w:type="gramStart"/>
      <w:r w:rsidRPr="005C657C">
        <w:rPr>
          <w:rFonts w:ascii="Verdana" w:hAnsi="Verdana" w:cs="Verdana"/>
          <w:color w:val="000000"/>
          <w:spacing w:val="-9"/>
          <w:kern w:val="0"/>
          <w:sz w:val="18"/>
          <w:szCs w:val="18"/>
        </w:rPr>
        <w:t>guideline</w:t>
      </w:r>
      <w:r w:rsidRPr="005C657C">
        <w:rPr>
          <w:rFonts w:ascii="Verdana" w:hAnsi="Verdana" w:cs="Verdana"/>
          <w:color w:val="000000"/>
          <w:spacing w:val="-9"/>
          <w:kern w:val="0"/>
          <w:sz w:val="18"/>
          <w:szCs w:val="18"/>
          <w:vertAlign w:val="superscript"/>
        </w:rPr>
        <w:t>[</w:t>
      </w:r>
      <w:proofErr w:type="gramEnd"/>
      <w:r w:rsidRPr="005C657C">
        <w:rPr>
          <w:rFonts w:ascii="Verdana" w:hAnsi="Verdana" w:cs="Verdana"/>
          <w:color w:val="000000"/>
          <w:spacing w:val="-9"/>
          <w:kern w:val="0"/>
          <w:sz w:val="18"/>
          <w:szCs w:val="18"/>
          <w:vertAlign w:val="superscript"/>
        </w:rPr>
        <w:t>26]</w:t>
      </w:r>
      <w:r w:rsidRPr="005C657C">
        <w:rPr>
          <w:rFonts w:ascii="Verdana" w:hAnsi="Verdana" w:cs="Verdana"/>
          <w:color w:val="000000"/>
          <w:spacing w:val="-9"/>
          <w:kern w:val="0"/>
          <w:sz w:val="18"/>
          <w:szCs w:val="18"/>
        </w:rPr>
        <w:t xml:space="preserve"> proposes the evaluation of the functional capacity of the patient measured by the MET unit (energy expenditure during physical activity), guiding the following tests according to the result. Consequently, patients able to climb at least two flights of stairs (equivalent to 4 METs) and those who do not present CV risk </w:t>
      </w:r>
      <w:proofErr w:type="gramStart"/>
      <w:r w:rsidRPr="005C657C">
        <w:rPr>
          <w:rFonts w:ascii="Verdana" w:hAnsi="Verdana" w:cs="Verdana"/>
          <w:color w:val="000000"/>
          <w:spacing w:val="-9"/>
          <w:kern w:val="0"/>
          <w:sz w:val="18"/>
          <w:szCs w:val="18"/>
        </w:rPr>
        <w:t>factors,</w:t>
      </w:r>
      <w:proofErr w:type="gramEnd"/>
      <w:r w:rsidRPr="005C657C">
        <w:rPr>
          <w:rFonts w:ascii="Verdana" w:hAnsi="Verdana" w:cs="Verdana"/>
          <w:color w:val="000000"/>
          <w:spacing w:val="-9"/>
          <w:kern w:val="0"/>
          <w:sz w:val="18"/>
          <w:szCs w:val="18"/>
        </w:rPr>
        <w:t xml:space="preserve"> may not require further tests. On the other hand, those with a MET &lt; 4 or showing at least one CV risk factors (myocardial infarction, heart failure, stroke/transient ischaemic attack, renal dysfunction, DM requiring insulin therapy) will need a stress echocardiogram or cardiopulmonary exercise test. Likewise, they recommend the simultaneous evaluation with a cardiologist in CV high-risk patients, especially those who have suffered a CV disease before </w:t>
      </w:r>
      <w:proofErr w:type="gramStart"/>
      <w:r w:rsidRPr="005C657C">
        <w:rPr>
          <w:rFonts w:ascii="Verdana" w:hAnsi="Verdana" w:cs="Verdana"/>
          <w:color w:val="000000"/>
          <w:spacing w:val="-9"/>
          <w:kern w:val="0"/>
          <w:sz w:val="18"/>
          <w:szCs w:val="18"/>
        </w:rPr>
        <w:t>LT</w:t>
      </w:r>
      <w:r w:rsidRPr="005C657C">
        <w:rPr>
          <w:rFonts w:ascii="Verdana" w:hAnsi="Verdana" w:cs="Verdana"/>
          <w:color w:val="000000"/>
          <w:spacing w:val="-9"/>
          <w:kern w:val="0"/>
          <w:sz w:val="18"/>
          <w:szCs w:val="18"/>
          <w:vertAlign w:val="superscript"/>
        </w:rPr>
        <w:t>[</w:t>
      </w:r>
      <w:proofErr w:type="gramEnd"/>
      <w:r w:rsidRPr="005C657C">
        <w:rPr>
          <w:rFonts w:ascii="Verdana" w:hAnsi="Verdana" w:cs="Verdana"/>
          <w:color w:val="000000"/>
          <w:spacing w:val="-9"/>
          <w:kern w:val="0"/>
          <w:sz w:val="18"/>
          <w:szCs w:val="18"/>
          <w:vertAlign w:val="superscript"/>
        </w:rPr>
        <w:t>23]</w:t>
      </w:r>
      <w:r w:rsidRPr="005C657C">
        <w:rPr>
          <w:rFonts w:ascii="Verdana" w:hAnsi="Verdana" w:cs="Verdana"/>
          <w:color w:val="000000"/>
          <w:spacing w:val="-9"/>
          <w:kern w:val="0"/>
          <w:sz w:val="18"/>
          <w:szCs w:val="18"/>
        </w:rPr>
        <w:t>. Despite all this, pre-LT CV assessment in NAFLD patients is not routinely different to those patients who have cirrhosis for other etiologies.</w:t>
      </w:r>
    </w:p>
    <w:p w:rsidR="0072071C" w:rsidRPr="005C657C" w:rsidRDefault="0072071C" w:rsidP="0072071C">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72071C" w:rsidRPr="005C657C" w:rsidRDefault="0072071C" w:rsidP="0072071C">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5C657C">
        <w:rPr>
          <w:rFonts w:ascii="Univers" w:hAnsi="Univers" w:cs="Univers"/>
          <w:b/>
          <w:bCs/>
          <w:color w:val="000000"/>
          <w:spacing w:val="-2"/>
          <w:kern w:val="0"/>
          <w:sz w:val="24"/>
          <w:u w:val="single"/>
        </w:rPr>
        <w:t xml:space="preserve">CV RISK IN NAFLD POST-LT </w:t>
      </w:r>
    </w:p>
    <w:p w:rsidR="0072071C" w:rsidRPr="005C657C" w:rsidRDefault="0072071C" w:rsidP="0072071C">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5C657C">
        <w:rPr>
          <w:rFonts w:ascii="Verdana" w:hAnsi="Verdana" w:cs="Verdana"/>
          <w:color w:val="000000"/>
          <w:spacing w:val="-11"/>
          <w:kern w:val="0"/>
          <w:sz w:val="18"/>
          <w:szCs w:val="18"/>
        </w:rPr>
        <w:t xml:space="preserve">Post-LT survival rates have been increasing over time, due to the loss of the liver graft is less common and the short-term mortality is </w:t>
      </w:r>
      <w:proofErr w:type="gramStart"/>
      <w:r w:rsidRPr="005C657C">
        <w:rPr>
          <w:rFonts w:ascii="Verdana" w:hAnsi="Verdana" w:cs="Verdana"/>
          <w:color w:val="000000"/>
          <w:spacing w:val="-11"/>
          <w:kern w:val="0"/>
          <w:sz w:val="18"/>
          <w:szCs w:val="18"/>
        </w:rPr>
        <w:t>lower</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27]</w:t>
      </w:r>
      <w:r w:rsidRPr="005C657C">
        <w:rPr>
          <w:rFonts w:ascii="Verdana" w:hAnsi="Verdana" w:cs="Verdana"/>
          <w:color w:val="000000"/>
          <w:spacing w:val="-11"/>
          <w:kern w:val="0"/>
          <w:sz w:val="18"/>
          <w:szCs w:val="18"/>
        </w:rPr>
        <w:t>. After the transplant, patients usually gain weight, and the incidence of meta</w:t>
      </w:r>
      <w:r w:rsidRPr="005C657C">
        <w:rPr>
          <w:rFonts w:ascii="Verdana" w:hAnsi="Verdana" w:cs="Verdana"/>
          <w:color w:val="000000"/>
          <w:spacing w:val="-11"/>
          <w:kern w:val="0"/>
          <w:sz w:val="18"/>
          <w:szCs w:val="18"/>
        </w:rPr>
        <w:softHyphen/>
        <w:t xml:space="preserve">bolic syndrome is greater (as much as two-thirds of patients at 5 years) probably related to the lifestyle and the immunosuppressive treatment, </w:t>
      </w:r>
      <w:proofErr w:type="gramStart"/>
      <w:r w:rsidRPr="005C657C">
        <w:rPr>
          <w:rFonts w:ascii="Verdana" w:hAnsi="Verdana" w:cs="Verdana"/>
          <w:color w:val="000000"/>
          <w:spacing w:val="-11"/>
          <w:kern w:val="0"/>
          <w:sz w:val="18"/>
          <w:szCs w:val="18"/>
        </w:rPr>
        <w:t>respectively</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28,29]</w:t>
      </w:r>
      <w:r w:rsidRPr="005C657C">
        <w:rPr>
          <w:rFonts w:ascii="Verdana" w:hAnsi="Verdana" w:cs="Verdana"/>
          <w:color w:val="000000"/>
          <w:spacing w:val="-11"/>
          <w:kern w:val="0"/>
          <w:sz w:val="18"/>
          <w:szCs w:val="18"/>
        </w:rPr>
        <w:t xml:space="preserve">. In this scenario, metabolic and CV complications are currently the main responsible for affecting the mid- and long-term survival. </w:t>
      </w:r>
    </w:p>
    <w:p w:rsidR="0072071C" w:rsidRPr="005C657C" w:rsidRDefault="0072071C" w:rsidP="0072071C">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5C657C">
        <w:rPr>
          <w:rFonts w:ascii="Verdana" w:hAnsi="Verdana" w:cs="Verdana"/>
          <w:color w:val="000000"/>
          <w:spacing w:val="-11"/>
          <w:kern w:val="0"/>
          <w:sz w:val="18"/>
          <w:szCs w:val="18"/>
        </w:rPr>
        <w:t xml:space="preserve">Among non-liver-related 1-year mortality after the LT, CV disease is the second cause after tumors, followed by infections and kidney </w:t>
      </w:r>
      <w:proofErr w:type="gramStart"/>
      <w:r w:rsidRPr="005C657C">
        <w:rPr>
          <w:rFonts w:ascii="Verdana" w:hAnsi="Verdana" w:cs="Verdana"/>
          <w:color w:val="000000"/>
          <w:spacing w:val="-11"/>
          <w:kern w:val="0"/>
          <w:sz w:val="18"/>
          <w:szCs w:val="18"/>
        </w:rPr>
        <w:t>failure</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30]</w:t>
      </w:r>
      <w:r w:rsidRPr="005C657C">
        <w:rPr>
          <w:rFonts w:ascii="Verdana" w:hAnsi="Verdana" w:cs="Verdana"/>
          <w:color w:val="000000"/>
          <w:spacing w:val="-11"/>
          <w:kern w:val="0"/>
          <w:sz w:val="18"/>
          <w:szCs w:val="18"/>
        </w:rPr>
        <w:t xml:space="preserve">. Madhwal </w:t>
      </w:r>
      <w:r w:rsidRPr="005C657C">
        <w:rPr>
          <w:rFonts w:ascii="Verdana" w:hAnsi="Verdana" w:cs="Verdana"/>
          <w:i/>
          <w:iCs/>
          <w:color w:val="000000"/>
          <w:spacing w:val="-11"/>
          <w:kern w:val="0"/>
          <w:sz w:val="18"/>
          <w:szCs w:val="18"/>
        </w:rPr>
        <w:t xml:space="preserve">et </w:t>
      </w:r>
      <w:proofErr w:type="gramStart"/>
      <w:r w:rsidRPr="005C657C">
        <w:rPr>
          <w:rFonts w:ascii="Verdana" w:hAnsi="Verdana" w:cs="Verdana"/>
          <w:i/>
          <w:iCs/>
          <w:color w:val="000000"/>
          <w:spacing w:val="-11"/>
          <w:kern w:val="0"/>
          <w:sz w:val="18"/>
          <w:szCs w:val="18"/>
        </w:rPr>
        <w:t>al</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31]</w:t>
      </w:r>
      <w:r w:rsidRPr="005C657C">
        <w:rPr>
          <w:rFonts w:ascii="Verdana" w:hAnsi="Verdana" w:cs="Verdana"/>
          <w:color w:val="000000"/>
          <w:spacing w:val="-11"/>
          <w:kern w:val="0"/>
          <w:sz w:val="18"/>
          <w:szCs w:val="18"/>
        </w:rPr>
        <w:t>, based on a meta-analysis including twelve observational studies, observed that CV events were present in 13.6% (95%CI: 9%-18%) of NAFLD patients within 10 years. Also, they noted that the incidence of CV disease was especially relevant in those who had additionally metabolic syndrome (four times higher of suffering a CV event</w:t>
      </w:r>
      <w:proofErr w:type="gramStart"/>
      <w:r w:rsidRPr="005C657C">
        <w:rPr>
          <w:rFonts w:ascii="Verdana" w:hAnsi="Verdana" w:cs="Verdana"/>
          <w:color w:val="000000"/>
          <w:spacing w:val="-11"/>
          <w:kern w:val="0"/>
          <w:sz w:val="18"/>
          <w:szCs w:val="18"/>
        </w:rPr>
        <w:t>)</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31]</w:t>
      </w:r>
      <w:r w:rsidRPr="005C657C">
        <w:rPr>
          <w:rFonts w:ascii="Verdana" w:hAnsi="Verdana" w:cs="Verdana"/>
          <w:color w:val="000000"/>
          <w:spacing w:val="-11"/>
          <w:kern w:val="0"/>
          <w:sz w:val="18"/>
          <w:szCs w:val="18"/>
        </w:rPr>
        <w:t xml:space="preserve">. Precisely, NAFLD patients who required LT are older and have more prevalence of DM and obesity (as well as chronic kidney failure or previous CV disease) in opposition to the rest of </w:t>
      </w:r>
      <w:proofErr w:type="gramStart"/>
      <w:r w:rsidRPr="005C657C">
        <w:rPr>
          <w:rFonts w:ascii="Verdana" w:hAnsi="Verdana" w:cs="Verdana"/>
          <w:color w:val="000000"/>
          <w:spacing w:val="-11"/>
          <w:kern w:val="0"/>
          <w:sz w:val="18"/>
          <w:szCs w:val="18"/>
        </w:rPr>
        <w:t>etiologies</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32]</w:t>
      </w:r>
      <w:r w:rsidRPr="005C657C">
        <w:rPr>
          <w:rFonts w:ascii="Verdana" w:hAnsi="Verdana" w:cs="Verdana"/>
          <w:color w:val="000000"/>
          <w:spacing w:val="-11"/>
          <w:kern w:val="0"/>
          <w:sz w:val="18"/>
          <w:szCs w:val="18"/>
        </w:rPr>
        <w:t>.</w:t>
      </w:r>
    </w:p>
    <w:p w:rsidR="0072071C" w:rsidRPr="005C657C" w:rsidRDefault="0072071C" w:rsidP="0072071C">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5C657C">
        <w:rPr>
          <w:rFonts w:ascii="Verdana" w:hAnsi="Verdana" w:cs="Verdana"/>
          <w:color w:val="000000"/>
          <w:spacing w:val="-11"/>
          <w:kern w:val="0"/>
          <w:sz w:val="18"/>
          <w:szCs w:val="18"/>
        </w:rPr>
        <w:t xml:space="preserve">The prevalence of metabolic syndrome is around 50%-60% of the post-LT </w:t>
      </w:r>
      <w:proofErr w:type="gramStart"/>
      <w:r w:rsidRPr="005C657C">
        <w:rPr>
          <w:rFonts w:ascii="Verdana" w:hAnsi="Verdana" w:cs="Verdana"/>
          <w:color w:val="000000"/>
          <w:spacing w:val="-11"/>
          <w:kern w:val="0"/>
          <w:sz w:val="18"/>
          <w:szCs w:val="18"/>
        </w:rPr>
        <w:t>population</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28,33]</w:t>
      </w:r>
      <w:r w:rsidRPr="005C657C">
        <w:rPr>
          <w:rFonts w:ascii="Verdana" w:hAnsi="Verdana" w:cs="Verdana"/>
          <w:color w:val="000000"/>
          <w:spacing w:val="-11"/>
          <w:kern w:val="0"/>
          <w:sz w:val="18"/>
          <w:szCs w:val="18"/>
        </w:rPr>
        <w:t>, influenced by the appearance of several risk factors. Obesity (BMI &gt; 30 kg/m</w:t>
      </w:r>
      <w:r w:rsidRPr="005C657C">
        <w:rPr>
          <w:rFonts w:ascii="Verdana" w:hAnsi="Verdana" w:cs="Verdana"/>
          <w:color w:val="000000"/>
          <w:spacing w:val="-11"/>
          <w:kern w:val="0"/>
          <w:sz w:val="18"/>
          <w:szCs w:val="18"/>
          <w:vertAlign w:val="superscript"/>
        </w:rPr>
        <w:t>2</w:t>
      </w:r>
      <w:r w:rsidRPr="005C657C">
        <w:rPr>
          <w:rFonts w:ascii="Verdana" w:hAnsi="Verdana" w:cs="Verdana"/>
          <w:color w:val="000000"/>
          <w:spacing w:val="-11"/>
          <w:kern w:val="0"/>
          <w:sz w:val="18"/>
          <w:szCs w:val="18"/>
        </w:rPr>
        <w:t xml:space="preserve">) is approximately 24%-64% after </w:t>
      </w:r>
      <w:proofErr w:type="gramStart"/>
      <w:r w:rsidRPr="005C657C">
        <w:rPr>
          <w:rFonts w:ascii="Verdana" w:hAnsi="Verdana" w:cs="Verdana"/>
          <w:color w:val="000000"/>
          <w:spacing w:val="-11"/>
          <w:kern w:val="0"/>
          <w:sz w:val="18"/>
          <w:szCs w:val="18"/>
        </w:rPr>
        <w:t>LT</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27]</w:t>
      </w:r>
      <w:r w:rsidRPr="005C657C">
        <w:rPr>
          <w:rFonts w:ascii="Verdana" w:hAnsi="Verdana" w:cs="Verdana"/>
          <w:color w:val="000000"/>
          <w:spacing w:val="-11"/>
          <w:kern w:val="0"/>
          <w:sz w:val="18"/>
          <w:szCs w:val="18"/>
        </w:rPr>
        <w:t>, due to the fact that the weight increases after the operation (reversion of cirrhosis and its hypercatabolic state, increase in appetite, absence of the chronic disease, effects of steroids) which means an increase in DM and dyslipidemia, as well as in vascular events and kidney disease</w:t>
      </w:r>
      <w:r w:rsidRPr="005C657C">
        <w:rPr>
          <w:rFonts w:ascii="Verdana" w:hAnsi="Verdana" w:cs="Verdana"/>
          <w:color w:val="000000"/>
          <w:spacing w:val="-11"/>
          <w:kern w:val="0"/>
          <w:sz w:val="18"/>
          <w:szCs w:val="18"/>
          <w:vertAlign w:val="superscript"/>
        </w:rPr>
        <w:t>[34]</w:t>
      </w:r>
      <w:r w:rsidRPr="005C657C">
        <w:rPr>
          <w:rFonts w:ascii="Verdana" w:hAnsi="Verdana" w:cs="Verdana"/>
          <w:color w:val="000000"/>
          <w:spacing w:val="-11"/>
          <w:kern w:val="0"/>
          <w:sz w:val="18"/>
          <w:szCs w:val="18"/>
        </w:rPr>
        <w:t xml:space="preserve">. On the other hand, DM (the most important risk factor of NAFLD) is diagnosed in 10%-64% of post-LT </w:t>
      </w:r>
      <w:proofErr w:type="gramStart"/>
      <w:r w:rsidRPr="005C657C">
        <w:rPr>
          <w:rFonts w:ascii="Verdana" w:hAnsi="Verdana" w:cs="Verdana"/>
          <w:color w:val="000000"/>
          <w:spacing w:val="-11"/>
          <w:kern w:val="0"/>
          <w:sz w:val="18"/>
          <w:szCs w:val="18"/>
        </w:rPr>
        <w:t>patients</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28,35]</w:t>
      </w:r>
      <w:r w:rsidRPr="005C657C">
        <w:rPr>
          <w:rFonts w:ascii="Verdana" w:hAnsi="Verdana" w:cs="Verdana"/>
          <w:color w:val="000000"/>
          <w:spacing w:val="-11"/>
          <w:kern w:val="0"/>
          <w:sz w:val="18"/>
          <w:szCs w:val="18"/>
        </w:rPr>
        <w:t>, and is being considered more and more the main complication after LT. Its appearance is multifactorial, but the main modifiable factor (apart from lifestyle) is the choice and dose of the immuno</w:t>
      </w:r>
      <w:r w:rsidRPr="005C657C">
        <w:rPr>
          <w:rFonts w:ascii="Verdana" w:hAnsi="Verdana" w:cs="Verdana"/>
          <w:color w:val="000000"/>
          <w:spacing w:val="-11"/>
          <w:kern w:val="0"/>
          <w:sz w:val="18"/>
          <w:szCs w:val="18"/>
        </w:rPr>
        <w:softHyphen/>
        <w:t xml:space="preserve">suppressive therapy. Corticoids have diabetogenic effects producing resistance to insulin and increasing the gluconeogenesis, while the calcineurin inhibitors can directly damage the pancreatic cells (tacrolimus has a significantly higher risk than </w:t>
      </w:r>
      <w:proofErr w:type="gramStart"/>
      <w:r w:rsidRPr="005C657C">
        <w:rPr>
          <w:rFonts w:ascii="Verdana" w:hAnsi="Verdana" w:cs="Verdana"/>
          <w:color w:val="000000"/>
          <w:spacing w:val="-11"/>
          <w:kern w:val="0"/>
          <w:sz w:val="18"/>
          <w:szCs w:val="18"/>
        </w:rPr>
        <w:t>cyclosporine</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36]</w:t>
      </w:r>
      <w:r w:rsidRPr="005C657C">
        <w:rPr>
          <w:rFonts w:ascii="Verdana" w:hAnsi="Verdana" w:cs="Verdana"/>
          <w:color w:val="000000"/>
          <w:spacing w:val="-11"/>
          <w:kern w:val="0"/>
          <w:sz w:val="18"/>
          <w:szCs w:val="18"/>
        </w:rPr>
        <w:t>). The immunosuppressive therapy is also responsible, at least in part, of the appearance of post-transplant AHT (40%-85%) and dyslipidemia (40%-66%</w:t>
      </w:r>
      <w:proofErr w:type="gramStart"/>
      <w:r w:rsidRPr="005C657C">
        <w:rPr>
          <w:rFonts w:ascii="Verdana" w:hAnsi="Verdana" w:cs="Verdana"/>
          <w:color w:val="000000"/>
          <w:spacing w:val="-11"/>
          <w:kern w:val="0"/>
          <w:sz w:val="18"/>
          <w:szCs w:val="18"/>
        </w:rPr>
        <w:t>)</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37]</w:t>
      </w:r>
      <w:r w:rsidRPr="005C657C">
        <w:rPr>
          <w:rFonts w:ascii="Verdana" w:hAnsi="Verdana" w:cs="Verdana"/>
          <w:color w:val="000000"/>
          <w:spacing w:val="-11"/>
          <w:kern w:val="0"/>
          <w:sz w:val="18"/>
          <w:szCs w:val="18"/>
        </w:rPr>
        <w:t xml:space="preserve"> (Table 3). All of this means that the liver disease can return after the LT (</w:t>
      </w:r>
      <w:r w:rsidRPr="005C657C">
        <w:rPr>
          <w:rFonts w:ascii="Verdana" w:hAnsi="Verdana" w:cs="Verdana"/>
          <w:i/>
          <w:iCs/>
          <w:color w:val="000000"/>
          <w:spacing w:val="-11"/>
          <w:kern w:val="0"/>
          <w:sz w:val="18"/>
          <w:szCs w:val="18"/>
        </w:rPr>
        <w:t>de novo</w:t>
      </w:r>
      <w:r w:rsidRPr="005C657C">
        <w:rPr>
          <w:rFonts w:ascii="Verdana" w:hAnsi="Verdana" w:cs="Verdana"/>
          <w:color w:val="000000"/>
          <w:spacing w:val="-11"/>
          <w:kern w:val="0"/>
          <w:sz w:val="18"/>
          <w:szCs w:val="18"/>
        </w:rPr>
        <w:t xml:space="preserve"> NAFLD). Out of NASH patients who are transplanted, this entity reappears in 75%, being the post-LT hypertriglyceridemia, BMI and steroid treatment, the main risk factors</w:t>
      </w:r>
      <w:r w:rsidRPr="005C657C">
        <w:rPr>
          <w:rFonts w:ascii="Verdana" w:hAnsi="Verdana" w:cs="Verdana"/>
          <w:color w:val="000000"/>
          <w:spacing w:val="-11"/>
          <w:kern w:val="0"/>
          <w:sz w:val="18"/>
          <w:szCs w:val="18"/>
          <w:vertAlign w:val="superscript"/>
        </w:rPr>
        <w:t>[38]</w:t>
      </w:r>
      <w:r w:rsidRPr="005C657C">
        <w:rPr>
          <w:rFonts w:ascii="Verdana" w:hAnsi="Verdana" w:cs="Verdana"/>
          <w:color w:val="000000"/>
          <w:spacing w:val="-11"/>
          <w:kern w:val="0"/>
          <w:sz w:val="18"/>
          <w:szCs w:val="18"/>
        </w:rPr>
        <w:t xml:space="preserve"> (causing a positive feedback for post-LT CV risk).</w:t>
      </w:r>
    </w:p>
    <w:p w:rsidR="0072071C" w:rsidRPr="005C657C" w:rsidRDefault="0072071C" w:rsidP="0072071C">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5C657C">
        <w:rPr>
          <w:rFonts w:ascii="Verdana" w:hAnsi="Verdana" w:cs="Verdana"/>
          <w:color w:val="000000"/>
          <w:spacing w:val="-11"/>
          <w:kern w:val="0"/>
          <w:sz w:val="18"/>
          <w:szCs w:val="18"/>
        </w:rPr>
        <w:t xml:space="preserve">In this scenario, several studies have evaluated whether patients with NAFLD show a higher risk of post-LT CV </w:t>
      </w:r>
      <w:r w:rsidRPr="005C657C">
        <w:rPr>
          <w:rFonts w:ascii="Verdana" w:hAnsi="Verdana" w:cs="Verdana"/>
          <w:color w:val="000000"/>
          <w:spacing w:val="-11"/>
          <w:kern w:val="0"/>
          <w:sz w:val="18"/>
          <w:szCs w:val="18"/>
        </w:rPr>
        <w:lastRenderedPageBreak/>
        <w:t xml:space="preserve">disease in comparison with other etiologies. Yalamanchili </w:t>
      </w:r>
      <w:r w:rsidRPr="005C657C">
        <w:rPr>
          <w:rFonts w:ascii="Verdana" w:hAnsi="Verdana" w:cs="Verdana"/>
          <w:i/>
          <w:iCs/>
          <w:color w:val="000000"/>
          <w:spacing w:val="-11"/>
          <w:kern w:val="0"/>
          <w:sz w:val="18"/>
          <w:szCs w:val="18"/>
        </w:rPr>
        <w:t xml:space="preserve">et </w:t>
      </w:r>
      <w:proofErr w:type="gramStart"/>
      <w:r w:rsidRPr="005C657C">
        <w:rPr>
          <w:rFonts w:ascii="Verdana" w:hAnsi="Verdana" w:cs="Verdana"/>
          <w:i/>
          <w:iCs/>
          <w:color w:val="000000"/>
          <w:spacing w:val="-11"/>
          <w:kern w:val="0"/>
          <w:sz w:val="18"/>
          <w:szCs w:val="18"/>
        </w:rPr>
        <w:t>al</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39]</w:t>
      </w:r>
      <w:r w:rsidRPr="005C657C">
        <w:rPr>
          <w:rFonts w:ascii="Verdana" w:hAnsi="Verdana" w:cs="Verdana"/>
          <w:color w:val="000000"/>
          <w:spacing w:val="-11"/>
          <w:kern w:val="0"/>
          <w:sz w:val="18"/>
          <w:szCs w:val="18"/>
        </w:rPr>
        <w:t xml:space="preserve"> evaluated 2152 patients with liver </w:t>
      </w:r>
      <w:r w:rsidRPr="005C657C">
        <w:rPr>
          <w:rFonts w:ascii="Verdana" w:hAnsi="Verdana" w:cs="Verdana"/>
          <w:color w:val="000000"/>
          <w:spacing w:val="-13"/>
          <w:kern w:val="0"/>
          <w:sz w:val="18"/>
          <w:szCs w:val="18"/>
        </w:rPr>
        <w:t xml:space="preserve">cirrhosis, of which 12% had NAFLD or cryptogenic cirrhosis. Survival rate at 10 years after the LT was similar regardless of the etiology, but a significant increase was observed in CV mortality in NAFLD patients (21% </w:t>
      </w:r>
      <w:r w:rsidRPr="005C657C">
        <w:rPr>
          <w:rFonts w:ascii="Verdana" w:hAnsi="Verdana" w:cs="Verdana"/>
          <w:i/>
          <w:iCs/>
          <w:color w:val="000000"/>
          <w:spacing w:val="-13"/>
          <w:kern w:val="0"/>
          <w:sz w:val="18"/>
          <w:szCs w:val="18"/>
        </w:rPr>
        <w:t>vs</w:t>
      </w:r>
      <w:r w:rsidRPr="005C657C">
        <w:rPr>
          <w:rFonts w:ascii="Verdana" w:hAnsi="Verdana" w:cs="Verdana"/>
          <w:color w:val="000000"/>
          <w:spacing w:val="-13"/>
          <w:kern w:val="0"/>
          <w:sz w:val="18"/>
          <w:szCs w:val="18"/>
        </w:rPr>
        <w:t xml:space="preserve"> 14%)</w:t>
      </w:r>
      <w:r w:rsidRPr="005C657C">
        <w:rPr>
          <w:rFonts w:ascii="Verdana" w:hAnsi="Verdana" w:cs="Verdana"/>
          <w:color w:val="000000"/>
          <w:spacing w:val="-13"/>
          <w:kern w:val="0"/>
          <w:sz w:val="18"/>
          <w:szCs w:val="18"/>
          <w:vertAlign w:val="superscript"/>
        </w:rPr>
        <w:t>[39]</w:t>
      </w:r>
      <w:r w:rsidRPr="005C657C">
        <w:rPr>
          <w:rFonts w:ascii="Verdana" w:hAnsi="Verdana" w:cs="Verdana"/>
          <w:color w:val="000000"/>
          <w:spacing w:val="-13"/>
          <w:kern w:val="0"/>
          <w:sz w:val="18"/>
          <w:szCs w:val="18"/>
        </w:rPr>
        <w:t xml:space="preserve">. VanWagner </w:t>
      </w:r>
      <w:r w:rsidRPr="005C657C">
        <w:rPr>
          <w:rFonts w:ascii="Verdana" w:hAnsi="Verdana" w:cs="Verdana"/>
          <w:i/>
          <w:iCs/>
          <w:color w:val="000000"/>
          <w:spacing w:val="-13"/>
          <w:kern w:val="0"/>
          <w:sz w:val="18"/>
          <w:szCs w:val="18"/>
        </w:rPr>
        <w:t xml:space="preserve">et </w:t>
      </w:r>
      <w:proofErr w:type="gramStart"/>
      <w:r w:rsidRPr="005C657C">
        <w:rPr>
          <w:rFonts w:ascii="Verdana" w:hAnsi="Verdana" w:cs="Verdana"/>
          <w:i/>
          <w:iCs/>
          <w:color w:val="000000"/>
          <w:spacing w:val="-13"/>
          <w:kern w:val="0"/>
          <w:sz w:val="18"/>
          <w:szCs w:val="18"/>
        </w:rPr>
        <w:t>al</w:t>
      </w:r>
      <w:r w:rsidRPr="005C657C">
        <w:rPr>
          <w:rFonts w:ascii="Verdana" w:hAnsi="Verdana" w:cs="Verdana"/>
          <w:color w:val="000000"/>
          <w:spacing w:val="-13"/>
          <w:kern w:val="0"/>
          <w:sz w:val="18"/>
          <w:szCs w:val="18"/>
          <w:vertAlign w:val="superscript"/>
        </w:rPr>
        <w:t>[</w:t>
      </w:r>
      <w:proofErr w:type="gramEnd"/>
      <w:r w:rsidRPr="005C657C">
        <w:rPr>
          <w:rFonts w:ascii="Verdana" w:hAnsi="Verdana" w:cs="Verdana"/>
          <w:color w:val="000000"/>
          <w:spacing w:val="-13"/>
          <w:kern w:val="0"/>
          <w:sz w:val="18"/>
          <w:szCs w:val="18"/>
          <w:vertAlign w:val="superscript"/>
        </w:rPr>
        <w:t>40]</w:t>
      </w:r>
      <w:r w:rsidRPr="005C657C">
        <w:rPr>
          <w:rFonts w:ascii="Verdana" w:hAnsi="Verdana" w:cs="Verdana"/>
          <w:color w:val="000000"/>
          <w:spacing w:val="-13"/>
          <w:kern w:val="0"/>
          <w:sz w:val="18"/>
          <w:szCs w:val="18"/>
        </w:rPr>
        <w:t xml:space="preserve"> compared the </w:t>
      </w:r>
      <w:r w:rsidRPr="005C657C">
        <w:rPr>
          <w:rFonts w:ascii="Verdana" w:hAnsi="Verdana" w:cs="Verdana"/>
          <w:color w:val="000000"/>
          <w:spacing w:val="-11"/>
          <w:kern w:val="0"/>
          <w:sz w:val="18"/>
          <w:szCs w:val="18"/>
        </w:rPr>
        <w:t xml:space="preserve">incidence of CV events between NAFLD and alcohol after the LT. Authors observed an increase in CV-related 1-year mortality after LT in NAFLD group (26% </w:t>
      </w:r>
      <w:r w:rsidRPr="005C657C">
        <w:rPr>
          <w:rFonts w:ascii="Verdana" w:hAnsi="Verdana" w:cs="Verdana"/>
          <w:i/>
          <w:iCs/>
          <w:color w:val="000000"/>
          <w:spacing w:val="-11"/>
          <w:kern w:val="0"/>
          <w:sz w:val="18"/>
          <w:szCs w:val="18"/>
        </w:rPr>
        <w:t>vs</w:t>
      </w:r>
      <w:r w:rsidRPr="005C657C">
        <w:rPr>
          <w:rFonts w:ascii="Verdana" w:hAnsi="Verdana" w:cs="Verdana"/>
          <w:color w:val="000000"/>
          <w:spacing w:val="-11"/>
          <w:kern w:val="0"/>
          <w:sz w:val="18"/>
          <w:szCs w:val="18"/>
        </w:rPr>
        <w:t xml:space="preserve"> 8%) and, more interestingly, the most of the CV events occurred in the peri-surgery period (70%)</w:t>
      </w:r>
      <w:r w:rsidRPr="005C657C">
        <w:rPr>
          <w:rFonts w:ascii="Verdana" w:hAnsi="Verdana" w:cs="Verdana"/>
          <w:color w:val="000000"/>
          <w:spacing w:val="-11"/>
          <w:kern w:val="0"/>
          <w:sz w:val="18"/>
          <w:szCs w:val="18"/>
          <w:vertAlign w:val="superscript"/>
        </w:rPr>
        <w:t>[40]</w:t>
      </w:r>
      <w:r w:rsidRPr="005C657C">
        <w:rPr>
          <w:rFonts w:ascii="Verdana" w:hAnsi="Verdana" w:cs="Verdana"/>
          <w:color w:val="000000"/>
          <w:spacing w:val="-11"/>
          <w:kern w:val="0"/>
          <w:sz w:val="18"/>
          <w:szCs w:val="18"/>
        </w:rPr>
        <w:t xml:space="preserve">. The same research group has recently determined a group of risk factors clearly associated with post-LT CV mortality: Age &gt; 55 years old, male sex, DM, and kidney </w:t>
      </w:r>
      <w:proofErr w:type="gramStart"/>
      <w:r w:rsidRPr="005C657C">
        <w:rPr>
          <w:rFonts w:ascii="Verdana" w:hAnsi="Verdana" w:cs="Verdana"/>
          <w:color w:val="000000"/>
          <w:spacing w:val="-11"/>
          <w:kern w:val="0"/>
          <w:sz w:val="18"/>
          <w:szCs w:val="18"/>
        </w:rPr>
        <w:t>failure</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32]</w:t>
      </w:r>
      <w:r w:rsidRPr="005C657C">
        <w:rPr>
          <w:rFonts w:ascii="Verdana" w:hAnsi="Verdana" w:cs="Verdana"/>
          <w:color w:val="000000"/>
          <w:spacing w:val="-11"/>
          <w:kern w:val="0"/>
          <w:sz w:val="18"/>
          <w:szCs w:val="18"/>
        </w:rPr>
        <w:t xml:space="preserve">. Wang </w:t>
      </w:r>
      <w:r w:rsidRPr="005C657C">
        <w:rPr>
          <w:rFonts w:ascii="Verdana" w:hAnsi="Verdana" w:cs="Verdana"/>
          <w:i/>
          <w:iCs/>
          <w:color w:val="000000"/>
          <w:spacing w:val="-11"/>
          <w:kern w:val="0"/>
          <w:sz w:val="18"/>
          <w:szCs w:val="18"/>
        </w:rPr>
        <w:t xml:space="preserve">et </w:t>
      </w:r>
      <w:proofErr w:type="gramStart"/>
      <w:r w:rsidRPr="005C657C">
        <w:rPr>
          <w:rFonts w:ascii="Verdana" w:hAnsi="Verdana" w:cs="Verdana"/>
          <w:i/>
          <w:iCs/>
          <w:color w:val="000000"/>
          <w:spacing w:val="-11"/>
          <w:kern w:val="0"/>
          <w:sz w:val="18"/>
          <w:szCs w:val="18"/>
        </w:rPr>
        <w:t>al</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41]</w:t>
      </w:r>
      <w:r w:rsidRPr="005C657C">
        <w:rPr>
          <w:rFonts w:ascii="Verdana" w:hAnsi="Verdana" w:cs="Verdana"/>
          <w:color w:val="000000"/>
          <w:spacing w:val="-11"/>
          <w:kern w:val="0"/>
          <w:sz w:val="18"/>
          <w:szCs w:val="18"/>
        </w:rPr>
        <w:t xml:space="preserve"> performed a meta-analysis in NAFLD patients to estimate post-LT results regarding overall survival, CV mortality, sepsis and liver graft failure. Authors concluded that survival rates were similar in patients with or without NAFLD, as far as 5 years after LT. However, it was found that NAFLD patients were more likely to die because </w:t>
      </w:r>
      <w:r w:rsidRPr="005C657C">
        <w:rPr>
          <w:rFonts w:ascii="Verdana" w:hAnsi="Verdana" w:cs="Verdana"/>
          <w:color w:val="000000"/>
          <w:spacing w:val="-13"/>
          <w:kern w:val="0"/>
          <w:sz w:val="18"/>
          <w:szCs w:val="18"/>
        </w:rPr>
        <w:t xml:space="preserve">of CV complications [OR 1.65 (95%CI: </w:t>
      </w:r>
      <w:r w:rsidRPr="005C657C">
        <w:rPr>
          <w:rFonts w:ascii="Verdana" w:hAnsi="Verdana" w:cs="Verdana"/>
          <w:color w:val="000000"/>
          <w:spacing w:val="-11"/>
          <w:kern w:val="0"/>
          <w:sz w:val="18"/>
          <w:szCs w:val="18"/>
        </w:rPr>
        <w:t>1.01-2.70)</w:t>
      </w:r>
      <w:proofErr w:type="gramStart"/>
      <w:r w:rsidRPr="005C657C">
        <w:rPr>
          <w:rFonts w:ascii="Verdana" w:hAnsi="Verdana" w:cs="Verdana"/>
          <w:color w:val="000000"/>
          <w:spacing w:val="-11"/>
          <w:kern w:val="0"/>
          <w:sz w:val="18"/>
          <w:szCs w:val="18"/>
        </w:rPr>
        <w:t>]</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41]</w:t>
      </w:r>
      <w:r w:rsidRPr="005C657C">
        <w:rPr>
          <w:rFonts w:ascii="Verdana" w:hAnsi="Verdana" w:cs="Verdana"/>
          <w:color w:val="000000"/>
          <w:spacing w:val="-11"/>
          <w:kern w:val="0"/>
          <w:sz w:val="18"/>
          <w:szCs w:val="18"/>
        </w:rPr>
        <w:t>.</w:t>
      </w:r>
    </w:p>
    <w:p w:rsidR="0072071C" w:rsidRPr="005C657C" w:rsidRDefault="0072071C" w:rsidP="0072071C">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72071C" w:rsidRPr="005C657C" w:rsidRDefault="0072071C" w:rsidP="0072071C">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5C657C">
        <w:rPr>
          <w:rFonts w:ascii="Univers" w:hAnsi="Univers" w:cs="Univers"/>
          <w:b/>
          <w:bCs/>
          <w:color w:val="000000"/>
          <w:spacing w:val="-2"/>
          <w:kern w:val="0"/>
          <w:sz w:val="24"/>
          <w:u w:val="single"/>
        </w:rPr>
        <w:t>RECOMMENDATIONS IN NAFLD LIVER TRANSPLANT</w:t>
      </w:r>
    </w:p>
    <w:p w:rsidR="0072071C" w:rsidRPr="005C657C" w:rsidRDefault="0072071C" w:rsidP="0072071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5C657C">
        <w:rPr>
          <w:rFonts w:ascii="Arial Narrow" w:hAnsi="Arial Narrow" w:cs="Arial Narrow"/>
          <w:b/>
          <w:bCs/>
          <w:i/>
          <w:iCs/>
          <w:color w:val="000000"/>
          <w:kern w:val="0"/>
          <w:szCs w:val="21"/>
        </w:rPr>
        <w:t>Pre-liver-transplantation recommendations</w:t>
      </w:r>
    </w:p>
    <w:p w:rsidR="0072071C" w:rsidRPr="005C657C" w:rsidRDefault="0072071C" w:rsidP="0072071C">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5C657C">
        <w:rPr>
          <w:rFonts w:ascii="Verdana" w:hAnsi="Verdana" w:cs="Verdana"/>
          <w:color w:val="000000"/>
          <w:spacing w:val="-11"/>
          <w:kern w:val="0"/>
          <w:sz w:val="18"/>
          <w:szCs w:val="18"/>
        </w:rPr>
        <w:t>Taking into account the information exposed before, the pre-LT CV assessment in patients with NAFLD should be more exhaustive than in the rest of etiologies. However, there are no specific recommendations probably due to there is no an ideal procedure regarding cost, availability, and reliability.</w:t>
      </w:r>
    </w:p>
    <w:p w:rsidR="0072071C" w:rsidRPr="005C657C" w:rsidRDefault="0072071C" w:rsidP="0072071C">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5C657C">
        <w:rPr>
          <w:rFonts w:ascii="Verdana" w:hAnsi="Verdana" w:cs="Verdana"/>
          <w:color w:val="000000"/>
          <w:spacing w:val="-13"/>
          <w:kern w:val="0"/>
          <w:sz w:val="18"/>
          <w:szCs w:val="18"/>
        </w:rPr>
        <w:t xml:space="preserve">NAFLD is not considered a CV risk criterion to influence the decision of the selection of the CV evaluation in the pre-LT assessment. Consequently, </w:t>
      </w:r>
      <w:r w:rsidRPr="005C657C">
        <w:rPr>
          <w:rFonts w:ascii="Verdana" w:hAnsi="Verdana" w:cs="Verdana"/>
          <w:color w:val="000000"/>
          <w:spacing w:val="-11"/>
          <w:kern w:val="0"/>
          <w:sz w:val="18"/>
          <w:szCs w:val="18"/>
        </w:rPr>
        <w:t>many NAFLD patients only undergo a trans-thoracic echocardiogram or a computerized coronary tomography with calico-score. Some authors have proposed the stress echo</w:t>
      </w:r>
      <w:r w:rsidRPr="005C657C">
        <w:rPr>
          <w:rFonts w:ascii="Verdana" w:hAnsi="Verdana" w:cs="Verdana"/>
          <w:color w:val="000000"/>
          <w:spacing w:val="-11"/>
          <w:kern w:val="0"/>
          <w:sz w:val="18"/>
          <w:szCs w:val="18"/>
        </w:rPr>
        <w:softHyphen/>
        <w:t xml:space="preserve">cardiography with dobutamine as an initial test in NAFLD candidates for LT because it shows a high negative predictive value to detect low-risk </w:t>
      </w:r>
      <w:proofErr w:type="gramStart"/>
      <w:r w:rsidRPr="005C657C">
        <w:rPr>
          <w:rFonts w:ascii="Verdana" w:hAnsi="Verdana" w:cs="Verdana"/>
          <w:color w:val="000000"/>
          <w:spacing w:val="-11"/>
          <w:kern w:val="0"/>
          <w:sz w:val="18"/>
          <w:szCs w:val="18"/>
        </w:rPr>
        <w:t>patients</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42]</w:t>
      </w:r>
      <w:r w:rsidRPr="005C657C">
        <w:rPr>
          <w:rFonts w:ascii="Verdana" w:hAnsi="Verdana" w:cs="Verdana"/>
          <w:color w:val="000000"/>
          <w:spacing w:val="-11"/>
          <w:kern w:val="0"/>
          <w:sz w:val="18"/>
          <w:szCs w:val="18"/>
        </w:rPr>
        <w:t>. In high CV risk patients (age &gt; 55 years, male gender, DM, kidney failure), it probably should be the initial test.</w:t>
      </w:r>
    </w:p>
    <w:p w:rsidR="0072071C" w:rsidRPr="005C657C" w:rsidRDefault="0072071C" w:rsidP="0072071C">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5C657C">
        <w:rPr>
          <w:rFonts w:ascii="Verdana" w:hAnsi="Verdana" w:cs="Verdana"/>
          <w:color w:val="000000"/>
          <w:spacing w:val="-9"/>
          <w:kern w:val="0"/>
          <w:sz w:val="18"/>
          <w:szCs w:val="18"/>
        </w:rPr>
        <w:t xml:space="preserve">NAFLD is a condition that, more than a specific treatment, needs a multidisciplinary approach whose aim is a dramatic change in the </w:t>
      </w:r>
      <w:proofErr w:type="gramStart"/>
      <w:r w:rsidRPr="005C657C">
        <w:rPr>
          <w:rFonts w:ascii="Verdana" w:hAnsi="Verdana" w:cs="Verdana"/>
          <w:color w:val="000000"/>
          <w:spacing w:val="-9"/>
          <w:kern w:val="0"/>
          <w:sz w:val="18"/>
          <w:szCs w:val="18"/>
        </w:rPr>
        <w:t>lifestyle</w:t>
      </w:r>
      <w:r w:rsidRPr="005C657C">
        <w:rPr>
          <w:rFonts w:ascii="Verdana" w:hAnsi="Verdana" w:cs="Verdana"/>
          <w:color w:val="000000"/>
          <w:spacing w:val="-9"/>
          <w:kern w:val="0"/>
          <w:sz w:val="18"/>
          <w:szCs w:val="18"/>
          <w:vertAlign w:val="superscript"/>
        </w:rPr>
        <w:t>[</w:t>
      </w:r>
      <w:proofErr w:type="gramEnd"/>
      <w:r w:rsidRPr="005C657C">
        <w:rPr>
          <w:rFonts w:ascii="Verdana" w:hAnsi="Verdana" w:cs="Verdana"/>
          <w:color w:val="000000"/>
          <w:spacing w:val="-9"/>
          <w:kern w:val="0"/>
          <w:sz w:val="18"/>
          <w:szCs w:val="18"/>
          <w:vertAlign w:val="superscript"/>
        </w:rPr>
        <w:t>43]</w:t>
      </w:r>
      <w:r w:rsidRPr="005C657C">
        <w:rPr>
          <w:rFonts w:ascii="Verdana" w:hAnsi="Verdana" w:cs="Verdana"/>
          <w:color w:val="000000"/>
          <w:spacing w:val="-9"/>
          <w:kern w:val="0"/>
          <w:sz w:val="18"/>
          <w:szCs w:val="18"/>
        </w:rPr>
        <w:t xml:space="preserve">. Thus, it is crucial to have a systematic intervention of a nutritionist during the LT evaluation in NAFLD patients (overweight, obesity, unhealthy diet) to reinforce and maintain a healthy lifestyle after the </w:t>
      </w:r>
      <w:proofErr w:type="gramStart"/>
      <w:r w:rsidRPr="005C657C">
        <w:rPr>
          <w:rFonts w:ascii="Verdana" w:hAnsi="Verdana" w:cs="Verdana"/>
          <w:color w:val="000000"/>
          <w:spacing w:val="-9"/>
          <w:kern w:val="0"/>
          <w:sz w:val="18"/>
          <w:szCs w:val="18"/>
        </w:rPr>
        <w:t>LT</w:t>
      </w:r>
      <w:r w:rsidRPr="005C657C">
        <w:rPr>
          <w:rFonts w:ascii="Verdana" w:hAnsi="Verdana" w:cs="Verdana"/>
          <w:color w:val="000000"/>
          <w:spacing w:val="-9"/>
          <w:kern w:val="0"/>
          <w:sz w:val="18"/>
          <w:szCs w:val="18"/>
          <w:vertAlign w:val="superscript"/>
        </w:rPr>
        <w:t>[</w:t>
      </w:r>
      <w:proofErr w:type="gramEnd"/>
      <w:r w:rsidRPr="005C657C">
        <w:rPr>
          <w:rFonts w:ascii="Verdana" w:hAnsi="Verdana" w:cs="Verdana"/>
          <w:color w:val="000000"/>
          <w:spacing w:val="-9"/>
          <w:kern w:val="0"/>
          <w:sz w:val="18"/>
          <w:szCs w:val="18"/>
          <w:vertAlign w:val="superscript"/>
        </w:rPr>
        <w:t>44]</w:t>
      </w:r>
      <w:r w:rsidRPr="005C657C">
        <w:rPr>
          <w:rFonts w:ascii="Verdana" w:hAnsi="Verdana" w:cs="Verdana"/>
          <w:color w:val="000000"/>
          <w:spacing w:val="-9"/>
          <w:kern w:val="0"/>
          <w:sz w:val="18"/>
          <w:szCs w:val="18"/>
        </w:rPr>
        <w:t>.</w:t>
      </w:r>
    </w:p>
    <w:p w:rsidR="0072071C" w:rsidRPr="005C657C" w:rsidRDefault="0072071C" w:rsidP="0072071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72071C" w:rsidRPr="005C657C" w:rsidRDefault="0072071C" w:rsidP="0072071C">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5C657C">
        <w:rPr>
          <w:rFonts w:ascii="Arial Narrow" w:hAnsi="Arial Narrow" w:cs="Arial Narrow"/>
          <w:b/>
          <w:bCs/>
          <w:i/>
          <w:iCs/>
          <w:color w:val="000000"/>
          <w:kern w:val="0"/>
          <w:szCs w:val="21"/>
        </w:rPr>
        <w:t>Post-liver-transplantation recommendations</w:t>
      </w:r>
    </w:p>
    <w:p w:rsidR="0072071C" w:rsidRPr="005C657C" w:rsidRDefault="0072071C" w:rsidP="0072071C">
      <w:pPr>
        <w:suppressAutoHyphens/>
        <w:autoSpaceDE w:val="0"/>
        <w:autoSpaceDN w:val="0"/>
        <w:adjustRightInd w:val="0"/>
        <w:spacing w:line="288" w:lineRule="auto"/>
        <w:textAlignment w:val="center"/>
        <w:rPr>
          <w:rFonts w:ascii="Verdana" w:hAnsi="Verdana" w:cs="Verdana"/>
          <w:color w:val="000000"/>
          <w:spacing w:val="-13"/>
          <w:kern w:val="0"/>
          <w:sz w:val="18"/>
          <w:szCs w:val="18"/>
        </w:rPr>
      </w:pPr>
      <w:r w:rsidRPr="005C657C">
        <w:rPr>
          <w:rFonts w:ascii="Verdana" w:hAnsi="Verdana" w:cs="Verdana"/>
          <w:color w:val="000000"/>
          <w:spacing w:val="-11"/>
          <w:kern w:val="0"/>
          <w:sz w:val="18"/>
          <w:szCs w:val="18"/>
        </w:rPr>
        <w:t xml:space="preserve">Given that liver transplant recipients have an increased </w:t>
      </w:r>
      <w:r w:rsidRPr="005C657C">
        <w:rPr>
          <w:rFonts w:ascii="Verdana" w:hAnsi="Verdana" w:cs="Verdana"/>
          <w:color w:val="000000"/>
          <w:spacing w:val="-13"/>
          <w:kern w:val="0"/>
          <w:sz w:val="18"/>
          <w:szCs w:val="18"/>
        </w:rPr>
        <w:t>risk of CV disease, an early and effective treat</w:t>
      </w:r>
      <w:r w:rsidRPr="005C657C">
        <w:rPr>
          <w:rFonts w:ascii="Verdana" w:hAnsi="Verdana" w:cs="Verdana"/>
          <w:color w:val="000000"/>
          <w:spacing w:val="-13"/>
          <w:kern w:val="0"/>
          <w:sz w:val="18"/>
          <w:szCs w:val="18"/>
        </w:rPr>
        <w:softHyphen/>
        <w:t xml:space="preserve">ment is required, as well as changing of the other risk factors (lifestyle, treatment of co-morbidities, immunosuppressive therapy). One example is the obligation of starting the treatment to control AHT, dyslipidemia or DM as soon as </w:t>
      </w:r>
      <w:proofErr w:type="gramStart"/>
      <w:r w:rsidRPr="005C657C">
        <w:rPr>
          <w:rFonts w:ascii="Verdana" w:hAnsi="Verdana" w:cs="Verdana"/>
          <w:color w:val="000000"/>
          <w:spacing w:val="-13"/>
          <w:kern w:val="0"/>
          <w:sz w:val="18"/>
          <w:szCs w:val="18"/>
        </w:rPr>
        <w:t>possible</w:t>
      </w:r>
      <w:r w:rsidRPr="005C657C">
        <w:rPr>
          <w:rFonts w:ascii="Verdana" w:hAnsi="Verdana" w:cs="Verdana"/>
          <w:color w:val="000000"/>
          <w:spacing w:val="-13"/>
          <w:kern w:val="0"/>
          <w:sz w:val="18"/>
          <w:szCs w:val="18"/>
          <w:vertAlign w:val="superscript"/>
        </w:rPr>
        <w:t>[</w:t>
      </w:r>
      <w:proofErr w:type="gramEnd"/>
      <w:r w:rsidRPr="005C657C">
        <w:rPr>
          <w:rFonts w:ascii="Verdana" w:hAnsi="Verdana" w:cs="Verdana"/>
          <w:color w:val="000000"/>
          <w:spacing w:val="-13"/>
          <w:kern w:val="0"/>
          <w:sz w:val="18"/>
          <w:szCs w:val="18"/>
          <w:vertAlign w:val="superscript"/>
        </w:rPr>
        <w:t>44]</w:t>
      </w:r>
      <w:r w:rsidRPr="005C657C">
        <w:rPr>
          <w:rFonts w:ascii="Verdana" w:hAnsi="Verdana" w:cs="Verdana"/>
          <w:color w:val="000000"/>
          <w:spacing w:val="-13"/>
          <w:kern w:val="0"/>
          <w:sz w:val="18"/>
          <w:szCs w:val="18"/>
        </w:rPr>
        <w:t>.</w:t>
      </w:r>
    </w:p>
    <w:p w:rsidR="0072071C" w:rsidRPr="005C657C" w:rsidRDefault="0072071C" w:rsidP="0072071C">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5C657C">
        <w:rPr>
          <w:rFonts w:ascii="Verdana" w:hAnsi="Verdana" w:cs="Verdana"/>
          <w:color w:val="000000"/>
          <w:spacing w:val="-11"/>
          <w:kern w:val="0"/>
          <w:sz w:val="18"/>
          <w:szCs w:val="18"/>
        </w:rPr>
        <w:t xml:space="preserve">Regarding the immunosuppressive drugs, most of them can cause and enhance various CV risk factors. Mycophenolate mofetil is associated with an increased risk of CV disease in post-LT </w:t>
      </w:r>
      <w:proofErr w:type="gramStart"/>
      <w:r w:rsidRPr="005C657C">
        <w:rPr>
          <w:rFonts w:ascii="Verdana" w:hAnsi="Verdana" w:cs="Verdana"/>
          <w:color w:val="000000"/>
          <w:spacing w:val="-11"/>
          <w:kern w:val="0"/>
          <w:sz w:val="18"/>
          <w:szCs w:val="18"/>
        </w:rPr>
        <w:t>patients</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45]</w:t>
      </w:r>
      <w:r w:rsidRPr="005C657C">
        <w:rPr>
          <w:rFonts w:ascii="Verdana" w:hAnsi="Verdana" w:cs="Verdana"/>
          <w:color w:val="000000"/>
          <w:spacing w:val="-11"/>
          <w:kern w:val="0"/>
          <w:sz w:val="18"/>
          <w:szCs w:val="18"/>
        </w:rPr>
        <w:t xml:space="preserve">. More recently, the use of mTOR inhibitors (sirolimus, everolimus) was associated to lower CV risk than calcineurin </w:t>
      </w:r>
      <w:proofErr w:type="gramStart"/>
      <w:r w:rsidRPr="005C657C">
        <w:rPr>
          <w:rFonts w:ascii="Verdana" w:hAnsi="Verdana" w:cs="Verdana"/>
          <w:color w:val="000000"/>
          <w:spacing w:val="-11"/>
          <w:kern w:val="0"/>
          <w:sz w:val="18"/>
          <w:szCs w:val="18"/>
        </w:rPr>
        <w:t>inhibitors</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46]</w:t>
      </w:r>
      <w:r w:rsidRPr="005C657C">
        <w:rPr>
          <w:rFonts w:ascii="Verdana" w:hAnsi="Verdana" w:cs="Verdana"/>
          <w:color w:val="000000"/>
          <w:spacing w:val="-11"/>
          <w:kern w:val="0"/>
          <w:sz w:val="18"/>
          <w:szCs w:val="18"/>
        </w:rPr>
        <w:t>. Therefore, mTOR inhibitors could be considered for patients with metabolic syndrome and multiple CV risk factors, such as NAFLD patients. Nevertheless, these findings must be confirmed and validated in prospective cohorts. On the other hand, we should use a steroid-free regimen (or an early steroid withdrawal) preferably con</w:t>
      </w:r>
      <w:r w:rsidRPr="005C657C">
        <w:rPr>
          <w:rFonts w:ascii="Verdana" w:hAnsi="Verdana" w:cs="Verdana"/>
          <w:color w:val="000000"/>
          <w:spacing w:val="-11"/>
          <w:kern w:val="0"/>
          <w:sz w:val="18"/>
          <w:szCs w:val="18"/>
        </w:rPr>
        <w:softHyphen/>
        <w:t xml:space="preserve">sidering an, for example, a basiliximab-based induction </w:t>
      </w:r>
      <w:proofErr w:type="gramStart"/>
      <w:r w:rsidRPr="005C657C">
        <w:rPr>
          <w:rFonts w:ascii="Verdana" w:hAnsi="Verdana" w:cs="Verdana"/>
          <w:color w:val="000000"/>
          <w:spacing w:val="-11"/>
          <w:kern w:val="0"/>
          <w:sz w:val="18"/>
          <w:szCs w:val="18"/>
        </w:rPr>
        <w:t>therapy</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26]</w:t>
      </w:r>
      <w:r w:rsidRPr="005C657C">
        <w:rPr>
          <w:rFonts w:ascii="Verdana" w:hAnsi="Verdana" w:cs="Verdana"/>
          <w:color w:val="000000"/>
          <w:spacing w:val="-11"/>
          <w:kern w:val="0"/>
          <w:sz w:val="18"/>
          <w:szCs w:val="18"/>
        </w:rPr>
        <w:t>.</w:t>
      </w:r>
    </w:p>
    <w:p w:rsidR="0072071C" w:rsidRPr="005C657C" w:rsidRDefault="0072071C" w:rsidP="0072071C">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5C657C">
        <w:rPr>
          <w:rFonts w:ascii="Verdana" w:hAnsi="Verdana" w:cs="Verdana"/>
          <w:color w:val="000000"/>
          <w:spacing w:val="-11"/>
          <w:kern w:val="0"/>
          <w:sz w:val="18"/>
          <w:szCs w:val="18"/>
        </w:rPr>
        <w:lastRenderedPageBreak/>
        <w:t xml:space="preserve">A healthy diet and regular exercise are effective and complementary </w:t>
      </w:r>
      <w:proofErr w:type="gramStart"/>
      <w:r w:rsidRPr="005C657C">
        <w:rPr>
          <w:rFonts w:ascii="Verdana" w:hAnsi="Verdana" w:cs="Verdana"/>
          <w:color w:val="000000"/>
          <w:spacing w:val="-11"/>
          <w:kern w:val="0"/>
          <w:sz w:val="18"/>
          <w:szCs w:val="18"/>
        </w:rPr>
        <w:t>therapies</w:t>
      </w:r>
      <w:r w:rsidRPr="005C657C">
        <w:rPr>
          <w:rFonts w:ascii="Verdana" w:hAnsi="Verdana" w:cs="Verdana"/>
          <w:color w:val="000000"/>
          <w:spacing w:val="-11"/>
          <w:kern w:val="0"/>
          <w:sz w:val="18"/>
          <w:szCs w:val="18"/>
          <w:vertAlign w:val="superscript"/>
        </w:rPr>
        <w:t>[</w:t>
      </w:r>
      <w:proofErr w:type="gramEnd"/>
      <w:r w:rsidRPr="005C657C">
        <w:rPr>
          <w:rFonts w:ascii="Verdana" w:hAnsi="Verdana" w:cs="Verdana"/>
          <w:color w:val="000000"/>
          <w:spacing w:val="-11"/>
          <w:kern w:val="0"/>
          <w:sz w:val="18"/>
          <w:szCs w:val="18"/>
          <w:vertAlign w:val="superscript"/>
        </w:rPr>
        <w:t>47]</w:t>
      </w:r>
      <w:r w:rsidRPr="005C657C">
        <w:rPr>
          <w:rFonts w:ascii="Verdana" w:hAnsi="Verdana" w:cs="Verdana"/>
          <w:color w:val="000000"/>
          <w:spacing w:val="-11"/>
          <w:kern w:val="0"/>
          <w:sz w:val="18"/>
          <w:szCs w:val="18"/>
        </w:rPr>
        <w:t>. Exercise is effective to lower the CV risk in non-transplant patients, but the connection between the benefits and the possible damage of regular exercise after LT has not been established. Also, there are no data concerning the impact of these exercise programs on the prevalence of metabolic syndrome or its individual components after LT.</w:t>
      </w:r>
    </w:p>
    <w:p w:rsidR="0072071C" w:rsidRPr="005C657C" w:rsidRDefault="0072071C" w:rsidP="0072071C">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72071C" w:rsidRPr="005C657C" w:rsidRDefault="0072071C" w:rsidP="0072071C">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5C657C">
        <w:rPr>
          <w:rFonts w:ascii="Univers" w:hAnsi="Univers" w:cs="Univers"/>
          <w:b/>
          <w:bCs/>
          <w:color w:val="000000"/>
          <w:spacing w:val="-2"/>
          <w:kern w:val="0"/>
          <w:sz w:val="24"/>
          <w:u w:val="single"/>
        </w:rPr>
        <w:t>CONCLUSION</w:t>
      </w:r>
    </w:p>
    <w:p w:rsidR="0072071C" w:rsidRPr="005C657C" w:rsidRDefault="0072071C" w:rsidP="0072071C">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5C657C">
        <w:rPr>
          <w:rFonts w:ascii="Verdana" w:hAnsi="Verdana" w:cs="Verdana"/>
          <w:color w:val="000000"/>
          <w:spacing w:val="-11"/>
          <w:kern w:val="0"/>
          <w:sz w:val="18"/>
          <w:szCs w:val="18"/>
        </w:rPr>
        <w:t xml:space="preserve">The increased CV risk in patients with NAFLD, compared to other etiologies of liver disease, has important implications both in pre- and post-LT. An adequate stratification of CV risk and an early detection of the different features of metabolic syndrome </w:t>
      </w:r>
      <w:proofErr w:type="gramStart"/>
      <w:r w:rsidRPr="005C657C">
        <w:rPr>
          <w:rFonts w:ascii="Verdana" w:hAnsi="Verdana" w:cs="Verdana"/>
          <w:color w:val="000000"/>
          <w:spacing w:val="-11"/>
          <w:kern w:val="0"/>
          <w:sz w:val="18"/>
          <w:szCs w:val="18"/>
        </w:rPr>
        <w:t>is</w:t>
      </w:r>
      <w:proofErr w:type="gramEnd"/>
      <w:r w:rsidRPr="005C657C">
        <w:rPr>
          <w:rFonts w:ascii="Verdana" w:hAnsi="Verdana" w:cs="Verdana"/>
          <w:color w:val="000000"/>
          <w:spacing w:val="-11"/>
          <w:kern w:val="0"/>
          <w:sz w:val="18"/>
          <w:szCs w:val="18"/>
        </w:rPr>
        <w:t xml:space="preserve"> required to prevent or decrease CV-related morbi-mortality. In this scenario, an active intervention on lifestyle and an individualized management of immunosuppression could be the most suitable strategies to maintain an adequate balance between risks and benefits.</w:t>
      </w:r>
    </w:p>
    <w:p w:rsidR="0072071C" w:rsidRPr="005C657C" w:rsidRDefault="0072071C" w:rsidP="0072071C">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72071C" w:rsidRPr="005C657C" w:rsidRDefault="0072071C" w:rsidP="0072071C">
      <w:pPr>
        <w:autoSpaceDE w:val="0"/>
        <w:autoSpaceDN w:val="0"/>
        <w:adjustRightInd w:val="0"/>
        <w:spacing w:line="360" w:lineRule="atLeast"/>
        <w:jc w:val="left"/>
        <w:textAlignment w:val="center"/>
        <w:rPr>
          <w:rFonts w:ascii="Univers" w:hAnsi="Univers" w:cs="Univers"/>
          <w:b/>
          <w:bCs/>
          <w:color w:val="000000"/>
          <w:spacing w:val="-2"/>
          <w:kern w:val="0"/>
          <w:sz w:val="24"/>
        </w:rPr>
      </w:pPr>
      <w:r w:rsidRPr="005C657C">
        <w:rPr>
          <w:rFonts w:ascii="Univers" w:hAnsi="Univers" w:cs="Univers"/>
          <w:b/>
          <w:bCs/>
          <w:color w:val="000000"/>
          <w:spacing w:val="-2"/>
          <w:kern w:val="0"/>
          <w:sz w:val="24"/>
        </w:rPr>
        <w:t>REFERENCES</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1</w:t>
      </w:r>
      <w:r w:rsidRPr="005C657C">
        <w:rPr>
          <w:color w:val="000000"/>
          <w:spacing w:val="-1"/>
          <w:kern w:val="0"/>
          <w:sz w:val="16"/>
          <w:szCs w:val="16"/>
        </w:rPr>
        <w:tab/>
      </w:r>
      <w:r w:rsidRPr="005C657C">
        <w:rPr>
          <w:b/>
          <w:bCs/>
          <w:color w:val="000000"/>
          <w:spacing w:val="-1"/>
          <w:kern w:val="0"/>
          <w:sz w:val="16"/>
          <w:szCs w:val="16"/>
        </w:rPr>
        <w:t>Masarone M</w:t>
      </w:r>
      <w:r w:rsidRPr="005C657C">
        <w:rPr>
          <w:color w:val="000000"/>
          <w:spacing w:val="-1"/>
          <w:kern w:val="0"/>
          <w:sz w:val="16"/>
          <w:szCs w:val="16"/>
        </w:rPr>
        <w:t xml:space="preserve">, Federico A, Abenavoli L, Loguercio C, Persico M. Non alcoholic fatty liver: epidemiology and natural history. </w:t>
      </w:r>
      <w:r w:rsidRPr="005C657C">
        <w:rPr>
          <w:i/>
          <w:iCs/>
          <w:color w:val="000000"/>
          <w:spacing w:val="-1"/>
          <w:kern w:val="0"/>
          <w:sz w:val="16"/>
          <w:szCs w:val="16"/>
        </w:rPr>
        <w:t>Rev Recent Clin Trials</w:t>
      </w:r>
      <w:r w:rsidRPr="005C657C">
        <w:rPr>
          <w:color w:val="000000"/>
          <w:spacing w:val="-1"/>
          <w:kern w:val="0"/>
          <w:sz w:val="16"/>
          <w:szCs w:val="16"/>
        </w:rPr>
        <w:t xml:space="preserve"> 2014; </w:t>
      </w:r>
      <w:r w:rsidRPr="005C657C">
        <w:rPr>
          <w:b/>
          <w:bCs/>
          <w:color w:val="000000"/>
          <w:spacing w:val="-1"/>
          <w:kern w:val="0"/>
          <w:sz w:val="16"/>
          <w:szCs w:val="16"/>
        </w:rPr>
        <w:t>9</w:t>
      </w:r>
      <w:r w:rsidRPr="005C657C">
        <w:rPr>
          <w:color w:val="000000"/>
          <w:spacing w:val="-1"/>
          <w:kern w:val="0"/>
          <w:sz w:val="16"/>
          <w:szCs w:val="16"/>
        </w:rPr>
        <w:t>: 126-133 [PMID: 25514916]</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2</w:t>
      </w:r>
      <w:r w:rsidRPr="005C657C">
        <w:rPr>
          <w:color w:val="000000"/>
          <w:spacing w:val="-1"/>
          <w:kern w:val="0"/>
          <w:sz w:val="16"/>
          <w:szCs w:val="16"/>
        </w:rPr>
        <w:tab/>
      </w:r>
      <w:r w:rsidRPr="005C657C">
        <w:rPr>
          <w:b/>
          <w:bCs/>
          <w:color w:val="000000"/>
          <w:spacing w:val="-1"/>
          <w:kern w:val="0"/>
          <w:sz w:val="16"/>
          <w:szCs w:val="16"/>
        </w:rPr>
        <w:t>Barrera F</w:t>
      </w:r>
      <w:r w:rsidRPr="005C657C">
        <w:rPr>
          <w:color w:val="000000"/>
          <w:spacing w:val="-1"/>
          <w:kern w:val="0"/>
          <w:sz w:val="16"/>
          <w:szCs w:val="16"/>
        </w:rPr>
        <w:t xml:space="preserve">, George J. </w:t>
      </w:r>
      <w:proofErr w:type="gramStart"/>
      <w:r w:rsidRPr="005C657C">
        <w:rPr>
          <w:color w:val="000000"/>
          <w:spacing w:val="-1"/>
          <w:kern w:val="0"/>
          <w:sz w:val="16"/>
          <w:szCs w:val="16"/>
        </w:rPr>
        <w:t>The role of diet and nutritional intervention for the management of patients with NAFLD.</w:t>
      </w:r>
      <w:proofErr w:type="gramEnd"/>
      <w:r w:rsidRPr="005C657C">
        <w:rPr>
          <w:color w:val="000000"/>
          <w:spacing w:val="-1"/>
          <w:kern w:val="0"/>
          <w:sz w:val="16"/>
          <w:szCs w:val="16"/>
        </w:rPr>
        <w:t xml:space="preserve"> </w:t>
      </w:r>
      <w:r w:rsidRPr="005C657C">
        <w:rPr>
          <w:i/>
          <w:iCs/>
          <w:color w:val="000000"/>
          <w:spacing w:val="-1"/>
          <w:kern w:val="0"/>
          <w:sz w:val="16"/>
          <w:szCs w:val="16"/>
        </w:rPr>
        <w:t>Clin Liver Dis</w:t>
      </w:r>
      <w:r w:rsidRPr="005C657C">
        <w:rPr>
          <w:color w:val="000000"/>
          <w:spacing w:val="-1"/>
          <w:kern w:val="0"/>
          <w:sz w:val="16"/>
          <w:szCs w:val="16"/>
        </w:rPr>
        <w:t xml:space="preserve"> 2014; </w:t>
      </w:r>
      <w:r w:rsidRPr="005C657C">
        <w:rPr>
          <w:b/>
          <w:bCs/>
          <w:color w:val="000000"/>
          <w:spacing w:val="-1"/>
          <w:kern w:val="0"/>
          <w:sz w:val="16"/>
          <w:szCs w:val="16"/>
        </w:rPr>
        <w:t>18</w:t>
      </w:r>
      <w:r w:rsidRPr="005C657C">
        <w:rPr>
          <w:color w:val="000000"/>
          <w:spacing w:val="-1"/>
          <w:kern w:val="0"/>
          <w:sz w:val="16"/>
          <w:szCs w:val="16"/>
        </w:rPr>
        <w:t>: 91-112 [PMID: 24274867 DOI: 10.1016/j.cld.2013.09.009]</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3</w:t>
      </w:r>
      <w:r w:rsidRPr="005C657C">
        <w:rPr>
          <w:color w:val="000000"/>
          <w:spacing w:val="-1"/>
          <w:kern w:val="0"/>
          <w:sz w:val="16"/>
          <w:szCs w:val="16"/>
        </w:rPr>
        <w:tab/>
      </w:r>
      <w:r w:rsidRPr="005C657C">
        <w:rPr>
          <w:b/>
          <w:bCs/>
          <w:color w:val="000000"/>
          <w:spacing w:val="-1"/>
          <w:kern w:val="0"/>
          <w:sz w:val="16"/>
          <w:szCs w:val="16"/>
        </w:rPr>
        <w:t>Golabi P</w:t>
      </w:r>
      <w:r w:rsidRPr="005C657C">
        <w:rPr>
          <w:color w:val="000000"/>
          <w:spacing w:val="-1"/>
          <w:kern w:val="0"/>
          <w:sz w:val="16"/>
          <w:szCs w:val="16"/>
        </w:rPr>
        <w:t xml:space="preserve">, Otgonsuren M, Cable R, Felix S, Koenig A, Sayiner M, Younossi ZM. Non-alcoholic Fatty Liver Disease (NAFLD) is associated with impairment of Health Related Quality of Life (HRQOL). </w:t>
      </w:r>
      <w:r w:rsidRPr="005C657C">
        <w:rPr>
          <w:i/>
          <w:iCs/>
          <w:color w:val="000000"/>
          <w:spacing w:val="-1"/>
          <w:kern w:val="0"/>
          <w:sz w:val="16"/>
          <w:szCs w:val="16"/>
        </w:rPr>
        <w:t>Health Qual Life Outcomes</w:t>
      </w:r>
      <w:r w:rsidRPr="005C657C">
        <w:rPr>
          <w:color w:val="000000"/>
          <w:spacing w:val="-1"/>
          <w:kern w:val="0"/>
          <w:sz w:val="16"/>
          <w:szCs w:val="16"/>
        </w:rPr>
        <w:t xml:space="preserve"> 2016; </w:t>
      </w:r>
      <w:r w:rsidRPr="005C657C">
        <w:rPr>
          <w:b/>
          <w:bCs/>
          <w:color w:val="000000"/>
          <w:spacing w:val="-1"/>
          <w:kern w:val="0"/>
          <w:sz w:val="16"/>
          <w:szCs w:val="16"/>
        </w:rPr>
        <w:t>14</w:t>
      </w:r>
      <w:r w:rsidRPr="005C657C">
        <w:rPr>
          <w:color w:val="000000"/>
          <w:spacing w:val="-1"/>
          <w:kern w:val="0"/>
          <w:sz w:val="16"/>
          <w:szCs w:val="16"/>
        </w:rPr>
        <w:t>: 18 [PMID: 26860700]</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4</w:t>
      </w:r>
      <w:r w:rsidRPr="005C657C">
        <w:rPr>
          <w:color w:val="000000"/>
          <w:spacing w:val="-1"/>
          <w:kern w:val="0"/>
          <w:sz w:val="16"/>
          <w:szCs w:val="16"/>
        </w:rPr>
        <w:tab/>
      </w:r>
      <w:r w:rsidRPr="005C657C">
        <w:rPr>
          <w:b/>
          <w:bCs/>
          <w:color w:val="000000"/>
          <w:spacing w:val="-1"/>
          <w:kern w:val="0"/>
          <w:sz w:val="16"/>
          <w:szCs w:val="16"/>
        </w:rPr>
        <w:t>Chalasani N</w:t>
      </w:r>
      <w:r w:rsidRPr="005C657C">
        <w:rPr>
          <w:color w:val="000000"/>
          <w:spacing w:val="-1"/>
          <w:kern w:val="0"/>
          <w:sz w:val="16"/>
          <w:szCs w:val="16"/>
        </w:rPr>
        <w:t xml:space="preserve">, Younossi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 </w:t>
      </w:r>
      <w:r w:rsidRPr="005C657C">
        <w:rPr>
          <w:i/>
          <w:iCs/>
          <w:color w:val="000000"/>
          <w:spacing w:val="-1"/>
          <w:kern w:val="0"/>
          <w:sz w:val="16"/>
          <w:szCs w:val="16"/>
        </w:rPr>
        <w:t>Hepatology</w:t>
      </w:r>
      <w:r w:rsidRPr="005C657C">
        <w:rPr>
          <w:color w:val="000000"/>
          <w:spacing w:val="-1"/>
          <w:kern w:val="0"/>
          <w:sz w:val="16"/>
          <w:szCs w:val="16"/>
        </w:rPr>
        <w:t xml:space="preserve"> 2012; </w:t>
      </w:r>
      <w:r w:rsidRPr="005C657C">
        <w:rPr>
          <w:b/>
          <w:bCs/>
          <w:color w:val="000000"/>
          <w:spacing w:val="-1"/>
          <w:kern w:val="0"/>
          <w:sz w:val="16"/>
          <w:szCs w:val="16"/>
        </w:rPr>
        <w:t>55</w:t>
      </w:r>
      <w:r w:rsidRPr="005C657C">
        <w:rPr>
          <w:color w:val="000000"/>
          <w:spacing w:val="-1"/>
          <w:kern w:val="0"/>
          <w:sz w:val="16"/>
          <w:szCs w:val="16"/>
        </w:rPr>
        <w:t>: 2005-2023 [PMID: 22488764 DOI: 10.1002/hep.25762]</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5</w:t>
      </w:r>
      <w:r w:rsidRPr="005C657C">
        <w:rPr>
          <w:color w:val="000000"/>
          <w:spacing w:val="-1"/>
          <w:kern w:val="0"/>
          <w:sz w:val="16"/>
          <w:szCs w:val="16"/>
        </w:rPr>
        <w:tab/>
      </w:r>
      <w:r w:rsidRPr="005C657C">
        <w:rPr>
          <w:b/>
          <w:bCs/>
          <w:color w:val="000000"/>
          <w:spacing w:val="-1"/>
          <w:kern w:val="0"/>
          <w:sz w:val="16"/>
          <w:szCs w:val="16"/>
        </w:rPr>
        <w:t>Targher G</w:t>
      </w:r>
      <w:r w:rsidRPr="005C657C">
        <w:rPr>
          <w:color w:val="000000"/>
          <w:spacing w:val="-1"/>
          <w:kern w:val="0"/>
          <w:sz w:val="16"/>
          <w:szCs w:val="16"/>
        </w:rPr>
        <w:t>, Marra F, Marchesini G. Increased risk of cardio</w:t>
      </w:r>
      <w:r w:rsidRPr="005C657C">
        <w:rPr>
          <w:color w:val="000000"/>
          <w:spacing w:val="-1"/>
          <w:kern w:val="0"/>
          <w:sz w:val="16"/>
          <w:szCs w:val="16"/>
        </w:rPr>
        <w:softHyphen/>
        <w:t xml:space="preserve">vascular disease in non-alcoholic fatty liver disease: causal effect or epiphenomenon? </w:t>
      </w:r>
      <w:r w:rsidRPr="005C657C">
        <w:rPr>
          <w:i/>
          <w:iCs/>
          <w:color w:val="000000"/>
          <w:spacing w:val="-1"/>
          <w:kern w:val="0"/>
          <w:sz w:val="16"/>
          <w:szCs w:val="16"/>
        </w:rPr>
        <w:t>Diabetologia</w:t>
      </w:r>
      <w:r w:rsidRPr="005C657C">
        <w:rPr>
          <w:color w:val="000000"/>
          <w:spacing w:val="-1"/>
          <w:kern w:val="0"/>
          <w:sz w:val="16"/>
          <w:szCs w:val="16"/>
        </w:rPr>
        <w:t xml:space="preserve"> 2008; </w:t>
      </w:r>
      <w:r w:rsidRPr="005C657C">
        <w:rPr>
          <w:b/>
          <w:bCs/>
          <w:color w:val="000000"/>
          <w:spacing w:val="-1"/>
          <w:kern w:val="0"/>
          <w:sz w:val="16"/>
          <w:szCs w:val="16"/>
        </w:rPr>
        <w:t>51</w:t>
      </w:r>
      <w:r w:rsidRPr="005C657C">
        <w:rPr>
          <w:color w:val="000000"/>
          <w:spacing w:val="-1"/>
          <w:kern w:val="0"/>
          <w:sz w:val="16"/>
          <w:szCs w:val="16"/>
        </w:rPr>
        <w:t>: 1947-1953 [PMID: 18762907 DOI: 10.1007/s00125-008-1135-4]</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6</w:t>
      </w:r>
      <w:r w:rsidRPr="005C657C">
        <w:rPr>
          <w:color w:val="000000"/>
          <w:spacing w:val="-1"/>
          <w:kern w:val="0"/>
          <w:sz w:val="16"/>
          <w:szCs w:val="16"/>
        </w:rPr>
        <w:tab/>
      </w:r>
      <w:r w:rsidRPr="005C657C">
        <w:rPr>
          <w:b/>
          <w:bCs/>
          <w:color w:val="000000"/>
          <w:spacing w:val="-1"/>
          <w:kern w:val="0"/>
          <w:sz w:val="16"/>
          <w:szCs w:val="16"/>
        </w:rPr>
        <w:t>Patel YA</w:t>
      </w:r>
      <w:r w:rsidRPr="005C657C">
        <w:rPr>
          <w:color w:val="000000"/>
          <w:spacing w:val="-1"/>
          <w:kern w:val="0"/>
          <w:sz w:val="16"/>
          <w:szCs w:val="16"/>
        </w:rPr>
        <w:t xml:space="preserve">, Berg CL, Moylan CA. Nonalcoholic Fatty Liver Disease: Key Considerations Before and After Liver Transplantation. </w:t>
      </w:r>
      <w:r w:rsidRPr="005C657C">
        <w:rPr>
          <w:i/>
          <w:iCs/>
          <w:color w:val="000000"/>
          <w:spacing w:val="-1"/>
          <w:kern w:val="0"/>
          <w:sz w:val="16"/>
          <w:szCs w:val="16"/>
        </w:rPr>
        <w:t>Dig Dis Sci</w:t>
      </w:r>
      <w:r w:rsidRPr="005C657C">
        <w:rPr>
          <w:color w:val="000000"/>
          <w:spacing w:val="-1"/>
          <w:kern w:val="0"/>
          <w:sz w:val="16"/>
          <w:szCs w:val="16"/>
        </w:rPr>
        <w:t xml:space="preserve"> 2016; </w:t>
      </w:r>
      <w:r w:rsidRPr="005C657C">
        <w:rPr>
          <w:b/>
          <w:bCs/>
          <w:color w:val="000000"/>
          <w:spacing w:val="-1"/>
          <w:kern w:val="0"/>
          <w:sz w:val="16"/>
          <w:szCs w:val="16"/>
        </w:rPr>
        <w:t>61</w:t>
      </w:r>
      <w:r w:rsidRPr="005C657C">
        <w:rPr>
          <w:color w:val="000000"/>
          <w:spacing w:val="-1"/>
          <w:kern w:val="0"/>
          <w:sz w:val="16"/>
          <w:szCs w:val="16"/>
        </w:rPr>
        <w:t>: 1406-1416 [PMID: 26815171 DOI: 10.1007/s10620-016-4035-3]</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2"/>
          <w:kern w:val="0"/>
          <w:sz w:val="16"/>
          <w:szCs w:val="16"/>
        </w:rPr>
      </w:pPr>
      <w:r w:rsidRPr="005C657C">
        <w:rPr>
          <w:color w:val="000000"/>
          <w:spacing w:val="-1"/>
          <w:kern w:val="0"/>
          <w:sz w:val="16"/>
          <w:szCs w:val="16"/>
        </w:rPr>
        <w:t>7</w:t>
      </w:r>
      <w:r w:rsidRPr="005C657C">
        <w:rPr>
          <w:color w:val="000000"/>
          <w:spacing w:val="-1"/>
          <w:kern w:val="0"/>
          <w:sz w:val="16"/>
          <w:szCs w:val="16"/>
        </w:rPr>
        <w:tab/>
      </w:r>
      <w:r w:rsidRPr="005C657C">
        <w:rPr>
          <w:b/>
          <w:bCs/>
          <w:color w:val="000000"/>
          <w:spacing w:val="-2"/>
          <w:kern w:val="0"/>
          <w:sz w:val="16"/>
          <w:szCs w:val="16"/>
        </w:rPr>
        <w:t>Gitto S</w:t>
      </w:r>
      <w:r w:rsidRPr="005C657C">
        <w:rPr>
          <w:color w:val="000000"/>
          <w:spacing w:val="-2"/>
          <w:kern w:val="0"/>
          <w:sz w:val="16"/>
          <w:szCs w:val="16"/>
        </w:rPr>
        <w:t xml:space="preserve">, Vukotic R, Vitale G, Pirillo M, Villa E, Andreone P. Non-alcoholic steatohepatitis and liver transplantation. </w:t>
      </w:r>
      <w:r w:rsidRPr="005C657C">
        <w:rPr>
          <w:i/>
          <w:iCs/>
          <w:color w:val="000000"/>
          <w:spacing w:val="-2"/>
          <w:kern w:val="0"/>
          <w:sz w:val="16"/>
          <w:szCs w:val="16"/>
        </w:rPr>
        <w:t>Dig Liver Dis</w:t>
      </w:r>
      <w:r w:rsidRPr="005C657C">
        <w:rPr>
          <w:color w:val="000000"/>
          <w:spacing w:val="-2"/>
          <w:kern w:val="0"/>
          <w:sz w:val="16"/>
          <w:szCs w:val="16"/>
        </w:rPr>
        <w:t xml:space="preserve"> 2016; </w:t>
      </w:r>
      <w:r w:rsidRPr="005C657C">
        <w:rPr>
          <w:b/>
          <w:bCs/>
          <w:color w:val="000000"/>
          <w:spacing w:val="-2"/>
          <w:kern w:val="0"/>
          <w:sz w:val="16"/>
          <w:szCs w:val="16"/>
        </w:rPr>
        <w:t>48</w:t>
      </w:r>
      <w:r w:rsidRPr="005C657C">
        <w:rPr>
          <w:color w:val="000000"/>
          <w:spacing w:val="-2"/>
          <w:kern w:val="0"/>
          <w:sz w:val="16"/>
          <w:szCs w:val="16"/>
        </w:rPr>
        <w:t>: 587-591 [PMID: 27038703 DOI: 10.1016/j.dld. 2016.02.014]</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8</w:t>
      </w:r>
      <w:r w:rsidRPr="005C657C">
        <w:rPr>
          <w:color w:val="000000"/>
          <w:spacing w:val="-1"/>
          <w:kern w:val="0"/>
          <w:sz w:val="16"/>
          <w:szCs w:val="16"/>
        </w:rPr>
        <w:tab/>
      </w:r>
      <w:r w:rsidRPr="005C657C">
        <w:rPr>
          <w:b/>
          <w:bCs/>
          <w:color w:val="000000"/>
          <w:spacing w:val="-1"/>
          <w:kern w:val="0"/>
          <w:sz w:val="16"/>
          <w:szCs w:val="16"/>
        </w:rPr>
        <w:t>Ampuero J</w:t>
      </w:r>
      <w:r w:rsidRPr="005C657C">
        <w:rPr>
          <w:color w:val="000000"/>
          <w:spacing w:val="-1"/>
          <w:kern w:val="0"/>
          <w:sz w:val="16"/>
          <w:szCs w:val="16"/>
        </w:rPr>
        <w:t xml:space="preserve">, Romero-Gómez M. [Influence of non-alcoholic fatty liver disease on cardiovascular disease]. </w:t>
      </w:r>
      <w:r w:rsidRPr="005C657C">
        <w:rPr>
          <w:i/>
          <w:iCs/>
          <w:color w:val="000000"/>
          <w:spacing w:val="-1"/>
          <w:kern w:val="0"/>
          <w:sz w:val="16"/>
          <w:szCs w:val="16"/>
        </w:rPr>
        <w:t>Gastroenterol Hepatol</w:t>
      </w:r>
      <w:r w:rsidRPr="005C657C">
        <w:rPr>
          <w:color w:val="000000"/>
          <w:spacing w:val="-1"/>
          <w:kern w:val="0"/>
          <w:sz w:val="16"/>
          <w:szCs w:val="16"/>
        </w:rPr>
        <w:t xml:space="preserve"> 2012; </w:t>
      </w:r>
      <w:r w:rsidRPr="005C657C">
        <w:rPr>
          <w:b/>
          <w:bCs/>
          <w:color w:val="000000"/>
          <w:spacing w:val="-1"/>
          <w:kern w:val="0"/>
          <w:sz w:val="16"/>
          <w:szCs w:val="16"/>
        </w:rPr>
        <w:t>35</w:t>
      </w:r>
      <w:r w:rsidRPr="005C657C">
        <w:rPr>
          <w:color w:val="000000"/>
          <w:spacing w:val="-1"/>
          <w:kern w:val="0"/>
          <w:sz w:val="16"/>
          <w:szCs w:val="16"/>
        </w:rPr>
        <w:t>: 585-593 [PMID: 22541252 DOI: 10.1016/j.gastrohep. 2012.02.005]</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9</w:t>
      </w:r>
      <w:r w:rsidRPr="005C657C">
        <w:rPr>
          <w:color w:val="000000"/>
          <w:spacing w:val="-1"/>
          <w:kern w:val="0"/>
          <w:sz w:val="16"/>
          <w:szCs w:val="16"/>
        </w:rPr>
        <w:tab/>
      </w:r>
      <w:r w:rsidRPr="005C657C">
        <w:rPr>
          <w:b/>
          <w:bCs/>
          <w:color w:val="000000"/>
          <w:spacing w:val="-1"/>
          <w:kern w:val="0"/>
          <w:sz w:val="16"/>
          <w:szCs w:val="16"/>
        </w:rPr>
        <w:t>Miura K</w:t>
      </w:r>
      <w:r w:rsidRPr="005C657C">
        <w:rPr>
          <w:color w:val="000000"/>
          <w:spacing w:val="-1"/>
          <w:kern w:val="0"/>
          <w:sz w:val="16"/>
          <w:szCs w:val="16"/>
        </w:rPr>
        <w:t xml:space="preserve">, Ohnishi H. Role of gut microbiota and Toll-like receptors in nonalcoholic fatty liver disease. </w:t>
      </w:r>
      <w:r w:rsidRPr="005C657C">
        <w:rPr>
          <w:i/>
          <w:iCs/>
          <w:color w:val="000000"/>
          <w:spacing w:val="-1"/>
          <w:kern w:val="0"/>
          <w:sz w:val="16"/>
          <w:szCs w:val="16"/>
        </w:rPr>
        <w:t>World J Gastroenterol</w:t>
      </w:r>
      <w:r w:rsidRPr="005C657C">
        <w:rPr>
          <w:color w:val="000000"/>
          <w:spacing w:val="-1"/>
          <w:kern w:val="0"/>
          <w:sz w:val="16"/>
          <w:szCs w:val="16"/>
        </w:rPr>
        <w:t xml:space="preserve"> 2014; </w:t>
      </w:r>
      <w:r w:rsidRPr="005C657C">
        <w:rPr>
          <w:b/>
          <w:bCs/>
          <w:color w:val="000000"/>
          <w:spacing w:val="-1"/>
          <w:kern w:val="0"/>
          <w:sz w:val="16"/>
          <w:szCs w:val="16"/>
        </w:rPr>
        <w:t>20</w:t>
      </w:r>
      <w:r w:rsidRPr="005C657C">
        <w:rPr>
          <w:color w:val="000000"/>
          <w:spacing w:val="-1"/>
          <w:kern w:val="0"/>
          <w:sz w:val="16"/>
          <w:szCs w:val="16"/>
        </w:rPr>
        <w:t>: 7381-7391 [PMID: 24966608 DOI: 10.3748/wjg.v20.i23.7381]</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10</w:t>
      </w:r>
      <w:r w:rsidRPr="005C657C">
        <w:rPr>
          <w:color w:val="000000"/>
          <w:spacing w:val="-1"/>
          <w:kern w:val="0"/>
          <w:sz w:val="16"/>
          <w:szCs w:val="16"/>
        </w:rPr>
        <w:tab/>
      </w:r>
      <w:r w:rsidRPr="005C657C">
        <w:rPr>
          <w:b/>
          <w:bCs/>
          <w:color w:val="000000"/>
          <w:spacing w:val="-1"/>
          <w:kern w:val="0"/>
          <w:sz w:val="16"/>
          <w:szCs w:val="16"/>
        </w:rPr>
        <w:t>Abenavoli L</w:t>
      </w:r>
      <w:r w:rsidRPr="005C657C">
        <w:rPr>
          <w:color w:val="000000"/>
          <w:spacing w:val="-1"/>
          <w:kern w:val="0"/>
          <w:sz w:val="16"/>
          <w:szCs w:val="16"/>
        </w:rPr>
        <w:t xml:space="preserve">, Scarpellini E, Rouabhia S, Balsano C, Luzza F. Probiotics in non-alcoholic fatty liver disease: which and when. </w:t>
      </w:r>
      <w:r w:rsidRPr="005C657C">
        <w:rPr>
          <w:i/>
          <w:iCs/>
          <w:color w:val="000000"/>
          <w:spacing w:val="-1"/>
          <w:kern w:val="0"/>
          <w:sz w:val="16"/>
          <w:szCs w:val="16"/>
        </w:rPr>
        <w:t>Ann Hepatol</w:t>
      </w:r>
      <w:r w:rsidRPr="005C657C">
        <w:rPr>
          <w:color w:val="000000"/>
          <w:spacing w:val="-1"/>
          <w:kern w:val="0"/>
          <w:sz w:val="16"/>
          <w:szCs w:val="16"/>
        </w:rPr>
        <w:t xml:space="preserve"> 2013; </w:t>
      </w:r>
      <w:r w:rsidRPr="005C657C">
        <w:rPr>
          <w:b/>
          <w:bCs/>
          <w:color w:val="000000"/>
          <w:spacing w:val="-1"/>
          <w:kern w:val="0"/>
          <w:sz w:val="16"/>
          <w:szCs w:val="16"/>
        </w:rPr>
        <w:t>12</w:t>
      </w:r>
      <w:r w:rsidRPr="005C657C">
        <w:rPr>
          <w:color w:val="000000"/>
          <w:spacing w:val="-1"/>
          <w:kern w:val="0"/>
          <w:sz w:val="16"/>
          <w:szCs w:val="16"/>
        </w:rPr>
        <w:t>: 357-363 [PMID: 23619251]</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3"/>
          <w:kern w:val="0"/>
          <w:sz w:val="16"/>
          <w:szCs w:val="16"/>
        </w:rPr>
      </w:pPr>
      <w:r w:rsidRPr="005C657C">
        <w:rPr>
          <w:color w:val="000000"/>
          <w:spacing w:val="-1"/>
          <w:kern w:val="0"/>
          <w:sz w:val="16"/>
          <w:szCs w:val="16"/>
        </w:rPr>
        <w:t>11</w:t>
      </w:r>
      <w:r w:rsidRPr="005C657C">
        <w:rPr>
          <w:color w:val="000000"/>
          <w:spacing w:val="-1"/>
          <w:kern w:val="0"/>
          <w:sz w:val="16"/>
          <w:szCs w:val="16"/>
        </w:rPr>
        <w:tab/>
      </w:r>
      <w:r w:rsidRPr="005C657C">
        <w:rPr>
          <w:b/>
          <w:bCs/>
          <w:color w:val="000000"/>
          <w:spacing w:val="-3"/>
          <w:kern w:val="0"/>
          <w:sz w:val="16"/>
          <w:szCs w:val="16"/>
        </w:rPr>
        <w:t>Brea A</w:t>
      </w:r>
      <w:r w:rsidRPr="005C657C">
        <w:rPr>
          <w:color w:val="000000"/>
          <w:spacing w:val="-3"/>
          <w:kern w:val="0"/>
          <w:sz w:val="16"/>
          <w:szCs w:val="16"/>
        </w:rPr>
        <w:t xml:space="preserve">, Mosquera D, Martín E, Arizti A, Cordero JL, Ros E. Nonalcoholic fatty liver disease is associated with carotid atherosclerosis: a case-control study. </w:t>
      </w:r>
      <w:r w:rsidRPr="005C657C">
        <w:rPr>
          <w:i/>
          <w:iCs/>
          <w:color w:val="000000"/>
          <w:spacing w:val="-3"/>
          <w:kern w:val="0"/>
          <w:sz w:val="16"/>
          <w:szCs w:val="16"/>
        </w:rPr>
        <w:t>Arterioscler Thromb Vasc Biol</w:t>
      </w:r>
      <w:r w:rsidRPr="005C657C">
        <w:rPr>
          <w:color w:val="000000"/>
          <w:spacing w:val="-3"/>
          <w:kern w:val="0"/>
          <w:sz w:val="16"/>
          <w:szCs w:val="16"/>
        </w:rPr>
        <w:t xml:space="preserve"> 2005; </w:t>
      </w:r>
      <w:r w:rsidRPr="005C657C">
        <w:rPr>
          <w:b/>
          <w:bCs/>
          <w:color w:val="000000"/>
          <w:spacing w:val="-3"/>
          <w:kern w:val="0"/>
          <w:sz w:val="16"/>
          <w:szCs w:val="16"/>
        </w:rPr>
        <w:t>25</w:t>
      </w:r>
      <w:r w:rsidRPr="005C657C">
        <w:rPr>
          <w:color w:val="000000"/>
          <w:spacing w:val="-3"/>
          <w:kern w:val="0"/>
          <w:sz w:val="16"/>
          <w:szCs w:val="16"/>
        </w:rPr>
        <w:t>: 1045-1050 [PMID: 15731489 DOI: 10.1161/01.ATV.0000 160613.57985.18]</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12</w:t>
      </w:r>
      <w:r w:rsidRPr="005C657C">
        <w:rPr>
          <w:color w:val="000000"/>
          <w:spacing w:val="-1"/>
          <w:kern w:val="0"/>
          <w:sz w:val="16"/>
          <w:szCs w:val="16"/>
        </w:rPr>
        <w:tab/>
      </w:r>
      <w:r w:rsidRPr="005C657C">
        <w:rPr>
          <w:b/>
          <w:bCs/>
          <w:color w:val="000000"/>
          <w:spacing w:val="-1"/>
          <w:kern w:val="0"/>
          <w:sz w:val="16"/>
          <w:szCs w:val="16"/>
        </w:rPr>
        <w:t>Kim D</w:t>
      </w:r>
      <w:r w:rsidRPr="005C657C">
        <w:rPr>
          <w:color w:val="000000"/>
          <w:spacing w:val="-1"/>
          <w:kern w:val="0"/>
          <w:sz w:val="16"/>
          <w:szCs w:val="16"/>
        </w:rPr>
        <w:t xml:space="preserve">, Choi SY, Park EH, Lee W, Kang JH, Kim W, Kim YJ, Yoon JH, Jeong SH, Lee DH, Lee HS, Larson J, Therneau TM, Kim WR. Nonalcoholic fatty liver disease is associated with coronary artery calcification. </w:t>
      </w:r>
      <w:r w:rsidRPr="005C657C">
        <w:rPr>
          <w:i/>
          <w:iCs/>
          <w:color w:val="000000"/>
          <w:spacing w:val="-1"/>
          <w:kern w:val="0"/>
          <w:sz w:val="16"/>
          <w:szCs w:val="16"/>
        </w:rPr>
        <w:t>Hepatology</w:t>
      </w:r>
      <w:r w:rsidRPr="005C657C">
        <w:rPr>
          <w:color w:val="000000"/>
          <w:spacing w:val="-1"/>
          <w:kern w:val="0"/>
          <w:sz w:val="16"/>
          <w:szCs w:val="16"/>
        </w:rPr>
        <w:t xml:space="preserve"> 2012; </w:t>
      </w:r>
      <w:r w:rsidRPr="005C657C">
        <w:rPr>
          <w:b/>
          <w:bCs/>
          <w:color w:val="000000"/>
          <w:spacing w:val="-1"/>
          <w:kern w:val="0"/>
          <w:sz w:val="16"/>
          <w:szCs w:val="16"/>
        </w:rPr>
        <w:t>56</w:t>
      </w:r>
      <w:r w:rsidRPr="005C657C">
        <w:rPr>
          <w:color w:val="000000"/>
          <w:spacing w:val="-1"/>
          <w:kern w:val="0"/>
          <w:sz w:val="16"/>
          <w:szCs w:val="16"/>
        </w:rPr>
        <w:t>: 605-613 [PMID: 22271511 DOI: 10.1002/hep.25593]</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13</w:t>
      </w:r>
      <w:r w:rsidRPr="005C657C">
        <w:rPr>
          <w:color w:val="000000"/>
          <w:spacing w:val="-1"/>
          <w:kern w:val="0"/>
          <w:sz w:val="16"/>
          <w:szCs w:val="16"/>
        </w:rPr>
        <w:tab/>
      </w:r>
      <w:r w:rsidRPr="005C657C">
        <w:rPr>
          <w:b/>
          <w:bCs/>
          <w:color w:val="000000"/>
          <w:spacing w:val="-1"/>
          <w:kern w:val="0"/>
          <w:sz w:val="16"/>
          <w:szCs w:val="16"/>
        </w:rPr>
        <w:t>Puchner SB</w:t>
      </w:r>
      <w:r w:rsidRPr="005C657C">
        <w:rPr>
          <w:color w:val="000000"/>
          <w:spacing w:val="-1"/>
          <w:kern w:val="0"/>
          <w:sz w:val="16"/>
          <w:szCs w:val="16"/>
        </w:rPr>
        <w:t xml:space="preserve">, Lu MT, Mayrhofer T, Liu T, Pursnani A, Ghoshhajra BB, Truong QA, Wiviott SD, Fleg JL, Hoffmann U, Ferencik M. High-risk coronary plaque at coronary CT angiography is associated with nonalcoholic fatty liver disease, independent of coronary plaque and stenosis burden: results from the ROMICAT II trial. </w:t>
      </w:r>
      <w:r w:rsidRPr="005C657C">
        <w:rPr>
          <w:i/>
          <w:iCs/>
          <w:color w:val="000000"/>
          <w:spacing w:val="-1"/>
          <w:kern w:val="0"/>
          <w:sz w:val="16"/>
          <w:szCs w:val="16"/>
        </w:rPr>
        <w:t>Radiology</w:t>
      </w:r>
      <w:r w:rsidRPr="005C657C">
        <w:rPr>
          <w:color w:val="000000"/>
          <w:spacing w:val="-1"/>
          <w:kern w:val="0"/>
          <w:sz w:val="16"/>
          <w:szCs w:val="16"/>
        </w:rPr>
        <w:t xml:space="preserve"> 2015; </w:t>
      </w:r>
      <w:r w:rsidRPr="005C657C">
        <w:rPr>
          <w:b/>
          <w:bCs/>
          <w:color w:val="000000"/>
          <w:spacing w:val="-1"/>
          <w:kern w:val="0"/>
          <w:sz w:val="16"/>
          <w:szCs w:val="16"/>
        </w:rPr>
        <w:t>274</w:t>
      </w:r>
      <w:r w:rsidRPr="005C657C">
        <w:rPr>
          <w:color w:val="000000"/>
          <w:spacing w:val="-1"/>
          <w:kern w:val="0"/>
          <w:sz w:val="16"/>
          <w:szCs w:val="16"/>
        </w:rPr>
        <w:t>: 693-701 [PMID: 25369449 DOI: 10.1148/radiol.14140933]</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14</w:t>
      </w:r>
      <w:r w:rsidRPr="005C657C">
        <w:rPr>
          <w:color w:val="000000"/>
          <w:spacing w:val="-1"/>
          <w:kern w:val="0"/>
          <w:sz w:val="16"/>
          <w:szCs w:val="16"/>
        </w:rPr>
        <w:tab/>
      </w:r>
      <w:r w:rsidRPr="005C657C">
        <w:rPr>
          <w:b/>
          <w:bCs/>
          <w:color w:val="000000"/>
          <w:spacing w:val="-1"/>
          <w:kern w:val="0"/>
          <w:sz w:val="16"/>
          <w:szCs w:val="16"/>
        </w:rPr>
        <w:t>Ampuero J</w:t>
      </w:r>
      <w:r w:rsidRPr="005C657C">
        <w:rPr>
          <w:color w:val="000000"/>
          <w:spacing w:val="-1"/>
          <w:kern w:val="0"/>
          <w:sz w:val="16"/>
          <w:szCs w:val="16"/>
        </w:rPr>
        <w:t xml:space="preserve">, Gallego-Durán R, </w:t>
      </w:r>
      <w:proofErr w:type="gramStart"/>
      <w:r w:rsidRPr="005C657C">
        <w:rPr>
          <w:color w:val="000000"/>
          <w:spacing w:val="-1"/>
          <w:kern w:val="0"/>
          <w:sz w:val="16"/>
          <w:szCs w:val="16"/>
        </w:rPr>
        <w:t>Romero</w:t>
      </w:r>
      <w:proofErr w:type="gramEnd"/>
      <w:r w:rsidRPr="005C657C">
        <w:rPr>
          <w:color w:val="000000"/>
          <w:spacing w:val="-1"/>
          <w:kern w:val="0"/>
          <w:sz w:val="16"/>
          <w:szCs w:val="16"/>
        </w:rPr>
        <w:t xml:space="preserve">-Gómez M. Association of NAFLD with subclinical atherosclerosis and coronary-artery disease: meta-analysis. </w:t>
      </w:r>
      <w:r w:rsidRPr="005C657C">
        <w:rPr>
          <w:i/>
          <w:iCs/>
          <w:color w:val="000000"/>
          <w:spacing w:val="-1"/>
          <w:kern w:val="0"/>
          <w:sz w:val="16"/>
          <w:szCs w:val="16"/>
        </w:rPr>
        <w:t xml:space="preserve">Rev </w:t>
      </w:r>
      <w:proofErr w:type="gramStart"/>
      <w:r w:rsidRPr="005C657C">
        <w:rPr>
          <w:i/>
          <w:iCs/>
          <w:color w:val="000000"/>
          <w:spacing w:val="-1"/>
          <w:kern w:val="0"/>
          <w:sz w:val="16"/>
          <w:szCs w:val="16"/>
        </w:rPr>
        <w:t>Esp</w:t>
      </w:r>
      <w:proofErr w:type="gramEnd"/>
      <w:r w:rsidRPr="005C657C">
        <w:rPr>
          <w:i/>
          <w:iCs/>
          <w:color w:val="000000"/>
          <w:spacing w:val="-1"/>
          <w:kern w:val="0"/>
          <w:sz w:val="16"/>
          <w:szCs w:val="16"/>
        </w:rPr>
        <w:t xml:space="preserve"> Enferm Dig</w:t>
      </w:r>
      <w:r w:rsidRPr="005C657C">
        <w:rPr>
          <w:color w:val="000000"/>
          <w:spacing w:val="-1"/>
          <w:kern w:val="0"/>
          <w:sz w:val="16"/>
          <w:szCs w:val="16"/>
        </w:rPr>
        <w:t xml:space="preserve"> 2015; </w:t>
      </w:r>
      <w:r w:rsidRPr="005C657C">
        <w:rPr>
          <w:b/>
          <w:bCs/>
          <w:color w:val="000000"/>
          <w:spacing w:val="-1"/>
          <w:kern w:val="0"/>
          <w:sz w:val="16"/>
          <w:szCs w:val="16"/>
        </w:rPr>
        <w:t>107</w:t>
      </w:r>
      <w:r w:rsidRPr="005C657C">
        <w:rPr>
          <w:color w:val="000000"/>
          <w:spacing w:val="-1"/>
          <w:kern w:val="0"/>
          <w:sz w:val="16"/>
          <w:szCs w:val="16"/>
        </w:rPr>
        <w:t>: 10-16 [PMID: 25603326]</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2"/>
          <w:kern w:val="0"/>
          <w:sz w:val="16"/>
          <w:szCs w:val="16"/>
        </w:rPr>
      </w:pPr>
      <w:r w:rsidRPr="005C657C">
        <w:rPr>
          <w:color w:val="000000"/>
          <w:spacing w:val="-1"/>
          <w:kern w:val="0"/>
          <w:sz w:val="16"/>
          <w:szCs w:val="16"/>
        </w:rPr>
        <w:lastRenderedPageBreak/>
        <w:t>15</w:t>
      </w:r>
      <w:r w:rsidRPr="005C657C">
        <w:rPr>
          <w:color w:val="000000"/>
          <w:spacing w:val="-1"/>
          <w:kern w:val="0"/>
          <w:sz w:val="16"/>
          <w:szCs w:val="16"/>
        </w:rPr>
        <w:tab/>
      </w:r>
      <w:r w:rsidRPr="005C657C">
        <w:rPr>
          <w:b/>
          <w:bCs/>
          <w:color w:val="000000"/>
          <w:spacing w:val="-2"/>
          <w:kern w:val="0"/>
          <w:sz w:val="16"/>
          <w:szCs w:val="16"/>
        </w:rPr>
        <w:t>Fracanzani AL</w:t>
      </w:r>
      <w:r w:rsidRPr="005C657C">
        <w:rPr>
          <w:color w:val="000000"/>
          <w:spacing w:val="-2"/>
          <w:kern w:val="0"/>
          <w:sz w:val="16"/>
          <w:szCs w:val="16"/>
        </w:rPr>
        <w:t>, Tiraboschi S, Pisano G, Consonni D, Baragetti A, Bertelli C, Norata D, Valenti L, Grigore L, Porzio M, Catapano A, Fargion S. Progression of carotid vascular damage and cardio</w:t>
      </w:r>
      <w:r w:rsidRPr="005C657C">
        <w:rPr>
          <w:color w:val="000000"/>
          <w:spacing w:val="-2"/>
          <w:kern w:val="0"/>
          <w:sz w:val="16"/>
          <w:szCs w:val="16"/>
        </w:rPr>
        <w:softHyphen/>
        <w:t xml:space="preserve">vascular events in non-alcoholic fatty liver disease patients compared to the general population during 10 years of follow-up. </w:t>
      </w:r>
      <w:r w:rsidRPr="005C657C">
        <w:rPr>
          <w:i/>
          <w:iCs/>
          <w:color w:val="000000"/>
          <w:spacing w:val="-2"/>
          <w:kern w:val="0"/>
          <w:sz w:val="16"/>
          <w:szCs w:val="16"/>
        </w:rPr>
        <w:t>Atherosclerosis</w:t>
      </w:r>
      <w:r w:rsidRPr="005C657C">
        <w:rPr>
          <w:color w:val="000000"/>
          <w:spacing w:val="-2"/>
          <w:kern w:val="0"/>
          <w:sz w:val="16"/>
          <w:szCs w:val="16"/>
        </w:rPr>
        <w:t xml:space="preserve"> 2016; </w:t>
      </w:r>
      <w:r w:rsidRPr="005C657C">
        <w:rPr>
          <w:b/>
          <w:bCs/>
          <w:color w:val="000000"/>
          <w:spacing w:val="-2"/>
          <w:kern w:val="0"/>
          <w:sz w:val="16"/>
          <w:szCs w:val="16"/>
        </w:rPr>
        <w:t>246</w:t>
      </w:r>
      <w:r w:rsidRPr="005C657C">
        <w:rPr>
          <w:color w:val="000000"/>
          <w:spacing w:val="-2"/>
          <w:kern w:val="0"/>
          <w:sz w:val="16"/>
          <w:szCs w:val="16"/>
        </w:rPr>
        <w:t>: 208-213 [PMID: 26803429 DOI: 10.1016/j.atherosclerosis.2016.01.016]</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16</w:t>
      </w:r>
      <w:r w:rsidRPr="005C657C">
        <w:rPr>
          <w:color w:val="000000"/>
          <w:spacing w:val="-1"/>
          <w:kern w:val="0"/>
          <w:sz w:val="16"/>
          <w:szCs w:val="16"/>
        </w:rPr>
        <w:tab/>
      </w:r>
      <w:r w:rsidRPr="005C657C">
        <w:rPr>
          <w:b/>
          <w:bCs/>
          <w:color w:val="000000"/>
          <w:spacing w:val="-1"/>
          <w:kern w:val="0"/>
          <w:sz w:val="16"/>
          <w:szCs w:val="16"/>
        </w:rPr>
        <w:t>Ekstedt M</w:t>
      </w:r>
      <w:r w:rsidRPr="005C657C">
        <w:rPr>
          <w:color w:val="000000"/>
          <w:spacing w:val="-1"/>
          <w:kern w:val="0"/>
          <w:sz w:val="16"/>
          <w:szCs w:val="16"/>
        </w:rPr>
        <w:t xml:space="preserve">, Hagström H, Nasr P, Fredrikson M, Stål P, Kechagias S, Hultcrantz R. Fibrosis stage is the strongest predictor for disease-specific mortality in NAFLD after up to 33 years of follow-up. </w:t>
      </w:r>
      <w:r w:rsidRPr="005C657C">
        <w:rPr>
          <w:i/>
          <w:iCs/>
          <w:color w:val="000000"/>
          <w:spacing w:val="-1"/>
          <w:kern w:val="0"/>
          <w:sz w:val="16"/>
          <w:szCs w:val="16"/>
        </w:rPr>
        <w:t>Hepatology</w:t>
      </w:r>
      <w:r w:rsidRPr="005C657C">
        <w:rPr>
          <w:color w:val="000000"/>
          <w:spacing w:val="-1"/>
          <w:kern w:val="0"/>
          <w:sz w:val="16"/>
          <w:szCs w:val="16"/>
        </w:rPr>
        <w:t xml:space="preserve"> 2015; </w:t>
      </w:r>
      <w:r w:rsidRPr="005C657C">
        <w:rPr>
          <w:b/>
          <w:bCs/>
          <w:color w:val="000000"/>
          <w:spacing w:val="-1"/>
          <w:kern w:val="0"/>
          <w:sz w:val="16"/>
          <w:szCs w:val="16"/>
        </w:rPr>
        <w:t>61</w:t>
      </w:r>
      <w:r w:rsidRPr="005C657C">
        <w:rPr>
          <w:color w:val="000000"/>
          <w:spacing w:val="-1"/>
          <w:kern w:val="0"/>
          <w:sz w:val="16"/>
          <w:szCs w:val="16"/>
        </w:rPr>
        <w:t>: 1547-1554 [PMID: 25125077 DOI: 10.1002/hep.27368]</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17</w:t>
      </w:r>
      <w:r w:rsidRPr="005C657C">
        <w:rPr>
          <w:color w:val="000000"/>
          <w:spacing w:val="-1"/>
          <w:kern w:val="0"/>
          <w:sz w:val="16"/>
          <w:szCs w:val="16"/>
        </w:rPr>
        <w:tab/>
      </w:r>
      <w:r w:rsidRPr="005C657C">
        <w:rPr>
          <w:b/>
          <w:bCs/>
          <w:color w:val="000000"/>
          <w:spacing w:val="-1"/>
          <w:kern w:val="0"/>
          <w:sz w:val="16"/>
          <w:szCs w:val="16"/>
        </w:rPr>
        <w:t>European Association for the Study of the Liver (EASL)</w:t>
      </w:r>
      <w:r w:rsidRPr="005C657C">
        <w:rPr>
          <w:color w:val="000000"/>
          <w:spacing w:val="-1"/>
          <w:kern w:val="0"/>
          <w:sz w:val="16"/>
          <w:szCs w:val="16"/>
        </w:rPr>
        <w:t xml:space="preserve">, European Association for the Study of Diabetes (EASD) and European Association for the Study of Obesity (EASO). EASL-EASD-EASO Clinical Practice Guidelines for the management of non-alcoholic fatty liver disease. </w:t>
      </w:r>
      <w:r w:rsidRPr="005C657C">
        <w:rPr>
          <w:i/>
          <w:iCs/>
          <w:color w:val="000000"/>
          <w:spacing w:val="-1"/>
          <w:kern w:val="0"/>
          <w:sz w:val="16"/>
          <w:szCs w:val="16"/>
        </w:rPr>
        <w:t>J Hepatol</w:t>
      </w:r>
      <w:r w:rsidRPr="005C657C">
        <w:rPr>
          <w:color w:val="000000"/>
          <w:spacing w:val="-1"/>
          <w:kern w:val="0"/>
          <w:sz w:val="16"/>
          <w:szCs w:val="16"/>
        </w:rPr>
        <w:t xml:space="preserve"> 2016; </w:t>
      </w:r>
      <w:r w:rsidRPr="005C657C">
        <w:rPr>
          <w:b/>
          <w:bCs/>
          <w:color w:val="000000"/>
          <w:spacing w:val="-1"/>
          <w:kern w:val="0"/>
          <w:sz w:val="16"/>
          <w:szCs w:val="16"/>
        </w:rPr>
        <w:t>64</w:t>
      </w:r>
      <w:r w:rsidRPr="005C657C">
        <w:rPr>
          <w:color w:val="000000"/>
          <w:spacing w:val="-1"/>
          <w:kern w:val="0"/>
          <w:sz w:val="16"/>
          <w:szCs w:val="16"/>
        </w:rPr>
        <w:t>: 1388-1402 [PMID: 27062661 DOI: 10.1016/j.jhep.2015.11.004]</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18</w:t>
      </w:r>
      <w:r w:rsidRPr="005C657C">
        <w:rPr>
          <w:color w:val="000000"/>
          <w:spacing w:val="-1"/>
          <w:kern w:val="0"/>
          <w:sz w:val="16"/>
          <w:szCs w:val="16"/>
        </w:rPr>
        <w:tab/>
      </w:r>
      <w:r w:rsidRPr="005C657C">
        <w:rPr>
          <w:b/>
          <w:bCs/>
          <w:color w:val="000000"/>
          <w:spacing w:val="-1"/>
          <w:kern w:val="0"/>
          <w:sz w:val="16"/>
          <w:szCs w:val="16"/>
        </w:rPr>
        <w:t>Manoushagian S</w:t>
      </w:r>
      <w:r w:rsidRPr="005C657C">
        <w:rPr>
          <w:color w:val="000000"/>
          <w:spacing w:val="-1"/>
          <w:kern w:val="0"/>
          <w:sz w:val="16"/>
          <w:szCs w:val="16"/>
        </w:rPr>
        <w:t xml:space="preserve">, Meshkov A. Evaluation of solid organ transplant candidates for coronary artery disease. </w:t>
      </w:r>
      <w:r w:rsidRPr="005C657C">
        <w:rPr>
          <w:i/>
          <w:iCs/>
          <w:color w:val="000000"/>
          <w:spacing w:val="-1"/>
          <w:kern w:val="0"/>
          <w:sz w:val="16"/>
          <w:szCs w:val="16"/>
        </w:rPr>
        <w:t>Am J Transplant</w:t>
      </w:r>
      <w:r w:rsidRPr="005C657C">
        <w:rPr>
          <w:color w:val="000000"/>
          <w:spacing w:val="-1"/>
          <w:kern w:val="0"/>
          <w:sz w:val="16"/>
          <w:szCs w:val="16"/>
        </w:rPr>
        <w:t xml:space="preserve"> 2014; </w:t>
      </w:r>
      <w:r w:rsidRPr="005C657C">
        <w:rPr>
          <w:b/>
          <w:bCs/>
          <w:color w:val="000000"/>
          <w:spacing w:val="-1"/>
          <w:kern w:val="0"/>
          <w:sz w:val="16"/>
          <w:szCs w:val="16"/>
        </w:rPr>
        <w:t>14</w:t>
      </w:r>
      <w:r w:rsidRPr="005C657C">
        <w:rPr>
          <w:color w:val="000000"/>
          <w:spacing w:val="-1"/>
          <w:kern w:val="0"/>
          <w:sz w:val="16"/>
          <w:szCs w:val="16"/>
        </w:rPr>
        <w:t>: 2228-2234 [PMID: 25220486 DOI: 10.1111/ajt.12915]</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19</w:t>
      </w:r>
      <w:r w:rsidRPr="005C657C">
        <w:rPr>
          <w:color w:val="000000"/>
          <w:spacing w:val="-1"/>
          <w:kern w:val="0"/>
          <w:sz w:val="16"/>
          <w:szCs w:val="16"/>
        </w:rPr>
        <w:tab/>
      </w:r>
      <w:r w:rsidRPr="005C657C">
        <w:rPr>
          <w:b/>
          <w:bCs/>
          <w:color w:val="000000"/>
          <w:spacing w:val="-1"/>
          <w:kern w:val="0"/>
          <w:sz w:val="16"/>
          <w:szCs w:val="16"/>
        </w:rPr>
        <w:t>European Association for the Study of the Liver</w:t>
      </w:r>
      <w:r w:rsidRPr="005C657C">
        <w:rPr>
          <w:color w:val="000000"/>
          <w:spacing w:val="-1"/>
          <w:kern w:val="0"/>
          <w:sz w:val="16"/>
          <w:szCs w:val="16"/>
        </w:rPr>
        <w:t xml:space="preserve">. EASL Clinical Practice Guidelines: Liver transplantation. </w:t>
      </w:r>
      <w:r w:rsidRPr="005C657C">
        <w:rPr>
          <w:i/>
          <w:iCs/>
          <w:color w:val="000000"/>
          <w:spacing w:val="-1"/>
          <w:kern w:val="0"/>
          <w:sz w:val="16"/>
          <w:szCs w:val="16"/>
        </w:rPr>
        <w:t>J Hepatol</w:t>
      </w:r>
      <w:r w:rsidRPr="005C657C">
        <w:rPr>
          <w:color w:val="000000"/>
          <w:spacing w:val="-1"/>
          <w:kern w:val="0"/>
          <w:sz w:val="16"/>
          <w:szCs w:val="16"/>
        </w:rPr>
        <w:t xml:space="preserve"> 2016; </w:t>
      </w:r>
      <w:r w:rsidRPr="005C657C">
        <w:rPr>
          <w:b/>
          <w:bCs/>
          <w:color w:val="000000"/>
          <w:spacing w:val="-1"/>
          <w:kern w:val="0"/>
          <w:sz w:val="16"/>
          <w:szCs w:val="16"/>
        </w:rPr>
        <w:t>64</w:t>
      </w:r>
      <w:r w:rsidRPr="005C657C">
        <w:rPr>
          <w:color w:val="000000"/>
          <w:spacing w:val="-1"/>
          <w:kern w:val="0"/>
          <w:sz w:val="16"/>
          <w:szCs w:val="16"/>
        </w:rPr>
        <w:t>: 433-485 [PMID: 26597456 DOI: 10.1016/j.jhep.2015.10.006]</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2"/>
          <w:kern w:val="0"/>
          <w:sz w:val="16"/>
          <w:szCs w:val="16"/>
        </w:rPr>
      </w:pPr>
      <w:r w:rsidRPr="005C657C">
        <w:rPr>
          <w:color w:val="000000"/>
          <w:spacing w:val="-1"/>
          <w:kern w:val="0"/>
          <w:sz w:val="16"/>
          <w:szCs w:val="16"/>
        </w:rPr>
        <w:t>20</w:t>
      </w:r>
      <w:r w:rsidRPr="005C657C">
        <w:rPr>
          <w:color w:val="000000"/>
          <w:spacing w:val="-1"/>
          <w:kern w:val="0"/>
          <w:sz w:val="16"/>
          <w:szCs w:val="16"/>
        </w:rPr>
        <w:tab/>
      </w:r>
      <w:r w:rsidRPr="005C657C">
        <w:rPr>
          <w:b/>
          <w:bCs/>
          <w:color w:val="000000"/>
          <w:spacing w:val="-2"/>
          <w:kern w:val="0"/>
          <w:sz w:val="16"/>
          <w:szCs w:val="16"/>
        </w:rPr>
        <w:t>Wray C</w:t>
      </w:r>
      <w:r w:rsidRPr="005C657C">
        <w:rPr>
          <w:color w:val="000000"/>
          <w:spacing w:val="-2"/>
          <w:kern w:val="0"/>
          <w:sz w:val="16"/>
          <w:szCs w:val="16"/>
        </w:rPr>
        <w:t xml:space="preserve">, Scovotti JC, Tobis J, Niemann CU, Planinsic R, Walia A, Findlay J, Wagener G, Cywinski JB, Markovic D, Hughes C, Humar A, Olmos A, Sierra R, Busuttil R, Steadman RH. Liver transplantation outcome in patients with angiographically proven coronary artery disease: a multi-institutional study. </w:t>
      </w:r>
      <w:r w:rsidRPr="005C657C">
        <w:rPr>
          <w:i/>
          <w:iCs/>
          <w:color w:val="000000"/>
          <w:spacing w:val="-2"/>
          <w:kern w:val="0"/>
          <w:sz w:val="16"/>
          <w:szCs w:val="16"/>
        </w:rPr>
        <w:t>Am J Transplant</w:t>
      </w:r>
      <w:r w:rsidRPr="005C657C">
        <w:rPr>
          <w:color w:val="000000"/>
          <w:spacing w:val="-2"/>
          <w:kern w:val="0"/>
          <w:sz w:val="16"/>
          <w:szCs w:val="16"/>
        </w:rPr>
        <w:t xml:space="preserve"> 2013; </w:t>
      </w:r>
      <w:r w:rsidRPr="005C657C">
        <w:rPr>
          <w:b/>
          <w:bCs/>
          <w:color w:val="000000"/>
          <w:spacing w:val="-2"/>
          <w:kern w:val="0"/>
          <w:sz w:val="16"/>
          <w:szCs w:val="16"/>
        </w:rPr>
        <w:t>13</w:t>
      </w:r>
      <w:r w:rsidRPr="005C657C">
        <w:rPr>
          <w:color w:val="000000"/>
          <w:spacing w:val="-2"/>
          <w:kern w:val="0"/>
          <w:sz w:val="16"/>
          <w:szCs w:val="16"/>
        </w:rPr>
        <w:t>: 184-191 [PMID: 23126562 DOI: 10.1111/j.1600-6143.2012.04293.x]</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21</w:t>
      </w:r>
      <w:r w:rsidRPr="005C657C">
        <w:rPr>
          <w:color w:val="000000"/>
          <w:spacing w:val="-1"/>
          <w:kern w:val="0"/>
          <w:sz w:val="16"/>
          <w:szCs w:val="16"/>
        </w:rPr>
        <w:tab/>
      </w:r>
      <w:r w:rsidRPr="005C657C">
        <w:rPr>
          <w:b/>
          <w:bCs/>
          <w:color w:val="000000"/>
          <w:spacing w:val="-1"/>
          <w:kern w:val="0"/>
          <w:sz w:val="16"/>
          <w:szCs w:val="16"/>
        </w:rPr>
        <w:t>Williams K</w:t>
      </w:r>
      <w:r w:rsidRPr="005C657C">
        <w:rPr>
          <w:color w:val="000000"/>
          <w:spacing w:val="-1"/>
          <w:kern w:val="0"/>
          <w:sz w:val="16"/>
          <w:szCs w:val="16"/>
        </w:rPr>
        <w:t xml:space="preserve">, Lewis JF, Davis G, Geiser EA. Dobutamine stress echocardiography in patients undergoing liver transplantation evaluation. </w:t>
      </w:r>
      <w:r w:rsidRPr="005C657C">
        <w:rPr>
          <w:i/>
          <w:iCs/>
          <w:color w:val="000000"/>
          <w:spacing w:val="-1"/>
          <w:kern w:val="0"/>
          <w:sz w:val="16"/>
          <w:szCs w:val="16"/>
        </w:rPr>
        <w:t>Transplantation</w:t>
      </w:r>
      <w:r w:rsidRPr="005C657C">
        <w:rPr>
          <w:color w:val="000000"/>
          <w:spacing w:val="-1"/>
          <w:kern w:val="0"/>
          <w:sz w:val="16"/>
          <w:szCs w:val="16"/>
        </w:rPr>
        <w:t xml:space="preserve"> 2000; </w:t>
      </w:r>
      <w:r w:rsidRPr="005C657C">
        <w:rPr>
          <w:b/>
          <w:bCs/>
          <w:color w:val="000000"/>
          <w:spacing w:val="-1"/>
          <w:kern w:val="0"/>
          <w:sz w:val="16"/>
          <w:szCs w:val="16"/>
        </w:rPr>
        <w:t>69</w:t>
      </w:r>
      <w:r w:rsidRPr="005C657C">
        <w:rPr>
          <w:color w:val="000000"/>
          <w:spacing w:val="-1"/>
          <w:kern w:val="0"/>
          <w:sz w:val="16"/>
          <w:szCs w:val="16"/>
        </w:rPr>
        <w:t>: 2354-2356 [PMID: 10868639]</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22</w:t>
      </w:r>
      <w:r w:rsidRPr="005C657C">
        <w:rPr>
          <w:color w:val="000000"/>
          <w:spacing w:val="-1"/>
          <w:kern w:val="0"/>
          <w:sz w:val="16"/>
          <w:szCs w:val="16"/>
        </w:rPr>
        <w:tab/>
      </w:r>
      <w:r w:rsidRPr="005C657C">
        <w:rPr>
          <w:b/>
          <w:bCs/>
          <w:color w:val="000000"/>
          <w:spacing w:val="-1"/>
          <w:kern w:val="0"/>
          <w:sz w:val="16"/>
          <w:szCs w:val="16"/>
        </w:rPr>
        <w:t>Snipelisky D</w:t>
      </w:r>
      <w:r w:rsidRPr="005C657C">
        <w:rPr>
          <w:color w:val="000000"/>
          <w:spacing w:val="-1"/>
          <w:kern w:val="0"/>
          <w:sz w:val="16"/>
          <w:szCs w:val="16"/>
        </w:rPr>
        <w:t xml:space="preserve">, Levy M, Shapiro B. Utility of dobutamine stress echocardiography as part of the pre-liver transplant evaluation: an evaluation of its efficacy. </w:t>
      </w:r>
      <w:r w:rsidRPr="005C657C">
        <w:rPr>
          <w:i/>
          <w:iCs/>
          <w:color w:val="000000"/>
          <w:spacing w:val="-1"/>
          <w:kern w:val="0"/>
          <w:sz w:val="16"/>
          <w:szCs w:val="16"/>
        </w:rPr>
        <w:t>Clin Cardiol</w:t>
      </w:r>
      <w:r w:rsidRPr="005C657C">
        <w:rPr>
          <w:color w:val="000000"/>
          <w:spacing w:val="-1"/>
          <w:kern w:val="0"/>
          <w:sz w:val="16"/>
          <w:szCs w:val="16"/>
        </w:rPr>
        <w:t xml:space="preserve"> 2014; </w:t>
      </w:r>
      <w:r w:rsidRPr="005C657C">
        <w:rPr>
          <w:b/>
          <w:bCs/>
          <w:color w:val="000000"/>
          <w:spacing w:val="-1"/>
          <w:kern w:val="0"/>
          <w:sz w:val="16"/>
          <w:szCs w:val="16"/>
        </w:rPr>
        <w:t>37</w:t>
      </w:r>
      <w:r w:rsidRPr="005C657C">
        <w:rPr>
          <w:color w:val="000000"/>
          <w:spacing w:val="-1"/>
          <w:kern w:val="0"/>
          <w:sz w:val="16"/>
          <w:szCs w:val="16"/>
        </w:rPr>
        <w:t>: 468-472 [PMID: 24719365 DOI: 10.1002/clc.22283]</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23</w:t>
      </w:r>
      <w:r w:rsidRPr="005C657C">
        <w:rPr>
          <w:color w:val="000000"/>
          <w:spacing w:val="-1"/>
          <w:kern w:val="0"/>
          <w:sz w:val="16"/>
          <w:szCs w:val="16"/>
        </w:rPr>
        <w:tab/>
      </w:r>
      <w:r w:rsidRPr="005C657C">
        <w:rPr>
          <w:b/>
          <w:bCs/>
          <w:color w:val="000000"/>
          <w:spacing w:val="-1"/>
          <w:kern w:val="0"/>
          <w:sz w:val="16"/>
          <w:szCs w:val="16"/>
        </w:rPr>
        <w:t>Lentine KL</w:t>
      </w:r>
      <w:r w:rsidRPr="005C657C">
        <w:rPr>
          <w:color w:val="000000"/>
          <w:spacing w:val="-1"/>
          <w:kern w:val="0"/>
          <w:sz w:val="16"/>
          <w:szCs w:val="16"/>
        </w:rPr>
        <w:t xml:space="preserve">, Costa SP, Weir MR, Robb JF, Fleisher LA, Kasiske BL, Carithers RL, Ragosta M, Bolton K, Auerbach AD, Eagle KA. Cardiac disease evaluation and management among kidney and liver transplantation candidates: a scientific statement from the American Heart Association and the American College of Cardiology Foundation. </w:t>
      </w:r>
      <w:r w:rsidRPr="005C657C">
        <w:rPr>
          <w:i/>
          <w:iCs/>
          <w:color w:val="000000"/>
          <w:spacing w:val="-1"/>
          <w:kern w:val="0"/>
          <w:sz w:val="16"/>
          <w:szCs w:val="16"/>
        </w:rPr>
        <w:t>J Am Coll Cardiol</w:t>
      </w:r>
      <w:r w:rsidRPr="005C657C">
        <w:rPr>
          <w:color w:val="000000"/>
          <w:spacing w:val="-1"/>
          <w:kern w:val="0"/>
          <w:sz w:val="16"/>
          <w:szCs w:val="16"/>
        </w:rPr>
        <w:t xml:space="preserve"> 2012; </w:t>
      </w:r>
      <w:r w:rsidRPr="005C657C">
        <w:rPr>
          <w:b/>
          <w:bCs/>
          <w:color w:val="000000"/>
          <w:spacing w:val="-1"/>
          <w:kern w:val="0"/>
          <w:sz w:val="16"/>
          <w:szCs w:val="16"/>
        </w:rPr>
        <w:t>60</w:t>
      </w:r>
      <w:r w:rsidRPr="005C657C">
        <w:rPr>
          <w:color w:val="000000"/>
          <w:spacing w:val="-1"/>
          <w:kern w:val="0"/>
          <w:sz w:val="16"/>
          <w:szCs w:val="16"/>
        </w:rPr>
        <w:t>: 434-480 [PMID: 22763103 DOI: 10.1016/j.jacc.2012.05.008]</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24</w:t>
      </w:r>
      <w:r w:rsidRPr="005C657C">
        <w:rPr>
          <w:color w:val="000000"/>
          <w:spacing w:val="-1"/>
          <w:kern w:val="0"/>
          <w:sz w:val="16"/>
          <w:szCs w:val="16"/>
        </w:rPr>
        <w:tab/>
      </w:r>
      <w:r w:rsidRPr="005C657C">
        <w:rPr>
          <w:b/>
          <w:bCs/>
          <w:color w:val="000000"/>
          <w:spacing w:val="-1"/>
          <w:kern w:val="0"/>
          <w:sz w:val="16"/>
          <w:szCs w:val="16"/>
        </w:rPr>
        <w:t>Plotkin JS</w:t>
      </w:r>
      <w:r w:rsidRPr="005C657C">
        <w:rPr>
          <w:color w:val="000000"/>
          <w:spacing w:val="-1"/>
          <w:kern w:val="0"/>
          <w:sz w:val="16"/>
          <w:szCs w:val="16"/>
        </w:rPr>
        <w:t xml:space="preserve">, Benitez RM, Kuo PC, Njoku MJ, Ridge LA, Lim JW, Howell CD, Laurin JM, Johnson LB. Dobutamine stress echocardiography for preoperative cardiac risk stratification in patients undergoing orthotopic liver transplantation. </w:t>
      </w:r>
      <w:r w:rsidRPr="005C657C">
        <w:rPr>
          <w:i/>
          <w:iCs/>
          <w:color w:val="000000"/>
          <w:spacing w:val="-1"/>
          <w:kern w:val="0"/>
          <w:sz w:val="16"/>
          <w:szCs w:val="16"/>
        </w:rPr>
        <w:t>Liver Transpl Surg</w:t>
      </w:r>
      <w:r w:rsidRPr="005C657C">
        <w:rPr>
          <w:color w:val="000000"/>
          <w:spacing w:val="-1"/>
          <w:kern w:val="0"/>
          <w:sz w:val="16"/>
          <w:szCs w:val="16"/>
        </w:rPr>
        <w:t xml:space="preserve"> 1998; </w:t>
      </w:r>
      <w:r w:rsidRPr="005C657C">
        <w:rPr>
          <w:b/>
          <w:bCs/>
          <w:color w:val="000000"/>
          <w:spacing w:val="-1"/>
          <w:kern w:val="0"/>
          <w:sz w:val="16"/>
          <w:szCs w:val="16"/>
        </w:rPr>
        <w:t>4</w:t>
      </w:r>
      <w:r w:rsidRPr="005C657C">
        <w:rPr>
          <w:color w:val="000000"/>
          <w:spacing w:val="-1"/>
          <w:kern w:val="0"/>
          <w:sz w:val="16"/>
          <w:szCs w:val="16"/>
        </w:rPr>
        <w:t>: 253-257 [PMID: 9649636]</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25</w:t>
      </w:r>
      <w:r w:rsidRPr="005C657C">
        <w:rPr>
          <w:color w:val="000000"/>
          <w:spacing w:val="-1"/>
          <w:kern w:val="0"/>
          <w:sz w:val="16"/>
          <w:szCs w:val="16"/>
        </w:rPr>
        <w:tab/>
      </w:r>
      <w:r w:rsidRPr="005C657C">
        <w:rPr>
          <w:b/>
          <w:bCs/>
          <w:color w:val="000000"/>
          <w:spacing w:val="-1"/>
          <w:kern w:val="0"/>
          <w:sz w:val="16"/>
          <w:szCs w:val="16"/>
        </w:rPr>
        <w:t>Di Maira T</w:t>
      </w:r>
      <w:r w:rsidRPr="005C657C">
        <w:rPr>
          <w:color w:val="000000"/>
          <w:spacing w:val="-1"/>
          <w:kern w:val="0"/>
          <w:sz w:val="16"/>
          <w:szCs w:val="16"/>
        </w:rPr>
        <w:t xml:space="preserve">, Rubin A, Puchades L, Aguilera V, Vinaixa C, Garcia M, De Maria N, Villa E, Lopez-Andujar R, San Juan F, Montalva E, Perez J, Prieto M, Berenguer M. Framingham score, renal dysfunction, and cardiovascular risk in liver transplant patients. </w:t>
      </w:r>
      <w:r w:rsidRPr="005C657C">
        <w:rPr>
          <w:i/>
          <w:iCs/>
          <w:color w:val="000000"/>
          <w:spacing w:val="-1"/>
          <w:kern w:val="0"/>
          <w:sz w:val="16"/>
          <w:szCs w:val="16"/>
        </w:rPr>
        <w:t>Liver Transpl</w:t>
      </w:r>
      <w:r w:rsidRPr="005C657C">
        <w:rPr>
          <w:color w:val="000000"/>
          <w:spacing w:val="-1"/>
          <w:kern w:val="0"/>
          <w:sz w:val="16"/>
          <w:szCs w:val="16"/>
        </w:rPr>
        <w:t xml:space="preserve"> 2015; </w:t>
      </w:r>
      <w:r w:rsidRPr="005C657C">
        <w:rPr>
          <w:b/>
          <w:bCs/>
          <w:color w:val="000000"/>
          <w:spacing w:val="-1"/>
          <w:kern w:val="0"/>
          <w:sz w:val="16"/>
          <w:szCs w:val="16"/>
        </w:rPr>
        <w:t>21</w:t>
      </w:r>
      <w:r w:rsidRPr="005C657C">
        <w:rPr>
          <w:color w:val="000000"/>
          <w:spacing w:val="-1"/>
          <w:kern w:val="0"/>
          <w:sz w:val="16"/>
          <w:szCs w:val="16"/>
        </w:rPr>
        <w:t>: 812-822 [PMID: 27396823 DOI: 10.1002/lt.24128]</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26</w:t>
      </w:r>
      <w:r w:rsidRPr="005C657C">
        <w:rPr>
          <w:color w:val="000000"/>
          <w:spacing w:val="-1"/>
          <w:kern w:val="0"/>
          <w:sz w:val="16"/>
          <w:szCs w:val="16"/>
        </w:rPr>
        <w:tab/>
      </w:r>
      <w:r w:rsidRPr="005C657C">
        <w:rPr>
          <w:b/>
          <w:bCs/>
          <w:color w:val="000000"/>
          <w:spacing w:val="-1"/>
          <w:kern w:val="0"/>
          <w:sz w:val="16"/>
          <w:szCs w:val="16"/>
        </w:rPr>
        <w:t>Newsome PN</w:t>
      </w:r>
      <w:r w:rsidRPr="005C657C">
        <w:rPr>
          <w:color w:val="000000"/>
          <w:spacing w:val="-1"/>
          <w:kern w:val="0"/>
          <w:sz w:val="16"/>
          <w:szCs w:val="16"/>
        </w:rPr>
        <w:t xml:space="preserve">, Allison ME, Andrews PA, Auzinger G, Day CP, Ferguson JW, Henriksen PA, Hubscher SG, Manley H, McKiernan PJ, Millson C, Mirza D, Neuberger JM, Oben J, Pollard S, Simpson KJ, Thorburn D, Tomlinson JW, Wyatt JS. </w:t>
      </w:r>
      <w:proofErr w:type="gramStart"/>
      <w:r w:rsidRPr="005C657C">
        <w:rPr>
          <w:color w:val="000000"/>
          <w:spacing w:val="-1"/>
          <w:kern w:val="0"/>
          <w:sz w:val="16"/>
          <w:szCs w:val="16"/>
        </w:rPr>
        <w:t>Guidelines for liver transplantation for patients with non-alcoholic steatohepatitis.</w:t>
      </w:r>
      <w:proofErr w:type="gramEnd"/>
      <w:r w:rsidRPr="005C657C">
        <w:rPr>
          <w:color w:val="000000"/>
          <w:spacing w:val="-1"/>
          <w:kern w:val="0"/>
          <w:sz w:val="16"/>
          <w:szCs w:val="16"/>
        </w:rPr>
        <w:t xml:space="preserve"> </w:t>
      </w:r>
      <w:r w:rsidRPr="005C657C">
        <w:rPr>
          <w:i/>
          <w:iCs/>
          <w:color w:val="000000"/>
          <w:spacing w:val="-1"/>
          <w:kern w:val="0"/>
          <w:sz w:val="16"/>
          <w:szCs w:val="16"/>
        </w:rPr>
        <w:t>Gut</w:t>
      </w:r>
      <w:r w:rsidRPr="005C657C">
        <w:rPr>
          <w:color w:val="000000"/>
          <w:spacing w:val="-1"/>
          <w:kern w:val="0"/>
          <w:sz w:val="16"/>
          <w:szCs w:val="16"/>
        </w:rPr>
        <w:t xml:space="preserve"> 2012; </w:t>
      </w:r>
      <w:r w:rsidRPr="005C657C">
        <w:rPr>
          <w:b/>
          <w:bCs/>
          <w:color w:val="000000"/>
          <w:spacing w:val="-1"/>
          <w:kern w:val="0"/>
          <w:sz w:val="16"/>
          <w:szCs w:val="16"/>
        </w:rPr>
        <w:t>61</w:t>
      </w:r>
      <w:r w:rsidRPr="005C657C">
        <w:rPr>
          <w:color w:val="000000"/>
          <w:spacing w:val="-1"/>
          <w:kern w:val="0"/>
          <w:sz w:val="16"/>
          <w:szCs w:val="16"/>
        </w:rPr>
        <w:t>: 484-500 [PMID: 22234978 DOI: 10.1136/gutjnl-2011-300886]</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27</w:t>
      </w:r>
      <w:r w:rsidRPr="005C657C">
        <w:rPr>
          <w:color w:val="000000"/>
          <w:spacing w:val="-1"/>
          <w:kern w:val="0"/>
          <w:sz w:val="16"/>
          <w:szCs w:val="16"/>
        </w:rPr>
        <w:tab/>
      </w:r>
      <w:r w:rsidRPr="005C657C">
        <w:rPr>
          <w:b/>
          <w:bCs/>
          <w:color w:val="000000"/>
          <w:spacing w:val="-1"/>
          <w:kern w:val="0"/>
          <w:sz w:val="16"/>
          <w:szCs w:val="16"/>
        </w:rPr>
        <w:t>Adam R</w:t>
      </w:r>
      <w:r w:rsidRPr="005C657C">
        <w:rPr>
          <w:color w:val="000000"/>
          <w:spacing w:val="-1"/>
          <w:kern w:val="0"/>
          <w:sz w:val="16"/>
          <w:szCs w:val="16"/>
        </w:rPr>
        <w:t xml:space="preserve">, Karam V, Delvart V, O’Grady J, Mirza D, Klempnauer J, Castaing D, Neuhaus P, Jamieson N, Salizzoni M, Pollard S, Lerut J, Paul A, Garcia-Valdecasas JC, Rodríguez FS, Burroughs A. Evolution of indications and results of liver transplantation in Europe. </w:t>
      </w:r>
      <w:proofErr w:type="gramStart"/>
      <w:r w:rsidRPr="005C657C">
        <w:rPr>
          <w:color w:val="000000"/>
          <w:spacing w:val="-1"/>
          <w:kern w:val="0"/>
          <w:sz w:val="16"/>
          <w:szCs w:val="16"/>
        </w:rPr>
        <w:t>A report from the European Liver Transplant Registry (ELTR).</w:t>
      </w:r>
      <w:proofErr w:type="gramEnd"/>
      <w:r w:rsidRPr="005C657C">
        <w:rPr>
          <w:color w:val="000000"/>
          <w:spacing w:val="-1"/>
          <w:kern w:val="0"/>
          <w:sz w:val="16"/>
          <w:szCs w:val="16"/>
        </w:rPr>
        <w:t xml:space="preserve"> </w:t>
      </w:r>
      <w:r w:rsidRPr="005C657C">
        <w:rPr>
          <w:i/>
          <w:iCs/>
          <w:color w:val="000000"/>
          <w:spacing w:val="-1"/>
          <w:kern w:val="0"/>
          <w:sz w:val="16"/>
          <w:szCs w:val="16"/>
        </w:rPr>
        <w:t>J Hepatol</w:t>
      </w:r>
      <w:r w:rsidRPr="005C657C">
        <w:rPr>
          <w:color w:val="000000"/>
          <w:spacing w:val="-1"/>
          <w:kern w:val="0"/>
          <w:sz w:val="16"/>
          <w:szCs w:val="16"/>
        </w:rPr>
        <w:t xml:space="preserve"> 2012; </w:t>
      </w:r>
      <w:r w:rsidRPr="005C657C">
        <w:rPr>
          <w:b/>
          <w:bCs/>
          <w:color w:val="000000"/>
          <w:spacing w:val="-1"/>
          <w:kern w:val="0"/>
          <w:sz w:val="16"/>
          <w:szCs w:val="16"/>
        </w:rPr>
        <w:t>57</w:t>
      </w:r>
      <w:r w:rsidRPr="005C657C">
        <w:rPr>
          <w:color w:val="000000"/>
          <w:spacing w:val="-1"/>
          <w:kern w:val="0"/>
          <w:sz w:val="16"/>
          <w:szCs w:val="16"/>
        </w:rPr>
        <w:t>: 675-688 [PMID: 22609307 DOI: 10.1016/j.jhep.2012.04.015]</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28</w:t>
      </w:r>
      <w:r w:rsidRPr="005C657C">
        <w:rPr>
          <w:color w:val="000000"/>
          <w:spacing w:val="-1"/>
          <w:kern w:val="0"/>
          <w:sz w:val="16"/>
          <w:szCs w:val="16"/>
        </w:rPr>
        <w:tab/>
      </w:r>
      <w:r w:rsidRPr="005C657C">
        <w:rPr>
          <w:b/>
          <w:bCs/>
          <w:color w:val="000000"/>
          <w:spacing w:val="-1"/>
          <w:kern w:val="0"/>
          <w:sz w:val="16"/>
          <w:szCs w:val="16"/>
        </w:rPr>
        <w:t>Lucey MR</w:t>
      </w:r>
      <w:r w:rsidRPr="005C657C">
        <w:rPr>
          <w:color w:val="000000"/>
          <w:spacing w:val="-1"/>
          <w:kern w:val="0"/>
          <w:sz w:val="16"/>
          <w:szCs w:val="16"/>
        </w:rPr>
        <w:t xml:space="preserve">, Terrault N, Ojo L, Hay JE, Neuberger J, Blumberg E, Teperman LW. Long-term management of the successful adult liver transplant: 2012 practice guideline by the American Association for the Study of Liver Diseases and the American Society of Transplantation. </w:t>
      </w:r>
      <w:r w:rsidRPr="005C657C">
        <w:rPr>
          <w:i/>
          <w:iCs/>
          <w:color w:val="000000"/>
          <w:spacing w:val="-1"/>
          <w:kern w:val="0"/>
          <w:sz w:val="16"/>
          <w:szCs w:val="16"/>
        </w:rPr>
        <w:t>Liver Transpl</w:t>
      </w:r>
      <w:r w:rsidRPr="005C657C">
        <w:rPr>
          <w:color w:val="000000"/>
          <w:spacing w:val="-1"/>
          <w:kern w:val="0"/>
          <w:sz w:val="16"/>
          <w:szCs w:val="16"/>
        </w:rPr>
        <w:t xml:space="preserve"> 2013; </w:t>
      </w:r>
      <w:r w:rsidRPr="005C657C">
        <w:rPr>
          <w:b/>
          <w:bCs/>
          <w:color w:val="000000"/>
          <w:spacing w:val="-1"/>
          <w:kern w:val="0"/>
          <w:sz w:val="16"/>
          <w:szCs w:val="16"/>
        </w:rPr>
        <w:t>19</w:t>
      </w:r>
      <w:r w:rsidRPr="005C657C">
        <w:rPr>
          <w:color w:val="000000"/>
          <w:spacing w:val="-1"/>
          <w:kern w:val="0"/>
          <w:sz w:val="16"/>
          <w:szCs w:val="16"/>
        </w:rPr>
        <w:t>: 3-26 [PMID: 23281277 DOI: 10.1002/lt.23566]</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5C657C">
        <w:rPr>
          <w:color w:val="000000"/>
          <w:spacing w:val="-1"/>
          <w:kern w:val="0"/>
          <w:sz w:val="16"/>
          <w:szCs w:val="16"/>
        </w:rPr>
        <w:t>29</w:t>
      </w:r>
      <w:r w:rsidRPr="005C657C">
        <w:rPr>
          <w:color w:val="000000"/>
          <w:spacing w:val="-1"/>
          <w:kern w:val="0"/>
          <w:sz w:val="16"/>
          <w:szCs w:val="16"/>
        </w:rPr>
        <w:tab/>
      </w:r>
      <w:r w:rsidRPr="005C657C">
        <w:rPr>
          <w:b/>
          <w:bCs/>
          <w:color w:val="000000"/>
          <w:spacing w:val="-1"/>
          <w:kern w:val="0"/>
          <w:sz w:val="16"/>
          <w:szCs w:val="16"/>
        </w:rPr>
        <w:t>Everhart JE</w:t>
      </w:r>
      <w:r w:rsidRPr="005C657C">
        <w:rPr>
          <w:color w:val="000000"/>
          <w:spacing w:val="-1"/>
          <w:kern w:val="0"/>
          <w:sz w:val="16"/>
          <w:szCs w:val="16"/>
        </w:rPr>
        <w:t>, Lombardero M, Lake JR, Wiesner RH, Zetterman RK, Hoofnagle JH.</w:t>
      </w:r>
      <w:proofErr w:type="gramEnd"/>
      <w:r w:rsidRPr="005C657C">
        <w:rPr>
          <w:color w:val="000000"/>
          <w:spacing w:val="-1"/>
          <w:kern w:val="0"/>
          <w:sz w:val="16"/>
          <w:szCs w:val="16"/>
        </w:rPr>
        <w:t xml:space="preserve"> </w:t>
      </w:r>
      <w:proofErr w:type="gramStart"/>
      <w:r w:rsidRPr="005C657C">
        <w:rPr>
          <w:color w:val="000000"/>
          <w:spacing w:val="-1"/>
          <w:kern w:val="0"/>
          <w:sz w:val="16"/>
          <w:szCs w:val="16"/>
        </w:rPr>
        <w:t>Weight change and obesity after liver transplantation: incidence and risk factors.</w:t>
      </w:r>
      <w:proofErr w:type="gramEnd"/>
      <w:r w:rsidRPr="005C657C">
        <w:rPr>
          <w:color w:val="000000"/>
          <w:spacing w:val="-1"/>
          <w:kern w:val="0"/>
          <w:sz w:val="16"/>
          <w:szCs w:val="16"/>
        </w:rPr>
        <w:t xml:space="preserve"> </w:t>
      </w:r>
      <w:r w:rsidRPr="005C657C">
        <w:rPr>
          <w:i/>
          <w:iCs/>
          <w:color w:val="000000"/>
          <w:spacing w:val="-1"/>
          <w:kern w:val="0"/>
          <w:sz w:val="16"/>
          <w:szCs w:val="16"/>
        </w:rPr>
        <w:t>Liver Transpl Surg</w:t>
      </w:r>
      <w:r w:rsidRPr="005C657C">
        <w:rPr>
          <w:color w:val="000000"/>
          <w:spacing w:val="-1"/>
          <w:kern w:val="0"/>
          <w:sz w:val="16"/>
          <w:szCs w:val="16"/>
        </w:rPr>
        <w:t xml:space="preserve"> 1998; </w:t>
      </w:r>
      <w:r w:rsidRPr="005C657C">
        <w:rPr>
          <w:b/>
          <w:bCs/>
          <w:color w:val="000000"/>
          <w:spacing w:val="-1"/>
          <w:kern w:val="0"/>
          <w:sz w:val="16"/>
          <w:szCs w:val="16"/>
        </w:rPr>
        <w:t>4</w:t>
      </w:r>
      <w:r w:rsidRPr="005C657C">
        <w:rPr>
          <w:color w:val="000000"/>
          <w:spacing w:val="-1"/>
          <w:kern w:val="0"/>
          <w:sz w:val="16"/>
          <w:szCs w:val="16"/>
        </w:rPr>
        <w:t>: 285-296 [PMID: 9649642]</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30</w:t>
      </w:r>
      <w:r w:rsidRPr="005C657C">
        <w:rPr>
          <w:color w:val="000000"/>
          <w:spacing w:val="-1"/>
          <w:kern w:val="0"/>
          <w:sz w:val="16"/>
          <w:szCs w:val="16"/>
        </w:rPr>
        <w:tab/>
      </w:r>
      <w:r w:rsidRPr="005C657C">
        <w:rPr>
          <w:b/>
          <w:bCs/>
          <w:color w:val="000000"/>
          <w:spacing w:val="-1"/>
          <w:kern w:val="0"/>
          <w:sz w:val="16"/>
          <w:szCs w:val="16"/>
        </w:rPr>
        <w:t>Watt KD</w:t>
      </w:r>
      <w:r w:rsidRPr="005C657C">
        <w:rPr>
          <w:color w:val="000000"/>
          <w:spacing w:val="-1"/>
          <w:kern w:val="0"/>
          <w:sz w:val="16"/>
          <w:szCs w:val="16"/>
        </w:rPr>
        <w:t xml:space="preserve">, Pedersen RA, Kremers WK, Heimbach JK, Charlton MR. Evolution of causes and risk factors for mortality post-liver transplant: results of the NIDDK long-term follow-up study. </w:t>
      </w:r>
      <w:r w:rsidRPr="005C657C">
        <w:rPr>
          <w:i/>
          <w:iCs/>
          <w:color w:val="000000"/>
          <w:spacing w:val="-1"/>
          <w:kern w:val="0"/>
          <w:sz w:val="16"/>
          <w:szCs w:val="16"/>
        </w:rPr>
        <w:t>Am J Transplant</w:t>
      </w:r>
      <w:r w:rsidRPr="005C657C">
        <w:rPr>
          <w:color w:val="000000"/>
          <w:spacing w:val="-1"/>
          <w:kern w:val="0"/>
          <w:sz w:val="16"/>
          <w:szCs w:val="16"/>
        </w:rPr>
        <w:t xml:space="preserve"> 2010; </w:t>
      </w:r>
      <w:r w:rsidRPr="005C657C">
        <w:rPr>
          <w:b/>
          <w:bCs/>
          <w:color w:val="000000"/>
          <w:spacing w:val="-1"/>
          <w:kern w:val="0"/>
          <w:sz w:val="16"/>
          <w:szCs w:val="16"/>
        </w:rPr>
        <w:t>10</w:t>
      </w:r>
      <w:r w:rsidRPr="005C657C">
        <w:rPr>
          <w:color w:val="000000"/>
          <w:spacing w:val="-1"/>
          <w:kern w:val="0"/>
          <w:sz w:val="16"/>
          <w:szCs w:val="16"/>
        </w:rPr>
        <w:t>: 1420-1427 [PMID: 20486907 DOI: 10.1111/j.1600-6143.2010.03126.x]</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31</w:t>
      </w:r>
      <w:r w:rsidRPr="005C657C">
        <w:rPr>
          <w:color w:val="000000"/>
          <w:spacing w:val="-1"/>
          <w:kern w:val="0"/>
          <w:sz w:val="16"/>
          <w:szCs w:val="16"/>
        </w:rPr>
        <w:tab/>
      </w:r>
      <w:r w:rsidRPr="005C657C">
        <w:rPr>
          <w:b/>
          <w:bCs/>
          <w:color w:val="000000"/>
          <w:spacing w:val="-1"/>
          <w:kern w:val="0"/>
          <w:sz w:val="16"/>
          <w:szCs w:val="16"/>
        </w:rPr>
        <w:t>Madhwal S</w:t>
      </w:r>
      <w:r w:rsidRPr="005C657C">
        <w:rPr>
          <w:color w:val="000000"/>
          <w:spacing w:val="-1"/>
          <w:kern w:val="0"/>
          <w:sz w:val="16"/>
          <w:szCs w:val="16"/>
        </w:rPr>
        <w:t xml:space="preserve">, Atreja A, Albeldawi M, Lopez R, Post A, Costa MA. Is liver transplantation a risk factor for cardiovascular disease? </w:t>
      </w:r>
      <w:proofErr w:type="gramStart"/>
      <w:r w:rsidRPr="005C657C">
        <w:rPr>
          <w:color w:val="000000"/>
          <w:spacing w:val="-1"/>
          <w:kern w:val="0"/>
          <w:sz w:val="16"/>
          <w:szCs w:val="16"/>
        </w:rPr>
        <w:t>A meta-analysis of observational studies.</w:t>
      </w:r>
      <w:proofErr w:type="gramEnd"/>
      <w:r w:rsidRPr="005C657C">
        <w:rPr>
          <w:color w:val="000000"/>
          <w:spacing w:val="-1"/>
          <w:kern w:val="0"/>
          <w:sz w:val="16"/>
          <w:szCs w:val="16"/>
        </w:rPr>
        <w:t xml:space="preserve"> </w:t>
      </w:r>
      <w:r w:rsidRPr="005C657C">
        <w:rPr>
          <w:i/>
          <w:iCs/>
          <w:color w:val="000000"/>
          <w:spacing w:val="-1"/>
          <w:kern w:val="0"/>
          <w:sz w:val="16"/>
          <w:szCs w:val="16"/>
        </w:rPr>
        <w:t>Liver Transpl</w:t>
      </w:r>
      <w:r w:rsidRPr="005C657C">
        <w:rPr>
          <w:color w:val="000000"/>
          <w:spacing w:val="-1"/>
          <w:kern w:val="0"/>
          <w:sz w:val="16"/>
          <w:szCs w:val="16"/>
        </w:rPr>
        <w:t xml:space="preserve"> 2012; </w:t>
      </w:r>
      <w:r w:rsidRPr="005C657C">
        <w:rPr>
          <w:b/>
          <w:bCs/>
          <w:color w:val="000000"/>
          <w:spacing w:val="-1"/>
          <w:kern w:val="0"/>
          <w:sz w:val="16"/>
          <w:szCs w:val="16"/>
        </w:rPr>
        <w:t>18</w:t>
      </w:r>
      <w:r w:rsidRPr="005C657C">
        <w:rPr>
          <w:color w:val="000000"/>
          <w:spacing w:val="-1"/>
          <w:kern w:val="0"/>
          <w:sz w:val="16"/>
          <w:szCs w:val="16"/>
        </w:rPr>
        <w:t>: 1140-1146 [PMID: 22821899 DOI: 10.1002/lt.23508]</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32</w:t>
      </w:r>
      <w:r w:rsidRPr="005C657C">
        <w:rPr>
          <w:color w:val="000000"/>
          <w:spacing w:val="-1"/>
          <w:kern w:val="0"/>
          <w:sz w:val="16"/>
          <w:szCs w:val="16"/>
        </w:rPr>
        <w:tab/>
      </w:r>
      <w:r w:rsidRPr="005C657C">
        <w:rPr>
          <w:b/>
          <w:bCs/>
          <w:color w:val="000000"/>
          <w:spacing w:val="-1"/>
          <w:kern w:val="0"/>
          <w:sz w:val="16"/>
          <w:szCs w:val="16"/>
        </w:rPr>
        <w:t>VanWagner LB</w:t>
      </w:r>
      <w:r w:rsidRPr="005C657C">
        <w:rPr>
          <w:color w:val="000000"/>
          <w:spacing w:val="-1"/>
          <w:kern w:val="0"/>
          <w:sz w:val="16"/>
          <w:szCs w:val="16"/>
        </w:rPr>
        <w:t xml:space="preserve">, Lapin B, Skaro AI, Lloyd-Jones DM, Rinella ME. </w:t>
      </w:r>
      <w:proofErr w:type="gramStart"/>
      <w:r w:rsidRPr="005C657C">
        <w:rPr>
          <w:color w:val="000000"/>
          <w:spacing w:val="-1"/>
          <w:kern w:val="0"/>
          <w:sz w:val="16"/>
          <w:szCs w:val="16"/>
        </w:rPr>
        <w:t xml:space="preserve">Impact of renal impairment on cardiovascular disease mortality after liver </w:t>
      </w:r>
      <w:r w:rsidRPr="005C657C">
        <w:rPr>
          <w:color w:val="000000"/>
          <w:spacing w:val="-1"/>
          <w:kern w:val="0"/>
          <w:sz w:val="16"/>
          <w:szCs w:val="16"/>
        </w:rPr>
        <w:lastRenderedPageBreak/>
        <w:t>transplantation for nonalcoholic steatohepatitis cirrhosis.</w:t>
      </w:r>
      <w:proofErr w:type="gramEnd"/>
      <w:r w:rsidRPr="005C657C">
        <w:rPr>
          <w:color w:val="000000"/>
          <w:spacing w:val="-1"/>
          <w:kern w:val="0"/>
          <w:sz w:val="16"/>
          <w:szCs w:val="16"/>
        </w:rPr>
        <w:t xml:space="preserve"> </w:t>
      </w:r>
      <w:r w:rsidRPr="005C657C">
        <w:rPr>
          <w:i/>
          <w:iCs/>
          <w:color w:val="000000"/>
          <w:spacing w:val="-1"/>
          <w:kern w:val="0"/>
          <w:sz w:val="16"/>
          <w:szCs w:val="16"/>
        </w:rPr>
        <w:t>Liver Int</w:t>
      </w:r>
      <w:r w:rsidRPr="005C657C">
        <w:rPr>
          <w:color w:val="000000"/>
          <w:spacing w:val="-1"/>
          <w:kern w:val="0"/>
          <w:sz w:val="16"/>
          <w:szCs w:val="16"/>
        </w:rPr>
        <w:t xml:space="preserve"> 2015; </w:t>
      </w:r>
      <w:r w:rsidRPr="005C657C">
        <w:rPr>
          <w:b/>
          <w:bCs/>
          <w:color w:val="000000"/>
          <w:spacing w:val="-1"/>
          <w:kern w:val="0"/>
          <w:sz w:val="16"/>
          <w:szCs w:val="16"/>
        </w:rPr>
        <w:t>35</w:t>
      </w:r>
      <w:r w:rsidRPr="005C657C">
        <w:rPr>
          <w:color w:val="000000"/>
          <w:spacing w:val="-1"/>
          <w:kern w:val="0"/>
          <w:sz w:val="16"/>
          <w:szCs w:val="16"/>
        </w:rPr>
        <w:t>: 2575-2583 [PMID: 25977117 DOI: 10.1111/liv.12872]</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33</w:t>
      </w:r>
      <w:r w:rsidRPr="005C657C">
        <w:rPr>
          <w:color w:val="000000"/>
          <w:spacing w:val="-1"/>
          <w:kern w:val="0"/>
          <w:sz w:val="16"/>
          <w:szCs w:val="16"/>
        </w:rPr>
        <w:tab/>
      </w:r>
      <w:r w:rsidRPr="005C657C">
        <w:rPr>
          <w:b/>
          <w:bCs/>
          <w:color w:val="000000"/>
          <w:spacing w:val="-1"/>
          <w:kern w:val="0"/>
          <w:sz w:val="16"/>
          <w:szCs w:val="16"/>
        </w:rPr>
        <w:t>Gitto S</w:t>
      </w:r>
      <w:r w:rsidRPr="005C657C">
        <w:rPr>
          <w:color w:val="000000"/>
          <w:spacing w:val="-1"/>
          <w:kern w:val="0"/>
          <w:sz w:val="16"/>
          <w:szCs w:val="16"/>
        </w:rPr>
        <w:t xml:space="preserve">, Villa E. Non-Alcoholic Fatty Liver Disease and Metabolic Syndrome after Liver Transplant. </w:t>
      </w:r>
      <w:r w:rsidRPr="005C657C">
        <w:rPr>
          <w:i/>
          <w:iCs/>
          <w:color w:val="000000"/>
          <w:spacing w:val="-1"/>
          <w:kern w:val="0"/>
          <w:sz w:val="16"/>
          <w:szCs w:val="16"/>
        </w:rPr>
        <w:t>Int J Mol Sci</w:t>
      </w:r>
      <w:r w:rsidRPr="005C657C">
        <w:rPr>
          <w:color w:val="000000"/>
          <w:spacing w:val="-1"/>
          <w:kern w:val="0"/>
          <w:sz w:val="16"/>
          <w:szCs w:val="16"/>
        </w:rPr>
        <w:t xml:space="preserve"> 2016; </w:t>
      </w:r>
      <w:r w:rsidRPr="005C657C">
        <w:rPr>
          <w:b/>
          <w:bCs/>
          <w:color w:val="000000"/>
          <w:spacing w:val="-1"/>
          <w:kern w:val="0"/>
          <w:sz w:val="16"/>
          <w:szCs w:val="16"/>
        </w:rPr>
        <w:t>17</w:t>
      </w:r>
      <w:r w:rsidRPr="005C657C">
        <w:rPr>
          <w:color w:val="000000"/>
          <w:spacing w:val="-1"/>
          <w:kern w:val="0"/>
          <w:sz w:val="16"/>
          <w:szCs w:val="16"/>
        </w:rPr>
        <w:t>: 490 [PMID: 27049380 DOI: 10.3390/ijms17040490]</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34</w:t>
      </w:r>
      <w:r w:rsidRPr="005C657C">
        <w:rPr>
          <w:color w:val="000000"/>
          <w:spacing w:val="-1"/>
          <w:kern w:val="0"/>
          <w:sz w:val="16"/>
          <w:szCs w:val="16"/>
        </w:rPr>
        <w:tab/>
      </w:r>
      <w:r w:rsidRPr="005C657C">
        <w:rPr>
          <w:b/>
          <w:bCs/>
          <w:color w:val="000000"/>
          <w:spacing w:val="-1"/>
          <w:kern w:val="0"/>
          <w:sz w:val="16"/>
          <w:szCs w:val="16"/>
        </w:rPr>
        <w:t>Davis CL</w:t>
      </w:r>
      <w:r w:rsidRPr="005C657C">
        <w:rPr>
          <w:color w:val="000000"/>
          <w:spacing w:val="-1"/>
          <w:kern w:val="0"/>
          <w:sz w:val="16"/>
          <w:szCs w:val="16"/>
        </w:rPr>
        <w:t xml:space="preserve">, Gonwa TA, Wilkinson AH. Pathophysiology of renal disease associated with liver disorders: implications for liver transplantation. Part I. </w:t>
      </w:r>
      <w:r w:rsidRPr="005C657C">
        <w:rPr>
          <w:i/>
          <w:iCs/>
          <w:color w:val="000000"/>
          <w:spacing w:val="-1"/>
          <w:kern w:val="0"/>
          <w:sz w:val="16"/>
          <w:szCs w:val="16"/>
        </w:rPr>
        <w:t>Liver Transpl</w:t>
      </w:r>
      <w:r w:rsidRPr="005C657C">
        <w:rPr>
          <w:color w:val="000000"/>
          <w:spacing w:val="-1"/>
          <w:kern w:val="0"/>
          <w:sz w:val="16"/>
          <w:szCs w:val="16"/>
        </w:rPr>
        <w:t xml:space="preserve"> 2002; </w:t>
      </w:r>
      <w:r w:rsidRPr="005C657C">
        <w:rPr>
          <w:b/>
          <w:bCs/>
          <w:color w:val="000000"/>
          <w:spacing w:val="-1"/>
          <w:kern w:val="0"/>
          <w:sz w:val="16"/>
          <w:szCs w:val="16"/>
        </w:rPr>
        <w:t>8</w:t>
      </w:r>
      <w:r w:rsidRPr="005C657C">
        <w:rPr>
          <w:color w:val="000000"/>
          <w:spacing w:val="-1"/>
          <w:kern w:val="0"/>
          <w:sz w:val="16"/>
          <w:szCs w:val="16"/>
        </w:rPr>
        <w:t>: 91-109 [PMID: 11862584 DOI: 10.1053/jlts.2002.31516]</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35</w:t>
      </w:r>
      <w:r w:rsidRPr="005C657C">
        <w:rPr>
          <w:color w:val="000000"/>
          <w:spacing w:val="-1"/>
          <w:kern w:val="0"/>
          <w:sz w:val="16"/>
          <w:szCs w:val="16"/>
        </w:rPr>
        <w:tab/>
      </w:r>
      <w:r w:rsidRPr="005C657C">
        <w:rPr>
          <w:b/>
          <w:bCs/>
          <w:color w:val="000000"/>
          <w:spacing w:val="-1"/>
          <w:kern w:val="0"/>
          <w:sz w:val="16"/>
          <w:szCs w:val="16"/>
        </w:rPr>
        <w:t>Baid S</w:t>
      </w:r>
      <w:r w:rsidRPr="005C657C">
        <w:rPr>
          <w:color w:val="000000"/>
          <w:spacing w:val="-1"/>
          <w:kern w:val="0"/>
          <w:sz w:val="16"/>
          <w:szCs w:val="16"/>
        </w:rPr>
        <w:t xml:space="preserve">, Cosimi AB, Farrell ML, Schoenfeld DA, Feng S, Chung RT, Tolkoff-Rubin N, Pascual M. Posttransplant diabetes mellitus in liver transplant recipients: risk factors, temporal relationship with hepatitis C virus allograft hepatitis, and impact on mortality. </w:t>
      </w:r>
      <w:r w:rsidRPr="005C657C">
        <w:rPr>
          <w:i/>
          <w:iCs/>
          <w:color w:val="000000"/>
          <w:spacing w:val="-1"/>
          <w:kern w:val="0"/>
          <w:sz w:val="16"/>
          <w:szCs w:val="16"/>
        </w:rPr>
        <w:t>Transplantation</w:t>
      </w:r>
      <w:r w:rsidRPr="005C657C">
        <w:rPr>
          <w:color w:val="000000"/>
          <w:spacing w:val="-1"/>
          <w:kern w:val="0"/>
          <w:sz w:val="16"/>
          <w:szCs w:val="16"/>
        </w:rPr>
        <w:t xml:space="preserve"> 2001; </w:t>
      </w:r>
      <w:r w:rsidRPr="005C657C">
        <w:rPr>
          <w:b/>
          <w:bCs/>
          <w:color w:val="000000"/>
          <w:spacing w:val="-1"/>
          <w:kern w:val="0"/>
          <w:sz w:val="16"/>
          <w:szCs w:val="16"/>
        </w:rPr>
        <w:t>72</w:t>
      </w:r>
      <w:r w:rsidRPr="005C657C">
        <w:rPr>
          <w:color w:val="000000"/>
          <w:spacing w:val="-1"/>
          <w:kern w:val="0"/>
          <w:sz w:val="16"/>
          <w:szCs w:val="16"/>
        </w:rPr>
        <w:t>: 1066-1072 [PMID: 11579302]</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36</w:t>
      </w:r>
      <w:r w:rsidRPr="005C657C">
        <w:rPr>
          <w:color w:val="000000"/>
          <w:spacing w:val="-1"/>
          <w:kern w:val="0"/>
          <w:sz w:val="16"/>
          <w:szCs w:val="16"/>
        </w:rPr>
        <w:tab/>
      </w:r>
      <w:r w:rsidRPr="005C657C">
        <w:rPr>
          <w:b/>
          <w:bCs/>
          <w:color w:val="000000"/>
          <w:spacing w:val="-1"/>
          <w:kern w:val="0"/>
          <w:sz w:val="16"/>
          <w:szCs w:val="16"/>
        </w:rPr>
        <w:t>Rodríguez-Perálvarez M</w:t>
      </w:r>
      <w:r w:rsidRPr="005C657C">
        <w:rPr>
          <w:color w:val="000000"/>
          <w:spacing w:val="-1"/>
          <w:kern w:val="0"/>
          <w:sz w:val="16"/>
          <w:szCs w:val="16"/>
        </w:rPr>
        <w:t xml:space="preserve">, Germani G, Papastergiou V, Tsochatzis E, Thalassinos E, Luong TV, Rolando N, Dhillon AP, Patch D, O’Beirne J, Thorburn D, Burroughs AK. Early tacrolimus exposure after liver transplantation: relationship with moderate/severe acute rejection and long-term outcome. </w:t>
      </w:r>
      <w:r w:rsidRPr="005C657C">
        <w:rPr>
          <w:i/>
          <w:iCs/>
          <w:color w:val="000000"/>
          <w:spacing w:val="-1"/>
          <w:kern w:val="0"/>
          <w:sz w:val="16"/>
          <w:szCs w:val="16"/>
        </w:rPr>
        <w:t>J Hepatol</w:t>
      </w:r>
      <w:r w:rsidRPr="005C657C">
        <w:rPr>
          <w:color w:val="000000"/>
          <w:spacing w:val="-1"/>
          <w:kern w:val="0"/>
          <w:sz w:val="16"/>
          <w:szCs w:val="16"/>
        </w:rPr>
        <w:t xml:space="preserve"> 2013; </w:t>
      </w:r>
      <w:r w:rsidRPr="005C657C">
        <w:rPr>
          <w:b/>
          <w:bCs/>
          <w:color w:val="000000"/>
          <w:spacing w:val="-1"/>
          <w:kern w:val="0"/>
          <w:sz w:val="16"/>
          <w:szCs w:val="16"/>
        </w:rPr>
        <w:t>58</w:t>
      </w:r>
      <w:r w:rsidRPr="005C657C">
        <w:rPr>
          <w:color w:val="000000"/>
          <w:spacing w:val="-1"/>
          <w:kern w:val="0"/>
          <w:sz w:val="16"/>
          <w:szCs w:val="16"/>
        </w:rPr>
        <w:t>: 262-270 [PMID: 23023010 DOI: 10.1016/j.jhep.2012.09.019]</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37</w:t>
      </w:r>
      <w:r w:rsidRPr="005C657C">
        <w:rPr>
          <w:color w:val="000000"/>
          <w:spacing w:val="-1"/>
          <w:kern w:val="0"/>
          <w:sz w:val="16"/>
          <w:szCs w:val="16"/>
        </w:rPr>
        <w:tab/>
      </w:r>
      <w:r w:rsidRPr="005C657C">
        <w:rPr>
          <w:b/>
          <w:bCs/>
          <w:color w:val="000000"/>
          <w:spacing w:val="-1"/>
          <w:kern w:val="0"/>
          <w:sz w:val="16"/>
          <w:szCs w:val="16"/>
        </w:rPr>
        <w:t>Rabkin JM</w:t>
      </w:r>
      <w:r w:rsidRPr="005C657C">
        <w:rPr>
          <w:color w:val="000000"/>
          <w:spacing w:val="-1"/>
          <w:kern w:val="0"/>
          <w:sz w:val="16"/>
          <w:szCs w:val="16"/>
        </w:rPr>
        <w:t xml:space="preserve">, Corless CL, Rosen HR, Olyaei AJ. </w:t>
      </w:r>
      <w:proofErr w:type="gramStart"/>
      <w:r w:rsidRPr="005C657C">
        <w:rPr>
          <w:color w:val="000000"/>
          <w:spacing w:val="-1"/>
          <w:kern w:val="0"/>
          <w:sz w:val="16"/>
          <w:szCs w:val="16"/>
        </w:rPr>
        <w:t>Immuno</w:t>
      </w:r>
      <w:r w:rsidRPr="005C657C">
        <w:rPr>
          <w:color w:val="000000"/>
          <w:spacing w:val="-1"/>
          <w:kern w:val="0"/>
          <w:sz w:val="16"/>
          <w:szCs w:val="16"/>
        </w:rPr>
        <w:softHyphen/>
        <w:t>suppression impact on long-term cardiovascular complications after liver transplantation.</w:t>
      </w:r>
      <w:proofErr w:type="gramEnd"/>
      <w:r w:rsidRPr="005C657C">
        <w:rPr>
          <w:color w:val="000000"/>
          <w:spacing w:val="-1"/>
          <w:kern w:val="0"/>
          <w:sz w:val="16"/>
          <w:szCs w:val="16"/>
        </w:rPr>
        <w:t xml:space="preserve"> </w:t>
      </w:r>
      <w:r w:rsidRPr="005C657C">
        <w:rPr>
          <w:i/>
          <w:iCs/>
          <w:color w:val="000000"/>
          <w:spacing w:val="-1"/>
          <w:kern w:val="0"/>
          <w:sz w:val="16"/>
          <w:szCs w:val="16"/>
        </w:rPr>
        <w:t>Am J Surg</w:t>
      </w:r>
      <w:r w:rsidRPr="005C657C">
        <w:rPr>
          <w:color w:val="000000"/>
          <w:spacing w:val="-1"/>
          <w:kern w:val="0"/>
          <w:sz w:val="16"/>
          <w:szCs w:val="16"/>
        </w:rPr>
        <w:t xml:space="preserve"> 2002; </w:t>
      </w:r>
      <w:r w:rsidRPr="005C657C">
        <w:rPr>
          <w:b/>
          <w:bCs/>
          <w:color w:val="000000"/>
          <w:spacing w:val="-1"/>
          <w:kern w:val="0"/>
          <w:sz w:val="16"/>
          <w:szCs w:val="16"/>
        </w:rPr>
        <w:t>183</w:t>
      </w:r>
      <w:r w:rsidRPr="005C657C">
        <w:rPr>
          <w:color w:val="000000"/>
          <w:spacing w:val="-1"/>
          <w:kern w:val="0"/>
          <w:sz w:val="16"/>
          <w:szCs w:val="16"/>
        </w:rPr>
        <w:t>: 595-599 [PMID: 12034401]</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2"/>
          <w:kern w:val="0"/>
          <w:sz w:val="16"/>
          <w:szCs w:val="16"/>
        </w:rPr>
      </w:pPr>
      <w:r w:rsidRPr="005C657C">
        <w:rPr>
          <w:color w:val="000000"/>
          <w:spacing w:val="-1"/>
          <w:kern w:val="0"/>
          <w:sz w:val="16"/>
          <w:szCs w:val="16"/>
        </w:rPr>
        <w:t>38</w:t>
      </w:r>
      <w:r w:rsidRPr="005C657C">
        <w:rPr>
          <w:color w:val="000000"/>
          <w:spacing w:val="-1"/>
          <w:kern w:val="0"/>
          <w:sz w:val="16"/>
          <w:szCs w:val="16"/>
        </w:rPr>
        <w:tab/>
      </w:r>
      <w:r w:rsidRPr="005C657C">
        <w:rPr>
          <w:b/>
          <w:bCs/>
          <w:color w:val="000000"/>
          <w:spacing w:val="-2"/>
          <w:kern w:val="0"/>
          <w:sz w:val="16"/>
          <w:szCs w:val="16"/>
        </w:rPr>
        <w:t>Dureja P</w:t>
      </w:r>
      <w:r w:rsidRPr="005C657C">
        <w:rPr>
          <w:color w:val="000000"/>
          <w:spacing w:val="-2"/>
          <w:kern w:val="0"/>
          <w:sz w:val="16"/>
          <w:szCs w:val="16"/>
        </w:rPr>
        <w:t xml:space="preserve">, Mellinger J, Agni R, Chang F, Avey G, Lucey M, Said A. NAFLD recurrence in liver transplant recipients. </w:t>
      </w:r>
      <w:r w:rsidRPr="005C657C">
        <w:rPr>
          <w:i/>
          <w:iCs/>
          <w:color w:val="000000"/>
          <w:spacing w:val="-2"/>
          <w:kern w:val="0"/>
          <w:sz w:val="16"/>
          <w:szCs w:val="16"/>
        </w:rPr>
        <w:t>Transplantation</w:t>
      </w:r>
      <w:r w:rsidRPr="005C657C">
        <w:rPr>
          <w:color w:val="000000"/>
          <w:spacing w:val="-2"/>
          <w:kern w:val="0"/>
          <w:sz w:val="16"/>
          <w:szCs w:val="16"/>
        </w:rPr>
        <w:t xml:space="preserve"> 2011; </w:t>
      </w:r>
      <w:r w:rsidRPr="005C657C">
        <w:rPr>
          <w:b/>
          <w:bCs/>
          <w:color w:val="000000"/>
          <w:spacing w:val="-2"/>
          <w:kern w:val="0"/>
          <w:sz w:val="16"/>
          <w:szCs w:val="16"/>
        </w:rPr>
        <w:t>91</w:t>
      </w:r>
      <w:r w:rsidRPr="005C657C">
        <w:rPr>
          <w:color w:val="000000"/>
          <w:spacing w:val="-2"/>
          <w:kern w:val="0"/>
          <w:sz w:val="16"/>
          <w:szCs w:val="16"/>
        </w:rPr>
        <w:t>: 684-689 [PMID: 21248661 DOI: 10.1097/TP.0b01 3e31820b6b84]</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39</w:t>
      </w:r>
      <w:r w:rsidRPr="005C657C">
        <w:rPr>
          <w:color w:val="000000"/>
          <w:spacing w:val="-1"/>
          <w:kern w:val="0"/>
          <w:sz w:val="16"/>
          <w:szCs w:val="16"/>
        </w:rPr>
        <w:tab/>
      </w:r>
      <w:r w:rsidRPr="005C657C">
        <w:rPr>
          <w:b/>
          <w:bCs/>
          <w:color w:val="000000"/>
          <w:spacing w:val="-1"/>
          <w:kern w:val="0"/>
          <w:sz w:val="16"/>
          <w:szCs w:val="16"/>
        </w:rPr>
        <w:t>Yalamanchili K</w:t>
      </w:r>
      <w:r w:rsidRPr="005C657C">
        <w:rPr>
          <w:color w:val="000000"/>
          <w:spacing w:val="-1"/>
          <w:kern w:val="0"/>
          <w:sz w:val="16"/>
          <w:szCs w:val="16"/>
        </w:rPr>
        <w:t xml:space="preserve">, Saadeh S, Klintmalm GB, Jennings LW, Davis GL. Nonalcoholic fatty liver disease after liver transplantation for cryptogenic cirrhosis or nonalcoholic fatty liver disease. </w:t>
      </w:r>
      <w:r w:rsidRPr="005C657C">
        <w:rPr>
          <w:i/>
          <w:iCs/>
          <w:color w:val="000000"/>
          <w:spacing w:val="-1"/>
          <w:kern w:val="0"/>
          <w:sz w:val="16"/>
          <w:szCs w:val="16"/>
        </w:rPr>
        <w:t>Liver Transpl</w:t>
      </w:r>
      <w:r w:rsidRPr="005C657C">
        <w:rPr>
          <w:color w:val="000000"/>
          <w:spacing w:val="-1"/>
          <w:kern w:val="0"/>
          <w:sz w:val="16"/>
          <w:szCs w:val="16"/>
        </w:rPr>
        <w:t xml:space="preserve"> 2010; </w:t>
      </w:r>
      <w:r w:rsidRPr="005C657C">
        <w:rPr>
          <w:b/>
          <w:bCs/>
          <w:color w:val="000000"/>
          <w:spacing w:val="-1"/>
          <w:kern w:val="0"/>
          <w:sz w:val="16"/>
          <w:szCs w:val="16"/>
        </w:rPr>
        <w:t>16</w:t>
      </w:r>
      <w:r w:rsidRPr="005C657C">
        <w:rPr>
          <w:color w:val="000000"/>
          <w:spacing w:val="-1"/>
          <w:kern w:val="0"/>
          <w:sz w:val="16"/>
          <w:szCs w:val="16"/>
        </w:rPr>
        <w:t>: 431-439 [PMID: 20373454 DOI: 10.1002/lt.22004]</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40</w:t>
      </w:r>
      <w:r w:rsidRPr="005C657C">
        <w:rPr>
          <w:color w:val="000000"/>
          <w:spacing w:val="-1"/>
          <w:kern w:val="0"/>
          <w:sz w:val="16"/>
          <w:szCs w:val="16"/>
        </w:rPr>
        <w:tab/>
      </w:r>
      <w:r w:rsidRPr="005C657C">
        <w:rPr>
          <w:b/>
          <w:bCs/>
          <w:color w:val="000000"/>
          <w:spacing w:val="-1"/>
          <w:kern w:val="0"/>
          <w:sz w:val="16"/>
          <w:szCs w:val="16"/>
        </w:rPr>
        <w:t>VanWagner LB</w:t>
      </w:r>
      <w:r w:rsidRPr="005C657C">
        <w:rPr>
          <w:color w:val="000000"/>
          <w:spacing w:val="-1"/>
          <w:kern w:val="0"/>
          <w:sz w:val="16"/>
          <w:szCs w:val="16"/>
        </w:rPr>
        <w:t xml:space="preserve">, Wilcox JE, Colangelo LA, Lloyd-Jones DM, Carr JJ, Lima JA, Lewis CE, Rinella ME, Shah SJ. Association of nonalcoholic fatty liver disease with subclinical myocardial remodeling and dysfunction: A population-based study. </w:t>
      </w:r>
      <w:r w:rsidRPr="005C657C">
        <w:rPr>
          <w:i/>
          <w:iCs/>
          <w:color w:val="000000"/>
          <w:spacing w:val="-1"/>
          <w:kern w:val="0"/>
          <w:sz w:val="16"/>
          <w:szCs w:val="16"/>
        </w:rPr>
        <w:t>Hepatology</w:t>
      </w:r>
      <w:r w:rsidRPr="005C657C">
        <w:rPr>
          <w:color w:val="000000"/>
          <w:spacing w:val="-1"/>
          <w:kern w:val="0"/>
          <w:sz w:val="16"/>
          <w:szCs w:val="16"/>
        </w:rPr>
        <w:t xml:space="preserve"> 2015; </w:t>
      </w:r>
      <w:r w:rsidRPr="005C657C">
        <w:rPr>
          <w:b/>
          <w:bCs/>
          <w:color w:val="000000"/>
          <w:spacing w:val="-1"/>
          <w:kern w:val="0"/>
          <w:sz w:val="16"/>
          <w:szCs w:val="16"/>
        </w:rPr>
        <w:t>62</w:t>
      </w:r>
      <w:r w:rsidRPr="005C657C">
        <w:rPr>
          <w:color w:val="000000"/>
          <w:spacing w:val="-1"/>
          <w:kern w:val="0"/>
          <w:sz w:val="16"/>
          <w:szCs w:val="16"/>
        </w:rPr>
        <w:t>: 773-783 [PMID: 25914296 DOI: 10.1002/hep.27869]</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41</w:t>
      </w:r>
      <w:r w:rsidRPr="005C657C">
        <w:rPr>
          <w:color w:val="000000"/>
          <w:spacing w:val="-1"/>
          <w:kern w:val="0"/>
          <w:sz w:val="16"/>
          <w:szCs w:val="16"/>
        </w:rPr>
        <w:tab/>
      </w:r>
      <w:r w:rsidRPr="005C657C">
        <w:rPr>
          <w:b/>
          <w:bCs/>
          <w:color w:val="000000"/>
          <w:spacing w:val="-1"/>
          <w:kern w:val="0"/>
          <w:sz w:val="16"/>
          <w:szCs w:val="16"/>
        </w:rPr>
        <w:t>Wang X</w:t>
      </w:r>
      <w:r w:rsidRPr="005C657C">
        <w:rPr>
          <w:color w:val="000000"/>
          <w:spacing w:val="-1"/>
          <w:kern w:val="0"/>
          <w:sz w:val="16"/>
          <w:szCs w:val="16"/>
        </w:rPr>
        <w:t xml:space="preserve">, Li J, Riaz DR, Shi G, Liu C, Dai Y. Outcomes of liver transplantation for nonalcoholic steatohepatitis: a systematic review and meta-analysis. </w:t>
      </w:r>
      <w:r w:rsidRPr="005C657C">
        <w:rPr>
          <w:i/>
          <w:iCs/>
          <w:color w:val="000000"/>
          <w:spacing w:val="-1"/>
          <w:kern w:val="0"/>
          <w:sz w:val="16"/>
          <w:szCs w:val="16"/>
        </w:rPr>
        <w:t>Clin Gastroenterol Hepatol</w:t>
      </w:r>
      <w:r w:rsidRPr="005C657C">
        <w:rPr>
          <w:color w:val="000000"/>
          <w:spacing w:val="-1"/>
          <w:kern w:val="0"/>
          <w:sz w:val="16"/>
          <w:szCs w:val="16"/>
        </w:rPr>
        <w:t xml:space="preserve"> 2014; </w:t>
      </w:r>
      <w:r w:rsidRPr="005C657C">
        <w:rPr>
          <w:b/>
          <w:bCs/>
          <w:color w:val="000000"/>
          <w:spacing w:val="-1"/>
          <w:kern w:val="0"/>
          <w:sz w:val="16"/>
          <w:szCs w:val="16"/>
        </w:rPr>
        <w:t>12</w:t>
      </w:r>
      <w:r w:rsidRPr="005C657C">
        <w:rPr>
          <w:color w:val="000000"/>
          <w:spacing w:val="-1"/>
          <w:kern w:val="0"/>
          <w:sz w:val="16"/>
          <w:szCs w:val="16"/>
        </w:rPr>
        <w:t>: 394-402.e1 [PMID: 24076414 DOI: 10.1016/j.cgh.2013.09.023]</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42</w:t>
      </w:r>
      <w:r w:rsidRPr="005C657C">
        <w:rPr>
          <w:color w:val="000000"/>
          <w:spacing w:val="-1"/>
          <w:kern w:val="0"/>
          <w:sz w:val="16"/>
          <w:szCs w:val="16"/>
        </w:rPr>
        <w:tab/>
      </w:r>
      <w:r w:rsidRPr="005C657C">
        <w:rPr>
          <w:b/>
          <w:bCs/>
          <w:color w:val="000000"/>
          <w:spacing w:val="-1"/>
          <w:kern w:val="0"/>
          <w:sz w:val="16"/>
          <w:szCs w:val="16"/>
        </w:rPr>
        <w:t>Malhi H</w:t>
      </w:r>
      <w:r w:rsidRPr="005C657C">
        <w:rPr>
          <w:color w:val="000000"/>
          <w:spacing w:val="-1"/>
          <w:kern w:val="0"/>
          <w:sz w:val="16"/>
          <w:szCs w:val="16"/>
        </w:rPr>
        <w:t xml:space="preserve">, Allen </w:t>
      </w:r>
      <w:proofErr w:type="gramStart"/>
      <w:r w:rsidRPr="005C657C">
        <w:rPr>
          <w:color w:val="000000"/>
          <w:spacing w:val="-1"/>
          <w:kern w:val="0"/>
          <w:sz w:val="16"/>
          <w:szCs w:val="16"/>
        </w:rPr>
        <w:t>AM</w:t>
      </w:r>
      <w:proofErr w:type="gramEnd"/>
      <w:r w:rsidRPr="005C657C">
        <w:rPr>
          <w:color w:val="000000"/>
          <w:spacing w:val="-1"/>
          <w:kern w:val="0"/>
          <w:sz w:val="16"/>
          <w:szCs w:val="16"/>
        </w:rPr>
        <w:t xml:space="preserve">, Watt KD. Nonalcoholic fatty liver: optimizing pretransplant selection and posttransplant care to maximize survival. </w:t>
      </w:r>
      <w:r w:rsidRPr="005C657C">
        <w:rPr>
          <w:i/>
          <w:iCs/>
          <w:color w:val="000000"/>
          <w:spacing w:val="-1"/>
          <w:kern w:val="0"/>
          <w:sz w:val="16"/>
          <w:szCs w:val="16"/>
        </w:rPr>
        <w:t>Curr Opin Organ Transplant</w:t>
      </w:r>
      <w:r w:rsidRPr="005C657C">
        <w:rPr>
          <w:color w:val="000000"/>
          <w:spacing w:val="-1"/>
          <w:kern w:val="0"/>
          <w:sz w:val="16"/>
          <w:szCs w:val="16"/>
        </w:rPr>
        <w:t xml:space="preserve"> 2016; </w:t>
      </w:r>
      <w:r w:rsidRPr="005C657C">
        <w:rPr>
          <w:b/>
          <w:bCs/>
          <w:color w:val="000000"/>
          <w:spacing w:val="-1"/>
          <w:kern w:val="0"/>
          <w:sz w:val="16"/>
          <w:szCs w:val="16"/>
        </w:rPr>
        <w:t>21</w:t>
      </w:r>
      <w:r w:rsidRPr="005C657C">
        <w:rPr>
          <w:color w:val="000000"/>
          <w:spacing w:val="-1"/>
          <w:kern w:val="0"/>
          <w:sz w:val="16"/>
          <w:szCs w:val="16"/>
        </w:rPr>
        <w:t>: 99-106 [PMID: 26825357 DOI: 10.1097/MOT.0000000000000283]</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43</w:t>
      </w:r>
      <w:r w:rsidRPr="005C657C">
        <w:rPr>
          <w:color w:val="000000"/>
          <w:spacing w:val="-1"/>
          <w:kern w:val="0"/>
          <w:sz w:val="16"/>
          <w:szCs w:val="16"/>
        </w:rPr>
        <w:tab/>
      </w:r>
      <w:r w:rsidRPr="005C657C">
        <w:rPr>
          <w:b/>
          <w:bCs/>
          <w:color w:val="000000"/>
          <w:spacing w:val="-1"/>
          <w:kern w:val="0"/>
          <w:sz w:val="16"/>
          <w:szCs w:val="16"/>
        </w:rPr>
        <w:t>Bellentani S</w:t>
      </w:r>
      <w:r w:rsidRPr="005C657C">
        <w:rPr>
          <w:color w:val="000000"/>
          <w:spacing w:val="-1"/>
          <w:kern w:val="0"/>
          <w:sz w:val="16"/>
          <w:szCs w:val="16"/>
        </w:rPr>
        <w:t xml:space="preserve">, Dalle Grave R, Suppini A, Marchesini G. Behavior therapy for nonalcoholic fatty liver disease: The need for a multidisciplinary approach. </w:t>
      </w:r>
      <w:r w:rsidRPr="005C657C">
        <w:rPr>
          <w:i/>
          <w:iCs/>
          <w:color w:val="000000"/>
          <w:spacing w:val="-1"/>
          <w:kern w:val="0"/>
          <w:sz w:val="16"/>
          <w:szCs w:val="16"/>
        </w:rPr>
        <w:t>Hepatology</w:t>
      </w:r>
      <w:r w:rsidRPr="005C657C">
        <w:rPr>
          <w:color w:val="000000"/>
          <w:spacing w:val="-1"/>
          <w:kern w:val="0"/>
          <w:sz w:val="16"/>
          <w:szCs w:val="16"/>
        </w:rPr>
        <w:t xml:space="preserve"> 2008; </w:t>
      </w:r>
      <w:r w:rsidRPr="005C657C">
        <w:rPr>
          <w:b/>
          <w:bCs/>
          <w:color w:val="000000"/>
          <w:spacing w:val="-1"/>
          <w:kern w:val="0"/>
          <w:sz w:val="16"/>
          <w:szCs w:val="16"/>
        </w:rPr>
        <w:t>47</w:t>
      </w:r>
      <w:r w:rsidRPr="005C657C">
        <w:rPr>
          <w:color w:val="000000"/>
          <w:spacing w:val="-1"/>
          <w:kern w:val="0"/>
          <w:sz w:val="16"/>
          <w:szCs w:val="16"/>
        </w:rPr>
        <w:t>: 746-754 [PMID: 18098321 DOI: 10.1002/hep.22009]</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44</w:t>
      </w:r>
      <w:r w:rsidRPr="005C657C">
        <w:rPr>
          <w:color w:val="000000"/>
          <w:spacing w:val="-1"/>
          <w:kern w:val="0"/>
          <w:sz w:val="16"/>
          <w:szCs w:val="16"/>
        </w:rPr>
        <w:tab/>
      </w:r>
      <w:r w:rsidRPr="005C657C">
        <w:rPr>
          <w:b/>
          <w:bCs/>
          <w:color w:val="000000"/>
          <w:spacing w:val="-1"/>
          <w:kern w:val="0"/>
          <w:sz w:val="16"/>
          <w:szCs w:val="16"/>
        </w:rPr>
        <w:t>Khan RS</w:t>
      </w:r>
      <w:r w:rsidRPr="005C657C">
        <w:rPr>
          <w:color w:val="000000"/>
          <w:spacing w:val="-1"/>
          <w:kern w:val="0"/>
          <w:sz w:val="16"/>
          <w:szCs w:val="16"/>
        </w:rPr>
        <w:t xml:space="preserve">, Newsome PN. </w:t>
      </w:r>
      <w:proofErr w:type="gramStart"/>
      <w:r w:rsidRPr="005C657C">
        <w:rPr>
          <w:color w:val="000000"/>
          <w:spacing w:val="-1"/>
          <w:kern w:val="0"/>
          <w:sz w:val="16"/>
          <w:szCs w:val="16"/>
        </w:rPr>
        <w:t>Non-alcoholic fatty liver disease and liver transplantation.</w:t>
      </w:r>
      <w:proofErr w:type="gramEnd"/>
      <w:r w:rsidRPr="005C657C">
        <w:rPr>
          <w:color w:val="000000"/>
          <w:spacing w:val="-1"/>
          <w:kern w:val="0"/>
          <w:sz w:val="16"/>
          <w:szCs w:val="16"/>
        </w:rPr>
        <w:t xml:space="preserve"> </w:t>
      </w:r>
      <w:r w:rsidRPr="005C657C">
        <w:rPr>
          <w:i/>
          <w:iCs/>
          <w:color w:val="000000"/>
          <w:spacing w:val="-1"/>
          <w:kern w:val="0"/>
          <w:sz w:val="16"/>
          <w:szCs w:val="16"/>
        </w:rPr>
        <w:t>Metabolism</w:t>
      </w:r>
      <w:r w:rsidRPr="005C657C">
        <w:rPr>
          <w:color w:val="000000"/>
          <w:spacing w:val="-1"/>
          <w:kern w:val="0"/>
          <w:sz w:val="16"/>
          <w:szCs w:val="16"/>
        </w:rPr>
        <w:t xml:space="preserve"> 2016; </w:t>
      </w:r>
      <w:r w:rsidRPr="005C657C">
        <w:rPr>
          <w:b/>
          <w:bCs/>
          <w:color w:val="000000"/>
          <w:spacing w:val="-1"/>
          <w:kern w:val="0"/>
          <w:sz w:val="16"/>
          <w:szCs w:val="16"/>
        </w:rPr>
        <w:t>65</w:t>
      </w:r>
      <w:r w:rsidRPr="005C657C">
        <w:rPr>
          <w:color w:val="000000"/>
          <w:spacing w:val="-1"/>
          <w:kern w:val="0"/>
          <w:sz w:val="16"/>
          <w:szCs w:val="16"/>
        </w:rPr>
        <w:t>: 1208-1223 [PMID: 26997540 DOI: 10.1016/j.metabol.2016.02.013]</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45</w:t>
      </w:r>
      <w:r w:rsidRPr="005C657C">
        <w:rPr>
          <w:color w:val="000000"/>
          <w:spacing w:val="-1"/>
          <w:kern w:val="0"/>
          <w:sz w:val="16"/>
          <w:szCs w:val="16"/>
        </w:rPr>
        <w:tab/>
      </w:r>
      <w:r w:rsidRPr="005C657C">
        <w:rPr>
          <w:b/>
          <w:bCs/>
          <w:color w:val="000000"/>
          <w:spacing w:val="-1"/>
          <w:kern w:val="0"/>
          <w:sz w:val="16"/>
          <w:szCs w:val="16"/>
        </w:rPr>
        <w:t>Albeldawi M</w:t>
      </w:r>
      <w:r w:rsidRPr="005C657C">
        <w:rPr>
          <w:color w:val="000000"/>
          <w:spacing w:val="-1"/>
          <w:kern w:val="0"/>
          <w:sz w:val="16"/>
          <w:szCs w:val="16"/>
        </w:rPr>
        <w:t xml:space="preserve">, Aggarwal A, Madhwal S, Cywinski J, Lopez R, Eghtesad B, Zein NN. </w:t>
      </w:r>
      <w:proofErr w:type="gramStart"/>
      <w:r w:rsidRPr="005C657C">
        <w:rPr>
          <w:color w:val="000000"/>
          <w:spacing w:val="-1"/>
          <w:kern w:val="0"/>
          <w:sz w:val="16"/>
          <w:szCs w:val="16"/>
        </w:rPr>
        <w:t>Cumulative risk of cardiovascular events after orthotopic liver transplantation.</w:t>
      </w:r>
      <w:proofErr w:type="gramEnd"/>
      <w:r w:rsidRPr="005C657C">
        <w:rPr>
          <w:color w:val="000000"/>
          <w:spacing w:val="-1"/>
          <w:kern w:val="0"/>
          <w:sz w:val="16"/>
          <w:szCs w:val="16"/>
        </w:rPr>
        <w:t xml:space="preserve"> </w:t>
      </w:r>
      <w:r w:rsidRPr="005C657C">
        <w:rPr>
          <w:i/>
          <w:iCs/>
          <w:color w:val="000000"/>
          <w:spacing w:val="-1"/>
          <w:kern w:val="0"/>
          <w:sz w:val="16"/>
          <w:szCs w:val="16"/>
        </w:rPr>
        <w:t>Liver Transpl</w:t>
      </w:r>
      <w:r w:rsidRPr="005C657C">
        <w:rPr>
          <w:color w:val="000000"/>
          <w:spacing w:val="-1"/>
          <w:kern w:val="0"/>
          <w:sz w:val="16"/>
          <w:szCs w:val="16"/>
        </w:rPr>
        <w:t xml:space="preserve"> 2012; </w:t>
      </w:r>
      <w:r w:rsidRPr="005C657C">
        <w:rPr>
          <w:b/>
          <w:bCs/>
          <w:color w:val="000000"/>
          <w:spacing w:val="-1"/>
          <w:kern w:val="0"/>
          <w:sz w:val="16"/>
          <w:szCs w:val="16"/>
        </w:rPr>
        <w:t>18</w:t>
      </w:r>
      <w:r w:rsidRPr="005C657C">
        <w:rPr>
          <w:color w:val="000000"/>
          <w:spacing w:val="-1"/>
          <w:kern w:val="0"/>
          <w:sz w:val="16"/>
          <w:szCs w:val="16"/>
        </w:rPr>
        <w:t>: 370-375 [PMID: 22140067 DOI: 10.1002/lt.22468]</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2"/>
          <w:kern w:val="0"/>
          <w:sz w:val="16"/>
          <w:szCs w:val="16"/>
        </w:rPr>
      </w:pPr>
      <w:r w:rsidRPr="005C657C">
        <w:rPr>
          <w:color w:val="000000"/>
          <w:spacing w:val="-1"/>
          <w:kern w:val="0"/>
          <w:sz w:val="16"/>
          <w:szCs w:val="16"/>
        </w:rPr>
        <w:t>46</w:t>
      </w:r>
      <w:r w:rsidRPr="005C657C">
        <w:rPr>
          <w:color w:val="000000"/>
          <w:spacing w:val="-1"/>
          <w:kern w:val="0"/>
          <w:sz w:val="16"/>
          <w:szCs w:val="16"/>
        </w:rPr>
        <w:tab/>
      </w:r>
      <w:r w:rsidRPr="005C657C">
        <w:rPr>
          <w:b/>
          <w:bCs/>
          <w:color w:val="000000"/>
          <w:spacing w:val="-2"/>
          <w:kern w:val="0"/>
          <w:sz w:val="16"/>
          <w:szCs w:val="16"/>
        </w:rPr>
        <w:t>Weick A</w:t>
      </w:r>
      <w:r w:rsidRPr="005C657C">
        <w:rPr>
          <w:color w:val="000000"/>
          <w:spacing w:val="-2"/>
          <w:kern w:val="0"/>
          <w:sz w:val="16"/>
          <w:szCs w:val="16"/>
        </w:rPr>
        <w:t xml:space="preserve">, Chacra W, Kuchipudi A, Elbatta M, Divine G, Burmeister C, Moonka D. Incidence of cardiovascular and cerebrovascular events associated with sirolimus use after liver transplantation. </w:t>
      </w:r>
      <w:r w:rsidRPr="005C657C">
        <w:rPr>
          <w:i/>
          <w:iCs/>
          <w:color w:val="000000"/>
          <w:spacing w:val="-2"/>
          <w:kern w:val="0"/>
          <w:sz w:val="16"/>
          <w:szCs w:val="16"/>
        </w:rPr>
        <w:t>Transplant Proc</w:t>
      </w:r>
      <w:r w:rsidRPr="005C657C">
        <w:rPr>
          <w:color w:val="000000"/>
          <w:spacing w:val="-2"/>
          <w:kern w:val="0"/>
          <w:sz w:val="16"/>
          <w:szCs w:val="16"/>
        </w:rPr>
        <w:t xml:space="preserve"> 2015; </w:t>
      </w:r>
      <w:r w:rsidRPr="005C657C">
        <w:rPr>
          <w:b/>
          <w:bCs/>
          <w:color w:val="000000"/>
          <w:spacing w:val="-2"/>
          <w:kern w:val="0"/>
          <w:sz w:val="16"/>
          <w:szCs w:val="16"/>
        </w:rPr>
        <w:t>47</w:t>
      </w:r>
      <w:r w:rsidRPr="005C657C">
        <w:rPr>
          <w:color w:val="000000"/>
          <w:spacing w:val="-2"/>
          <w:kern w:val="0"/>
          <w:sz w:val="16"/>
          <w:szCs w:val="16"/>
        </w:rPr>
        <w:t>: 460-464 [PMID: 25769591 DOI: 10.1016/j.transproceed.2014.11.036]</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47</w:t>
      </w:r>
      <w:r w:rsidRPr="005C657C">
        <w:rPr>
          <w:color w:val="000000"/>
          <w:spacing w:val="-1"/>
          <w:kern w:val="0"/>
          <w:sz w:val="16"/>
          <w:szCs w:val="16"/>
        </w:rPr>
        <w:tab/>
      </w:r>
      <w:r w:rsidRPr="005C657C">
        <w:rPr>
          <w:b/>
          <w:bCs/>
          <w:color w:val="000000"/>
          <w:spacing w:val="-1"/>
          <w:kern w:val="0"/>
          <w:sz w:val="16"/>
          <w:szCs w:val="16"/>
        </w:rPr>
        <w:t>Berzigotti A</w:t>
      </w:r>
      <w:r w:rsidRPr="005C657C">
        <w:rPr>
          <w:color w:val="000000"/>
          <w:spacing w:val="-1"/>
          <w:kern w:val="0"/>
          <w:sz w:val="16"/>
          <w:szCs w:val="16"/>
        </w:rPr>
        <w:t xml:space="preserve">, Saran U, Dufour JF. </w:t>
      </w:r>
      <w:proofErr w:type="gramStart"/>
      <w:r w:rsidRPr="005C657C">
        <w:rPr>
          <w:color w:val="000000"/>
          <w:spacing w:val="-1"/>
          <w:kern w:val="0"/>
          <w:sz w:val="16"/>
          <w:szCs w:val="16"/>
        </w:rPr>
        <w:t>Physical activity and liver diseases.</w:t>
      </w:r>
      <w:proofErr w:type="gramEnd"/>
      <w:r w:rsidRPr="005C657C">
        <w:rPr>
          <w:color w:val="000000"/>
          <w:spacing w:val="-1"/>
          <w:kern w:val="0"/>
          <w:sz w:val="16"/>
          <w:szCs w:val="16"/>
        </w:rPr>
        <w:t xml:space="preserve"> </w:t>
      </w:r>
      <w:r w:rsidRPr="005C657C">
        <w:rPr>
          <w:i/>
          <w:iCs/>
          <w:color w:val="000000"/>
          <w:spacing w:val="-1"/>
          <w:kern w:val="0"/>
          <w:sz w:val="16"/>
          <w:szCs w:val="16"/>
        </w:rPr>
        <w:t>Hepatology</w:t>
      </w:r>
      <w:r w:rsidRPr="005C657C">
        <w:rPr>
          <w:color w:val="000000"/>
          <w:spacing w:val="-1"/>
          <w:kern w:val="0"/>
          <w:sz w:val="16"/>
          <w:szCs w:val="16"/>
        </w:rPr>
        <w:t xml:space="preserve"> 2016; </w:t>
      </w:r>
      <w:r w:rsidRPr="005C657C">
        <w:rPr>
          <w:b/>
          <w:bCs/>
          <w:color w:val="000000"/>
          <w:spacing w:val="-1"/>
          <w:kern w:val="0"/>
          <w:sz w:val="16"/>
          <w:szCs w:val="16"/>
        </w:rPr>
        <w:t>63</w:t>
      </w:r>
      <w:r w:rsidRPr="005C657C">
        <w:rPr>
          <w:color w:val="000000"/>
          <w:spacing w:val="-1"/>
          <w:kern w:val="0"/>
          <w:sz w:val="16"/>
          <w:szCs w:val="16"/>
        </w:rPr>
        <w:t>: 1026-1040 [PMID: 26313307 DOI: 10.1002/hep.28132]</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48</w:t>
      </w:r>
      <w:r w:rsidRPr="005C657C">
        <w:rPr>
          <w:color w:val="000000"/>
          <w:spacing w:val="-1"/>
          <w:kern w:val="0"/>
          <w:sz w:val="16"/>
          <w:szCs w:val="16"/>
        </w:rPr>
        <w:tab/>
      </w:r>
      <w:r w:rsidRPr="005C657C">
        <w:rPr>
          <w:b/>
          <w:bCs/>
          <w:color w:val="000000"/>
          <w:spacing w:val="-1"/>
          <w:kern w:val="0"/>
          <w:sz w:val="16"/>
          <w:szCs w:val="16"/>
        </w:rPr>
        <w:t>Dam-Larsen S</w:t>
      </w:r>
      <w:r w:rsidRPr="005C657C">
        <w:rPr>
          <w:color w:val="000000"/>
          <w:spacing w:val="-1"/>
          <w:kern w:val="0"/>
          <w:sz w:val="16"/>
          <w:szCs w:val="16"/>
        </w:rPr>
        <w:t xml:space="preserve">, Franzmann M, Andersen IB, Christoffersen P, Jensen LB, Sørensen TI, Becker U, Bendtsen F. Long term prognosis of fatty liver: risk of chronic liver disease and death. </w:t>
      </w:r>
      <w:r w:rsidRPr="005C657C">
        <w:rPr>
          <w:i/>
          <w:iCs/>
          <w:color w:val="000000"/>
          <w:spacing w:val="-1"/>
          <w:kern w:val="0"/>
          <w:sz w:val="16"/>
          <w:szCs w:val="16"/>
        </w:rPr>
        <w:t>Gut</w:t>
      </w:r>
      <w:r w:rsidRPr="005C657C">
        <w:rPr>
          <w:color w:val="000000"/>
          <w:spacing w:val="-1"/>
          <w:kern w:val="0"/>
          <w:sz w:val="16"/>
          <w:szCs w:val="16"/>
        </w:rPr>
        <w:t xml:space="preserve"> 2004; </w:t>
      </w:r>
      <w:r w:rsidRPr="005C657C">
        <w:rPr>
          <w:b/>
          <w:bCs/>
          <w:color w:val="000000"/>
          <w:spacing w:val="-1"/>
          <w:kern w:val="0"/>
          <w:sz w:val="16"/>
          <w:szCs w:val="16"/>
        </w:rPr>
        <w:t>53</w:t>
      </w:r>
      <w:r w:rsidRPr="005C657C">
        <w:rPr>
          <w:color w:val="000000"/>
          <w:spacing w:val="-1"/>
          <w:kern w:val="0"/>
          <w:sz w:val="16"/>
          <w:szCs w:val="16"/>
        </w:rPr>
        <w:t>: 750-755 [PMID: 15082596]</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49</w:t>
      </w:r>
      <w:r w:rsidRPr="005C657C">
        <w:rPr>
          <w:color w:val="000000"/>
          <w:spacing w:val="-1"/>
          <w:kern w:val="0"/>
          <w:sz w:val="16"/>
          <w:szCs w:val="16"/>
        </w:rPr>
        <w:tab/>
      </w:r>
      <w:r w:rsidRPr="005C657C">
        <w:rPr>
          <w:b/>
          <w:bCs/>
          <w:color w:val="000000"/>
          <w:spacing w:val="-1"/>
          <w:kern w:val="0"/>
          <w:sz w:val="16"/>
          <w:szCs w:val="16"/>
        </w:rPr>
        <w:t>Adams LA</w:t>
      </w:r>
      <w:r w:rsidRPr="005C657C">
        <w:rPr>
          <w:color w:val="000000"/>
          <w:spacing w:val="-1"/>
          <w:kern w:val="0"/>
          <w:sz w:val="16"/>
          <w:szCs w:val="16"/>
        </w:rPr>
        <w:t xml:space="preserve">, Lymp JF, St Sauver J, Sanderson SO, Lindor KD, Feldstein A, Angulo P. The natural history of nonalcoholic fatty liver disease: a population-based cohort study. </w:t>
      </w:r>
      <w:r w:rsidRPr="005C657C">
        <w:rPr>
          <w:i/>
          <w:iCs/>
          <w:color w:val="000000"/>
          <w:spacing w:val="-1"/>
          <w:kern w:val="0"/>
          <w:sz w:val="16"/>
          <w:szCs w:val="16"/>
        </w:rPr>
        <w:t>Gastroenterology</w:t>
      </w:r>
      <w:r w:rsidRPr="005C657C">
        <w:rPr>
          <w:color w:val="000000"/>
          <w:spacing w:val="-1"/>
          <w:kern w:val="0"/>
          <w:sz w:val="16"/>
          <w:szCs w:val="16"/>
        </w:rPr>
        <w:t xml:space="preserve"> 2005; </w:t>
      </w:r>
      <w:r w:rsidRPr="005C657C">
        <w:rPr>
          <w:b/>
          <w:bCs/>
          <w:color w:val="000000"/>
          <w:spacing w:val="-1"/>
          <w:kern w:val="0"/>
          <w:sz w:val="16"/>
          <w:szCs w:val="16"/>
        </w:rPr>
        <w:t>129</w:t>
      </w:r>
      <w:r w:rsidRPr="005C657C">
        <w:rPr>
          <w:color w:val="000000"/>
          <w:spacing w:val="-1"/>
          <w:kern w:val="0"/>
          <w:sz w:val="16"/>
          <w:szCs w:val="16"/>
        </w:rPr>
        <w:t>: 113-121 [PMID: 16012941]</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50</w:t>
      </w:r>
      <w:r w:rsidRPr="005C657C">
        <w:rPr>
          <w:color w:val="000000"/>
          <w:spacing w:val="-1"/>
          <w:kern w:val="0"/>
          <w:sz w:val="16"/>
          <w:szCs w:val="16"/>
        </w:rPr>
        <w:tab/>
      </w:r>
      <w:r w:rsidRPr="005C657C">
        <w:rPr>
          <w:b/>
          <w:bCs/>
          <w:color w:val="000000"/>
          <w:spacing w:val="-1"/>
          <w:kern w:val="0"/>
          <w:sz w:val="16"/>
          <w:szCs w:val="16"/>
        </w:rPr>
        <w:t>Ong JP</w:t>
      </w:r>
      <w:r w:rsidRPr="005C657C">
        <w:rPr>
          <w:color w:val="000000"/>
          <w:spacing w:val="-1"/>
          <w:kern w:val="0"/>
          <w:sz w:val="16"/>
          <w:szCs w:val="16"/>
        </w:rPr>
        <w:t xml:space="preserve">, Pitts A, Younossi ZM. </w:t>
      </w:r>
      <w:proofErr w:type="gramStart"/>
      <w:r w:rsidRPr="005C657C">
        <w:rPr>
          <w:color w:val="000000"/>
          <w:spacing w:val="-1"/>
          <w:kern w:val="0"/>
          <w:sz w:val="16"/>
          <w:szCs w:val="16"/>
        </w:rPr>
        <w:t>Increased overall mortality and liver-related mortality in non-alcoholic fatty liver disease.</w:t>
      </w:r>
      <w:proofErr w:type="gramEnd"/>
      <w:r w:rsidRPr="005C657C">
        <w:rPr>
          <w:color w:val="000000"/>
          <w:spacing w:val="-1"/>
          <w:kern w:val="0"/>
          <w:sz w:val="16"/>
          <w:szCs w:val="16"/>
        </w:rPr>
        <w:t xml:space="preserve"> </w:t>
      </w:r>
      <w:r w:rsidRPr="005C657C">
        <w:rPr>
          <w:i/>
          <w:iCs/>
          <w:color w:val="000000"/>
          <w:spacing w:val="-1"/>
          <w:kern w:val="0"/>
          <w:sz w:val="16"/>
          <w:szCs w:val="16"/>
        </w:rPr>
        <w:t>J Hepatol</w:t>
      </w:r>
      <w:r w:rsidRPr="005C657C">
        <w:rPr>
          <w:color w:val="000000"/>
          <w:spacing w:val="-1"/>
          <w:kern w:val="0"/>
          <w:sz w:val="16"/>
          <w:szCs w:val="16"/>
        </w:rPr>
        <w:t xml:space="preserve"> 2008; </w:t>
      </w:r>
      <w:r w:rsidRPr="005C657C">
        <w:rPr>
          <w:b/>
          <w:bCs/>
          <w:color w:val="000000"/>
          <w:spacing w:val="-1"/>
          <w:kern w:val="0"/>
          <w:sz w:val="16"/>
          <w:szCs w:val="16"/>
        </w:rPr>
        <w:t>49</w:t>
      </w:r>
      <w:r w:rsidRPr="005C657C">
        <w:rPr>
          <w:color w:val="000000"/>
          <w:spacing w:val="-1"/>
          <w:kern w:val="0"/>
          <w:sz w:val="16"/>
          <w:szCs w:val="16"/>
        </w:rPr>
        <w:t>: 608-612 [PMID: 18682312 DOI: 10.1016/j.jhep.2008.06.018]</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51</w:t>
      </w:r>
      <w:r w:rsidRPr="005C657C">
        <w:rPr>
          <w:color w:val="000000"/>
          <w:spacing w:val="-1"/>
          <w:kern w:val="0"/>
          <w:sz w:val="16"/>
          <w:szCs w:val="16"/>
        </w:rPr>
        <w:tab/>
      </w:r>
      <w:r w:rsidRPr="005C657C">
        <w:rPr>
          <w:b/>
          <w:bCs/>
          <w:color w:val="000000"/>
          <w:spacing w:val="-1"/>
          <w:kern w:val="0"/>
          <w:sz w:val="16"/>
          <w:szCs w:val="16"/>
        </w:rPr>
        <w:t>Rafiq N</w:t>
      </w:r>
      <w:r w:rsidRPr="005C657C">
        <w:rPr>
          <w:color w:val="000000"/>
          <w:spacing w:val="-1"/>
          <w:kern w:val="0"/>
          <w:sz w:val="16"/>
          <w:szCs w:val="16"/>
        </w:rPr>
        <w:t xml:space="preserve">, Bai C, Fang Y, Srishord M, McCullough A, Gramlich T, Younossi ZM. </w:t>
      </w:r>
      <w:proofErr w:type="gramStart"/>
      <w:r w:rsidRPr="005C657C">
        <w:rPr>
          <w:color w:val="000000"/>
          <w:spacing w:val="-1"/>
          <w:kern w:val="0"/>
          <w:sz w:val="16"/>
          <w:szCs w:val="16"/>
        </w:rPr>
        <w:t>Long-term follow-up of patients with nonalcoholic fatty liver.</w:t>
      </w:r>
      <w:proofErr w:type="gramEnd"/>
      <w:r w:rsidRPr="005C657C">
        <w:rPr>
          <w:color w:val="000000"/>
          <w:spacing w:val="-1"/>
          <w:kern w:val="0"/>
          <w:sz w:val="16"/>
          <w:szCs w:val="16"/>
        </w:rPr>
        <w:t xml:space="preserve"> </w:t>
      </w:r>
      <w:r w:rsidRPr="005C657C">
        <w:rPr>
          <w:i/>
          <w:iCs/>
          <w:color w:val="000000"/>
          <w:spacing w:val="-1"/>
          <w:kern w:val="0"/>
          <w:sz w:val="16"/>
          <w:szCs w:val="16"/>
        </w:rPr>
        <w:t>Clin Gastroenterol Hepatol</w:t>
      </w:r>
      <w:r w:rsidRPr="005C657C">
        <w:rPr>
          <w:color w:val="000000"/>
          <w:spacing w:val="-1"/>
          <w:kern w:val="0"/>
          <w:sz w:val="16"/>
          <w:szCs w:val="16"/>
        </w:rPr>
        <w:t xml:space="preserve"> 2009; </w:t>
      </w:r>
      <w:r w:rsidRPr="005C657C">
        <w:rPr>
          <w:b/>
          <w:bCs/>
          <w:color w:val="000000"/>
          <w:spacing w:val="-1"/>
          <w:kern w:val="0"/>
          <w:sz w:val="16"/>
          <w:szCs w:val="16"/>
        </w:rPr>
        <w:t>7</w:t>
      </w:r>
      <w:r w:rsidRPr="005C657C">
        <w:rPr>
          <w:color w:val="000000"/>
          <w:spacing w:val="-1"/>
          <w:kern w:val="0"/>
          <w:sz w:val="16"/>
          <w:szCs w:val="16"/>
        </w:rPr>
        <w:t>: 234-238 [PMID: 19049831 DOI: 10.1016/j.cgh.2008.11.005]</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52</w:t>
      </w:r>
      <w:r w:rsidRPr="005C657C">
        <w:rPr>
          <w:color w:val="000000"/>
          <w:spacing w:val="-1"/>
          <w:kern w:val="0"/>
          <w:sz w:val="16"/>
          <w:szCs w:val="16"/>
        </w:rPr>
        <w:tab/>
      </w:r>
      <w:r w:rsidRPr="005C657C">
        <w:rPr>
          <w:b/>
          <w:bCs/>
          <w:color w:val="000000"/>
          <w:spacing w:val="-1"/>
          <w:kern w:val="0"/>
          <w:sz w:val="16"/>
          <w:szCs w:val="16"/>
        </w:rPr>
        <w:t>Söderberg C</w:t>
      </w:r>
      <w:r w:rsidRPr="005C657C">
        <w:rPr>
          <w:color w:val="000000"/>
          <w:spacing w:val="-1"/>
          <w:kern w:val="0"/>
          <w:sz w:val="16"/>
          <w:szCs w:val="16"/>
        </w:rPr>
        <w:t xml:space="preserve">, Stål P, Askling J, Glaumann H, Lindberg G, Marmur J, Hultcrantz R. Decreased survival of subjects with elevated liver function tests during a 28-year follow-up. </w:t>
      </w:r>
      <w:r w:rsidRPr="005C657C">
        <w:rPr>
          <w:i/>
          <w:iCs/>
          <w:color w:val="000000"/>
          <w:spacing w:val="-1"/>
          <w:kern w:val="0"/>
          <w:sz w:val="16"/>
          <w:szCs w:val="16"/>
        </w:rPr>
        <w:t>Hepatology</w:t>
      </w:r>
      <w:r w:rsidRPr="005C657C">
        <w:rPr>
          <w:color w:val="000000"/>
          <w:spacing w:val="-1"/>
          <w:kern w:val="0"/>
          <w:sz w:val="16"/>
          <w:szCs w:val="16"/>
        </w:rPr>
        <w:t xml:space="preserve"> 2010; </w:t>
      </w:r>
      <w:r w:rsidRPr="005C657C">
        <w:rPr>
          <w:b/>
          <w:bCs/>
          <w:color w:val="000000"/>
          <w:spacing w:val="-1"/>
          <w:kern w:val="0"/>
          <w:sz w:val="16"/>
          <w:szCs w:val="16"/>
        </w:rPr>
        <w:t>51</w:t>
      </w:r>
      <w:r w:rsidRPr="005C657C">
        <w:rPr>
          <w:color w:val="000000"/>
          <w:spacing w:val="-1"/>
          <w:kern w:val="0"/>
          <w:sz w:val="16"/>
          <w:szCs w:val="16"/>
        </w:rPr>
        <w:t>: 595-602 [PMID: 20014114 DOI: 10.1002/hep.23314]</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1"/>
          <w:kern w:val="0"/>
          <w:sz w:val="16"/>
          <w:szCs w:val="16"/>
        </w:rPr>
      </w:pPr>
      <w:r w:rsidRPr="005C657C">
        <w:rPr>
          <w:color w:val="000000"/>
          <w:spacing w:val="-1"/>
          <w:kern w:val="0"/>
          <w:sz w:val="16"/>
          <w:szCs w:val="16"/>
        </w:rPr>
        <w:t>53</w:t>
      </w:r>
      <w:r w:rsidRPr="005C657C">
        <w:rPr>
          <w:color w:val="000000"/>
          <w:spacing w:val="-1"/>
          <w:kern w:val="0"/>
          <w:sz w:val="16"/>
          <w:szCs w:val="16"/>
        </w:rPr>
        <w:tab/>
      </w:r>
      <w:r w:rsidRPr="005C657C">
        <w:rPr>
          <w:b/>
          <w:bCs/>
          <w:color w:val="000000"/>
          <w:spacing w:val="-1"/>
          <w:kern w:val="0"/>
          <w:sz w:val="16"/>
          <w:szCs w:val="16"/>
        </w:rPr>
        <w:t>Angulo P</w:t>
      </w:r>
      <w:r w:rsidRPr="005C657C">
        <w:rPr>
          <w:color w:val="000000"/>
          <w:spacing w:val="-1"/>
          <w:kern w:val="0"/>
          <w:sz w:val="16"/>
          <w:szCs w:val="16"/>
        </w:rPr>
        <w:t xml:space="preserve">, Kleiner DE, Dam-Larsen S, Adams LA, Bjornsson ES, Charatcharoenwitthaya P, Mills PR, Keach JC, Lafferty HD, Stahler A, </w:t>
      </w:r>
      <w:r w:rsidRPr="005C657C">
        <w:rPr>
          <w:color w:val="000000"/>
          <w:spacing w:val="-1"/>
          <w:kern w:val="0"/>
          <w:sz w:val="16"/>
          <w:szCs w:val="16"/>
        </w:rPr>
        <w:lastRenderedPageBreak/>
        <w:t xml:space="preserve">Haflidadottir S, Bendtsen F. Liver Fibrosis, but No Other Histologic Features, Is Associated With Long-term Outcomes of Patients With Nonalcoholic Fatty Liver Disease. </w:t>
      </w:r>
      <w:r w:rsidRPr="005C657C">
        <w:rPr>
          <w:i/>
          <w:iCs/>
          <w:color w:val="000000"/>
          <w:spacing w:val="-1"/>
          <w:kern w:val="0"/>
          <w:sz w:val="16"/>
          <w:szCs w:val="16"/>
        </w:rPr>
        <w:t>Gastroenterology</w:t>
      </w:r>
      <w:r w:rsidRPr="005C657C">
        <w:rPr>
          <w:color w:val="000000"/>
          <w:spacing w:val="-1"/>
          <w:kern w:val="0"/>
          <w:sz w:val="16"/>
          <w:szCs w:val="16"/>
        </w:rPr>
        <w:t xml:space="preserve"> 2015; </w:t>
      </w:r>
      <w:r w:rsidRPr="005C657C">
        <w:rPr>
          <w:b/>
          <w:bCs/>
          <w:color w:val="000000"/>
          <w:spacing w:val="-1"/>
          <w:kern w:val="0"/>
          <w:sz w:val="16"/>
          <w:szCs w:val="16"/>
        </w:rPr>
        <w:t>149</w:t>
      </w:r>
      <w:r w:rsidRPr="005C657C">
        <w:rPr>
          <w:color w:val="000000"/>
          <w:spacing w:val="-1"/>
          <w:kern w:val="0"/>
          <w:sz w:val="16"/>
          <w:szCs w:val="16"/>
        </w:rPr>
        <w:t>: 389-397.e10 [PMID: 25935633 DOI: 10.1053/j.gastro.2015.04.043]</w:t>
      </w:r>
    </w:p>
    <w:p w:rsidR="0072071C" w:rsidRPr="005C657C" w:rsidRDefault="0072071C" w:rsidP="0072071C">
      <w:pPr>
        <w:suppressAutoHyphens/>
        <w:autoSpaceDE w:val="0"/>
        <w:autoSpaceDN w:val="0"/>
        <w:adjustRightInd w:val="0"/>
        <w:spacing w:line="200" w:lineRule="atLeast"/>
        <w:ind w:left="360" w:hanging="360"/>
        <w:textAlignment w:val="center"/>
        <w:rPr>
          <w:color w:val="000000"/>
          <w:spacing w:val="-2"/>
          <w:kern w:val="0"/>
          <w:sz w:val="16"/>
          <w:szCs w:val="16"/>
        </w:rPr>
      </w:pPr>
      <w:r w:rsidRPr="005C657C">
        <w:rPr>
          <w:color w:val="000000"/>
          <w:spacing w:val="-1"/>
          <w:kern w:val="0"/>
          <w:sz w:val="16"/>
          <w:szCs w:val="16"/>
        </w:rPr>
        <w:t>54</w:t>
      </w:r>
      <w:r w:rsidRPr="005C657C">
        <w:rPr>
          <w:color w:val="000000"/>
          <w:spacing w:val="-1"/>
          <w:kern w:val="0"/>
          <w:sz w:val="16"/>
          <w:szCs w:val="16"/>
        </w:rPr>
        <w:tab/>
      </w:r>
      <w:r w:rsidRPr="005C657C">
        <w:rPr>
          <w:b/>
          <w:bCs/>
          <w:color w:val="000000"/>
          <w:spacing w:val="-2"/>
          <w:kern w:val="0"/>
          <w:sz w:val="16"/>
          <w:szCs w:val="16"/>
        </w:rPr>
        <w:t>Stepanova M</w:t>
      </w:r>
      <w:r w:rsidRPr="005C657C">
        <w:rPr>
          <w:color w:val="000000"/>
          <w:spacing w:val="-2"/>
          <w:kern w:val="0"/>
          <w:sz w:val="16"/>
          <w:szCs w:val="16"/>
        </w:rPr>
        <w:t xml:space="preserve">, Rafiq N, Makhlouf H, Agrawal R, Kaur I, Younoszai Z, McCullough A, Goodman Z, Younossi ZM. </w:t>
      </w:r>
      <w:proofErr w:type="gramStart"/>
      <w:r w:rsidRPr="005C657C">
        <w:rPr>
          <w:color w:val="000000"/>
          <w:spacing w:val="-2"/>
          <w:kern w:val="0"/>
          <w:sz w:val="16"/>
          <w:szCs w:val="16"/>
        </w:rPr>
        <w:t>Predictors of all-cause mortality and liver-related mortality in patients with non-alcoholic fatty liver disease (NAFLD).</w:t>
      </w:r>
      <w:proofErr w:type="gramEnd"/>
      <w:r w:rsidRPr="005C657C">
        <w:rPr>
          <w:color w:val="000000"/>
          <w:spacing w:val="-2"/>
          <w:kern w:val="0"/>
          <w:sz w:val="16"/>
          <w:szCs w:val="16"/>
        </w:rPr>
        <w:t xml:space="preserve"> </w:t>
      </w:r>
      <w:r w:rsidRPr="005C657C">
        <w:rPr>
          <w:i/>
          <w:iCs/>
          <w:color w:val="000000"/>
          <w:spacing w:val="-2"/>
          <w:kern w:val="0"/>
          <w:sz w:val="16"/>
          <w:szCs w:val="16"/>
        </w:rPr>
        <w:t>Dig Dis Sci</w:t>
      </w:r>
      <w:r w:rsidRPr="005C657C">
        <w:rPr>
          <w:color w:val="000000"/>
          <w:spacing w:val="-2"/>
          <w:kern w:val="0"/>
          <w:sz w:val="16"/>
          <w:szCs w:val="16"/>
        </w:rPr>
        <w:t xml:space="preserve"> 2013; </w:t>
      </w:r>
      <w:r w:rsidRPr="005C657C">
        <w:rPr>
          <w:b/>
          <w:bCs/>
          <w:color w:val="000000"/>
          <w:spacing w:val="-2"/>
          <w:kern w:val="0"/>
          <w:sz w:val="16"/>
          <w:szCs w:val="16"/>
        </w:rPr>
        <w:t>58</w:t>
      </w:r>
      <w:r w:rsidRPr="005C657C">
        <w:rPr>
          <w:color w:val="000000"/>
          <w:spacing w:val="-2"/>
          <w:kern w:val="0"/>
          <w:sz w:val="16"/>
          <w:szCs w:val="16"/>
        </w:rPr>
        <w:t>: 3017-3023 [PMID: 23775317 DOI: 10.1007/s10620-013-2743-5]</w:t>
      </w:r>
    </w:p>
    <w:p w:rsidR="0072071C" w:rsidRPr="005C657C" w:rsidRDefault="0072071C" w:rsidP="0072071C">
      <w:pPr>
        <w:tabs>
          <w:tab w:val="left" w:pos="360"/>
        </w:tabs>
        <w:suppressAutoHyphens/>
        <w:autoSpaceDE w:val="0"/>
        <w:autoSpaceDN w:val="0"/>
        <w:adjustRightInd w:val="0"/>
        <w:spacing w:line="200" w:lineRule="atLeast"/>
        <w:ind w:left="360" w:hanging="360"/>
        <w:textAlignment w:val="center"/>
        <w:rPr>
          <w:b/>
          <w:bCs/>
          <w:color w:val="000000"/>
          <w:spacing w:val="-1"/>
          <w:kern w:val="0"/>
          <w:sz w:val="16"/>
          <w:szCs w:val="16"/>
        </w:rPr>
      </w:pPr>
    </w:p>
    <w:p w:rsidR="0072071C" w:rsidRDefault="0072071C" w:rsidP="0072071C">
      <w:pPr>
        <w:rPr>
          <w:rFonts w:hint="eastAsia"/>
        </w:rPr>
      </w:pPr>
      <w:r>
        <w:t>Footnotes</w:t>
      </w:r>
    </w:p>
    <w:p w:rsidR="0072071C" w:rsidRPr="005C657C" w:rsidRDefault="0072071C" w:rsidP="0072071C">
      <w:pPr>
        <w:suppressAutoHyphens/>
        <w:autoSpaceDE w:val="0"/>
        <w:autoSpaceDN w:val="0"/>
        <w:adjustRightInd w:val="0"/>
        <w:spacing w:line="210" w:lineRule="atLeast"/>
        <w:textAlignment w:val="center"/>
        <w:rPr>
          <w:b/>
          <w:bCs/>
          <w:color w:val="000000"/>
          <w:spacing w:val="-2"/>
          <w:kern w:val="0"/>
          <w:sz w:val="18"/>
          <w:szCs w:val="18"/>
        </w:rPr>
      </w:pPr>
      <w:r w:rsidRPr="005C657C">
        <w:rPr>
          <w:rFonts w:ascii="Tahoma" w:hAnsi="Tahoma" w:cs="Tahoma"/>
          <w:color w:val="000000"/>
          <w:spacing w:val="-2"/>
          <w:kern w:val="0"/>
          <w:sz w:val="18"/>
          <w:szCs w:val="18"/>
          <w:lang w:val="it-IT"/>
        </w:rPr>
        <w:t>Conflict-of-interest statement</w:t>
      </w:r>
      <w:r w:rsidRPr="005C657C">
        <w:rPr>
          <w:rFonts w:ascii="Tahoma" w:hAnsi="Tahoma" w:cs="Tahoma"/>
          <w:color w:val="000000"/>
          <w:spacing w:val="-2"/>
          <w:kern w:val="0"/>
          <w:sz w:val="18"/>
          <w:szCs w:val="18"/>
        </w:rPr>
        <w:t>:</w:t>
      </w:r>
      <w:r w:rsidRPr="005C657C">
        <w:rPr>
          <w:b/>
          <w:bCs/>
          <w:color w:val="000000"/>
          <w:spacing w:val="-2"/>
          <w:kern w:val="0"/>
          <w:sz w:val="18"/>
          <w:szCs w:val="18"/>
        </w:rPr>
        <w:t xml:space="preserve"> </w:t>
      </w:r>
      <w:r w:rsidRPr="005C657C">
        <w:rPr>
          <w:color w:val="000000"/>
          <w:spacing w:val="-2"/>
          <w:kern w:val="0"/>
          <w:sz w:val="18"/>
          <w:szCs w:val="18"/>
        </w:rPr>
        <w:t>None.</w:t>
      </w:r>
    </w:p>
    <w:p w:rsidR="0072071C" w:rsidRPr="005C657C" w:rsidRDefault="0072071C" w:rsidP="0072071C">
      <w:pPr>
        <w:suppressAutoHyphens/>
        <w:autoSpaceDE w:val="0"/>
        <w:autoSpaceDN w:val="0"/>
        <w:adjustRightInd w:val="0"/>
        <w:spacing w:line="210" w:lineRule="atLeast"/>
        <w:textAlignment w:val="center"/>
        <w:rPr>
          <w:rFonts w:ascii="Tahoma" w:hAnsi="Tahoma" w:cs="Tahoma"/>
          <w:color w:val="000000"/>
          <w:kern w:val="0"/>
          <w:sz w:val="18"/>
          <w:szCs w:val="18"/>
        </w:rPr>
      </w:pPr>
      <w:r w:rsidRPr="005C657C">
        <w:rPr>
          <w:rFonts w:ascii="Tahoma" w:hAnsi="Tahoma" w:cs="Tahoma"/>
          <w:color w:val="000000"/>
          <w:spacing w:val="-2"/>
          <w:kern w:val="0"/>
          <w:sz w:val="18"/>
          <w:szCs w:val="18"/>
          <w:lang w:val="it-IT"/>
        </w:rPr>
        <w:t>Open-Access:</w:t>
      </w:r>
      <w:r w:rsidRPr="005C657C">
        <w:rPr>
          <w:color w:val="000000"/>
          <w:spacing w:val="-2"/>
          <w:kern w:val="0"/>
          <w:sz w:val="18"/>
          <w:szCs w:val="18"/>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2071C" w:rsidRPr="005C657C" w:rsidRDefault="0072071C" w:rsidP="0072071C">
      <w:pPr>
        <w:suppressAutoHyphens/>
        <w:autoSpaceDE w:val="0"/>
        <w:autoSpaceDN w:val="0"/>
        <w:adjustRightInd w:val="0"/>
        <w:spacing w:line="210" w:lineRule="atLeast"/>
        <w:textAlignment w:val="center"/>
        <w:rPr>
          <w:color w:val="000000"/>
          <w:spacing w:val="-2"/>
          <w:kern w:val="0"/>
          <w:sz w:val="18"/>
          <w:szCs w:val="18"/>
        </w:rPr>
      </w:pPr>
      <w:r w:rsidRPr="005C657C">
        <w:rPr>
          <w:rFonts w:ascii="Tahoma" w:hAnsi="Tahoma" w:cs="Tahoma"/>
          <w:color w:val="000000"/>
          <w:spacing w:val="-2"/>
          <w:kern w:val="0"/>
          <w:sz w:val="18"/>
          <w:szCs w:val="18"/>
        </w:rPr>
        <w:t>Manuscript source:</w:t>
      </w:r>
      <w:r w:rsidRPr="005C657C">
        <w:rPr>
          <w:color w:val="000000"/>
          <w:spacing w:val="-2"/>
          <w:kern w:val="0"/>
          <w:sz w:val="18"/>
          <w:szCs w:val="18"/>
        </w:rPr>
        <w:t xml:space="preserve"> Invited manuscript</w:t>
      </w:r>
    </w:p>
    <w:p w:rsidR="0072071C" w:rsidRPr="005C657C" w:rsidRDefault="0072071C" w:rsidP="0072071C">
      <w:pPr>
        <w:suppressAutoHyphens/>
        <w:autoSpaceDE w:val="0"/>
        <w:autoSpaceDN w:val="0"/>
        <w:adjustRightInd w:val="0"/>
        <w:spacing w:line="210" w:lineRule="atLeast"/>
        <w:textAlignment w:val="center"/>
        <w:rPr>
          <w:b/>
          <w:bCs/>
          <w:color w:val="000000"/>
          <w:spacing w:val="-2"/>
          <w:kern w:val="0"/>
          <w:sz w:val="18"/>
          <w:szCs w:val="18"/>
        </w:rPr>
      </w:pPr>
      <w:r w:rsidRPr="005C657C">
        <w:rPr>
          <w:rFonts w:ascii="Tahoma" w:hAnsi="Tahoma" w:cs="Tahoma"/>
          <w:color w:val="000000"/>
          <w:spacing w:val="-2"/>
          <w:kern w:val="0"/>
          <w:sz w:val="18"/>
          <w:szCs w:val="18"/>
        </w:rPr>
        <w:t>Peer-review started:</w:t>
      </w:r>
      <w:r w:rsidRPr="005C657C">
        <w:rPr>
          <w:b/>
          <w:bCs/>
          <w:color w:val="000000"/>
          <w:spacing w:val="-2"/>
          <w:kern w:val="0"/>
          <w:sz w:val="18"/>
          <w:szCs w:val="18"/>
        </w:rPr>
        <w:t xml:space="preserve"> </w:t>
      </w:r>
      <w:r w:rsidRPr="005C657C">
        <w:rPr>
          <w:color w:val="000000"/>
          <w:spacing w:val="-2"/>
          <w:kern w:val="0"/>
          <w:sz w:val="18"/>
          <w:szCs w:val="18"/>
        </w:rPr>
        <w:t>February 9, 2017</w:t>
      </w:r>
    </w:p>
    <w:p w:rsidR="0072071C" w:rsidRPr="005C657C" w:rsidRDefault="0072071C" w:rsidP="0072071C">
      <w:pPr>
        <w:suppressAutoHyphens/>
        <w:autoSpaceDE w:val="0"/>
        <w:autoSpaceDN w:val="0"/>
        <w:adjustRightInd w:val="0"/>
        <w:spacing w:line="210" w:lineRule="atLeast"/>
        <w:textAlignment w:val="center"/>
        <w:rPr>
          <w:b/>
          <w:bCs/>
          <w:color w:val="000000"/>
          <w:spacing w:val="-2"/>
          <w:kern w:val="0"/>
          <w:sz w:val="18"/>
          <w:szCs w:val="18"/>
        </w:rPr>
      </w:pPr>
      <w:r w:rsidRPr="005C657C">
        <w:rPr>
          <w:rFonts w:ascii="Tahoma" w:hAnsi="Tahoma" w:cs="Tahoma"/>
          <w:color w:val="000000"/>
          <w:spacing w:val="-2"/>
          <w:kern w:val="0"/>
          <w:sz w:val="18"/>
          <w:szCs w:val="18"/>
        </w:rPr>
        <w:t>First decision:</w:t>
      </w:r>
      <w:r w:rsidRPr="005C657C">
        <w:rPr>
          <w:b/>
          <w:bCs/>
          <w:color w:val="000000"/>
          <w:spacing w:val="-2"/>
          <w:kern w:val="0"/>
          <w:sz w:val="18"/>
          <w:szCs w:val="18"/>
        </w:rPr>
        <w:t xml:space="preserve"> </w:t>
      </w:r>
      <w:r w:rsidRPr="005C657C">
        <w:rPr>
          <w:color w:val="000000"/>
          <w:spacing w:val="-2"/>
          <w:kern w:val="0"/>
          <w:sz w:val="18"/>
          <w:szCs w:val="18"/>
        </w:rPr>
        <w:t>March 6, 2017</w:t>
      </w:r>
    </w:p>
    <w:p w:rsidR="0072071C" w:rsidRPr="005C657C" w:rsidRDefault="0072071C" w:rsidP="0072071C">
      <w:pPr>
        <w:suppressAutoHyphens/>
        <w:autoSpaceDE w:val="0"/>
        <w:autoSpaceDN w:val="0"/>
        <w:adjustRightInd w:val="0"/>
        <w:spacing w:line="210" w:lineRule="atLeast"/>
        <w:textAlignment w:val="center"/>
        <w:rPr>
          <w:color w:val="000000"/>
          <w:spacing w:val="-2"/>
          <w:kern w:val="0"/>
          <w:sz w:val="18"/>
          <w:szCs w:val="18"/>
        </w:rPr>
      </w:pPr>
      <w:r w:rsidRPr="005C657C">
        <w:rPr>
          <w:rFonts w:ascii="Tahoma" w:hAnsi="Tahoma" w:cs="Tahoma"/>
          <w:color w:val="000000"/>
          <w:spacing w:val="-2"/>
          <w:kern w:val="0"/>
          <w:sz w:val="18"/>
          <w:szCs w:val="18"/>
        </w:rPr>
        <w:t>Article in press:</w:t>
      </w:r>
      <w:r w:rsidRPr="005C657C">
        <w:rPr>
          <w:color w:val="000000"/>
          <w:spacing w:val="-2"/>
          <w:kern w:val="0"/>
          <w:sz w:val="18"/>
          <w:szCs w:val="18"/>
        </w:rPr>
        <w:t xml:space="preserve"> April 24, 2017</w:t>
      </w:r>
    </w:p>
    <w:p w:rsidR="0072071C" w:rsidRPr="005C657C" w:rsidRDefault="0072071C" w:rsidP="0072071C">
      <w:pPr>
        <w:rPr>
          <w:rFonts w:hint="eastAsia"/>
        </w:rPr>
      </w:pPr>
      <w:r w:rsidRPr="005C657C">
        <w:rPr>
          <w:b/>
          <w:bCs/>
          <w:color w:val="000000"/>
          <w:spacing w:val="-1"/>
          <w:kern w:val="0"/>
          <w:sz w:val="16"/>
          <w:szCs w:val="16"/>
        </w:rPr>
        <w:t>P- Reviewer</w:t>
      </w:r>
      <w:r w:rsidRPr="005C657C">
        <w:rPr>
          <w:color w:val="000000"/>
          <w:spacing w:val="-1"/>
          <w:kern w:val="0"/>
          <w:sz w:val="16"/>
          <w:szCs w:val="16"/>
        </w:rPr>
        <w:t xml:space="preserve">: Abenavoli L, Akamatsu N, Chiu KW, Gonzalez-Reimers E    </w:t>
      </w:r>
      <w:r w:rsidRPr="005C657C">
        <w:rPr>
          <w:b/>
          <w:bCs/>
          <w:color w:val="000000"/>
          <w:kern w:val="0"/>
          <w:sz w:val="16"/>
          <w:szCs w:val="16"/>
        </w:rPr>
        <w:t>S- Editor</w:t>
      </w:r>
      <w:r w:rsidRPr="005C657C">
        <w:rPr>
          <w:color w:val="000000"/>
          <w:spacing w:val="-1"/>
          <w:kern w:val="0"/>
          <w:sz w:val="16"/>
          <w:szCs w:val="16"/>
        </w:rPr>
        <w:t>:</w:t>
      </w:r>
      <w:r w:rsidRPr="005C657C">
        <w:rPr>
          <w:b/>
          <w:bCs/>
          <w:color w:val="000000"/>
          <w:kern w:val="0"/>
          <w:sz w:val="16"/>
          <w:szCs w:val="16"/>
        </w:rPr>
        <w:t xml:space="preserve"> </w:t>
      </w:r>
      <w:r w:rsidRPr="005C657C">
        <w:rPr>
          <w:color w:val="000000"/>
          <w:kern w:val="0"/>
          <w:sz w:val="16"/>
          <w:szCs w:val="16"/>
        </w:rPr>
        <w:t xml:space="preserve">Ji FF    </w:t>
      </w:r>
      <w:r w:rsidRPr="005C657C">
        <w:rPr>
          <w:b/>
          <w:bCs/>
          <w:color w:val="000000"/>
          <w:kern w:val="0"/>
          <w:sz w:val="16"/>
          <w:szCs w:val="16"/>
        </w:rPr>
        <w:t>L- Editor</w:t>
      </w:r>
      <w:r w:rsidRPr="005C657C">
        <w:rPr>
          <w:color w:val="000000"/>
          <w:spacing w:val="-1"/>
          <w:kern w:val="0"/>
          <w:sz w:val="16"/>
          <w:szCs w:val="16"/>
        </w:rPr>
        <w:t>:</w:t>
      </w:r>
      <w:r w:rsidRPr="005C657C">
        <w:rPr>
          <w:color w:val="000000"/>
          <w:kern w:val="0"/>
          <w:sz w:val="16"/>
          <w:szCs w:val="16"/>
        </w:rPr>
        <w:t xml:space="preserve"> A    </w:t>
      </w:r>
      <w:r w:rsidRPr="005C657C">
        <w:rPr>
          <w:b/>
          <w:bCs/>
          <w:color w:val="000000"/>
          <w:kern w:val="0"/>
          <w:sz w:val="16"/>
          <w:szCs w:val="16"/>
        </w:rPr>
        <w:t>E- Editor</w:t>
      </w:r>
      <w:r w:rsidRPr="005C657C">
        <w:rPr>
          <w:color w:val="000000"/>
          <w:spacing w:val="-1"/>
          <w:kern w:val="0"/>
          <w:sz w:val="16"/>
          <w:szCs w:val="16"/>
        </w:rPr>
        <w:t>:</w:t>
      </w:r>
      <w:r w:rsidRPr="005C657C">
        <w:rPr>
          <w:b/>
          <w:bCs/>
          <w:color w:val="000000"/>
          <w:kern w:val="0"/>
          <w:sz w:val="16"/>
          <w:szCs w:val="16"/>
        </w:rPr>
        <w:t xml:space="preserve"> </w:t>
      </w:r>
      <w:r w:rsidRPr="005C657C">
        <w:rPr>
          <w:color w:val="000000"/>
          <w:kern w:val="0"/>
          <w:sz w:val="16"/>
          <w:szCs w:val="16"/>
        </w:rPr>
        <w:t>Li D</w:t>
      </w:r>
      <w:r w:rsidRPr="005C657C">
        <w:rPr>
          <w:b/>
          <w:bCs/>
          <w:color w:val="000000"/>
          <w:kern w:val="0"/>
          <w:sz w:val="16"/>
          <w:szCs w:val="16"/>
        </w:rPr>
        <w:t xml:space="preserve">  </w:t>
      </w:r>
    </w:p>
    <w:p w:rsidR="0072071C" w:rsidRDefault="0072071C" w:rsidP="0072071C">
      <w:pPr>
        <w:rPr>
          <w:rFonts w:hint="eastAsia"/>
        </w:rPr>
      </w:pPr>
    </w:p>
    <w:p w:rsidR="0072071C" w:rsidRDefault="0072071C" w:rsidP="0072071C">
      <w:pPr>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343525" cy="5895975"/>
                <wp:effectExtent l="8255" t="9525" r="10795" b="9525"/>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895975"/>
                        </a:xfrm>
                        <a:prstGeom prst="rect">
                          <a:avLst/>
                        </a:prstGeom>
                        <a:solidFill>
                          <a:srgbClr val="FFFFFF"/>
                        </a:solidFill>
                        <a:ln w="9525">
                          <a:solidFill>
                            <a:srgbClr val="000000"/>
                          </a:solidFill>
                          <a:miter lim="800000"/>
                          <a:headEnd/>
                          <a:tailEnd/>
                        </a:ln>
                      </wps:spPr>
                      <wps:txbx>
                        <w:txbxContent>
                          <w:p w:rsidR="0072071C" w:rsidRPr="005C657C" w:rsidRDefault="0072071C" w:rsidP="0072071C">
                            <w:pPr>
                              <w:rPr>
                                <w:b/>
                                <w:bCs/>
                                <w:vertAlign w:val="superscript"/>
                              </w:rPr>
                            </w:pPr>
                            <w:r w:rsidRPr="005C657C">
                              <w:rPr>
                                <w:b/>
                                <w:bCs/>
                              </w:rPr>
                              <w:t xml:space="preserve">Table </w:t>
                            </w:r>
                            <w:proofErr w:type="gramStart"/>
                            <w:r w:rsidRPr="005C657C">
                              <w:rPr>
                                <w:b/>
                                <w:bCs/>
                              </w:rPr>
                              <w:t>1  Methods</w:t>
                            </w:r>
                            <w:proofErr w:type="gramEnd"/>
                            <w:r w:rsidRPr="005C657C">
                              <w:rPr>
                                <w:b/>
                                <w:bCs/>
                              </w:rPr>
                              <w:t xml:space="preserve"> to detect subclinical atherosclerosis</w:t>
                            </w:r>
                            <w:r w:rsidRPr="005C657C">
                              <w:rPr>
                                <w:b/>
                                <w:bCs/>
                                <w:vertAlign w:val="superscript"/>
                              </w:rPr>
                              <w:t>[8]</w:t>
                            </w:r>
                          </w:p>
                          <w:tbl>
                            <w:tblPr>
                              <w:tblW w:w="95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345"/>
                              <w:gridCol w:w="3661"/>
                              <w:gridCol w:w="3551"/>
                            </w:tblGrid>
                            <w:tr w:rsidR="0072071C" w:rsidRPr="005C657C" w:rsidTr="005C657C">
                              <w:tblPrEx>
                                <w:tblCellMar>
                                  <w:top w:w="0" w:type="dxa"/>
                                  <w:left w:w="0" w:type="dxa"/>
                                  <w:bottom w:w="0" w:type="dxa"/>
                                  <w:right w:w="0" w:type="dxa"/>
                                </w:tblCellMar>
                              </w:tblPrEx>
                              <w:trPr>
                                <w:trHeight w:val="60"/>
                              </w:trPr>
                              <w:tc>
                                <w:tcPr>
                                  <w:tcW w:w="2345" w:type="dxa"/>
                                  <w:tcMar>
                                    <w:top w:w="28" w:type="dxa"/>
                                    <w:left w:w="28" w:type="dxa"/>
                                    <w:bottom w:w="28" w:type="dxa"/>
                                    <w:right w:w="28" w:type="dxa"/>
                                  </w:tcMar>
                                </w:tcPr>
                                <w:p w:rsidR="0072071C" w:rsidRPr="005C657C" w:rsidRDefault="0072071C">
                                  <w:pPr>
                                    <w:pStyle w:val="af"/>
                                    <w:rPr>
                                      <w:b w:val="0"/>
                                      <w:bCs w:val="0"/>
                                      <w:lang w:val="en-GB"/>
                                    </w:rPr>
                                  </w:pPr>
                                  <w:r w:rsidRPr="005C657C">
                                    <w:rPr>
                                      <w:b w:val="0"/>
                                      <w:bCs w:val="0"/>
                                      <w:lang w:val="en-GB"/>
                                    </w:rPr>
                                    <w:t>Carotid ultrasound</w:t>
                                  </w:r>
                                </w:p>
                                <w:p w:rsidR="0072071C" w:rsidRPr="005C657C" w:rsidRDefault="0072071C">
                                  <w:pPr>
                                    <w:pStyle w:val="af"/>
                                    <w:rPr>
                                      <w:b w:val="0"/>
                                      <w:bCs w:val="0"/>
                                    </w:rPr>
                                  </w:pPr>
                                </w:p>
                              </w:tc>
                              <w:tc>
                                <w:tcPr>
                                  <w:tcW w:w="3661" w:type="dxa"/>
                                  <w:tcMar>
                                    <w:top w:w="28" w:type="dxa"/>
                                    <w:left w:w="28" w:type="dxa"/>
                                    <w:bottom w:w="28" w:type="dxa"/>
                                    <w:right w:w="28" w:type="dxa"/>
                                  </w:tcMar>
                                </w:tcPr>
                                <w:p w:rsidR="0072071C" w:rsidRPr="005C657C" w:rsidRDefault="0072071C">
                                  <w:pPr>
                                    <w:pStyle w:val="af"/>
                                    <w:jc w:val="center"/>
                                    <w:rPr>
                                      <w:b w:val="0"/>
                                      <w:bCs w:val="0"/>
                                    </w:rPr>
                                  </w:pPr>
                                  <w:r w:rsidRPr="005C657C">
                                    <w:rPr>
                                      <w:b w:val="0"/>
                                      <w:bCs w:val="0"/>
                                    </w:rPr>
                                    <w:t>CIMT</w:t>
                                  </w:r>
                                </w:p>
                                <w:p w:rsidR="0072071C" w:rsidRPr="005C657C" w:rsidRDefault="0072071C">
                                  <w:pPr>
                                    <w:pStyle w:val="af"/>
                                    <w:jc w:val="center"/>
                                    <w:rPr>
                                      <w:b w:val="0"/>
                                      <w:bCs w:val="0"/>
                                    </w:rPr>
                                  </w:pPr>
                                </w:p>
                              </w:tc>
                              <w:tc>
                                <w:tcPr>
                                  <w:tcW w:w="3551" w:type="dxa"/>
                                  <w:tcMar>
                                    <w:top w:w="28" w:type="dxa"/>
                                    <w:left w:w="28" w:type="dxa"/>
                                    <w:bottom w:w="28" w:type="dxa"/>
                                    <w:right w:w="28" w:type="dxa"/>
                                  </w:tcMar>
                                </w:tcPr>
                                <w:p w:rsidR="0072071C" w:rsidRPr="005C657C" w:rsidRDefault="0072071C">
                                  <w:pPr>
                                    <w:pStyle w:val="af"/>
                                    <w:jc w:val="center"/>
                                    <w:rPr>
                                      <w:b w:val="0"/>
                                      <w:bCs w:val="0"/>
                                      <w:lang w:val="en-GB"/>
                                    </w:rPr>
                                  </w:pPr>
                                  <w:r w:rsidRPr="005C657C">
                                    <w:rPr>
                                      <w:b w:val="0"/>
                                      <w:bCs w:val="0"/>
                                      <w:lang w:val="en-GB"/>
                                    </w:rPr>
                                    <w:t>&gt; 0.9 mm</w:t>
                                  </w:r>
                                </w:p>
                                <w:p w:rsidR="0072071C" w:rsidRPr="005C657C" w:rsidRDefault="0072071C">
                                  <w:pPr>
                                    <w:pStyle w:val="af"/>
                                    <w:jc w:val="center"/>
                                    <w:rPr>
                                      <w:b w:val="0"/>
                                      <w:bCs w:val="0"/>
                                    </w:rPr>
                                  </w:pPr>
                                </w:p>
                              </w:tc>
                            </w:tr>
                            <w:tr w:rsidR="0072071C" w:rsidRPr="005C657C" w:rsidTr="005C657C">
                              <w:tblPrEx>
                                <w:tblCellMar>
                                  <w:top w:w="0" w:type="dxa"/>
                                  <w:left w:w="0" w:type="dxa"/>
                                  <w:bottom w:w="0" w:type="dxa"/>
                                  <w:right w:w="0" w:type="dxa"/>
                                </w:tblCellMar>
                              </w:tblPrEx>
                              <w:trPr>
                                <w:trHeight w:val="60"/>
                              </w:trPr>
                              <w:tc>
                                <w:tcPr>
                                  <w:tcW w:w="2345" w:type="dxa"/>
                                  <w:tcMar>
                                    <w:top w:w="28" w:type="dxa"/>
                                    <w:left w:w="28" w:type="dxa"/>
                                    <w:bottom w:w="28" w:type="dxa"/>
                                    <w:right w:w="28" w:type="dxa"/>
                                  </w:tcMar>
                                </w:tcPr>
                                <w:p w:rsidR="0072071C" w:rsidRPr="005C657C" w:rsidRDefault="0072071C">
                                  <w:pPr>
                                    <w:pStyle w:val="af"/>
                                    <w:rPr>
                                      <w:b w:val="0"/>
                                      <w:bCs w:val="0"/>
                                      <w:lang w:val="en-GB"/>
                                    </w:rPr>
                                  </w:pPr>
                                  <w:r w:rsidRPr="005C657C">
                                    <w:rPr>
                                      <w:b w:val="0"/>
                                      <w:bCs w:val="0"/>
                                      <w:lang w:val="en-GB"/>
                                    </w:rPr>
                                    <w:t>CT coronary angiography</w:t>
                                  </w:r>
                                </w:p>
                                <w:p w:rsidR="0072071C" w:rsidRPr="005C657C" w:rsidRDefault="0072071C">
                                  <w:pPr>
                                    <w:pStyle w:val="af"/>
                                    <w:rPr>
                                      <w:b w:val="0"/>
                                      <w:bCs w:val="0"/>
                                    </w:rPr>
                                  </w:pPr>
                                </w:p>
                              </w:tc>
                              <w:tc>
                                <w:tcPr>
                                  <w:tcW w:w="3661" w:type="dxa"/>
                                  <w:tcMar>
                                    <w:top w:w="28" w:type="dxa"/>
                                    <w:left w:w="28" w:type="dxa"/>
                                    <w:bottom w:w="28" w:type="dxa"/>
                                    <w:right w:w="28" w:type="dxa"/>
                                  </w:tcMar>
                                </w:tcPr>
                                <w:p w:rsidR="0072071C" w:rsidRPr="005C657C" w:rsidRDefault="0072071C">
                                  <w:pPr>
                                    <w:pStyle w:val="af"/>
                                    <w:jc w:val="center"/>
                                    <w:rPr>
                                      <w:b w:val="0"/>
                                      <w:bCs w:val="0"/>
                                      <w:lang w:val="en-US"/>
                                    </w:rPr>
                                  </w:pPr>
                                  <w:r w:rsidRPr="005C657C">
                                    <w:rPr>
                                      <w:b w:val="0"/>
                                      <w:bCs w:val="0"/>
                                      <w:lang w:val="en-US"/>
                                    </w:rPr>
                                    <w:t>No. of calcifications in coronary arteries</w:t>
                                  </w:r>
                                </w:p>
                                <w:p w:rsidR="0072071C" w:rsidRPr="005C657C" w:rsidRDefault="0072071C">
                                  <w:pPr>
                                    <w:pStyle w:val="af"/>
                                    <w:jc w:val="center"/>
                                    <w:rPr>
                                      <w:b w:val="0"/>
                                      <w:bCs w:val="0"/>
                                      <w:lang w:val="en-US"/>
                                    </w:rPr>
                                  </w:pPr>
                                </w:p>
                              </w:tc>
                              <w:tc>
                                <w:tcPr>
                                  <w:tcW w:w="3551" w:type="dxa"/>
                                  <w:tcMar>
                                    <w:top w:w="28" w:type="dxa"/>
                                    <w:left w:w="28" w:type="dxa"/>
                                    <w:bottom w:w="28" w:type="dxa"/>
                                    <w:right w:w="28" w:type="dxa"/>
                                  </w:tcMar>
                                </w:tcPr>
                                <w:p w:rsidR="0072071C" w:rsidRPr="005C657C" w:rsidRDefault="0072071C">
                                  <w:pPr>
                                    <w:pStyle w:val="af"/>
                                    <w:jc w:val="center"/>
                                    <w:rPr>
                                      <w:b w:val="0"/>
                                      <w:bCs w:val="0"/>
                                      <w:lang w:val="en-GB"/>
                                    </w:rPr>
                                  </w:pPr>
                                  <w:r w:rsidRPr="005C657C">
                                    <w:rPr>
                                      <w:rFonts w:ascii="宋体" w:cs="宋体" w:hint="eastAsia"/>
                                      <w:b w:val="0"/>
                                      <w:bCs w:val="0"/>
                                      <w:lang w:val="en-US"/>
                                    </w:rPr>
                                    <w:t>≥</w:t>
                                  </w:r>
                                  <w:r w:rsidRPr="005C657C">
                                    <w:rPr>
                                      <w:b w:val="0"/>
                                      <w:bCs w:val="0"/>
                                      <w:lang w:val="en-GB"/>
                                    </w:rPr>
                                    <w:t xml:space="preserve"> 1</w:t>
                                  </w:r>
                                </w:p>
                                <w:p w:rsidR="0072071C" w:rsidRPr="005C657C" w:rsidRDefault="0072071C">
                                  <w:pPr>
                                    <w:pStyle w:val="af"/>
                                    <w:jc w:val="center"/>
                                    <w:rPr>
                                      <w:b w:val="0"/>
                                      <w:bCs w:val="0"/>
                                    </w:rPr>
                                  </w:pPr>
                                </w:p>
                              </w:tc>
                            </w:tr>
                            <w:tr w:rsidR="0072071C" w:rsidRPr="005C657C" w:rsidTr="005C657C">
                              <w:tblPrEx>
                                <w:tblCellMar>
                                  <w:top w:w="0" w:type="dxa"/>
                                  <w:left w:w="0" w:type="dxa"/>
                                  <w:bottom w:w="0" w:type="dxa"/>
                                  <w:right w:w="0" w:type="dxa"/>
                                </w:tblCellMar>
                              </w:tblPrEx>
                              <w:trPr>
                                <w:trHeight w:val="60"/>
                              </w:trPr>
                              <w:tc>
                                <w:tcPr>
                                  <w:tcW w:w="2345" w:type="dxa"/>
                                  <w:tcMar>
                                    <w:top w:w="28" w:type="dxa"/>
                                    <w:left w:w="28" w:type="dxa"/>
                                    <w:bottom w:w="28" w:type="dxa"/>
                                    <w:right w:w="28" w:type="dxa"/>
                                  </w:tcMar>
                                </w:tcPr>
                                <w:p w:rsidR="0072071C" w:rsidRPr="005C657C" w:rsidRDefault="0072071C">
                                  <w:pPr>
                                    <w:pStyle w:val="af"/>
                                    <w:rPr>
                                      <w:b w:val="0"/>
                                      <w:bCs w:val="0"/>
                                      <w:lang w:val="en-GB"/>
                                    </w:rPr>
                                  </w:pPr>
                                  <w:r w:rsidRPr="005C657C">
                                    <w:rPr>
                                      <w:b w:val="0"/>
                                      <w:bCs w:val="0"/>
                                      <w:lang w:val="en-GB"/>
                                    </w:rPr>
                                    <w:t>Endothelial function</w:t>
                                  </w:r>
                                </w:p>
                                <w:p w:rsidR="0072071C" w:rsidRPr="005C657C" w:rsidRDefault="0072071C">
                                  <w:pPr>
                                    <w:pStyle w:val="af"/>
                                    <w:rPr>
                                      <w:b w:val="0"/>
                                      <w:bCs w:val="0"/>
                                    </w:rPr>
                                  </w:pPr>
                                </w:p>
                              </w:tc>
                              <w:tc>
                                <w:tcPr>
                                  <w:tcW w:w="3661" w:type="dxa"/>
                                  <w:tcMar>
                                    <w:top w:w="28" w:type="dxa"/>
                                    <w:left w:w="28" w:type="dxa"/>
                                    <w:bottom w:w="28" w:type="dxa"/>
                                    <w:right w:w="28" w:type="dxa"/>
                                  </w:tcMar>
                                </w:tcPr>
                                <w:p w:rsidR="0072071C" w:rsidRPr="005C657C" w:rsidRDefault="0072071C">
                                  <w:pPr>
                                    <w:pStyle w:val="af"/>
                                    <w:jc w:val="center"/>
                                    <w:rPr>
                                      <w:b w:val="0"/>
                                      <w:bCs w:val="0"/>
                                    </w:rPr>
                                  </w:pPr>
                                  <w:r w:rsidRPr="005C657C">
                                    <w:rPr>
                                      <w:b w:val="0"/>
                                      <w:bCs w:val="0"/>
                                    </w:rPr>
                                    <w:t>Flow-mediated vasodilation brachial artery</w:t>
                                  </w:r>
                                </w:p>
                                <w:p w:rsidR="0072071C" w:rsidRPr="005C657C" w:rsidRDefault="0072071C">
                                  <w:pPr>
                                    <w:pStyle w:val="af"/>
                                    <w:jc w:val="center"/>
                                    <w:rPr>
                                      <w:b w:val="0"/>
                                      <w:bCs w:val="0"/>
                                    </w:rPr>
                                  </w:pPr>
                                </w:p>
                              </w:tc>
                              <w:tc>
                                <w:tcPr>
                                  <w:tcW w:w="3551" w:type="dxa"/>
                                  <w:tcMar>
                                    <w:top w:w="28" w:type="dxa"/>
                                    <w:left w:w="28" w:type="dxa"/>
                                    <w:bottom w:w="28" w:type="dxa"/>
                                    <w:right w:w="28" w:type="dxa"/>
                                  </w:tcMar>
                                </w:tcPr>
                                <w:p w:rsidR="0072071C" w:rsidRPr="005C657C" w:rsidRDefault="0072071C">
                                  <w:pPr>
                                    <w:pStyle w:val="Noparagraphstyle"/>
                                    <w:spacing w:line="240" w:lineRule="auto"/>
                                    <w:jc w:val="left"/>
                                    <w:textAlignment w:val="auto"/>
                                    <w:rPr>
                                      <w:rFonts w:ascii="Book Antiqua" w:cs="Angsana New"/>
                                      <w:color w:val="auto"/>
                                      <w:lang w:val="en-US"/>
                                    </w:rPr>
                                  </w:pPr>
                                </w:p>
                              </w:tc>
                            </w:tr>
                            <w:tr w:rsidR="0072071C" w:rsidRPr="005C657C" w:rsidTr="005C657C">
                              <w:tblPrEx>
                                <w:tblCellMar>
                                  <w:top w:w="0" w:type="dxa"/>
                                  <w:left w:w="0" w:type="dxa"/>
                                  <w:bottom w:w="0" w:type="dxa"/>
                                  <w:right w:w="0" w:type="dxa"/>
                                </w:tblCellMar>
                              </w:tblPrEx>
                              <w:trPr>
                                <w:trHeight w:val="60"/>
                              </w:trPr>
                              <w:tc>
                                <w:tcPr>
                                  <w:tcW w:w="2345" w:type="dxa"/>
                                  <w:tcMar>
                                    <w:top w:w="28" w:type="dxa"/>
                                    <w:left w:w="28" w:type="dxa"/>
                                    <w:bottom w:w="28" w:type="dxa"/>
                                    <w:right w:w="28" w:type="dxa"/>
                                  </w:tcMar>
                                </w:tcPr>
                                <w:p w:rsidR="0072071C" w:rsidRPr="005C657C" w:rsidRDefault="0072071C">
                                  <w:pPr>
                                    <w:pStyle w:val="Noparagraphstyle"/>
                                    <w:spacing w:line="240" w:lineRule="auto"/>
                                    <w:jc w:val="left"/>
                                    <w:textAlignment w:val="auto"/>
                                    <w:rPr>
                                      <w:rFonts w:ascii="Book Antiqua" w:cs="Angsana New"/>
                                      <w:color w:val="auto"/>
                                      <w:lang w:val="en-US"/>
                                    </w:rPr>
                                  </w:pPr>
                                </w:p>
                              </w:tc>
                              <w:tc>
                                <w:tcPr>
                                  <w:tcW w:w="3661" w:type="dxa"/>
                                  <w:tcMar>
                                    <w:top w:w="28" w:type="dxa"/>
                                    <w:left w:w="28" w:type="dxa"/>
                                    <w:bottom w:w="28" w:type="dxa"/>
                                    <w:right w:w="28" w:type="dxa"/>
                                  </w:tcMar>
                                </w:tcPr>
                                <w:p w:rsidR="0072071C" w:rsidRPr="005C657C" w:rsidRDefault="0072071C">
                                  <w:pPr>
                                    <w:pStyle w:val="af"/>
                                    <w:jc w:val="center"/>
                                    <w:rPr>
                                      <w:b w:val="0"/>
                                      <w:bCs w:val="0"/>
                                      <w:lang w:val="en-US"/>
                                    </w:rPr>
                                  </w:pPr>
                                  <w:r w:rsidRPr="005C657C">
                                    <w:rPr>
                                      <w:b w:val="0"/>
                                      <w:bCs w:val="0"/>
                                      <w:lang w:val="en-GB"/>
                                    </w:rPr>
                                    <w:t>Carotid-femoral</w:t>
                                  </w:r>
                                  <w:r w:rsidRPr="005C657C">
                                    <w:rPr>
                                      <w:b w:val="0"/>
                                      <w:bCs w:val="0"/>
                                      <w:lang w:val="en-US"/>
                                    </w:rPr>
                                    <w:t xml:space="preserve"> pulse wave velocity </w:t>
                                  </w:r>
                                </w:p>
                                <w:p w:rsidR="0072071C" w:rsidRPr="005C657C" w:rsidRDefault="0072071C">
                                  <w:pPr>
                                    <w:pStyle w:val="af"/>
                                    <w:jc w:val="center"/>
                                    <w:rPr>
                                      <w:b w:val="0"/>
                                      <w:bCs w:val="0"/>
                                      <w:lang w:val="en-US"/>
                                    </w:rPr>
                                  </w:pPr>
                                </w:p>
                              </w:tc>
                              <w:tc>
                                <w:tcPr>
                                  <w:tcW w:w="3551" w:type="dxa"/>
                                  <w:tcMar>
                                    <w:top w:w="28" w:type="dxa"/>
                                    <w:left w:w="28" w:type="dxa"/>
                                    <w:bottom w:w="28" w:type="dxa"/>
                                    <w:right w:w="28" w:type="dxa"/>
                                  </w:tcMar>
                                </w:tcPr>
                                <w:p w:rsidR="0072071C" w:rsidRPr="005C657C" w:rsidRDefault="0072071C">
                                  <w:pPr>
                                    <w:pStyle w:val="af"/>
                                    <w:jc w:val="center"/>
                                    <w:rPr>
                                      <w:b w:val="0"/>
                                      <w:bCs w:val="0"/>
                                      <w:lang w:val="en-GB"/>
                                    </w:rPr>
                                  </w:pPr>
                                  <w:r w:rsidRPr="005C657C">
                                    <w:rPr>
                                      <w:b w:val="0"/>
                                      <w:bCs w:val="0"/>
                                      <w:lang w:val="en-GB"/>
                                    </w:rPr>
                                    <w:t>&gt; 12 m/s</w:t>
                                  </w:r>
                                </w:p>
                                <w:p w:rsidR="0072071C" w:rsidRPr="005C657C" w:rsidRDefault="0072071C">
                                  <w:pPr>
                                    <w:pStyle w:val="af"/>
                                    <w:jc w:val="center"/>
                                    <w:rPr>
                                      <w:b w:val="0"/>
                                      <w:bCs w:val="0"/>
                                    </w:rPr>
                                  </w:pPr>
                                </w:p>
                              </w:tc>
                            </w:tr>
                            <w:tr w:rsidR="0072071C" w:rsidRPr="005C657C" w:rsidTr="005C657C">
                              <w:tblPrEx>
                                <w:tblCellMar>
                                  <w:top w:w="0" w:type="dxa"/>
                                  <w:left w:w="0" w:type="dxa"/>
                                  <w:bottom w:w="0" w:type="dxa"/>
                                  <w:right w:w="0" w:type="dxa"/>
                                </w:tblCellMar>
                              </w:tblPrEx>
                              <w:trPr>
                                <w:trHeight w:val="60"/>
                              </w:trPr>
                              <w:tc>
                                <w:tcPr>
                                  <w:tcW w:w="2345" w:type="dxa"/>
                                  <w:tcMar>
                                    <w:top w:w="28" w:type="dxa"/>
                                    <w:left w:w="28" w:type="dxa"/>
                                    <w:bottom w:w="28" w:type="dxa"/>
                                    <w:right w:w="28" w:type="dxa"/>
                                  </w:tcMar>
                                </w:tcPr>
                                <w:p w:rsidR="0072071C" w:rsidRPr="005C657C" w:rsidRDefault="0072071C">
                                  <w:pPr>
                                    <w:pStyle w:val="af"/>
                                    <w:rPr>
                                      <w:b w:val="0"/>
                                      <w:bCs w:val="0"/>
                                      <w:lang w:val="en-GB"/>
                                    </w:rPr>
                                  </w:pPr>
                                  <w:r w:rsidRPr="005C657C">
                                    <w:rPr>
                                      <w:b w:val="0"/>
                                      <w:bCs w:val="0"/>
                                      <w:lang w:val="en-GB"/>
                                    </w:rPr>
                                    <w:t>Morpho-structural alteration</w:t>
                                  </w:r>
                                </w:p>
                                <w:p w:rsidR="0072071C" w:rsidRPr="005C657C" w:rsidRDefault="0072071C">
                                  <w:pPr>
                                    <w:pStyle w:val="af"/>
                                    <w:rPr>
                                      <w:b w:val="0"/>
                                      <w:bCs w:val="0"/>
                                    </w:rPr>
                                  </w:pPr>
                                </w:p>
                              </w:tc>
                              <w:tc>
                                <w:tcPr>
                                  <w:tcW w:w="3661" w:type="dxa"/>
                                  <w:tcMar>
                                    <w:top w:w="28" w:type="dxa"/>
                                    <w:left w:w="28" w:type="dxa"/>
                                    <w:bottom w:w="28" w:type="dxa"/>
                                    <w:right w:w="28" w:type="dxa"/>
                                  </w:tcMar>
                                </w:tcPr>
                                <w:p w:rsidR="0072071C" w:rsidRPr="005C657C" w:rsidRDefault="0072071C">
                                  <w:pPr>
                                    <w:pStyle w:val="af"/>
                                    <w:jc w:val="center"/>
                                    <w:rPr>
                                      <w:b w:val="0"/>
                                      <w:bCs w:val="0"/>
                                      <w:lang w:val="en-GB"/>
                                    </w:rPr>
                                  </w:pPr>
                                  <w:r w:rsidRPr="005C657C">
                                    <w:rPr>
                                      <w:b w:val="0"/>
                                      <w:bCs w:val="0"/>
                                      <w:lang w:val="en-GB"/>
                                    </w:rPr>
                                    <w:t>Electrocardiogram (left ventricular hypertrophy)</w:t>
                                  </w:r>
                                </w:p>
                                <w:p w:rsidR="0072071C" w:rsidRPr="005C657C" w:rsidRDefault="0072071C">
                                  <w:pPr>
                                    <w:pStyle w:val="af"/>
                                    <w:jc w:val="center"/>
                                    <w:rPr>
                                      <w:b w:val="0"/>
                                      <w:bCs w:val="0"/>
                                    </w:rPr>
                                  </w:pPr>
                                </w:p>
                              </w:tc>
                              <w:tc>
                                <w:tcPr>
                                  <w:tcW w:w="3551" w:type="dxa"/>
                                  <w:tcMar>
                                    <w:top w:w="28" w:type="dxa"/>
                                    <w:left w:w="28" w:type="dxa"/>
                                    <w:bottom w:w="28" w:type="dxa"/>
                                    <w:right w:w="28" w:type="dxa"/>
                                  </w:tcMar>
                                </w:tcPr>
                                <w:p w:rsidR="0072071C" w:rsidRPr="005C657C" w:rsidRDefault="0072071C">
                                  <w:pPr>
                                    <w:pStyle w:val="af"/>
                                    <w:jc w:val="center"/>
                                    <w:rPr>
                                      <w:b w:val="0"/>
                                      <w:bCs w:val="0"/>
                                      <w:lang w:val="en-US"/>
                                    </w:rPr>
                                  </w:pPr>
                                  <w:r w:rsidRPr="005C657C">
                                    <w:rPr>
                                      <w:b w:val="0"/>
                                      <w:bCs w:val="0"/>
                                      <w:lang w:val="en-US"/>
                                    </w:rPr>
                                    <w:t>Sokolov-Lyon &gt; 38 mm; cornell &gt; 2444 mm*ms</w:t>
                                  </w:r>
                                </w:p>
                                <w:p w:rsidR="0072071C" w:rsidRPr="005C657C" w:rsidRDefault="0072071C">
                                  <w:pPr>
                                    <w:pStyle w:val="af"/>
                                    <w:jc w:val="center"/>
                                    <w:rPr>
                                      <w:b w:val="0"/>
                                      <w:bCs w:val="0"/>
                                      <w:lang w:val="en-US"/>
                                    </w:rPr>
                                  </w:pPr>
                                </w:p>
                              </w:tc>
                            </w:tr>
                            <w:tr w:rsidR="0072071C" w:rsidRPr="005C657C" w:rsidTr="005C657C">
                              <w:tblPrEx>
                                <w:tblCellMar>
                                  <w:top w:w="0" w:type="dxa"/>
                                  <w:left w:w="0" w:type="dxa"/>
                                  <w:bottom w:w="0" w:type="dxa"/>
                                  <w:right w:w="0" w:type="dxa"/>
                                </w:tblCellMar>
                              </w:tblPrEx>
                              <w:trPr>
                                <w:trHeight w:val="60"/>
                              </w:trPr>
                              <w:tc>
                                <w:tcPr>
                                  <w:tcW w:w="2345" w:type="dxa"/>
                                  <w:tcMar>
                                    <w:top w:w="28" w:type="dxa"/>
                                    <w:left w:w="28" w:type="dxa"/>
                                    <w:bottom w:w="28" w:type="dxa"/>
                                    <w:right w:w="28" w:type="dxa"/>
                                  </w:tcMar>
                                </w:tcPr>
                                <w:p w:rsidR="0072071C" w:rsidRPr="005C657C" w:rsidRDefault="0072071C">
                                  <w:pPr>
                                    <w:pStyle w:val="af"/>
                                    <w:rPr>
                                      <w:b w:val="0"/>
                                      <w:bCs w:val="0"/>
                                    </w:rPr>
                                  </w:pPr>
                                  <w:r w:rsidRPr="005C657C">
                                    <w:rPr>
                                      <w:b w:val="0"/>
                                      <w:bCs w:val="0"/>
                                    </w:rPr>
                                    <w:t>Renal function</w:t>
                                  </w:r>
                                </w:p>
                                <w:p w:rsidR="0072071C" w:rsidRPr="005C657C" w:rsidRDefault="0072071C">
                                  <w:pPr>
                                    <w:pStyle w:val="af"/>
                                    <w:rPr>
                                      <w:b w:val="0"/>
                                      <w:bCs w:val="0"/>
                                    </w:rPr>
                                  </w:pPr>
                                </w:p>
                              </w:tc>
                              <w:tc>
                                <w:tcPr>
                                  <w:tcW w:w="3661" w:type="dxa"/>
                                  <w:tcMar>
                                    <w:top w:w="28" w:type="dxa"/>
                                    <w:left w:w="28" w:type="dxa"/>
                                    <w:bottom w:w="28" w:type="dxa"/>
                                    <w:right w:w="28" w:type="dxa"/>
                                  </w:tcMar>
                                </w:tcPr>
                                <w:p w:rsidR="0072071C" w:rsidRPr="005C657C" w:rsidRDefault="0072071C">
                                  <w:pPr>
                                    <w:pStyle w:val="af"/>
                                    <w:jc w:val="center"/>
                                    <w:rPr>
                                      <w:b w:val="0"/>
                                      <w:bCs w:val="0"/>
                                    </w:rPr>
                                  </w:pPr>
                                  <w:r w:rsidRPr="005C657C">
                                    <w:rPr>
                                      <w:b w:val="0"/>
                                      <w:bCs w:val="0"/>
                                    </w:rPr>
                                    <w:t>Slight increase in plasmatic creatinine</w:t>
                                  </w:r>
                                </w:p>
                                <w:p w:rsidR="0072071C" w:rsidRPr="005C657C" w:rsidRDefault="0072071C">
                                  <w:pPr>
                                    <w:pStyle w:val="af"/>
                                    <w:jc w:val="center"/>
                                    <w:rPr>
                                      <w:b w:val="0"/>
                                      <w:bCs w:val="0"/>
                                    </w:rPr>
                                  </w:pPr>
                                </w:p>
                              </w:tc>
                              <w:tc>
                                <w:tcPr>
                                  <w:tcW w:w="3551" w:type="dxa"/>
                                  <w:tcMar>
                                    <w:top w:w="28" w:type="dxa"/>
                                    <w:left w:w="28" w:type="dxa"/>
                                    <w:bottom w:w="28" w:type="dxa"/>
                                    <w:right w:w="28" w:type="dxa"/>
                                  </w:tcMar>
                                </w:tcPr>
                                <w:p w:rsidR="0072071C" w:rsidRPr="005C657C" w:rsidRDefault="0072071C">
                                  <w:pPr>
                                    <w:pStyle w:val="af"/>
                                    <w:jc w:val="center"/>
                                    <w:rPr>
                                      <w:b w:val="0"/>
                                      <w:bCs w:val="0"/>
                                    </w:rPr>
                                  </w:pPr>
                                  <w:r w:rsidRPr="005C657C">
                                    <w:rPr>
                                      <w:b w:val="0"/>
                                      <w:bCs w:val="0"/>
                                    </w:rPr>
                                    <w:t>M: 1.3-1.5 mg/dL</w:t>
                                  </w:r>
                                </w:p>
                                <w:p w:rsidR="0072071C" w:rsidRPr="005C657C" w:rsidRDefault="0072071C">
                                  <w:pPr>
                                    <w:pStyle w:val="af"/>
                                    <w:jc w:val="center"/>
                                    <w:rPr>
                                      <w:b w:val="0"/>
                                      <w:bCs w:val="0"/>
                                    </w:rPr>
                                  </w:pPr>
                                </w:p>
                              </w:tc>
                            </w:tr>
                            <w:tr w:rsidR="0072071C" w:rsidRPr="005C657C" w:rsidTr="005C657C">
                              <w:tblPrEx>
                                <w:tblCellMar>
                                  <w:top w:w="0" w:type="dxa"/>
                                  <w:left w:w="0" w:type="dxa"/>
                                  <w:bottom w:w="0" w:type="dxa"/>
                                  <w:right w:w="0" w:type="dxa"/>
                                </w:tblCellMar>
                              </w:tblPrEx>
                              <w:trPr>
                                <w:trHeight w:val="60"/>
                              </w:trPr>
                              <w:tc>
                                <w:tcPr>
                                  <w:tcW w:w="2345" w:type="dxa"/>
                                  <w:tcMar>
                                    <w:top w:w="28" w:type="dxa"/>
                                    <w:left w:w="28" w:type="dxa"/>
                                    <w:bottom w:w="28" w:type="dxa"/>
                                    <w:right w:w="28" w:type="dxa"/>
                                  </w:tcMar>
                                </w:tcPr>
                                <w:p w:rsidR="0072071C" w:rsidRPr="005C657C" w:rsidRDefault="0072071C">
                                  <w:pPr>
                                    <w:pStyle w:val="Noparagraphstyle"/>
                                    <w:spacing w:line="240" w:lineRule="auto"/>
                                    <w:jc w:val="left"/>
                                    <w:textAlignment w:val="auto"/>
                                    <w:rPr>
                                      <w:rFonts w:ascii="Book Antiqua" w:cs="Angsana New"/>
                                      <w:color w:val="auto"/>
                                      <w:lang w:val="en-US"/>
                                    </w:rPr>
                                  </w:pPr>
                                </w:p>
                              </w:tc>
                              <w:tc>
                                <w:tcPr>
                                  <w:tcW w:w="3661" w:type="dxa"/>
                                  <w:tcMar>
                                    <w:top w:w="28" w:type="dxa"/>
                                    <w:left w:w="28" w:type="dxa"/>
                                    <w:bottom w:w="28" w:type="dxa"/>
                                    <w:right w:w="28" w:type="dxa"/>
                                  </w:tcMar>
                                </w:tcPr>
                                <w:p w:rsidR="0072071C" w:rsidRPr="005C657C" w:rsidRDefault="0072071C">
                                  <w:pPr>
                                    <w:pStyle w:val="Noparagraphstyle"/>
                                    <w:spacing w:line="240" w:lineRule="auto"/>
                                    <w:jc w:val="left"/>
                                    <w:textAlignment w:val="auto"/>
                                    <w:rPr>
                                      <w:rFonts w:ascii="Book Antiqua" w:cs="Angsana New"/>
                                      <w:color w:val="auto"/>
                                      <w:lang w:val="en-US"/>
                                    </w:rPr>
                                  </w:pPr>
                                </w:p>
                              </w:tc>
                              <w:tc>
                                <w:tcPr>
                                  <w:tcW w:w="3551" w:type="dxa"/>
                                  <w:tcMar>
                                    <w:top w:w="28" w:type="dxa"/>
                                    <w:left w:w="28" w:type="dxa"/>
                                    <w:bottom w:w="28" w:type="dxa"/>
                                    <w:right w:w="28" w:type="dxa"/>
                                  </w:tcMar>
                                </w:tcPr>
                                <w:p w:rsidR="0072071C" w:rsidRPr="005C657C" w:rsidRDefault="0072071C">
                                  <w:pPr>
                                    <w:pStyle w:val="af"/>
                                    <w:jc w:val="center"/>
                                    <w:rPr>
                                      <w:b w:val="0"/>
                                      <w:bCs w:val="0"/>
                                    </w:rPr>
                                  </w:pPr>
                                  <w:r w:rsidRPr="005C657C">
                                    <w:rPr>
                                      <w:b w:val="0"/>
                                      <w:bCs w:val="0"/>
                                    </w:rPr>
                                    <w:t>F: 1.2-1.4 mg/dL</w:t>
                                  </w:r>
                                </w:p>
                                <w:p w:rsidR="0072071C" w:rsidRPr="005C657C" w:rsidRDefault="0072071C">
                                  <w:pPr>
                                    <w:pStyle w:val="af"/>
                                    <w:jc w:val="center"/>
                                    <w:rPr>
                                      <w:b w:val="0"/>
                                      <w:bCs w:val="0"/>
                                    </w:rPr>
                                  </w:pPr>
                                </w:p>
                              </w:tc>
                            </w:tr>
                            <w:tr w:rsidR="0072071C" w:rsidRPr="005C657C" w:rsidTr="005C657C">
                              <w:tblPrEx>
                                <w:tblCellMar>
                                  <w:top w:w="0" w:type="dxa"/>
                                  <w:left w:w="0" w:type="dxa"/>
                                  <w:bottom w:w="0" w:type="dxa"/>
                                  <w:right w:w="0" w:type="dxa"/>
                                </w:tblCellMar>
                              </w:tblPrEx>
                              <w:trPr>
                                <w:trHeight w:val="60"/>
                              </w:trPr>
                              <w:tc>
                                <w:tcPr>
                                  <w:tcW w:w="2345" w:type="dxa"/>
                                  <w:tcMar>
                                    <w:top w:w="28" w:type="dxa"/>
                                    <w:left w:w="28" w:type="dxa"/>
                                    <w:bottom w:w="28" w:type="dxa"/>
                                    <w:right w:w="28" w:type="dxa"/>
                                  </w:tcMar>
                                </w:tcPr>
                                <w:p w:rsidR="0072071C" w:rsidRPr="005C657C" w:rsidRDefault="0072071C">
                                  <w:pPr>
                                    <w:pStyle w:val="Noparagraphstyle"/>
                                    <w:spacing w:line="240" w:lineRule="auto"/>
                                    <w:jc w:val="left"/>
                                    <w:textAlignment w:val="auto"/>
                                    <w:rPr>
                                      <w:rFonts w:ascii="Book Antiqua" w:cs="Angsana New"/>
                                      <w:color w:val="auto"/>
                                      <w:lang w:val="en-US"/>
                                    </w:rPr>
                                  </w:pPr>
                                </w:p>
                              </w:tc>
                              <w:tc>
                                <w:tcPr>
                                  <w:tcW w:w="3661" w:type="dxa"/>
                                  <w:tcMar>
                                    <w:top w:w="28" w:type="dxa"/>
                                    <w:left w:w="28" w:type="dxa"/>
                                    <w:bottom w:w="28" w:type="dxa"/>
                                    <w:right w:w="28" w:type="dxa"/>
                                  </w:tcMar>
                                </w:tcPr>
                                <w:p w:rsidR="0072071C" w:rsidRPr="005C657C" w:rsidRDefault="0072071C">
                                  <w:pPr>
                                    <w:pStyle w:val="af"/>
                                    <w:jc w:val="center"/>
                                    <w:rPr>
                                      <w:b w:val="0"/>
                                      <w:bCs w:val="0"/>
                                      <w:lang w:val="en-GB"/>
                                    </w:rPr>
                                  </w:pPr>
                                  <w:r w:rsidRPr="005C657C">
                                    <w:rPr>
                                      <w:b w:val="0"/>
                                      <w:bCs w:val="0"/>
                                      <w:lang w:val="en-GB"/>
                                    </w:rPr>
                                    <w:t>Low glomerular filtration</w:t>
                                  </w:r>
                                </w:p>
                                <w:p w:rsidR="0072071C" w:rsidRPr="005C657C" w:rsidRDefault="0072071C">
                                  <w:pPr>
                                    <w:pStyle w:val="af"/>
                                    <w:jc w:val="center"/>
                                    <w:rPr>
                                      <w:b w:val="0"/>
                                      <w:bCs w:val="0"/>
                                    </w:rPr>
                                  </w:pPr>
                                </w:p>
                              </w:tc>
                              <w:tc>
                                <w:tcPr>
                                  <w:tcW w:w="3551" w:type="dxa"/>
                                  <w:tcMar>
                                    <w:top w:w="28" w:type="dxa"/>
                                    <w:left w:w="28" w:type="dxa"/>
                                    <w:bottom w:w="28" w:type="dxa"/>
                                    <w:right w:w="28" w:type="dxa"/>
                                  </w:tcMar>
                                </w:tcPr>
                                <w:p w:rsidR="0072071C" w:rsidRPr="005C657C" w:rsidRDefault="0072071C">
                                  <w:pPr>
                                    <w:pStyle w:val="af"/>
                                    <w:jc w:val="center"/>
                                    <w:rPr>
                                      <w:b w:val="0"/>
                                      <w:bCs w:val="0"/>
                                    </w:rPr>
                                  </w:pPr>
                                  <w:r w:rsidRPr="005C657C">
                                    <w:rPr>
                                      <w:b w:val="0"/>
                                      <w:bCs w:val="0"/>
                                    </w:rPr>
                                    <w:t>Creatinine clearance &lt; 60 mL/min</w:t>
                                  </w:r>
                                </w:p>
                                <w:p w:rsidR="0072071C" w:rsidRPr="005C657C" w:rsidRDefault="0072071C">
                                  <w:pPr>
                                    <w:pStyle w:val="af"/>
                                    <w:jc w:val="center"/>
                                    <w:rPr>
                                      <w:b w:val="0"/>
                                      <w:bCs w:val="0"/>
                                    </w:rPr>
                                  </w:pPr>
                                </w:p>
                              </w:tc>
                            </w:tr>
                            <w:tr w:rsidR="0072071C" w:rsidRPr="005C657C" w:rsidTr="005C657C">
                              <w:tblPrEx>
                                <w:tblCellMar>
                                  <w:top w:w="0" w:type="dxa"/>
                                  <w:left w:w="0" w:type="dxa"/>
                                  <w:bottom w:w="0" w:type="dxa"/>
                                  <w:right w:w="0" w:type="dxa"/>
                                </w:tblCellMar>
                              </w:tblPrEx>
                              <w:trPr>
                                <w:trHeight w:val="60"/>
                              </w:trPr>
                              <w:tc>
                                <w:tcPr>
                                  <w:tcW w:w="2345" w:type="dxa"/>
                                  <w:tcMar>
                                    <w:top w:w="28" w:type="dxa"/>
                                    <w:left w:w="28" w:type="dxa"/>
                                    <w:bottom w:w="28" w:type="dxa"/>
                                    <w:right w:w="28" w:type="dxa"/>
                                  </w:tcMar>
                                </w:tcPr>
                                <w:p w:rsidR="0072071C" w:rsidRPr="005C657C" w:rsidRDefault="0072071C">
                                  <w:pPr>
                                    <w:pStyle w:val="Noparagraphstyle"/>
                                    <w:spacing w:line="240" w:lineRule="auto"/>
                                    <w:jc w:val="left"/>
                                    <w:textAlignment w:val="auto"/>
                                    <w:rPr>
                                      <w:rFonts w:ascii="Book Antiqua" w:cs="Angsana New"/>
                                      <w:color w:val="auto"/>
                                      <w:lang w:val="en-US"/>
                                    </w:rPr>
                                  </w:pPr>
                                </w:p>
                              </w:tc>
                              <w:tc>
                                <w:tcPr>
                                  <w:tcW w:w="3661" w:type="dxa"/>
                                  <w:tcMar>
                                    <w:top w:w="28" w:type="dxa"/>
                                    <w:left w:w="28" w:type="dxa"/>
                                    <w:bottom w:w="28" w:type="dxa"/>
                                    <w:right w:w="28" w:type="dxa"/>
                                  </w:tcMar>
                                </w:tcPr>
                                <w:p w:rsidR="0072071C" w:rsidRPr="005C657C" w:rsidRDefault="0072071C">
                                  <w:pPr>
                                    <w:pStyle w:val="af"/>
                                    <w:jc w:val="center"/>
                                    <w:rPr>
                                      <w:b w:val="0"/>
                                      <w:bCs w:val="0"/>
                                      <w:lang w:val="en-GB"/>
                                    </w:rPr>
                                  </w:pPr>
                                  <w:r w:rsidRPr="005C657C">
                                    <w:rPr>
                                      <w:b w:val="0"/>
                                      <w:bCs w:val="0"/>
                                      <w:lang w:val="en-GB"/>
                                    </w:rPr>
                                    <w:t xml:space="preserve">Microalbuminuria </w:t>
                                  </w:r>
                                </w:p>
                                <w:p w:rsidR="0072071C" w:rsidRPr="005C657C" w:rsidRDefault="0072071C">
                                  <w:pPr>
                                    <w:pStyle w:val="af"/>
                                    <w:jc w:val="center"/>
                                    <w:rPr>
                                      <w:b w:val="0"/>
                                      <w:bCs w:val="0"/>
                                    </w:rPr>
                                  </w:pPr>
                                </w:p>
                              </w:tc>
                              <w:tc>
                                <w:tcPr>
                                  <w:tcW w:w="3551" w:type="dxa"/>
                                  <w:tcMar>
                                    <w:top w:w="28" w:type="dxa"/>
                                    <w:left w:w="28" w:type="dxa"/>
                                    <w:bottom w:w="28" w:type="dxa"/>
                                    <w:right w:w="28" w:type="dxa"/>
                                  </w:tcMar>
                                </w:tcPr>
                                <w:p w:rsidR="0072071C" w:rsidRPr="005C657C" w:rsidRDefault="0072071C">
                                  <w:pPr>
                                    <w:pStyle w:val="af"/>
                                    <w:jc w:val="center"/>
                                    <w:rPr>
                                      <w:b w:val="0"/>
                                      <w:bCs w:val="0"/>
                                    </w:rPr>
                                  </w:pPr>
                                  <w:r w:rsidRPr="005C657C">
                                    <w:rPr>
                                      <w:b w:val="0"/>
                                      <w:bCs w:val="0"/>
                                    </w:rPr>
                                    <w:t>30-300 mg/24 h</w:t>
                                  </w:r>
                                </w:p>
                                <w:p w:rsidR="0072071C" w:rsidRPr="005C657C" w:rsidRDefault="0072071C">
                                  <w:pPr>
                                    <w:pStyle w:val="af"/>
                                    <w:jc w:val="center"/>
                                    <w:rPr>
                                      <w:b w:val="0"/>
                                      <w:bCs w:val="0"/>
                                    </w:rPr>
                                  </w:pPr>
                                </w:p>
                              </w:tc>
                            </w:tr>
                            <w:tr w:rsidR="0072071C" w:rsidRPr="005C657C" w:rsidTr="005C657C">
                              <w:tblPrEx>
                                <w:tblCellMar>
                                  <w:top w:w="0" w:type="dxa"/>
                                  <w:left w:w="0" w:type="dxa"/>
                                  <w:bottom w:w="0" w:type="dxa"/>
                                  <w:right w:w="0" w:type="dxa"/>
                                </w:tblCellMar>
                              </w:tblPrEx>
                              <w:trPr>
                                <w:trHeight w:val="60"/>
                              </w:trPr>
                              <w:tc>
                                <w:tcPr>
                                  <w:tcW w:w="2345" w:type="dxa"/>
                                  <w:tcMar>
                                    <w:top w:w="28" w:type="dxa"/>
                                    <w:left w:w="28" w:type="dxa"/>
                                    <w:bottom w:w="28" w:type="dxa"/>
                                    <w:right w:w="28" w:type="dxa"/>
                                  </w:tcMar>
                                </w:tcPr>
                                <w:p w:rsidR="0072071C" w:rsidRPr="005C657C" w:rsidRDefault="0072071C">
                                  <w:pPr>
                                    <w:pStyle w:val="Noparagraphstyle"/>
                                    <w:spacing w:line="240" w:lineRule="auto"/>
                                    <w:jc w:val="left"/>
                                    <w:textAlignment w:val="auto"/>
                                    <w:rPr>
                                      <w:rFonts w:ascii="Book Antiqua" w:cs="Angsana New"/>
                                      <w:color w:val="auto"/>
                                      <w:lang w:val="en-US"/>
                                    </w:rPr>
                                  </w:pPr>
                                </w:p>
                              </w:tc>
                              <w:tc>
                                <w:tcPr>
                                  <w:tcW w:w="3661" w:type="dxa"/>
                                  <w:tcMar>
                                    <w:top w:w="28" w:type="dxa"/>
                                    <w:left w:w="28" w:type="dxa"/>
                                    <w:bottom w:w="28" w:type="dxa"/>
                                    <w:right w:w="28" w:type="dxa"/>
                                  </w:tcMar>
                                </w:tcPr>
                                <w:p w:rsidR="0072071C" w:rsidRPr="005C657C" w:rsidRDefault="0072071C">
                                  <w:pPr>
                                    <w:pStyle w:val="Noparagraphstyle"/>
                                    <w:spacing w:line="240" w:lineRule="auto"/>
                                    <w:jc w:val="left"/>
                                    <w:textAlignment w:val="auto"/>
                                    <w:rPr>
                                      <w:rFonts w:ascii="Book Antiqua" w:cs="Angsana New"/>
                                      <w:color w:val="auto"/>
                                      <w:lang w:val="en-US"/>
                                    </w:rPr>
                                  </w:pPr>
                                </w:p>
                              </w:tc>
                              <w:tc>
                                <w:tcPr>
                                  <w:tcW w:w="3551" w:type="dxa"/>
                                  <w:tcMar>
                                    <w:top w:w="28" w:type="dxa"/>
                                    <w:left w:w="28" w:type="dxa"/>
                                    <w:bottom w:w="28" w:type="dxa"/>
                                    <w:right w:w="28" w:type="dxa"/>
                                  </w:tcMar>
                                </w:tcPr>
                                <w:p w:rsidR="0072071C" w:rsidRPr="005C657C" w:rsidRDefault="0072071C">
                                  <w:pPr>
                                    <w:pStyle w:val="af"/>
                                    <w:jc w:val="center"/>
                                    <w:rPr>
                                      <w:b w:val="0"/>
                                      <w:bCs w:val="0"/>
                                      <w:lang w:val="en-US"/>
                                    </w:rPr>
                                  </w:pPr>
                                  <w:r w:rsidRPr="005C657C">
                                    <w:rPr>
                                      <w:b w:val="0"/>
                                      <w:bCs w:val="0"/>
                                      <w:lang w:val="en-US"/>
                                    </w:rPr>
                                    <w:t xml:space="preserve">Alb/Cr </w:t>
                                  </w:r>
                                  <w:r w:rsidRPr="005C657C">
                                    <w:rPr>
                                      <w:rFonts w:ascii="宋体" w:cs="宋体" w:hint="eastAsia"/>
                                      <w:b w:val="0"/>
                                      <w:bCs w:val="0"/>
                                      <w:lang w:val="en-US"/>
                                    </w:rPr>
                                    <w:t>≥</w:t>
                                  </w:r>
                                  <w:r w:rsidRPr="005C657C">
                                    <w:rPr>
                                      <w:b w:val="0"/>
                                      <w:bCs w:val="0"/>
                                      <w:lang w:val="en-US"/>
                                    </w:rPr>
                                    <w:t xml:space="preserve"> 22 (M) or </w:t>
                                  </w:r>
                                  <w:r w:rsidRPr="005C657C">
                                    <w:rPr>
                                      <w:rFonts w:ascii="宋体" w:cs="宋体" w:hint="eastAsia"/>
                                      <w:b w:val="0"/>
                                      <w:bCs w:val="0"/>
                                      <w:lang w:val="en-US"/>
                                    </w:rPr>
                                    <w:t>≥</w:t>
                                  </w:r>
                                  <w:r w:rsidRPr="005C657C">
                                    <w:rPr>
                                      <w:b w:val="0"/>
                                      <w:bCs w:val="0"/>
                                      <w:lang w:val="en-US"/>
                                    </w:rPr>
                                    <w:t xml:space="preserve"> 31 (F) mg/g Cr</w:t>
                                  </w:r>
                                </w:p>
                                <w:p w:rsidR="0072071C" w:rsidRPr="005C657C" w:rsidRDefault="0072071C">
                                  <w:pPr>
                                    <w:pStyle w:val="af"/>
                                    <w:jc w:val="center"/>
                                    <w:rPr>
                                      <w:b w:val="0"/>
                                      <w:bCs w:val="0"/>
                                      <w:lang w:val="en-US"/>
                                    </w:rPr>
                                  </w:pPr>
                                </w:p>
                              </w:tc>
                            </w:tr>
                            <w:tr w:rsidR="0072071C" w:rsidRPr="005C657C" w:rsidTr="005C657C">
                              <w:tblPrEx>
                                <w:tblCellMar>
                                  <w:top w:w="0" w:type="dxa"/>
                                  <w:left w:w="0" w:type="dxa"/>
                                  <w:bottom w:w="0" w:type="dxa"/>
                                  <w:right w:w="0" w:type="dxa"/>
                                </w:tblCellMar>
                              </w:tblPrEx>
                              <w:trPr>
                                <w:trHeight w:val="60"/>
                              </w:trPr>
                              <w:tc>
                                <w:tcPr>
                                  <w:tcW w:w="2345" w:type="dxa"/>
                                  <w:tcMar>
                                    <w:top w:w="28" w:type="dxa"/>
                                    <w:left w:w="28" w:type="dxa"/>
                                    <w:bottom w:w="28" w:type="dxa"/>
                                    <w:right w:w="28" w:type="dxa"/>
                                  </w:tcMar>
                                </w:tcPr>
                                <w:p w:rsidR="0072071C" w:rsidRPr="005C657C" w:rsidRDefault="0072071C">
                                  <w:pPr>
                                    <w:pStyle w:val="af"/>
                                    <w:rPr>
                                      <w:b w:val="0"/>
                                      <w:bCs w:val="0"/>
                                    </w:rPr>
                                  </w:pPr>
                                  <w:r w:rsidRPr="005C657C">
                                    <w:rPr>
                                      <w:b w:val="0"/>
                                      <w:bCs w:val="0"/>
                                    </w:rPr>
                                    <w:t>Inflammatory biomarkers</w:t>
                                  </w:r>
                                </w:p>
                                <w:p w:rsidR="0072071C" w:rsidRPr="005C657C" w:rsidRDefault="0072071C">
                                  <w:pPr>
                                    <w:pStyle w:val="af"/>
                                    <w:rPr>
                                      <w:b w:val="0"/>
                                      <w:bCs w:val="0"/>
                                    </w:rPr>
                                  </w:pPr>
                                </w:p>
                              </w:tc>
                              <w:tc>
                                <w:tcPr>
                                  <w:tcW w:w="3661" w:type="dxa"/>
                                  <w:tcMar>
                                    <w:top w:w="28" w:type="dxa"/>
                                    <w:left w:w="28" w:type="dxa"/>
                                    <w:bottom w:w="28" w:type="dxa"/>
                                    <w:right w:w="28" w:type="dxa"/>
                                  </w:tcMar>
                                </w:tcPr>
                                <w:p w:rsidR="0072071C" w:rsidRPr="005C657C" w:rsidRDefault="0072071C">
                                  <w:pPr>
                                    <w:pStyle w:val="af"/>
                                    <w:jc w:val="center"/>
                                    <w:rPr>
                                      <w:b w:val="0"/>
                                      <w:bCs w:val="0"/>
                                      <w:lang w:val="en-GB"/>
                                    </w:rPr>
                                  </w:pPr>
                                  <w:r w:rsidRPr="005C657C">
                                    <w:rPr>
                                      <w:b w:val="0"/>
                                      <w:bCs w:val="0"/>
                                      <w:lang w:val="en-GB"/>
                                    </w:rPr>
                                    <w:t>TNF, IL-6, C-reactive protein</w:t>
                                  </w:r>
                                </w:p>
                                <w:p w:rsidR="0072071C" w:rsidRPr="005C657C" w:rsidRDefault="0072071C">
                                  <w:pPr>
                                    <w:pStyle w:val="af"/>
                                    <w:jc w:val="center"/>
                                    <w:rPr>
                                      <w:b w:val="0"/>
                                      <w:bCs w:val="0"/>
                                    </w:rPr>
                                  </w:pPr>
                                </w:p>
                              </w:tc>
                              <w:tc>
                                <w:tcPr>
                                  <w:tcW w:w="3551" w:type="dxa"/>
                                  <w:tcMar>
                                    <w:top w:w="28" w:type="dxa"/>
                                    <w:left w:w="28" w:type="dxa"/>
                                    <w:bottom w:w="28" w:type="dxa"/>
                                    <w:right w:w="28" w:type="dxa"/>
                                  </w:tcMar>
                                </w:tcPr>
                                <w:p w:rsidR="0072071C" w:rsidRPr="005C657C" w:rsidRDefault="0072071C">
                                  <w:pPr>
                                    <w:pStyle w:val="Noparagraphstyle"/>
                                    <w:spacing w:line="240" w:lineRule="auto"/>
                                    <w:jc w:val="left"/>
                                    <w:textAlignment w:val="auto"/>
                                    <w:rPr>
                                      <w:rFonts w:ascii="Book Antiqua" w:cs="Angsana New"/>
                                      <w:color w:val="auto"/>
                                      <w:lang w:val="en-US"/>
                                    </w:rPr>
                                  </w:pPr>
                                </w:p>
                              </w:tc>
                            </w:tr>
                            <w:tr w:rsidR="0072071C" w:rsidRPr="005C657C" w:rsidTr="005C657C">
                              <w:tblPrEx>
                                <w:tblCellMar>
                                  <w:top w:w="0" w:type="dxa"/>
                                  <w:left w:w="0" w:type="dxa"/>
                                  <w:bottom w:w="0" w:type="dxa"/>
                                  <w:right w:w="0" w:type="dxa"/>
                                </w:tblCellMar>
                              </w:tblPrEx>
                              <w:trPr>
                                <w:trHeight w:val="60"/>
                              </w:trPr>
                              <w:tc>
                                <w:tcPr>
                                  <w:tcW w:w="2345" w:type="dxa"/>
                                  <w:tcMar>
                                    <w:top w:w="28" w:type="dxa"/>
                                    <w:left w:w="28" w:type="dxa"/>
                                    <w:bottom w:w="28" w:type="dxa"/>
                                    <w:right w:w="28" w:type="dxa"/>
                                  </w:tcMar>
                                </w:tcPr>
                                <w:p w:rsidR="0072071C" w:rsidRPr="005C657C" w:rsidRDefault="0072071C">
                                  <w:pPr>
                                    <w:pStyle w:val="af"/>
                                    <w:rPr>
                                      <w:b w:val="0"/>
                                      <w:bCs w:val="0"/>
                                    </w:rPr>
                                  </w:pPr>
                                  <w:r w:rsidRPr="005C657C">
                                    <w:rPr>
                                      <w:b w:val="0"/>
                                      <w:bCs w:val="0"/>
                                    </w:rPr>
                                    <w:t xml:space="preserve">Thrombogenic biomarkers </w:t>
                                  </w:r>
                                </w:p>
                                <w:p w:rsidR="0072071C" w:rsidRPr="005C657C" w:rsidRDefault="0072071C">
                                  <w:pPr>
                                    <w:pStyle w:val="af"/>
                                    <w:rPr>
                                      <w:b w:val="0"/>
                                      <w:bCs w:val="0"/>
                                    </w:rPr>
                                  </w:pPr>
                                </w:p>
                              </w:tc>
                              <w:tc>
                                <w:tcPr>
                                  <w:tcW w:w="3661" w:type="dxa"/>
                                  <w:tcMar>
                                    <w:top w:w="28" w:type="dxa"/>
                                    <w:left w:w="28" w:type="dxa"/>
                                    <w:bottom w:w="28" w:type="dxa"/>
                                    <w:right w:w="28" w:type="dxa"/>
                                  </w:tcMar>
                                </w:tcPr>
                                <w:p w:rsidR="0072071C" w:rsidRPr="005C657C" w:rsidRDefault="0072071C">
                                  <w:pPr>
                                    <w:pStyle w:val="af"/>
                                    <w:jc w:val="center"/>
                                    <w:rPr>
                                      <w:b w:val="0"/>
                                      <w:bCs w:val="0"/>
                                      <w:lang w:val="en-GB"/>
                                    </w:rPr>
                                  </w:pPr>
                                  <w:r w:rsidRPr="005C657C">
                                    <w:rPr>
                                      <w:b w:val="0"/>
                                      <w:bCs w:val="0"/>
                                      <w:lang w:val="en-GB"/>
                                    </w:rPr>
                                    <w:t>PAI-1, fibrinogen, factor VII</w:t>
                                  </w:r>
                                </w:p>
                                <w:p w:rsidR="0072071C" w:rsidRPr="005C657C" w:rsidRDefault="0072071C">
                                  <w:pPr>
                                    <w:pStyle w:val="af"/>
                                    <w:jc w:val="center"/>
                                    <w:rPr>
                                      <w:b w:val="0"/>
                                      <w:bCs w:val="0"/>
                                    </w:rPr>
                                  </w:pPr>
                                </w:p>
                              </w:tc>
                              <w:tc>
                                <w:tcPr>
                                  <w:tcW w:w="3551" w:type="dxa"/>
                                  <w:tcMar>
                                    <w:top w:w="28" w:type="dxa"/>
                                    <w:left w:w="28" w:type="dxa"/>
                                    <w:bottom w:w="28" w:type="dxa"/>
                                    <w:right w:w="28" w:type="dxa"/>
                                  </w:tcMar>
                                </w:tcPr>
                                <w:p w:rsidR="0072071C" w:rsidRPr="005C657C" w:rsidRDefault="0072071C">
                                  <w:pPr>
                                    <w:pStyle w:val="Noparagraphstyle"/>
                                    <w:spacing w:line="240" w:lineRule="auto"/>
                                    <w:jc w:val="left"/>
                                    <w:textAlignment w:val="auto"/>
                                    <w:rPr>
                                      <w:rFonts w:ascii="Book Antiqua" w:cs="Angsana New"/>
                                      <w:color w:val="auto"/>
                                      <w:lang w:val="en-US"/>
                                    </w:rPr>
                                  </w:pPr>
                                </w:p>
                              </w:tc>
                            </w:tr>
                          </w:tbl>
                          <w:p w:rsidR="0072071C" w:rsidRPr="0034780D" w:rsidRDefault="0072071C" w:rsidP="0072071C">
                            <w:pPr>
                              <w:pStyle w:val="af0"/>
                            </w:pPr>
                            <w:r w:rsidRPr="005C657C">
                              <w:rPr>
                                <w:b w:val="0"/>
                                <w:bCs w:val="0"/>
                              </w:rPr>
                              <w:t>CIMT: Carotid intima-media thickness; CT: Computerized tomography; M: Male; F: Female; TNF: Tumor necrosis factor; IL: Interleukin; PAI-1: Plasminogen activator inhibitor type 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420.75pt;height:46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">
                <v:textbox style="mso-fit-shape-to-text:t">
                  <w:txbxContent>
                    <w:p w:rsidR="0072071C" w:rsidRPr="005C657C" w:rsidRDefault="0072071C" w:rsidP="0072071C">
                      <w:pPr>
                        <w:rPr>
                          <w:b/>
                          <w:bCs/>
                          <w:vertAlign w:val="superscript"/>
                        </w:rPr>
                      </w:pPr>
                      <w:r w:rsidRPr="005C657C">
                        <w:rPr>
                          <w:b/>
                          <w:bCs/>
                        </w:rPr>
                        <w:t xml:space="preserve">Table </w:t>
                      </w:r>
                      <w:proofErr w:type="gramStart"/>
                      <w:r w:rsidRPr="005C657C">
                        <w:rPr>
                          <w:b/>
                          <w:bCs/>
                        </w:rPr>
                        <w:t>1  Methods</w:t>
                      </w:r>
                      <w:proofErr w:type="gramEnd"/>
                      <w:r w:rsidRPr="005C657C">
                        <w:rPr>
                          <w:b/>
                          <w:bCs/>
                        </w:rPr>
                        <w:t xml:space="preserve"> to detect subclinical atherosclerosis</w:t>
                      </w:r>
                      <w:r w:rsidRPr="005C657C">
                        <w:rPr>
                          <w:b/>
                          <w:bCs/>
                          <w:vertAlign w:val="superscript"/>
                        </w:rPr>
                        <w:t>[8]</w:t>
                      </w:r>
                    </w:p>
                    <w:tbl>
                      <w:tblPr>
                        <w:tblW w:w="95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345"/>
                        <w:gridCol w:w="3661"/>
                        <w:gridCol w:w="3551"/>
                      </w:tblGrid>
                      <w:tr w:rsidR="0072071C" w:rsidRPr="005C657C" w:rsidTr="005C657C">
                        <w:tblPrEx>
                          <w:tblCellMar>
                            <w:top w:w="0" w:type="dxa"/>
                            <w:left w:w="0" w:type="dxa"/>
                            <w:bottom w:w="0" w:type="dxa"/>
                            <w:right w:w="0" w:type="dxa"/>
                          </w:tblCellMar>
                        </w:tblPrEx>
                        <w:trPr>
                          <w:trHeight w:val="60"/>
                        </w:trPr>
                        <w:tc>
                          <w:tcPr>
                            <w:tcW w:w="2345" w:type="dxa"/>
                            <w:tcMar>
                              <w:top w:w="28" w:type="dxa"/>
                              <w:left w:w="28" w:type="dxa"/>
                              <w:bottom w:w="28" w:type="dxa"/>
                              <w:right w:w="28" w:type="dxa"/>
                            </w:tcMar>
                          </w:tcPr>
                          <w:p w:rsidR="0072071C" w:rsidRPr="005C657C" w:rsidRDefault="0072071C">
                            <w:pPr>
                              <w:pStyle w:val="af"/>
                              <w:rPr>
                                <w:b w:val="0"/>
                                <w:bCs w:val="0"/>
                                <w:lang w:val="en-GB"/>
                              </w:rPr>
                            </w:pPr>
                            <w:r w:rsidRPr="005C657C">
                              <w:rPr>
                                <w:b w:val="0"/>
                                <w:bCs w:val="0"/>
                                <w:lang w:val="en-GB"/>
                              </w:rPr>
                              <w:t>Carotid ultrasound</w:t>
                            </w:r>
                          </w:p>
                          <w:p w:rsidR="0072071C" w:rsidRPr="005C657C" w:rsidRDefault="0072071C">
                            <w:pPr>
                              <w:pStyle w:val="af"/>
                              <w:rPr>
                                <w:b w:val="0"/>
                                <w:bCs w:val="0"/>
                              </w:rPr>
                            </w:pPr>
                          </w:p>
                        </w:tc>
                        <w:tc>
                          <w:tcPr>
                            <w:tcW w:w="3661" w:type="dxa"/>
                            <w:tcMar>
                              <w:top w:w="28" w:type="dxa"/>
                              <w:left w:w="28" w:type="dxa"/>
                              <w:bottom w:w="28" w:type="dxa"/>
                              <w:right w:w="28" w:type="dxa"/>
                            </w:tcMar>
                          </w:tcPr>
                          <w:p w:rsidR="0072071C" w:rsidRPr="005C657C" w:rsidRDefault="0072071C">
                            <w:pPr>
                              <w:pStyle w:val="af"/>
                              <w:jc w:val="center"/>
                              <w:rPr>
                                <w:b w:val="0"/>
                                <w:bCs w:val="0"/>
                              </w:rPr>
                            </w:pPr>
                            <w:r w:rsidRPr="005C657C">
                              <w:rPr>
                                <w:b w:val="0"/>
                                <w:bCs w:val="0"/>
                              </w:rPr>
                              <w:t>CIMT</w:t>
                            </w:r>
                          </w:p>
                          <w:p w:rsidR="0072071C" w:rsidRPr="005C657C" w:rsidRDefault="0072071C">
                            <w:pPr>
                              <w:pStyle w:val="af"/>
                              <w:jc w:val="center"/>
                              <w:rPr>
                                <w:b w:val="0"/>
                                <w:bCs w:val="0"/>
                              </w:rPr>
                            </w:pPr>
                          </w:p>
                        </w:tc>
                        <w:tc>
                          <w:tcPr>
                            <w:tcW w:w="3551" w:type="dxa"/>
                            <w:tcMar>
                              <w:top w:w="28" w:type="dxa"/>
                              <w:left w:w="28" w:type="dxa"/>
                              <w:bottom w:w="28" w:type="dxa"/>
                              <w:right w:w="28" w:type="dxa"/>
                            </w:tcMar>
                          </w:tcPr>
                          <w:p w:rsidR="0072071C" w:rsidRPr="005C657C" w:rsidRDefault="0072071C">
                            <w:pPr>
                              <w:pStyle w:val="af"/>
                              <w:jc w:val="center"/>
                              <w:rPr>
                                <w:b w:val="0"/>
                                <w:bCs w:val="0"/>
                                <w:lang w:val="en-GB"/>
                              </w:rPr>
                            </w:pPr>
                            <w:r w:rsidRPr="005C657C">
                              <w:rPr>
                                <w:b w:val="0"/>
                                <w:bCs w:val="0"/>
                                <w:lang w:val="en-GB"/>
                              </w:rPr>
                              <w:t>&gt; 0.9 mm</w:t>
                            </w:r>
                          </w:p>
                          <w:p w:rsidR="0072071C" w:rsidRPr="005C657C" w:rsidRDefault="0072071C">
                            <w:pPr>
                              <w:pStyle w:val="af"/>
                              <w:jc w:val="center"/>
                              <w:rPr>
                                <w:b w:val="0"/>
                                <w:bCs w:val="0"/>
                              </w:rPr>
                            </w:pPr>
                          </w:p>
                        </w:tc>
                      </w:tr>
                      <w:tr w:rsidR="0072071C" w:rsidRPr="005C657C" w:rsidTr="005C657C">
                        <w:tblPrEx>
                          <w:tblCellMar>
                            <w:top w:w="0" w:type="dxa"/>
                            <w:left w:w="0" w:type="dxa"/>
                            <w:bottom w:w="0" w:type="dxa"/>
                            <w:right w:w="0" w:type="dxa"/>
                          </w:tblCellMar>
                        </w:tblPrEx>
                        <w:trPr>
                          <w:trHeight w:val="60"/>
                        </w:trPr>
                        <w:tc>
                          <w:tcPr>
                            <w:tcW w:w="2345" w:type="dxa"/>
                            <w:tcMar>
                              <w:top w:w="28" w:type="dxa"/>
                              <w:left w:w="28" w:type="dxa"/>
                              <w:bottom w:w="28" w:type="dxa"/>
                              <w:right w:w="28" w:type="dxa"/>
                            </w:tcMar>
                          </w:tcPr>
                          <w:p w:rsidR="0072071C" w:rsidRPr="005C657C" w:rsidRDefault="0072071C">
                            <w:pPr>
                              <w:pStyle w:val="af"/>
                              <w:rPr>
                                <w:b w:val="0"/>
                                <w:bCs w:val="0"/>
                                <w:lang w:val="en-GB"/>
                              </w:rPr>
                            </w:pPr>
                            <w:r w:rsidRPr="005C657C">
                              <w:rPr>
                                <w:b w:val="0"/>
                                <w:bCs w:val="0"/>
                                <w:lang w:val="en-GB"/>
                              </w:rPr>
                              <w:t>CT coronary angiography</w:t>
                            </w:r>
                          </w:p>
                          <w:p w:rsidR="0072071C" w:rsidRPr="005C657C" w:rsidRDefault="0072071C">
                            <w:pPr>
                              <w:pStyle w:val="af"/>
                              <w:rPr>
                                <w:b w:val="0"/>
                                <w:bCs w:val="0"/>
                              </w:rPr>
                            </w:pPr>
                          </w:p>
                        </w:tc>
                        <w:tc>
                          <w:tcPr>
                            <w:tcW w:w="3661" w:type="dxa"/>
                            <w:tcMar>
                              <w:top w:w="28" w:type="dxa"/>
                              <w:left w:w="28" w:type="dxa"/>
                              <w:bottom w:w="28" w:type="dxa"/>
                              <w:right w:w="28" w:type="dxa"/>
                            </w:tcMar>
                          </w:tcPr>
                          <w:p w:rsidR="0072071C" w:rsidRPr="005C657C" w:rsidRDefault="0072071C">
                            <w:pPr>
                              <w:pStyle w:val="af"/>
                              <w:jc w:val="center"/>
                              <w:rPr>
                                <w:b w:val="0"/>
                                <w:bCs w:val="0"/>
                                <w:lang w:val="en-US"/>
                              </w:rPr>
                            </w:pPr>
                            <w:r w:rsidRPr="005C657C">
                              <w:rPr>
                                <w:b w:val="0"/>
                                <w:bCs w:val="0"/>
                                <w:lang w:val="en-US"/>
                              </w:rPr>
                              <w:t>No. of calcifications in coronary arteries</w:t>
                            </w:r>
                          </w:p>
                          <w:p w:rsidR="0072071C" w:rsidRPr="005C657C" w:rsidRDefault="0072071C">
                            <w:pPr>
                              <w:pStyle w:val="af"/>
                              <w:jc w:val="center"/>
                              <w:rPr>
                                <w:b w:val="0"/>
                                <w:bCs w:val="0"/>
                                <w:lang w:val="en-US"/>
                              </w:rPr>
                            </w:pPr>
                          </w:p>
                        </w:tc>
                        <w:tc>
                          <w:tcPr>
                            <w:tcW w:w="3551" w:type="dxa"/>
                            <w:tcMar>
                              <w:top w:w="28" w:type="dxa"/>
                              <w:left w:w="28" w:type="dxa"/>
                              <w:bottom w:w="28" w:type="dxa"/>
                              <w:right w:w="28" w:type="dxa"/>
                            </w:tcMar>
                          </w:tcPr>
                          <w:p w:rsidR="0072071C" w:rsidRPr="005C657C" w:rsidRDefault="0072071C">
                            <w:pPr>
                              <w:pStyle w:val="af"/>
                              <w:jc w:val="center"/>
                              <w:rPr>
                                <w:b w:val="0"/>
                                <w:bCs w:val="0"/>
                                <w:lang w:val="en-GB"/>
                              </w:rPr>
                            </w:pPr>
                            <w:r w:rsidRPr="005C657C">
                              <w:rPr>
                                <w:rFonts w:ascii="宋体" w:cs="宋体" w:hint="eastAsia"/>
                                <w:b w:val="0"/>
                                <w:bCs w:val="0"/>
                                <w:lang w:val="en-US"/>
                              </w:rPr>
                              <w:t>≥</w:t>
                            </w:r>
                            <w:r w:rsidRPr="005C657C">
                              <w:rPr>
                                <w:b w:val="0"/>
                                <w:bCs w:val="0"/>
                                <w:lang w:val="en-GB"/>
                              </w:rPr>
                              <w:t xml:space="preserve"> 1</w:t>
                            </w:r>
                          </w:p>
                          <w:p w:rsidR="0072071C" w:rsidRPr="005C657C" w:rsidRDefault="0072071C">
                            <w:pPr>
                              <w:pStyle w:val="af"/>
                              <w:jc w:val="center"/>
                              <w:rPr>
                                <w:b w:val="0"/>
                                <w:bCs w:val="0"/>
                              </w:rPr>
                            </w:pPr>
                          </w:p>
                        </w:tc>
                      </w:tr>
                      <w:tr w:rsidR="0072071C" w:rsidRPr="005C657C" w:rsidTr="005C657C">
                        <w:tblPrEx>
                          <w:tblCellMar>
                            <w:top w:w="0" w:type="dxa"/>
                            <w:left w:w="0" w:type="dxa"/>
                            <w:bottom w:w="0" w:type="dxa"/>
                            <w:right w:w="0" w:type="dxa"/>
                          </w:tblCellMar>
                        </w:tblPrEx>
                        <w:trPr>
                          <w:trHeight w:val="60"/>
                        </w:trPr>
                        <w:tc>
                          <w:tcPr>
                            <w:tcW w:w="2345" w:type="dxa"/>
                            <w:tcMar>
                              <w:top w:w="28" w:type="dxa"/>
                              <w:left w:w="28" w:type="dxa"/>
                              <w:bottom w:w="28" w:type="dxa"/>
                              <w:right w:w="28" w:type="dxa"/>
                            </w:tcMar>
                          </w:tcPr>
                          <w:p w:rsidR="0072071C" w:rsidRPr="005C657C" w:rsidRDefault="0072071C">
                            <w:pPr>
                              <w:pStyle w:val="af"/>
                              <w:rPr>
                                <w:b w:val="0"/>
                                <w:bCs w:val="0"/>
                                <w:lang w:val="en-GB"/>
                              </w:rPr>
                            </w:pPr>
                            <w:r w:rsidRPr="005C657C">
                              <w:rPr>
                                <w:b w:val="0"/>
                                <w:bCs w:val="0"/>
                                <w:lang w:val="en-GB"/>
                              </w:rPr>
                              <w:t>Endothelial function</w:t>
                            </w:r>
                          </w:p>
                          <w:p w:rsidR="0072071C" w:rsidRPr="005C657C" w:rsidRDefault="0072071C">
                            <w:pPr>
                              <w:pStyle w:val="af"/>
                              <w:rPr>
                                <w:b w:val="0"/>
                                <w:bCs w:val="0"/>
                              </w:rPr>
                            </w:pPr>
                          </w:p>
                        </w:tc>
                        <w:tc>
                          <w:tcPr>
                            <w:tcW w:w="3661" w:type="dxa"/>
                            <w:tcMar>
                              <w:top w:w="28" w:type="dxa"/>
                              <w:left w:w="28" w:type="dxa"/>
                              <w:bottom w:w="28" w:type="dxa"/>
                              <w:right w:w="28" w:type="dxa"/>
                            </w:tcMar>
                          </w:tcPr>
                          <w:p w:rsidR="0072071C" w:rsidRPr="005C657C" w:rsidRDefault="0072071C">
                            <w:pPr>
                              <w:pStyle w:val="af"/>
                              <w:jc w:val="center"/>
                              <w:rPr>
                                <w:b w:val="0"/>
                                <w:bCs w:val="0"/>
                              </w:rPr>
                            </w:pPr>
                            <w:r w:rsidRPr="005C657C">
                              <w:rPr>
                                <w:b w:val="0"/>
                                <w:bCs w:val="0"/>
                              </w:rPr>
                              <w:t>Flow-mediated vasodilation brachial artery</w:t>
                            </w:r>
                          </w:p>
                          <w:p w:rsidR="0072071C" w:rsidRPr="005C657C" w:rsidRDefault="0072071C">
                            <w:pPr>
                              <w:pStyle w:val="af"/>
                              <w:jc w:val="center"/>
                              <w:rPr>
                                <w:b w:val="0"/>
                                <w:bCs w:val="0"/>
                              </w:rPr>
                            </w:pPr>
                          </w:p>
                        </w:tc>
                        <w:tc>
                          <w:tcPr>
                            <w:tcW w:w="3551" w:type="dxa"/>
                            <w:tcMar>
                              <w:top w:w="28" w:type="dxa"/>
                              <w:left w:w="28" w:type="dxa"/>
                              <w:bottom w:w="28" w:type="dxa"/>
                              <w:right w:w="28" w:type="dxa"/>
                            </w:tcMar>
                          </w:tcPr>
                          <w:p w:rsidR="0072071C" w:rsidRPr="005C657C" w:rsidRDefault="0072071C">
                            <w:pPr>
                              <w:pStyle w:val="Noparagraphstyle"/>
                              <w:spacing w:line="240" w:lineRule="auto"/>
                              <w:jc w:val="left"/>
                              <w:textAlignment w:val="auto"/>
                              <w:rPr>
                                <w:rFonts w:ascii="Book Antiqua" w:cs="Angsana New"/>
                                <w:color w:val="auto"/>
                                <w:lang w:val="en-US"/>
                              </w:rPr>
                            </w:pPr>
                          </w:p>
                        </w:tc>
                      </w:tr>
                      <w:tr w:rsidR="0072071C" w:rsidRPr="005C657C" w:rsidTr="005C657C">
                        <w:tblPrEx>
                          <w:tblCellMar>
                            <w:top w:w="0" w:type="dxa"/>
                            <w:left w:w="0" w:type="dxa"/>
                            <w:bottom w:w="0" w:type="dxa"/>
                            <w:right w:w="0" w:type="dxa"/>
                          </w:tblCellMar>
                        </w:tblPrEx>
                        <w:trPr>
                          <w:trHeight w:val="60"/>
                        </w:trPr>
                        <w:tc>
                          <w:tcPr>
                            <w:tcW w:w="2345" w:type="dxa"/>
                            <w:tcMar>
                              <w:top w:w="28" w:type="dxa"/>
                              <w:left w:w="28" w:type="dxa"/>
                              <w:bottom w:w="28" w:type="dxa"/>
                              <w:right w:w="28" w:type="dxa"/>
                            </w:tcMar>
                          </w:tcPr>
                          <w:p w:rsidR="0072071C" w:rsidRPr="005C657C" w:rsidRDefault="0072071C">
                            <w:pPr>
                              <w:pStyle w:val="Noparagraphstyle"/>
                              <w:spacing w:line="240" w:lineRule="auto"/>
                              <w:jc w:val="left"/>
                              <w:textAlignment w:val="auto"/>
                              <w:rPr>
                                <w:rFonts w:ascii="Book Antiqua" w:cs="Angsana New"/>
                                <w:color w:val="auto"/>
                                <w:lang w:val="en-US"/>
                              </w:rPr>
                            </w:pPr>
                          </w:p>
                        </w:tc>
                        <w:tc>
                          <w:tcPr>
                            <w:tcW w:w="3661" w:type="dxa"/>
                            <w:tcMar>
                              <w:top w:w="28" w:type="dxa"/>
                              <w:left w:w="28" w:type="dxa"/>
                              <w:bottom w:w="28" w:type="dxa"/>
                              <w:right w:w="28" w:type="dxa"/>
                            </w:tcMar>
                          </w:tcPr>
                          <w:p w:rsidR="0072071C" w:rsidRPr="005C657C" w:rsidRDefault="0072071C">
                            <w:pPr>
                              <w:pStyle w:val="af"/>
                              <w:jc w:val="center"/>
                              <w:rPr>
                                <w:b w:val="0"/>
                                <w:bCs w:val="0"/>
                                <w:lang w:val="en-US"/>
                              </w:rPr>
                            </w:pPr>
                            <w:r w:rsidRPr="005C657C">
                              <w:rPr>
                                <w:b w:val="0"/>
                                <w:bCs w:val="0"/>
                                <w:lang w:val="en-GB"/>
                              </w:rPr>
                              <w:t>Carotid-femoral</w:t>
                            </w:r>
                            <w:r w:rsidRPr="005C657C">
                              <w:rPr>
                                <w:b w:val="0"/>
                                <w:bCs w:val="0"/>
                                <w:lang w:val="en-US"/>
                              </w:rPr>
                              <w:t xml:space="preserve"> pulse wave velocity </w:t>
                            </w:r>
                          </w:p>
                          <w:p w:rsidR="0072071C" w:rsidRPr="005C657C" w:rsidRDefault="0072071C">
                            <w:pPr>
                              <w:pStyle w:val="af"/>
                              <w:jc w:val="center"/>
                              <w:rPr>
                                <w:b w:val="0"/>
                                <w:bCs w:val="0"/>
                                <w:lang w:val="en-US"/>
                              </w:rPr>
                            </w:pPr>
                          </w:p>
                        </w:tc>
                        <w:tc>
                          <w:tcPr>
                            <w:tcW w:w="3551" w:type="dxa"/>
                            <w:tcMar>
                              <w:top w:w="28" w:type="dxa"/>
                              <w:left w:w="28" w:type="dxa"/>
                              <w:bottom w:w="28" w:type="dxa"/>
                              <w:right w:w="28" w:type="dxa"/>
                            </w:tcMar>
                          </w:tcPr>
                          <w:p w:rsidR="0072071C" w:rsidRPr="005C657C" w:rsidRDefault="0072071C">
                            <w:pPr>
                              <w:pStyle w:val="af"/>
                              <w:jc w:val="center"/>
                              <w:rPr>
                                <w:b w:val="0"/>
                                <w:bCs w:val="0"/>
                                <w:lang w:val="en-GB"/>
                              </w:rPr>
                            </w:pPr>
                            <w:r w:rsidRPr="005C657C">
                              <w:rPr>
                                <w:b w:val="0"/>
                                <w:bCs w:val="0"/>
                                <w:lang w:val="en-GB"/>
                              </w:rPr>
                              <w:t>&gt; 12 m/s</w:t>
                            </w:r>
                          </w:p>
                          <w:p w:rsidR="0072071C" w:rsidRPr="005C657C" w:rsidRDefault="0072071C">
                            <w:pPr>
                              <w:pStyle w:val="af"/>
                              <w:jc w:val="center"/>
                              <w:rPr>
                                <w:b w:val="0"/>
                                <w:bCs w:val="0"/>
                              </w:rPr>
                            </w:pPr>
                          </w:p>
                        </w:tc>
                      </w:tr>
                      <w:tr w:rsidR="0072071C" w:rsidRPr="005C657C" w:rsidTr="005C657C">
                        <w:tblPrEx>
                          <w:tblCellMar>
                            <w:top w:w="0" w:type="dxa"/>
                            <w:left w:w="0" w:type="dxa"/>
                            <w:bottom w:w="0" w:type="dxa"/>
                            <w:right w:w="0" w:type="dxa"/>
                          </w:tblCellMar>
                        </w:tblPrEx>
                        <w:trPr>
                          <w:trHeight w:val="60"/>
                        </w:trPr>
                        <w:tc>
                          <w:tcPr>
                            <w:tcW w:w="2345" w:type="dxa"/>
                            <w:tcMar>
                              <w:top w:w="28" w:type="dxa"/>
                              <w:left w:w="28" w:type="dxa"/>
                              <w:bottom w:w="28" w:type="dxa"/>
                              <w:right w:w="28" w:type="dxa"/>
                            </w:tcMar>
                          </w:tcPr>
                          <w:p w:rsidR="0072071C" w:rsidRPr="005C657C" w:rsidRDefault="0072071C">
                            <w:pPr>
                              <w:pStyle w:val="af"/>
                              <w:rPr>
                                <w:b w:val="0"/>
                                <w:bCs w:val="0"/>
                                <w:lang w:val="en-GB"/>
                              </w:rPr>
                            </w:pPr>
                            <w:r w:rsidRPr="005C657C">
                              <w:rPr>
                                <w:b w:val="0"/>
                                <w:bCs w:val="0"/>
                                <w:lang w:val="en-GB"/>
                              </w:rPr>
                              <w:t>Morpho-structural alteration</w:t>
                            </w:r>
                          </w:p>
                          <w:p w:rsidR="0072071C" w:rsidRPr="005C657C" w:rsidRDefault="0072071C">
                            <w:pPr>
                              <w:pStyle w:val="af"/>
                              <w:rPr>
                                <w:b w:val="0"/>
                                <w:bCs w:val="0"/>
                              </w:rPr>
                            </w:pPr>
                          </w:p>
                        </w:tc>
                        <w:tc>
                          <w:tcPr>
                            <w:tcW w:w="3661" w:type="dxa"/>
                            <w:tcMar>
                              <w:top w:w="28" w:type="dxa"/>
                              <w:left w:w="28" w:type="dxa"/>
                              <w:bottom w:w="28" w:type="dxa"/>
                              <w:right w:w="28" w:type="dxa"/>
                            </w:tcMar>
                          </w:tcPr>
                          <w:p w:rsidR="0072071C" w:rsidRPr="005C657C" w:rsidRDefault="0072071C">
                            <w:pPr>
                              <w:pStyle w:val="af"/>
                              <w:jc w:val="center"/>
                              <w:rPr>
                                <w:b w:val="0"/>
                                <w:bCs w:val="0"/>
                                <w:lang w:val="en-GB"/>
                              </w:rPr>
                            </w:pPr>
                            <w:r w:rsidRPr="005C657C">
                              <w:rPr>
                                <w:b w:val="0"/>
                                <w:bCs w:val="0"/>
                                <w:lang w:val="en-GB"/>
                              </w:rPr>
                              <w:t>Electrocardiogram (left ventricular hypertrophy)</w:t>
                            </w:r>
                          </w:p>
                          <w:p w:rsidR="0072071C" w:rsidRPr="005C657C" w:rsidRDefault="0072071C">
                            <w:pPr>
                              <w:pStyle w:val="af"/>
                              <w:jc w:val="center"/>
                              <w:rPr>
                                <w:b w:val="0"/>
                                <w:bCs w:val="0"/>
                              </w:rPr>
                            </w:pPr>
                          </w:p>
                        </w:tc>
                        <w:tc>
                          <w:tcPr>
                            <w:tcW w:w="3551" w:type="dxa"/>
                            <w:tcMar>
                              <w:top w:w="28" w:type="dxa"/>
                              <w:left w:w="28" w:type="dxa"/>
                              <w:bottom w:w="28" w:type="dxa"/>
                              <w:right w:w="28" w:type="dxa"/>
                            </w:tcMar>
                          </w:tcPr>
                          <w:p w:rsidR="0072071C" w:rsidRPr="005C657C" w:rsidRDefault="0072071C">
                            <w:pPr>
                              <w:pStyle w:val="af"/>
                              <w:jc w:val="center"/>
                              <w:rPr>
                                <w:b w:val="0"/>
                                <w:bCs w:val="0"/>
                                <w:lang w:val="en-US"/>
                              </w:rPr>
                            </w:pPr>
                            <w:r w:rsidRPr="005C657C">
                              <w:rPr>
                                <w:b w:val="0"/>
                                <w:bCs w:val="0"/>
                                <w:lang w:val="en-US"/>
                              </w:rPr>
                              <w:t>Sokolov-Lyon &gt; 38 mm; cornell &gt; 2444 mm*ms</w:t>
                            </w:r>
                          </w:p>
                          <w:p w:rsidR="0072071C" w:rsidRPr="005C657C" w:rsidRDefault="0072071C">
                            <w:pPr>
                              <w:pStyle w:val="af"/>
                              <w:jc w:val="center"/>
                              <w:rPr>
                                <w:b w:val="0"/>
                                <w:bCs w:val="0"/>
                                <w:lang w:val="en-US"/>
                              </w:rPr>
                            </w:pPr>
                          </w:p>
                        </w:tc>
                      </w:tr>
                      <w:tr w:rsidR="0072071C" w:rsidRPr="005C657C" w:rsidTr="005C657C">
                        <w:tblPrEx>
                          <w:tblCellMar>
                            <w:top w:w="0" w:type="dxa"/>
                            <w:left w:w="0" w:type="dxa"/>
                            <w:bottom w:w="0" w:type="dxa"/>
                            <w:right w:w="0" w:type="dxa"/>
                          </w:tblCellMar>
                        </w:tblPrEx>
                        <w:trPr>
                          <w:trHeight w:val="60"/>
                        </w:trPr>
                        <w:tc>
                          <w:tcPr>
                            <w:tcW w:w="2345" w:type="dxa"/>
                            <w:tcMar>
                              <w:top w:w="28" w:type="dxa"/>
                              <w:left w:w="28" w:type="dxa"/>
                              <w:bottom w:w="28" w:type="dxa"/>
                              <w:right w:w="28" w:type="dxa"/>
                            </w:tcMar>
                          </w:tcPr>
                          <w:p w:rsidR="0072071C" w:rsidRPr="005C657C" w:rsidRDefault="0072071C">
                            <w:pPr>
                              <w:pStyle w:val="af"/>
                              <w:rPr>
                                <w:b w:val="0"/>
                                <w:bCs w:val="0"/>
                              </w:rPr>
                            </w:pPr>
                            <w:r w:rsidRPr="005C657C">
                              <w:rPr>
                                <w:b w:val="0"/>
                                <w:bCs w:val="0"/>
                              </w:rPr>
                              <w:t>Renal function</w:t>
                            </w:r>
                          </w:p>
                          <w:p w:rsidR="0072071C" w:rsidRPr="005C657C" w:rsidRDefault="0072071C">
                            <w:pPr>
                              <w:pStyle w:val="af"/>
                              <w:rPr>
                                <w:b w:val="0"/>
                                <w:bCs w:val="0"/>
                              </w:rPr>
                            </w:pPr>
                          </w:p>
                        </w:tc>
                        <w:tc>
                          <w:tcPr>
                            <w:tcW w:w="3661" w:type="dxa"/>
                            <w:tcMar>
                              <w:top w:w="28" w:type="dxa"/>
                              <w:left w:w="28" w:type="dxa"/>
                              <w:bottom w:w="28" w:type="dxa"/>
                              <w:right w:w="28" w:type="dxa"/>
                            </w:tcMar>
                          </w:tcPr>
                          <w:p w:rsidR="0072071C" w:rsidRPr="005C657C" w:rsidRDefault="0072071C">
                            <w:pPr>
                              <w:pStyle w:val="af"/>
                              <w:jc w:val="center"/>
                              <w:rPr>
                                <w:b w:val="0"/>
                                <w:bCs w:val="0"/>
                              </w:rPr>
                            </w:pPr>
                            <w:r w:rsidRPr="005C657C">
                              <w:rPr>
                                <w:b w:val="0"/>
                                <w:bCs w:val="0"/>
                              </w:rPr>
                              <w:t>Slight increase in plasmatic creatinine</w:t>
                            </w:r>
                          </w:p>
                          <w:p w:rsidR="0072071C" w:rsidRPr="005C657C" w:rsidRDefault="0072071C">
                            <w:pPr>
                              <w:pStyle w:val="af"/>
                              <w:jc w:val="center"/>
                              <w:rPr>
                                <w:b w:val="0"/>
                                <w:bCs w:val="0"/>
                              </w:rPr>
                            </w:pPr>
                          </w:p>
                        </w:tc>
                        <w:tc>
                          <w:tcPr>
                            <w:tcW w:w="3551" w:type="dxa"/>
                            <w:tcMar>
                              <w:top w:w="28" w:type="dxa"/>
                              <w:left w:w="28" w:type="dxa"/>
                              <w:bottom w:w="28" w:type="dxa"/>
                              <w:right w:w="28" w:type="dxa"/>
                            </w:tcMar>
                          </w:tcPr>
                          <w:p w:rsidR="0072071C" w:rsidRPr="005C657C" w:rsidRDefault="0072071C">
                            <w:pPr>
                              <w:pStyle w:val="af"/>
                              <w:jc w:val="center"/>
                              <w:rPr>
                                <w:b w:val="0"/>
                                <w:bCs w:val="0"/>
                              </w:rPr>
                            </w:pPr>
                            <w:r w:rsidRPr="005C657C">
                              <w:rPr>
                                <w:b w:val="0"/>
                                <w:bCs w:val="0"/>
                              </w:rPr>
                              <w:t>M: 1.3-1.5 mg/dL</w:t>
                            </w:r>
                          </w:p>
                          <w:p w:rsidR="0072071C" w:rsidRPr="005C657C" w:rsidRDefault="0072071C">
                            <w:pPr>
                              <w:pStyle w:val="af"/>
                              <w:jc w:val="center"/>
                              <w:rPr>
                                <w:b w:val="0"/>
                                <w:bCs w:val="0"/>
                              </w:rPr>
                            </w:pPr>
                          </w:p>
                        </w:tc>
                      </w:tr>
                      <w:tr w:rsidR="0072071C" w:rsidRPr="005C657C" w:rsidTr="005C657C">
                        <w:tblPrEx>
                          <w:tblCellMar>
                            <w:top w:w="0" w:type="dxa"/>
                            <w:left w:w="0" w:type="dxa"/>
                            <w:bottom w:w="0" w:type="dxa"/>
                            <w:right w:w="0" w:type="dxa"/>
                          </w:tblCellMar>
                        </w:tblPrEx>
                        <w:trPr>
                          <w:trHeight w:val="60"/>
                        </w:trPr>
                        <w:tc>
                          <w:tcPr>
                            <w:tcW w:w="2345" w:type="dxa"/>
                            <w:tcMar>
                              <w:top w:w="28" w:type="dxa"/>
                              <w:left w:w="28" w:type="dxa"/>
                              <w:bottom w:w="28" w:type="dxa"/>
                              <w:right w:w="28" w:type="dxa"/>
                            </w:tcMar>
                          </w:tcPr>
                          <w:p w:rsidR="0072071C" w:rsidRPr="005C657C" w:rsidRDefault="0072071C">
                            <w:pPr>
                              <w:pStyle w:val="Noparagraphstyle"/>
                              <w:spacing w:line="240" w:lineRule="auto"/>
                              <w:jc w:val="left"/>
                              <w:textAlignment w:val="auto"/>
                              <w:rPr>
                                <w:rFonts w:ascii="Book Antiqua" w:cs="Angsana New"/>
                                <w:color w:val="auto"/>
                                <w:lang w:val="en-US"/>
                              </w:rPr>
                            </w:pPr>
                          </w:p>
                        </w:tc>
                        <w:tc>
                          <w:tcPr>
                            <w:tcW w:w="3661" w:type="dxa"/>
                            <w:tcMar>
                              <w:top w:w="28" w:type="dxa"/>
                              <w:left w:w="28" w:type="dxa"/>
                              <w:bottom w:w="28" w:type="dxa"/>
                              <w:right w:w="28" w:type="dxa"/>
                            </w:tcMar>
                          </w:tcPr>
                          <w:p w:rsidR="0072071C" w:rsidRPr="005C657C" w:rsidRDefault="0072071C">
                            <w:pPr>
                              <w:pStyle w:val="Noparagraphstyle"/>
                              <w:spacing w:line="240" w:lineRule="auto"/>
                              <w:jc w:val="left"/>
                              <w:textAlignment w:val="auto"/>
                              <w:rPr>
                                <w:rFonts w:ascii="Book Antiqua" w:cs="Angsana New"/>
                                <w:color w:val="auto"/>
                                <w:lang w:val="en-US"/>
                              </w:rPr>
                            </w:pPr>
                          </w:p>
                        </w:tc>
                        <w:tc>
                          <w:tcPr>
                            <w:tcW w:w="3551" w:type="dxa"/>
                            <w:tcMar>
                              <w:top w:w="28" w:type="dxa"/>
                              <w:left w:w="28" w:type="dxa"/>
                              <w:bottom w:w="28" w:type="dxa"/>
                              <w:right w:w="28" w:type="dxa"/>
                            </w:tcMar>
                          </w:tcPr>
                          <w:p w:rsidR="0072071C" w:rsidRPr="005C657C" w:rsidRDefault="0072071C">
                            <w:pPr>
                              <w:pStyle w:val="af"/>
                              <w:jc w:val="center"/>
                              <w:rPr>
                                <w:b w:val="0"/>
                                <w:bCs w:val="0"/>
                              </w:rPr>
                            </w:pPr>
                            <w:r w:rsidRPr="005C657C">
                              <w:rPr>
                                <w:b w:val="0"/>
                                <w:bCs w:val="0"/>
                              </w:rPr>
                              <w:t>F: 1.2-1.4 mg/dL</w:t>
                            </w:r>
                          </w:p>
                          <w:p w:rsidR="0072071C" w:rsidRPr="005C657C" w:rsidRDefault="0072071C">
                            <w:pPr>
                              <w:pStyle w:val="af"/>
                              <w:jc w:val="center"/>
                              <w:rPr>
                                <w:b w:val="0"/>
                                <w:bCs w:val="0"/>
                              </w:rPr>
                            </w:pPr>
                          </w:p>
                        </w:tc>
                      </w:tr>
                      <w:tr w:rsidR="0072071C" w:rsidRPr="005C657C" w:rsidTr="005C657C">
                        <w:tblPrEx>
                          <w:tblCellMar>
                            <w:top w:w="0" w:type="dxa"/>
                            <w:left w:w="0" w:type="dxa"/>
                            <w:bottom w:w="0" w:type="dxa"/>
                            <w:right w:w="0" w:type="dxa"/>
                          </w:tblCellMar>
                        </w:tblPrEx>
                        <w:trPr>
                          <w:trHeight w:val="60"/>
                        </w:trPr>
                        <w:tc>
                          <w:tcPr>
                            <w:tcW w:w="2345" w:type="dxa"/>
                            <w:tcMar>
                              <w:top w:w="28" w:type="dxa"/>
                              <w:left w:w="28" w:type="dxa"/>
                              <w:bottom w:w="28" w:type="dxa"/>
                              <w:right w:w="28" w:type="dxa"/>
                            </w:tcMar>
                          </w:tcPr>
                          <w:p w:rsidR="0072071C" w:rsidRPr="005C657C" w:rsidRDefault="0072071C">
                            <w:pPr>
                              <w:pStyle w:val="Noparagraphstyle"/>
                              <w:spacing w:line="240" w:lineRule="auto"/>
                              <w:jc w:val="left"/>
                              <w:textAlignment w:val="auto"/>
                              <w:rPr>
                                <w:rFonts w:ascii="Book Antiqua" w:cs="Angsana New"/>
                                <w:color w:val="auto"/>
                                <w:lang w:val="en-US"/>
                              </w:rPr>
                            </w:pPr>
                          </w:p>
                        </w:tc>
                        <w:tc>
                          <w:tcPr>
                            <w:tcW w:w="3661" w:type="dxa"/>
                            <w:tcMar>
                              <w:top w:w="28" w:type="dxa"/>
                              <w:left w:w="28" w:type="dxa"/>
                              <w:bottom w:w="28" w:type="dxa"/>
                              <w:right w:w="28" w:type="dxa"/>
                            </w:tcMar>
                          </w:tcPr>
                          <w:p w:rsidR="0072071C" w:rsidRPr="005C657C" w:rsidRDefault="0072071C">
                            <w:pPr>
                              <w:pStyle w:val="af"/>
                              <w:jc w:val="center"/>
                              <w:rPr>
                                <w:b w:val="0"/>
                                <w:bCs w:val="0"/>
                                <w:lang w:val="en-GB"/>
                              </w:rPr>
                            </w:pPr>
                            <w:r w:rsidRPr="005C657C">
                              <w:rPr>
                                <w:b w:val="0"/>
                                <w:bCs w:val="0"/>
                                <w:lang w:val="en-GB"/>
                              </w:rPr>
                              <w:t>Low glomerular filtration</w:t>
                            </w:r>
                          </w:p>
                          <w:p w:rsidR="0072071C" w:rsidRPr="005C657C" w:rsidRDefault="0072071C">
                            <w:pPr>
                              <w:pStyle w:val="af"/>
                              <w:jc w:val="center"/>
                              <w:rPr>
                                <w:b w:val="0"/>
                                <w:bCs w:val="0"/>
                              </w:rPr>
                            </w:pPr>
                          </w:p>
                        </w:tc>
                        <w:tc>
                          <w:tcPr>
                            <w:tcW w:w="3551" w:type="dxa"/>
                            <w:tcMar>
                              <w:top w:w="28" w:type="dxa"/>
                              <w:left w:w="28" w:type="dxa"/>
                              <w:bottom w:w="28" w:type="dxa"/>
                              <w:right w:w="28" w:type="dxa"/>
                            </w:tcMar>
                          </w:tcPr>
                          <w:p w:rsidR="0072071C" w:rsidRPr="005C657C" w:rsidRDefault="0072071C">
                            <w:pPr>
                              <w:pStyle w:val="af"/>
                              <w:jc w:val="center"/>
                              <w:rPr>
                                <w:b w:val="0"/>
                                <w:bCs w:val="0"/>
                              </w:rPr>
                            </w:pPr>
                            <w:r w:rsidRPr="005C657C">
                              <w:rPr>
                                <w:b w:val="0"/>
                                <w:bCs w:val="0"/>
                              </w:rPr>
                              <w:t>Creatinine clearance &lt; 60 mL/min</w:t>
                            </w:r>
                          </w:p>
                          <w:p w:rsidR="0072071C" w:rsidRPr="005C657C" w:rsidRDefault="0072071C">
                            <w:pPr>
                              <w:pStyle w:val="af"/>
                              <w:jc w:val="center"/>
                              <w:rPr>
                                <w:b w:val="0"/>
                                <w:bCs w:val="0"/>
                              </w:rPr>
                            </w:pPr>
                          </w:p>
                        </w:tc>
                      </w:tr>
                      <w:tr w:rsidR="0072071C" w:rsidRPr="005C657C" w:rsidTr="005C657C">
                        <w:tblPrEx>
                          <w:tblCellMar>
                            <w:top w:w="0" w:type="dxa"/>
                            <w:left w:w="0" w:type="dxa"/>
                            <w:bottom w:w="0" w:type="dxa"/>
                            <w:right w:w="0" w:type="dxa"/>
                          </w:tblCellMar>
                        </w:tblPrEx>
                        <w:trPr>
                          <w:trHeight w:val="60"/>
                        </w:trPr>
                        <w:tc>
                          <w:tcPr>
                            <w:tcW w:w="2345" w:type="dxa"/>
                            <w:tcMar>
                              <w:top w:w="28" w:type="dxa"/>
                              <w:left w:w="28" w:type="dxa"/>
                              <w:bottom w:w="28" w:type="dxa"/>
                              <w:right w:w="28" w:type="dxa"/>
                            </w:tcMar>
                          </w:tcPr>
                          <w:p w:rsidR="0072071C" w:rsidRPr="005C657C" w:rsidRDefault="0072071C">
                            <w:pPr>
                              <w:pStyle w:val="Noparagraphstyle"/>
                              <w:spacing w:line="240" w:lineRule="auto"/>
                              <w:jc w:val="left"/>
                              <w:textAlignment w:val="auto"/>
                              <w:rPr>
                                <w:rFonts w:ascii="Book Antiqua" w:cs="Angsana New"/>
                                <w:color w:val="auto"/>
                                <w:lang w:val="en-US"/>
                              </w:rPr>
                            </w:pPr>
                          </w:p>
                        </w:tc>
                        <w:tc>
                          <w:tcPr>
                            <w:tcW w:w="3661" w:type="dxa"/>
                            <w:tcMar>
                              <w:top w:w="28" w:type="dxa"/>
                              <w:left w:w="28" w:type="dxa"/>
                              <w:bottom w:w="28" w:type="dxa"/>
                              <w:right w:w="28" w:type="dxa"/>
                            </w:tcMar>
                          </w:tcPr>
                          <w:p w:rsidR="0072071C" w:rsidRPr="005C657C" w:rsidRDefault="0072071C">
                            <w:pPr>
                              <w:pStyle w:val="af"/>
                              <w:jc w:val="center"/>
                              <w:rPr>
                                <w:b w:val="0"/>
                                <w:bCs w:val="0"/>
                                <w:lang w:val="en-GB"/>
                              </w:rPr>
                            </w:pPr>
                            <w:r w:rsidRPr="005C657C">
                              <w:rPr>
                                <w:b w:val="0"/>
                                <w:bCs w:val="0"/>
                                <w:lang w:val="en-GB"/>
                              </w:rPr>
                              <w:t xml:space="preserve">Microalbuminuria </w:t>
                            </w:r>
                          </w:p>
                          <w:p w:rsidR="0072071C" w:rsidRPr="005C657C" w:rsidRDefault="0072071C">
                            <w:pPr>
                              <w:pStyle w:val="af"/>
                              <w:jc w:val="center"/>
                              <w:rPr>
                                <w:b w:val="0"/>
                                <w:bCs w:val="0"/>
                              </w:rPr>
                            </w:pPr>
                          </w:p>
                        </w:tc>
                        <w:tc>
                          <w:tcPr>
                            <w:tcW w:w="3551" w:type="dxa"/>
                            <w:tcMar>
                              <w:top w:w="28" w:type="dxa"/>
                              <w:left w:w="28" w:type="dxa"/>
                              <w:bottom w:w="28" w:type="dxa"/>
                              <w:right w:w="28" w:type="dxa"/>
                            </w:tcMar>
                          </w:tcPr>
                          <w:p w:rsidR="0072071C" w:rsidRPr="005C657C" w:rsidRDefault="0072071C">
                            <w:pPr>
                              <w:pStyle w:val="af"/>
                              <w:jc w:val="center"/>
                              <w:rPr>
                                <w:b w:val="0"/>
                                <w:bCs w:val="0"/>
                              </w:rPr>
                            </w:pPr>
                            <w:r w:rsidRPr="005C657C">
                              <w:rPr>
                                <w:b w:val="0"/>
                                <w:bCs w:val="0"/>
                              </w:rPr>
                              <w:t>30-300 mg/24 h</w:t>
                            </w:r>
                          </w:p>
                          <w:p w:rsidR="0072071C" w:rsidRPr="005C657C" w:rsidRDefault="0072071C">
                            <w:pPr>
                              <w:pStyle w:val="af"/>
                              <w:jc w:val="center"/>
                              <w:rPr>
                                <w:b w:val="0"/>
                                <w:bCs w:val="0"/>
                              </w:rPr>
                            </w:pPr>
                          </w:p>
                        </w:tc>
                      </w:tr>
                      <w:tr w:rsidR="0072071C" w:rsidRPr="005C657C" w:rsidTr="005C657C">
                        <w:tblPrEx>
                          <w:tblCellMar>
                            <w:top w:w="0" w:type="dxa"/>
                            <w:left w:w="0" w:type="dxa"/>
                            <w:bottom w:w="0" w:type="dxa"/>
                            <w:right w:w="0" w:type="dxa"/>
                          </w:tblCellMar>
                        </w:tblPrEx>
                        <w:trPr>
                          <w:trHeight w:val="60"/>
                        </w:trPr>
                        <w:tc>
                          <w:tcPr>
                            <w:tcW w:w="2345" w:type="dxa"/>
                            <w:tcMar>
                              <w:top w:w="28" w:type="dxa"/>
                              <w:left w:w="28" w:type="dxa"/>
                              <w:bottom w:w="28" w:type="dxa"/>
                              <w:right w:w="28" w:type="dxa"/>
                            </w:tcMar>
                          </w:tcPr>
                          <w:p w:rsidR="0072071C" w:rsidRPr="005C657C" w:rsidRDefault="0072071C">
                            <w:pPr>
                              <w:pStyle w:val="Noparagraphstyle"/>
                              <w:spacing w:line="240" w:lineRule="auto"/>
                              <w:jc w:val="left"/>
                              <w:textAlignment w:val="auto"/>
                              <w:rPr>
                                <w:rFonts w:ascii="Book Antiqua" w:cs="Angsana New"/>
                                <w:color w:val="auto"/>
                                <w:lang w:val="en-US"/>
                              </w:rPr>
                            </w:pPr>
                          </w:p>
                        </w:tc>
                        <w:tc>
                          <w:tcPr>
                            <w:tcW w:w="3661" w:type="dxa"/>
                            <w:tcMar>
                              <w:top w:w="28" w:type="dxa"/>
                              <w:left w:w="28" w:type="dxa"/>
                              <w:bottom w:w="28" w:type="dxa"/>
                              <w:right w:w="28" w:type="dxa"/>
                            </w:tcMar>
                          </w:tcPr>
                          <w:p w:rsidR="0072071C" w:rsidRPr="005C657C" w:rsidRDefault="0072071C">
                            <w:pPr>
                              <w:pStyle w:val="Noparagraphstyle"/>
                              <w:spacing w:line="240" w:lineRule="auto"/>
                              <w:jc w:val="left"/>
                              <w:textAlignment w:val="auto"/>
                              <w:rPr>
                                <w:rFonts w:ascii="Book Antiqua" w:cs="Angsana New"/>
                                <w:color w:val="auto"/>
                                <w:lang w:val="en-US"/>
                              </w:rPr>
                            </w:pPr>
                          </w:p>
                        </w:tc>
                        <w:tc>
                          <w:tcPr>
                            <w:tcW w:w="3551" w:type="dxa"/>
                            <w:tcMar>
                              <w:top w:w="28" w:type="dxa"/>
                              <w:left w:w="28" w:type="dxa"/>
                              <w:bottom w:w="28" w:type="dxa"/>
                              <w:right w:w="28" w:type="dxa"/>
                            </w:tcMar>
                          </w:tcPr>
                          <w:p w:rsidR="0072071C" w:rsidRPr="005C657C" w:rsidRDefault="0072071C">
                            <w:pPr>
                              <w:pStyle w:val="af"/>
                              <w:jc w:val="center"/>
                              <w:rPr>
                                <w:b w:val="0"/>
                                <w:bCs w:val="0"/>
                                <w:lang w:val="en-US"/>
                              </w:rPr>
                            </w:pPr>
                            <w:r w:rsidRPr="005C657C">
                              <w:rPr>
                                <w:b w:val="0"/>
                                <w:bCs w:val="0"/>
                                <w:lang w:val="en-US"/>
                              </w:rPr>
                              <w:t xml:space="preserve">Alb/Cr </w:t>
                            </w:r>
                            <w:r w:rsidRPr="005C657C">
                              <w:rPr>
                                <w:rFonts w:ascii="宋体" w:cs="宋体" w:hint="eastAsia"/>
                                <w:b w:val="0"/>
                                <w:bCs w:val="0"/>
                                <w:lang w:val="en-US"/>
                              </w:rPr>
                              <w:t>≥</w:t>
                            </w:r>
                            <w:r w:rsidRPr="005C657C">
                              <w:rPr>
                                <w:b w:val="0"/>
                                <w:bCs w:val="0"/>
                                <w:lang w:val="en-US"/>
                              </w:rPr>
                              <w:t xml:space="preserve"> 22 (M) or </w:t>
                            </w:r>
                            <w:r w:rsidRPr="005C657C">
                              <w:rPr>
                                <w:rFonts w:ascii="宋体" w:cs="宋体" w:hint="eastAsia"/>
                                <w:b w:val="0"/>
                                <w:bCs w:val="0"/>
                                <w:lang w:val="en-US"/>
                              </w:rPr>
                              <w:t>≥</w:t>
                            </w:r>
                            <w:r w:rsidRPr="005C657C">
                              <w:rPr>
                                <w:b w:val="0"/>
                                <w:bCs w:val="0"/>
                                <w:lang w:val="en-US"/>
                              </w:rPr>
                              <w:t xml:space="preserve"> 31 (F) mg/g Cr</w:t>
                            </w:r>
                          </w:p>
                          <w:p w:rsidR="0072071C" w:rsidRPr="005C657C" w:rsidRDefault="0072071C">
                            <w:pPr>
                              <w:pStyle w:val="af"/>
                              <w:jc w:val="center"/>
                              <w:rPr>
                                <w:b w:val="0"/>
                                <w:bCs w:val="0"/>
                                <w:lang w:val="en-US"/>
                              </w:rPr>
                            </w:pPr>
                          </w:p>
                        </w:tc>
                      </w:tr>
                      <w:tr w:rsidR="0072071C" w:rsidRPr="005C657C" w:rsidTr="005C657C">
                        <w:tblPrEx>
                          <w:tblCellMar>
                            <w:top w:w="0" w:type="dxa"/>
                            <w:left w:w="0" w:type="dxa"/>
                            <w:bottom w:w="0" w:type="dxa"/>
                            <w:right w:w="0" w:type="dxa"/>
                          </w:tblCellMar>
                        </w:tblPrEx>
                        <w:trPr>
                          <w:trHeight w:val="60"/>
                        </w:trPr>
                        <w:tc>
                          <w:tcPr>
                            <w:tcW w:w="2345" w:type="dxa"/>
                            <w:tcMar>
                              <w:top w:w="28" w:type="dxa"/>
                              <w:left w:w="28" w:type="dxa"/>
                              <w:bottom w:w="28" w:type="dxa"/>
                              <w:right w:w="28" w:type="dxa"/>
                            </w:tcMar>
                          </w:tcPr>
                          <w:p w:rsidR="0072071C" w:rsidRPr="005C657C" w:rsidRDefault="0072071C">
                            <w:pPr>
                              <w:pStyle w:val="af"/>
                              <w:rPr>
                                <w:b w:val="0"/>
                                <w:bCs w:val="0"/>
                              </w:rPr>
                            </w:pPr>
                            <w:r w:rsidRPr="005C657C">
                              <w:rPr>
                                <w:b w:val="0"/>
                                <w:bCs w:val="0"/>
                              </w:rPr>
                              <w:t>Inflammatory biomarkers</w:t>
                            </w:r>
                          </w:p>
                          <w:p w:rsidR="0072071C" w:rsidRPr="005C657C" w:rsidRDefault="0072071C">
                            <w:pPr>
                              <w:pStyle w:val="af"/>
                              <w:rPr>
                                <w:b w:val="0"/>
                                <w:bCs w:val="0"/>
                              </w:rPr>
                            </w:pPr>
                          </w:p>
                        </w:tc>
                        <w:tc>
                          <w:tcPr>
                            <w:tcW w:w="3661" w:type="dxa"/>
                            <w:tcMar>
                              <w:top w:w="28" w:type="dxa"/>
                              <w:left w:w="28" w:type="dxa"/>
                              <w:bottom w:w="28" w:type="dxa"/>
                              <w:right w:w="28" w:type="dxa"/>
                            </w:tcMar>
                          </w:tcPr>
                          <w:p w:rsidR="0072071C" w:rsidRPr="005C657C" w:rsidRDefault="0072071C">
                            <w:pPr>
                              <w:pStyle w:val="af"/>
                              <w:jc w:val="center"/>
                              <w:rPr>
                                <w:b w:val="0"/>
                                <w:bCs w:val="0"/>
                                <w:lang w:val="en-GB"/>
                              </w:rPr>
                            </w:pPr>
                            <w:r w:rsidRPr="005C657C">
                              <w:rPr>
                                <w:b w:val="0"/>
                                <w:bCs w:val="0"/>
                                <w:lang w:val="en-GB"/>
                              </w:rPr>
                              <w:t>TNF, IL-6, C-reactive protein</w:t>
                            </w:r>
                          </w:p>
                          <w:p w:rsidR="0072071C" w:rsidRPr="005C657C" w:rsidRDefault="0072071C">
                            <w:pPr>
                              <w:pStyle w:val="af"/>
                              <w:jc w:val="center"/>
                              <w:rPr>
                                <w:b w:val="0"/>
                                <w:bCs w:val="0"/>
                              </w:rPr>
                            </w:pPr>
                          </w:p>
                        </w:tc>
                        <w:tc>
                          <w:tcPr>
                            <w:tcW w:w="3551" w:type="dxa"/>
                            <w:tcMar>
                              <w:top w:w="28" w:type="dxa"/>
                              <w:left w:w="28" w:type="dxa"/>
                              <w:bottom w:w="28" w:type="dxa"/>
                              <w:right w:w="28" w:type="dxa"/>
                            </w:tcMar>
                          </w:tcPr>
                          <w:p w:rsidR="0072071C" w:rsidRPr="005C657C" w:rsidRDefault="0072071C">
                            <w:pPr>
                              <w:pStyle w:val="Noparagraphstyle"/>
                              <w:spacing w:line="240" w:lineRule="auto"/>
                              <w:jc w:val="left"/>
                              <w:textAlignment w:val="auto"/>
                              <w:rPr>
                                <w:rFonts w:ascii="Book Antiqua" w:cs="Angsana New"/>
                                <w:color w:val="auto"/>
                                <w:lang w:val="en-US"/>
                              </w:rPr>
                            </w:pPr>
                          </w:p>
                        </w:tc>
                      </w:tr>
                      <w:tr w:rsidR="0072071C" w:rsidRPr="005C657C" w:rsidTr="005C657C">
                        <w:tblPrEx>
                          <w:tblCellMar>
                            <w:top w:w="0" w:type="dxa"/>
                            <w:left w:w="0" w:type="dxa"/>
                            <w:bottom w:w="0" w:type="dxa"/>
                            <w:right w:w="0" w:type="dxa"/>
                          </w:tblCellMar>
                        </w:tblPrEx>
                        <w:trPr>
                          <w:trHeight w:val="60"/>
                        </w:trPr>
                        <w:tc>
                          <w:tcPr>
                            <w:tcW w:w="2345" w:type="dxa"/>
                            <w:tcMar>
                              <w:top w:w="28" w:type="dxa"/>
                              <w:left w:w="28" w:type="dxa"/>
                              <w:bottom w:w="28" w:type="dxa"/>
                              <w:right w:w="28" w:type="dxa"/>
                            </w:tcMar>
                          </w:tcPr>
                          <w:p w:rsidR="0072071C" w:rsidRPr="005C657C" w:rsidRDefault="0072071C">
                            <w:pPr>
                              <w:pStyle w:val="af"/>
                              <w:rPr>
                                <w:b w:val="0"/>
                                <w:bCs w:val="0"/>
                              </w:rPr>
                            </w:pPr>
                            <w:r w:rsidRPr="005C657C">
                              <w:rPr>
                                <w:b w:val="0"/>
                                <w:bCs w:val="0"/>
                              </w:rPr>
                              <w:t xml:space="preserve">Thrombogenic biomarkers </w:t>
                            </w:r>
                          </w:p>
                          <w:p w:rsidR="0072071C" w:rsidRPr="005C657C" w:rsidRDefault="0072071C">
                            <w:pPr>
                              <w:pStyle w:val="af"/>
                              <w:rPr>
                                <w:b w:val="0"/>
                                <w:bCs w:val="0"/>
                              </w:rPr>
                            </w:pPr>
                          </w:p>
                        </w:tc>
                        <w:tc>
                          <w:tcPr>
                            <w:tcW w:w="3661" w:type="dxa"/>
                            <w:tcMar>
                              <w:top w:w="28" w:type="dxa"/>
                              <w:left w:w="28" w:type="dxa"/>
                              <w:bottom w:w="28" w:type="dxa"/>
                              <w:right w:w="28" w:type="dxa"/>
                            </w:tcMar>
                          </w:tcPr>
                          <w:p w:rsidR="0072071C" w:rsidRPr="005C657C" w:rsidRDefault="0072071C">
                            <w:pPr>
                              <w:pStyle w:val="af"/>
                              <w:jc w:val="center"/>
                              <w:rPr>
                                <w:b w:val="0"/>
                                <w:bCs w:val="0"/>
                                <w:lang w:val="en-GB"/>
                              </w:rPr>
                            </w:pPr>
                            <w:r w:rsidRPr="005C657C">
                              <w:rPr>
                                <w:b w:val="0"/>
                                <w:bCs w:val="0"/>
                                <w:lang w:val="en-GB"/>
                              </w:rPr>
                              <w:t>PAI-1, fibrinogen, factor VII</w:t>
                            </w:r>
                          </w:p>
                          <w:p w:rsidR="0072071C" w:rsidRPr="005C657C" w:rsidRDefault="0072071C">
                            <w:pPr>
                              <w:pStyle w:val="af"/>
                              <w:jc w:val="center"/>
                              <w:rPr>
                                <w:b w:val="0"/>
                                <w:bCs w:val="0"/>
                              </w:rPr>
                            </w:pPr>
                          </w:p>
                        </w:tc>
                        <w:tc>
                          <w:tcPr>
                            <w:tcW w:w="3551" w:type="dxa"/>
                            <w:tcMar>
                              <w:top w:w="28" w:type="dxa"/>
                              <w:left w:w="28" w:type="dxa"/>
                              <w:bottom w:w="28" w:type="dxa"/>
                              <w:right w:w="28" w:type="dxa"/>
                            </w:tcMar>
                          </w:tcPr>
                          <w:p w:rsidR="0072071C" w:rsidRPr="005C657C" w:rsidRDefault="0072071C">
                            <w:pPr>
                              <w:pStyle w:val="Noparagraphstyle"/>
                              <w:spacing w:line="240" w:lineRule="auto"/>
                              <w:jc w:val="left"/>
                              <w:textAlignment w:val="auto"/>
                              <w:rPr>
                                <w:rFonts w:ascii="Book Antiqua" w:cs="Angsana New"/>
                                <w:color w:val="auto"/>
                                <w:lang w:val="en-US"/>
                              </w:rPr>
                            </w:pPr>
                          </w:p>
                        </w:tc>
                      </w:tr>
                    </w:tbl>
                    <w:p w:rsidR="0072071C" w:rsidRPr="0034780D" w:rsidRDefault="0072071C" w:rsidP="0072071C">
                      <w:pPr>
                        <w:pStyle w:val="af0"/>
                      </w:pPr>
                      <w:r w:rsidRPr="005C657C">
                        <w:rPr>
                          <w:b w:val="0"/>
                          <w:bCs w:val="0"/>
                        </w:rPr>
                        <w:t>CIMT: Carotid intima-media thickness; CT: Computerized tomography; M: Male; F: Female; TNF: Tumor necrosis factor; IL: Interleukin; PAI-1: Plasminogen activator inhibitor type 1.</w:t>
                      </w:r>
                    </w:p>
                  </w:txbxContent>
                </v:textbox>
                <w10:wrap type="square"/>
              </v:shape>
            </w:pict>
          </mc:Fallback>
        </mc:AlternateContent>
      </w:r>
    </w:p>
    <w:p w:rsidR="0072071C" w:rsidRDefault="0072071C" w:rsidP="0072071C">
      <w:pPr>
        <w:rPr>
          <w:rFonts w:hint="eastAsia"/>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343525" cy="4441190"/>
                <wp:effectExtent l="8255" t="9525" r="10795" b="6985"/>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441190"/>
                        </a:xfrm>
                        <a:prstGeom prst="rect">
                          <a:avLst/>
                        </a:prstGeom>
                        <a:solidFill>
                          <a:srgbClr val="FFFFFF"/>
                        </a:solidFill>
                        <a:ln w="9525">
                          <a:solidFill>
                            <a:srgbClr val="000000"/>
                          </a:solidFill>
                          <a:miter lim="800000"/>
                          <a:headEnd/>
                          <a:tailEnd/>
                        </a:ln>
                      </wps:spPr>
                      <wps:txbx>
                        <w:txbxContent>
                          <w:p w:rsidR="0072071C" w:rsidRPr="005C657C" w:rsidRDefault="0072071C" w:rsidP="0072071C">
                            <w:pPr>
                              <w:rPr>
                                <w:b/>
                                <w:bCs/>
                              </w:rPr>
                            </w:pPr>
                            <w:r w:rsidRPr="005C657C">
                              <w:rPr>
                                <w:b/>
                                <w:bCs/>
                              </w:rPr>
                              <w:t xml:space="preserve">Table </w:t>
                            </w:r>
                            <w:proofErr w:type="gramStart"/>
                            <w:r w:rsidRPr="005C657C">
                              <w:rPr>
                                <w:b/>
                                <w:bCs/>
                              </w:rPr>
                              <w:t>2  Cardiovascular</w:t>
                            </w:r>
                            <w:proofErr w:type="gramEnd"/>
                            <w:r w:rsidRPr="005C657C">
                              <w:rPr>
                                <w:b/>
                                <w:bCs/>
                              </w:rPr>
                              <w:t xml:space="preserve"> mortality in non-alcoholic fatty liver disease patients</w:t>
                            </w:r>
                          </w:p>
                          <w:tbl>
                            <w:tblPr>
                              <w:tblW w:w="95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258"/>
                              <w:gridCol w:w="1237"/>
                              <w:gridCol w:w="1962"/>
                              <w:gridCol w:w="1580"/>
                              <w:gridCol w:w="1203"/>
                              <w:gridCol w:w="1317"/>
                            </w:tblGrid>
                            <w:tr w:rsidR="0072071C" w:rsidRPr="005C657C" w:rsidTr="005C657C">
                              <w:tblPrEx>
                                <w:tblCellMar>
                                  <w:top w:w="0" w:type="dxa"/>
                                  <w:left w:w="0" w:type="dxa"/>
                                  <w:bottom w:w="0" w:type="dxa"/>
                                  <w:right w:w="0" w:type="dxa"/>
                                </w:tblCellMar>
                              </w:tblPrEx>
                              <w:trPr>
                                <w:trHeight w:hRule="exact" w:val="713"/>
                              </w:trPr>
                              <w:tc>
                                <w:tcPr>
                                  <w:tcW w:w="2258" w:type="dxa"/>
                                  <w:tcBorders>
                                    <w:top w:val="single" w:sz="6" w:space="0" w:color="000000"/>
                                    <w:bottom w:val="single" w:sz="6" w:space="0" w:color="000000"/>
                                  </w:tcBorders>
                                  <w:tcMar>
                                    <w:top w:w="28" w:type="dxa"/>
                                    <w:left w:w="28" w:type="dxa"/>
                                    <w:bottom w:w="28" w:type="dxa"/>
                                    <w:right w:w="28" w:type="dxa"/>
                                  </w:tcMar>
                                </w:tcPr>
                                <w:p w:rsidR="0072071C" w:rsidRPr="005C657C" w:rsidRDefault="0072071C" w:rsidP="005C657C">
                                  <w:pPr>
                                    <w:autoSpaceDE w:val="0"/>
                                    <w:autoSpaceDN w:val="0"/>
                                    <w:adjustRightInd w:val="0"/>
                                    <w:spacing w:line="288" w:lineRule="auto"/>
                                    <w:textAlignment w:val="center"/>
                                    <w:rPr>
                                      <w:rFonts w:ascii="Albertus" w:hAnsi="Albertus" w:cs="Albertus"/>
                                      <w:b/>
                                      <w:bCs/>
                                      <w:color w:val="000000"/>
                                      <w:kern w:val="0"/>
                                      <w:sz w:val="14"/>
                                      <w:szCs w:val="14"/>
                                      <w:lang w:val="zh-CN"/>
                                    </w:rPr>
                                  </w:pPr>
                                  <w:r w:rsidRPr="005C657C">
                                    <w:rPr>
                                      <w:rFonts w:ascii="Albertus" w:hAnsi="Albertus" w:cs="Albertus"/>
                                      <w:b/>
                                      <w:bCs/>
                                      <w:color w:val="000000"/>
                                      <w:kern w:val="0"/>
                                      <w:sz w:val="14"/>
                                      <w:szCs w:val="14"/>
                                      <w:lang w:val="zh-CN"/>
                                    </w:rPr>
                                    <w:t>Ref.</w:t>
                                  </w:r>
                                </w:p>
                                <w:p w:rsidR="0072071C" w:rsidRPr="005C657C" w:rsidRDefault="0072071C" w:rsidP="005C657C">
                                  <w:pPr>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237" w:type="dxa"/>
                                  <w:tcBorders>
                                    <w:top w:val="single" w:sz="6" w:space="0" w:color="000000"/>
                                    <w:bottom w:val="single" w:sz="6" w:space="0" w:color="000000"/>
                                  </w:tcBorders>
                                  <w:tcMar>
                                    <w:top w:w="28" w:type="dxa"/>
                                    <w:left w:w="28" w:type="dxa"/>
                                    <w:bottom w:w="28" w:type="dxa"/>
                                    <w:right w:w="28" w:type="dxa"/>
                                  </w:tcMar>
                                </w:tcPr>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C657C">
                                    <w:rPr>
                                      <w:rFonts w:ascii="Albertus" w:hAnsi="Albertus" w:cs="Albertus"/>
                                      <w:b/>
                                      <w:bCs/>
                                      <w:color w:val="000000"/>
                                      <w:kern w:val="0"/>
                                      <w:sz w:val="14"/>
                                      <w:szCs w:val="14"/>
                                      <w:lang w:val="zh-CN"/>
                                    </w:rPr>
                                    <w:t>Year</w:t>
                                  </w:r>
                                </w:p>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62" w:type="dxa"/>
                                  <w:tcBorders>
                                    <w:top w:val="single" w:sz="6" w:space="0" w:color="000000"/>
                                    <w:bottom w:val="single" w:sz="6" w:space="0" w:color="000000"/>
                                  </w:tcBorders>
                                  <w:tcMar>
                                    <w:top w:w="28" w:type="dxa"/>
                                    <w:left w:w="28" w:type="dxa"/>
                                    <w:bottom w:w="28" w:type="dxa"/>
                                    <w:right w:w="28" w:type="dxa"/>
                                  </w:tcMar>
                                </w:tcPr>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C657C">
                                    <w:rPr>
                                      <w:rFonts w:ascii="Albertus" w:hAnsi="Albertus" w:cs="Albertus"/>
                                      <w:b/>
                                      <w:bCs/>
                                      <w:color w:val="000000"/>
                                      <w:kern w:val="0"/>
                                      <w:sz w:val="14"/>
                                      <w:szCs w:val="14"/>
                                      <w:lang w:val="zh-CN"/>
                                    </w:rPr>
                                    <w:t>NAFLD diagnosis</w:t>
                                  </w:r>
                                </w:p>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80" w:type="dxa"/>
                                  <w:tcBorders>
                                    <w:top w:val="single" w:sz="6" w:space="0" w:color="000000"/>
                                    <w:bottom w:val="single" w:sz="6" w:space="0" w:color="000000"/>
                                  </w:tcBorders>
                                  <w:tcMar>
                                    <w:top w:w="28" w:type="dxa"/>
                                    <w:left w:w="28" w:type="dxa"/>
                                    <w:bottom w:w="28" w:type="dxa"/>
                                    <w:right w:w="28" w:type="dxa"/>
                                  </w:tcMar>
                                </w:tcPr>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C657C">
                                    <w:rPr>
                                      <w:rFonts w:ascii="Albertus" w:hAnsi="Albertus" w:cs="Albertus"/>
                                      <w:b/>
                                      <w:bCs/>
                                      <w:color w:val="000000"/>
                                      <w:kern w:val="0"/>
                                      <w:sz w:val="14"/>
                                      <w:szCs w:val="14"/>
                                      <w:lang w:val="zh-CN"/>
                                    </w:rPr>
                                    <w:t>Follow-up</w:t>
                                  </w:r>
                                </w:p>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03" w:type="dxa"/>
                                  <w:tcBorders>
                                    <w:top w:val="single" w:sz="6" w:space="0" w:color="000000"/>
                                    <w:bottom w:val="single" w:sz="6" w:space="0" w:color="000000"/>
                                  </w:tcBorders>
                                  <w:tcMar>
                                    <w:top w:w="28" w:type="dxa"/>
                                    <w:left w:w="28" w:type="dxa"/>
                                    <w:bottom w:w="28" w:type="dxa"/>
                                    <w:right w:w="28" w:type="dxa"/>
                                  </w:tcMar>
                                </w:tcPr>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C657C">
                                    <w:rPr>
                                      <w:rFonts w:ascii="Albertus" w:hAnsi="Albertus" w:cs="Albertus"/>
                                      <w:b/>
                                      <w:bCs/>
                                      <w:color w:val="000000"/>
                                      <w:kern w:val="0"/>
                                      <w:sz w:val="14"/>
                                      <w:szCs w:val="14"/>
                                      <w:lang w:val="zh-CN"/>
                                    </w:rPr>
                                    <w:t>CV mortality</w:t>
                                  </w:r>
                                </w:p>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317" w:type="dxa"/>
                                  <w:tcBorders>
                                    <w:top w:val="single" w:sz="6" w:space="0" w:color="000000"/>
                                    <w:bottom w:val="single" w:sz="6" w:space="0" w:color="000000"/>
                                  </w:tcBorders>
                                  <w:tcMar>
                                    <w:top w:w="28" w:type="dxa"/>
                                    <w:left w:w="28" w:type="dxa"/>
                                    <w:bottom w:w="28" w:type="dxa"/>
                                    <w:right w:w="28" w:type="dxa"/>
                                  </w:tcMar>
                                </w:tcPr>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4"/>
                                      <w:szCs w:val="14"/>
                                      <w:lang w:val="en-GB"/>
                                    </w:rPr>
                                  </w:pPr>
                                  <w:r w:rsidRPr="005C657C">
                                    <w:rPr>
                                      <w:rFonts w:ascii="Albertus" w:hAnsi="Albertus" w:cs="Albertus"/>
                                      <w:b/>
                                      <w:bCs/>
                                      <w:color w:val="000000"/>
                                      <w:kern w:val="0"/>
                                      <w:sz w:val="14"/>
                                      <w:szCs w:val="14"/>
                                      <w:lang w:val="en-GB"/>
                                    </w:rPr>
                                    <w:t>Cause of mortality</w:t>
                                  </w:r>
                                </w:p>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2258" w:type="dxa"/>
                                  <w:tcBorders>
                                    <w:top w:val="single" w:sz="6" w:space="0" w:color="000000"/>
                                  </w:tcBorders>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 xml:space="preserve">Dam-Larsen </w:t>
                                  </w:r>
                                  <w:r w:rsidRPr="005C657C">
                                    <w:rPr>
                                      <w:rFonts w:ascii="Book Antiqua" w:hAnsi="Book Antiqua" w:cs="Book Antiqua"/>
                                      <w:i/>
                                      <w:iCs/>
                                      <w:color w:val="000000"/>
                                      <w:kern w:val="0"/>
                                      <w:sz w:val="14"/>
                                      <w:szCs w:val="14"/>
                                      <w:lang w:val="zh-CN"/>
                                    </w:rPr>
                                    <w:t>et al</w:t>
                                  </w:r>
                                  <w:r w:rsidRPr="005C657C">
                                    <w:rPr>
                                      <w:rFonts w:ascii="Book Antiqua" w:hAnsi="Book Antiqua" w:cs="Book Antiqua"/>
                                      <w:color w:val="000000"/>
                                      <w:kern w:val="0"/>
                                      <w:sz w:val="14"/>
                                      <w:szCs w:val="14"/>
                                      <w:vertAlign w:val="superscript"/>
                                      <w:lang w:val="zh-CN"/>
                                    </w:rPr>
                                    <w:t>[48]</w:t>
                                  </w:r>
                                  <w:r w:rsidRPr="005C657C">
                                    <w:rPr>
                                      <w:rFonts w:ascii="Book Antiqua" w:hAnsi="Book Antiqua" w:cs="Book Antiqua"/>
                                      <w:color w:val="000000"/>
                                      <w:kern w:val="0"/>
                                      <w:sz w:val="14"/>
                                      <w:szCs w:val="14"/>
                                      <w:lang w:val="zh-CN"/>
                                    </w:rPr>
                                    <w:t xml:space="preserve"> </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7" w:type="dxa"/>
                                  <w:tcBorders>
                                    <w:top w:val="single" w:sz="6" w:space="0" w:color="000000"/>
                                  </w:tcBorders>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2004</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2" w:type="dxa"/>
                                  <w:tcBorders>
                                    <w:top w:val="single" w:sz="6" w:space="0" w:color="000000"/>
                                  </w:tcBorders>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Histology</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80" w:type="dxa"/>
                                  <w:tcBorders>
                                    <w:top w:val="single" w:sz="6" w:space="0" w:color="000000"/>
                                  </w:tcBorders>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20 yr</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203" w:type="dxa"/>
                                  <w:tcBorders>
                                    <w:top w:val="single" w:sz="6" w:space="0" w:color="000000"/>
                                  </w:tcBorders>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38%</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317" w:type="dxa"/>
                                  <w:tcBorders>
                                    <w:top w:val="single" w:sz="6" w:space="0" w:color="000000"/>
                                  </w:tcBorders>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5C657C">
                                    <w:rPr>
                                      <w:rFonts w:ascii="Book Antiqua" w:hAnsi="Book Antiqua" w:cs="Book Antiqua"/>
                                      <w:color w:val="000000"/>
                                      <w:kern w:val="0"/>
                                      <w:sz w:val="14"/>
                                      <w:szCs w:val="14"/>
                                      <w:lang w:val="zh-CN"/>
                                    </w:rPr>
                                    <w:t>1</w:t>
                                  </w:r>
                                  <w:r w:rsidRPr="005C657C">
                                    <w:rPr>
                                      <w:rFonts w:ascii="Book Antiqua" w:hAnsi="Book Antiqua" w:cs="Book Antiqua"/>
                                      <w:color w:val="000000"/>
                                      <w:kern w:val="0"/>
                                      <w:sz w:val="14"/>
                                      <w:szCs w:val="14"/>
                                      <w:vertAlign w:val="superscript"/>
                                      <w:lang w:val="zh-CN"/>
                                    </w:rPr>
                                    <w:t>st</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2258"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r w:rsidRPr="005C657C">
                                    <w:rPr>
                                      <w:rFonts w:ascii="Book Antiqua" w:hAnsi="Book Antiqua" w:cs="Book Antiqua"/>
                                      <w:color w:val="000000"/>
                                      <w:kern w:val="0"/>
                                      <w:sz w:val="14"/>
                                      <w:szCs w:val="14"/>
                                      <w:lang w:val="zh-CN"/>
                                    </w:rPr>
                                    <w:t xml:space="preserve">Adams </w:t>
                                  </w:r>
                                  <w:r w:rsidRPr="005C657C">
                                    <w:rPr>
                                      <w:rFonts w:ascii="Book Antiqua" w:hAnsi="Book Antiqua" w:cs="Book Antiqua"/>
                                      <w:i/>
                                      <w:iCs/>
                                      <w:color w:val="000000"/>
                                      <w:kern w:val="0"/>
                                      <w:sz w:val="14"/>
                                      <w:szCs w:val="14"/>
                                      <w:lang w:val="zh-CN"/>
                                    </w:rPr>
                                    <w:t>et al</w:t>
                                  </w:r>
                                  <w:r w:rsidRPr="005C657C">
                                    <w:rPr>
                                      <w:rFonts w:ascii="Book Antiqua" w:hAnsi="Book Antiqua" w:cs="Book Antiqua"/>
                                      <w:color w:val="000000"/>
                                      <w:kern w:val="0"/>
                                      <w:sz w:val="14"/>
                                      <w:szCs w:val="14"/>
                                      <w:vertAlign w:val="superscript"/>
                                      <w:lang w:val="zh-CN"/>
                                    </w:rPr>
                                    <w:t>[49]</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2005</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2"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Histology</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80"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 xml:space="preserve">  8 yr</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203"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25%</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31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5C657C">
                                    <w:rPr>
                                      <w:rFonts w:ascii="Book Antiqua" w:hAnsi="Book Antiqua" w:cs="Book Antiqua"/>
                                      <w:color w:val="000000"/>
                                      <w:kern w:val="0"/>
                                      <w:sz w:val="14"/>
                                      <w:szCs w:val="14"/>
                                      <w:lang w:val="zh-CN"/>
                                    </w:rPr>
                                    <w:t xml:space="preserve"> 2</w:t>
                                  </w:r>
                                  <w:r w:rsidRPr="005C657C">
                                    <w:rPr>
                                      <w:rFonts w:ascii="Book Antiqua" w:hAnsi="Book Antiqua" w:cs="Book Antiqua"/>
                                      <w:color w:val="000000"/>
                                      <w:kern w:val="0"/>
                                      <w:sz w:val="14"/>
                                      <w:szCs w:val="14"/>
                                      <w:vertAlign w:val="superscript"/>
                                      <w:lang w:val="zh-CN"/>
                                    </w:rPr>
                                    <w:t>nd</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2258"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r w:rsidRPr="005C657C">
                                    <w:rPr>
                                      <w:rFonts w:ascii="Book Antiqua" w:hAnsi="Book Antiqua" w:cs="Book Antiqua"/>
                                      <w:color w:val="000000"/>
                                      <w:kern w:val="0"/>
                                      <w:sz w:val="14"/>
                                      <w:szCs w:val="14"/>
                                      <w:lang w:val="zh-CN"/>
                                    </w:rPr>
                                    <w:t xml:space="preserve">Ong </w:t>
                                  </w:r>
                                  <w:r w:rsidRPr="005C657C">
                                    <w:rPr>
                                      <w:rFonts w:ascii="Book Antiqua" w:hAnsi="Book Antiqua" w:cs="Book Antiqua"/>
                                      <w:i/>
                                      <w:iCs/>
                                      <w:color w:val="000000"/>
                                      <w:kern w:val="0"/>
                                      <w:sz w:val="14"/>
                                      <w:szCs w:val="14"/>
                                      <w:lang w:val="zh-CN"/>
                                    </w:rPr>
                                    <w:t>et al</w:t>
                                  </w:r>
                                  <w:r w:rsidRPr="005C657C">
                                    <w:rPr>
                                      <w:rFonts w:ascii="Book Antiqua" w:hAnsi="Book Antiqua" w:cs="Book Antiqua"/>
                                      <w:color w:val="000000"/>
                                      <w:kern w:val="0"/>
                                      <w:sz w:val="14"/>
                                      <w:szCs w:val="14"/>
                                      <w:vertAlign w:val="superscript"/>
                                      <w:lang w:val="zh-CN"/>
                                    </w:rPr>
                                    <w:t>[50]</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2008</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2"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Ultrasound</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80"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 xml:space="preserve">  9 yr</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203"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25%</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31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5C657C">
                                    <w:rPr>
                                      <w:rFonts w:ascii="Book Antiqua" w:hAnsi="Book Antiqua" w:cs="Book Antiqua"/>
                                      <w:color w:val="000000"/>
                                      <w:kern w:val="0"/>
                                      <w:sz w:val="14"/>
                                      <w:szCs w:val="14"/>
                                      <w:lang w:val="zh-CN"/>
                                    </w:rPr>
                                    <w:t>1</w:t>
                                  </w:r>
                                  <w:r w:rsidRPr="005C657C">
                                    <w:rPr>
                                      <w:rFonts w:ascii="Book Antiqua" w:hAnsi="Book Antiqua" w:cs="Book Antiqua"/>
                                      <w:color w:val="000000"/>
                                      <w:kern w:val="0"/>
                                      <w:sz w:val="14"/>
                                      <w:szCs w:val="14"/>
                                      <w:vertAlign w:val="superscript"/>
                                      <w:lang w:val="zh-CN"/>
                                    </w:rPr>
                                    <w:t>st</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2258"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r w:rsidRPr="005C657C">
                                    <w:rPr>
                                      <w:rFonts w:ascii="Book Antiqua" w:hAnsi="Book Antiqua" w:cs="Book Antiqua"/>
                                      <w:color w:val="000000"/>
                                      <w:kern w:val="0"/>
                                      <w:sz w:val="14"/>
                                      <w:szCs w:val="14"/>
                                      <w:lang w:val="zh-CN"/>
                                    </w:rPr>
                                    <w:t xml:space="preserve">Rafiq </w:t>
                                  </w:r>
                                  <w:r w:rsidRPr="005C657C">
                                    <w:rPr>
                                      <w:rFonts w:ascii="Book Antiqua" w:hAnsi="Book Antiqua" w:cs="Book Antiqua"/>
                                      <w:i/>
                                      <w:iCs/>
                                      <w:color w:val="000000"/>
                                      <w:kern w:val="0"/>
                                      <w:sz w:val="14"/>
                                      <w:szCs w:val="14"/>
                                      <w:lang w:val="zh-CN"/>
                                    </w:rPr>
                                    <w:t>et al</w:t>
                                  </w:r>
                                  <w:r w:rsidRPr="005C657C">
                                    <w:rPr>
                                      <w:rFonts w:ascii="Book Antiqua" w:hAnsi="Book Antiqua" w:cs="Book Antiqua"/>
                                      <w:color w:val="000000"/>
                                      <w:kern w:val="0"/>
                                      <w:sz w:val="14"/>
                                      <w:szCs w:val="14"/>
                                      <w:vertAlign w:val="superscript"/>
                                      <w:lang w:val="zh-CN"/>
                                    </w:rPr>
                                    <w:t>[51]</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2009</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2"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Histology</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80"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29 yr</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203"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13%</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31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en-GB"/>
                                    </w:rPr>
                                  </w:pPr>
                                  <w:r w:rsidRPr="005C657C">
                                    <w:rPr>
                                      <w:rFonts w:ascii="Book Antiqua" w:hAnsi="Book Antiqua" w:cs="Book Antiqua"/>
                                      <w:color w:val="000000"/>
                                      <w:kern w:val="0"/>
                                      <w:sz w:val="14"/>
                                      <w:szCs w:val="14"/>
                                      <w:lang w:val="en-GB"/>
                                    </w:rPr>
                                    <w:t>1</w:t>
                                  </w:r>
                                  <w:r w:rsidRPr="005C657C">
                                    <w:rPr>
                                      <w:rFonts w:ascii="Book Antiqua" w:hAnsi="Book Antiqua" w:cs="Book Antiqua"/>
                                      <w:color w:val="000000"/>
                                      <w:kern w:val="0"/>
                                      <w:sz w:val="14"/>
                                      <w:szCs w:val="14"/>
                                      <w:vertAlign w:val="superscript"/>
                                      <w:lang w:val="en-GB"/>
                                    </w:rPr>
                                    <w:t>st</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2258"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 xml:space="preserve">Söderberg </w:t>
                                  </w:r>
                                  <w:r w:rsidRPr="005C657C">
                                    <w:rPr>
                                      <w:rFonts w:ascii="Book Antiqua" w:hAnsi="Book Antiqua" w:cs="Book Antiqua"/>
                                      <w:i/>
                                      <w:iCs/>
                                      <w:color w:val="000000"/>
                                      <w:kern w:val="0"/>
                                      <w:sz w:val="14"/>
                                      <w:szCs w:val="14"/>
                                      <w:lang w:val="en-GB"/>
                                    </w:rPr>
                                    <w:t>et al</w:t>
                                  </w:r>
                                  <w:r w:rsidRPr="005C657C">
                                    <w:rPr>
                                      <w:rFonts w:ascii="Book Antiqua" w:hAnsi="Book Antiqua" w:cs="Book Antiqua"/>
                                      <w:color w:val="000000"/>
                                      <w:kern w:val="0"/>
                                      <w:sz w:val="14"/>
                                      <w:szCs w:val="14"/>
                                      <w:vertAlign w:val="superscript"/>
                                      <w:lang w:val="en-GB"/>
                                    </w:rPr>
                                    <w:t>[52]</w:t>
                                  </w:r>
                                  <w:r w:rsidRPr="005C657C">
                                    <w:rPr>
                                      <w:rFonts w:ascii="Book Antiqua" w:hAnsi="Book Antiqua" w:cs="Book Antiqua"/>
                                      <w:color w:val="000000"/>
                                      <w:kern w:val="0"/>
                                      <w:sz w:val="14"/>
                                      <w:szCs w:val="14"/>
                                      <w:lang w:val="en-GB"/>
                                    </w:rPr>
                                    <w:t xml:space="preserve"> </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2010</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2"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Histology</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80"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28 yr</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203"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35%</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31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en-GB"/>
                                    </w:rPr>
                                  </w:pPr>
                                  <w:r w:rsidRPr="005C657C">
                                    <w:rPr>
                                      <w:rFonts w:ascii="Book Antiqua" w:hAnsi="Book Antiqua" w:cs="Book Antiqua"/>
                                      <w:color w:val="000000"/>
                                      <w:kern w:val="0"/>
                                      <w:sz w:val="14"/>
                                      <w:szCs w:val="14"/>
                                      <w:lang w:val="en-GB"/>
                                    </w:rPr>
                                    <w:t>1</w:t>
                                  </w:r>
                                  <w:r w:rsidRPr="005C657C">
                                    <w:rPr>
                                      <w:rFonts w:ascii="Book Antiqua" w:hAnsi="Book Antiqua" w:cs="Book Antiqua"/>
                                      <w:color w:val="000000"/>
                                      <w:kern w:val="0"/>
                                      <w:sz w:val="14"/>
                                      <w:szCs w:val="14"/>
                                      <w:vertAlign w:val="superscript"/>
                                      <w:lang w:val="en-GB"/>
                                    </w:rPr>
                                    <w:t>st</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2258"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 xml:space="preserve">Angulo </w:t>
                                  </w:r>
                                  <w:r w:rsidRPr="005C657C">
                                    <w:rPr>
                                      <w:rFonts w:ascii="Book Antiqua" w:hAnsi="Book Antiqua" w:cs="Book Antiqua"/>
                                      <w:i/>
                                      <w:iCs/>
                                      <w:color w:val="000000"/>
                                      <w:kern w:val="0"/>
                                      <w:sz w:val="14"/>
                                      <w:szCs w:val="14"/>
                                      <w:lang w:val="en-GB"/>
                                    </w:rPr>
                                    <w:t>et al</w:t>
                                  </w:r>
                                  <w:r w:rsidRPr="005C657C">
                                    <w:rPr>
                                      <w:rFonts w:ascii="Book Antiqua" w:hAnsi="Book Antiqua" w:cs="Book Antiqua"/>
                                      <w:color w:val="000000"/>
                                      <w:kern w:val="0"/>
                                      <w:sz w:val="14"/>
                                      <w:szCs w:val="14"/>
                                      <w:vertAlign w:val="superscript"/>
                                      <w:lang w:val="en-GB"/>
                                    </w:rPr>
                                    <w:t>[53]</w:t>
                                  </w:r>
                                  <w:r w:rsidRPr="005C657C">
                                    <w:rPr>
                                      <w:rFonts w:ascii="Book Antiqua" w:hAnsi="Book Antiqua" w:cs="Book Antiqua"/>
                                      <w:color w:val="000000"/>
                                      <w:kern w:val="0"/>
                                      <w:sz w:val="14"/>
                                      <w:szCs w:val="14"/>
                                      <w:lang w:val="en-GB"/>
                                    </w:rPr>
                                    <w:t xml:space="preserve"> </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2013</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2"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Histology</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80"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 xml:space="preserve">  9 yr</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203"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38%</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31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en-GB"/>
                                    </w:rPr>
                                  </w:pPr>
                                  <w:r w:rsidRPr="005C657C">
                                    <w:rPr>
                                      <w:rFonts w:ascii="Book Antiqua" w:hAnsi="Book Antiqua" w:cs="Book Antiqua"/>
                                      <w:color w:val="000000"/>
                                      <w:kern w:val="0"/>
                                      <w:sz w:val="14"/>
                                      <w:szCs w:val="14"/>
                                      <w:lang w:val="en-GB"/>
                                    </w:rPr>
                                    <w:t>1</w:t>
                                  </w:r>
                                  <w:r w:rsidRPr="005C657C">
                                    <w:rPr>
                                      <w:rFonts w:ascii="Book Antiqua" w:hAnsi="Book Antiqua" w:cs="Book Antiqua"/>
                                      <w:color w:val="000000"/>
                                      <w:kern w:val="0"/>
                                      <w:sz w:val="14"/>
                                      <w:szCs w:val="14"/>
                                      <w:vertAlign w:val="superscript"/>
                                      <w:lang w:val="en-GB"/>
                                    </w:rPr>
                                    <w:t>st</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2258"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 xml:space="preserve">Stepanova </w:t>
                                  </w:r>
                                  <w:r w:rsidRPr="005C657C">
                                    <w:rPr>
                                      <w:rFonts w:ascii="Book Antiqua" w:hAnsi="Book Antiqua" w:cs="Book Antiqua"/>
                                      <w:i/>
                                      <w:iCs/>
                                      <w:color w:val="000000"/>
                                      <w:kern w:val="0"/>
                                      <w:sz w:val="14"/>
                                      <w:szCs w:val="14"/>
                                      <w:lang w:val="en-GB"/>
                                    </w:rPr>
                                    <w:t>et al</w:t>
                                  </w:r>
                                  <w:r w:rsidRPr="005C657C">
                                    <w:rPr>
                                      <w:rFonts w:ascii="Book Antiqua" w:hAnsi="Book Antiqua" w:cs="Book Antiqua"/>
                                      <w:color w:val="000000"/>
                                      <w:kern w:val="0"/>
                                      <w:sz w:val="14"/>
                                      <w:szCs w:val="14"/>
                                      <w:vertAlign w:val="superscript"/>
                                      <w:lang w:val="en-GB"/>
                                    </w:rPr>
                                    <w:t>[54]</w:t>
                                  </w:r>
                                  <w:r w:rsidRPr="005C657C">
                                    <w:rPr>
                                      <w:rFonts w:ascii="Book Antiqua" w:hAnsi="Book Antiqua" w:cs="Book Antiqua"/>
                                      <w:color w:val="000000"/>
                                      <w:kern w:val="0"/>
                                      <w:sz w:val="14"/>
                                      <w:szCs w:val="14"/>
                                      <w:lang w:val="en-GB"/>
                                    </w:rPr>
                                    <w:t xml:space="preserve"> </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2013</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2"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Histology</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80"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12 yr</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203"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28%</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31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en-GB"/>
                                    </w:rPr>
                                  </w:pPr>
                                  <w:r w:rsidRPr="005C657C">
                                    <w:rPr>
                                      <w:rFonts w:ascii="Book Antiqua" w:hAnsi="Book Antiqua" w:cs="Book Antiqua"/>
                                      <w:color w:val="000000"/>
                                      <w:kern w:val="0"/>
                                      <w:sz w:val="14"/>
                                      <w:szCs w:val="14"/>
                                      <w:lang w:val="en-GB"/>
                                    </w:rPr>
                                    <w:t>1</w:t>
                                  </w:r>
                                  <w:r w:rsidRPr="005C657C">
                                    <w:rPr>
                                      <w:rFonts w:ascii="Book Antiqua" w:hAnsi="Book Antiqua" w:cs="Book Antiqua"/>
                                      <w:color w:val="000000"/>
                                      <w:kern w:val="0"/>
                                      <w:sz w:val="14"/>
                                      <w:szCs w:val="14"/>
                                      <w:vertAlign w:val="superscript"/>
                                      <w:lang w:val="en-GB"/>
                                    </w:rPr>
                                    <w:t>st</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2258"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 xml:space="preserve">Ekstedt </w:t>
                                  </w:r>
                                  <w:r w:rsidRPr="005C657C">
                                    <w:rPr>
                                      <w:rFonts w:ascii="Book Antiqua" w:hAnsi="Book Antiqua" w:cs="Book Antiqua"/>
                                      <w:i/>
                                      <w:iCs/>
                                      <w:color w:val="000000"/>
                                      <w:kern w:val="0"/>
                                      <w:sz w:val="14"/>
                                      <w:szCs w:val="14"/>
                                      <w:lang w:val="en-GB"/>
                                    </w:rPr>
                                    <w:t>et al</w:t>
                                  </w:r>
                                  <w:r w:rsidRPr="005C657C">
                                    <w:rPr>
                                      <w:rFonts w:ascii="Book Antiqua" w:hAnsi="Book Antiqua" w:cs="Book Antiqua"/>
                                      <w:color w:val="000000"/>
                                      <w:kern w:val="0"/>
                                      <w:sz w:val="14"/>
                                      <w:szCs w:val="14"/>
                                      <w:vertAlign w:val="superscript"/>
                                      <w:lang w:val="en-GB"/>
                                    </w:rPr>
                                    <w:t>[1</w:t>
                                  </w:r>
                                  <w:r w:rsidRPr="005C657C">
                                    <w:rPr>
                                      <w:rFonts w:ascii="Book Antiqua" w:hAnsi="Book Antiqua" w:cs="Book Antiqua"/>
                                      <w:color w:val="000000"/>
                                      <w:kern w:val="0"/>
                                      <w:sz w:val="14"/>
                                      <w:szCs w:val="14"/>
                                      <w:vertAlign w:val="superscript"/>
                                      <w:lang w:val="zh-CN"/>
                                    </w:rPr>
                                    <w:t>6</w:t>
                                  </w:r>
                                  <w:r w:rsidRPr="005C657C">
                                    <w:rPr>
                                      <w:rFonts w:ascii="Book Antiqua" w:hAnsi="Book Antiqua" w:cs="Book Antiqua"/>
                                      <w:color w:val="000000"/>
                                      <w:kern w:val="0"/>
                                      <w:sz w:val="14"/>
                                      <w:szCs w:val="14"/>
                                      <w:vertAlign w:val="superscript"/>
                                      <w:lang w:val="en-GB"/>
                                    </w:rPr>
                                    <w:t>]</w:t>
                                  </w:r>
                                  <w:r w:rsidRPr="005C657C">
                                    <w:rPr>
                                      <w:rFonts w:ascii="Book Antiqua" w:hAnsi="Book Antiqua" w:cs="Book Antiqua"/>
                                      <w:color w:val="000000"/>
                                      <w:kern w:val="0"/>
                                      <w:sz w:val="14"/>
                                      <w:szCs w:val="14"/>
                                      <w:lang w:val="en-GB"/>
                                    </w:rPr>
                                    <w:t xml:space="preserve"> </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2015</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2"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Histology</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80"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26 yr</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203"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43%</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31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en-GB"/>
                                    </w:rPr>
                                  </w:pPr>
                                  <w:r w:rsidRPr="005C657C">
                                    <w:rPr>
                                      <w:rFonts w:ascii="Book Antiqua" w:hAnsi="Book Antiqua" w:cs="Book Antiqua"/>
                                      <w:color w:val="000000"/>
                                      <w:kern w:val="0"/>
                                      <w:sz w:val="14"/>
                                      <w:szCs w:val="14"/>
                                      <w:lang w:val="en-GB"/>
                                    </w:rPr>
                                    <w:t>1</w:t>
                                  </w:r>
                                  <w:r w:rsidRPr="005C657C">
                                    <w:rPr>
                                      <w:rFonts w:ascii="Book Antiqua" w:hAnsi="Book Antiqua" w:cs="Book Antiqua"/>
                                      <w:color w:val="000000"/>
                                      <w:kern w:val="0"/>
                                      <w:sz w:val="14"/>
                                      <w:szCs w:val="14"/>
                                      <w:vertAlign w:val="superscript"/>
                                      <w:lang w:val="en-GB"/>
                                    </w:rPr>
                                    <w:t>st</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72071C" w:rsidRPr="008876C5" w:rsidRDefault="0072071C" w:rsidP="0072071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5C657C">
                              <w:rPr>
                                <w:rFonts w:ascii="Book Antiqua" w:hAnsi="Book Antiqua" w:cs="Book Antiqua"/>
                                <w:color w:val="000000"/>
                                <w:kern w:val="0"/>
                                <w:sz w:val="14"/>
                                <w:szCs w:val="14"/>
                              </w:rPr>
                              <w:t>CV: Cardiovascular; NAFLD: Non-alcoholic fatty liver disease.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0;margin-top:0;width:420.75pt;height:349.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">
                <v:textbox style="mso-fit-shape-to-text:t">
                  <w:txbxContent>
                    <w:p w:rsidR="0072071C" w:rsidRPr="005C657C" w:rsidRDefault="0072071C" w:rsidP="0072071C">
                      <w:pPr>
                        <w:rPr>
                          <w:b/>
                          <w:bCs/>
                        </w:rPr>
                      </w:pPr>
                      <w:r w:rsidRPr="005C657C">
                        <w:rPr>
                          <w:b/>
                          <w:bCs/>
                        </w:rPr>
                        <w:t xml:space="preserve">Table </w:t>
                      </w:r>
                      <w:proofErr w:type="gramStart"/>
                      <w:r w:rsidRPr="005C657C">
                        <w:rPr>
                          <w:b/>
                          <w:bCs/>
                        </w:rPr>
                        <w:t>2  Cardiovascular</w:t>
                      </w:r>
                      <w:proofErr w:type="gramEnd"/>
                      <w:r w:rsidRPr="005C657C">
                        <w:rPr>
                          <w:b/>
                          <w:bCs/>
                        </w:rPr>
                        <w:t xml:space="preserve"> mortality in non-alcoholic fatty liver disease patients</w:t>
                      </w:r>
                    </w:p>
                    <w:tbl>
                      <w:tblPr>
                        <w:tblW w:w="9557"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258"/>
                        <w:gridCol w:w="1237"/>
                        <w:gridCol w:w="1962"/>
                        <w:gridCol w:w="1580"/>
                        <w:gridCol w:w="1203"/>
                        <w:gridCol w:w="1317"/>
                      </w:tblGrid>
                      <w:tr w:rsidR="0072071C" w:rsidRPr="005C657C" w:rsidTr="005C657C">
                        <w:tblPrEx>
                          <w:tblCellMar>
                            <w:top w:w="0" w:type="dxa"/>
                            <w:left w:w="0" w:type="dxa"/>
                            <w:bottom w:w="0" w:type="dxa"/>
                            <w:right w:w="0" w:type="dxa"/>
                          </w:tblCellMar>
                        </w:tblPrEx>
                        <w:trPr>
                          <w:trHeight w:hRule="exact" w:val="713"/>
                        </w:trPr>
                        <w:tc>
                          <w:tcPr>
                            <w:tcW w:w="2258" w:type="dxa"/>
                            <w:tcBorders>
                              <w:top w:val="single" w:sz="6" w:space="0" w:color="000000"/>
                              <w:bottom w:val="single" w:sz="6" w:space="0" w:color="000000"/>
                            </w:tcBorders>
                            <w:tcMar>
                              <w:top w:w="28" w:type="dxa"/>
                              <w:left w:w="28" w:type="dxa"/>
                              <w:bottom w:w="28" w:type="dxa"/>
                              <w:right w:w="28" w:type="dxa"/>
                            </w:tcMar>
                          </w:tcPr>
                          <w:p w:rsidR="0072071C" w:rsidRPr="005C657C" w:rsidRDefault="0072071C" w:rsidP="005C657C">
                            <w:pPr>
                              <w:autoSpaceDE w:val="0"/>
                              <w:autoSpaceDN w:val="0"/>
                              <w:adjustRightInd w:val="0"/>
                              <w:spacing w:line="288" w:lineRule="auto"/>
                              <w:textAlignment w:val="center"/>
                              <w:rPr>
                                <w:rFonts w:ascii="Albertus" w:hAnsi="Albertus" w:cs="Albertus"/>
                                <w:b/>
                                <w:bCs/>
                                <w:color w:val="000000"/>
                                <w:kern w:val="0"/>
                                <w:sz w:val="14"/>
                                <w:szCs w:val="14"/>
                                <w:lang w:val="zh-CN"/>
                              </w:rPr>
                            </w:pPr>
                            <w:r w:rsidRPr="005C657C">
                              <w:rPr>
                                <w:rFonts w:ascii="Albertus" w:hAnsi="Albertus" w:cs="Albertus"/>
                                <w:b/>
                                <w:bCs/>
                                <w:color w:val="000000"/>
                                <w:kern w:val="0"/>
                                <w:sz w:val="14"/>
                                <w:szCs w:val="14"/>
                                <w:lang w:val="zh-CN"/>
                              </w:rPr>
                              <w:t>Ref.</w:t>
                            </w:r>
                          </w:p>
                          <w:p w:rsidR="0072071C" w:rsidRPr="005C657C" w:rsidRDefault="0072071C" w:rsidP="005C657C">
                            <w:pPr>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237" w:type="dxa"/>
                            <w:tcBorders>
                              <w:top w:val="single" w:sz="6" w:space="0" w:color="000000"/>
                              <w:bottom w:val="single" w:sz="6" w:space="0" w:color="000000"/>
                            </w:tcBorders>
                            <w:tcMar>
                              <w:top w:w="28" w:type="dxa"/>
                              <w:left w:w="28" w:type="dxa"/>
                              <w:bottom w:w="28" w:type="dxa"/>
                              <w:right w:w="28" w:type="dxa"/>
                            </w:tcMar>
                          </w:tcPr>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C657C">
                              <w:rPr>
                                <w:rFonts w:ascii="Albertus" w:hAnsi="Albertus" w:cs="Albertus"/>
                                <w:b/>
                                <w:bCs/>
                                <w:color w:val="000000"/>
                                <w:kern w:val="0"/>
                                <w:sz w:val="14"/>
                                <w:szCs w:val="14"/>
                                <w:lang w:val="zh-CN"/>
                              </w:rPr>
                              <w:t>Year</w:t>
                            </w:r>
                          </w:p>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962" w:type="dxa"/>
                            <w:tcBorders>
                              <w:top w:val="single" w:sz="6" w:space="0" w:color="000000"/>
                              <w:bottom w:val="single" w:sz="6" w:space="0" w:color="000000"/>
                            </w:tcBorders>
                            <w:tcMar>
                              <w:top w:w="28" w:type="dxa"/>
                              <w:left w:w="28" w:type="dxa"/>
                              <w:bottom w:w="28" w:type="dxa"/>
                              <w:right w:w="28" w:type="dxa"/>
                            </w:tcMar>
                          </w:tcPr>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C657C">
                              <w:rPr>
                                <w:rFonts w:ascii="Albertus" w:hAnsi="Albertus" w:cs="Albertus"/>
                                <w:b/>
                                <w:bCs/>
                                <w:color w:val="000000"/>
                                <w:kern w:val="0"/>
                                <w:sz w:val="14"/>
                                <w:szCs w:val="14"/>
                                <w:lang w:val="zh-CN"/>
                              </w:rPr>
                              <w:t>NAFLD diagnosis</w:t>
                            </w:r>
                          </w:p>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80" w:type="dxa"/>
                            <w:tcBorders>
                              <w:top w:val="single" w:sz="6" w:space="0" w:color="000000"/>
                              <w:bottom w:val="single" w:sz="6" w:space="0" w:color="000000"/>
                            </w:tcBorders>
                            <w:tcMar>
                              <w:top w:w="28" w:type="dxa"/>
                              <w:left w:w="28" w:type="dxa"/>
                              <w:bottom w:w="28" w:type="dxa"/>
                              <w:right w:w="28" w:type="dxa"/>
                            </w:tcMar>
                          </w:tcPr>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C657C">
                              <w:rPr>
                                <w:rFonts w:ascii="Albertus" w:hAnsi="Albertus" w:cs="Albertus"/>
                                <w:b/>
                                <w:bCs/>
                                <w:color w:val="000000"/>
                                <w:kern w:val="0"/>
                                <w:sz w:val="14"/>
                                <w:szCs w:val="14"/>
                                <w:lang w:val="zh-CN"/>
                              </w:rPr>
                              <w:t>Follow-up</w:t>
                            </w:r>
                          </w:p>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203" w:type="dxa"/>
                            <w:tcBorders>
                              <w:top w:val="single" w:sz="6" w:space="0" w:color="000000"/>
                              <w:bottom w:val="single" w:sz="6" w:space="0" w:color="000000"/>
                            </w:tcBorders>
                            <w:tcMar>
                              <w:top w:w="28" w:type="dxa"/>
                              <w:left w:w="28" w:type="dxa"/>
                              <w:bottom w:w="28" w:type="dxa"/>
                              <w:right w:w="28" w:type="dxa"/>
                            </w:tcMar>
                          </w:tcPr>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5C657C">
                              <w:rPr>
                                <w:rFonts w:ascii="Albertus" w:hAnsi="Albertus" w:cs="Albertus"/>
                                <w:b/>
                                <w:bCs/>
                                <w:color w:val="000000"/>
                                <w:kern w:val="0"/>
                                <w:sz w:val="14"/>
                                <w:szCs w:val="14"/>
                                <w:lang w:val="zh-CN"/>
                              </w:rPr>
                              <w:t>CV mortality</w:t>
                            </w:r>
                          </w:p>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317" w:type="dxa"/>
                            <w:tcBorders>
                              <w:top w:val="single" w:sz="6" w:space="0" w:color="000000"/>
                              <w:bottom w:val="single" w:sz="6" w:space="0" w:color="000000"/>
                            </w:tcBorders>
                            <w:tcMar>
                              <w:top w:w="28" w:type="dxa"/>
                              <w:left w:w="28" w:type="dxa"/>
                              <w:bottom w:w="28" w:type="dxa"/>
                              <w:right w:w="28" w:type="dxa"/>
                            </w:tcMar>
                          </w:tcPr>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4"/>
                                <w:szCs w:val="14"/>
                                <w:lang w:val="en-GB"/>
                              </w:rPr>
                            </w:pPr>
                            <w:r w:rsidRPr="005C657C">
                              <w:rPr>
                                <w:rFonts w:ascii="Albertus" w:hAnsi="Albertus" w:cs="Albertus"/>
                                <w:b/>
                                <w:bCs/>
                                <w:color w:val="000000"/>
                                <w:kern w:val="0"/>
                                <w:sz w:val="14"/>
                                <w:szCs w:val="14"/>
                                <w:lang w:val="en-GB"/>
                              </w:rPr>
                              <w:t>Cause of mortality</w:t>
                            </w:r>
                          </w:p>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2258" w:type="dxa"/>
                            <w:tcBorders>
                              <w:top w:val="single" w:sz="6" w:space="0" w:color="000000"/>
                            </w:tcBorders>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 xml:space="preserve">Dam-Larsen </w:t>
                            </w:r>
                            <w:r w:rsidRPr="005C657C">
                              <w:rPr>
                                <w:rFonts w:ascii="Book Antiqua" w:hAnsi="Book Antiqua" w:cs="Book Antiqua"/>
                                <w:i/>
                                <w:iCs/>
                                <w:color w:val="000000"/>
                                <w:kern w:val="0"/>
                                <w:sz w:val="14"/>
                                <w:szCs w:val="14"/>
                                <w:lang w:val="zh-CN"/>
                              </w:rPr>
                              <w:t>et al</w:t>
                            </w:r>
                            <w:r w:rsidRPr="005C657C">
                              <w:rPr>
                                <w:rFonts w:ascii="Book Antiqua" w:hAnsi="Book Antiqua" w:cs="Book Antiqua"/>
                                <w:color w:val="000000"/>
                                <w:kern w:val="0"/>
                                <w:sz w:val="14"/>
                                <w:szCs w:val="14"/>
                                <w:vertAlign w:val="superscript"/>
                                <w:lang w:val="zh-CN"/>
                              </w:rPr>
                              <w:t>[48]</w:t>
                            </w:r>
                            <w:r w:rsidRPr="005C657C">
                              <w:rPr>
                                <w:rFonts w:ascii="Book Antiqua" w:hAnsi="Book Antiqua" w:cs="Book Antiqua"/>
                                <w:color w:val="000000"/>
                                <w:kern w:val="0"/>
                                <w:sz w:val="14"/>
                                <w:szCs w:val="14"/>
                                <w:lang w:val="zh-CN"/>
                              </w:rPr>
                              <w:t xml:space="preserve"> </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7" w:type="dxa"/>
                            <w:tcBorders>
                              <w:top w:val="single" w:sz="6" w:space="0" w:color="000000"/>
                            </w:tcBorders>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2004</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2" w:type="dxa"/>
                            <w:tcBorders>
                              <w:top w:val="single" w:sz="6" w:space="0" w:color="000000"/>
                            </w:tcBorders>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Histology</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80" w:type="dxa"/>
                            <w:tcBorders>
                              <w:top w:val="single" w:sz="6" w:space="0" w:color="000000"/>
                            </w:tcBorders>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20 yr</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203" w:type="dxa"/>
                            <w:tcBorders>
                              <w:top w:val="single" w:sz="6" w:space="0" w:color="000000"/>
                            </w:tcBorders>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38%</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317" w:type="dxa"/>
                            <w:tcBorders>
                              <w:top w:val="single" w:sz="6" w:space="0" w:color="000000"/>
                            </w:tcBorders>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5C657C">
                              <w:rPr>
                                <w:rFonts w:ascii="Book Antiqua" w:hAnsi="Book Antiqua" w:cs="Book Antiqua"/>
                                <w:color w:val="000000"/>
                                <w:kern w:val="0"/>
                                <w:sz w:val="14"/>
                                <w:szCs w:val="14"/>
                                <w:lang w:val="zh-CN"/>
                              </w:rPr>
                              <w:t>1</w:t>
                            </w:r>
                            <w:r w:rsidRPr="005C657C">
                              <w:rPr>
                                <w:rFonts w:ascii="Book Antiqua" w:hAnsi="Book Antiqua" w:cs="Book Antiqua"/>
                                <w:color w:val="000000"/>
                                <w:kern w:val="0"/>
                                <w:sz w:val="14"/>
                                <w:szCs w:val="14"/>
                                <w:vertAlign w:val="superscript"/>
                                <w:lang w:val="zh-CN"/>
                              </w:rPr>
                              <w:t>st</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2258"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r w:rsidRPr="005C657C">
                              <w:rPr>
                                <w:rFonts w:ascii="Book Antiqua" w:hAnsi="Book Antiqua" w:cs="Book Antiqua"/>
                                <w:color w:val="000000"/>
                                <w:kern w:val="0"/>
                                <w:sz w:val="14"/>
                                <w:szCs w:val="14"/>
                                <w:lang w:val="zh-CN"/>
                              </w:rPr>
                              <w:t xml:space="preserve">Adams </w:t>
                            </w:r>
                            <w:r w:rsidRPr="005C657C">
                              <w:rPr>
                                <w:rFonts w:ascii="Book Antiqua" w:hAnsi="Book Antiqua" w:cs="Book Antiqua"/>
                                <w:i/>
                                <w:iCs/>
                                <w:color w:val="000000"/>
                                <w:kern w:val="0"/>
                                <w:sz w:val="14"/>
                                <w:szCs w:val="14"/>
                                <w:lang w:val="zh-CN"/>
                              </w:rPr>
                              <w:t>et al</w:t>
                            </w:r>
                            <w:r w:rsidRPr="005C657C">
                              <w:rPr>
                                <w:rFonts w:ascii="Book Antiqua" w:hAnsi="Book Antiqua" w:cs="Book Antiqua"/>
                                <w:color w:val="000000"/>
                                <w:kern w:val="0"/>
                                <w:sz w:val="14"/>
                                <w:szCs w:val="14"/>
                                <w:vertAlign w:val="superscript"/>
                                <w:lang w:val="zh-CN"/>
                              </w:rPr>
                              <w:t>[49]</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2005</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2"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Histology</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80"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 xml:space="preserve">  8 yr</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203"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25%</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31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5C657C">
                              <w:rPr>
                                <w:rFonts w:ascii="Book Antiqua" w:hAnsi="Book Antiqua" w:cs="Book Antiqua"/>
                                <w:color w:val="000000"/>
                                <w:kern w:val="0"/>
                                <w:sz w:val="14"/>
                                <w:szCs w:val="14"/>
                                <w:lang w:val="zh-CN"/>
                              </w:rPr>
                              <w:t xml:space="preserve"> 2</w:t>
                            </w:r>
                            <w:r w:rsidRPr="005C657C">
                              <w:rPr>
                                <w:rFonts w:ascii="Book Antiqua" w:hAnsi="Book Antiqua" w:cs="Book Antiqua"/>
                                <w:color w:val="000000"/>
                                <w:kern w:val="0"/>
                                <w:sz w:val="14"/>
                                <w:szCs w:val="14"/>
                                <w:vertAlign w:val="superscript"/>
                                <w:lang w:val="zh-CN"/>
                              </w:rPr>
                              <w:t>nd</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2258"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r w:rsidRPr="005C657C">
                              <w:rPr>
                                <w:rFonts w:ascii="Book Antiqua" w:hAnsi="Book Antiqua" w:cs="Book Antiqua"/>
                                <w:color w:val="000000"/>
                                <w:kern w:val="0"/>
                                <w:sz w:val="14"/>
                                <w:szCs w:val="14"/>
                                <w:lang w:val="zh-CN"/>
                              </w:rPr>
                              <w:t xml:space="preserve">Ong </w:t>
                            </w:r>
                            <w:r w:rsidRPr="005C657C">
                              <w:rPr>
                                <w:rFonts w:ascii="Book Antiqua" w:hAnsi="Book Antiqua" w:cs="Book Antiqua"/>
                                <w:i/>
                                <w:iCs/>
                                <w:color w:val="000000"/>
                                <w:kern w:val="0"/>
                                <w:sz w:val="14"/>
                                <w:szCs w:val="14"/>
                                <w:lang w:val="zh-CN"/>
                              </w:rPr>
                              <w:t>et al</w:t>
                            </w:r>
                            <w:r w:rsidRPr="005C657C">
                              <w:rPr>
                                <w:rFonts w:ascii="Book Antiqua" w:hAnsi="Book Antiqua" w:cs="Book Antiqua"/>
                                <w:color w:val="000000"/>
                                <w:kern w:val="0"/>
                                <w:sz w:val="14"/>
                                <w:szCs w:val="14"/>
                                <w:vertAlign w:val="superscript"/>
                                <w:lang w:val="zh-CN"/>
                              </w:rPr>
                              <w:t>[50]</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2008</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2"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Ultrasound</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80"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 xml:space="preserve">  9 yr</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203"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25%</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31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5C657C">
                              <w:rPr>
                                <w:rFonts w:ascii="Book Antiqua" w:hAnsi="Book Antiqua" w:cs="Book Antiqua"/>
                                <w:color w:val="000000"/>
                                <w:kern w:val="0"/>
                                <w:sz w:val="14"/>
                                <w:szCs w:val="14"/>
                                <w:lang w:val="zh-CN"/>
                              </w:rPr>
                              <w:t>1</w:t>
                            </w:r>
                            <w:r w:rsidRPr="005C657C">
                              <w:rPr>
                                <w:rFonts w:ascii="Book Antiqua" w:hAnsi="Book Antiqua" w:cs="Book Antiqua"/>
                                <w:color w:val="000000"/>
                                <w:kern w:val="0"/>
                                <w:sz w:val="14"/>
                                <w:szCs w:val="14"/>
                                <w:vertAlign w:val="superscript"/>
                                <w:lang w:val="zh-CN"/>
                              </w:rPr>
                              <w:t>st</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2258"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vertAlign w:val="superscript"/>
                                <w:lang w:val="zh-CN"/>
                              </w:rPr>
                            </w:pPr>
                            <w:r w:rsidRPr="005C657C">
                              <w:rPr>
                                <w:rFonts w:ascii="Book Antiqua" w:hAnsi="Book Antiqua" w:cs="Book Antiqua"/>
                                <w:color w:val="000000"/>
                                <w:kern w:val="0"/>
                                <w:sz w:val="14"/>
                                <w:szCs w:val="14"/>
                                <w:lang w:val="zh-CN"/>
                              </w:rPr>
                              <w:t xml:space="preserve">Rafiq </w:t>
                            </w:r>
                            <w:r w:rsidRPr="005C657C">
                              <w:rPr>
                                <w:rFonts w:ascii="Book Antiqua" w:hAnsi="Book Antiqua" w:cs="Book Antiqua"/>
                                <w:i/>
                                <w:iCs/>
                                <w:color w:val="000000"/>
                                <w:kern w:val="0"/>
                                <w:sz w:val="14"/>
                                <w:szCs w:val="14"/>
                                <w:lang w:val="zh-CN"/>
                              </w:rPr>
                              <w:t>et al</w:t>
                            </w:r>
                            <w:r w:rsidRPr="005C657C">
                              <w:rPr>
                                <w:rFonts w:ascii="Book Antiqua" w:hAnsi="Book Antiqua" w:cs="Book Antiqua"/>
                                <w:color w:val="000000"/>
                                <w:kern w:val="0"/>
                                <w:sz w:val="14"/>
                                <w:szCs w:val="14"/>
                                <w:vertAlign w:val="superscript"/>
                                <w:lang w:val="zh-CN"/>
                              </w:rPr>
                              <w:t>[51]</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2009</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2"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Histology</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80"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29 yr</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203"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13%</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31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en-GB"/>
                              </w:rPr>
                            </w:pPr>
                            <w:r w:rsidRPr="005C657C">
                              <w:rPr>
                                <w:rFonts w:ascii="Book Antiqua" w:hAnsi="Book Antiqua" w:cs="Book Antiqua"/>
                                <w:color w:val="000000"/>
                                <w:kern w:val="0"/>
                                <w:sz w:val="14"/>
                                <w:szCs w:val="14"/>
                                <w:lang w:val="en-GB"/>
                              </w:rPr>
                              <w:t>1</w:t>
                            </w:r>
                            <w:r w:rsidRPr="005C657C">
                              <w:rPr>
                                <w:rFonts w:ascii="Book Antiqua" w:hAnsi="Book Antiqua" w:cs="Book Antiqua"/>
                                <w:color w:val="000000"/>
                                <w:kern w:val="0"/>
                                <w:sz w:val="14"/>
                                <w:szCs w:val="14"/>
                                <w:vertAlign w:val="superscript"/>
                                <w:lang w:val="en-GB"/>
                              </w:rPr>
                              <w:t>st</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2258"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 xml:space="preserve">Söderberg </w:t>
                            </w:r>
                            <w:r w:rsidRPr="005C657C">
                              <w:rPr>
                                <w:rFonts w:ascii="Book Antiqua" w:hAnsi="Book Antiqua" w:cs="Book Antiqua"/>
                                <w:i/>
                                <w:iCs/>
                                <w:color w:val="000000"/>
                                <w:kern w:val="0"/>
                                <w:sz w:val="14"/>
                                <w:szCs w:val="14"/>
                                <w:lang w:val="en-GB"/>
                              </w:rPr>
                              <w:t>et al</w:t>
                            </w:r>
                            <w:r w:rsidRPr="005C657C">
                              <w:rPr>
                                <w:rFonts w:ascii="Book Antiqua" w:hAnsi="Book Antiqua" w:cs="Book Antiqua"/>
                                <w:color w:val="000000"/>
                                <w:kern w:val="0"/>
                                <w:sz w:val="14"/>
                                <w:szCs w:val="14"/>
                                <w:vertAlign w:val="superscript"/>
                                <w:lang w:val="en-GB"/>
                              </w:rPr>
                              <w:t>[52]</w:t>
                            </w:r>
                            <w:r w:rsidRPr="005C657C">
                              <w:rPr>
                                <w:rFonts w:ascii="Book Antiqua" w:hAnsi="Book Antiqua" w:cs="Book Antiqua"/>
                                <w:color w:val="000000"/>
                                <w:kern w:val="0"/>
                                <w:sz w:val="14"/>
                                <w:szCs w:val="14"/>
                                <w:lang w:val="en-GB"/>
                              </w:rPr>
                              <w:t xml:space="preserve"> </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2010</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2"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Histology</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80"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28 yr</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203"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35%</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31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en-GB"/>
                              </w:rPr>
                            </w:pPr>
                            <w:r w:rsidRPr="005C657C">
                              <w:rPr>
                                <w:rFonts w:ascii="Book Antiqua" w:hAnsi="Book Antiqua" w:cs="Book Antiqua"/>
                                <w:color w:val="000000"/>
                                <w:kern w:val="0"/>
                                <w:sz w:val="14"/>
                                <w:szCs w:val="14"/>
                                <w:lang w:val="en-GB"/>
                              </w:rPr>
                              <w:t>1</w:t>
                            </w:r>
                            <w:r w:rsidRPr="005C657C">
                              <w:rPr>
                                <w:rFonts w:ascii="Book Antiqua" w:hAnsi="Book Antiqua" w:cs="Book Antiqua"/>
                                <w:color w:val="000000"/>
                                <w:kern w:val="0"/>
                                <w:sz w:val="14"/>
                                <w:szCs w:val="14"/>
                                <w:vertAlign w:val="superscript"/>
                                <w:lang w:val="en-GB"/>
                              </w:rPr>
                              <w:t>st</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2258"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 xml:space="preserve">Angulo </w:t>
                            </w:r>
                            <w:r w:rsidRPr="005C657C">
                              <w:rPr>
                                <w:rFonts w:ascii="Book Antiqua" w:hAnsi="Book Antiqua" w:cs="Book Antiqua"/>
                                <w:i/>
                                <w:iCs/>
                                <w:color w:val="000000"/>
                                <w:kern w:val="0"/>
                                <w:sz w:val="14"/>
                                <w:szCs w:val="14"/>
                                <w:lang w:val="en-GB"/>
                              </w:rPr>
                              <w:t>et al</w:t>
                            </w:r>
                            <w:r w:rsidRPr="005C657C">
                              <w:rPr>
                                <w:rFonts w:ascii="Book Antiqua" w:hAnsi="Book Antiqua" w:cs="Book Antiqua"/>
                                <w:color w:val="000000"/>
                                <w:kern w:val="0"/>
                                <w:sz w:val="14"/>
                                <w:szCs w:val="14"/>
                                <w:vertAlign w:val="superscript"/>
                                <w:lang w:val="en-GB"/>
                              </w:rPr>
                              <w:t>[53]</w:t>
                            </w:r>
                            <w:r w:rsidRPr="005C657C">
                              <w:rPr>
                                <w:rFonts w:ascii="Book Antiqua" w:hAnsi="Book Antiqua" w:cs="Book Antiqua"/>
                                <w:color w:val="000000"/>
                                <w:kern w:val="0"/>
                                <w:sz w:val="14"/>
                                <w:szCs w:val="14"/>
                                <w:lang w:val="en-GB"/>
                              </w:rPr>
                              <w:t xml:space="preserve"> </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2013</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2"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Histology</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80"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 xml:space="preserve">  9 yr</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203"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38%</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31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en-GB"/>
                              </w:rPr>
                            </w:pPr>
                            <w:r w:rsidRPr="005C657C">
                              <w:rPr>
                                <w:rFonts w:ascii="Book Antiqua" w:hAnsi="Book Antiqua" w:cs="Book Antiqua"/>
                                <w:color w:val="000000"/>
                                <w:kern w:val="0"/>
                                <w:sz w:val="14"/>
                                <w:szCs w:val="14"/>
                                <w:lang w:val="en-GB"/>
                              </w:rPr>
                              <w:t>1</w:t>
                            </w:r>
                            <w:r w:rsidRPr="005C657C">
                              <w:rPr>
                                <w:rFonts w:ascii="Book Antiqua" w:hAnsi="Book Antiqua" w:cs="Book Antiqua"/>
                                <w:color w:val="000000"/>
                                <w:kern w:val="0"/>
                                <w:sz w:val="14"/>
                                <w:szCs w:val="14"/>
                                <w:vertAlign w:val="superscript"/>
                                <w:lang w:val="en-GB"/>
                              </w:rPr>
                              <w:t>st</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2258"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 xml:space="preserve">Stepanova </w:t>
                            </w:r>
                            <w:r w:rsidRPr="005C657C">
                              <w:rPr>
                                <w:rFonts w:ascii="Book Antiqua" w:hAnsi="Book Antiqua" w:cs="Book Antiqua"/>
                                <w:i/>
                                <w:iCs/>
                                <w:color w:val="000000"/>
                                <w:kern w:val="0"/>
                                <w:sz w:val="14"/>
                                <w:szCs w:val="14"/>
                                <w:lang w:val="en-GB"/>
                              </w:rPr>
                              <w:t>et al</w:t>
                            </w:r>
                            <w:r w:rsidRPr="005C657C">
                              <w:rPr>
                                <w:rFonts w:ascii="Book Antiqua" w:hAnsi="Book Antiqua" w:cs="Book Antiqua"/>
                                <w:color w:val="000000"/>
                                <w:kern w:val="0"/>
                                <w:sz w:val="14"/>
                                <w:szCs w:val="14"/>
                                <w:vertAlign w:val="superscript"/>
                                <w:lang w:val="en-GB"/>
                              </w:rPr>
                              <w:t>[54]</w:t>
                            </w:r>
                            <w:r w:rsidRPr="005C657C">
                              <w:rPr>
                                <w:rFonts w:ascii="Book Antiqua" w:hAnsi="Book Antiqua" w:cs="Book Antiqua"/>
                                <w:color w:val="000000"/>
                                <w:kern w:val="0"/>
                                <w:sz w:val="14"/>
                                <w:szCs w:val="14"/>
                                <w:lang w:val="en-GB"/>
                              </w:rPr>
                              <w:t xml:space="preserve"> </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2013</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2"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Histology</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80"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12 yr</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203"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28%</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31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en-GB"/>
                              </w:rPr>
                            </w:pPr>
                            <w:r w:rsidRPr="005C657C">
                              <w:rPr>
                                <w:rFonts w:ascii="Book Antiqua" w:hAnsi="Book Antiqua" w:cs="Book Antiqua"/>
                                <w:color w:val="000000"/>
                                <w:kern w:val="0"/>
                                <w:sz w:val="14"/>
                                <w:szCs w:val="14"/>
                                <w:lang w:val="en-GB"/>
                              </w:rPr>
                              <w:t>1</w:t>
                            </w:r>
                            <w:r w:rsidRPr="005C657C">
                              <w:rPr>
                                <w:rFonts w:ascii="Book Antiqua" w:hAnsi="Book Antiqua" w:cs="Book Antiqua"/>
                                <w:color w:val="000000"/>
                                <w:kern w:val="0"/>
                                <w:sz w:val="14"/>
                                <w:szCs w:val="14"/>
                                <w:vertAlign w:val="superscript"/>
                                <w:lang w:val="en-GB"/>
                              </w:rPr>
                              <w:t>st</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2258"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 xml:space="preserve">Ekstedt </w:t>
                            </w:r>
                            <w:r w:rsidRPr="005C657C">
                              <w:rPr>
                                <w:rFonts w:ascii="Book Antiqua" w:hAnsi="Book Antiqua" w:cs="Book Antiqua"/>
                                <w:i/>
                                <w:iCs/>
                                <w:color w:val="000000"/>
                                <w:kern w:val="0"/>
                                <w:sz w:val="14"/>
                                <w:szCs w:val="14"/>
                                <w:lang w:val="en-GB"/>
                              </w:rPr>
                              <w:t>et al</w:t>
                            </w:r>
                            <w:r w:rsidRPr="005C657C">
                              <w:rPr>
                                <w:rFonts w:ascii="Book Antiqua" w:hAnsi="Book Antiqua" w:cs="Book Antiqua"/>
                                <w:color w:val="000000"/>
                                <w:kern w:val="0"/>
                                <w:sz w:val="14"/>
                                <w:szCs w:val="14"/>
                                <w:vertAlign w:val="superscript"/>
                                <w:lang w:val="en-GB"/>
                              </w:rPr>
                              <w:t>[1</w:t>
                            </w:r>
                            <w:r w:rsidRPr="005C657C">
                              <w:rPr>
                                <w:rFonts w:ascii="Book Antiqua" w:hAnsi="Book Antiqua" w:cs="Book Antiqua"/>
                                <w:color w:val="000000"/>
                                <w:kern w:val="0"/>
                                <w:sz w:val="14"/>
                                <w:szCs w:val="14"/>
                                <w:vertAlign w:val="superscript"/>
                                <w:lang w:val="zh-CN"/>
                              </w:rPr>
                              <w:t>6</w:t>
                            </w:r>
                            <w:r w:rsidRPr="005C657C">
                              <w:rPr>
                                <w:rFonts w:ascii="Book Antiqua" w:hAnsi="Book Antiqua" w:cs="Book Antiqua"/>
                                <w:color w:val="000000"/>
                                <w:kern w:val="0"/>
                                <w:sz w:val="14"/>
                                <w:szCs w:val="14"/>
                                <w:vertAlign w:val="superscript"/>
                                <w:lang w:val="en-GB"/>
                              </w:rPr>
                              <w:t>]</w:t>
                            </w:r>
                            <w:r w:rsidRPr="005C657C">
                              <w:rPr>
                                <w:rFonts w:ascii="Book Antiqua" w:hAnsi="Book Antiqua" w:cs="Book Antiqua"/>
                                <w:color w:val="000000"/>
                                <w:kern w:val="0"/>
                                <w:sz w:val="14"/>
                                <w:szCs w:val="14"/>
                                <w:lang w:val="en-GB"/>
                              </w:rPr>
                              <w:t xml:space="preserve"> </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23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2015</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962"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Histology</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80"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26 yr</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203"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43%</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317"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en-GB"/>
                              </w:rPr>
                            </w:pPr>
                            <w:r w:rsidRPr="005C657C">
                              <w:rPr>
                                <w:rFonts w:ascii="Book Antiqua" w:hAnsi="Book Antiqua" w:cs="Book Antiqua"/>
                                <w:color w:val="000000"/>
                                <w:kern w:val="0"/>
                                <w:sz w:val="14"/>
                                <w:szCs w:val="14"/>
                                <w:lang w:val="en-GB"/>
                              </w:rPr>
                              <w:t>1</w:t>
                            </w:r>
                            <w:r w:rsidRPr="005C657C">
                              <w:rPr>
                                <w:rFonts w:ascii="Book Antiqua" w:hAnsi="Book Antiqua" w:cs="Book Antiqua"/>
                                <w:color w:val="000000"/>
                                <w:kern w:val="0"/>
                                <w:sz w:val="14"/>
                                <w:szCs w:val="14"/>
                                <w:vertAlign w:val="superscript"/>
                                <w:lang w:val="en-GB"/>
                              </w:rPr>
                              <w:t>st</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72071C" w:rsidRPr="008876C5" w:rsidRDefault="0072071C" w:rsidP="0072071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5C657C">
                        <w:rPr>
                          <w:rFonts w:ascii="Book Antiqua" w:hAnsi="Book Antiqua" w:cs="Book Antiqua"/>
                          <w:color w:val="000000"/>
                          <w:kern w:val="0"/>
                          <w:sz w:val="14"/>
                          <w:szCs w:val="14"/>
                        </w:rPr>
                        <w:t>CV: Cardiovascular; NAFLD: Non-alcoholic fatty liver disease.</w:t>
                      </w:r>
                    </w:p>
                  </w:txbxContent>
                </v:textbox>
                <w10:wrap type="square"/>
              </v:shape>
            </w:pict>
          </mc:Fallback>
        </mc:AlternateContent>
      </w:r>
    </w:p>
    <w:p w:rsidR="0072071C" w:rsidRDefault="0072071C" w:rsidP="0072071C">
      <w:pPr>
        <w:rPr>
          <w:rFonts w:hint="eastAsia"/>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343525" cy="8218170"/>
                <wp:effectExtent l="8255" t="9525" r="10795" b="1143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8218170"/>
                        </a:xfrm>
                        <a:prstGeom prst="rect">
                          <a:avLst/>
                        </a:prstGeom>
                        <a:solidFill>
                          <a:srgbClr val="FFFFFF"/>
                        </a:solidFill>
                        <a:ln w="9525">
                          <a:solidFill>
                            <a:srgbClr val="000000"/>
                          </a:solidFill>
                          <a:miter lim="800000"/>
                          <a:headEnd/>
                          <a:tailEnd/>
                        </a:ln>
                      </wps:spPr>
                      <wps:txbx>
                        <w:txbxContent>
                          <w:p w:rsidR="0072071C" w:rsidRPr="005C657C" w:rsidRDefault="0072071C" w:rsidP="0072071C">
                            <w:pPr>
                              <w:rPr>
                                <w:b/>
                                <w:bCs/>
                                <w:vertAlign w:val="superscript"/>
                              </w:rPr>
                            </w:pPr>
                            <w:r w:rsidRPr="005C657C">
                              <w:rPr>
                                <w:b/>
                                <w:bCs/>
                              </w:rPr>
                              <w:t xml:space="preserve">Table </w:t>
                            </w:r>
                            <w:proofErr w:type="gramStart"/>
                            <w:r w:rsidRPr="005C657C">
                              <w:rPr>
                                <w:b/>
                                <w:bCs/>
                              </w:rPr>
                              <w:t>3  Immunosuppressive</w:t>
                            </w:r>
                            <w:proofErr w:type="gramEnd"/>
                            <w:r w:rsidRPr="005C657C">
                              <w:rPr>
                                <w:b/>
                                <w:bCs/>
                              </w:rPr>
                              <w:t xml:space="preserve"> drugs and metabolic side effects affecting post-liver transplantation cardiovascular risk</w:t>
                            </w:r>
                            <w:r w:rsidRPr="005C657C">
                              <w:rPr>
                                <w:b/>
                                <w:bCs/>
                                <w:vertAlign w:val="superscript"/>
                              </w:rPr>
                              <w:t>[33]</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558"/>
                              <w:gridCol w:w="1511"/>
                              <w:gridCol w:w="1465"/>
                            </w:tblGrid>
                            <w:tr w:rsidR="0072071C" w:rsidRPr="005C657C" w:rsidTr="005C657C">
                              <w:tblPrEx>
                                <w:tblCellMar>
                                  <w:top w:w="0" w:type="dxa"/>
                                  <w:left w:w="0" w:type="dxa"/>
                                  <w:bottom w:w="0" w:type="dxa"/>
                                  <w:right w:w="0" w:type="dxa"/>
                                </w:tblCellMar>
                              </w:tblPrEx>
                              <w:trPr>
                                <w:trHeight w:hRule="exact" w:val="909"/>
                              </w:trPr>
                              <w:tc>
                                <w:tcPr>
                                  <w:tcW w:w="1558" w:type="dxa"/>
                                  <w:tcBorders>
                                    <w:top w:val="single" w:sz="6" w:space="0" w:color="000000"/>
                                    <w:bottom w:val="single" w:sz="6" w:space="0" w:color="000000"/>
                                  </w:tcBorders>
                                  <w:tcMar>
                                    <w:top w:w="28" w:type="dxa"/>
                                    <w:left w:w="28" w:type="dxa"/>
                                    <w:bottom w:w="28" w:type="dxa"/>
                                    <w:right w:w="28" w:type="dxa"/>
                                  </w:tcMar>
                                </w:tcPr>
                                <w:p w:rsidR="0072071C" w:rsidRPr="005C657C" w:rsidRDefault="0072071C" w:rsidP="005C657C">
                                  <w:pPr>
                                    <w:autoSpaceDE w:val="0"/>
                                    <w:autoSpaceDN w:val="0"/>
                                    <w:adjustRightInd w:val="0"/>
                                    <w:spacing w:line="288" w:lineRule="auto"/>
                                    <w:textAlignment w:val="center"/>
                                    <w:rPr>
                                      <w:rFonts w:ascii="Albertus" w:hAnsi="Albertus" w:cs="Albertus"/>
                                      <w:b/>
                                      <w:bCs/>
                                      <w:color w:val="000000"/>
                                      <w:kern w:val="0"/>
                                      <w:sz w:val="16"/>
                                      <w:szCs w:val="16"/>
                                      <w:lang w:val="en-GB"/>
                                    </w:rPr>
                                  </w:pPr>
                                  <w:r w:rsidRPr="005C657C">
                                    <w:rPr>
                                      <w:rFonts w:ascii="Albertus" w:hAnsi="Albertus" w:cs="Albertus"/>
                                      <w:b/>
                                      <w:bCs/>
                                      <w:color w:val="000000"/>
                                      <w:kern w:val="0"/>
                                      <w:sz w:val="16"/>
                                      <w:szCs w:val="16"/>
                                      <w:lang w:val="en-GB"/>
                                    </w:rPr>
                                    <w:t>Drug</w:t>
                                  </w:r>
                                </w:p>
                                <w:p w:rsidR="0072071C" w:rsidRPr="005C657C" w:rsidRDefault="0072071C" w:rsidP="005C657C">
                                  <w:pPr>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511" w:type="dxa"/>
                                  <w:tcBorders>
                                    <w:top w:val="single" w:sz="6" w:space="0" w:color="000000"/>
                                    <w:bottom w:val="single" w:sz="6" w:space="0" w:color="000000"/>
                                  </w:tcBorders>
                                  <w:tcMar>
                                    <w:top w:w="28" w:type="dxa"/>
                                    <w:left w:w="28" w:type="dxa"/>
                                    <w:bottom w:w="28" w:type="dxa"/>
                                    <w:right w:w="28" w:type="dxa"/>
                                  </w:tcMar>
                                </w:tcPr>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6"/>
                                      <w:szCs w:val="16"/>
                                      <w:lang w:val="zh-CN"/>
                                    </w:rPr>
                                  </w:pPr>
                                  <w:r w:rsidRPr="005C657C">
                                    <w:rPr>
                                      <w:rFonts w:ascii="Albertus" w:hAnsi="Albertus" w:cs="Albertus"/>
                                      <w:b/>
                                      <w:bCs/>
                                      <w:color w:val="000000"/>
                                      <w:kern w:val="0"/>
                                      <w:sz w:val="16"/>
                                      <w:szCs w:val="16"/>
                                      <w:lang w:val="zh-CN"/>
                                    </w:rPr>
                                    <w:t>Group</w:t>
                                  </w:r>
                                </w:p>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465" w:type="dxa"/>
                                  <w:tcBorders>
                                    <w:top w:val="single" w:sz="6" w:space="0" w:color="000000"/>
                                    <w:bottom w:val="single" w:sz="6" w:space="0" w:color="000000"/>
                                  </w:tcBorders>
                                  <w:tcMar>
                                    <w:top w:w="28" w:type="dxa"/>
                                    <w:left w:w="28" w:type="dxa"/>
                                    <w:bottom w:w="28" w:type="dxa"/>
                                    <w:right w:w="28" w:type="dxa"/>
                                  </w:tcMar>
                                </w:tcPr>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6"/>
                                      <w:szCs w:val="16"/>
                                      <w:lang w:val="zh-CN"/>
                                    </w:rPr>
                                  </w:pPr>
                                  <w:r w:rsidRPr="005C657C">
                                    <w:rPr>
                                      <w:rFonts w:ascii="Albertus" w:hAnsi="Albertus" w:cs="Albertus"/>
                                      <w:b/>
                                      <w:bCs/>
                                      <w:color w:val="000000"/>
                                      <w:kern w:val="0"/>
                                      <w:sz w:val="16"/>
                                      <w:szCs w:val="16"/>
                                      <w:lang w:val="zh-CN"/>
                                    </w:rPr>
                                    <w:t>Side effects</w:t>
                                  </w:r>
                                </w:p>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Borders>
                                    <w:top w:val="single" w:sz="6" w:space="0" w:color="000000"/>
                                  </w:tcBorders>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Corticosteroids</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11" w:type="dxa"/>
                                  <w:tcBorders>
                                    <w:top w:val="single" w:sz="6" w:space="0" w:color="000000"/>
                                  </w:tcBorders>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465" w:type="dxa"/>
                                  <w:tcBorders>
                                    <w:top w:val="single" w:sz="6" w:space="0" w:color="000000"/>
                                  </w:tcBorders>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Dyslipidemia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196"/>
                              </w:trPr>
                              <w:tc>
                                <w:tcPr>
                                  <w:tcW w:w="1558" w:type="dxa"/>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511" w:type="dxa"/>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AHT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511" w:type="dxa"/>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DM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511" w:type="dxa"/>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Renal impairment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Mycophenolate mofetil</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11" w:type="dxa"/>
                                  <w:vMerge w:val="restart"/>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i/>
                                      <w:iCs/>
                                      <w:color w:val="000000"/>
                                      <w:kern w:val="0"/>
                                      <w:sz w:val="14"/>
                                      <w:szCs w:val="14"/>
                                      <w:lang w:val="en-GB"/>
                                    </w:rPr>
                                    <w:t>De novo</w:t>
                                  </w:r>
                                  <w:r w:rsidRPr="005C657C">
                                    <w:rPr>
                                      <w:rFonts w:ascii="Book Antiqua" w:hAnsi="Book Antiqua" w:cs="Book Antiqua"/>
                                      <w:color w:val="000000"/>
                                      <w:kern w:val="0"/>
                                      <w:sz w:val="14"/>
                                      <w:szCs w:val="14"/>
                                      <w:lang w:val="en-GB"/>
                                    </w:rPr>
                                    <w:t xml:space="preserve"> purine synthesis inhibitor</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Dyslipidemia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511" w:type="dxa"/>
                                  <w:vMerge/>
                                </w:tcPr>
                                <w:p w:rsidR="0072071C" w:rsidRPr="005C657C" w:rsidRDefault="0072071C" w:rsidP="005C657C">
                                  <w:pPr>
                                    <w:autoSpaceDE w:val="0"/>
                                    <w:autoSpaceDN w:val="0"/>
                                    <w:adjustRightInd w:val="0"/>
                                    <w:jc w:val="left"/>
                                    <w:rPr>
                                      <w:rFonts w:ascii="Albertus" w:hAnsi="Albertus"/>
                                      <w:kern w:val="0"/>
                                      <w:sz w:val="24"/>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AHT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511" w:type="dxa"/>
                                  <w:vMerge/>
                                </w:tcPr>
                                <w:p w:rsidR="0072071C" w:rsidRPr="005C657C" w:rsidRDefault="0072071C" w:rsidP="005C657C">
                                  <w:pPr>
                                    <w:autoSpaceDE w:val="0"/>
                                    <w:autoSpaceDN w:val="0"/>
                                    <w:adjustRightInd w:val="0"/>
                                    <w:jc w:val="left"/>
                                    <w:rPr>
                                      <w:rFonts w:ascii="Albertus" w:hAnsi="Albertus"/>
                                      <w:kern w:val="0"/>
                                      <w:sz w:val="24"/>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DM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511" w:type="dxa"/>
                                  <w:vMerge/>
                                </w:tcPr>
                                <w:p w:rsidR="0072071C" w:rsidRPr="005C657C" w:rsidRDefault="0072071C" w:rsidP="005C657C">
                                  <w:pPr>
                                    <w:autoSpaceDE w:val="0"/>
                                    <w:autoSpaceDN w:val="0"/>
                                    <w:adjustRightInd w:val="0"/>
                                    <w:jc w:val="left"/>
                                    <w:rPr>
                                      <w:rFonts w:ascii="Albertus" w:hAnsi="Albertus"/>
                                      <w:kern w:val="0"/>
                                      <w:sz w:val="24"/>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Renal impairment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Cyclosporine</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11" w:type="dxa"/>
                                  <w:vMerge w:val="restart"/>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Calcineurin inhibitors</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Dyslipidemia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Tacrolimus</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11" w:type="dxa"/>
                                  <w:vMerge/>
                                </w:tcPr>
                                <w:p w:rsidR="0072071C" w:rsidRPr="005C657C" w:rsidRDefault="0072071C" w:rsidP="005C657C">
                                  <w:pPr>
                                    <w:autoSpaceDE w:val="0"/>
                                    <w:autoSpaceDN w:val="0"/>
                                    <w:adjustRightInd w:val="0"/>
                                    <w:jc w:val="left"/>
                                    <w:rPr>
                                      <w:rFonts w:ascii="Albertus" w:hAnsi="Albertus"/>
                                      <w:kern w:val="0"/>
                                      <w:sz w:val="24"/>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AHT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511" w:type="dxa"/>
                                  <w:vMerge/>
                                </w:tcPr>
                                <w:p w:rsidR="0072071C" w:rsidRPr="005C657C" w:rsidRDefault="0072071C" w:rsidP="005C657C">
                                  <w:pPr>
                                    <w:autoSpaceDE w:val="0"/>
                                    <w:autoSpaceDN w:val="0"/>
                                    <w:adjustRightInd w:val="0"/>
                                    <w:jc w:val="left"/>
                                    <w:rPr>
                                      <w:rFonts w:ascii="Albertus" w:hAnsi="Albertus"/>
                                      <w:kern w:val="0"/>
                                      <w:sz w:val="24"/>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DM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511" w:type="dxa"/>
                                  <w:vMerge/>
                                </w:tcPr>
                                <w:p w:rsidR="0072071C" w:rsidRPr="005C657C" w:rsidRDefault="0072071C" w:rsidP="005C657C">
                                  <w:pPr>
                                    <w:autoSpaceDE w:val="0"/>
                                    <w:autoSpaceDN w:val="0"/>
                                    <w:adjustRightInd w:val="0"/>
                                    <w:jc w:val="left"/>
                                    <w:rPr>
                                      <w:rFonts w:ascii="Albertus" w:hAnsi="Albertus"/>
                                      <w:kern w:val="0"/>
                                      <w:sz w:val="24"/>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Renal impairment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Sirolimus</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11" w:type="dxa"/>
                                  <w:vMerge w:val="restart"/>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mTOR inhibitors</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Dyslipidemia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Everolimus</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11" w:type="dxa"/>
                                  <w:vMerge/>
                                </w:tcPr>
                                <w:p w:rsidR="0072071C" w:rsidRPr="005C657C" w:rsidRDefault="0072071C" w:rsidP="005C657C">
                                  <w:pPr>
                                    <w:autoSpaceDE w:val="0"/>
                                    <w:autoSpaceDN w:val="0"/>
                                    <w:adjustRightInd w:val="0"/>
                                    <w:jc w:val="left"/>
                                    <w:rPr>
                                      <w:rFonts w:ascii="Albertus" w:hAnsi="Albertus"/>
                                      <w:kern w:val="0"/>
                                      <w:sz w:val="24"/>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AHT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511" w:type="dxa"/>
                                  <w:vMerge/>
                                </w:tcPr>
                                <w:p w:rsidR="0072071C" w:rsidRPr="005C657C" w:rsidRDefault="0072071C" w:rsidP="005C657C">
                                  <w:pPr>
                                    <w:autoSpaceDE w:val="0"/>
                                    <w:autoSpaceDN w:val="0"/>
                                    <w:adjustRightInd w:val="0"/>
                                    <w:jc w:val="left"/>
                                    <w:rPr>
                                      <w:rFonts w:ascii="Albertus" w:hAnsi="Albertus"/>
                                      <w:kern w:val="0"/>
                                      <w:sz w:val="24"/>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DM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511" w:type="dxa"/>
                                  <w:vMerge/>
                                </w:tcPr>
                                <w:p w:rsidR="0072071C" w:rsidRPr="005C657C" w:rsidRDefault="0072071C" w:rsidP="005C657C">
                                  <w:pPr>
                                    <w:autoSpaceDE w:val="0"/>
                                    <w:autoSpaceDN w:val="0"/>
                                    <w:adjustRightInd w:val="0"/>
                                    <w:jc w:val="left"/>
                                    <w:rPr>
                                      <w:rFonts w:ascii="Albertus" w:hAnsi="Albertus"/>
                                      <w:kern w:val="0"/>
                                      <w:sz w:val="24"/>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Renal impairment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72071C" w:rsidRPr="00F747B4" w:rsidRDefault="0072071C" w:rsidP="0072071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5C657C">
                              <w:rPr>
                                <w:rFonts w:ascii="Book Antiqua" w:hAnsi="Book Antiqua" w:cs="Book Antiqua"/>
                                <w:color w:val="000000"/>
                                <w:kern w:val="0"/>
                                <w:sz w:val="14"/>
                                <w:szCs w:val="14"/>
                              </w:rPr>
                              <w:t>(+): Positive association; (-): No association; AHT: Arterial Hypertension; DM: Diabetes mellitus.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 o:spid="_x0000_s1028" type="#_x0000_t202" style="position:absolute;left:0;text-align:left;margin-left:0;margin-top:0;width:420.75pt;height:647.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">
                <v:textbox style="mso-fit-shape-to-text:t">
                  <w:txbxContent>
                    <w:p w:rsidR="0072071C" w:rsidRPr="005C657C" w:rsidRDefault="0072071C" w:rsidP="0072071C">
                      <w:pPr>
                        <w:rPr>
                          <w:b/>
                          <w:bCs/>
                          <w:vertAlign w:val="superscript"/>
                        </w:rPr>
                      </w:pPr>
                      <w:r w:rsidRPr="005C657C">
                        <w:rPr>
                          <w:b/>
                          <w:bCs/>
                        </w:rPr>
                        <w:t xml:space="preserve">Table </w:t>
                      </w:r>
                      <w:proofErr w:type="gramStart"/>
                      <w:r w:rsidRPr="005C657C">
                        <w:rPr>
                          <w:b/>
                          <w:bCs/>
                        </w:rPr>
                        <w:t>3  Immunosuppressive</w:t>
                      </w:r>
                      <w:proofErr w:type="gramEnd"/>
                      <w:r w:rsidRPr="005C657C">
                        <w:rPr>
                          <w:b/>
                          <w:bCs/>
                        </w:rPr>
                        <w:t xml:space="preserve"> drugs and metabolic side effects affecting post-liver transplantation cardiovascular risk</w:t>
                      </w:r>
                      <w:r w:rsidRPr="005C657C">
                        <w:rPr>
                          <w:b/>
                          <w:bCs/>
                          <w:vertAlign w:val="superscript"/>
                        </w:rPr>
                        <w:t>[33]</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558"/>
                        <w:gridCol w:w="1511"/>
                        <w:gridCol w:w="1465"/>
                      </w:tblGrid>
                      <w:tr w:rsidR="0072071C" w:rsidRPr="005C657C" w:rsidTr="005C657C">
                        <w:tblPrEx>
                          <w:tblCellMar>
                            <w:top w:w="0" w:type="dxa"/>
                            <w:left w:w="0" w:type="dxa"/>
                            <w:bottom w:w="0" w:type="dxa"/>
                            <w:right w:w="0" w:type="dxa"/>
                          </w:tblCellMar>
                        </w:tblPrEx>
                        <w:trPr>
                          <w:trHeight w:hRule="exact" w:val="909"/>
                        </w:trPr>
                        <w:tc>
                          <w:tcPr>
                            <w:tcW w:w="1558" w:type="dxa"/>
                            <w:tcBorders>
                              <w:top w:val="single" w:sz="6" w:space="0" w:color="000000"/>
                              <w:bottom w:val="single" w:sz="6" w:space="0" w:color="000000"/>
                            </w:tcBorders>
                            <w:tcMar>
                              <w:top w:w="28" w:type="dxa"/>
                              <w:left w:w="28" w:type="dxa"/>
                              <w:bottom w:w="28" w:type="dxa"/>
                              <w:right w:w="28" w:type="dxa"/>
                            </w:tcMar>
                          </w:tcPr>
                          <w:p w:rsidR="0072071C" w:rsidRPr="005C657C" w:rsidRDefault="0072071C" w:rsidP="005C657C">
                            <w:pPr>
                              <w:autoSpaceDE w:val="0"/>
                              <w:autoSpaceDN w:val="0"/>
                              <w:adjustRightInd w:val="0"/>
                              <w:spacing w:line="288" w:lineRule="auto"/>
                              <w:textAlignment w:val="center"/>
                              <w:rPr>
                                <w:rFonts w:ascii="Albertus" w:hAnsi="Albertus" w:cs="Albertus"/>
                                <w:b/>
                                <w:bCs/>
                                <w:color w:val="000000"/>
                                <w:kern w:val="0"/>
                                <w:sz w:val="16"/>
                                <w:szCs w:val="16"/>
                                <w:lang w:val="en-GB"/>
                              </w:rPr>
                            </w:pPr>
                            <w:r w:rsidRPr="005C657C">
                              <w:rPr>
                                <w:rFonts w:ascii="Albertus" w:hAnsi="Albertus" w:cs="Albertus"/>
                                <w:b/>
                                <w:bCs/>
                                <w:color w:val="000000"/>
                                <w:kern w:val="0"/>
                                <w:sz w:val="16"/>
                                <w:szCs w:val="16"/>
                                <w:lang w:val="en-GB"/>
                              </w:rPr>
                              <w:t>Drug</w:t>
                            </w:r>
                          </w:p>
                          <w:p w:rsidR="0072071C" w:rsidRPr="005C657C" w:rsidRDefault="0072071C" w:rsidP="005C657C">
                            <w:pPr>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1511" w:type="dxa"/>
                            <w:tcBorders>
                              <w:top w:val="single" w:sz="6" w:space="0" w:color="000000"/>
                              <w:bottom w:val="single" w:sz="6" w:space="0" w:color="000000"/>
                            </w:tcBorders>
                            <w:tcMar>
                              <w:top w:w="28" w:type="dxa"/>
                              <w:left w:w="28" w:type="dxa"/>
                              <w:bottom w:w="28" w:type="dxa"/>
                              <w:right w:w="28" w:type="dxa"/>
                            </w:tcMar>
                          </w:tcPr>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6"/>
                                <w:szCs w:val="16"/>
                                <w:lang w:val="zh-CN"/>
                              </w:rPr>
                            </w:pPr>
                            <w:r w:rsidRPr="005C657C">
                              <w:rPr>
                                <w:rFonts w:ascii="Albertus" w:hAnsi="Albertus" w:cs="Albertus"/>
                                <w:b/>
                                <w:bCs/>
                                <w:color w:val="000000"/>
                                <w:kern w:val="0"/>
                                <w:sz w:val="16"/>
                                <w:szCs w:val="16"/>
                                <w:lang w:val="zh-CN"/>
                              </w:rPr>
                              <w:t>Group</w:t>
                            </w:r>
                          </w:p>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465" w:type="dxa"/>
                            <w:tcBorders>
                              <w:top w:val="single" w:sz="6" w:space="0" w:color="000000"/>
                              <w:bottom w:val="single" w:sz="6" w:space="0" w:color="000000"/>
                            </w:tcBorders>
                            <w:tcMar>
                              <w:top w:w="28" w:type="dxa"/>
                              <w:left w:w="28" w:type="dxa"/>
                              <w:bottom w:w="28" w:type="dxa"/>
                              <w:right w:w="28" w:type="dxa"/>
                            </w:tcMar>
                          </w:tcPr>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6"/>
                                <w:szCs w:val="16"/>
                                <w:lang w:val="zh-CN"/>
                              </w:rPr>
                            </w:pPr>
                            <w:r w:rsidRPr="005C657C">
                              <w:rPr>
                                <w:rFonts w:ascii="Albertus" w:hAnsi="Albertus" w:cs="Albertus"/>
                                <w:b/>
                                <w:bCs/>
                                <w:color w:val="000000"/>
                                <w:kern w:val="0"/>
                                <w:sz w:val="16"/>
                                <w:szCs w:val="16"/>
                                <w:lang w:val="zh-CN"/>
                              </w:rPr>
                              <w:t>Side effects</w:t>
                            </w:r>
                          </w:p>
                          <w:p w:rsidR="0072071C" w:rsidRPr="005C657C" w:rsidRDefault="0072071C" w:rsidP="005C657C">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Borders>
                              <w:top w:val="single" w:sz="6" w:space="0" w:color="000000"/>
                            </w:tcBorders>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Corticosteroids</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11" w:type="dxa"/>
                            <w:tcBorders>
                              <w:top w:val="single" w:sz="6" w:space="0" w:color="000000"/>
                            </w:tcBorders>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465" w:type="dxa"/>
                            <w:tcBorders>
                              <w:top w:val="single" w:sz="6" w:space="0" w:color="000000"/>
                            </w:tcBorders>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Dyslipidemia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196"/>
                        </w:trPr>
                        <w:tc>
                          <w:tcPr>
                            <w:tcW w:w="1558" w:type="dxa"/>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511" w:type="dxa"/>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AHT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511" w:type="dxa"/>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DM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511" w:type="dxa"/>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Renal impairment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Mycophenolate mofetil</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11" w:type="dxa"/>
                            <w:vMerge w:val="restart"/>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en-GB"/>
                              </w:rPr>
                            </w:pPr>
                            <w:r w:rsidRPr="005C657C">
                              <w:rPr>
                                <w:rFonts w:ascii="Book Antiqua" w:hAnsi="Book Antiqua" w:cs="Book Antiqua"/>
                                <w:i/>
                                <w:iCs/>
                                <w:color w:val="000000"/>
                                <w:kern w:val="0"/>
                                <w:sz w:val="14"/>
                                <w:szCs w:val="14"/>
                                <w:lang w:val="en-GB"/>
                              </w:rPr>
                              <w:t>De novo</w:t>
                            </w:r>
                            <w:r w:rsidRPr="005C657C">
                              <w:rPr>
                                <w:rFonts w:ascii="Book Antiqua" w:hAnsi="Book Antiqua" w:cs="Book Antiqua"/>
                                <w:color w:val="000000"/>
                                <w:kern w:val="0"/>
                                <w:sz w:val="14"/>
                                <w:szCs w:val="14"/>
                                <w:lang w:val="en-GB"/>
                              </w:rPr>
                              <w:t xml:space="preserve"> purine synthesis inhibitor</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Dyslipidemia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511" w:type="dxa"/>
                            <w:vMerge/>
                          </w:tcPr>
                          <w:p w:rsidR="0072071C" w:rsidRPr="005C657C" w:rsidRDefault="0072071C" w:rsidP="005C657C">
                            <w:pPr>
                              <w:autoSpaceDE w:val="0"/>
                              <w:autoSpaceDN w:val="0"/>
                              <w:adjustRightInd w:val="0"/>
                              <w:jc w:val="left"/>
                              <w:rPr>
                                <w:rFonts w:ascii="Albertus" w:hAnsi="Albertus"/>
                                <w:kern w:val="0"/>
                                <w:sz w:val="24"/>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AHT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511" w:type="dxa"/>
                            <w:vMerge/>
                          </w:tcPr>
                          <w:p w:rsidR="0072071C" w:rsidRPr="005C657C" w:rsidRDefault="0072071C" w:rsidP="005C657C">
                            <w:pPr>
                              <w:autoSpaceDE w:val="0"/>
                              <w:autoSpaceDN w:val="0"/>
                              <w:adjustRightInd w:val="0"/>
                              <w:jc w:val="left"/>
                              <w:rPr>
                                <w:rFonts w:ascii="Albertus" w:hAnsi="Albertus"/>
                                <w:kern w:val="0"/>
                                <w:sz w:val="24"/>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DM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511" w:type="dxa"/>
                            <w:vMerge/>
                          </w:tcPr>
                          <w:p w:rsidR="0072071C" w:rsidRPr="005C657C" w:rsidRDefault="0072071C" w:rsidP="005C657C">
                            <w:pPr>
                              <w:autoSpaceDE w:val="0"/>
                              <w:autoSpaceDN w:val="0"/>
                              <w:adjustRightInd w:val="0"/>
                              <w:jc w:val="left"/>
                              <w:rPr>
                                <w:rFonts w:ascii="Albertus" w:hAnsi="Albertus"/>
                                <w:kern w:val="0"/>
                                <w:sz w:val="24"/>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Renal impairment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Cyclosporine</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11" w:type="dxa"/>
                            <w:vMerge w:val="restart"/>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Calcineurin inhibitors</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Dyslipidemia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Tacrolimus</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11" w:type="dxa"/>
                            <w:vMerge/>
                          </w:tcPr>
                          <w:p w:rsidR="0072071C" w:rsidRPr="005C657C" w:rsidRDefault="0072071C" w:rsidP="005C657C">
                            <w:pPr>
                              <w:autoSpaceDE w:val="0"/>
                              <w:autoSpaceDN w:val="0"/>
                              <w:adjustRightInd w:val="0"/>
                              <w:jc w:val="left"/>
                              <w:rPr>
                                <w:rFonts w:ascii="Albertus" w:hAnsi="Albertus"/>
                                <w:kern w:val="0"/>
                                <w:sz w:val="24"/>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AHT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511" w:type="dxa"/>
                            <w:vMerge/>
                          </w:tcPr>
                          <w:p w:rsidR="0072071C" w:rsidRPr="005C657C" w:rsidRDefault="0072071C" w:rsidP="005C657C">
                            <w:pPr>
                              <w:autoSpaceDE w:val="0"/>
                              <w:autoSpaceDN w:val="0"/>
                              <w:adjustRightInd w:val="0"/>
                              <w:jc w:val="left"/>
                              <w:rPr>
                                <w:rFonts w:ascii="Albertus" w:hAnsi="Albertus"/>
                                <w:kern w:val="0"/>
                                <w:sz w:val="24"/>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DM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511" w:type="dxa"/>
                            <w:vMerge/>
                          </w:tcPr>
                          <w:p w:rsidR="0072071C" w:rsidRPr="005C657C" w:rsidRDefault="0072071C" w:rsidP="005C657C">
                            <w:pPr>
                              <w:autoSpaceDE w:val="0"/>
                              <w:autoSpaceDN w:val="0"/>
                              <w:adjustRightInd w:val="0"/>
                              <w:jc w:val="left"/>
                              <w:rPr>
                                <w:rFonts w:ascii="Albertus" w:hAnsi="Albertus"/>
                                <w:kern w:val="0"/>
                                <w:sz w:val="24"/>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Renal impairment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Sirolimus</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11" w:type="dxa"/>
                            <w:vMerge w:val="restart"/>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mTOR inhibitors</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Dyslipidemia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en-GB"/>
                              </w:rPr>
                            </w:pPr>
                            <w:r w:rsidRPr="005C657C">
                              <w:rPr>
                                <w:rFonts w:ascii="Book Antiqua" w:hAnsi="Book Antiqua" w:cs="Book Antiqua"/>
                                <w:color w:val="000000"/>
                                <w:kern w:val="0"/>
                                <w:sz w:val="14"/>
                                <w:szCs w:val="14"/>
                                <w:lang w:val="en-GB"/>
                              </w:rPr>
                              <w:t>Everolimus</w:t>
                            </w:r>
                          </w:p>
                          <w:p w:rsidR="0072071C" w:rsidRPr="005C657C" w:rsidRDefault="0072071C" w:rsidP="005C657C">
                            <w:pPr>
                              <w:suppressAutoHyphens/>
                              <w:autoSpaceDE w:val="0"/>
                              <w:autoSpaceDN w:val="0"/>
                              <w:adjustRightInd w:val="0"/>
                              <w:spacing w:line="200" w:lineRule="atLeast"/>
                              <w:textAlignment w:val="center"/>
                              <w:rPr>
                                <w:rFonts w:ascii="Book Antiqua" w:hAnsi="Book Antiqua" w:cs="Book Antiqua"/>
                                <w:color w:val="000000"/>
                                <w:kern w:val="0"/>
                                <w:sz w:val="14"/>
                                <w:szCs w:val="14"/>
                                <w:lang w:val="zh-CN"/>
                              </w:rPr>
                            </w:pPr>
                          </w:p>
                        </w:tc>
                        <w:tc>
                          <w:tcPr>
                            <w:tcW w:w="1511" w:type="dxa"/>
                            <w:vMerge/>
                          </w:tcPr>
                          <w:p w:rsidR="0072071C" w:rsidRPr="005C657C" w:rsidRDefault="0072071C" w:rsidP="005C657C">
                            <w:pPr>
                              <w:autoSpaceDE w:val="0"/>
                              <w:autoSpaceDN w:val="0"/>
                              <w:adjustRightInd w:val="0"/>
                              <w:jc w:val="left"/>
                              <w:rPr>
                                <w:rFonts w:ascii="Albertus" w:hAnsi="Albertus"/>
                                <w:kern w:val="0"/>
                                <w:sz w:val="24"/>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AHT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511" w:type="dxa"/>
                            <w:vMerge/>
                          </w:tcPr>
                          <w:p w:rsidR="0072071C" w:rsidRPr="005C657C" w:rsidRDefault="0072071C" w:rsidP="005C657C">
                            <w:pPr>
                              <w:autoSpaceDE w:val="0"/>
                              <w:autoSpaceDN w:val="0"/>
                              <w:adjustRightInd w:val="0"/>
                              <w:jc w:val="left"/>
                              <w:rPr>
                                <w:rFonts w:ascii="Albertus" w:hAnsi="Albertus"/>
                                <w:kern w:val="0"/>
                                <w:sz w:val="24"/>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DM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2071C" w:rsidRPr="005C657C" w:rsidTr="005C657C">
                        <w:tblPrEx>
                          <w:tblCellMar>
                            <w:top w:w="0" w:type="dxa"/>
                            <w:left w:w="0" w:type="dxa"/>
                            <w:bottom w:w="0" w:type="dxa"/>
                            <w:right w:w="0" w:type="dxa"/>
                          </w:tblCellMar>
                        </w:tblPrEx>
                        <w:trPr>
                          <w:trHeight w:val="60"/>
                        </w:trPr>
                        <w:tc>
                          <w:tcPr>
                            <w:tcW w:w="1558" w:type="dxa"/>
                            <w:tcMar>
                              <w:top w:w="28" w:type="dxa"/>
                              <w:left w:w="28" w:type="dxa"/>
                              <w:bottom w:w="28" w:type="dxa"/>
                              <w:right w:w="28" w:type="dxa"/>
                            </w:tcMar>
                          </w:tcPr>
                          <w:p w:rsidR="0072071C" w:rsidRPr="005C657C" w:rsidRDefault="0072071C" w:rsidP="005C657C">
                            <w:pPr>
                              <w:autoSpaceDE w:val="0"/>
                              <w:autoSpaceDN w:val="0"/>
                              <w:adjustRightInd w:val="0"/>
                              <w:jc w:val="left"/>
                              <w:rPr>
                                <w:rFonts w:ascii="Albertus" w:hAnsi="Albertus"/>
                                <w:kern w:val="0"/>
                                <w:sz w:val="24"/>
                              </w:rPr>
                            </w:pPr>
                          </w:p>
                        </w:tc>
                        <w:tc>
                          <w:tcPr>
                            <w:tcW w:w="1511" w:type="dxa"/>
                            <w:vMerge/>
                          </w:tcPr>
                          <w:p w:rsidR="0072071C" w:rsidRPr="005C657C" w:rsidRDefault="0072071C" w:rsidP="005C657C">
                            <w:pPr>
                              <w:autoSpaceDE w:val="0"/>
                              <w:autoSpaceDN w:val="0"/>
                              <w:adjustRightInd w:val="0"/>
                              <w:jc w:val="left"/>
                              <w:rPr>
                                <w:rFonts w:ascii="Albertus" w:hAnsi="Albertus"/>
                                <w:kern w:val="0"/>
                                <w:sz w:val="24"/>
                              </w:rPr>
                            </w:pPr>
                          </w:p>
                        </w:tc>
                        <w:tc>
                          <w:tcPr>
                            <w:tcW w:w="1465" w:type="dxa"/>
                            <w:tcMar>
                              <w:top w:w="28" w:type="dxa"/>
                              <w:left w:w="28" w:type="dxa"/>
                              <w:bottom w:w="28" w:type="dxa"/>
                              <w:right w:w="28" w:type="dxa"/>
                            </w:tcMar>
                          </w:tcPr>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5C657C">
                              <w:rPr>
                                <w:rFonts w:ascii="Book Antiqua" w:hAnsi="Book Antiqua" w:cs="Book Antiqua"/>
                                <w:color w:val="000000"/>
                                <w:kern w:val="0"/>
                                <w:sz w:val="14"/>
                                <w:szCs w:val="14"/>
                                <w:lang w:val="zh-CN"/>
                              </w:rPr>
                              <w:t>Renal impairment -</w:t>
                            </w:r>
                          </w:p>
                          <w:p w:rsidR="0072071C" w:rsidRPr="005C657C" w:rsidRDefault="0072071C" w:rsidP="005C657C">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72071C" w:rsidRPr="00F747B4" w:rsidRDefault="0072071C" w:rsidP="0072071C">
                      <w:pPr>
                        <w:suppressAutoHyphens/>
                        <w:autoSpaceDE w:val="0"/>
                        <w:autoSpaceDN w:val="0"/>
                        <w:adjustRightInd w:val="0"/>
                        <w:spacing w:line="200" w:lineRule="atLeast"/>
                        <w:textAlignment w:val="center"/>
                        <w:rPr>
                          <w:rFonts w:ascii="Book Antiqua" w:hAnsi="Book Antiqua" w:cs="Book Antiqua"/>
                          <w:color w:val="000000"/>
                          <w:kern w:val="0"/>
                          <w:sz w:val="14"/>
                          <w:szCs w:val="14"/>
                        </w:rPr>
                      </w:pPr>
                      <w:r w:rsidRPr="005C657C">
                        <w:rPr>
                          <w:rFonts w:ascii="Book Antiqua" w:hAnsi="Book Antiqua" w:cs="Book Antiqua"/>
                          <w:color w:val="000000"/>
                          <w:kern w:val="0"/>
                          <w:sz w:val="14"/>
                          <w:szCs w:val="14"/>
                        </w:rPr>
                        <w:t>(+): Positive association; (-): No association; AHT: Arterial Hypertension; DM: Diabetes mellitus.</w:t>
                      </w:r>
                    </w:p>
                  </w:txbxContent>
                </v:textbox>
                <w10:wrap type="square"/>
              </v:shape>
            </w:pict>
          </mc:Fallback>
        </mc:AlternateContent>
      </w:r>
    </w:p>
    <w:p w:rsidR="0072071C" w:rsidRPr="005C657C" w:rsidRDefault="0072071C" w:rsidP="0072071C">
      <w:pPr>
        <w:rPr>
          <w:rFonts w:hint="eastAsia"/>
        </w:rPr>
      </w:pPr>
    </w:p>
    <w:p w:rsidR="0072071C" w:rsidRPr="0072071C" w:rsidRDefault="0072071C" w:rsidP="00F50781"/>
    <w:sectPr w:rsidR="0072071C" w:rsidRPr="0072071C">
      <w:footerReference w:type="even" r:id="rId8"/>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37D" w:rsidRDefault="008F437D">
      <w:r>
        <w:separator/>
      </w:r>
    </w:p>
  </w:endnote>
  <w:endnote w:type="continuationSeparator" w:id="0">
    <w:p w:rsidR="008F437D" w:rsidRDefault="008F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lbertus">
    <w:panose1 w:val="020E07020403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37D" w:rsidRDefault="008F437D">
      <w:r>
        <w:separator/>
      </w:r>
    </w:p>
  </w:footnote>
  <w:footnote w:type="continuationSeparator" w:id="0">
    <w:p w:rsidR="008F437D" w:rsidRDefault="008F4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26FFA"/>
    <w:rsid w:val="000B0D85"/>
    <w:rsid w:val="001551FF"/>
    <w:rsid w:val="001666C0"/>
    <w:rsid w:val="00184D2D"/>
    <w:rsid w:val="0019357C"/>
    <w:rsid w:val="00200B22"/>
    <w:rsid w:val="002107CC"/>
    <w:rsid w:val="002956C9"/>
    <w:rsid w:val="00295C5F"/>
    <w:rsid w:val="002A32A1"/>
    <w:rsid w:val="002B75DF"/>
    <w:rsid w:val="002D2A10"/>
    <w:rsid w:val="002F45F1"/>
    <w:rsid w:val="00323671"/>
    <w:rsid w:val="003577BA"/>
    <w:rsid w:val="00455B0F"/>
    <w:rsid w:val="00476DB2"/>
    <w:rsid w:val="004D6FBC"/>
    <w:rsid w:val="005C31D4"/>
    <w:rsid w:val="005E55EB"/>
    <w:rsid w:val="00631E9C"/>
    <w:rsid w:val="00695F5F"/>
    <w:rsid w:val="006E55C4"/>
    <w:rsid w:val="006F19CB"/>
    <w:rsid w:val="0072071C"/>
    <w:rsid w:val="007218D1"/>
    <w:rsid w:val="00731FA6"/>
    <w:rsid w:val="00762110"/>
    <w:rsid w:val="00783DE1"/>
    <w:rsid w:val="00791A4E"/>
    <w:rsid w:val="007E3B2C"/>
    <w:rsid w:val="008226AD"/>
    <w:rsid w:val="008531AE"/>
    <w:rsid w:val="008548B1"/>
    <w:rsid w:val="0089485C"/>
    <w:rsid w:val="008F437D"/>
    <w:rsid w:val="009B3A45"/>
    <w:rsid w:val="009E244B"/>
    <w:rsid w:val="009E5A72"/>
    <w:rsid w:val="009F426D"/>
    <w:rsid w:val="00A4134A"/>
    <w:rsid w:val="00A619D5"/>
    <w:rsid w:val="00A71FFD"/>
    <w:rsid w:val="00AE0EE0"/>
    <w:rsid w:val="00B002E2"/>
    <w:rsid w:val="00B64DB1"/>
    <w:rsid w:val="00BD4C39"/>
    <w:rsid w:val="00C33DC9"/>
    <w:rsid w:val="00C542CD"/>
    <w:rsid w:val="00C846FE"/>
    <w:rsid w:val="00C91A79"/>
    <w:rsid w:val="00CB42A6"/>
    <w:rsid w:val="00CE1EAC"/>
    <w:rsid w:val="00D015C4"/>
    <w:rsid w:val="00D21779"/>
    <w:rsid w:val="00D34BE3"/>
    <w:rsid w:val="00D55C5E"/>
    <w:rsid w:val="00D676E0"/>
    <w:rsid w:val="00D70213"/>
    <w:rsid w:val="00D74442"/>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72071C"/>
    <w:pPr>
      <w:autoSpaceDE w:val="0"/>
      <w:autoSpaceDN w:val="0"/>
      <w:adjustRightInd w:val="0"/>
      <w:spacing w:line="288" w:lineRule="auto"/>
      <w:textAlignment w:val="center"/>
    </w:pPr>
    <w:rPr>
      <w:rFonts w:ascii="宋体" w:hAnsi="Monotype Corsiva" w:cs="宋体"/>
      <w:color w:val="000000"/>
      <w:kern w:val="0"/>
      <w:sz w:val="24"/>
      <w:szCs w:val="24"/>
      <w:lang w:val="zh-CN" w:bidi="th-TH"/>
    </w:rPr>
  </w:style>
  <w:style w:type="paragraph" w:customStyle="1" w:styleId="ae">
    <w:name w:val="作者"/>
    <w:basedOn w:val="a"/>
    <w:rsid w:val="0072071C"/>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Noparagraphstyle">
    <w:name w:val="[No paragraph style]"/>
    <w:rsid w:val="0072071C"/>
    <w:pPr>
      <w:widowControl w:val="0"/>
      <w:autoSpaceDE w:val="0"/>
      <w:autoSpaceDN w:val="0"/>
      <w:adjustRightInd w:val="0"/>
      <w:spacing w:line="288" w:lineRule="auto"/>
      <w:jc w:val="both"/>
      <w:textAlignment w:val="center"/>
    </w:pPr>
    <w:rPr>
      <w:rFonts w:ascii="宋体" w:hAnsi="Book Antiqua" w:cs="宋体"/>
      <w:color w:val="000000"/>
      <w:sz w:val="24"/>
      <w:szCs w:val="24"/>
      <w:lang w:val="zh-CN" w:bidi="th-TH"/>
    </w:rPr>
  </w:style>
  <w:style w:type="paragraph" w:customStyle="1" w:styleId="af">
    <w:name w:val="表格中文字"/>
    <w:basedOn w:val="a"/>
    <w:rsid w:val="0072071C"/>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0">
    <w:name w:val="表注"/>
    <w:basedOn w:val="af"/>
    <w:rsid w:val="0072071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72071C"/>
    <w:pPr>
      <w:autoSpaceDE w:val="0"/>
      <w:autoSpaceDN w:val="0"/>
      <w:adjustRightInd w:val="0"/>
      <w:spacing w:line="288" w:lineRule="auto"/>
      <w:textAlignment w:val="center"/>
    </w:pPr>
    <w:rPr>
      <w:rFonts w:ascii="宋体" w:hAnsi="Monotype Corsiva" w:cs="宋体"/>
      <w:color w:val="000000"/>
      <w:kern w:val="0"/>
      <w:sz w:val="24"/>
      <w:szCs w:val="24"/>
      <w:lang w:val="zh-CN" w:bidi="th-TH"/>
    </w:rPr>
  </w:style>
  <w:style w:type="paragraph" w:customStyle="1" w:styleId="ae">
    <w:name w:val="作者"/>
    <w:basedOn w:val="a"/>
    <w:rsid w:val="0072071C"/>
    <w:pPr>
      <w:suppressAutoHyphens/>
      <w:autoSpaceDE w:val="0"/>
      <w:autoSpaceDN w:val="0"/>
      <w:adjustRightInd w:val="0"/>
      <w:spacing w:line="300" w:lineRule="atLeast"/>
      <w:jc w:val="left"/>
      <w:textAlignment w:val="center"/>
    </w:pPr>
    <w:rPr>
      <w:rFonts w:ascii="Tahoma" w:hAnsi="Tahoma" w:cs="Tahoma"/>
      <w:color w:val="000000"/>
      <w:kern w:val="0"/>
      <w:sz w:val="20"/>
      <w:lang w:val="zh-CN" w:bidi="th-TH"/>
    </w:rPr>
  </w:style>
  <w:style w:type="paragraph" w:customStyle="1" w:styleId="Noparagraphstyle">
    <w:name w:val="[No paragraph style]"/>
    <w:rsid w:val="0072071C"/>
    <w:pPr>
      <w:widowControl w:val="0"/>
      <w:autoSpaceDE w:val="0"/>
      <w:autoSpaceDN w:val="0"/>
      <w:adjustRightInd w:val="0"/>
      <w:spacing w:line="288" w:lineRule="auto"/>
      <w:jc w:val="both"/>
      <w:textAlignment w:val="center"/>
    </w:pPr>
    <w:rPr>
      <w:rFonts w:ascii="宋体" w:hAnsi="Book Antiqua" w:cs="宋体"/>
      <w:color w:val="000000"/>
      <w:sz w:val="24"/>
      <w:szCs w:val="24"/>
      <w:lang w:val="zh-CN" w:bidi="th-TH"/>
    </w:rPr>
  </w:style>
  <w:style w:type="paragraph" w:customStyle="1" w:styleId="af">
    <w:name w:val="表格中文字"/>
    <w:basedOn w:val="a"/>
    <w:rsid w:val="0072071C"/>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bidi="th-TH"/>
    </w:rPr>
  </w:style>
  <w:style w:type="paragraph" w:customStyle="1" w:styleId="af0">
    <w:name w:val="表注"/>
    <w:basedOn w:val="af"/>
    <w:rsid w:val="0072071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5482</Words>
  <Characters>31251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9</cp:revision>
  <dcterms:created xsi:type="dcterms:W3CDTF">2016-01-15T04:02:00Z</dcterms:created>
  <dcterms:modified xsi:type="dcterms:W3CDTF">2017-05-19T05:33:00Z</dcterms:modified>
</cp:coreProperties>
</file>