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286F5C" w:rsidRPr="00E21E48" w:rsidRDefault="00E21E48">
            <w:pPr>
              <w:spacing w:line="360" w:lineRule="auto"/>
              <w:rPr>
                <w:rFonts w:ascii="Book Antiqua" w:hAnsi="Book Antiqua"/>
                <w:bCs/>
                <w:color w:val="000000"/>
                <w:sz w:val="24"/>
                <w:szCs w:val="24"/>
              </w:rPr>
            </w:pPr>
            <w:r w:rsidRPr="00E21E48">
              <w:rPr>
                <w:rFonts w:ascii="Book Antiqua" w:hAnsi="Book Antiqua"/>
                <w:bCs/>
                <w:color w:val="000000"/>
                <w:sz w:val="24"/>
                <w:szCs w:val="24"/>
              </w:rPr>
              <w:t xml:space="preserve">Features of hepatocellular carcinoma in Hispanics differ from African Americans and non-Hispanic Whites </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286F5C" w:rsidRPr="00E21E48" w:rsidRDefault="00E21E48">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E21E48">
              <w:rPr>
                <w:rFonts w:ascii="Book Antiqua" w:hAnsi="Book Antiqua"/>
                <w:color w:val="000000"/>
                <w:sz w:val="24"/>
                <w:szCs w:val="24"/>
              </w:rPr>
              <w:t xml:space="preserve">Neeta K </w:t>
            </w:r>
            <w:proofErr w:type="spellStart"/>
            <w:r w:rsidRPr="00E21E48">
              <w:rPr>
                <w:rFonts w:ascii="Book Antiqua" w:hAnsi="Book Antiqua"/>
                <w:color w:val="000000"/>
                <w:sz w:val="24"/>
                <w:szCs w:val="24"/>
              </w:rPr>
              <w:t>Venepalli</w:t>
            </w:r>
            <w:proofErr w:type="spellEnd"/>
            <w:r w:rsidRPr="00E21E48">
              <w:rPr>
                <w:rFonts w:ascii="Book Antiqua" w:hAnsi="Book Antiqua"/>
                <w:color w:val="000000"/>
                <w:sz w:val="24"/>
                <w:szCs w:val="24"/>
              </w:rPr>
              <w:t xml:space="preserve">, Mary V </w:t>
            </w:r>
            <w:proofErr w:type="spellStart"/>
            <w:r w:rsidRPr="00E21E48">
              <w:rPr>
                <w:rFonts w:ascii="Book Antiqua" w:hAnsi="Book Antiqua"/>
                <w:color w:val="000000"/>
                <w:sz w:val="24"/>
                <w:szCs w:val="24"/>
              </w:rPr>
              <w:t>Modayil</w:t>
            </w:r>
            <w:proofErr w:type="spellEnd"/>
            <w:r w:rsidRPr="00E21E48">
              <w:rPr>
                <w:rFonts w:ascii="Book Antiqua" w:hAnsi="Book Antiqua"/>
                <w:color w:val="000000"/>
                <w:sz w:val="24"/>
                <w:szCs w:val="24"/>
              </w:rPr>
              <w:t xml:space="preserve">, Stephanie A Berg, Tad D Nair, </w:t>
            </w:r>
            <w:proofErr w:type="spellStart"/>
            <w:r w:rsidRPr="00E21E48">
              <w:rPr>
                <w:rFonts w:ascii="Book Antiqua" w:hAnsi="Book Antiqua"/>
                <w:color w:val="000000"/>
                <w:sz w:val="24"/>
                <w:szCs w:val="24"/>
              </w:rPr>
              <w:t>Mayur</w:t>
            </w:r>
            <w:proofErr w:type="spellEnd"/>
            <w:r w:rsidRPr="00E21E48">
              <w:rPr>
                <w:rFonts w:ascii="Book Antiqua" w:hAnsi="Book Antiqua"/>
                <w:color w:val="000000"/>
                <w:sz w:val="24"/>
                <w:szCs w:val="24"/>
              </w:rPr>
              <w:t xml:space="preserve"> </w:t>
            </w:r>
            <w:proofErr w:type="spellStart"/>
            <w:r w:rsidRPr="00E21E48">
              <w:rPr>
                <w:rFonts w:ascii="Book Antiqua" w:hAnsi="Book Antiqua"/>
                <w:color w:val="000000"/>
                <w:sz w:val="24"/>
                <w:szCs w:val="24"/>
              </w:rPr>
              <w:t>Parepally</w:t>
            </w:r>
            <w:proofErr w:type="spellEnd"/>
            <w:r w:rsidRPr="00E21E48">
              <w:rPr>
                <w:rFonts w:ascii="Book Antiqua" w:hAnsi="Book Antiqua"/>
                <w:color w:val="000000"/>
                <w:sz w:val="24"/>
                <w:szCs w:val="24"/>
              </w:rPr>
              <w:t xml:space="preserve">, Priyanka </w:t>
            </w:r>
            <w:proofErr w:type="spellStart"/>
            <w:r w:rsidRPr="00E21E48">
              <w:rPr>
                <w:rFonts w:ascii="Book Antiqua" w:hAnsi="Book Antiqua"/>
                <w:color w:val="000000"/>
                <w:sz w:val="24"/>
                <w:szCs w:val="24"/>
              </w:rPr>
              <w:t>Rajaram</w:t>
            </w:r>
            <w:proofErr w:type="spellEnd"/>
            <w:r w:rsidRPr="00E21E48">
              <w:rPr>
                <w:rFonts w:ascii="Book Antiqua" w:hAnsi="Book Antiqua"/>
                <w:color w:val="000000"/>
                <w:sz w:val="24"/>
                <w:szCs w:val="24"/>
              </w:rPr>
              <w:t xml:space="preserve">, Ron C </w:t>
            </w:r>
            <w:proofErr w:type="spellStart"/>
            <w:r w:rsidRPr="00E21E48">
              <w:rPr>
                <w:rFonts w:ascii="Book Antiqua" w:hAnsi="Book Antiqua"/>
                <w:color w:val="000000"/>
                <w:sz w:val="24"/>
                <w:szCs w:val="24"/>
              </w:rPr>
              <w:t>Gaba</w:t>
            </w:r>
            <w:proofErr w:type="spellEnd"/>
            <w:r w:rsidRPr="00E21E48">
              <w:rPr>
                <w:rFonts w:ascii="Book Antiqua" w:hAnsi="Book Antiqua"/>
                <w:color w:val="000000"/>
                <w:sz w:val="24"/>
                <w:szCs w:val="24"/>
              </w:rPr>
              <w:t>, James T Bui, Yue Huang, Scott J Cotler</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E21E48" w:rsidRDefault="00E21E48" w:rsidP="003577BA">
            <w:pPr>
              <w:pStyle w:val="a9"/>
              <w:spacing w:line="360" w:lineRule="auto"/>
              <w:rPr>
                <w:rFonts w:ascii="Book Antiqua" w:hAnsi="Book Antiqua"/>
                <w:sz w:val="24"/>
                <w:szCs w:val="24"/>
              </w:rPr>
            </w:pPr>
            <w:proofErr w:type="spellStart"/>
            <w:r w:rsidRPr="00E21E48">
              <w:rPr>
                <w:rFonts w:ascii="Book Antiqua" w:hAnsi="Book Antiqua"/>
                <w:sz w:val="24"/>
                <w:szCs w:val="24"/>
              </w:rPr>
              <w:t>Venepalli</w:t>
            </w:r>
            <w:proofErr w:type="spellEnd"/>
            <w:r w:rsidRPr="00E21E48">
              <w:rPr>
                <w:rFonts w:ascii="Book Antiqua" w:hAnsi="Book Antiqua"/>
                <w:sz w:val="24"/>
                <w:szCs w:val="24"/>
              </w:rPr>
              <w:t xml:space="preserve"> NK, </w:t>
            </w:r>
            <w:proofErr w:type="spellStart"/>
            <w:r w:rsidRPr="00E21E48">
              <w:rPr>
                <w:rFonts w:ascii="Book Antiqua" w:hAnsi="Book Antiqua"/>
                <w:sz w:val="24"/>
                <w:szCs w:val="24"/>
              </w:rPr>
              <w:t>Modayil</w:t>
            </w:r>
            <w:proofErr w:type="spellEnd"/>
            <w:r w:rsidRPr="00E21E48">
              <w:rPr>
                <w:rFonts w:ascii="Book Antiqua" w:hAnsi="Book Antiqua"/>
                <w:sz w:val="24"/>
                <w:szCs w:val="24"/>
              </w:rPr>
              <w:t xml:space="preserve"> MV, Berg SA, Nair TD, </w:t>
            </w:r>
            <w:proofErr w:type="spellStart"/>
            <w:r w:rsidRPr="00E21E48">
              <w:rPr>
                <w:rFonts w:ascii="Book Antiqua" w:hAnsi="Book Antiqua"/>
                <w:sz w:val="24"/>
                <w:szCs w:val="24"/>
              </w:rPr>
              <w:t>Parepally</w:t>
            </w:r>
            <w:proofErr w:type="spellEnd"/>
            <w:r w:rsidRPr="00E21E48">
              <w:rPr>
                <w:rFonts w:ascii="Book Antiqua" w:hAnsi="Book Antiqua"/>
                <w:sz w:val="24"/>
                <w:szCs w:val="24"/>
              </w:rPr>
              <w:t xml:space="preserve"> M, </w:t>
            </w:r>
            <w:proofErr w:type="spellStart"/>
            <w:r w:rsidRPr="00E21E48">
              <w:rPr>
                <w:rFonts w:ascii="Book Antiqua" w:hAnsi="Book Antiqua"/>
                <w:sz w:val="24"/>
                <w:szCs w:val="24"/>
              </w:rPr>
              <w:t>Rajaram</w:t>
            </w:r>
            <w:proofErr w:type="spellEnd"/>
            <w:r w:rsidRPr="00E21E48">
              <w:rPr>
                <w:rFonts w:ascii="Book Antiqua" w:hAnsi="Book Antiqua"/>
                <w:sz w:val="24"/>
                <w:szCs w:val="24"/>
              </w:rPr>
              <w:t xml:space="preserve"> P, </w:t>
            </w:r>
            <w:proofErr w:type="spellStart"/>
            <w:r w:rsidRPr="00E21E48">
              <w:rPr>
                <w:rFonts w:ascii="Book Antiqua" w:hAnsi="Book Antiqua"/>
                <w:sz w:val="24"/>
                <w:szCs w:val="24"/>
              </w:rPr>
              <w:t>Gaba</w:t>
            </w:r>
            <w:proofErr w:type="spellEnd"/>
            <w:r w:rsidRPr="00E21E48">
              <w:rPr>
                <w:rFonts w:ascii="Book Antiqua" w:hAnsi="Book Antiqua"/>
                <w:sz w:val="24"/>
                <w:szCs w:val="24"/>
              </w:rPr>
              <w:t xml:space="preserve"> RC, Bui JT, Huang Y, Cotler SJ. Features of hepatocellular carcinoma in Hispanics differ from African Americans and non-Hispanic Whites. </w:t>
            </w:r>
            <w:r w:rsidRPr="00E21E48">
              <w:rPr>
                <w:rFonts w:ascii="Book Antiqua" w:hAnsi="Book Antiqua"/>
                <w:i/>
                <w:iCs/>
                <w:sz w:val="24"/>
                <w:szCs w:val="24"/>
              </w:rPr>
              <w:t xml:space="preserve">World J </w:t>
            </w:r>
            <w:proofErr w:type="spellStart"/>
            <w:r w:rsidRPr="00E21E48">
              <w:rPr>
                <w:rFonts w:ascii="Book Antiqua" w:hAnsi="Book Antiqua"/>
                <w:i/>
                <w:iCs/>
                <w:sz w:val="24"/>
                <w:szCs w:val="24"/>
              </w:rPr>
              <w:t>Hepatol</w:t>
            </w:r>
            <w:proofErr w:type="spellEnd"/>
            <w:r>
              <w:rPr>
                <w:rFonts w:ascii="Book Antiqua" w:hAnsi="Book Antiqua"/>
                <w:sz w:val="24"/>
                <w:szCs w:val="24"/>
              </w:rPr>
              <w:t xml:space="preserve"> 2017; 9(7): 391-400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E21E48" w:rsidRDefault="00E21E48" w:rsidP="003577BA">
            <w:pPr>
              <w:pStyle w:val="a8"/>
              <w:spacing w:line="360" w:lineRule="auto"/>
              <w:rPr>
                <w:rFonts w:ascii="Book Antiqua" w:hAnsi="Book Antiqua"/>
                <w:b w:val="0"/>
                <w:sz w:val="24"/>
                <w:szCs w:val="24"/>
                <w:lang w:val="en-US"/>
              </w:rPr>
            </w:pPr>
            <w:r w:rsidRPr="00E21E48">
              <w:rPr>
                <w:rFonts w:ascii="Book Antiqua" w:hAnsi="Book Antiqua"/>
                <w:b w:val="0"/>
                <w:sz w:val="24"/>
                <w:szCs w:val="24"/>
                <w:lang w:val="en-US"/>
              </w:rPr>
              <w:t>http://www.wjgnet.com/1948-5182/full/v9/i7/391.htm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E21E48" w:rsidRDefault="00E21E48" w:rsidP="003577BA">
            <w:pPr>
              <w:pStyle w:val="a8"/>
              <w:spacing w:line="360" w:lineRule="auto"/>
              <w:rPr>
                <w:rFonts w:ascii="Book Antiqua" w:hAnsi="Book Antiqua"/>
                <w:b w:val="0"/>
                <w:sz w:val="24"/>
                <w:szCs w:val="24"/>
                <w:lang w:val="en-US"/>
              </w:rPr>
            </w:pPr>
            <w:r w:rsidRPr="00E21E48">
              <w:rPr>
                <w:rFonts w:ascii="Book Antiqua" w:hAnsi="Book Antiqua"/>
                <w:b w:val="0"/>
                <w:sz w:val="24"/>
                <w:szCs w:val="24"/>
                <w:lang w:val="en-US"/>
              </w:rPr>
              <w:t>http://dx.doi.org/10.4254/wjh.v9.i7.391</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E21E48" w:rsidRDefault="00E21E48" w:rsidP="003577BA">
            <w:pPr>
              <w:pStyle w:val="aa"/>
              <w:spacing w:line="360" w:lineRule="auto"/>
              <w:rPr>
                <w:rFonts w:ascii="Book Antiqua" w:hAnsi="Book Antiqua"/>
                <w:color w:val="000000"/>
                <w:sz w:val="24"/>
                <w:szCs w:val="24"/>
                <w:lang w:val="it-IT"/>
              </w:rPr>
            </w:pPr>
            <w:r w:rsidRPr="00E21E48">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Pr>
                <w:rFonts w:ascii="Book Antiqua" w:hAnsi="Book Antiqua"/>
                <w:color w:val="000000"/>
                <w:sz w:val="24"/>
                <w:szCs w:val="24"/>
                <w:lang w:val="it-IT"/>
              </w:rPr>
              <w:t>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286F5C" w:rsidRPr="00E21E48" w:rsidRDefault="00E21E48">
            <w:pPr>
              <w:pStyle w:val="E-1"/>
              <w:spacing w:line="360" w:lineRule="auto"/>
              <w:rPr>
                <w:rFonts w:ascii="Book Antiqua" w:hAnsi="Book Antiqua"/>
                <w:sz w:val="24"/>
                <w:szCs w:val="24"/>
              </w:rPr>
            </w:pPr>
            <w:r w:rsidRPr="00E21E48">
              <w:rPr>
                <w:rFonts w:ascii="Book Antiqua" w:hAnsi="Book Antiqua"/>
                <w:sz w:val="24"/>
                <w:szCs w:val="24"/>
              </w:rPr>
              <w:t xml:space="preserve">This is a retrospective study evaluating features of hepatocellular carcinoma (HCC) in Hispanics compared to those of African Americans and Whites. This large single </w:t>
            </w:r>
            <w:r w:rsidRPr="00E21E48">
              <w:rPr>
                <w:rFonts w:ascii="Book Antiqua" w:hAnsi="Book Antiqua"/>
                <w:sz w:val="24"/>
                <w:szCs w:val="24"/>
              </w:rPr>
              <w:lastRenderedPageBreak/>
              <w:t xml:space="preserve">institution study found that Hispanic patients with HCC presented with more modifiable risk factors, more advanced liver disease, and shorter survival compared to African American and White patients with HCC. Early identification and intervention upon modifiable risk factors may ameliorate HCC development and HCC </w:t>
            </w:r>
            <w:r>
              <w:rPr>
                <w:rFonts w:ascii="Book Antiqua" w:hAnsi="Book Antiqua"/>
                <w:sz w:val="24"/>
                <w:szCs w:val="24"/>
              </w:rPr>
              <w:t>morbidity in Hispanic patients.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286F5C" w:rsidRPr="00E21E48" w:rsidRDefault="00E21E48">
            <w:pPr>
              <w:pStyle w:val="E-1"/>
              <w:spacing w:line="360" w:lineRule="auto"/>
              <w:rPr>
                <w:rFonts w:ascii="Book Antiqua" w:hAnsi="Book Antiqua"/>
                <w:sz w:val="24"/>
                <w:szCs w:val="24"/>
              </w:rPr>
            </w:pPr>
            <w:r w:rsidRPr="00E21E48">
              <w:rPr>
                <w:rFonts w:ascii="Book Antiqua" w:hAnsi="Book Antiqua"/>
                <w:sz w:val="24"/>
                <w:szCs w:val="24"/>
              </w:rPr>
              <w:t>Hepatocellular carcinoma; Epidemiology; Treatme</w:t>
            </w:r>
            <w:r>
              <w:rPr>
                <w:rFonts w:ascii="Book Antiqua" w:hAnsi="Book Antiqua"/>
                <w:sz w:val="24"/>
                <w:szCs w:val="24"/>
              </w:rPr>
              <w:t>nt pattern; Survival; Hispanics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E21E48" w:rsidRDefault="00E21E48" w:rsidP="003577BA">
            <w:pPr>
              <w:pStyle w:val="a8"/>
              <w:spacing w:line="360" w:lineRule="auto"/>
              <w:rPr>
                <w:rFonts w:ascii="Book Antiqua" w:hAnsi="Book Antiqua"/>
                <w:sz w:val="24"/>
                <w:szCs w:val="24"/>
                <w:lang w:val="en-US"/>
              </w:rPr>
            </w:pPr>
            <w:r w:rsidRPr="00E21E48">
              <w:rPr>
                <w:rFonts w:ascii="Book Antiqua" w:hAnsi="Book Antiqua"/>
                <w:sz w:val="24"/>
                <w:szCs w:val="24"/>
                <w:lang w:val="en-US"/>
              </w:rPr>
              <w:t xml:space="preserve">© The Author(s) 2017. </w:t>
            </w:r>
            <w:r w:rsidRPr="00E21E48">
              <w:rPr>
                <w:rFonts w:ascii="Book Antiqua" w:hAnsi="Book Antiqua"/>
                <w:b w:val="0"/>
                <w:sz w:val="24"/>
                <w:szCs w:val="24"/>
                <w:lang w:val="en-US"/>
              </w:rPr>
              <w:t xml:space="preserve">Published by </w:t>
            </w:r>
            <w:proofErr w:type="spellStart"/>
            <w:r w:rsidRPr="00E21E48">
              <w:rPr>
                <w:rFonts w:ascii="Book Antiqua" w:hAnsi="Book Antiqua"/>
                <w:b w:val="0"/>
                <w:sz w:val="24"/>
                <w:szCs w:val="24"/>
                <w:lang w:val="en-US"/>
              </w:rPr>
              <w:t>Baishideng</w:t>
            </w:r>
            <w:proofErr w:type="spellEnd"/>
            <w:r w:rsidRPr="00E21E48">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286F5C" w:rsidRDefault="00F305CC">
            <w:pPr>
              <w:pStyle w:val="a8"/>
              <w:spacing w:line="360" w:lineRule="auto"/>
              <w:rPr>
                <w:rFonts w:ascii="Book Antiqua" w:hAnsi="Book Antiqua"/>
                <w:b w:val="0"/>
                <w:i/>
                <w:sz w:val="24"/>
                <w:szCs w:val="24"/>
                <w:lang w:val="en-US"/>
              </w:rPr>
            </w:pPr>
            <w:r w:rsidRPr="00E21E48">
              <w:rPr>
                <w:rFonts w:ascii="Book Antiqua" w:hAnsi="Book Antiqua"/>
                <w:b w:val="0"/>
                <w:sz w:val="24"/>
                <w:szCs w:val="24"/>
                <w:lang w:val="en-US"/>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286F5C" w:rsidRDefault="00F305CC">
            <w:pPr>
              <w:pStyle w:val="a8"/>
              <w:spacing w:line="360" w:lineRule="auto"/>
              <w:rPr>
                <w:rFonts w:ascii="Book Antiqua" w:hAnsi="Book Antiqua"/>
                <w:b w:val="0"/>
                <w:sz w:val="24"/>
                <w:szCs w:val="24"/>
                <w:lang w:val="en-US"/>
              </w:rPr>
            </w:pPr>
            <w:r w:rsidRPr="00E21E48">
              <w:rPr>
                <w:rFonts w:ascii="Book Antiqua" w:hAnsi="Book Antiqua"/>
                <w:b w:val="0"/>
                <w:sz w:val="24"/>
                <w:szCs w:val="24"/>
                <w:lang w:val="en-US"/>
              </w:rPr>
              <w:t>1948-5182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286F5C" w:rsidRDefault="00F305CC">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8226 Regency Drive, </w:t>
            </w:r>
            <w:r>
              <w:rPr>
                <w:rFonts w:ascii="Book Antiqua" w:hAnsi="Book Antiqua"/>
                <w:color w:val="000000"/>
                <w:sz w:val="24"/>
                <w:szCs w:val="24"/>
              </w:rPr>
              <w:t>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286F5C" w:rsidRDefault="00F305CC">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F50781">
      <w:pPr>
        <w:rPr>
          <w:rFonts w:hint="eastAsia"/>
        </w:rPr>
      </w:pPr>
    </w:p>
    <w:p w:rsidR="00E21E48" w:rsidRDefault="00E21E48" w:rsidP="00E21E48">
      <w:pPr>
        <w:pStyle w:val="8BF4"/>
        <w:ind w:leftChars="3300" w:left="6930" w:firstLineChars="2600" w:firstLine="4160"/>
        <w:rPr>
          <w:rFonts w:ascii="Tw Cen MT" w:hAnsi="Tw Cen MT" w:cs="Tw Cen MT"/>
          <w:b/>
          <w:bCs/>
          <w:sz w:val="22"/>
          <w:szCs w:val="22"/>
        </w:rPr>
      </w:pPr>
      <w:r>
        <w:rPr>
          <w:rFonts w:hint="eastAsia"/>
        </w:rPr>
        <w:lastRenderedPageBreak/>
        <w:t xml:space="preserve"> </w:t>
      </w:r>
      <w:bookmarkStart w:id="0" w:name="_GoBack"/>
      <w:bookmarkEnd w:id="0"/>
      <w:r>
        <w:rPr>
          <w:rFonts w:ascii="Tw Cen MT" w:hAnsi="Tw Cen MT" w:cs="Tw Cen MT"/>
          <w:b/>
          <w:bCs/>
          <w:sz w:val="22"/>
          <w:szCs w:val="22"/>
        </w:rPr>
        <w:t>Retrospective Study</w:t>
      </w:r>
    </w:p>
    <w:p w:rsidR="00E21E48" w:rsidRDefault="00E21E48" w:rsidP="00E21E48"/>
    <w:p w:rsidR="00E21E48" w:rsidRPr="00B46507" w:rsidRDefault="00E21E48" w:rsidP="00E21E48">
      <w:pPr>
        <w:pStyle w:val="a8"/>
        <w:rPr>
          <w:lang w:val="en-US"/>
        </w:rPr>
      </w:pPr>
      <w:r w:rsidRPr="00B46507">
        <w:rPr>
          <w:lang w:val="en-US"/>
        </w:rPr>
        <w:t xml:space="preserve">Features of hepatocellular carcinoma in Hispanics differ from African Americans and non-Hispanic Whites </w:t>
      </w:r>
    </w:p>
    <w:p w:rsidR="00E21E48" w:rsidRDefault="00E21E48" w:rsidP="00E21E48">
      <w:pPr>
        <w:rPr>
          <w:rFonts w:hint="eastAsia"/>
        </w:rPr>
      </w:pPr>
    </w:p>
    <w:p w:rsidR="00E21E48" w:rsidRPr="00B46507" w:rsidRDefault="00E21E48" w:rsidP="00E21E48">
      <w:pPr>
        <w:pStyle w:val="ae"/>
        <w:rPr>
          <w:lang w:val="en-US"/>
        </w:rPr>
      </w:pPr>
      <w:r w:rsidRPr="00B46507">
        <w:rPr>
          <w:lang w:val="en-US"/>
        </w:rPr>
        <w:t xml:space="preserve">Neeta K </w:t>
      </w:r>
      <w:proofErr w:type="spellStart"/>
      <w:r w:rsidRPr="00B46507">
        <w:rPr>
          <w:lang w:val="en-US"/>
        </w:rPr>
        <w:t>Venepalli</w:t>
      </w:r>
      <w:proofErr w:type="spellEnd"/>
      <w:r w:rsidRPr="00B46507">
        <w:rPr>
          <w:lang w:val="en-US"/>
        </w:rPr>
        <w:t xml:space="preserve">, Mary V </w:t>
      </w:r>
      <w:proofErr w:type="spellStart"/>
      <w:r w:rsidRPr="00B46507">
        <w:rPr>
          <w:lang w:val="en-US"/>
        </w:rPr>
        <w:t>Modayil</w:t>
      </w:r>
      <w:proofErr w:type="spellEnd"/>
      <w:r w:rsidRPr="00B46507">
        <w:rPr>
          <w:lang w:val="en-US"/>
        </w:rPr>
        <w:t xml:space="preserve">, Stephanie A Berg, Tad D Nair, </w:t>
      </w:r>
      <w:proofErr w:type="spellStart"/>
      <w:r w:rsidRPr="00B46507">
        <w:rPr>
          <w:lang w:val="en-US"/>
        </w:rPr>
        <w:t>Mayur</w:t>
      </w:r>
      <w:proofErr w:type="spellEnd"/>
      <w:r w:rsidRPr="00B46507">
        <w:rPr>
          <w:lang w:val="en-US"/>
        </w:rPr>
        <w:t xml:space="preserve"> </w:t>
      </w:r>
      <w:proofErr w:type="spellStart"/>
      <w:r w:rsidRPr="00B46507">
        <w:rPr>
          <w:lang w:val="en-US"/>
        </w:rPr>
        <w:t>Parepally</w:t>
      </w:r>
      <w:proofErr w:type="spellEnd"/>
      <w:r w:rsidRPr="00B46507">
        <w:rPr>
          <w:lang w:val="en-US"/>
        </w:rPr>
        <w:t xml:space="preserve">, Priyanka </w:t>
      </w:r>
      <w:proofErr w:type="spellStart"/>
      <w:r w:rsidRPr="00B46507">
        <w:rPr>
          <w:lang w:val="en-US"/>
        </w:rPr>
        <w:t>Rajaram</w:t>
      </w:r>
      <w:proofErr w:type="spellEnd"/>
      <w:r w:rsidRPr="00B46507">
        <w:rPr>
          <w:lang w:val="en-US"/>
        </w:rPr>
        <w:t xml:space="preserve">, Ron C </w:t>
      </w:r>
      <w:proofErr w:type="spellStart"/>
      <w:r w:rsidRPr="00B46507">
        <w:rPr>
          <w:lang w:val="en-US"/>
        </w:rPr>
        <w:t>Gaba</w:t>
      </w:r>
      <w:proofErr w:type="spellEnd"/>
      <w:r w:rsidRPr="00B46507">
        <w:rPr>
          <w:lang w:val="en-US"/>
        </w:rPr>
        <w:t>, James T Bui, Yue Huang, Scott J Cotler</w:t>
      </w:r>
    </w:p>
    <w:p w:rsidR="00E21E48" w:rsidRDefault="00E21E48" w:rsidP="00E21E48">
      <w:pPr>
        <w:rPr>
          <w:rFonts w:hint="eastAsia"/>
        </w:rPr>
      </w:pPr>
    </w:p>
    <w:p w:rsidR="00E21E48" w:rsidRDefault="00E21E48" w:rsidP="00E21E48">
      <w:pPr>
        <w:pStyle w:val="af"/>
        <w:rPr>
          <w:spacing w:val="-4"/>
        </w:rPr>
      </w:pPr>
      <w:r>
        <w:rPr>
          <w:rFonts w:ascii="Tahoma" w:hAnsi="Tahoma" w:cs="Tahoma"/>
          <w:spacing w:val="-4"/>
        </w:rPr>
        <w:t xml:space="preserve">Neeta K </w:t>
      </w:r>
      <w:proofErr w:type="spellStart"/>
      <w:r>
        <w:rPr>
          <w:rFonts w:ascii="Tahoma" w:hAnsi="Tahoma" w:cs="Tahoma"/>
          <w:spacing w:val="-4"/>
        </w:rPr>
        <w:t>Venepalli</w:t>
      </w:r>
      <w:proofErr w:type="spellEnd"/>
      <w:r>
        <w:rPr>
          <w:rFonts w:ascii="Tahoma" w:hAnsi="Tahoma" w:cs="Tahoma"/>
          <w:spacing w:val="-4"/>
        </w:rPr>
        <w:t xml:space="preserve">, Tad D Nair, </w:t>
      </w:r>
      <w:proofErr w:type="spellStart"/>
      <w:r>
        <w:rPr>
          <w:rFonts w:ascii="Tahoma" w:hAnsi="Tahoma" w:cs="Tahoma"/>
          <w:spacing w:val="-4"/>
        </w:rPr>
        <w:t>Mayur</w:t>
      </w:r>
      <w:proofErr w:type="spellEnd"/>
      <w:r>
        <w:rPr>
          <w:rFonts w:ascii="Tahoma" w:hAnsi="Tahoma" w:cs="Tahoma"/>
          <w:spacing w:val="-4"/>
        </w:rPr>
        <w:t xml:space="preserve"> </w:t>
      </w:r>
      <w:proofErr w:type="spellStart"/>
      <w:r>
        <w:rPr>
          <w:rFonts w:ascii="Tahoma" w:hAnsi="Tahoma" w:cs="Tahoma"/>
          <w:spacing w:val="-4"/>
        </w:rPr>
        <w:t>Parepally</w:t>
      </w:r>
      <w:proofErr w:type="spellEnd"/>
      <w:r>
        <w:rPr>
          <w:rFonts w:ascii="Tahoma" w:hAnsi="Tahoma" w:cs="Tahoma"/>
          <w:spacing w:val="-4"/>
        </w:rPr>
        <w:t xml:space="preserve">, Priyanka </w:t>
      </w:r>
      <w:proofErr w:type="spellStart"/>
      <w:r>
        <w:rPr>
          <w:rFonts w:ascii="Tahoma" w:hAnsi="Tahoma" w:cs="Tahoma"/>
          <w:spacing w:val="-4"/>
        </w:rPr>
        <w:t>Rajaram</w:t>
      </w:r>
      <w:proofErr w:type="spellEnd"/>
      <w:r>
        <w:rPr>
          <w:rFonts w:ascii="Tahoma" w:hAnsi="Tahoma" w:cs="Tahoma"/>
          <w:spacing w:val="-4"/>
        </w:rPr>
        <w:t>, Yue Huang,</w:t>
      </w:r>
      <w:r>
        <w:rPr>
          <w:b/>
          <w:bCs/>
          <w:spacing w:val="-4"/>
        </w:rPr>
        <w:t xml:space="preserve"> </w:t>
      </w:r>
      <w:r>
        <w:rPr>
          <w:spacing w:val="-4"/>
        </w:rPr>
        <w:t>Department of Medicine, Section of Hematology/Oncology, University of Illinois at Chicago, Chicago, IL 60612, United States</w:t>
      </w:r>
    </w:p>
    <w:p w:rsidR="00E21E48" w:rsidRDefault="00E21E48" w:rsidP="00E21E48">
      <w:pPr>
        <w:pStyle w:val="af"/>
      </w:pPr>
      <w:r>
        <w:rPr>
          <w:rFonts w:ascii="Tahoma" w:hAnsi="Tahoma" w:cs="Tahoma"/>
        </w:rPr>
        <w:t xml:space="preserve">Mary V </w:t>
      </w:r>
      <w:proofErr w:type="spellStart"/>
      <w:r>
        <w:rPr>
          <w:rFonts w:ascii="Tahoma" w:hAnsi="Tahoma" w:cs="Tahoma"/>
        </w:rPr>
        <w:t>Modayil</w:t>
      </w:r>
      <w:proofErr w:type="spellEnd"/>
      <w:r>
        <w:rPr>
          <w:rFonts w:ascii="Tahoma" w:hAnsi="Tahoma" w:cs="Tahoma"/>
        </w:rPr>
        <w:t>,</w:t>
      </w:r>
      <w:r>
        <w:t xml:space="preserve"> Applied Research and Evaluation Services, Department of Evaluation and Analytics, Primary Health Care, Alberta Health Services, Edmonton, Alberta T5K 0L4, Canada</w:t>
      </w:r>
    </w:p>
    <w:p w:rsidR="00E21E48" w:rsidRDefault="00E21E48" w:rsidP="00E21E48">
      <w:pPr>
        <w:pStyle w:val="af"/>
        <w:rPr>
          <w:rFonts w:ascii="Tahoma" w:hAnsi="Tahoma" w:cs="Tahoma"/>
          <w:spacing w:val="-5"/>
        </w:rPr>
      </w:pPr>
      <w:r>
        <w:rPr>
          <w:rFonts w:ascii="Tahoma" w:hAnsi="Tahoma" w:cs="Tahoma"/>
          <w:spacing w:val="-4"/>
        </w:rPr>
        <w:t xml:space="preserve">Stephanie A Berg, </w:t>
      </w:r>
      <w:r>
        <w:rPr>
          <w:spacing w:val="-5"/>
        </w:rPr>
        <w:t>Department of Medicine, Division Hematology Oncology, Loyola University Medical Center, Maywood, Il, 60153, United States</w:t>
      </w:r>
    </w:p>
    <w:p w:rsidR="00E21E48" w:rsidRDefault="00E21E48" w:rsidP="00E21E48">
      <w:pPr>
        <w:pStyle w:val="af"/>
      </w:pPr>
      <w:r>
        <w:rPr>
          <w:rFonts w:ascii="Tahoma" w:hAnsi="Tahoma" w:cs="Tahoma"/>
        </w:rPr>
        <w:t xml:space="preserve">Ron C </w:t>
      </w:r>
      <w:proofErr w:type="spellStart"/>
      <w:proofErr w:type="gramStart"/>
      <w:r>
        <w:rPr>
          <w:rFonts w:ascii="Tahoma" w:hAnsi="Tahoma" w:cs="Tahoma"/>
        </w:rPr>
        <w:t>Gaba</w:t>
      </w:r>
      <w:proofErr w:type="spellEnd"/>
      <w:proofErr w:type="gramEnd"/>
      <w:r>
        <w:rPr>
          <w:rFonts w:ascii="Tahoma" w:hAnsi="Tahoma" w:cs="Tahoma"/>
        </w:rPr>
        <w:t>, James T Bui,</w:t>
      </w:r>
      <w:r>
        <w:rPr>
          <w:b/>
          <w:bCs/>
        </w:rPr>
        <w:t xml:space="preserve"> </w:t>
      </w:r>
      <w:r>
        <w:t>Department of Radiology, Section of Interventional Radiology, University of Illinois at Chicago, Chicago, IL 60612, United States</w:t>
      </w:r>
    </w:p>
    <w:p w:rsidR="00E21E48" w:rsidRDefault="00E21E48" w:rsidP="00E21E48">
      <w:pPr>
        <w:pStyle w:val="af"/>
      </w:pPr>
      <w:r>
        <w:rPr>
          <w:rFonts w:ascii="Tahoma" w:hAnsi="Tahoma" w:cs="Tahoma"/>
        </w:rPr>
        <w:t>Scott J Cotler,</w:t>
      </w:r>
      <w:r>
        <w:t xml:space="preserve"> Department of Medicine, Division of Hepatology, Loyola University Medical Center, Maywood, IL 60153, United States</w:t>
      </w:r>
    </w:p>
    <w:p w:rsidR="00E21E48" w:rsidRDefault="00E21E48" w:rsidP="00E21E48">
      <w:pPr>
        <w:pStyle w:val="af"/>
        <w:rPr>
          <w:spacing w:val="-4"/>
        </w:rPr>
      </w:pPr>
      <w:r w:rsidRPr="00B46507">
        <w:rPr>
          <w:rFonts w:ascii="Tahoma" w:hAnsi="Tahoma" w:cs="Tahoma"/>
          <w:spacing w:val="0"/>
        </w:rPr>
        <w:t>Author contributions:</w:t>
      </w:r>
      <w:r>
        <w:t xml:space="preserve"> </w:t>
      </w:r>
      <w:proofErr w:type="spellStart"/>
      <w:r>
        <w:t>V</w:t>
      </w:r>
      <w:r>
        <w:rPr>
          <w:spacing w:val="-4"/>
        </w:rPr>
        <w:t>enepalli</w:t>
      </w:r>
      <w:proofErr w:type="spellEnd"/>
      <w:r>
        <w:rPr>
          <w:spacing w:val="-4"/>
        </w:rPr>
        <w:t xml:space="preserve"> NK designed and performed the research and wrote the paper; </w:t>
      </w:r>
      <w:proofErr w:type="spellStart"/>
      <w:r>
        <w:rPr>
          <w:spacing w:val="-4"/>
        </w:rPr>
        <w:t>Modayil</w:t>
      </w:r>
      <w:proofErr w:type="spellEnd"/>
      <w:r>
        <w:rPr>
          <w:spacing w:val="-4"/>
        </w:rPr>
        <w:t xml:space="preserve"> MV designed the research and contributed to the data analysis; Berg SA, Nair TD, </w:t>
      </w:r>
      <w:proofErr w:type="spellStart"/>
      <w:r>
        <w:rPr>
          <w:spacing w:val="-4"/>
        </w:rPr>
        <w:t>Parepally</w:t>
      </w:r>
      <w:proofErr w:type="spellEnd"/>
      <w:r>
        <w:rPr>
          <w:spacing w:val="-4"/>
        </w:rPr>
        <w:t xml:space="preserve"> M, </w:t>
      </w:r>
      <w:proofErr w:type="spellStart"/>
      <w:r>
        <w:rPr>
          <w:spacing w:val="-4"/>
        </w:rPr>
        <w:t>Rajaram</w:t>
      </w:r>
      <w:proofErr w:type="spellEnd"/>
      <w:r>
        <w:rPr>
          <w:spacing w:val="-4"/>
        </w:rPr>
        <w:t xml:space="preserve"> P, </w:t>
      </w:r>
      <w:proofErr w:type="spellStart"/>
      <w:r>
        <w:rPr>
          <w:spacing w:val="-4"/>
        </w:rPr>
        <w:t>Gaba</w:t>
      </w:r>
      <w:proofErr w:type="spellEnd"/>
      <w:r>
        <w:rPr>
          <w:spacing w:val="-4"/>
        </w:rPr>
        <w:t xml:space="preserve"> RC, Bui JT and Huang Y provided clinical advice and performed the research; Cotler SJ designed and performed the research, provided clinical advice and supervised the report. </w:t>
      </w:r>
    </w:p>
    <w:p w:rsidR="00E21E48" w:rsidRDefault="00E21E48" w:rsidP="00E21E48">
      <w:pPr>
        <w:pStyle w:val="af"/>
        <w:rPr>
          <w:spacing w:val="-5"/>
        </w:rPr>
      </w:pPr>
      <w:r w:rsidRPr="00B46507">
        <w:rPr>
          <w:rFonts w:ascii="Tahoma" w:hAnsi="Tahoma" w:cs="Tahoma"/>
          <w:spacing w:val="0"/>
        </w:rPr>
        <w:t>Correspondence to:</w:t>
      </w:r>
      <w:r>
        <w:rPr>
          <w:b/>
          <w:bCs/>
        </w:rPr>
        <w:t xml:space="preserve"> </w:t>
      </w:r>
      <w:r>
        <w:rPr>
          <w:rFonts w:ascii="Tahoma" w:hAnsi="Tahoma" w:cs="Tahoma"/>
          <w:spacing w:val="-5"/>
        </w:rPr>
        <w:t xml:space="preserve">Neeta K </w:t>
      </w:r>
      <w:proofErr w:type="spellStart"/>
      <w:r>
        <w:rPr>
          <w:rFonts w:ascii="Tahoma" w:hAnsi="Tahoma" w:cs="Tahoma"/>
          <w:spacing w:val="-5"/>
        </w:rPr>
        <w:t>Venepalli</w:t>
      </w:r>
      <w:proofErr w:type="spellEnd"/>
      <w:r>
        <w:rPr>
          <w:rFonts w:ascii="Tahoma" w:hAnsi="Tahoma" w:cs="Tahoma"/>
          <w:spacing w:val="-5"/>
        </w:rPr>
        <w:t>, MD, MBA, Assistant Professor</w:t>
      </w:r>
      <w:r>
        <w:rPr>
          <w:spacing w:val="-5"/>
        </w:rPr>
        <w:t xml:space="preserve"> of Hematology and Oncology, Department of Medicine, Section of Hematology/Oncology, University of Illinois at Chicago, 840 South Wood Street, 820-E CSB, Chicago, IL 60612, United States. nkv@uic.edu</w:t>
      </w:r>
    </w:p>
    <w:p w:rsidR="00E21E48" w:rsidRDefault="00E21E48" w:rsidP="00E21E48">
      <w:pPr>
        <w:pStyle w:val="af"/>
      </w:pPr>
      <w:r w:rsidRPr="00B46507">
        <w:rPr>
          <w:rFonts w:ascii="Tahoma" w:hAnsi="Tahoma" w:cs="Tahoma"/>
          <w:spacing w:val="0"/>
        </w:rPr>
        <w:t>Telephone:</w:t>
      </w:r>
      <w:r>
        <w:t xml:space="preserve"> +1-312-9961581</w:t>
      </w:r>
      <w:r>
        <w:rPr>
          <w:rFonts w:hint="eastAsia"/>
        </w:rPr>
        <w:t xml:space="preserve">   </w:t>
      </w:r>
      <w:r w:rsidRPr="00B46507">
        <w:rPr>
          <w:rFonts w:ascii="Tahoma" w:hAnsi="Tahoma" w:cs="Tahoma"/>
          <w:spacing w:val="0"/>
        </w:rPr>
        <w:t>Fax:</w:t>
      </w:r>
      <w:r>
        <w:t xml:space="preserve"> +1-312-4134131</w:t>
      </w:r>
    </w:p>
    <w:p w:rsidR="00E21E48" w:rsidRDefault="00E21E48" w:rsidP="00E21E48">
      <w:pPr>
        <w:pStyle w:val="af"/>
      </w:pPr>
      <w:r>
        <w:rPr>
          <w:rFonts w:ascii="Tahoma" w:hAnsi="Tahoma" w:cs="Tahoma"/>
        </w:rPr>
        <w:t>Received:</w:t>
      </w:r>
      <w:r>
        <w:rPr>
          <w:b/>
          <w:bCs/>
        </w:rPr>
        <w:t xml:space="preserve"> </w:t>
      </w:r>
      <w:r>
        <w:t>September 24, 2016</w:t>
      </w:r>
      <w:r>
        <w:rPr>
          <w:rFonts w:hint="eastAsia"/>
        </w:rPr>
        <w:t xml:space="preserve">   </w:t>
      </w:r>
      <w:r>
        <w:rPr>
          <w:rFonts w:ascii="Tahoma" w:hAnsi="Tahoma" w:cs="Tahoma"/>
        </w:rPr>
        <w:t>Revised:</w:t>
      </w:r>
      <w:r>
        <w:t xml:space="preserve"> December 29, 2016</w:t>
      </w:r>
      <w:r>
        <w:rPr>
          <w:rFonts w:hint="eastAsia"/>
        </w:rPr>
        <w:t xml:space="preserve">   </w:t>
      </w:r>
      <w:r>
        <w:rPr>
          <w:rFonts w:ascii="Tahoma" w:hAnsi="Tahoma" w:cs="Tahoma"/>
        </w:rPr>
        <w:t>Accepted:</w:t>
      </w:r>
      <w:r>
        <w:rPr>
          <w:b/>
          <w:bCs/>
        </w:rPr>
        <w:t xml:space="preserve"> </w:t>
      </w:r>
      <w:r>
        <w:t>January 16, 2017</w:t>
      </w:r>
    </w:p>
    <w:p w:rsidR="00E21E48" w:rsidRDefault="00E21E48" w:rsidP="00E21E48">
      <w:pPr>
        <w:pStyle w:val="af"/>
      </w:pPr>
      <w:r>
        <w:rPr>
          <w:rFonts w:ascii="Tahoma" w:hAnsi="Tahoma" w:cs="Tahoma"/>
        </w:rPr>
        <w:t>Published online:</w:t>
      </w:r>
      <w:r>
        <w:t xml:space="preserve"> March 8, 2017</w:t>
      </w:r>
    </w:p>
    <w:p w:rsidR="00E21E48" w:rsidRPr="00B46507" w:rsidRDefault="00E21E48" w:rsidP="00E21E48">
      <w:pPr>
        <w:pStyle w:val="NormalParagraphStyle"/>
        <w:rPr>
          <w:rFonts w:ascii="Century Gothic" w:hAnsi="Century Gothic" w:cs="Century Gothic"/>
          <w:b/>
          <w:bCs/>
          <w:spacing w:val="12"/>
          <w:lang w:val="en-US"/>
        </w:rPr>
      </w:pPr>
    </w:p>
    <w:p w:rsidR="00E21E48" w:rsidRPr="00B46507" w:rsidRDefault="00E21E48" w:rsidP="00E21E48">
      <w:pPr>
        <w:pStyle w:val="NormalParagraphStyle"/>
        <w:rPr>
          <w:rFonts w:ascii="Century Gothic" w:hAnsi="Century Gothic" w:cs="Century Gothic"/>
          <w:b/>
          <w:bCs/>
          <w:spacing w:val="12"/>
          <w:lang w:val="en-US"/>
        </w:rPr>
      </w:pPr>
      <w:r w:rsidRPr="00B46507">
        <w:rPr>
          <w:rFonts w:ascii="Century Gothic" w:hAnsi="Century Gothic" w:cs="Century Gothic"/>
          <w:b/>
          <w:bCs/>
          <w:spacing w:val="12"/>
          <w:lang w:val="en-US"/>
        </w:rPr>
        <w:t>Abstract</w:t>
      </w:r>
    </w:p>
    <w:p w:rsidR="00E21E48" w:rsidRPr="00B46507" w:rsidRDefault="00E21E48" w:rsidP="00E21E48">
      <w:pPr>
        <w:pStyle w:val="E-1"/>
        <w:rPr>
          <w:rFonts w:ascii="Tahoma Bold Italic" w:hAnsi="Tahoma Bold Italic" w:cs="Tahoma Bold Italic"/>
          <w:b/>
          <w:bCs/>
        </w:rPr>
      </w:pPr>
      <w:r w:rsidRPr="00B46507">
        <w:rPr>
          <w:rFonts w:ascii="Times New Roman" w:hAnsi="Times New Roman" w:cs="Times New Roman"/>
          <w:b/>
          <w:bCs/>
        </w:rPr>
        <w:t>AIM</w:t>
      </w:r>
    </w:p>
    <w:p w:rsidR="00E21E48" w:rsidRDefault="00E21E48" w:rsidP="00E21E48">
      <w:pPr>
        <w:pStyle w:val="E-1"/>
      </w:pPr>
      <w:proofErr w:type="gramStart"/>
      <w:r>
        <w:t>To compare features of hepatocellular carcinoma (HCC) in Hispanics to those of African Americans and Whites.</w:t>
      </w:r>
      <w:proofErr w:type="gramEnd"/>
    </w:p>
    <w:p w:rsidR="00E21E48" w:rsidRPr="00B46507" w:rsidRDefault="00E21E48" w:rsidP="00E21E48">
      <w:pPr>
        <w:pStyle w:val="E-1"/>
        <w:rPr>
          <w:rFonts w:ascii="Tahoma Italic" w:hAnsi="Tahoma Italic" w:cs="Tahoma Italic"/>
        </w:rPr>
      </w:pPr>
      <w:r w:rsidRPr="00B46507">
        <w:rPr>
          <w:rFonts w:ascii="Times New Roman" w:hAnsi="Times New Roman" w:cs="Times New Roman"/>
          <w:b/>
          <w:bCs/>
        </w:rPr>
        <w:t>METHODS</w:t>
      </w:r>
    </w:p>
    <w:p w:rsidR="00E21E48" w:rsidRDefault="00E21E48" w:rsidP="00E21E48">
      <w:pPr>
        <w:pStyle w:val="E-1"/>
        <w:rPr>
          <w:spacing w:val="-4"/>
        </w:rPr>
      </w:pPr>
      <w:r>
        <w:rPr>
          <w:spacing w:val="-4"/>
        </w:rPr>
        <w:t>Patients treated for HCC at an urban tertiary medical center from 2005 to 2011 were identified from a tumor registry. Data were collected retrospectively, including demographics, comorbidities, liver disease characteristics, tumor parameters, treatment, and survival (OS) out</w:t>
      </w:r>
      <w:r>
        <w:rPr>
          <w:spacing w:val="-4"/>
        </w:rPr>
        <w:softHyphen/>
        <w:t>comes. OS analyses were performed using Kaplan-Meier method.</w:t>
      </w:r>
    </w:p>
    <w:p w:rsidR="00E21E48" w:rsidRPr="00B46507" w:rsidRDefault="00E21E48" w:rsidP="00E21E48">
      <w:pPr>
        <w:pStyle w:val="E-1"/>
        <w:rPr>
          <w:rFonts w:ascii="Tahoma Italic" w:hAnsi="Tahoma Italic" w:cs="Tahoma Italic"/>
        </w:rPr>
      </w:pPr>
      <w:r w:rsidRPr="00B46507">
        <w:rPr>
          <w:rFonts w:ascii="Times New Roman" w:hAnsi="Times New Roman" w:cs="Times New Roman"/>
          <w:b/>
          <w:bCs/>
        </w:rPr>
        <w:t>RESULTS</w:t>
      </w:r>
    </w:p>
    <w:p w:rsidR="00E21E48" w:rsidRDefault="00E21E48" w:rsidP="00E21E48">
      <w:pPr>
        <w:pStyle w:val="E-1"/>
        <w:rPr>
          <w:spacing w:val="-4"/>
        </w:rPr>
      </w:pPr>
      <w:r>
        <w:rPr>
          <w:spacing w:val="-4"/>
        </w:rPr>
        <w:t>One hundred and ninety-five patients with HCC were identified: 80.5% were male, and 22% were age 65 or older. Mean age at HCC diagnosis was 59.7 ± 9.8 years. Sixty-one point five percent of patients had Medicare or Medicaid; 4.1% were uninsured. Compared to African American (31.2%) and White (46.2%) patients, Hispanic patients (22.6%) were more likely to have diabetes (</w:t>
      </w:r>
      <w:r>
        <w:rPr>
          <w:rFonts w:ascii="Tahoma Italic" w:hAnsi="Tahoma Italic" w:cs="Tahoma Italic"/>
          <w:i/>
          <w:iCs/>
          <w:spacing w:val="-4"/>
        </w:rPr>
        <w:t>P</w:t>
      </w:r>
      <w:r>
        <w:rPr>
          <w:spacing w:val="-4"/>
        </w:rPr>
        <w:t xml:space="preserve"> = 0.0019), hyperlipidemia (</w:t>
      </w:r>
      <w:r>
        <w:rPr>
          <w:rFonts w:ascii="Tahoma Italic" w:hAnsi="Tahoma Italic" w:cs="Tahoma Italic"/>
          <w:i/>
          <w:iCs/>
          <w:spacing w:val="-4"/>
        </w:rPr>
        <w:t>P</w:t>
      </w:r>
      <w:r>
        <w:rPr>
          <w:spacing w:val="-4"/>
        </w:rPr>
        <w:t xml:space="preserve"> = 0.0001), nonalcoholic steatohepatitis (NASH) (</w:t>
      </w:r>
      <w:r>
        <w:rPr>
          <w:rFonts w:ascii="Tahoma Italic" w:hAnsi="Tahoma Italic" w:cs="Tahoma Italic"/>
          <w:i/>
          <w:iCs/>
          <w:spacing w:val="-4"/>
        </w:rPr>
        <w:t>P</w:t>
      </w:r>
      <w:r>
        <w:rPr>
          <w:spacing w:val="-4"/>
        </w:rPr>
        <w:t xml:space="preserve"> = 0.0021), end stage renal disease (</w:t>
      </w:r>
      <w:r>
        <w:rPr>
          <w:rFonts w:ascii="Tahoma Italic" w:hAnsi="Tahoma Italic" w:cs="Tahoma Italic"/>
          <w:i/>
          <w:iCs/>
          <w:spacing w:val="-4"/>
        </w:rPr>
        <w:t>P</w:t>
      </w:r>
      <w:r>
        <w:rPr>
          <w:spacing w:val="-4"/>
        </w:rPr>
        <w:t xml:space="preserve"> = 0.0057), and less likely to have hepatitis C virus (</w:t>
      </w:r>
      <w:r>
        <w:rPr>
          <w:rFonts w:ascii="Tahoma Italic" w:hAnsi="Tahoma Italic" w:cs="Tahoma Italic"/>
          <w:i/>
          <w:iCs/>
          <w:spacing w:val="-4"/>
        </w:rPr>
        <w:t>P</w:t>
      </w:r>
      <w:r>
        <w:rPr>
          <w:spacing w:val="-4"/>
        </w:rPr>
        <w:t xml:space="preserve"> &lt; 0.0001) or a smoking history (</w:t>
      </w:r>
      <w:r>
        <w:rPr>
          <w:rFonts w:ascii="Tahoma Italic" w:hAnsi="Tahoma Italic" w:cs="Tahoma Italic"/>
          <w:i/>
          <w:iCs/>
          <w:spacing w:val="-4"/>
        </w:rPr>
        <w:t>P</w:t>
      </w:r>
      <w:r>
        <w:rPr>
          <w:spacing w:val="-4"/>
        </w:rPr>
        <w:t xml:space="preserve"> &lt; 0.0001). Compared to African Americans, Hispanics were more likely to meet criteria for metabolic syndrome (</w:t>
      </w:r>
      <w:r>
        <w:rPr>
          <w:rFonts w:ascii="Tahoma Italic" w:hAnsi="Tahoma Italic" w:cs="Tahoma Italic"/>
          <w:i/>
          <w:iCs/>
          <w:spacing w:val="-4"/>
        </w:rPr>
        <w:t>P</w:t>
      </w:r>
      <w:r>
        <w:rPr>
          <w:spacing w:val="-4"/>
        </w:rPr>
        <w:t xml:space="preserve"> = 0.0491), had higher median MELD scores (</w:t>
      </w:r>
      <w:r>
        <w:rPr>
          <w:rFonts w:ascii="Tahoma Italic" w:hAnsi="Tahoma Italic" w:cs="Tahoma Italic"/>
          <w:i/>
          <w:iCs/>
          <w:spacing w:val="-4"/>
        </w:rPr>
        <w:t>P</w:t>
      </w:r>
      <w:r>
        <w:rPr>
          <w:spacing w:val="-4"/>
        </w:rPr>
        <w:t xml:space="preserve"> = 0.0159), ascites (</w:t>
      </w:r>
      <w:r>
        <w:rPr>
          <w:rFonts w:ascii="Tahoma Italic" w:hAnsi="Tahoma Italic" w:cs="Tahoma Italic"/>
          <w:i/>
          <w:iCs/>
          <w:spacing w:val="-4"/>
        </w:rPr>
        <w:t>P</w:t>
      </w:r>
      <w:r>
        <w:rPr>
          <w:spacing w:val="-4"/>
        </w:rPr>
        <w:t xml:space="preserve"> = 0.008), and encephalopathy (</w:t>
      </w:r>
      <w:r>
        <w:rPr>
          <w:rFonts w:ascii="Tahoma Italic" w:hAnsi="Tahoma Italic" w:cs="Tahoma Italic"/>
          <w:i/>
          <w:iCs/>
          <w:spacing w:val="-4"/>
        </w:rPr>
        <w:t>P</w:t>
      </w:r>
      <w:r>
        <w:rPr>
          <w:spacing w:val="-4"/>
        </w:rPr>
        <w:t xml:space="preserve"> </w:t>
      </w:r>
      <w:r>
        <w:rPr>
          <w:spacing w:val="-4"/>
        </w:rPr>
        <w:lastRenderedPageBreak/>
        <w:t>= 0.0087). Hispanic patients with HCC had shorter OS than the other racial groups (</w:t>
      </w:r>
      <w:r>
        <w:rPr>
          <w:rFonts w:ascii="Tahoma Italic" w:hAnsi="Tahoma Italic" w:cs="Tahoma Italic"/>
          <w:i/>
          <w:iCs/>
          <w:spacing w:val="-4"/>
        </w:rPr>
        <w:t>P</w:t>
      </w:r>
      <w:r>
        <w:rPr>
          <w:spacing w:val="-4"/>
        </w:rPr>
        <w:t xml:space="preserve"> = 0.020), despite similarities in HCC parameters and treatment. </w:t>
      </w:r>
    </w:p>
    <w:p w:rsidR="00E21E48" w:rsidRPr="00B46507" w:rsidRDefault="00E21E48" w:rsidP="00E21E48">
      <w:pPr>
        <w:pStyle w:val="E-1"/>
        <w:rPr>
          <w:rFonts w:ascii="Tahoma Italic" w:hAnsi="Tahoma Italic" w:cs="Tahoma Italic"/>
        </w:rPr>
      </w:pPr>
      <w:r w:rsidRPr="00B46507">
        <w:rPr>
          <w:rFonts w:ascii="Times New Roman" w:hAnsi="Times New Roman" w:cs="Times New Roman"/>
          <w:b/>
          <w:bCs/>
        </w:rPr>
        <w:t>CONCLUSION</w:t>
      </w:r>
    </w:p>
    <w:p w:rsidR="00E21E48" w:rsidRDefault="00E21E48" w:rsidP="00E21E48">
      <w:pPr>
        <w:pStyle w:val="E-1"/>
      </w:pPr>
      <w:r>
        <w:t>In conclusion, Hispanic patients with HCC have higher incidence of modifiable metabolic risk factors including NASH, and shorter OS than African American and White patients.</w:t>
      </w:r>
    </w:p>
    <w:p w:rsidR="00E21E48" w:rsidRDefault="00E21E48" w:rsidP="00E21E48">
      <w:pPr>
        <w:pStyle w:val="E-1"/>
        <w:rPr>
          <w:rFonts w:ascii="Times New Roman" w:hAnsi="Times New Roman" w:cs="Times New Roman"/>
          <w:b/>
          <w:bCs/>
        </w:rPr>
      </w:pPr>
    </w:p>
    <w:p w:rsidR="00E21E48" w:rsidRDefault="00E21E48" w:rsidP="00E21E48">
      <w:pPr>
        <w:pStyle w:val="E-1"/>
      </w:pPr>
      <w:r>
        <w:rPr>
          <w:rFonts w:ascii="Times New Roman" w:hAnsi="Times New Roman" w:cs="Times New Roman"/>
          <w:b/>
          <w:bCs/>
        </w:rPr>
        <w:t>Key words:</w:t>
      </w:r>
      <w:r>
        <w:rPr>
          <w:b/>
          <w:bCs/>
        </w:rPr>
        <w:t xml:space="preserve"> </w:t>
      </w:r>
      <w:r>
        <w:t>Hepatocellular carcinoma; Epidemiology; Treatment pattern; Survival; Hispanics</w:t>
      </w:r>
    </w:p>
    <w:p w:rsidR="00E21E48" w:rsidRDefault="00E21E48" w:rsidP="00E21E48">
      <w:pPr>
        <w:pStyle w:val="E-1"/>
        <w:rPr>
          <w:b/>
          <w:bCs/>
          <w:sz w:val="17"/>
          <w:szCs w:val="17"/>
        </w:rPr>
      </w:pPr>
    </w:p>
    <w:p w:rsidR="00E21E48" w:rsidRPr="008C542F" w:rsidRDefault="00E21E48" w:rsidP="00E21E48">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8C542F">
        <w:rPr>
          <w:rFonts w:ascii="Tahoma" w:hAnsi="Tahoma" w:cs="Tahoma"/>
          <w:b/>
          <w:bCs/>
          <w:color w:val="000000"/>
          <w:spacing w:val="-1"/>
          <w:kern w:val="0"/>
          <w:sz w:val="17"/>
          <w:szCs w:val="17"/>
        </w:rPr>
        <w:t>© The Author(s) 2017.</w:t>
      </w:r>
      <w:proofErr w:type="gramEnd"/>
      <w:r w:rsidRPr="008C542F">
        <w:rPr>
          <w:rFonts w:ascii="Tahoma" w:hAnsi="Tahoma" w:cs="Tahoma"/>
          <w:color w:val="000000"/>
          <w:spacing w:val="-1"/>
          <w:kern w:val="0"/>
          <w:sz w:val="17"/>
          <w:szCs w:val="17"/>
        </w:rPr>
        <w:t xml:space="preserve"> </w:t>
      </w:r>
      <w:proofErr w:type="gramStart"/>
      <w:r w:rsidRPr="008C542F">
        <w:rPr>
          <w:rFonts w:ascii="Tahoma" w:hAnsi="Tahoma" w:cs="Tahoma"/>
          <w:color w:val="000000"/>
          <w:spacing w:val="-1"/>
          <w:kern w:val="0"/>
          <w:sz w:val="17"/>
          <w:szCs w:val="17"/>
        </w:rPr>
        <w:t xml:space="preserve">Published by </w:t>
      </w:r>
      <w:proofErr w:type="spellStart"/>
      <w:r w:rsidRPr="008C542F">
        <w:rPr>
          <w:rFonts w:ascii="Tahoma" w:hAnsi="Tahoma" w:cs="Tahoma"/>
          <w:color w:val="000000"/>
          <w:spacing w:val="-1"/>
          <w:kern w:val="0"/>
          <w:sz w:val="17"/>
          <w:szCs w:val="17"/>
        </w:rPr>
        <w:t>Baishideng</w:t>
      </w:r>
      <w:proofErr w:type="spellEnd"/>
      <w:r w:rsidRPr="008C542F">
        <w:rPr>
          <w:rFonts w:ascii="Tahoma" w:hAnsi="Tahoma" w:cs="Tahoma"/>
          <w:color w:val="000000"/>
          <w:spacing w:val="-1"/>
          <w:kern w:val="0"/>
          <w:sz w:val="17"/>
          <w:szCs w:val="17"/>
        </w:rPr>
        <w:t xml:space="preserve"> Publishing Group Inc.</w:t>
      </w:r>
      <w:proofErr w:type="gramEnd"/>
      <w:r w:rsidRPr="008C542F">
        <w:rPr>
          <w:rFonts w:ascii="Tahoma" w:hAnsi="Tahoma" w:cs="Tahoma"/>
          <w:color w:val="000000"/>
          <w:spacing w:val="-1"/>
          <w:kern w:val="0"/>
          <w:sz w:val="17"/>
          <w:szCs w:val="17"/>
        </w:rPr>
        <w:t xml:space="preserve"> All rights reserved.</w:t>
      </w:r>
    </w:p>
    <w:p w:rsidR="00E21E48" w:rsidRDefault="00E21E48" w:rsidP="00E21E48">
      <w:pPr>
        <w:pStyle w:val="a9"/>
        <w:rPr>
          <w:rFonts w:hint="eastAsia"/>
          <w:spacing w:val="-4"/>
        </w:rPr>
      </w:pPr>
    </w:p>
    <w:p w:rsidR="00E21E48" w:rsidRDefault="00E21E48" w:rsidP="00E21E48">
      <w:pPr>
        <w:pStyle w:val="a9"/>
        <w:rPr>
          <w:spacing w:val="-4"/>
        </w:rPr>
      </w:pPr>
      <w:proofErr w:type="spellStart"/>
      <w:r>
        <w:rPr>
          <w:spacing w:val="-4"/>
        </w:rPr>
        <w:t>Venepalli</w:t>
      </w:r>
      <w:proofErr w:type="spellEnd"/>
      <w:r>
        <w:rPr>
          <w:spacing w:val="-4"/>
        </w:rPr>
        <w:t xml:space="preserve"> NK, </w:t>
      </w:r>
      <w:proofErr w:type="spellStart"/>
      <w:r>
        <w:rPr>
          <w:spacing w:val="-4"/>
        </w:rPr>
        <w:t>Modayil</w:t>
      </w:r>
      <w:proofErr w:type="spellEnd"/>
      <w:r>
        <w:rPr>
          <w:spacing w:val="-4"/>
        </w:rPr>
        <w:t xml:space="preserve"> MV, Berg SA, Nair TD, </w:t>
      </w:r>
      <w:proofErr w:type="spellStart"/>
      <w:r>
        <w:rPr>
          <w:spacing w:val="-4"/>
        </w:rPr>
        <w:t>Parepally</w:t>
      </w:r>
      <w:proofErr w:type="spellEnd"/>
      <w:r>
        <w:rPr>
          <w:spacing w:val="-4"/>
        </w:rPr>
        <w:t xml:space="preserve"> M, </w:t>
      </w:r>
      <w:proofErr w:type="spellStart"/>
      <w:r>
        <w:rPr>
          <w:spacing w:val="-4"/>
        </w:rPr>
        <w:t>Rajaram</w:t>
      </w:r>
      <w:proofErr w:type="spellEnd"/>
      <w:r>
        <w:rPr>
          <w:spacing w:val="-4"/>
        </w:rPr>
        <w:t xml:space="preserve"> P, </w:t>
      </w:r>
      <w:proofErr w:type="spellStart"/>
      <w:r>
        <w:rPr>
          <w:spacing w:val="-4"/>
        </w:rPr>
        <w:t>Gaba</w:t>
      </w:r>
      <w:proofErr w:type="spellEnd"/>
      <w:r>
        <w:rPr>
          <w:spacing w:val="-4"/>
        </w:rPr>
        <w:t xml:space="preserve"> RC, Bui JT, Huang Y, Cotler SJ. Features of hepatocellular carcinoma in Hispanics differ from African Americans and non-Hispanic Whites. </w:t>
      </w:r>
      <w:r>
        <w:rPr>
          <w:i/>
          <w:iCs/>
          <w:spacing w:val="-4"/>
        </w:rPr>
        <w:t xml:space="preserve">World J </w:t>
      </w:r>
      <w:proofErr w:type="spellStart"/>
      <w:r>
        <w:rPr>
          <w:i/>
          <w:iCs/>
          <w:spacing w:val="-4"/>
        </w:rPr>
        <w:t>Hepatol</w:t>
      </w:r>
      <w:proofErr w:type="spellEnd"/>
      <w:r>
        <w:rPr>
          <w:spacing w:val="-4"/>
        </w:rPr>
        <w:t xml:space="preserve"> 2017; 9(7): 391-</w:t>
      </w:r>
      <w:proofErr w:type="gramStart"/>
      <w:r>
        <w:rPr>
          <w:spacing w:val="-4"/>
        </w:rPr>
        <w:t>400  Available</w:t>
      </w:r>
      <w:proofErr w:type="gramEnd"/>
      <w:r>
        <w:rPr>
          <w:spacing w:val="-4"/>
        </w:rPr>
        <w:t xml:space="preserve"> from: URL: http://www.wjgnet.com/1948-5182/full/v9/i7/391.htm  DOI: http://dx.doi.org/10.4254/wjh.v9.i7.391</w:t>
      </w:r>
    </w:p>
    <w:p w:rsidR="00E21E48" w:rsidRPr="00B46507" w:rsidRDefault="00E21E48" w:rsidP="00E21E48">
      <w:pPr>
        <w:pStyle w:val="af0"/>
        <w:rPr>
          <w:lang w:val="en-US"/>
        </w:rPr>
      </w:pPr>
    </w:p>
    <w:p w:rsidR="00E21E48" w:rsidRDefault="00E21E48" w:rsidP="00E21E48">
      <w:pPr>
        <w:pStyle w:val="E-1"/>
        <w:rPr>
          <w:b/>
          <w:bCs/>
          <w:spacing w:val="-2"/>
        </w:rPr>
      </w:pPr>
      <w:r>
        <w:rPr>
          <w:rFonts w:ascii="Times New Roman" w:hAnsi="Times New Roman" w:cs="Times New Roman"/>
          <w:b/>
          <w:bCs/>
          <w:spacing w:val="-3"/>
        </w:rPr>
        <w:t>Core tip:</w:t>
      </w:r>
      <w:r>
        <w:rPr>
          <w:b/>
          <w:bCs/>
        </w:rPr>
        <w:t xml:space="preserve"> </w:t>
      </w:r>
      <w:r>
        <w:rPr>
          <w:spacing w:val="-2"/>
        </w:rPr>
        <w:t>This is a retrospective study evaluating features of hepatocellular carcinoma (HCC) in Hispanics compared to those of African Americans and Whites. This large single institution study found that Hispanic patients with HCC presented with more modifiable risk factors, more advanced liver disease, and shorter survival compared to African American and White patients with HCC. Early identification and intervention upon modifiable risk factors may ameliorate HCC development and HCC morbidity in Hispanic patients.</w:t>
      </w:r>
      <w:r>
        <w:rPr>
          <w:b/>
          <w:bCs/>
          <w:spacing w:val="-2"/>
        </w:rPr>
        <w:t xml:space="preserve"> </w:t>
      </w:r>
    </w:p>
    <w:p w:rsidR="00E21E48" w:rsidRPr="00B46507" w:rsidRDefault="00E21E48" w:rsidP="00E21E48">
      <w:pPr>
        <w:pStyle w:val="af0"/>
        <w:rPr>
          <w:lang w:val="en-US"/>
        </w:rPr>
      </w:pPr>
    </w:p>
    <w:p w:rsidR="00E21E48" w:rsidRPr="00B46507" w:rsidRDefault="00E21E48" w:rsidP="00E21E48">
      <w:pPr>
        <w:pStyle w:val="af0"/>
        <w:rPr>
          <w:u w:val="single"/>
          <w:lang w:val="en-US"/>
        </w:rPr>
      </w:pPr>
      <w:r w:rsidRPr="00B46507">
        <w:rPr>
          <w:u w:val="single"/>
          <w:lang w:val="en-US"/>
        </w:rPr>
        <w:t>INTRODUCTION</w:t>
      </w:r>
    </w:p>
    <w:p w:rsidR="00E21E48" w:rsidRDefault="00E21E48" w:rsidP="00E21E48">
      <w:pPr>
        <w:pStyle w:val="af1"/>
      </w:pPr>
      <w:r>
        <w:rPr>
          <w:spacing w:val="-13"/>
        </w:rPr>
        <w:t xml:space="preserve">Hepatocellular carcinoma (HCC) is the sixth most common malignancy worldwide and the third leading </w:t>
      </w:r>
      <w:r>
        <w:rPr>
          <w:spacing w:val="-11"/>
        </w:rPr>
        <w:t xml:space="preserve">cause of cancer related </w:t>
      </w:r>
      <w:proofErr w:type="gramStart"/>
      <w:r>
        <w:rPr>
          <w:spacing w:val="-11"/>
        </w:rPr>
        <w:t>mortality</w:t>
      </w:r>
      <w:r>
        <w:rPr>
          <w:spacing w:val="-11"/>
          <w:vertAlign w:val="superscript"/>
        </w:rPr>
        <w:t>[</w:t>
      </w:r>
      <w:proofErr w:type="gramEnd"/>
      <w:r>
        <w:rPr>
          <w:spacing w:val="-11"/>
          <w:vertAlign w:val="superscript"/>
        </w:rPr>
        <w:t>1,2</w:t>
      </w:r>
      <w:r>
        <w:rPr>
          <w:rStyle w:val="p"/>
          <w:spacing w:val="-11"/>
          <w:vertAlign w:val="superscript"/>
        </w:rPr>
        <w:t>]</w:t>
      </w:r>
      <w:r>
        <w:rPr>
          <w:rStyle w:val="p"/>
          <w:spacing w:val="-11"/>
        </w:rPr>
        <w:t>.</w:t>
      </w:r>
      <w:r>
        <w:rPr>
          <w:spacing w:val="-11"/>
        </w:rPr>
        <w:t xml:space="preserve"> While the highest prevalence rates of HCC are in Asia and Africa accounting for 85% of cases in 2008, the incidence of HCC has increased </w:t>
      </w:r>
      <w:r>
        <w:rPr>
          <w:spacing w:val="-14"/>
        </w:rPr>
        <w:t>steadily in the United States among most racial and ethnic groups with a greater rate of growth observed in non-White populations</w:t>
      </w:r>
      <w:r>
        <w:rPr>
          <w:spacing w:val="-14"/>
          <w:vertAlign w:val="superscript"/>
        </w:rPr>
        <w:t>[3,4]</w:t>
      </w:r>
      <w:r>
        <w:rPr>
          <w:spacing w:val="-14"/>
        </w:rPr>
        <w:t xml:space="preserve">. Recent SEER analyses </w:t>
      </w:r>
      <w:r>
        <w:rPr>
          <w:spacing w:val="-11"/>
        </w:rPr>
        <w:t xml:space="preserve">reported higher incidence rates for Hispanics (2.5 times) compared to non-Hispanics, and Asian-Pacific Islanders (4 times) and African Americans (1.7 times) compared to </w:t>
      </w:r>
      <w:proofErr w:type="gramStart"/>
      <w:r>
        <w:rPr>
          <w:spacing w:val="-11"/>
        </w:rPr>
        <w:t>Whites</w:t>
      </w:r>
      <w:r>
        <w:rPr>
          <w:spacing w:val="-11"/>
          <w:vertAlign w:val="superscript"/>
        </w:rPr>
        <w:t>[</w:t>
      </w:r>
      <w:proofErr w:type="gramEnd"/>
      <w:r>
        <w:rPr>
          <w:spacing w:val="-11"/>
          <w:vertAlign w:val="superscript"/>
        </w:rPr>
        <w:t>3]</w:t>
      </w:r>
      <w:r>
        <w:rPr>
          <w:spacing w:val="-11"/>
        </w:rPr>
        <w:t>.</w:t>
      </w:r>
      <w:r>
        <w:t xml:space="preserve"> </w:t>
      </w:r>
    </w:p>
    <w:p w:rsidR="00E21E48" w:rsidRDefault="00E21E48" w:rsidP="00E21E48">
      <w:pPr>
        <w:pStyle w:val="1"/>
      </w:pPr>
      <w:r>
        <w:rPr>
          <w:spacing w:val="-11"/>
        </w:rPr>
        <w:t xml:space="preserve">HCC in Hispanics Americans will continue to increase as Hispanics are the most rapidly growing immigrant </w:t>
      </w:r>
      <w:r>
        <w:rPr>
          <w:spacing w:val="-13"/>
        </w:rPr>
        <w:t>population in the United States, and projected to comprise 30% of the total population in 2050</w:t>
      </w:r>
      <w:r>
        <w:rPr>
          <w:spacing w:val="-13"/>
          <w:vertAlign w:val="superscript"/>
        </w:rPr>
        <w:t>[5]</w:t>
      </w:r>
      <w:r>
        <w:rPr>
          <w:spacing w:val="-13"/>
        </w:rPr>
        <w:t xml:space="preserve">. Recent studies </w:t>
      </w:r>
      <w:r>
        <w:rPr>
          <w:spacing w:val="-16"/>
        </w:rPr>
        <w:t xml:space="preserve">report differences in HCC presentation in Hispanics compared to non-Hispanics, including younger age </w:t>
      </w:r>
      <w:r>
        <w:rPr>
          <w:spacing w:val="-13"/>
        </w:rPr>
        <w:t>at diagnosis and greater prevalence of</w:t>
      </w:r>
      <w:r>
        <w:rPr>
          <w:spacing w:val="-11"/>
        </w:rPr>
        <w:t xml:space="preserve"> metabolic risk factors for Hispanic patients compared to non-Hispanic Whites</w:t>
      </w:r>
      <w:r>
        <w:rPr>
          <w:spacing w:val="-11"/>
          <w:vertAlign w:val="superscript"/>
        </w:rPr>
        <w:t>[6,7]</w:t>
      </w:r>
      <w:r>
        <w:rPr>
          <w:spacing w:val="-11"/>
        </w:rPr>
        <w:t>, and higher incidence of HCC in Hispanic women compared to Hispanic men</w:t>
      </w:r>
      <w:r>
        <w:rPr>
          <w:spacing w:val="-11"/>
          <w:vertAlign w:val="superscript"/>
        </w:rPr>
        <w:t>[6]</w:t>
      </w:r>
      <w:r>
        <w:rPr>
          <w:spacing w:val="-11"/>
        </w:rPr>
        <w:t xml:space="preserve">. Notably, the incidence of liver cancer in Hispanic men has doubled between 1992 and 2012, and is double that of non-Hispanic </w:t>
      </w:r>
      <w:proofErr w:type="gramStart"/>
      <w:r>
        <w:rPr>
          <w:spacing w:val="-11"/>
        </w:rPr>
        <w:t>men</w:t>
      </w:r>
      <w:r>
        <w:rPr>
          <w:spacing w:val="-11"/>
          <w:vertAlign w:val="superscript"/>
        </w:rPr>
        <w:t>[</w:t>
      </w:r>
      <w:proofErr w:type="gramEnd"/>
      <w:r>
        <w:rPr>
          <w:spacing w:val="-11"/>
          <w:vertAlign w:val="superscript"/>
        </w:rPr>
        <w:t>8]</w:t>
      </w:r>
      <w:r>
        <w:rPr>
          <w:spacing w:val="-11"/>
        </w:rPr>
        <w:t xml:space="preserve">. While national HCC incidence is highest in </w:t>
      </w:r>
      <w:proofErr w:type="gramStart"/>
      <w:r>
        <w:rPr>
          <w:spacing w:val="-11"/>
        </w:rPr>
        <w:t>Asians</w:t>
      </w:r>
      <w:r>
        <w:rPr>
          <w:spacing w:val="-11"/>
          <w:vertAlign w:val="superscript"/>
        </w:rPr>
        <w:t>[</w:t>
      </w:r>
      <w:proofErr w:type="gramEnd"/>
      <w:r>
        <w:rPr>
          <w:spacing w:val="-11"/>
          <w:vertAlign w:val="superscript"/>
        </w:rPr>
        <w:t>3,6]</w:t>
      </w:r>
      <w:r>
        <w:rPr>
          <w:spacing w:val="-11"/>
        </w:rPr>
        <w:t xml:space="preserve">, Hispanic patients continue to have poorer 5 year survival in comparison to their White and Asian counterparts (respectively; 15% </w:t>
      </w:r>
      <w:r>
        <w:rPr>
          <w:i/>
          <w:iCs/>
          <w:spacing w:val="-11"/>
        </w:rPr>
        <w:t>vs</w:t>
      </w:r>
      <w:r>
        <w:rPr>
          <w:spacing w:val="-11"/>
        </w:rPr>
        <w:t xml:space="preserve"> 18% </w:t>
      </w:r>
      <w:r>
        <w:rPr>
          <w:i/>
          <w:iCs/>
          <w:spacing w:val="-11"/>
        </w:rPr>
        <w:t>vs</w:t>
      </w:r>
      <w:r>
        <w:rPr>
          <w:spacing w:val="-11"/>
        </w:rPr>
        <w:t xml:space="preserve"> 23%), and higher overall mortality rates</w:t>
      </w:r>
      <w:r>
        <w:rPr>
          <w:spacing w:val="-11"/>
          <w:vertAlign w:val="superscript"/>
        </w:rPr>
        <w:t>[9,10]</w:t>
      </w:r>
      <w:r>
        <w:rPr>
          <w:spacing w:val="-11"/>
        </w:rPr>
        <w:t xml:space="preserve">. Age adjusted HCC-related mortality rates were reported as more than double in native Hispanic men </w:t>
      </w:r>
      <w:r>
        <w:rPr>
          <w:i/>
          <w:iCs/>
          <w:spacing w:val="-11"/>
        </w:rPr>
        <w:t>vs</w:t>
      </w:r>
      <w:r>
        <w:rPr>
          <w:spacing w:val="-11"/>
        </w:rPr>
        <w:t xml:space="preserve"> immigrant Hispanic men, suggesting that synergy between biologic, environmental, and acquired risk factors contributes to </w:t>
      </w:r>
      <w:r>
        <w:rPr>
          <w:spacing w:val="-14"/>
        </w:rPr>
        <w:t>HCC development in Hispanics in the United States</w:t>
      </w:r>
      <w:r>
        <w:rPr>
          <w:spacing w:val="-14"/>
          <w:vertAlign w:val="superscript"/>
        </w:rPr>
        <w:t>[6]</w:t>
      </w:r>
      <w:r>
        <w:rPr>
          <w:spacing w:val="-14"/>
        </w:rPr>
        <w:t xml:space="preserve">. Despite disproportionately higher incidence and </w:t>
      </w:r>
      <w:r>
        <w:rPr>
          <w:spacing w:val="-11"/>
        </w:rPr>
        <w:t>mortality rates of HCC in Hispanics, there is a paucity of information about HCC presentation and features in Hispanics compared to non-Hispanics.</w:t>
      </w:r>
      <w:r>
        <w:t xml:space="preserve"> </w:t>
      </w:r>
    </w:p>
    <w:p w:rsidR="00E21E48" w:rsidRDefault="00E21E48" w:rsidP="00E21E48">
      <w:pPr>
        <w:pStyle w:val="1"/>
        <w:rPr>
          <w:spacing w:val="-11"/>
        </w:rPr>
      </w:pPr>
      <w:r>
        <w:rPr>
          <w:spacing w:val="-11"/>
        </w:rPr>
        <w:t>Identifying the role of modifiable risk factors asso</w:t>
      </w:r>
      <w:r>
        <w:rPr>
          <w:spacing w:val="-11"/>
        </w:rPr>
        <w:softHyphen/>
        <w:t>ciated with HCC in Hispanics will be critical to begin to address racial disparities in HCC incidence rates and outcomes. The aim of the current study was to evaluate HCC risk factors with specific emphasis on modifiable risk factors, disease characteristics, and treatment out</w:t>
      </w:r>
      <w:r>
        <w:rPr>
          <w:spacing w:val="-11"/>
        </w:rPr>
        <w:softHyphen/>
        <w:t xml:space="preserve">comes in Hispanic patients </w:t>
      </w:r>
      <w:r>
        <w:rPr>
          <w:spacing w:val="-11"/>
        </w:rPr>
        <w:lastRenderedPageBreak/>
        <w:t xml:space="preserve">seen in an academic tertiary medical center in Chicago, Illinois and to compare HCC </w:t>
      </w:r>
      <w:r>
        <w:rPr>
          <w:spacing w:val="-16"/>
        </w:rPr>
        <w:t xml:space="preserve">presentation and outcomes in Hispanics to African </w:t>
      </w:r>
      <w:r>
        <w:rPr>
          <w:spacing w:val="-11"/>
        </w:rPr>
        <w:t xml:space="preserve">American and White patients. </w:t>
      </w:r>
    </w:p>
    <w:p w:rsidR="00E21E48" w:rsidRPr="00B46507" w:rsidRDefault="00E21E48" w:rsidP="00E21E48">
      <w:pPr>
        <w:pStyle w:val="af0"/>
        <w:rPr>
          <w:lang w:val="en-US"/>
        </w:rPr>
      </w:pPr>
    </w:p>
    <w:p w:rsidR="00E21E48" w:rsidRPr="00B46507" w:rsidRDefault="00E21E48" w:rsidP="00E21E48">
      <w:pPr>
        <w:pStyle w:val="af0"/>
        <w:rPr>
          <w:w w:val="90"/>
          <w:u w:val="single"/>
          <w:lang w:val="en-US"/>
        </w:rPr>
      </w:pPr>
      <w:r w:rsidRPr="00B46507">
        <w:rPr>
          <w:u w:val="single"/>
          <w:lang w:val="en-US"/>
        </w:rPr>
        <w:t>MATERIALS AND METHODS</w:t>
      </w:r>
    </w:p>
    <w:p w:rsidR="00E21E48" w:rsidRPr="00B46507" w:rsidRDefault="00E21E48" w:rsidP="00E21E48">
      <w:pPr>
        <w:pStyle w:val="af2"/>
        <w:rPr>
          <w:lang w:val="en-US"/>
        </w:rPr>
      </w:pPr>
      <w:r w:rsidRPr="00B46507">
        <w:rPr>
          <w:lang w:val="en-US"/>
        </w:rPr>
        <w:t>Patient populations</w:t>
      </w:r>
    </w:p>
    <w:p w:rsidR="00E21E48" w:rsidRDefault="00E21E48" w:rsidP="00E21E48">
      <w:pPr>
        <w:pStyle w:val="af1"/>
        <w:rPr>
          <w:spacing w:val="-11"/>
        </w:rPr>
      </w:pPr>
      <w:r>
        <w:rPr>
          <w:spacing w:val="-11"/>
        </w:rPr>
        <w:t xml:space="preserve">All adult patients </w:t>
      </w:r>
      <w:r>
        <w:rPr>
          <w:rFonts w:ascii="宋体" w:cs="宋体" w:hint="eastAsia"/>
          <w:spacing w:val="-11"/>
          <w:sz w:val="19"/>
          <w:szCs w:val="19"/>
        </w:rPr>
        <w:t>≥</w:t>
      </w:r>
      <w:r>
        <w:rPr>
          <w:spacing w:val="-11"/>
        </w:rPr>
        <w:t xml:space="preserve"> 18 years of age with HCC treated at the University of Illinois at Chicago (UIC) from January 2005 to December 2011 were identified from the UIC tumor registry. HCC diagnosis was confirmed by histo</w:t>
      </w:r>
      <w:r>
        <w:rPr>
          <w:spacing w:val="-11"/>
        </w:rPr>
        <w:softHyphen/>
        <w:t xml:space="preserve">pathology or according to the American Association of the Study of Liver Diseases non-invasive diagnostic </w:t>
      </w:r>
      <w:proofErr w:type="gramStart"/>
      <w:r>
        <w:rPr>
          <w:spacing w:val="-11"/>
        </w:rPr>
        <w:t>criteria</w:t>
      </w:r>
      <w:r>
        <w:rPr>
          <w:spacing w:val="-11"/>
          <w:vertAlign w:val="superscript"/>
        </w:rPr>
        <w:t>[</w:t>
      </w:r>
      <w:proofErr w:type="gramEnd"/>
      <w:r>
        <w:rPr>
          <w:spacing w:val="-11"/>
          <w:vertAlign w:val="superscript"/>
        </w:rPr>
        <w:t>11]</w:t>
      </w:r>
      <w:r>
        <w:rPr>
          <w:spacing w:val="-11"/>
        </w:rPr>
        <w:t>. Hispanic, African American, and White patients were included in the study population; other racial groups were excluded. Patient charts were reviewed for relevant demographic data including comorbidities, liver disease etiology and characteristics, tumor parameters, treatment patterns, and length of survival from pre</w:t>
      </w:r>
      <w:r>
        <w:rPr>
          <w:spacing w:val="-11"/>
        </w:rPr>
        <w:softHyphen/>
        <w:t>sentation. The protocol for this study was approved by the Institutional Review Board at UIC as an expedited review under expedited category 5 (Protocol 2005-0283), and was granted a waiver of informed consent and HIPAA authorization.</w:t>
      </w:r>
    </w:p>
    <w:p w:rsidR="00E21E48" w:rsidRPr="00B46507" w:rsidRDefault="00E21E48" w:rsidP="00E21E48">
      <w:pPr>
        <w:pStyle w:val="af2"/>
        <w:rPr>
          <w:lang w:val="en-US"/>
        </w:rPr>
      </w:pPr>
    </w:p>
    <w:p w:rsidR="00E21E48" w:rsidRPr="00B46507" w:rsidRDefault="00E21E48" w:rsidP="00E21E48">
      <w:pPr>
        <w:pStyle w:val="af2"/>
        <w:rPr>
          <w:lang w:val="en-US"/>
        </w:rPr>
      </w:pPr>
      <w:r w:rsidRPr="00B46507">
        <w:rPr>
          <w:lang w:val="en-US"/>
        </w:rPr>
        <w:t>Variable selection</w:t>
      </w:r>
    </w:p>
    <w:p w:rsidR="00E21E48" w:rsidRDefault="00E21E48" w:rsidP="00E21E48">
      <w:pPr>
        <w:pStyle w:val="af1"/>
        <w:rPr>
          <w:spacing w:val="-11"/>
        </w:rPr>
      </w:pPr>
      <w:r>
        <w:rPr>
          <w:spacing w:val="-11"/>
        </w:rPr>
        <w:t xml:space="preserve">The primary category of interest was patient identified race/ethnicity. The primary outcome of interest was patient survival. Demographic factors included race, age at diagnosis, gender, insurance status, body mass index (BMI), and metabolic syndrome criteria per the adult treatment panel </w:t>
      </w:r>
      <w:r>
        <w:rPr>
          <w:rFonts w:ascii="KozMinPro-Regular" w:eastAsia="KozMinPro-Regular" w:cs="KozMinPro-Regular" w:hint="eastAsia"/>
          <w:spacing w:val="-11"/>
          <w:sz w:val="19"/>
          <w:szCs w:val="19"/>
        </w:rPr>
        <w:t>Ⅲ</w:t>
      </w:r>
      <w:r>
        <w:rPr>
          <w:spacing w:val="-11"/>
        </w:rPr>
        <w:t xml:space="preserve"> guidelines</w:t>
      </w:r>
      <w:r>
        <w:rPr>
          <w:spacing w:val="-11"/>
          <w:vertAlign w:val="superscript"/>
        </w:rPr>
        <w:t>[12]</w:t>
      </w:r>
      <w:r>
        <w:rPr>
          <w:spacing w:val="-11"/>
        </w:rPr>
        <w:t xml:space="preserve">. Comorbidities </w:t>
      </w:r>
      <w:r>
        <w:rPr>
          <w:spacing w:val="-13"/>
        </w:rPr>
        <w:t xml:space="preserve">included diabetes, hyperlipidemia, end stage renal </w:t>
      </w:r>
      <w:r>
        <w:rPr>
          <w:spacing w:val="-11"/>
        </w:rPr>
        <w:t>dis</w:t>
      </w:r>
      <w:r>
        <w:rPr>
          <w:spacing w:val="-11"/>
        </w:rPr>
        <w:softHyphen/>
        <w:t>ease requiring dialysis (ESRD), and history of smoking and alcohol use. Assessment of smoking and alcohol con</w:t>
      </w:r>
      <w:r>
        <w:rPr>
          <w:spacing w:val="-11"/>
        </w:rPr>
        <w:softHyphen/>
        <w:t xml:space="preserve">sumption was based on patient self-reporting per chart review. Cirrhosis was confirmed by liver biopsy or </w:t>
      </w:r>
      <w:r>
        <w:rPr>
          <w:i/>
          <w:iCs/>
          <w:spacing w:val="-11"/>
        </w:rPr>
        <w:t>via</w:t>
      </w:r>
      <w:r>
        <w:rPr>
          <w:spacing w:val="-11"/>
        </w:rPr>
        <w:t xml:space="preserve"> </w:t>
      </w:r>
      <w:r>
        <w:rPr>
          <w:spacing w:val="-13"/>
        </w:rPr>
        <w:t xml:space="preserve">characteristic clinical and radiologic features. Liver disease etiology was characterized as hepatitis B virus, hepatitis </w:t>
      </w:r>
      <w:r>
        <w:rPr>
          <w:spacing w:val="-14"/>
        </w:rPr>
        <w:t xml:space="preserve">C virus (HCV), alcoholic liver disease, nonalcoholic </w:t>
      </w:r>
      <w:r>
        <w:rPr>
          <w:spacing w:val="-13"/>
        </w:rPr>
        <w:t>steatohepatitis (NASH), and other non-viral, non-NASH etiologies including autoimmune, hemochromatosis, and cryptogenic (other). Liver</w:t>
      </w:r>
      <w:r>
        <w:rPr>
          <w:spacing w:val="-11"/>
        </w:rPr>
        <w:t xml:space="preserve"> disease characteristics included MELD score calculated based on baseline laboratory values rather than tumor exception points, baseline AFP level, presence of hepatic encephalopathy, and presence of ascites. </w:t>
      </w:r>
    </w:p>
    <w:p w:rsidR="00E21E48" w:rsidRDefault="00E21E48" w:rsidP="00E21E48">
      <w:pPr>
        <w:pStyle w:val="1"/>
        <w:rPr>
          <w:spacing w:val="-11"/>
        </w:rPr>
      </w:pPr>
      <w:r>
        <w:rPr>
          <w:spacing w:val="-11"/>
        </w:rPr>
        <w:t xml:space="preserve">Tumor parameters were categorized by size of the largest tumor, stage at diagnosis, portal vein involvement, tumor grade (when tissue was available), and whether HCC was within Milan criteria. Stage at diagnosis was defined as </w:t>
      </w:r>
      <w:proofErr w:type="spellStart"/>
      <w:r>
        <w:rPr>
          <w:spacing w:val="-11"/>
        </w:rPr>
        <w:t>unifocal</w:t>
      </w:r>
      <w:proofErr w:type="spellEnd"/>
      <w:r>
        <w:rPr>
          <w:spacing w:val="-11"/>
        </w:rPr>
        <w:t>, multifocal, or metastatic. Assessment was performed regarding whether patients were diag</w:t>
      </w:r>
      <w:r>
        <w:rPr>
          <w:spacing w:val="-11"/>
        </w:rPr>
        <w:softHyphen/>
        <w:t xml:space="preserve">nosed during active HCC surveillance. </w:t>
      </w:r>
    </w:p>
    <w:p w:rsidR="00E21E48" w:rsidRDefault="00E21E48" w:rsidP="00E21E48">
      <w:pPr>
        <w:pStyle w:val="1"/>
        <w:rPr>
          <w:spacing w:val="-13"/>
        </w:rPr>
      </w:pPr>
      <w:r>
        <w:rPr>
          <w:spacing w:val="-13"/>
        </w:rPr>
        <w:t>Type of treatment was recorded including loco regional therapy, resection, transplantation, chemo</w:t>
      </w:r>
      <w:r>
        <w:rPr>
          <w:spacing w:val="-13"/>
        </w:rPr>
        <w:softHyphen/>
        <w:t xml:space="preserve">therapy, or observation. Cause of death was categorized as attributable to HCC (evidence of radiographic progression in the last 3 </w:t>
      </w:r>
      <w:proofErr w:type="spellStart"/>
      <w:r>
        <w:rPr>
          <w:spacing w:val="-13"/>
        </w:rPr>
        <w:t>mo</w:t>
      </w:r>
      <w:proofErr w:type="spellEnd"/>
      <w:r>
        <w:rPr>
          <w:spacing w:val="-13"/>
        </w:rPr>
        <w:t xml:space="preserve"> of life), decompensated cirrhosis (evidence of liver failure or complications of portal hypertension), </w:t>
      </w:r>
      <w:r>
        <w:rPr>
          <w:spacing w:val="-16"/>
        </w:rPr>
        <w:t xml:space="preserve">other, or unknown based on review of outpatient </w:t>
      </w:r>
      <w:r>
        <w:rPr>
          <w:spacing w:val="-13"/>
        </w:rPr>
        <w:t xml:space="preserve">notes within 1 </w:t>
      </w:r>
      <w:proofErr w:type="spellStart"/>
      <w:r>
        <w:rPr>
          <w:spacing w:val="-13"/>
        </w:rPr>
        <w:t>mo</w:t>
      </w:r>
      <w:proofErr w:type="spellEnd"/>
      <w:r>
        <w:rPr>
          <w:spacing w:val="-13"/>
        </w:rPr>
        <w:t xml:space="preserve"> of death, discharge summary, and hospice documentation. Two physicians independently reviewed cause of death categorization to ensure criteria stan</w:t>
      </w:r>
      <w:r>
        <w:rPr>
          <w:spacing w:val="-13"/>
        </w:rPr>
        <w:softHyphen/>
        <w:t xml:space="preserve">dardization. </w:t>
      </w:r>
    </w:p>
    <w:p w:rsidR="00E21E48" w:rsidRPr="00B46507" w:rsidRDefault="00E21E48" w:rsidP="00E21E48">
      <w:pPr>
        <w:pStyle w:val="af2"/>
        <w:rPr>
          <w:lang w:val="en-US"/>
        </w:rPr>
      </w:pPr>
    </w:p>
    <w:p w:rsidR="00E21E48" w:rsidRPr="00B46507" w:rsidRDefault="00E21E48" w:rsidP="00E21E48">
      <w:pPr>
        <w:pStyle w:val="af2"/>
        <w:rPr>
          <w:lang w:val="en-US"/>
        </w:rPr>
      </w:pPr>
      <w:r w:rsidRPr="00B46507">
        <w:rPr>
          <w:lang w:val="en-US"/>
        </w:rPr>
        <w:t>Statistical analysis</w:t>
      </w:r>
    </w:p>
    <w:p w:rsidR="00E21E48" w:rsidRDefault="00E21E48" w:rsidP="00E21E48">
      <w:pPr>
        <w:pStyle w:val="af1"/>
      </w:pPr>
      <w:r>
        <w:t>P</w:t>
      </w:r>
      <w:r>
        <w:rPr>
          <w:spacing w:val="-11"/>
        </w:rPr>
        <w:t xml:space="preserve">atient characteristics were first summarized using mean </w:t>
      </w:r>
      <w:r>
        <w:rPr>
          <w:spacing w:val="-14"/>
        </w:rPr>
        <w:t xml:space="preserve">± SD for normally distributed continuous variables, median </w:t>
      </w:r>
      <w:r>
        <w:rPr>
          <w:spacing w:val="-13"/>
        </w:rPr>
        <w:t xml:space="preserve">and interquartile range for non-normally distributed continuous variables, and percentages for </w:t>
      </w:r>
      <w:r>
        <w:rPr>
          <w:spacing w:val="-11"/>
        </w:rPr>
        <w:t xml:space="preserve">categorical variables. Analysis of variance was used to examine mean differences by race for continuous variables with regards to demographics, comorbidities, liver disease etiology and characteristics, tumor parameters, and treatment patterns. </w:t>
      </w:r>
      <w:r>
        <w:rPr>
          <w:spacing w:val="-11"/>
        </w:rPr>
        <w:lastRenderedPageBreak/>
        <w:t xml:space="preserve">Two-sided </w:t>
      </w:r>
      <w:r w:rsidRPr="00B46507">
        <w:rPr>
          <w:rFonts w:ascii="Symbol" w:hAnsi="Symbol" w:cs="Symbol"/>
          <w:i/>
          <w:iCs/>
          <w:spacing w:val="-11"/>
        </w:rPr>
        <w:t></w:t>
      </w:r>
      <w:r>
        <w:rPr>
          <w:spacing w:val="-11"/>
          <w:vertAlign w:val="superscript"/>
        </w:rPr>
        <w:t>2</w:t>
      </w:r>
      <w:r>
        <w:rPr>
          <w:spacing w:val="-11"/>
        </w:rPr>
        <w:t xml:space="preserve"> tests or Fishers</w:t>
      </w:r>
      <w:proofErr w:type="gramStart"/>
      <w:r>
        <w:rPr>
          <w:spacing w:val="-11"/>
        </w:rPr>
        <w:t>’</w:t>
      </w:r>
      <w:proofErr w:type="gramEnd"/>
      <w:r>
        <w:rPr>
          <w:spacing w:val="-11"/>
        </w:rPr>
        <w:t xml:space="preserve"> exact test (</w:t>
      </w:r>
      <w:r>
        <w:rPr>
          <w:rFonts w:ascii="宋体" w:cs="宋体" w:hint="eastAsia"/>
          <w:spacing w:val="-11"/>
          <w:sz w:val="19"/>
          <w:szCs w:val="19"/>
        </w:rPr>
        <w:t>≤</w:t>
      </w:r>
      <w:r>
        <w:rPr>
          <w:spacing w:val="-11"/>
        </w:rPr>
        <w:t xml:space="preserve"> 5 patients) were conducted to assess specific pairwise differences by race (between Hispanics, African Americans, and Whites) for variables that showed sig</w:t>
      </w:r>
      <w:r>
        <w:rPr>
          <w:spacing w:val="-11"/>
        </w:rPr>
        <w:softHyphen/>
        <w:t>nificant overall differences by race (</w:t>
      </w:r>
      <w:r>
        <w:rPr>
          <w:i/>
          <w:iCs/>
          <w:spacing w:val="-11"/>
        </w:rPr>
        <w:t xml:space="preserve">P </w:t>
      </w:r>
      <w:r>
        <w:rPr>
          <w:spacing w:val="-11"/>
        </w:rPr>
        <w:t xml:space="preserve">&lt; 0.05). Further analysis was not performed for groups including </w:t>
      </w:r>
      <w:r>
        <w:rPr>
          <w:rFonts w:ascii="宋体" w:cs="宋体" w:hint="eastAsia"/>
          <w:spacing w:val="-11"/>
          <w:sz w:val="19"/>
          <w:szCs w:val="19"/>
        </w:rPr>
        <w:t>≤</w:t>
      </w:r>
      <w:r>
        <w:rPr>
          <w:spacing w:val="-11"/>
        </w:rPr>
        <w:t xml:space="preserve"> 5 patients.</w:t>
      </w:r>
    </w:p>
    <w:p w:rsidR="00E21E48" w:rsidRDefault="00E21E48" w:rsidP="00E21E48">
      <w:pPr>
        <w:pStyle w:val="1"/>
        <w:rPr>
          <w:spacing w:val="-11"/>
        </w:rPr>
      </w:pPr>
      <w:r>
        <w:rPr>
          <w:spacing w:val="-11"/>
        </w:rPr>
        <w:t>A Cox proportional hazard regression model was developed to evaluate survival adjusted by demographic and clinical factors, and a stepwise model was used for variable selection. Variables approaching statistical significance in univariate analysis (</w:t>
      </w:r>
      <w:r>
        <w:rPr>
          <w:i/>
          <w:iCs/>
          <w:spacing w:val="-11"/>
        </w:rPr>
        <w:t xml:space="preserve">P </w:t>
      </w:r>
      <w:r>
        <w:rPr>
          <w:spacing w:val="-11"/>
        </w:rPr>
        <w:t>= 0.10) and clinically meaningful variables were included in a forward step</w:t>
      </w:r>
      <w:r>
        <w:rPr>
          <w:spacing w:val="-11"/>
        </w:rPr>
        <w:softHyphen/>
        <w:t xml:space="preserve">wise selection. Potential confounders examined included gender, race, insurance, stage at diagnosis, MELD at diagnosis, Milan Criteria, receipt of </w:t>
      </w:r>
      <w:proofErr w:type="spellStart"/>
      <w:r>
        <w:rPr>
          <w:spacing w:val="-11"/>
        </w:rPr>
        <w:t>locoregional</w:t>
      </w:r>
      <w:proofErr w:type="spellEnd"/>
      <w:r>
        <w:rPr>
          <w:spacing w:val="-11"/>
        </w:rPr>
        <w:t xml:space="preserve"> therapy, HCV, hepatic encephalopathy, metabolic syndrome, diabetes, ascites, NASH, smoking history, and AFP level. Only variables reaching statistical significance at 0.05 </w:t>
      </w:r>
      <w:r>
        <w:rPr>
          <w:rFonts w:ascii="Symbol" w:hAnsi="Symbol" w:cs="Symbol"/>
          <w:spacing w:val="-11"/>
        </w:rPr>
        <w:t></w:t>
      </w:r>
      <w:r>
        <w:rPr>
          <w:spacing w:val="-11"/>
        </w:rPr>
        <w:t xml:space="preserve"> level were retained in the final multivariable model. Multivariable analysis rather than multivariate analysis was conducted to best assess for multiple independent variables and relationships while adjusting for potential </w:t>
      </w:r>
      <w:proofErr w:type="gramStart"/>
      <w:r>
        <w:rPr>
          <w:spacing w:val="-11"/>
        </w:rPr>
        <w:t>confounders</w:t>
      </w:r>
      <w:r>
        <w:rPr>
          <w:spacing w:val="-11"/>
          <w:vertAlign w:val="superscript"/>
        </w:rPr>
        <w:t>[</w:t>
      </w:r>
      <w:proofErr w:type="gramEnd"/>
      <w:r>
        <w:rPr>
          <w:spacing w:val="-11"/>
          <w:vertAlign w:val="superscript"/>
        </w:rPr>
        <w:t>13,14]</w:t>
      </w:r>
      <w:r>
        <w:rPr>
          <w:spacing w:val="-11"/>
        </w:rPr>
        <w:t xml:space="preserve">. </w:t>
      </w:r>
    </w:p>
    <w:p w:rsidR="00E21E48" w:rsidRDefault="00E21E48" w:rsidP="00E21E48">
      <w:pPr>
        <w:pStyle w:val="1"/>
        <w:rPr>
          <w:spacing w:val="-11"/>
        </w:rPr>
      </w:pPr>
      <w:r>
        <w:rPr>
          <w:spacing w:val="-11"/>
        </w:rPr>
        <w:t xml:space="preserve">The Kaplan-Meier method was utilized to estimate survival distribution for two overall survival analyses, first with inclusion of all patients, and second with exclusion of liver transplant recipients. Overall survival was defined as the interval between date of HCC diagnosis and date of death due to any cause, or date of data censorship (June 6, 2013) for patients still alive. </w:t>
      </w:r>
    </w:p>
    <w:p w:rsidR="00E21E48" w:rsidRDefault="00E21E48" w:rsidP="00E21E48">
      <w:pPr>
        <w:pStyle w:val="1"/>
      </w:pPr>
      <w:r>
        <w:t xml:space="preserve">All tests were two sided. Analysis was performed </w:t>
      </w:r>
      <w:r>
        <w:rPr>
          <w:i/>
          <w:iCs/>
        </w:rPr>
        <w:t>via</w:t>
      </w:r>
      <w:r>
        <w:t xml:space="preserve"> SAS 9.3 (SAS Institute, Cary, NC). </w:t>
      </w:r>
    </w:p>
    <w:p w:rsidR="00E21E48" w:rsidRPr="00B46507" w:rsidRDefault="00E21E48" w:rsidP="00E21E48">
      <w:pPr>
        <w:pStyle w:val="af0"/>
        <w:rPr>
          <w:lang w:val="en-US"/>
        </w:rPr>
      </w:pPr>
    </w:p>
    <w:p w:rsidR="00E21E48" w:rsidRPr="00B46507" w:rsidRDefault="00E21E48" w:rsidP="00E21E48">
      <w:pPr>
        <w:pStyle w:val="af0"/>
        <w:rPr>
          <w:u w:val="single"/>
          <w:lang w:val="en-US"/>
        </w:rPr>
      </w:pPr>
      <w:r w:rsidRPr="00B46507">
        <w:rPr>
          <w:u w:val="single"/>
          <w:lang w:val="en-US"/>
        </w:rPr>
        <w:t>RESULTS</w:t>
      </w:r>
    </w:p>
    <w:p w:rsidR="00E21E48" w:rsidRPr="00B46507" w:rsidRDefault="00E21E48" w:rsidP="00E21E48">
      <w:pPr>
        <w:pStyle w:val="af2"/>
        <w:rPr>
          <w:lang w:val="en-US"/>
        </w:rPr>
      </w:pPr>
      <w:r w:rsidRPr="00B46507">
        <w:rPr>
          <w:lang w:val="en-US"/>
        </w:rPr>
        <w:t>Patient characteristics</w:t>
      </w:r>
    </w:p>
    <w:p w:rsidR="00E21E48" w:rsidRDefault="00E21E48" w:rsidP="00E21E48">
      <w:pPr>
        <w:pStyle w:val="af1"/>
        <w:rPr>
          <w:spacing w:val="-11"/>
        </w:rPr>
      </w:pPr>
      <w:r>
        <w:rPr>
          <w:spacing w:val="-11"/>
        </w:rPr>
        <w:t>One hundred and ninety-five patients with HCC were identified for analysis, including 44 Hispanics, 61 African Americans, and 90 Whites. Patient characteristics and selected pairwise comparisons between races are sum</w:t>
      </w:r>
      <w:r>
        <w:rPr>
          <w:spacing w:val="-11"/>
        </w:rPr>
        <w:softHyphen/>
        <w:t xml:space="preserve">marized in Table 1. Patients were predominantly male (80.5%), White (46.1%), and had a median age of 59.7 years (range, 50.0-69.5) with 22% of patients </w:t>
      </w:r>
      <w:r>
        <w:rPr>
          <w:rFonts w:ascii="宋体" w:cs="宋体" w:hint="eastAsia"/>
          <w:spacing w:val="-11"/>
          <w:sz w:val="19"/>
          <w:szCs w:val="19"/>
        </w:rPr>
        <w:t>≥</w:t>
      </w:r>
      <w:r>
        <w:rPr>
          <w:spacing w:val="-11"/>
        </w:rPr>
        <w:t xml:space="preserve"> 65 years old. The majority of patients had Medicare or Medicaid insurance (61.5%) with a small group of uninsured patients (4.1%). </w:t>
      </w:r>
    </w:p>
    <w:p w:rsidR="00E21E48" w:rsidRDefault="00E21E48" w:rsidP="00E21E48">
      <w:pPr>
        <w:pStyle w:val="1"/>
      </w:pPr>
      <w:r>
        <w:t>The observed female to male ratio was 1:2.8 in the Hispanic group, 4:5 in the African American group, and 1:2.5 in the White group, showing a higher proportion of women in the Hispanic and African American groups (</w:t>
      </w:r>
      <w:r>
        <w:rPr>
          <w:i/>
          <w:iCs/>
        </w:rPr>
        <w:t xml:space="preserve">P </w:t>
      </w:r>
      <w:r>
        <w:t xml:space="preserve">= 0.022). Among Hispanic patients, women presented at an older age in comparison to men (respectively: 71.7 ± 6.5 years </w:t>
      </w:r>
      <w:r>
        <w:rPr>
          <w:i/>
          <w:iCs/>
        </w:rPr>
        <w:t>vs</w:t>
      </w:r>
      <w:r>
        <w:t xml:space="preserve"> 59.4 ± 12.6 years; </w:t>
      </w:r>
      <w:r>
        <w:rPr>
          <w:i/>
          <w:iCs/>
        </w:rPr>
        <w:t>P</w:t>
      </w:r>
      <w:r>
        <w:t xml:space="preserve"> = 0.0037). </w:t>
      </w:r>
    </w:p>
    <w:p w:rsidR="00E21E48" w:rsidRPr="00B46507" w:rsidRDefault="00E21E48" w:rsidP="00E21E48">
      <w:pPr>
        <w:pStyle w:val="af2"/>
        <w:rPr>
          <w:lang w:val="en-US"/>
        </w:rPr>
      </w:pPr>
    </w:p>
    <w:p w:rsidR="00E21E48" w:rsidRPr="00B46507" w:rsidRDefault="00E21E48" w:rsidP="00E21E48">
      <w:pPr>
        <w:pStyle w:val="af2"/>
        <w:rPr>
          <w:lang w:val="en-US"/>
        </w:rPr>
      </w:pPr>
      <w:r w:rsidRPr="00B46507">
        <w:rPr>
          <w:lang w:val="en-US"/>
        </w:rPr>
        <w:t>Comorbidities and modifiable risk factors</w:t>
      </w:r>
    </w:p>
    <w:p w:rsidR="00E21E48" w:rsidRDefault="00E21E48" w:rsidP="00E21E48">
      <w:pPr>
        <w:pStyle w:val="af1"/>
      </w:pPr>
      <w:r>
        <w:rPr>
          <w:spacing w:val="-11"/>
        </w:rPr>
        <w:t>Hispanic patients demonstrated a higher prevalence of modifiable metabolic risk factors and comorbidities than African Americans or Whites. In comparison to African American and Whites, Hispanic patients had more frequent diagnoses of diabetes (</w:t>
      </w:r>
      <w:r>
        <w:rPr>
          <w:i/>
          <w:iCs/>
          <w:spacing w:val="-11"/>
        </w:rPr>
        <w:t>P</w:t>
      </w:r>
      <w:r>
        <w:rPr>
          <w:spacing w:val="-11"/>
        </w:rPr>
        <w:t xml:space="preserve"> = 0.0007;</w:t>
      </w:r>
      <w:r>
        <w:rPr>
          <w:i/>
          <w:iCs/>
          <w:spacing w:val="-11"/>
        </w:rPr>
        <w:t xml:space="preserve"> P</w:t>
      </w:r>
      <w:r>
        <w:rPr>
          <w:spacing w:val="-11"/>
        </w:rPr>
        <w:t xml:space="preserve"> = 0.0648</w:t>
      </w:r>
      <w:r>
        <w:rPr>
          <w:i/>
          <w:iCs/>
          <w:spacing w:val="-11"/>
        </w:rPr>
        <w:t>; P</w:t>
      </w:r>
      <w:r>
        <w:rPr>
          <w:spacing w:val="-11"/>
        </w:rPr>
        <w:t xml:space="preserve"> = 0.0019</w:t>
      </w:r>
      <w:r>
        <w:rPr>
          <w:i/>
          <w:iCs/>
          <w:spacing w:val="-11"/>
        </w:rPr>
        <w:t xml:space="preserve"> </w:t>
      </w:r>
      <w:r>
        <w:rPr>
          <w:spacing w:val="-11"/>
        </w:rPr>
        <w:t xml:space="preserve">on initial </w:t>
      </w:r>
      <w:r w:rsidRPr="00B46507">
        <w:rPr>
          <w:rFonts w:ascii="Symbol" w:hAnsi="Symbol" w:cs="Symbol"/>
          <w:i/>
          <w:iCs/>
          <w:spacing w:val="-11"/>
        </w:rPr>
        <w:t></w:t>
      </w:r>
      <w:r>
        <w:rPr>
          <w:spacing w:val="-11"/>
          <w:vertAlign w:val="superscript"/>
        </w:rPr>
        <w:t>2</w:t>
      </w:r>
      <w:r>
        <w:rPr>
          <w:spacing w:val="-11"/>
        </w:rPr>
        <w:t xml:space="preserve"> analysis, see appendix A),</w:t>
      </w:r>
      <w:r>
        <w:rPr>
          <w:i/>
          <w:iCs/>
          <w:spacing w:val="-11"/>
        </w:rPr>
        <w:t xml:space="preserve"> </w:t>
      </w:r>
      <w:r>
        <w:rPr>
          <w:spacing w:val="-11"/>
        </w:rPr>
        <w:t>hyperlipidemia (</w:t>
      </w:r>
      <w:r>
        <w:rPr>
          <w:i/>
          <w:iCs/>
          <w:spacing w:val="-11"/>
        </w:rPr>
        <w:t>P</w:t>
      </w:r>
      <w:r>
        <w:rPr>
          <w:spacing w:val="-11"/>
        </w:rPr>
        <w:t xml:space="preserve"> = 0.0004; </w:t>
      </w:r>
      <w:r>
        <w:rPr>
          <w:i/>
          <w:iCs/>
          <w:spacing w:val="-11"/>
        </w:rPr>
        <w:t>P</w:t>
      </w:r>
      <w:r>
        <w:rPr>
          <w:spacing w:val="-11"/>
        </w:rPr>
        <w:t xml:space="preserve"> = 0.001),</w:t>
      </w:r>
      <w:r>
        <w:rPr>
          <w:i/>
          <w:iCs/>
          <w:spacing w:val="-11"/>
        </w:rPr>
        <w:t xml:space="preserve"> </w:t>
      </w:r>
      <w:r>
        <w:rPr>
          <w:spacing w:val="-11"/>
        </w:rPr>
        <w:t>and</w:t>
      </w:r>
      <w:r>
        <w:rPr>
          <w:i/>
          <w:iCs/>
          <w:spacing w:val="-11"/>
        </w:rPr>
        <w:t xml:space="preserve"> </w:t>
      </w:r>
      <w:r>
        <w:rPr>
          <w:spacing w:val="-11"/>
        </w:rPr>
        <w:t>end stage renal disease requiring dialysis (</w:t>
      </w:r>
      <w:r>
        <w:rPr>
          <w:i/>
          <w:iCs/>
          <w:spacing w:val="-11"/>
        </w:rPr>
        <w:t>P</w:t>
      </w:r>
      <w:r>
        <w:rPr>
          <w:spacing w:val="-11"/>
        </w:rPr>
        <w:t xml:space="preserve"> </w:t>
      </w:r>
      <w:r>
        <w:rPr>
          <w:i/>
          <w:iCs/>
          <w:spacing w:val="-11"/>
        </w:rPr>
        <w:t xml:space="preserve">&lt; </w:t>
      </w:r>
      <w:r>
        <w:rPr>
          <w:spacing w:val="-11"/>
        </w:rPr>
        <w:t>0.0001),</w:t>
      </w:r>
      <w:r>
        <w:rPr>
          <w:i/>
          <w:iCs/>
          <w:spacing w:val="-11"/>
        </w:rPr>
        <w:t xml:space="preserve"> </w:t>
      </w:r>
      <w:r>
        <w:rPr>
          <w:spacing w:val="-11"/>
        </w:rPr>
        <w:t>and were less likely to have a smoking history (</w:t>
      </w:r>
      <w:r>
        <w:rPr>
          <w:i/>
          <w:iCs/>
          <w:spacing w:val="-11"/>
        </w:rPr>
        <w:t>P</w:t>
      </w:r>
      <w:r>
        <w:rPr>
          <w:spacing w:val="-11"/>
        </w:rPr>
        <w:t xml:space="preserve"> </w:t>
      </w:r>
      <w:r>
        <w:rPr>
          <w:i/>
          <w:iCs/>
          <w:spacing w:val="-11"/>
        </w:rPr>
        <w:t xml:space="preserve">&lt; </w:t>
      </w:r>
      <w:r>
        <w:rPr>
          <w:spacing w:val="-11"/>
        </w:rPr>
        <w:t>0.0001).</w:t>
      </w:r>
      <w:r>
        <w:rPr>
          <w:i/>
          <w:iCs/>
          <w:spacing w:val="-11"/>
        </w:rPr>
        <w:t xml:space="preserve"> </w:t>
      </w:r>
      <w:r>
        <w:rPr>
          <w:spacing w:val="-11"/>
        </w:rPr>
        <w:t>In comparison to African Americans, Hispanic patients were more likely to meet criteria for metabolic syndrome (</w:t>
      </w:r>
      <w:r>
        <w:rPr>
          <w:i/>
          <w:iCs/>
          <w:spacing w:val="-11"/>
        </w:rPr>
        <w:t xml:space="preserve">P = </w:t>
      </w:r>
      <w:r>
        <w:rPr>
          <w:spacing w:val="-11"/>
        </w:rPr>
        <w:t>0.0491).</w:t>
      </w:r>
      <w:r>
        <w:rPr>
          <w:i/>
          <w:iCs/>
          <w:spacing w:val="-11"/>
        </w:rPr>
        <w:t xml:space="preserve"> </w:t>
      </w:r>
      <w:r>
        <w:rPr>
          <w:spacing w:val="-11"/>
        </w:rPr>
        <w:t>The three racial groups were similar with regards to age at presentation, insurance status, other comorbidities including BMI &gt; 24.9 and history of alcohol use.</w:t>
      </w:r>
      <w:r>
        <w:t xml:space="preserve"> </w:t>
      </w:r>
    </w:p>
    <w:p w:rsidR="00E21E48" w:rsidRDefault="00E21E48" w:rsidP="00E21E48">
      <w:pPr>
        <w:pStyle w:val="1"/>
      </w:pPr>
      <w:r>
        <w:t xml:space="preserve">Among Hispanics, women trended towards a higher frequency of metabolic syndrome compared to men (36.4% </w:t>
      </w:r>
      <w:r>
        <w:rPr>
          <w:i/>
          <w:iCs/>
        </w:rPr>
        <w:t>vs</w:t>
      </w:r>
      <w:r>
        <w:t xml:space="preserve"> 12.1%, </w:t>
      </w:r>
      <w:r>
        <w:rPr>
          <w:i/>
          <w:iCs/>
        </w:rPr>
        <w:t>P</w:t>
      </w:r>
      <w:r>
        <w:t xml:space="preserve"> = 0.09).</w:t>
      </w:r>
    </w:p>
    <w:p w:rsidR="00E21E48" w:rsidRPr="00B46507" w:rsidRDefault="00E21E48" w:rsidP="00E21E48">
      <w:pPr>
        <w:pStyle w:val="af2"/>
        <w:rPr>
          <w:lang w:val="en-US"/>
        </w:rPr>
      </w:pPr>
    </w:p>
    <w:p w:rsidR="00E21E48" w:rsidRPr="00B46507" w:rsidRDefault="00E21E48" w:rsidP="00E21E48">
      <w:pPr>
        <w:pStyle w:val="af2"/>
        <w:rPr>
          <w:lang w:val="en-US"/>
        </w:rPr>
      </w:pPr>
      <w:r w:rsidRPr="00B46507">
        <w:rPr>
          <w:lang w:val="en-US"/>
        </w:rPr>
        <w:t>Liver disease characteristics</w:t>
      </w:r>
    </w:p>
    <w:p w:rsidR="00E21E48" w:rsidRDefault="00E21E48" w:rsidP="00E21E48">
      <w:pPr>
        <w:pStyle w:val="af1"/>
      </w:pPr>
      <w:r>
        <w:rPr>
          <w:spacing w:val="-13"/>
        </w:rPr>
        <w:t xml:space="preserve">Etiology and liver disease features in Hispanic patients </w:t>
      </w:r>
      <w:r>
        <w:rPr>
          <w:spacing w:val="-14"/>
        </w:rPr>
        <w:t xml:space="preserve">differed from African Americans and Whites. NASH cirrhosis was significantly more common in Hispanics </w:t>
      </w:r>
      <w:r>
        <w:rPr>
          <w:spacing w:val="-13"/>
        </w:rPr>
        <w:t>compared to African Americans and Whites (</w:t>
      </w:r>
      <w:r>
        <w:rPr>
          <w:i/>
          <w:iCs/>
          <w:spacing w:val="-13"/>
        </w:rPr>
        <w:t>P</w:t>
      </w:r>
      <w:r>
        <w:rPr>
          <w:spacing w:val="-13"/>
        </w:rPr>
        <w:t xml:space="preserve"> </w:t>
      </w:r>
      <w:r>
        <w:rPr>
          <w:i/>
          <w:iCs/>
          <w:spacing w:val="-13"/>
        </w:rPr>
        <w:t xml:space="preserve">&lt; </w:t>
      </w:r>
      <w:r>
        <w:rPr>
          <w:spacing w:val="-13"/>
        </w:rPr>
        <w:t xml:space="preserve">0.0001; </w:t>
      </w:r>
      <w:r>
        <w:rPr>
          <w:i/>
          <w:iCs/>
          <w:spacing w:val="-13"/>
        </w:rPr>
        <w:t>P</w:t>
      </w:r>
      <w:r>
        <w:rPr>
          <w:spacing w:val="-13"/>
        </w:rPr>
        <w:t xml:space="preserve"> = 0.026) while HCV cirrhosis was less common in Hispanics (</w:t>
      </w:r>
      <w:r>
        <w:rPr>
          <w:i/>
          <w:iCs/>
          <w:spacing w:val="-13"/>
        </w:rPr>
        <w:t>P</w:t>
      </w:r>
      <w:r>
        <w:rPr>
          <w:spacing w:val="-13"/>
        </w:rPr>
        <w:t xml:space="preserve"> &lt; 0.0001). There was a trend towards more non-viral, non-NASH cirrhosis etiologies in the Hispanic patients compared to other groups (</w:t>
      </w:r>
      <w:r>
        <w:rPr>
          <w:i/>
          <w:iCs/>
          <w:spacing w:val="-13"/>
        </w:rPr>
        <w:t>P</w:t>
      </w:r>
      <w:r>
        <w:rPr>
          <w:spacing w:val="-13"/>
        </w:rPr>
        <w:t xml:space="preserve"> = 0.056).</w:t>
      </w:r>
      <w:r>
        <w:t xml:space="preserve"> </w:t>
      </w:r>
    </w:p>
    <w:p w:rsidR="00E21E48" w:rsidRDefault="00E21E48" w:rsidP="00E21E48">
      <w:pPr>
        <w:pStyle w:val="1"/>
        <w:rPr>
          <w:spacing w:val="-11"/>
        </w:rPr>
      </w:pPr>
      <w:r>
        <w:rPr>
          <w:spacing w:val="-13"/>
        </w:rPr>
        <w:t>Hispanic patients with HCC showed more evidence of advanced liver disease. In comparison to African Americans and White, ascites was more common in Hispanics (</w:t>
      </w:r>
      <w:r>
        <w:rPr>
          <w:i/>
          <w:iCs/>
          <w:spacing w:val="-13"/>
        </w:rPr>
        <w:t>P</w:t>
      </w:r>
      <w:r>
        <w:rPr>
          <w:spacing w:val="-13"/>
        </w:rPr>
        <w:t xml:space="preserve"> = 0.006; </w:t>
      </w:r>
      <w:r>
        <w:rPr>
          <w:i/>
          <w:iCs/>
          <w:spacing w:val="-13"/>
        </w:rPr>
        <w:t>P</w:t>
      </w:r>
      <w:r>
        <w:rPr>
          <w:spacing w:val="-13"/>
        </w:rPr>
        <w:t xml:space="preserve"> = 0.042). Hispanic patients presented with higher median MELD scores (</w:t>
      </w:r>
      <w:r>
        <w:rPr>
          <w:i/>
          <w:iCs/>
          <w:spacing w:val="-13"/>
        </w:rPr>
        <w:t>P</w:t>
      </w:r>
      <w:r>
        <w:rPr>
          <w:spacing w:val="-13"/>
        </w:rPr>
        <w:t xml:space="preserve"> = </w:t>
      </w:r>
      <w:r>
        <w:rPr>
          <w:spacing w:val="-11"/>
        </w:rPr>
        <w:t>0.0159) and more hepatic encephalopathy (</w:t>
      </w:r>
      <w:r>
        <w:rPr>
          <w:i/>
          <w:iCs/>
          <w:spacing w:val="-11"/>
        </w:rPr>
        <w:t>P</w:t>
      </w:r>
      <w:r>
        <w:rPr>
          <w:spacing w:val="-11"/>
        </w:rPr>
        <w:t xml:space="preserve"> = 0.0087) than African Americans. Median AFP levels were similar among groups, although Hispanic and African Americans demonstrated more variability in AFP based on inter</w:t>
      </w:r>
      <w:r>
        <w:rPr>
          <w:spacing w:val="-11"/>
        </w:rPr>
        <w:softHyphen/>
        <w:t>quartile range, and Hispanics were more likely to have AFP &gt; 200 IU/mL in comparison to Whites (</w:t>
      </w:r>
      <w:r>
        <w:rPr>
          <w:i/>
          <w:iCs/>
          <w:spacing w:val="-11"/>
        </w:rPr>
        <w:t>P</w:t>
      </w:r>
      <w:r>
        <w:rPr>
          <w:spacing w:val="-11"/>
        </w:rPr>
        <w:t xml:space="preserve"> = 0.035). </w:t>
      </w:r>
    </w:p>
    <w:p w:rsidR="00E21E48" w:rsidRDefault="00E21E48" w:rsidP="00E21E48">
      <w:pPr>
        <w:pStyle w:val="1"/>
      </w:pPr>
      <w:r>
        <w:t xml:space="preserve">Among Hispanics, women had a lower prevalence of alcoholic cirrhosis compared to men (0% </w:t>
      </w:r>
      <w:r>
        <w:rPr>
          <w:i/>
          <w:iCs/>
        </w:rPr>
        <w:t>vs</w:t>
      </w:r>
      <w:r>
        <w:t xml:space="preserve"> 37.93%, </w:t>
      </w:r>
      <w:r>
        <w:rPr>
          <w:i/>
          <w:iCs/>
        </w:rPr>
        <w:t>P</w:t>
      </w:r>
      <w:r>
        <w:t xml:space="preserve"> = 0.0186), while the prevalence of HCV cirrhosis was similar by gender. </w:t>
      </w:r>
    </w:p>
    <w:p w:rsidR="00E21E48" w:rsidRPr="00B46507" w:rsidRDefault="00E21E48" w:rsidP="00E21E48">
      <w:pPr>
        <w:pStyle w:val="af2"/>
        <w:rPr>
          <w:lang w:val="en-US"/>
        </w:rPr>
      </w:pPr>
    </w:p>
    <w:p w:rsidR="00E21E48" w:rsidRPr="00B46507" w:rsidRDefault="00E21E48" w:rsidP="00E21E48">
      <w:pPr>
        <w:pStyle w:val="af2"/>
        <w:rPr>
          <w:lang w:val="en-US"/>
        </w:rPr>
      </w:pPr>
      <w:r w:rsidRPr="00B46507">
        <w:rPr>
          <w:lang w:val="en-US"/>
        </w:rPr>
        <w:t>Tumor parameters</w:t>
      </w:r>
    </w:p>
    <w:p w:rsidR="00E21E48" w:rsidRDefault="00E21E48" w:rsidP="00E21E48">
      <w:pPr>
        <w:pStyle w:val="af1"/>
        <w:rPr>
          <w:spacing w:val="-11"/>
        </w:rPr>
      </w:pPr>
      <w:r>
        <w:rPr>
          <w:spacing w:val="-11"/>
        </w:rPr>
        <w:t xml:space="preserve">The three groups demonstrated similar frequency of HCC diagnosis made during active surveillance, and similar tumor parameters at presentation including stage at diagnosis, tumor size, tumor differentiation, presence of portal vein invasion, and transplant eligibility </w:t>
      </w:r>
      <w:r>
        <w:rPr>
          <w:i/>
          <w:iCs/>
          <w:spacing w:val="-11"/>
        </w:rPr>
        <w:t>via</w:t>
      </w:r>
      <w:r>
        <w:rPr>
          <w:spacing w:val="-11"/>
        </w:rPr>
        <w:t xml:space="preserve"> Milan criteria at diagnosis (Table 1). </w:t>
      </w:r>
    </w:p>
    <w:p w:rsidR="00E21E48" w:rsidRPr="00B46507" w:rsidRDefault="00E21E48" w:rsidP="00E21E48">
      <w:pPr>
        <w:pStyle w:val="af2"/>
        <w:rPr>
          <w:lang w:val="en-US"/>
        </w:rPr>
      </w:pPr>
    </w:p>
    <w:p w:rsidR="00E21E48" w:rsidRPr="00B46507" w:rsidRDefault="00E21E48" w:rsidP="00E21E48">
      <w:pPr>
        <w:pStyle w:val="af2"/>
        <w:rPr>
          <w:lang w:val="en-US"/>
        </w:rPr>
      </w:pPr>
      <w:r w:rsidRPr="00B46507">
        <w:rPr>
          <w:lang w:val="en-US"/>
        </w:rPr>
        <w:t xml:space="preserve">HCC treatment patterns </w:t>
      </w:r>
    </w:p>
    <w:p w:rsidR="00E21E48" w:rsidRDefault="00E21E48" w:rsidP="00E21E48">
      <w:pPr>
        <w:pStyle w:val="af1"/>
      </w:pPr>
      <w:r>
        <w:rPr>
          <w:spacing w:val="-11"/>
        </w:rPr>
        <w:t xml:space="preserve">While median time from HCC diagnosis to time of last follow-up was similar among groups, median time from HCC diagnosis to time of first treatment was longer for African Americans in comparison to both Hispanics and Whites (median time to first line treatment; Hispanics </w:t>
      </w:r>
      <w:r>
        <w:rPr>
          <w:spacing w:val="-14"/>
        </w:rPr>
        <w:t xml:space="preserve">25.0 d (IQR 7.0-34.0 d); African Americans 39.0 d (IQR 17.0-70.0 d), Whites 32.5 d (IQR 13.0-64.0 d, </w:t>
      </w:r>
      <w:r>
        <w:rPr>
          <w:i/>
          <w:iCs/>
          <w:spacing w:val="-14"/>
        </w:rPr>
        <w:t>P</w:t>
      </w:r>
      <w:r>
        <w:rPr>
          <w:spacing w:val="-14"/>
        </w:rPr>
        <w:t xml:space="preserve"> = </w:t>
      </w:r>
      <w:r>
        <w:rPr>
          <w:spacing w:val="-11"/>
        </w:rPr>
        <w:t>0.0373).</w:t>
      </w:r>
      <w:r>
        <w:t xml:space="preserve"> </w:t>
      </w:r>
    </w:p>
    <w:p w:rsidR="00E21E48" w:rsidRDefault="00E21E48" w:rsidP="00E21E48">
      <w:pPr>
        <w:pStyle w:val="1"/>
      </w:pPr>
      <w:r>
        <w:t>As shown in Table 2, the use of loco regional therapy (chemoembolization and radiofrequency ablation) for non-metastatic HCC was similar among racial groups (</w:t>
      </w:r>
      <w:r>
        <w:rPr>
          <w:i/>
          <w:iCs/>
        </w:rPr>
        <w:t xml:space="preserve">P </w:t>
      </w:r>
      <w:r>
        <w:t xml:space="preserve">= 0.1168). The vast majority of patients (87.5%) received loco regional therapy as their initial treatment, while the remaining 12.5% of patients received other initial treatments including chemotherapy, resection, or observation. </w:t>
      </w:r>
      <w:r>
        <w:rPr>
          <w:i/>
          <w:iCs/>
        </w:rPr>
        <w:t>P</w:t>
      </w:r>
      <w:r>
        <w:t xml:space="preserve"> values are not reported for the remaining 12.5% due to small numbers of patients per individual group, by race. </w:t>
      </w:r>
    </w:p>
    <w:p w:rsidR="00E21E48" w:rsidRDefault="00E21E48" w:rsidP="00E21E48">
      <w:pPr>
        <w:pStyle w:val="1"/>
        <w:rPr>
          <w:spacing w:val="-13"/>
        </w:rPr>
      </w:pPr>
      <w:r>
        <w:rPr>
          <w:spacing w:val="-13"/>
        </w:rPr>
        <w:t xml:space="preserve">There was no difference in HCC presentation within Milan Criteria, listing for transplant, receipt of tumor exception points, or liver transplantation for patients meeting Milan Criteria among the three ethnic/racial groups (Table 3). However, once listed, African Americans were more frequently removed from the transplant list due to HCC progression and death (64.7% </w:t>
      </w:r>
      <w:r>
        <w:rPr>
          <w:i/>
          <w:iCs/>
          <w:spacing w:val="-13"/>
        </w:rPr>
        <w:t>vs</w:t>
      </w:r>
      <w:r>
        <w:rPr>
          <w:spacing w:val="-13"/>
        </w:rPr>
        <w:t xml:space="preserve"> 25.8%, </w:t>
      </w:r>
      <w:r>
        <w:rPr>
          <w:i/>
          <w:iCs/>
          <w:spacing w:val="-13"/>
        </w:rPr>
        <w:t xml:space="preserve">P </w:t>
      </w:r>
      <w:r>
        <w:rPr>
          <w:spacing w:val="-13"/>
        </w:rPr>
        <w:t xml:space="preserve">= 0.0084) and were less likely to receive liver transplantation (35.3% </w:t>
      </w:r>
      <w:r>
        <w:rPr>
          <w:i/>
          <w:iCs/>
          <w:spacing w:val="-13"/>
        </w:rPr>
        <w:t>vs</w:t>
      </w:r>
      <w:r>
        <w:rPr>
          <w:spacing w:val="-13"/>
        </w:rPr>
        <w:t xml:space="preserve"> 71%, </w:t>
      </w:r>
      <w:r>
        <w:rPr>
          <w:i/>
          <w:iCs/>
          <w:spacing w:val="-13"/>
        </w:rPr>
        <w:t xml:space="preserve">P </w:t>
      </w:r>
      <w:r>
        <w:rPr>
          <w:spacing w:val="-13"/>
        </w:rPr>
        <w:t xml:space="preserve">= 0.0165) compared to Whites. Hispanics did not differ significantly from Whites or African Americans with regard to being transplanted once listed, or removed from the list (Table 3). </w:t>
      </w:r>
    </w:p>
    <w:p w:rsidR="00E21E48" w:rsidRPr="00B46507" w:rsidRDefault="00E21E48" w:rsidP="00E21E48">
      <w:pPr>
        <w:pStyle w:val="af2"/>
        <w:rPr>
          <w:lang w:val="en-US"/>
        </w:rPr>
      </w:pPr>
    </w:p>
    <w:p w:rsidR="00E21E48" w:rsidRPr="00B46507" w:rsidRDefault="00E21E48" w:rsidP="00E21E48">
      <w:pPr>
        <w:pStyle w:val="af2"/>
        <w:rPr>
          <w:lang w:val="en-US"/>
        </w:rPr>
      </w:pPr>
      <w:r w:rsidRPr="00B46507">
        <w:rPr>
          <w:lang w:val="en-US"/>
        </w:rPr>
        <w:t>Overall survival</w:t>
      </w:r>
    </w:p>
    <w:p w:rsidR="00E21E48" w:rsidRDefault="00E21E48" w:rsidP="00E21E48">
      <w:pPr>
        <w:pStyle w:val="af1"/>
      </w:pPr>
      <w:r>
        <w:rPr>
          <w:spacing w:val="-11"/>
        </w:rPr>
        <w:t xml:space="preserve">Forty-nine of the 195 patients died from all causes during </w:t>
      </w:r>
      <w:r>
        <w:rPr>
          <w:spacing w:val="-13"/>
        </w:rPr>
        <w:t xml:space="preserve">the study period (Hispanic </w:t>
      </w:r>
      <w:r>
        <w:rPr>
          <w:i/>
          <w:iCs/>
          <w:spacing w:val="-13"/>
        </w:rPr>
        <w:t xml:space="preserve">n </w:t>
      </w:r>
      <w:r>
        <w:rPr>
          <w:spacing w:val="-13"/>
        </w:rPr>
        <w:t xml:space="preserve">= 9; African American </w:t>
      </w:r>
      <w:r>
        <w:rPr>
          <w:i/>
          <w:iCs/>
          <w:spacing w:val="-13"/>
        </w:rPr>
        <w:t xml:space="preserve">n </w:t>
      </w:r>
      <w:r>
        <w:rPr>
          <w:spacing w:val="-13"/>
        </w:rPr>
        <w:t xml:space="preserve">=15; Whites </w:t>
      </w:r>
      <w:r>
        <w:rPr>
          <w:i/>
          <w:iCs/>
          <w:spacing w:val="-13"/>
        </w:rPr>
        <w:t xml:space="preserve">n </w:t>
      </w:r>
      <w:r>
        <w:rPr>
          <w:spacing w:val="-13"/>
        </w:rPr>
        <w:t xml:space="preserve">= 25). The median follow-up for the entire cohort was 563 d and was similar among racial groups. In a </w:t>
      </w:r>
      <w:r>
        <w:rPr>
          <w:spacing w:val="-13"/>
        </w:rPr>
        <w:lastRenderedPageBreak/>
        <w:t xml:space="preserve">multivariable analysis examining </w:t>
      </w:r>
      <w:r>
        <w:rPr>
          <w:spacing w:val="-11"/>
        </w:rPr>
        <w:t>possible confounders, three variables were identified as independently related to survival including HCV, metabolic syndrome, and race. However, when all three variables were entered in a stepwise fashion for model building, only race was found to be predictive of survival.</w:t>
      </w:r>
    </w:p>
    <w:p w:rsidR="00E21E48" w:rsidRDefault="00E21E48" w:rsidP="00E21E48">
      <w:pPr>
        <w:pStyle w:val="1"/>
        <w:rPr>
          <w:spacing w:val="-11"/>
        </w:rPr>
      </w:pPr>
      <w:r>
        <w:rPr>
          <w:spacing w:val="-11"/>
        </w:rPr>
        <w:t xml:space="preserve">Hispanic patients appeared to have poorer survival compared to both African American and Whites (log-rank test for overall differences by race: </w:t>
      </w:r>
      <w:r>
        <w:rPr>
          <w:i/>
          <w:iCs/>
          <w:spacing w:val="-11"/>
        </w:rPr>
        <w:t xml:space="preserve">P </w:t>
      </w:r>
      <w:r>
        <w:rPr>
          <w:spacing w:val="-11"/>
        </w:rPr>
        <w:t>= 0.0220) (Figure 1).</w:t>
      </w:r>
      <w:r>
        <w:rPr>
          <w:i/>
          <w:iCs/>
          <w:spacing w:val="-11"/>
        </w:rPr>
        <w:t xml:space="preserve"> </w:t>
      </w:r>
      <w:r>
        <w:rPr>
          <w:spacing w:val="-11"/>
        </w:rPr>
        <w:t>The hazard ratio for death was 1.52 (95%CI: 0.354, 1.223), for Hispanics in comparison to African Americans and 1.36 (95%CI: 0.739-2.511), for Hispanic in comparison to Whites. After excluding patients who underwent liver transplantation, a second multivariable model adjusting for the factors mentioned above con</w:t>
      </w:r>
      <w:r>
        <w:rPr>
          <w:spacing w:val="-11"/>
        </w:rPr>
        <w:softHyphen/>
        <w:t>firmed that Hispanics</w:t>
      </w:r>
      <w:r>
        <w:rPr>
          <w:i/>
          <w:iCs/>
          <w:spacing w:val="-11"/>
        </w:rPr>
        <w:t xml:space="preserve"> </w:t>
      </w:r>
      <w:r>
        <w:rPr>
          <w:spacing w:val="-11"/>
        </w:rPr>
        <w:t xml:space="preserve">with HCC had the highest mortality rate (log-rank test for overall differences by race: </w:t>
      </w:r>
      <w:r>
        <w:rPr>
          <w:i/>
          <w:iCs/>
          <w:spacing w:val="-11"/>
        </w:rPr>
        <w:t xml:space="preserve">P </w:t>
      </w:r>
      <w:r>
        <w:rPr>
          <w:spacing w:val="-11"/>
        </w:rPr>
        <w:t>= 0.0029) (Figure 2).</w:t>
      </w:r>
      <w:r>
        <w:rPr>
          <w:i/>
          <w:iCs/>
          <w:spacing w:val="-11"/>
        </w:rPr>
        <w:t xml:space="preserve"> </w:t>
      </w:r>
      <w:r>
        <w:rPr>
          <w:spacing w:val="-11"/>
        </w:rPr>
        <w:t>Cause of death was similar for all groups for cases in which the cause of death could be discerned (Figure 3), with similar frequency of death due to HCC (</w:t>
      </w:r>
      <w:r>
        <w:rPr>
          <w:i/>
          <w:iCs/>
          <w:spacing w:val="-11"/>
        </w:rPr>
        <w:t>n</w:t>
      </w:r>
      <w:r>
        <w:rPr>
          <w:spacing w:val="-11"/>
        </w:rPr>
        <w:t xml:space="preserve"> = 11) </w:t>
      </w:r>
      <w:r>
        <w:rPr>
          <w:i/>
          <w:iCs/>
          <w:spacing w:val="-11"/>
        </w:rPr>
        <w:t>vs</w:t>
      </w:r>
      <w:r>
        <w:rPr>
          <w:spacing w:val="-11"/>
        </w:rPr>
        <w:t xml:space="preserve"> liver cirrhosis (</w:t>
      </w:r>
      <w:r>
        <w:rPr>
          <w:i/>
          <w:iCs/>
          <w:spacing w:val="-11"/>
        </w:rPr>
        <w:t>n</w:t>
      </w:r>
      <w:r>
        <w:rPr>
          <w:spacing w:val="-11"/>
        </w:rPr>
        <w:t xml:space="preserve"> = 19) </w:t>
      </w:r>
      <w:r>
        <w:rPr>
          <w:i/>
          <w:iCs/>
          <w:spacing w:val="-11"/>
        </w:rPr>
        <w:t>vs</w:t>
      </w:r>
      <w:r>
        <w:rPr>
          <w:spacing w:val="-11"/>
        </w:rPr>
        <w:t xml:space="preserve"> other (</w:t>
      </w:r>
      <w:r>
        <w:rPr>
          <w:i/>
          <w:iCs/>
          <w:spacing w:val="-11"/>
        </w:rPr>
        <w:t xml:space="preserve">n </w:t>
      </w:r>
      <w:r>
        <w:rPr>
          <w:spacing w:val="-11"/>
        </w:rPr>
        <w:t xml:space="preserve">= 11) in Hispanics, African Americans, and Whites. </w:t>
      </w:r>
    </w:p>
    <w:p w:rsidR="00E21E48" w:rsidRPr="00B46507" w:rsidRDefault="00E21E48" w:rsidP="00E21E48">
      <w:pPr>
        <w:pStyle w:val="af0"/>
        <w:rPr>
          <w:lang w:val="en-US"/>
        </w:rPr>
      </w:pPr>
    </w:p>
    <w:p w:rsidR="00E21E48" w:rsidRPr="00B46507" w:rsidRDefault="00E21E48" w:rsidP="00E21E48">
      <w:pPr>
        <w:pStyle w:val="af0"/>
        <w:rPr>
          <w:u w:val="single"/>
          <w:lang w:val="en-US"/>
        </w:rPr>
      </w:pPr>
      <w:r w:rsidRPr="00B46507">
        <w:rPr>
          <w:u w:val="single"/>
          <w:lang w:val="en-US"/>
        </w:rPr>
        <w:t>DISCUSSION</w:t>
      </w:r>
    </w:p>
    <w:p w:rsidR="00E21E48" w:rsidRDefault="00E21E48" w:rsidP="00E21E48">
      <w:pPr>
        <w:pStyle w:val="af1"/>
      </w:pPr>
      <w:r>
        <w:rPr>
          <w:spacing w:val="-11"/>
        </w:rPr>
        <w:t xml:space="preserve">Hispanics with HCC had significantly shorter survival in comparison to both African American and Whites, with race as the only independent predictor of survival in multivariable analysis. This observation is consistent with previous studies showing that Hispanic ethnicity was an independent risk factor for HCC-related mortality, with shorter 5 year </w:t>
      </w:r>
      <w:proofErr w:type="gramStart"/>
      <w:r>
        <w:rPr>
          <w:spacing w:val="-11"/>
        </w:rPr>
        <w:t>survival</w:t>
      </w:r>
      <w:r>
        <w:rPr>
          <w:spacing w:val="-11"/>
          <w:vertAlign w:val="superscript"/>
        </w:rPr>
        <w:t>[</w:t>
      </w:r>
      <w:proofErr w:type="gramEnd"/>
      <w:r>
        <w:rPr>
          <w:spacing w:val="-11"/>
          <w:vertAlign w:val="superscript"/>
        </w:rPr>
        <w:t>9,10]</w:t>
      </w:r>
      <w:r>
        <w:rPr>
          <w:spacing w:val="-11"/>
        </w:rPr>
        <w:t xml:space="preserve"> in Hispanic patients with HCC compared to White and Asian counterparts, and higher mortality rates in Hispanics aged 50-64</w:t>
      </w:r>
      <w:r>
        <w:rPr>
          <w:spacing w:val="-11"/>
          <w:vertAlign w:val="superscript"/>
        </w:rPr>
        <w:t>[15]</w:t>
      </w:r>
      <w:r>
        <w:rPr>
          <w:spacing w:val="-11"/>
        </w:rPr>
        <w:t>.</w:t>
      </w:r>
      <w:r>
        <w:t xml:space="preserve"> </w:t>
      </w:r>
    </w:p>
    <w:p w:rsidR="00E21E48" w:rsidRDefault="00E21E48" w:rsidP="00E21E48">
      <w:pPr>
        <w:pStyle w:val="1"/>
        <w:rPr>
          <w:spacing w:val="-11"/>
        </w:rPr>
      </w:pPr>
      <w:r>
        <w:rPr>
          <w:spacing w:val="-11"/>
        </w:rPr>
        <w:t xml:space="preserve">A substantive body of prior research has shown that health disparities, barriers to care, socioeconomic characteristics, and later diagnosis of more advanced malignancy impact on survival in minority </w:t>
      </w:r>
      <w:proofErr w:type="gramStart"/>
      <w:r>
        <w:rPr>
          <w:spacing w:val="-11"/>
        </w:rPr>
        <w:t>groups</w:t>
      </w:r>
      <w:r>
        <w:rPr>
          <w:spacing w:val="-11"/>
          <w:vertAlign w:val="superscript"/>
        </w:rPr>
        <w:t>[</w:t>
      </w:r>
      <w:proofErr w:type="gramEnd"/>
      <w:r>
        <w:rPr>
          <w:spacing w:val="-11"/>
          <w:vertAlign w:val="superscript"/>
        </w:rPr>
        <w:t>16-18]</w:t>
      </w:r>
      <w:r>
        <w:rPr>
          <w:spacing w:val="-11"/>
        </w:rPr>
        <w:t xml:space="preserve">. An important contribution of the current study was that we found no evidence that reduced survival in Hispanics with HCC was related to differences in access to care; groups were similar with regard to insurance status, age at diagnosis, HCC diagnoses made during active surveillance, and tumor parameters at presentation including stage and tumor grade at diagnosis. </w:t>
      </w:r>
    </w:p>
    <w:p w:rsidR="00E21E48" w:rsidRDefault="00E21E48" w:rsidP="00E21E48">
      <w:pPr>
        <w:pStyle w:val="1"/>
        <w:rPr>
          <w:b/>
          <w:bCs/>
          <w:spacing w:val="-13"/>
        </w:rPr>
      </w:pPr>
      <w:r>
        <w:rPr>
          <w:spacing w:val="-13"/>
        </w:rPr>
        <w:t>Little is known about features of patients with HCC that might contribute to disparate outcomes by race. Data from the current study shows important and intriguing differences in HCC presentation and disease characteristics for Hispanics. Characteristics that distinguished Hispanic patients included significantly higher rates of comorbidities and modifiable risk factors for liver disease such as dia</w:t>
      </w:r>
      <w:r>
        <w:rPr>
          <w:spacing w:val="-13"/>
        </w:rPr>
        <w:softHyphen/>
        <w:t xml:space="preserve">betes, hyperlipidemia, metabolic syndrome, as well as a greater prevalence of NASH and ESRD. Hispanics also had evidence of more advanced liver disease with higher rates of ascites than African Americans and Whites and higher MELD scores and more hepatic encephalopathy than African Americans. </w:t>
      </w:r>
    </w:p>
    <w:p w:rsidR="00E21E48" w:rsidRDefault="00E21E48" w:rsidP="00E21E48">
      <w:pPr>
        <w:pStyle w:val="1"/>
      </w:pPr>
      <w:r>
        <w:rPr>
          <w:spacing w:val="-11"/>
        </w:rPr>
        <w:t xml:space="preserve">The clinical correlates of HCC in Hispanics provide a context to consider potential causes for the shorter overall survival in Hispanics. Patients with HCC are at risk for complications and mortality from cirrhosis, HCC, and other comorbidities. Consistent with prior studies, we found that Hispanic patients had higher rates of comorbidities including metabolic </w:t>
      </w:r>
      <w:proofErr w:type="gramStart"/>
      <w:r>
        <w:rPr>
          <w:spacing w:val="-11"/>
        </w:rPr>
        <w:t>syndrome</w:t>
      </w:r>
      <w:r>
        <w:rPr>
          <w:spacing w:val="-11"/>
          <w:vertAlign w:val="superscript"/>
        </w:rPr>
        <w:t>[</w:t>
      </w:r>
      <w:proofErr w:type="gramEnd"/>
      <w:r>
        <w:rPr>
          <w:spacing w:val="-11"/>
          <w:vertAlign w:val="superscript"/>
        </w:rPr>
        <w:t>19,20]</w:t>
      </w:r>
      <w:r>
        <w:rPr>
          <w:spacing w:val="-11"/>
        </w:rPr>
        <w:t xml:space="preserve"> and ESRD</w:t>
      </w:r>
      <w:r>
        <w:rPr>
          <w:spacing w:val="-11"/>
          <w:vertAlign w:val="superscript"/>
        </w:rPr>
        <w:t>[21-23]</w:t>
      </w:r>
      <w:r>
        <w:rPr>
          <w:spacing w:val="-11"/>
        </w:rPr>
        <w:t xml:space="preserve">. Our data builds on existing literature by showing that these differences persist in patients with HCC. Moreover, metabolic disease might contribute to the development of HCC and to poorer outcomes in Hispanics. There is increasing evidence that diabetes and obesity are individually associated with significant risk of HCC </w:t>
      </w:r>
      <w:proofErr w:type="gramStart"/>
      <w:r>
        <w:rPr>
          <w:spacing w:val="-11"/>
        </w:rPr>
        <w:t>development</w:t>
      </w:r>
      <w:r>
        <w:rPr>
          <w:spacing w:val="-11"/>
          <w:vertAlign w:val="superscript"/>
        </w:rPr>
        <w:t>[</w:t>
      </w:r>
      <w:proofErr w:type="gramEnd"/>
      <w:r>
        <w:rPr>
          <w:spacing w:val="-11"/>
          <w:vertAlign w:val="superscript"/>
        </w:rPr>
        <w:t>24-26]</w:t>
      </w:r>
      <w:r>
        <w:rPr>
          <w:spacing w:val="-11"/>
        </w:rPr>
        <w:t>, and Hispanics appear to demonstrate a stronger association between diabetes and HCC compared to non-Hispanics</w:t>
      </w:r>
      <w:r>
        <w:rPr>
          <w:spacing w:val="-11"/>
          <w:vertAlign w:val="superscript"/>
        </w:rPr>
        <w:t>[27]</w:t>
      </w:r>
      <w:r>
        <w:rPr>
          <w:spacing w:val="-11"/>
        </w:rPr>
        <w:t xml:space="preserve">. A longitudinal study reported that diabetic Hispanics had a 3.3 × higher risk of HCC development compared to non-diabetic Hispanics, and that there was a 2.17 × higher risk of </w:t>
      </w:r>
      <w:r>
        <w:rPr>
          <w:spacing w:val="-11"/>
        </w:rPr>
        <w:lastRenderedPageBreak/>
        <w:t>HCC for diabetic non-Hispanics compared to non-diabetic counterparts</w:t>
      </w:r>
      <w:r>
        <w:rPr>
          <w:spacing w:val="-11"/>
          <w:vertAlign w:val="superscript"/>
        </w:rPr>
        <w:t>[28]</w:t>
      </w:r>
      <w:r>
        <w:rPr>
          <w:spacing w:val="-11"/>
        </w:rPr>
        <w:t>.</w:t>
      </w:r>
      <w:r>
        <w:t xml:space="preserve"> </w:t>
      </w:r>
    </w:p>
    <w:p w:rsidR="00E21E48" w:rsidRDefault="00E21E48" w:rsidP="00E21E48">
      <w:pPr>
        <w:pStyle w:val="1"/>
        <w:rPr>
          <w:spacing w:val="-11"/>
        </w:rPr>
      </w:pPr>
      <w:r>
        <w:rPr>
          <w:spacing w:val="-11"/>
        </w:rPr>
        <w:t>In addition to higher rate of comorbidities and mo</w:t>
      </w:r>
      <w:r>
        <w:rPr>
          <w:spacing w:val="-11"/>
        </w:rPr>
        <w:softHyphen/>
        <w:t>difiable risk factors, Hispanics had more complications of portal hypertension and compared to African Americans had higher MELD scores at presentation, indicating more advanced liver disease. This is consistent with national data reporting a higher prevalence of chronic liver disease, more advanced disease features at pre</w:t>
      </w:r>
      <w:r>
        <w:rPr>
          <w:spacing w:val="-11"/>
        </w:rPr>
        <w:softHyphen/>
        <w:t xml:space="preserve">sentation, and higher liver disease related mortality in </w:t>
      </w:r>
      <w:proofErr w:type="gramStart"/>
      <w:r>
        <w:rPr>
          <w:spacing w:val="-11"/>
        </w:rPr>
        <w:t>Hispanics</w:t>
      </w:r>
      <w:r>
        <w:rPr>
          <w:spacing w:val="-11"/>
          <w:vertAlign w:val="superscript"/>
        </w:rPr>
        <w:t>[</w:t>
      </w:r>
      <w:proofErr w:type="gramEnd"/>
      <w:r>
        <w:rPr>
          <w:spacing w:val="-11"/>
          <w:vertAlign w:val="superscript"/>
        </w:rPr>
        <w:t>29-31]</w:t>
      </w:r>
      <w:r>
        <w:rPr>
          <w:spacing w:val="-11"/>
        </w:rPr>
        <w:t>. Although chronic liver disease is the 6</w:t>
      </w:r>
      <w:r>
        <w:rPr>
          <w:spacing w:val="-11"/>
          <w:vertAlign w:val="superscript"/>
        </w:rPr>
        <w:t>th</w:t>
      </w:r>
      <w:r>
        <w:rPr>
          <w:spacing w:val="-11"/>
        </w:rPr>
        <w:t xml:space="preserve"> most common cause of death in Hispanic populations in 2010 per the United States National Center for Health Statistics data, it is not within the top ten causes of death for African American or White populations. Mortality rates from chronic liver disease are almost 50% higher </w:t>
      </w:r>
      <w:r>
        <w:rPr>
          <w:spacing w:val="-13"/>
        </w:rPr>
        <w:t>in Hispanics than non-</w:t>
      </w:r>
      <w:proofErr w:type="gramStart"/>
      <w:r>
        <w:rPr>
          <w:spacing w:val="-13"/>
        </w:rPr>
        <w:t>Hispanics</w:t>
      </w:r>
      <w:r>
        <w:rPr>
          <w:spacing w:val="-13"/>
          <w:vertAlign w:val="superscript"/>
        </w:rPr>
        <w:t>[</w:t>
      </w:r>
      <w:proofErr w:type="gramEnd"/>
      <w:r>
        <w:rPr>
          <w:spacing w:val="-13"/>
          <w:vertAlign w:val="superscript"/>
        </w:rPr>
        <w:t>32]</w:t>
      </w:r>
      <w:r>
        <w:rPr>
          <w:spacing w:val="-13"/>
        </w:rPr>
        <w:t>. One potential explana</w:t>
      </w:r>
      <w:r>
        <w:rPr>
          <w:spacing w:val="-13"/>
        </w:rPr>
        <w:softHyphen/>
        <w:t xml:space="preserve">tion may be that increased comorbidities in </w:t>
      </w:r>
      <w:r>
        <w:rPr>
          <w:spacing w:val="-11"/>
        </w:rPr>
        <w:t>Hispanics could contribute to higher chronic liver disease mortality. Recent SEER data found parallel mortality trends for diabetes, chronic liver disease, and HCC by state; states with high HCC mortality also demonstrated elevated mortality rates for diabetes and liver disease, including cirrhosis</w:t>
      </w:r>
      <w:r>
        <w:rPr>
          <w:spacing w:val="-11"/>
          <w:vertAlign w:val="superscript"/>
        </w:rPr>
        <w:t>[15]</w:t>
      </w:r>
      <w:r>
        <w:rPr>
          <w:spacing w:val="-11"/>
        </w:rPr>
        <w:t xml:space="preserve">. Racial/ethnic biologic differences in cirrhosis pathogenesis might also contribute; Hispanics with HCV appear at significantly higher risk for cirrhosis and HCC development compared to non-Hispanic Whites and African Americas, independently of BMI, diabetes, HCV treatment and </w:t>
      </w:r>
      <w:proofErr w:type="gramStart"/>
      <w:r>
        <w:rPr>
          <w:spacing w:val="-11"/>
        </w:rPr>
        <w:t>genotype</w:t>
      </w:r>
      <w:r>
        <w:rPr>
          <w:spacing w:val="-11"/>
          <w:vertAlign w:val="superscript"/>
        </w:rPr>
        <w:t>[</w:t>
      </w:r>
      <w:proofErr w:type="gramEnd"/>
      <w:r>
        <w:rPr>
          <w:spacing w:val="-11"/>
          <w:vertAlign w:val="superscript"/>
        </w:rPr>
        <w:t>33]</w:t>
      </w:r>
      <w:r>
        <w:rPr>
          <w:spacing w:val="-11"/>
        </w:rPr>
        <w:t xml:space="preserve">. Additionally, Hispanics with HCV cirrhosis showed lower median time to cirrhosis at a younger </w:t>
      </w:r>
      <w:proofErr w:type="gramStart"/>
      <w:r>
        <w:rPr>
          <w:spacing w:val="-11"/>
        </w:rPr>
        <w:t>age</w:t>
      </w:r>
      <w:r>
        <w:rPr>
          <w:spacing w:val="-11"/>
          <w:vertAlign w:val="superscript"/>
        </w:rPr>
        <w:t>[</w:t>
      </w:r>
      <w:proofErr w:type="gramEnd"/>
      <w:r>
        <w:rPr>
          <w:spacing w:val="-11"/>
          <w:vertAlign w:val="superscript"/>
        </w:rPr>
        <w:t>34]</w:t>
      </w:r>
      <w:r>
        <w:rPr>
          <w:spacing w:val="-11"/>
        </w:rPr>
        <w:t>, and higher rates of cirrhosis mortality for Hispanics in both the United States and Mexico</w:t>
      </w:r>
      <w:r>
        <w:rPr>
          <w:spacing w:val="-11"/>
          <w:vertAlign w:val="superscript"/>
        </w:rPr>
        <w:t>[29-31]</w:t>
      </w:r>
      <w:r>
        <w:rPr>
          <w:spacing w:val="-11"/>
        </w:rPr>
        <w:t xml:space="preserve">. The finding of higher rates of ESRD in Hispanics in the current study is consistent with prior literature reporting higher incidence of ESRD in Hispanics than non-Hispanics, and a higher risk of kidney failure despite similar prevalence of stage 3 and 4 chronic kidney </w:t>
      </w:r>
      <w:proofErr w:type="gramStart"/>
      <w:r>
        <w:rPr>
          <w:spacing w:val="-11"/>
        </w:rPr>
        <w:t>disease</w:t>
      </w:r>
      <w:r>
        <w:rPr>
          <w:spacing w:val="-11"/>
          <w:vertAlign w:val="superscript"/>
        </w:rPr>
        <w:t>[</w:t>
      </w:r>
      <w:proofErr w:type="gramEnd"/>
      <w:r>
        <w:rPr>
          <w:spacing w:val="-11"/>
          <w:vertAlign w:val="superscript"/>
        </w:rPr>
        <w:t>22,23,35,36]</w:t>
      </w:r>
      <w:r>
        <w:rPr>
          <w:spacing w:val="-11"/>
        </w:rPr>
        <w:t xml:space="preserve">. Renal failure is associated with increased risk of mortality in patients with </w:t>
      </w:r>
      <w:proofErr w:type="gramStart"/>
      <w:r>
        <w:rPr>
          <w:spacing w:val="-11"/>
        </w:rPr>
        <w:t>cirrhosis</w:t>
      </w:r>
      <w:r>
        <w:rPr>
          <w:spacing w:val="-11"/>
          <w:vertAlign w:val="superscript"/>
        </w:rPr>
        <w:t>[</w:t>
      </w:r>
      <w:proofErr w:type="gramEnd"/>
      <w:r>
        <w:rPr>
          <w:spacing w:val="-11"/>
          <w:vertAlign w:val="superscript"/>
        </w:rPr>
        <w:t>37]</w:t>
      </w:r>
      <w:r>
        <w:rPr>
          <w:spacing w:val="-11"/>
        </w:rPr>
        <w:t>. It is intriguing that Hispanics carry a disproportionate burden of ESRD and cirrhosis severity and incidence, although ESRD did not inde</w:t>
      </w:r>
      <w:r>
        <w:rPr>
          <w:spacing w:val="-11"/>
        </w:rPr>
        <w:softHyphen/>
        <w:t xml:space="preserve">pendently predict shorter survival in our study. </w:t>
      </w:r>
    </w:p>
    <w:p w:rsidR="00E21E48" w:rsidRDefault="00E21E48" w:rsidP="00E21E48">
      <w:pPr>
        <w:pStyle w:val="1"/>
        <w:rPr>
          <w:spacing w:val="-11"/>
        </w:rPr>
      </w:pPr>
      <w:r>
        <w:rPr>
          <w:spacing w:val="-11"/>
        </w:rPr>
        <w:t xml:space="preserve">Nonalcoholic fatty liver disease (NAFLD) is the most common cause of chronic liver disease in the United </w:t>
      </w:r>
      <w:proofErr w:type="gramStart"/>
      <w:r>
        <w:rPr>
          <w:spacing w:val="-11"/>
        </w:rPr>
        <w:t>States</w:t>
      </w:r>
      <w:r>
        <w:rPr>
          <w:spacing w:val="-11"/>
          <w:vertAlign w:val="superscript"/>
        </w:rPr>
        <w:t>[</w:t>
      </w:r>
      <w:proofErr w:type="gramEnd"/>
      <w:r>
        <w:rPr>
          <w:spacing w:val="-11"/>
          <w:vertAlign w:val="superscript"/>
        </w:rPr>
        <w:t>38-40]</w:t>
      </w:r>
      <w:r>
        <w:rPr>
          <w:spacing w:val="-11"/>
        </w:rPr>
        <w:t xml:space="preserve"> and is increasingly being recognized as an important cause of cirrhosis and HCC</w:t>
      </w:r>
      <w:r>
        <w:rPr>
          <w:spacing w:val="-11"/>
          <w:vertAlign w:val="superscript"/>
        </w:rPr>
        <w:t>[41]</w:t>
      </w:r>
      <w:r>
        <w:rPr>
          <w:spacing w:val="-11"/>
        </w:rPr>
        <w:t xml:space="preserve"> with higher prevalence in Hispanics compared to non-Hispanic</w:t>
      </w:r>
      <w:r>
        <w:rPr>
          <w:spacing w:val="-11"/>
          <w:vertAlign w:val="superscript"/>
        </w:rPr>
        <w:t>[42]</w:t>
      </w:r>
      <w:r>
        <w:rPr>
          <w:spacing w:val="-11"/>
        </w:rPr>
        <w:t xml:space="preserve">. Recent data also suggest NAFLD’s role in </w:t>
      </w:r>
      <w:proofErr w:type="spellStart"/>
      <w:r>
        <w:rPr>
          <w:spacing w:val="-11"/>
        </w:rPr>
        <w:t>hepatocar</w:t>
      </w:r>
      <w:r>
        <w:rPr>
          <w:spacing w:val="-11"/>
        </w:rPr>
        <w:softHyphen/>
        <w:t>cinogenesis</w:t>
      </w:r>
      <w:proofErr w:type="spellEnd"/>
      <w:r>
        <w:rPr>
          <w:spacing w:val="-11"/>
        </w:rPr>
        <w:t xml:space="preserve"> in the absence of </w:t>
      </w:r>
      <w:proofErr w:type="gramStart"/>
      <w:r>
        <w:rPr>
          <w:spacing w:val="-11"/>
        </w:rPr>
        <w:t>cirrhosis</w:t>
      </w:r>
      <w:r>
        <w:rPr>
          <w:spacing w:val="-11"/>
          <w:vertAlign w:val="superscript"/>
        </w:rPr>
        <w:t>[</w:t>
      </w:r>
      <w:proofErr w:type="gramEnd"/>
      <w:r>
        <w:rPr>
          <w:spacing w:val="-11"/>
          <w:vertAlign w:val="superscript"/>
        </w:rPr>
        <w:t>40]</w:t>
      </w:r>
      <w:r>
        <w:rPr>
          <w:spacing w:val="-11"/>
        </w:rPr>
        <w:t>. NASH com</w:t>
      </w:r>
      <w:r>
        <w:rPr>
          <w:spacing w:val="-11"/>
        </w:rPr>
        <w:softHyphen/>
        <w:t xml:space="preserve">prises a subgroup of NAFLD with hepatocyte injury and inflammation, and is considered to be the hepatic manifestation of the metabolic syndrome. In the current series, NASH was the second leading cause of liver disease in Hispanics with HCC, accounting for 34% of cases. Consistent with prior studies, we found Hispanics demonstrated notable differences in cirrhosis etiologies compared to non-Hispanics, including higher rates of </w:t>
      </w:r>
      <w:proofErr w:type="gramStart"/>
      <w:r>
        <w:rPr>
          <w:spacing w:val="-11"/>
        </w:rPr>
        <w:t>NASH</w:t>
      </w:r>
      <w:r>
        <w:rPr>
          <w:spacing w:val="-11"/>
          <w:vertAlign w:val="superscript"/>
        </w:rPr>
        <w:t>[</w:t>
      </w:r>
      <w:proofErr w:type="gramEnd"/>
      <w:r>
        <w:rPr>
          <w:spacing w:val="-11"/>
          <w:vertAlign w:val="superscript"/>
        </w:rPr>
        <w:t>43,44]</w:t>
      </w:r>
      <w:r>
        <w:rPr>
          <w:spacing w:val="-11"/>
        </w:rPr>
        <w:t xml:space="preserve"> and autoimmune cirrhosis</w:t>
      </w:r>
      <w:r>
        <w:rPr>
          <w:spacing w:val="-11"/>
          <w:vertAlign w:val="superscript"/>
        </w:rPr>
        <w:t>[45]</w:t>
      </w:r>
      <w:r>
        <w:rPr>
          <w:spacing w:val="-11"/>
        </w:rPr>
        <w:t>, and lower incidence of HCV cirrhosis</w:t>
      </w:r>
      <w:r>
        <w:rPr>
          <w:spacing w:val="-11"/>
          <w:vertAlign w:val="superscript"/>
        </w:rPr>
        <w:t>[46]</w:t>
      </w:r>
      <w:r>
        <w:rPr>
          <w:spacing w:val="-11"/>
        </w:rPr>
        <w:t xml:space="preserve">. Additionally, we observed that NASH was particularly prevalent in Hispanic women compared to Hispanic men (72.7% </w:t>
      </w:r>
      <w:r>
        <w:rPr>
          <w:i/>
          <w:iCs/>
          <w:spacing w:val="-11"/>
        </w:rPr>
        <w:t>vs</w:t>
      </w:r>
      <w:r>
        <w:rPr>
          <w:spacing w:val="-11"/>
        </w:rPr>
        <w:t xml:space="preserve"> 21.9%). Although the risk of HCC development in NAFLD is lower than with </w:t>
      </w:r>
      <w:proofErr w:type="gramStart"/>
      <w:r>
        <w:rPr>
          <w:spacing w:val="-11"/>
        </w:rPr>
        <w:t>HCV</w:t>
      </w:r>
      <w:r>
        <w:rPr>
          <w:spacing w:val="-11"/>
          <w:vertAlign w:val="superscript"/>
        </w:rPr>
        <w:t>[</w:t>
      </w:r>
      <w:proofErr w:type="gramEnd"/>
      <w:r>
        <w:rPr>
          <w:spacing w:val="-11"/>
          <w:vertAlign w:val="superscript"/>
        </w:rPr>
        <w:t>47]</w:t>
      </w:r>
      <w:r>
        <w:rPr>
          <w:spacing w:val="-11"/>
        </w:rPr>
        <w:t xml:space="preserve">, NASH is poised to become the primary etiology for cirrhosis and HCC in developed countries over the next decade. One new observation from our study is that Hispanics and Whites with HCC had similar rates of diabetes and metabolic syndrome, although Hispanics had more NASH cirrhosis and hypertriglyceridemia. This suggests that Hispanics may have differences in NAFLD progression, NASH </w:t>
      </w:r>
      <w:r>
        <w:rPr>
          <w:spacing w:val="-13"/>
        </w:rPr>
        <w:t>patho</w:t>
      </w:r>
      <w:r>
        <w:rPr>
          <w:spacing w:val="-13"/>
        </w:rPr>
        <w:softHyphen/>
        <w:t xml:space="preserve">genesis and a greater susceptibility towards cirrhosis. A role for biologic differences in cirrhosis pathogenesis and </w:t>
      </w:r>
      <w:proofErr w:type="spellStart"/>
      <w:r>
        <w:rPr>
          <w:spacing w:val="-13"/>
        </w:rPr>
        <w:t>hepatocarcinogenesis</w:t>
      </w:r>
      <w:proofErr w:type="spellEnd"/>
      <w:r>
        <w:rPr>
          <w:spacing w:val="-13"/>
        </w:rPr>
        <w:t xml:space="preserve"> unique to Hispanics has been suggested by prior studies </w:t>
      </w:r>
      <w:r>
        <w:rPr>
          <w:spacing w:val="-11"/>
        </w:rPr>
        <w:t>demonstrating that Hispanic patients with NASH, NAFLD, and hepatitis C</w:t>
      </w:r>
      <w:r>
        <w:rPr>
          <w:spacing w:val="-11"/>
          <w:vertAlign w:val="superscript"/>
        </w:rPr>
        <w:t>[48]</w:t>
      </w:r>
      <w:r>
        <w:rPr>
          <w:spacing w:val="-11"/>
        </w:rPr>
        <w:t xml:space="preserve"> demonstrate more fibrosis and higher rate of aminotran</w:t>
      </w:r>
      <w:r>
        <w:rPr>
          <w:spacing w:val="-11"/>
        </w:rPr>
        <w:softHyphen/>
        <w:t>sferase abnormalities in comparison to other ethnic groups</w:t>
      </w:r>
      <w:r>
        <w:rPr>
          <w:spacing w:val="-11"/>
          <w:vertAlign w:val="superscript"/>
        </w:rPr>
        <w:t>[49,50]</w:t>
      </w:r>
      <w:r>
        <w:rPr>
          <w:spacing w:val="-11"/>
        </w:rPr>
        <w:t xml:space="preserve">. The high prevalence of metabolic disease and NASH in Hispanics with HCC has a critically important implication. Early identification of Hispanics with risk factors for NASH and intervention to </w:t>
      </w:r>
      <w:r>
        <w:rPr>
          <w:spacing w:val="-11"/>
        </w:rPr>
        <w:lastRenderedPageBreak/>
        <w:t xml:space="preserve">modify metabolic risk factors could have a major impact on reducing the development of HCC in Hispanics. Specifically, elimination of diabetes and metabolic syndrome could significantly decrease HCC incidence across all ethnic groups, but with largest reduction in Hispanics. Additionally, targeted HCC screening for Hispanics with metabolic syndrome, diabetes, and NASH risk factors for NASH could also improve diagnosis, timely treatment, and survival for Hispanics with HCC. </w:t>
      </w:r>
    </w:p>
    <w:p w:rsidR="00E21E48" w:rsidRDefault="00E21E48" w:rsidP="00E21E48">
      <w:pPr>
        <w:pStyle w:val="1"/>
        <w:rPr>
          <w:spacing w:val="-13"/>
        </w:rPr>
      </w:pPr>
      <w:r>
        <w:rPr>
          <w:spacing w:val="-11"/>
        </w:rPr>
        <w:t>The retrospective design of the current study made it difficult to assess whether reduced survival in Hispanics with HCC was related to increased mortality from com</w:t>
      </w:r>
      <w:r>
        <w:rPr>
          <w:spacing w:val="-11"/>
        </w:rPr>
        <w:softHyphen/>
        <w:t xml:space="preserve">plications of cirrhosis, HCC, or comorbid conditions. It is likely that synergy between biologic, genetic, and environmental factors may contribute to racial differences </w:t>
      </w:r>
      <w:r>
        <w:rPr>
          <w:spacing w:val="-13"/>
        </w:rPr>
        <w:t xml:space="preserve">in cirrhosis pathogenesis, HCC development, and </w:t>
      </w:r>
      <w:r>
        <w:rPr>
          <w:spacing w:val="-11"/>
        </w:rPr>
        <w:t>survival. Recent proteomic and tissue microarray studies have demonstrated racial and regional differences in molecular pathogenesis of cirrhosis and HCC, including variations of molecular signatures for HCV induced HCC</w:t>
      </w:r>
      <w:r>
        <w:rPr>
          <w:spacing w:val="-11"/>
          <w:vertAlign w:val="superscript"/>
        </w:rPr>
        <w:t>[51]</w:t>
      </w:r>
      <w:r>
        <w:rPr>
          <w:spacing w:val="-11"/>
        </w:rPr>
        <w:t xml:space="preserve"> unique to African Americans compared to Whites, down-regulation of p53 and MDM2 in Americans compared to South Koreans</w:t>
      </w:r>
      <w:r>
        <w:rPr>
          <w:spacing w:val="-11"/>
          <w:vertAlign w:val="superscript"/>
        </w:rPr>
        <w:t>[52]</w:t>
      </w:r>
      <w:r>
        <w:rPr>
          <w:spacing w:val="-11"/>
        </w:rPr>
        <w:t>, higher prevalence of PNPLA3 polymorphisms associated with high NAFLD susceptibility and worse survival in Hispanics</w:t>
      </w:r>
      <w:r>
        <w:rPr>
          <w:spacing w:val="-11"/>
          <w:vertAlign w:val="superscript"/>
        </w:rPr>
        <w:t>[53]</w:t>
      </w:r>
      <w:r>
        <w:rPr>
          <w:spacing w:val="-11"/>
        </w:rPr>
        <w:t xml:space="preserve"> and greater expression of genetic </w:t>
      </w:r>
      <w:r>
        <w:rPr>
          <w:spacing w:val="-13"/>
        </w:rPr>
        <w:t>polymorphisms predisposing towards higher NASH se</w:t>
      </w:r>
      <w:r>
        <w:rPr>
          <w:spacing w:val="-13"/>
        </w:rPr>
        <w:softHyphen/>
        <w:t>verity in Hispanics compared to non-Hispanics</w:t>
      </w:r>
      <w:r>
        <w:rPr>
          <w:spacing w:val="-13"/>
          <w:vertAlign w:val="superscript"/>
        </w:rPr>
        <w:t>[8]</w:t>
      </w:r>
      <w:r>
        <w:rPr>
          <w:spacing w:val="-13"/>
        </w:rPr>
        <w:t xml:space="preserve">. Genetic and biologic differences are associated with susceptibility to increased fibrosis and inflammation in NAFLD, NASH and HCV, influencing more aggressive cirrhosis progression and </w:t>
      </w:r>
      <w:proofErr w:type="spellStart"/>
      <w:proofErr w:type="gramStart"/>
      <w:r>
        <w:rPr>
          <w:spacing w:val="-13"/>
        </w:rPr>
        <w:t>hepatocarcinogenesis</w:t>
      </w:r>
      <w:proofErr w:type="spellEnd"/>
      <w:r>
        <w:rPr>
          <w:spacing w:val="-13"/>
          <w:vertAlign w:val="superscript"/>
        </w:rPr>
        <w:t>[</w:t>
      </w:r>
      <w:proofErr w:type="gramEnd"/>
      <w:r>
        <w:rPr>
          <w:spacing w:val="-13"/>
          <w:vertAlign w:val="superscript"/>
        </w:rPr>
        <w:t>48-50,54-56]</w:t>
      </w:r>
      <w:r>
        <w:rPr>
          <w:spacing w:val="-13"/>
        </w:rPr>
        <w:t xml:space="preserve">. Racial and ethnic differences modulating insulin resistance have also been identified; compared to non-Hispanics, Hispanics express a higher frequency of an insulin receptor gene regulator (high-mobility group AT-hook, or HMGA1) associated with higher BMI, lower HDL, and type 2 </w:t>
      </w:r>
      <w:proofErr w:type="gramStart"/>
      <w:r>
        <w:rPr>
          <w:spacing w:val="-13"/>
        </w:rPr>
        <w:t>diabetes</w:t>
      </w:r>
      <w:r>
        <w:rPr>
          <w:spacing w:val="-13"/>
          <w:vertAlign w:val="superscript"/>
        </w:rPr>
        <w:t>[</w:t>
      </w:r>
      <w:proofErr w:type="gramEnd"/>
      <w:r>
        <w:rPr>
          <w:spacing w:val="-13"/>
          <w:vertAlign w:val="superscript"/>
        </w:rPr>
        <w:t>57]</w:t>
      </w:r>
      <w:r>
        <w:rPr>
          <w:spacing w:val="-13"/>
        </w:rPr>
        <w:t>. While our study did not include biologic correlates, given the paucity of Hispanic specific information, studies comparing Hispanic tumor and cirrhosis samples to other multi-ethnic HCC and cirrhotic cohorts are necessary to better understand ongoing racial disparities in HCC and cirrhosis mortality and progression.</w:t>
      </w:r>
    </w:p>
    <w:p w:rsidR="00E21E48" w:rsidRDefault="00E21E48" w:rsidP="00E21E48">
      <w:pPr>
        <w:pStyle w:val="1"/>
        <w:rPr>
          <w:spacing w:val="-11"/>
        </w:rPr>
      </w:pPr>
      <w:r>
        <w:rPr>
          <w:spacing w:val="-11"/>
        </w:rPr>
        <w:t xml:space="preserve">Despite being one of the largest single institution studies of HCC in Hispanics, African Americans and Whites, the major limitation of the present study was the retrospective design. The study identified important clinical factors associated with HCC in Hispanics. However, it was unable to discern the cause of reduced overall survival in Hispanics with HCC. Moreover, single center data might not be applicable to all Hispanic populations. Prospective studies with molecular analyses are needed to determine the relative contributions of co-morbidities, cirrhosis, HCC and biologic correlative information to the reduced overall survival in Hispanics. </w:t>
      </w:r>
    </w:p>
    <w:p w:rsidR="00E21E48" w:rsidRDefault="00E21E48" w:rsidP="00E21E48">
      <w:pPr>
        <w:pStyle w:val="1"/>
      </w:pPr>
      <w:r>
        <w:rPr>
          <w:spacing w:val="-11"/>
        </w:rPr>
        <w:t xml:space="preserve">In conclusion, the current study provides important new insights into clinical factors distinguishing Hispanics with HCC. Hispanics with HCC present with a higher prevalence of modifiable metabolic risk factors, more advanced liver disease, and shorter survival compared to African Americans and Whites. Increased mortality in Hispanics with HCC may be explained by compounding </w:t>
      </w:r>
      <w:r>
        <w:rPr>
          <w:spacing w:val="-13"/>
        </w:rPr>
        <w:t xml:space="preserve">risk from metabolic comorbidities, NASH cirrhosis, and unique biologic gene-environment interactions influencing higher susceptibility towards NAFLD </w:t>
      </w:r>
      <w:r>
        <w:rPr>
          <w:spacing w:val="-11"/>
        </w:rPr>
        <w:t xml:space="preserve">development, </w:t>
      </w:r>
      <w:r>
        <w:rPr>
          <w:spacing w:val="-13"/>
        </w:rPr>
        <w:t xml:space="preserve">and more aggressive cirrhosis progression and </w:t>
      </w:r>
      <w:proofErr w:type="spellStart"/>
      <w:r>
        <w:rPr>
          <w:spacing w:val="-11"/>
        </w:rPr>
        <w:t>hepatocar</w:t>
      </w:r>
      <w:r>
        <w:rPr>
          <w:spacing w:val="-11"/>
        </w:rPr>
        <w:softHyphen/>
      </w:r>
      <w:r>
        <w:rPr>
          <w:spacing w:val="-13"/>
        </w:rPr>
        <w:t>cinogenesis</w:t>
      </w:r>
      <w:proofErr w:type="spellEnd"/>
      <w:r>
        <w:rPr>
          <w:spacing w:val="-13"/>
        </w:rPr>
        <w:t>. Further clinical, epidemiologic, and molecular data are necessary to determine the relative con</w:t>
      </w:r>
      <w:r>
        <w:rPr>
          <w:spacing w:val="-13"/>
        </w:rPr>
        <w:softHyphen/>
        <w:t xml:space="preserve">tributions of modifiable comorbidities such as diabetes, hyperlipidemia, metabolic syndrome, and </w:t>
      </w:r>
      <w:r>
        <w:rPr>
          <w:spacing w:val="-11"/>
        </w:rPr>
        <w:t xml:space="preserve">NASH to HCC pathogenesis in Hispanics. Development of prospective multi-institutional HCC databases with specimen sharing is essential. There is an additional need for prospective case controlled studies, and therapeutic clinical trials with proportional representation of Hispanics to assess the impact of modifying comorbidities such as metabolic syndrome, hyperlipidemia, ESRD, diabetes, and NASH through lifestyle and medical management upon cirrhosis and HCC progression in Hispanic and non-Hispanics. Identification of clinical factors associated with HCC in Hispanics </w:t>
      </w:r>
      <w:r>
        <w:rPr>
          <w:spacing w:val="-11"/>
        </w:rPr>
        <w:lastRenderedPageBreak/>
        <w:t xml:space="preserve">provides direction for public health efforts at HCC prevention through intervening on modifiable risk factors, targeted HCC screening for high risk ethnic populations, and </w:t>
      </w:r>
      <w:proofErr w:type="gramStart"/>
      <w:r>
        <w:rPr>
          <w:spacing w:val="-11"/>
        </w:rPr>
        <w:t>more timely</w:t>
      </w:r>
      <w:proofErr w:type="gramEnd"/>
      <w:r>
        <w:rPr>
          <w:spacing w:val="-11"/>
        </w:rPr>
        <w:t xml:space="preserve"> HCC treatment and mana</w:t>
      </w:r>
      <w:r>
        <w:rPr>
          <w:spacing w:val="-11"/>
        </w:rPr>
        <w:softHyphen/>
        <w:t>gement in this population.</w:t>
      </w:r>
    </w:p>
    <w:p w:rsidR="00E21E48" w:rsidRPr="00B46507" w:rsidRDefault="00E21E48" w:rsidP="00E21E48">
      <w:pPr>
        <w:pStyle w:val="af0"/>
        <w:rPr>
          <w:lang w:val="en-US"/>
        </w:rPr>
      </w:pPr>
    </w:p>
    <w:p w:rsidR="00E21E48" w:rsidRPr="00B46507" w:rsidRDefault="00E21E48" w:rsidP="00E21E48">
      <w:pPr>
        <w:pStyle w:val="af0"/>
        <w:rPr>
          <w:u w:val="single"/>
          <w:lang w:val="en-US"/>
        </w:rPr>
      </w:pPr>
      <w:r w:rsidRPr="00B46507">
        <w:rPr>
          <w:u w:val="single"/>
          <w:lang w:val="en-US"/>
        </w:rPr>
        <w:t>COMMENTS</w:t>
      </w:r>
    </w:p>
    <w:p w:rsidR="00E21E48" w:rsidRPr="00B46507" w:rsidRDefault="00E21E48" w:rsidP="00E21E48">
      <w:pPr>
        <w:pStyle w:val="af2"/>
        <w:rPr>
          <w:lang w:val="en-US"/>
        </w:rPr>
      </w:pPr>
      <w:r w:rsidRPr="00B46507">
        <w:rPr>
          <w:lang w:val="en-US"/>
        </w:rPr>
        <w:t>Background</w:t>
      </w:r>
    </w:p>
    <w:p w:rsidR="00E21E48" w:rsidRDefault="00E21E48" w:rsidP="00E21E48">
      <w:pPr>
        <w:pStyle w:val="8BF4"/>
      </w:pPr>
      <w:r>
        <w:t>There is a dearth of information about hepatocellular carcinoma (HCC) race specific risk factors and disease characteristics in Hispanic patients, compared to African American and White patients, despite higher incidence and mortality rates. This is one of the largest published single institution retrospective studies of Hispanic, African American, and White patients treated for HCC at an urban tertiary academic medical center.</w:t>
      </w:r>
    </w:p>
    <w:p w:rsidR="00E21E48" w:rsidRPr="00B46507" w:rsidRDefault="00E21E48" w:rsidP="00E21E48">
      <w:pPr>
        <w:pStyle w:val="af2"/>
        <w:rPr>
          <w:lang w:val="en-US"/>
        </w:rPr>
      </w:pPr>
      <w:r w:rsidRPr="00B46507">
        <w:rPr>
          <w:lang w:val="en-US"/>
        </w:rPr>
        <w:t>Research frontiers</w:t>
      </w:r>
    </w:p>
    <w:p w:rsidR="00E21E48" w:rsidRDefault="00E21E48" w:rsidP="00E21E48">
      <w:pPr>
        <w:pStyle w:val="8BF4"/>
      </w:pPr>
      <w:r>
        <w:t xml:space="preserve">The results of this study contribute to new insights and a deeper understanding of racial disparities in HCC incidence, cirrhosis progression and mortality in Hispanic patients, compared to African American and White patients. </w:t>
      </w:r>
    </w:p>
    <w:p w:rsidR="00E21E48" w:rsidRPr="00B46507" w:rsidRDefault="00E21E48" w:rsidP="00E21E48">
      <w:pPr>
        <w:pStyle w:val="af2"/>
        <w:rPr>
          <w:lang w:val="en-US"/>
        </w:rPr>
      </w:pPr>
      <w:r w:rsidRPr="00B46507">
        <w:rPr>
          <w:lang w:val="en-US"/>
        </w:rPr>
        <w:t>Innovations and breakthroughs</w:t>
      </w:r>
    </w:p>
    <w:p w:rsidR="00E21E48" w:rsidRDefault="00E21E48" w:rsidP="00E21E48">
      <w:pPr>
        <w:pStyle w:val="8BF4"/>
        <w:rPr>
          <w:spacing w:val="-2"/>
        </w:rPr>
      </w:pPr>
      <w:r>
        <w:rPr>
          <w:spacing w:val="-2"/>
        </w:rPr>
        <w:t xml:space="preserve">The results of this study demonstrate significant differences in survival and modifiable risk factors for Hispanic patients compared to other racial groups, with Hispanic patients showing lower survival, more advanced liver disease, and higher incidence of modifiable risk factors including metabolic syndrome, nonalcoholic steatohepatitis (NASH), and end stage renal disease. This is consistent with prior data suggesting compounding risks unique to Hispanic patients, including modifiable risk factors, biologic differences in cirrhosis and NASH pathogenesis, and gene-environmental interactions influencing a higher susceptibility towards </w:t>
      </w:r>
      <w:proofErr w:type="spellStart"/>
      <w:r>
        <w:rPr>
          <w:spacing w:val="-2"/>
        </w:rPr>
        <w:t>hepatocarcinogenesis</w:t>
      </w:r>
      <w:proofErr w:type="spellEnd"/>
      <w:r>
        <w:rPr>
          <w:spacing w:val="-2"/>
        </w:rPr>
        <w:t xml:space="preserve"> and more aggressive cirrhosis progression. </w:t>
      </w:r>
    </w:p>
    <w:p w:rsidR="00E21E48" w:rsidRPr="00B46507" w:rsidRDefault="00E21E48" w:rsidP="00E21E48">
      <w:pPr>
        <w:pStyle w:val="af2"/>
        <w:rPr>
          <w:lang w:val="en-US"/>
        </w:rPr>
      </w:pPr>
      <w:r w:rsidRPr="00B46507">
        <w:rPr>
          <w:lang w:val="en-US"/>
        </w:rPr>
        <w:t>Applications</w:t>
      </w:r>
    </w:p>
    <w:p w:rsidR="00E21E48" w:rsidRDefault="00E21E48" w:rsidP="00E21E48">
      <w:pPr>
        <w:pStyle w:val="8BF4"/>
      </w:pPr>
      <w:r>
        <w:t xml:space="preserve">Identification of clinical factors associated with HCC in Hispanics provides direction for public health efforts at HCC prevention through intervening on modifiable risk factors, targeted HCC screening for high risk ethnic populations, and </w:t>
      </w:r>
      <w:proofErr w:type="gramStart"/>
      <w:r>
        <w:t>more timely</w:t>
      </w:r>
      <w:proofErr w:type="gramEnd"/>
      <w:r>
        <w:t xml:space="preserve"> HCC treatment and management in this population.</w:t>
      </w:r>
    </w:p>
    <w:p w:rsidR="00E21E48" w:rsidRPr="00B46507" w:rsidRDefault="00E21E48" w:rsidP="00E21E48">
      <w:pPr>
        <w:pStyle w:val="af2"/>
        <w:rPr>
          <w:lang w:val="en-US"/>
        </w:rPr>
      </w:pPr>
      <w:r w:rsidRPr="00B46507">
        <w:rPr>
          <w:lang w:val="en-US"/>
        </w:rPr>
        <w:t>Terminology</w:t>
      </w:r>
    </w:p>
    <w:p w:rsidR="00E21E48" w:rsidRDefault="00E21E48" w:rsidP="00E21E48">
      <w:pPr>
        <w:pStyle w:val="8BF4"/>
        <w:rPr>
          <w:spacing w:val="-2"/>
        </w:rPr>
      </w:pPr>
      <w:r>
        <w:rPr>
          <w:spacing w:val="-2"/>
        </w:rPr>
        <w:t>HCC: Hepatocellular carcinoma; OS: Overall survival; UIC: University of Illinois, Chicago; AASLD: American Association for the Study of Liver Diseases; BMI: Body mass index; ATP: Adult treatment panel; ESRD: End stage renal disease; HBV: Hepatitis B virus; HCV: Hepatitis C virus; NASH: Nonalcoholic steatohepatitis; NAFLD: Nonalcoholic fatty liver disease.</w:t>
      </w:r>
    </w:p>
    <w:p w:rsidR="00E21E48" w:rsidRPr="00B46507" w:rsidRDefault="00E21E48" w:rsidP="00E21E48">
      <w:pPr>
        <w:pStyle w:val="af2"/>
        <w:rPr>
          <w:lang w:val="en-US"/>
        </w:rPr>
      </w:pPr>
      <w:r w:rsidRPr="00B46507">
        <w:rPr>
          <w:lang w:val="en-US"/>
        </w:rPr>
        <w:t>Peer-review</w:t>
      </w:r>
    </w:p>
    <w:p w:rsidR="00E21E48" w:rsidRDefault="00E21E48" w:rsidP="00E21E48">
      <w:pPr>
        <w:pStyle w:val="8BF4"/>
        <w:rPr>
          <w:b/>
          <w:bCs/>
          <w:i/>
          <w:iCs/>
        </w:rPr>
      </w:pPr>
      <w:proofErr w:type="gramStart"/>
      <w:r>
        <w:t>An interesting observation study for the clinical outcome between HCC in Hispanics to those of African Americans and Whites.</w:t>
      </w:r>
      <w:proofErr w:type="gramEnd"/>
      <w:r>
        <w:t xml:space="preserve"> </w:t>
      </w:r>
      <w:proofErr w:type="gramStart"/>
      <w:r>
        <w:t>A clearly data presentation and manuscript written.</w:t>
      </w:r>
      <w:proofErr w:type="gramEnd"/>
    </w:p>
    <w:p w:rsidR="00E21E48" w:rsidRPr="00B46507" w:rsidRDefault="00E21E48" w:rsidP="00E21E48">
      <w:pPr>
        <w:pStyle w:val="af0"/>
        <w:rPr>
          <w:lang w:val="en-US"/>
        </w:rPr>
      </w:pPr>
    </w:p>
    <w:p w:rsidR="00E21E48" w:rsidRPr="00B46507" w:rsidRDefault="00E21E48" w:rsidP="00E21E48">
      <w:pPr>
        <w:pStyle w:val="af0"/>
        <w:rPr>
          <w:lang w:val="en-US"/>
        </w:rPr>
      </w:pPr>
      <w:r w:rsidRPr="00B46507">
        <w:rPr>
          <w:lang w:val="en-US"/>
        </w:rPr>
        <w:t>REFERENCES</w:t>
      </w:r>
    </w:p>
    <w:p w:rsidR="00E21E48" w:rsidRDefault="00E21E48" w:rsidP="00E21E48">
      <w:pPr>
        <w:pStyle w:val="-1"/>
        <w:rPr>
          <w:spacing w:val="-2"/>
        </w:rPr>
      </w:pPr>
      <w:r>
        <w:t>1</w:t>
      </w:r>
      <w:r>
        <w:tab/>
      </w:r>
      <w:proofErr w:type="spellStart"/>
      <w:r>
        <w:rPr>
          <w:b/>
          <w:bCs/>
          <w:spacing w:val="-2"/>
        </w:rPr>
        <w:t>Ferlay</w:t>
      </w:r>
      <w:proofErr w:type="spellEnd"/>
      <w:r>
        <w:rPr>
          <w:b/>
          <w:bCs/>
          <w:spacing w:val="-2"/>
        </w:rPr>
        <w:t xml:space="preserve"> J</w:t>
      </w:r>
      <w:r>
        <w:rPr>
          <w:spacing w:val="-2"/>
        </w:rPr>
        <w:t xml:space="preserve">, Shin HR, Bray F, Forman D, Mathers C, </w:t>
      </w:r>
      <w:proofErr w:type="spellStart"/>
      <w:r>
        <w:rPr>
          <w:spacing w:val="-2"/>
        </w:rPr>
        <w:t>Parkin</w:t>
      </w:r>
      <w:proofErr w:type="spellEnd"/>
      <w:r>
        <w:rPr>
          <w:spacing w:val="-2"/>
        </w:rPr>
        <w:t xml:space="preserve"> DM. Estimates of worldwide burden of cancer in 2008: GLOBOCAN 2008. </w:t>
      </w:r>
      <w:proofErr w:type="spellStart"/>
      <w:r>
        <w:rPr>
          <w:i/>
          <w:iCs/>
          <w:spacing w:val="-2"/>
        </w:rPr>
        <w:t>Int</w:t>
      </w:r>
      <w:proofErr w:type="spellEnd"/>
      <w:r>
        <w:rPr>
          <w:i/>
          <w:iCs/>
          <w:spacing w:val="-2"/>
        </w:rPr>
        <w:t xml:space="preserve"> J Cancer</w:t>
      </w:r>
      <w:r>
        <w:rPr>
          <w:spacing w:val="-2"/>
        </w:rPr>
        <w:t xml:space="preserve"> 2010; </w:t>
      </w:r>
      <w:r>
        <w:rPr>
          <w:b/>
          <w:bCs/>
          <w:spacing w:val="-2"/>
        </w:rPr>
        <w:t>127</w:t>
      </w:r>
      <w:r>
        <w:rPr>
          <w:spacing w:val="-2"/>
        </w:rPr>
        <w:t>: 2893-2917 [PMID: 21351269 DOI: 10.1002/ijc.25516]</w:t>
      </w:r>
    </w:p>
    <w:p w:rsidR="00E21E48" w:rsidRDefault="00E21E48" w:rsidP="00E21E48">
      <w:pPr>
        <w:pStyle w:val="-1"/>
      </w:pPr>
      <w:r>
        <w:t>2</w:t>
      </w:r>
      <w:r>
        <w:tab/>
        <w:t>GLOBOCAN 2008. Available from: URL: http://globocan.iarc.fr/factsheets/populations/factsheet.asp?uno=900</w:t>
      </w:r>
    </w:p>
    <w:p w:rsidR="00E21E48" w:rsidRDefault="00E21E48" w:rsidP="00E21E48">
      <w:pPr>
        <w:pStyle w:val="-1"/>
      </w:pPr>
      <w:r>
        <w:t>3</w:t>
      </w:r>
      <w:r>
        <w:tab/>
      </w:r>
      <w:r>
        <w:rPr>
          <w:b/>
          <w:bCs/>
        </w:rPr>
        <w:t>Ahmed F</w:t>
      </w:r>
      <w:r>
        <w:t xml:space="preserve">, </w:t>
      </w:r>
      <w:proofErr w:type="spellStart"/>
      <w:r>
        <w:t>Perz</w:t>
      </w:r>
      <w:proofErr w:type="spellEnd"/>
      <w:r>
        <w:t xml:space="preserve"> JF, </w:t>
      </w:r>
      <w:proofErr w:type="spellStart"/>
      <w:r>
        <w:t>Kwong</w:t>
      </w:r>
      <w:proofErr w:type="spellEnd"/>
      <w:r>
        <w:t xml:space="preserve"> S, Jamison PM, Friedman C, Bell BP. National trends and disparities in the incidence of hepatocellular carcinoma, 1998-2003. </w:t>
      </w:r>
      <w:proofErr w:type="spellStart"/>
      <w:r>
        <w:rPr>
          <w:i/>
          <w:iCs/>
        </w:rPr>
        <w:t>Prev</w:t>
      </w:r>
      <w:proofErr w:type="spellEnd"/>
      <w:r>
        <w:rPr>
          <w:i/>
          <w:iCs/>
        </w:rPr>
        <w:t xml:space="preserve"> Chronic Dis</w:t>
      </w:r>
      <w:r>
        <w:t xml:space="preserve"> 2008; </w:t>
      </w:r>
      <w:r>
        <w:rPr>
          <w:b/>
          <w:bCs/>
        </w:rPr>
        <w:t>5</w:t>
      </w:r>
      <w:r>
        <w:t>: A74 [PMID: 18558024]</w:t>
      </w:r>
    </w:p>
    <w:p w:rsidR="00E21E48" w:rsidRDefault="00E21E48" w:rsidP="00E21E48">
      <w:pPr>
        <w:pStyle w:val="-1"/>
        <w:rPr>
          <w:spacing w:val="-2"/>
        </w:rPr>
      </w:pPr>
      <w:r>
        <w:t>4</w:t>
      </w:r>
      <w:r>
        <w:tab/>
      </w:r>
      <w:r>
        <w:rPr>
          <w:b/>
          <w:bCs/>
          <w:spacing w:val="-2"/>
        </w:rPr>
        <w:t>Nguyen MH</w:t>
      </w:r>
      <w:r>
        <w:rPr>
          <w:spacing w:val="-2"/>
        </w:rPr>
        <w:t xml:space="preserve">, </w:t>
      </w:r>
      <w:proofErr w:type="spellStart"/>
      <w:r>
        <w:rPr>
          <w:spacing w:val="-2"/>
        </w:rPr>
        <w:t>Whittemore</w:t>
      </w:r>
      <w:proofErr w:type="spellEnd"/>
      <w:r>
        <w:rPr>
          <w:spacing w:val="-2"/>
        </w:rPr>
        <w:t xml:space="preserve"> AS, Garcia RT, </w:t>
      </w:r>
      <w:proofErr w:type="spellStart"/>
      <w:r>
        <w:rPr>
          <w:spacing w:val="-2"/>
        </w:rPr>
        <w:t>Tawfeek</w:t>
      </w:r>
      <w:proofErr w:type="spellEnd"/>
      <w:r>
        <w:rPr>
          <w:spacing w:val="-2"/>
        </w:rPr>
        <w:t xml:space="preserve"> SA, Ning J, Lam S, Wright TL, </w:t>
      </w:r>
      <w:proofErr w:type="spellStart"/>
      <w:r>
        <w:rPr>
          <w:spacing w:val="-2"/>
        </w:rPr>
        <w:t>Keeffe</w:t>
      </w:r>
      <w:proofErr w:type="spellEnd"/>
      <w:r>
        <w:rPr>
          <w:spacing w:val="-2"/>
        </w:rPr>
        <w:t xml:space="preserve"> EB. </w:t>
      </w:r>
      <w:proofErr w:type="gramStart"/>
      <w:r>
        <w:rPr>
          <w:spacing w:val="-2"/>
        </w:rPr>
        <w:t>Role of ethnicity in risk for hepato</w:t>
      </w:r>
      <w:r>
        <w:rPr>
          <w:spacing w:val="-2"/>
        </w:rPr>
        <w:softHyphen/>
        <w:t>cellular carcinoma in patients with chronic hepatitis C and cirrhosis.</w:t>
      </w:r>
      <w:proofErr w:type="gramEnd"/>
      <w:r>
        <w:rPr>
          <w:spacing w:val="-2"/>
        </w:rPr>
        <w:t xml:space="preserve"> </w:t>
      </w:r>
      <w:proofErr w:type="spellStart"/>
      <w:r>
        <w:rPr>
          <w:i/>
          <w:iCs/>
          <w:spacing w:val="-2"/>
        </w:rPr>
        <w:t>Clin</w:t>
      </w:r>
      <w:proofErr w:type="spellEnd"/>
      <w:r>
        <w:rPr>
          <w:i/>
          <w:iCs/>
          <w:spacing w:val="-2"/>
        </w:rPr>
        <w:t xml:space="preserve"> </w:t>
      </w:r>
      <w:proofErr w:type="spellStart"/>
      <w:r>
        <w:rPr>
          <w:i/>
          <w:iCs/>
          <w:spacing w:val="-2"/>
        </w:rPr>
        <w:t>Gastroenterol</w:t>
      </w:r>
      <w:proofErr w:type="spellEnd"/>
      <w:r>
        <w:rPr>
          <w:i/>
          <w:iCs/>
          <w:spacing w:val="-2"/>
        </w:rPr>
        <w:t xml:space="preserve"> </w:t>
      </w:r>
      <w:proofErr w:type="spellStart"/>
      <w:r>
        <w:rPr>
          <w:i/>
          <w:iCs/>
          <w:spacing w:val="-2"/>
        </w:rPr>
        <w:t>Hepatol</w:t>
      </w:r>
      <w:proofErr w:type="spellEnd"/>
      <w:r>
        <w:rPr>
          <w:spacing w:val="-2"/>
        </w:rPr>
        <w:t xml:space="preserve"> 2004; </w:t>
      </w:r>
      <w:r>
        <w:rPr>
          <w:b/>
          <w:bCs/>
          <w:spacing w:val="-2"/>
        </w:rPr>
        <w:t>2</w:t>
      </w:r>
      <w:r>
        <w:rPr>
          <w:spacing w:val="-2"/>
        </w:rPr>
        <w:t>: 820-824 [PMID: 15354283]</w:t>
      </w:r>
    </w:p>
    <w:p w:rsidR="00E21E48" w:rsidRDefault="00E21E48" w:rsidP="00E21E48">
      <w:pPr>
        <w:pStyle w:val="-1"/>
      </w:pPr>
      <w:r>
        <w:t>5</w:t>
      </w:r>
      <w:r>
        <w:tab/>
        <w:t>Census Brief 2010: The Hispanic Population. 2010. Available from: URL: http://www.census.gov/prod/cen2010/briefs/c2010br-04.pdf</w:t>
      </w:r>
    </w:p>
    <w:p w:rsidR="00E21E48" w:rsidRDefault="00E21E48" w:rsidP="00E21E48">
      <w:pPr>
        <w:pStyle w:val="-1"/>
        <w:rPr>
          <w:spacing w:val="-2"/>
        </w:rPr>
      </w:pPr>
      <w:r>
        <w:t>6</w:t>
      </w:r>
      <w:r>
        <w:tab/>
      </w:r>
      <w:r>
        <w:rPr>
          <w:b/>
          <w:bCs/>
          <w:spacing w:val="-2"/>
        </w:rPr>
        <w:t>El-</w:t>
      </w:r>
      <w:proofErr w:type="spellStart"/>
      <w:r>
        <w:rPr>
          <w:b/>
          <w:bCs/>
          <w:spacing w:val="-2"/>
        </w:rPr>
        <w:t>Serag</w:t>
      </w:r>
      <w:proofErr w:type="spellEnd"/>
      <w:r>
        <w:rPr>
          <w:b/>
          <w:bCs/>
          <w:spacing w:val="-2"/>
        </w:rPr>
        <w:t xml:space="preserve"> HB</w:t>
      </w:r>
      <w:r>
        <w:rPr>
          <w:spacing w:val="-2"/>
        </w:rPr>
        <w:t xml:space="preserve">, Lau M, </w:t>
      </w:r>
      <w:proofErr w:type="spellStart"/>
      <w:r>
        <w:rPr>
          <w:spacing w:val="-2"/>
        </w:rPr>
        <w:t>Eschbach</w:t>
      </w:r>
      <w:proofErr w:type="spellEnd"/>
      <w:r>
        <w:rPr>
          <w:spacing w:val="-2"/>
        </w:rPr>
        <w:t xml:space="preserve"> K, Davila J, Goodwin J. Epide</w:t>
      </w:r>
      <w:r>
        <w:rPr>
          <w:spacing w:val="-2"/>
        </w:rPr>
        <w:softHyphen/>
        <w:t xml:space="preserve">miology of hepatocellular carcinoma in Hispanics in the United States. </w:t>
      </w:r>
      <w:r>
        <w:rPr>
          <w:i/>
          <w:iCs/>
          <w:spacing w:val="-2"/>
        </w:rPr>
        <w:t>Arch Intern Med</w:t>
      </w:r>
      <w:r>
        <w:rPr>
          <w:spacing w:val="-2"/>
        </w:rPr>
        <w:t xml:space="preserve"> 2007; </w:t>
      </w:r>
      <w:r>
        <w:rPr>
          <w:b/>
          <w:bCs/>
          <w:spacing w:val="-2"/>
        </w:rPr>
        <w:t>167</w:t>
      </w:r>
      <w:r>
        <w:rPr>
          <w:spacing w:val="-2"/>
        </w:rPr>
        <w:t>: 1983-1989 [PMID: 17923599 DOI: 10.1001/archinte.167.18.1983]</w:t>
      </w:r>
    </w:p>
    <w:p w:rsidR="00E21E48" w:rsidRDefault="00E21E48" w:rsidP="00E21E48">
      <w:pPr>
        <w:pStyle w:val="-1"/>
        <w:rPr>
          <w:spacing w:val="-2"/>
        </w:rPr>
      </w:pPr>
      <w:r>
        <w:t>7</w:t>
      </w:r>
      <w:r>
        <w:tab/>
      </w:r>
      <w:r>
        <w:rPr>
          <w:b/>
          <w:bCs/>
          <w:spacing w:val="-2"/>
        </w:rPr>
        <w:t>Ramirez AG</w:t>
      </w:r>
      <w:r>
        <w:rPr>
          <w:spacing w:val="-2"/>
        </w:rPr>
        <w:t xml:space="preserve">, Weiss NS, Holden AE, Suarez L, Cooper SP, Munoz E, Naylor SL. Incidence and risk factors for hepatocellular carcinoma in Texas Latinos: implications for prevention research. </w:t>
      </w:r>
      <w:proofErr w:type="spellStart"/>
      <w:r>
        <w:rPr>
          <w:i/>
          <w:iCs/>
          <w:spacing w:val="-2"/>
        </w:rPr>
        <w:t>PLoS</w:t>
      </w:r>
      <w:proofErr w:type="spellEnd"/>
      <w:r>
        <w:rPr>
          <w:i/>
          <w:iCs/>
          <w:spacing w:val="-2"/>
        </w:rPr>
        <w:t xml:space="preserve"> One</w:t>
      </w:r>
      <w:r>
        <w:rPr>
          <w:spacing w:val="-2"/>
        </w:rPr>
        <w:t xml:space="preserve"> 2012; </w:t>
      </w:r>
      <w:r>
        <w:rPr>
          <w:b/>
          <w:bCs/>
          <w:spacing w:val="-2"/>
        </w:rPr>
        <w:t>7</w:t>
      </w:r>
      <w:r>
        <w:rPr>
          <w:spacing w:val="-2"/>
        </w:rPr>
        <w:t>: e35573 [PMID: 22530052 DOI: 10.1371/journal.pone.0035573]</w:t>
      </w:r>
    </w:p>
    <w:p w:rsidR="00E21E48" w:rsidRDefault="00E21E48" w:rsidP="00E21E48">
      <w:pPr>
        <w:pStyle w:val="-1"/>
        <w:rPr>
          <w:spacing w:val="-2"/>
        </w:rPr>
      </w:pPr>
      <w:r>
        <w:t>8</w:t>
      </w:r>
      <w:r>
        <w:tab/>
      </w:r>
      <w:r>
        <w:rPr>
          <w:b/>
          <w:bCs/>
          <w:spacing w:val="-2"/>
        </w:rPr>
        <w:t>Siegel RL</w:t>
      </w:r>
      <w:r>
        <w:rPr>
          <w:spacing w:val="-2"/>
        </w:rPr>
        <w:t xml:space="preserve">, </w:t>
      </w:r>
      <w:proofErr w:type="spellStart"/>
      <w:r>
        <w:rPr>
          <w:spacing w:val="-2"/>
        </w:rPr>
        <w:t>Fedewa</w:t>
      </w:r>
      <w:proofErr w:type="spellEnd"/>
      <w:r>
        <w:rPr>
          <w:spacing w:val="-2"/>
        </w:rPr>
        <w:t xml:space="preserve"> SA, Miller KD, </w:t>
      </w:r>
      <w:proofErr w:type="spellStart"/>
      <w:r>
        <w:rPr>
          <w:spacing w:val="-2"/>
        </w:rPr>
        <w:t>Goding</w:t>
      </w:r>
      <w:proofErr w:type="spellEnd"/>
      <w:r>
        <w:rPr>
          <w:spacing w:val="-2"/>
        </w:rPr>
        <w:t xml:space="preserve">-Sauer A, </w:t>
      </w:r>
      <w:proofErr w:type="spellStart"/>
      <w:r>
        <w:rPr>
          <w:spacing w:val="-2"/>
        </w:rPr>
        <w:t>Pinheiro</w:t>
      </w:r>
      <w:proofErr w:type="spellEnd"/>
      <w:r>
        <w:rPr>
          <w:spacing w:val="-2"/>
        </w:rPr>
        <w:t xml:space="preserve"> PS, Martinez-Tyson D, </w:t>
      </w:r>
      <w:proofErr w:type="spellStart"/>
      <w:r>
        <w:rPr>
          <w:spacing w:val="-2"/>
        </w:rPr>
        <w:t>Jemal</w:t>
      </w:r>
      <w:proofErr w:type="spellEnd"/>
      <w:r>
        <w:rPr>
          <w:spacing w:val="-2"/>
        </w:rPr>
        <w:t xml:space="preserve"> A. Cancer statistics for Hispanics/Latinos, 2015. </w:t>
      </w:r>
      <w:r>
        <w:rPr>
          <w:i/>
          <w:iCs/>
          <w:spacing w:val="-2"/>
        </w:rPr>
        <w:t xml:space="preserve">CA Cancer J </w:t>
      </w:r>
      <w:proofErr w:type="spellStart"/>
      <w:r>
        <w:rPr>
          <w:i/>
          <w:iCs/>
          <w:spacing w:val="-2"/>
        </w:rPr>
        <w:t>Clin</w:t>
      </w:r>
      <w:proofErr w:type="spellEnd"/>
      <w:r>
        <w:rPr>
          <w:spacing w:val="-2"/>
        </w:rPr>
        <w:t xml:space="preserve"> 2015; </w:t>
      </w:r>
      <w:r>
        <w:rPr>
          <w:b/>
          <w:bCs/>
          <w:spacing w:val="-2"/>
        </w:rPr>
        <w:t>65</w:t>
      </w:r>
      <w:r>
        <w:rPr>
          <w:spacing w:val="-2"/>
        </w:rPr>
        <w:t>: 457-480 [PMID: 26375877 DOI: 10.3322/caac.21314]</w:t>
      </w:r>
    </w:p>
    <w:p w:rsidR="00E21E48" w:rsidRDefault="00E21E48" w:rsidP="00E21E48">
      <w:pPr>
        <w:pStyle w:val="-1"/>
        <w:rPr>
          <w:spacing w:val="-2"/>
        </w:rPr>
      </w:pPr>
      <w:r>
        <w:t>9</w:t>
      </w:r>
      <w:r>
        <w:tab/>
      </w:r>
      <w:proofErr w:type="spellStart"/>
      <w:r>
        <w:rPr>
          <w:b/>
          <w:bCs/>
          <w:spacing w:val="-2"/>
        </w:rPr>
        <w:t>Altekruse</w:t>
      </w:r>
      <w:proofErr w:type="spellEnd"/>
      <w:r>
        <w:rPr>
          <w:b/>
          <w:bCs/>
          <w:spacing w:val="-2"/>
        </w:rPr>
        <w:t xml:space="preserve"> SF</w:t>
      </w:r>
      <w:r>
        <w:rPr>
          <w:spacing w:val="-2"/>
        </w:rPr>
        <w:t xml:space="preserve">, </w:t>
      </w:r>
      <w:proofErr w:type="spellStart"/>
      <w:r>
        <w:rPr>
          <w:spacing w:val="-2"/>
        </w:rPr>
        <w:t>McGlynn</w:t>
      </w:r>
      <w:proofErr w:type="spellEnd"/>
      <w:r>
        <w:rPr>
          <w:spacing w:val="-2"/>
        </w:rPr>
        <w:t xml:space="preserve"> KA, Dickie LA, </w:t>
      </w:r>
      <w:proofErr w:type="spellStart"/>
      <w:r>
        <w:rPr>
          <w:spacing w:val="-2"/>
        </w:rPr>
        <w:t>Kleiner</w:t>
      </w:r>
      <w:proofErr w:type="spellEnd"/>
      <w:r>
        <w:rPr>
          <w:spacing w:val="-2"/>
        </w:rPr>
        <w:t xml:space="preserve"> DE. Hepato</w:t>
      </w:r>
      <w:r>
        <w:rPr>
          <w:spacing w:val="-2"/>
        </w:rPr>
        <w:softHyphen/>
        <w:t>cellular carcinoma confirmation, treatment, and survival in sur</w:t>
      </w:r>
      <w:r>
        <w:rPr>
          <w:spacing w:val="-2"/>
        </w:rPr>
        <w:softHyphen/>
        <w:t xml:space="preserve">veillance, epidemiology, and end results registries, 1992-2008. </w:t>
      </w:r>
      <w:r>
        <w:rPr>
          <w:i/>
          <w:iCs/>
          <w:spacing w:val="-2"/>
        </w:rPr>
        <w:t>Hepatology</w:t>
      </w:r>
      <w:r>
        <w:rPr>
          <w:spacing w:val="-2"/>
        </w:rPr>
        <w:t xml:space="preserve"> 2012; </w:t>
      </w:r>
      <w:r>
        <w:rPr>
          <w:b/>
          <w:bCs/>
          <w:spacing w:val="-2"/>
        </w:rPr>
        <w:t>55</w:t>
      </w:r>
      <w:r>
        <w:rPr>
          <w:spacing w:val="-2"/>
        </w:rPr>
        <w:t>: 476-482 [PMID: 21953588 DOI: 10.1002/hep.24710]</w:t>
      </w:r>
    </w:p>
    <w:p w:rsidR="00E21E48" w:rsidRDefault="00E21E48" w:rsidP="00E21E48">
      <w:pPr>
        <w:pStyle w:val="-1"/>
      </w:pPr>
      <w:r>
        <w:lastRenderedPageBreak/>
        <w:t>10</w:t>
      </w:r>
      <w:r>
        <w:tab/>
      </w:r>
      <w:proofErr w:type="spellStart"/>
      <w:r>
        <w:rPr>
          <w:b/>
          <w:bCs/>
        </w:rPr>
        <w:t>Younossi</w:t>
      </w:r>
      <w:proofErr w:type="spellEnd"/>
      <w:r>
        <w:rPr>
          <w:b/>
          <w:bCs/>
        </w:rPr>
        <w:t xml:space="preserve"> ZM</w:t>
      </w:r>
      <w:r>
        <w:t xml:space="preserve">, </w:t>
      </w:r>
      <w:proofErr w:type="spellStart"/>
      <w:r>
        <w:t>Stepanova</w:t>
      </w:r>
      <w:proofErr w:type="spellEnd"/>
      <w:r>
        <w:t xml:space="preserve"> M. Hepatitis C virus infection, age, and Hispanic ethnicity increase mortality from liver cancer in the United States. </w:t>
      </w:r>
      <w:proofErr w:type="spellStart"/>
      <w:r>
        <w:rPr>
          <w:i/>
          <w:iCs/>
        </w:rPr>
        <w:t>Clin</w:t>
      </w:r>
      <w:proofErr w:type="spellEnd"/>
      <w:r>
        <w:rPr>
          <w:i/>
          <w:iCs/>
        </w:rPr>
        <w:t xml:space="preserve"> </w:t>
      </w:r>
      <w:proofErr w:type="spellStart"/>
      <w:r>
        <w:rPr>
          <w:i/>
          <w:iCs/>
        </w:rPr>
        <w:t>Gastroenterol</w:t>
      </w:r>
      <w:proofErr w:type="spellEnd"/>
      <w:r>
        <w:rPr>
          <w:i/>
          <w:iCs/>
        </w:rPr>
        <w:t xml:space="preserve"> </w:t>
      </w:r>
      <w:proofErr w:type="spellStart"/>
      <w:r>
        <w:rPr>
          <w:i/>
          <w:iCs/>
        </w:rPr>
        <w:t>Hepatol</w:t>
      </w:r>
      <w:proofErr w:type="spellEnd"/>
      <w:r>
        <w:t xml:space="preserve"> 2010; </w:t>
      </w:r>
      <w:r>
        <w:rPr>
          <w:b/>
          <w:bCs/>
        </w:rPr>
        <w:t>8</w:t>
      </w:r>
      <w:r>
        <w:t>: 718-723 [PMID: 20435163 DOI: 10.1016/j.cgh.2010.04.017]</w:t>
      </w:r>
    </w:p>
    <w:p w:rsidR="00E21E48" w:rsidRDefault="00E21E48" w:rsidP="00E21E48">
      <w:pPr>
        <w:pStyle w:val="-1"/>
      </w:pPr>
      <w:r>
        <w:t>11</w:t>
      </w:r>
      <w:r>
        <w:tab/>
      </w:r>
      <w:proofErr w:type="spellStart"/>
      <w:r>
        <w:rPr>
          <w:b/>
          <w:bCs/>
        </w:rPr>
        <w:t>Bruix</w:t>
      </w:r>
      <w:proofErr w:type="spellEnd"/>
      <w:r>
        <w:rPr>
          <w:b/>
          <w:bCs/>
        </w:rPr>
        <w:t xml:space="preserve"> J</w:t>
      </w:r>
      <w:r>
        <w:t xml:space="preserve">, Sherman M. Management of hepatocellular carcinoma: an update. </w:t>
      </w:r>
      <w:r>
        <w:rPr>
          <w:i/>
          <w:iCs/>
        </w:rPr>
        <w:t>Hepatology</w:t>
      </w:r>
      <w:r>
        <w:t xml:space="preserve"> 2011; </w:t>
      </w:r>
      <w:r>
        <w:rPr>
          <w:b/>
          <w:bCs/>
        </w:rPr>
        <w:t>53</w:t>
      </w:r>
      <w:r>
        <w:t>: 1020-1022 [PMID: 21374666 DOI: 10.1002/hep.24199]</w:t>
      </w:r>
    </w:p>
    <w:p w:rsidR="00E21E48" w:rsidRDefault="00E21E48" w:rsidP="00E21E48">
      <w:pPr>
        <w:pStyle w:val="-1"/>
        <w:rPr>
          <w:spacing w:val="-3"/>
        </w:rPr>
      </w:pPr>
      <w:r>
        <w:t>12</w:t>
      </w:r>
      <w:r>
        <w:tab/>
      </w:r>
      <w:r>
        <w:rPr>
          <w:b/>
          <w:bCs/>
          <w:spacing w:val="-3"/>
        </w:rPr>
        <w:t>Grundy SM</w:t>
      </w:r>
      <w:r>
        <w:rPr>
          <w:spacing w:val="-3"/>
        </w:rPr>
        <w:t xml:space="preserve">, </w:t>
      </w:r>
      <w:proofErr w:type="spellStart"/>
      <w:r>
        <w:rPr>
          <w:spacing w:val="-3"/>
        </w:rPr>
        <w:t>Cleeman</w:t>
      </w:r>
      <w:proofErr w:type="spellEnd"/>
      <w:r>
        <w:rPr>
          <w:spacing w:val="-3"/>
        </w:rPr>
        <w:t xml:space="preserve"> JI, Daniels SR, Donato KA, </w:t>
      </w:r>
      <w:proofErr w:type="spellStart"/>
      <w:r>
        <w:rPr>
          <w:spacing w:val="-3"/>
        </w:rPr>
        <w:t>Eckel</w:t>
      </w:r>
      <w:proofErr w:type="spellEnd"/>
      <w:r>
        <w:rPr>
          <w:spacing w:val="-3"/>
        </w:rPr>
        <w:t xml:space="preserve"> RH, Franklin BA, Gordon DJ, Krauss RM, Savage PJ, Smith SC, </w:t>
      </w:r>
      <w:proofErr w:type="spellStart"/>
      <w:r>
        <w:rPr>
          <w:spacing w:val="-3"/>
        </w:rPr>
        <w:t>Spertus</w:t>
      </w:r>
      <w:proofErr w:type="spellEnd"/>
      <w:r>
        <w:rPr>
          <w:spacing w:val="-3"/>
        </w:rPr>
        <w:t xml:space="preserve"> JA, Costa F. Diagnosis and management of the metabolic syndrome: an American Heart Association/National Heart, Lung, and Blood Institute Scientific Statement. </w:t>
      </w:r>
      <w:r>
        <w:rPr>
          <w:i/>
          <w:iCs/>
          <w:spacing w:val="-3"/>
        </w:rPr>
        <w:t>Circulation</w:t>
      </w:r>
      <w:r>
        <w:rPr>
          <w:spacing w:val="-3"/>
        </w:rPr>
        <w:t xml:space="preserve"> 2005; </w:t>
      </w:r>
      <w:r>
        <w:rPr>
          <w:b/>
          <w:bCs/>
          <w:spacing w:val="-3"/>
        </w:rPr>
        <w:t>112</w:t>
      </w:r>
      <w:r>
        <w:rPr>
          <w:spacing w:val="-3"/>
        </w:rPr>
        <w:t>: 2735-2752 [PMID: 16157765 DOI: 10.1161/CIRCULATIONAHA.105.169404]</w:t>
      </w:r>
    </w:p>
    <w:p w:rsidR="00E21E48" w:rsidRDefault="00E21E48" w:rsidP="00E21E48">
      <w:pPr>
        <w:pStyle w:val="-1"/>
      </w:pPr>
      <w:r>
        <w:t>13</w:t>
      </w:r>
      <w:r>
        <w:tab/>
      </w:r>
      <w:r>
        <w:rPr>
          <w:b/>
          <w:bCs/>
        </w:rPr>
        <w:t>Hidalgo B</w:t>
      </w:r>
      <w:r>
        <w:t xml:space="preserve">, Goodman M. Multivariate or multivariable regression? </w:t>
      </w:r>
      <w:r>
        <w:rPr>
          <w:i/>
          <w:iCs/>
        </w:rPr>
        <w:t>Am J Public Health</w:t>
      </w:r>
      <w:r>
        <w:t xml:space="preserve"> 2013; </w:t>
      </w:r>
      <w:r>
        <w:rPr>
          <w:b/>
          <w:bCs/>
        </w:rPr>
        <w:t>103</w:t>
      </w:r>
      <w:r>
        <w:t>: 39-40 [PMID: 23153131 DOI: 10.2105/AJPH.2012.300897]</w:t>
      </w:r>
    </w:p>
    <w:p w:rsidR="00E21E48" w:rsidRDefault="00E21E48" w:rsidP="00E21E48">
      <w:pPr>
        <w:pStyle w:val="-1"/>
      </w:pPr>
      <w:r>
        <w:t>14</w:t>
      </w:r>
      <w:r>
        <w:tab/>
      </w:r>
      <w:r>
        <w:rPr>
          <w:b/>
          <w:bCs/>
        </w:rPr>
        <w:t>Katz MH</w:t>
      </w:r>
      <w:r>
        <w:t xml:space="preserve">. Multivariable analysis: a primer for readers of medical research. </w:t>
      </w:r>
      <w:r>
        <w:rPr>
          <w:i/>
          <w:iCs/>
        </w:rPr>
        <w:t>Ann Intern Med</w:t>
      </w:r>
      <w:r>
        <w:t xml:space="preserve"> 2003; </w:t>
      </w:r>
      <w:r>
        <w:rPr>
          <w:b/>
          <w:bCs/>
        </w:rPr>
        <w:t>138</w:t>
      </w:r>
      <w:r>
        <w:t>: 644-650 [PMID: 12693887 DOI: 10.7326/0003-4819-138-8-200304150-00012]</w:t>
      </w:r>
    </w:p>
    <w:p w:rsidR="00E21E48" w:rsidRDefault="00E21E48" w:rsidP="00E21E48">
      <w:pPr>
        <w:pStyle w:val="-1"/>
      </w:pPr>
      <w:r>
        <w:t>15</w:t>
      </w:r>
      <w:r>
        <w:tab/>
      </w:r>
      <w:proofErr w:type="spellStart"/>
      <w:r>
        <w:rPr>
          <w:b/>
          <w:bCs/>
        </w:rPr>
        <w:t>Altekruse</w:t>
      </w:r>
      <w:proofErr w:type="spellEnd"/>
      <w:r>
        <w:rPr>
          <w:b/>
          <w:bCs/>
        </w:rPr>
        <w:t xml:space="preserve"> SF</w:t>
      </w:r>
      <w:r>
        <w:t xml:space="preserve">, Henley SJ, </w:t>
      </w:r>
      <w:proofErr w:type="spellStart"/>
      <w:r>
        <w:t>Cucinelli</w:t>
      </w:r>
      <w:proofErr w:type="spellEnd"/>
      <w:r>
        <w:t xml:space="preserve"> JE, </w:t>
      </w:r>
      <w:proofErr w:type="spellStart"/>
      <w:r>
        <w:t>McGlynn</w:t>
      </w:r>
      <w:proofErr w:type="spellEnd"/>
      <w:r>
        <w:t xml:space="preserve"> KA. </w:t>
      </w:r>
      <w:proofErr w:type="gramStart"/>
      <w:r>
        <w:t>Changing hepatocellular carcinoma incidence and liver cancer mortality rates in the United States.</w:t>
      </w:r>
      <w:proofErr w:type="gramEnd"/>
      <w:r>
        <w:t xml:space="preserve"> </w:t>
      </w:r>
      <w:r>
        <w:rPr>
          <w:i/>
          <w:iCs/>
        </w:rPr>
        <w:t xml:space="preserve">Am J </w:t>
      </w:r>
      <w:proofErr w:type="spellStart"/>
      <w:r>
        <w:rPr>
          <w:i/>
          <w:iCs/>
        </w:rPr>
        <w:t>Gastroenterol</w:t>
      </w:r>
      <w:proofErr w:type="spellEnd"/>
      <w:r>
        <w:t xml:space="preserve"> 2014; </w:t>
      </w:r>
      <w:r>
        <w:rPr>
          <w:b/>
          <w:bCs/>
        </w:rPr>
        <w:t>109</w:t>
      </w:r>
      <w:r>
        <w:t>: 542-553 [PMID: 24513805 DOI: 10.1038/ajg.2014.11]</w:t>
      </w:r>
    </w:p>
    <w:p w:rsidR="00E21E48" w:rsidRDefault="00E21E48" w:rsidP="00E21E48">
      <w:pPr>
        <w:pStyle w:val="-1"/>
        <w:rPr>
          <w:spacing w:val="-2"/>
        </w:rPr>
      </w:pPr>
      <w:r>
        <w:t>16</w:t>
      </w:r>
      <w:r>
        <w:tab/>
      </w:r>
      <w:proofErr w:type="spellStart"/>
      <w:r>
        <w:rPr>
          <w:b/>
          <w:bCs/>
          <w:spacing w:val="-2"/>
        </w:rPr>
        <w:t>Mathur</w:t>
      </w:r>
      <w:proofErr w:type="spellEnd"/>
      <w:r>
        <w:rPr>
          <w:b/>
          <w:bCs/>
          <w:spacing w:val="-2"/>
        </w:rPr>
        <w:t xml:space="preserve"> AK</w:t>
      </w:r>
      <w:r>
        <w:rPr>
          <w:spacing w:val="-2"/>
        </w:rPr>
        <w:t xml:space="preserve">, Osborne NH, Lynch RJ, </w:t>
      </w:r>
      <w:proofErr w:type="spellStart"/>
      <w:r>
        <w:rPr>
          <w:spacing w:val="-2"/>
        </w:rPr>
        <w:t>Ghaferi</w:t>
      </w:r>
      <w:proofErr w:type="spellEnd"/>
      <w:r>
        <w:rPr>
          <w:spacing w:val="-2"/>
        </w:rPr>
        <w:t xml:space="preserve"> AA, </w:t>
      </w:r>
      <w:proofErr w:type="spellStart"/>
      <w:r>
        <w:rPr>
          <w:spacing w:val="-2"/>
        </w:rPr>
        <w:t>Dimick</w:t>
      </w:r>
      <w:proofErr w:type="spellEnd"/>
      <w:r>
        <w:rPr>
          <w:spacing w:val="-2"/>
        </w:rPr>
        <w:t xml:space="preserve"> JB, </w:t>
      </w:r>
      <w:proofErr w:type="spellStart"/>
      <w:r>
        <w:rPr>
          <w:spacing w:val="-2"/>
        </w:rPr>
        <w:t>Sonnenday</w:t>
      </w:r>
      <w:proofErr w:type="spellEnd"/>
      <w:r>
        <w:rPr>
          <w:spacing w:val="-2"/>
        </w:rPr>
        <w:t xml:space="preserve"> CJ. </w:t>
      </w:r>
      <w:proofErr w:type="gramStart"/>
      <w:r>
        <w:rPr>
          <w:spacing w:val="-2"/>
        </w:rPr>
        <w:t>Racial/ethnic disparities in access to care and survival for patients with early-stage hepatocellular carcinoma.</w:t>
      </w:r>
      <w:proofErr w:type="gramEnd"/>
      <w:r>
        <w:rPr>
          <w:spacing w:val="-2"/>
        </w:rPr>
        <w:t xml:space="preserve"> </w:t>
      </w:r>
      <w:r>
        <w:rPr>
          <w:i/>
          <w:iCs/>
          <w:spacing w:val="-2"/>
        </w:rPr>
        <w:t xml:space="preserve">Arch </w:t>
      </w:r>
      <w:proofErr w:type="spellStart"/>
      <w:r>
        <w:rPr>
          <w:i/>
          <w:iCs/>
          <w:spacing w:val="-2"/>
        </w:rPr>
        <w:t>Surg</w:t>
      </w:r>
      <w:proofErr w:type="spellEnd"/>
      <w:r>
        <w:rPr>
          <w:spacing w:val="-2"/>
        </w:rPr>
        <w:t xml:space="preserve"> 2010; </w:t>
      </w:r>
      <w:r>
        <w:rPr>
          <w:b/>
          <w:bCs/>
          <w:spacing w:val="-2"/>
        </w:rPr>
        <w:t>145</w:t>
      </w:r>
      <w:r>
        <w:rPr>
          <w:spacing w:val="-2"/>
        </w:rPr>
        <w:t>: 1158-1163 [PMID: 21173289 DOI: 10.1001/archsurg.2010.272]</w:t>
      </w:r>
    </w:p>
    <w:p w:rsidR="00E21E48" w:rsidRDefault="00E21E48" w:rsidP="00E21E48">
      <w:pPr>
        <w:pStyle w:val="-1"/>
        <w:rPr>
          <w:spacing w:val="-2"/>
        </w:rPr>
      </w:pPr>
      <w:r>
        <w:t>17</w:t>
      </w:r>
      <w:r>
        <w:tab/>
      </w:r>
      <w:proofErr w:type="spellStart"/>
      <w:r>
        <w:rPr>
          <w:b/>
          <w:bCs/>
          <w:spacing w:val="-2"/>
        </w:rPr>
        <w:t>Artinyan</w:t>
      </w:r>
      <w:proofErr w:type="spellEnd"/>
      <w:r>
        <w:rPr>
          <w:b/>
          <w:bCs/>
          <w:spacing w:val="-2"/>
        </w:rPr>
        <w:t xml:space="preserve"> A</w:t>
      </w:r>
      <w:r>
        <w:rPr>
          <w:spacing w:val="-2"/>
        </w:rPr>
        <w:t xml:space="preserve">, </w:t>
      </w:r>
      <w:proofErr w:type="spellStart"/>
      <w:r>
        <w:rPr>
          <w:spacing w:val="-2"/>
        </w:rPr>
        <w:t>Mailey</w:t>
      </w:r>
      <w:proofErr w:type="spellEnd"/>
      <w:r>
        <w:rPr>
          <w:spacing w:val="-2"/>
        </w:rPr>
        <w:t xml:space="preserve"> B, Sanchez-</w:t>
      </w:r>
      <w:proofErr w:type="spellStart"/>
      <w:r>
        <w:rPr>
          <w:spacing w:val="-2"/>
        </w:rPr>
        <w:t>Luege</w:t>
      </w:r>
      <w:proofErr w:type="spellEnd"/>
      <w:r>
        <w:rPr>
          <w:spacing w:val="-2"/>
        </w:rPr>
        <w:t xml:space="preserve"> N, </w:t>
      </w:r>
      <w:proofErr w:type="spellStart"/>
      <w:r>
        <w:rPr>
          <w:spacing w:val="-2"/>
        </w:rPr>
        <w:t>Khalili</w:t>
      </w:r>
      <w:proofErr w:type="spellEnd"/>
      <w:r>
        <w:rPr>
          <w:spacing w:val="-2"/>
        </w:rPr>
        <w:t xml:space="preserve"> J, Sun CL, Bhatia S, </w:t>
      </w:r>
      <w:proofErr w:type="spellStart"/>
      <w:r>
        <w:rPr>
          <w:spacing w:val="-2"/>
        </w:rPr>
        <w:t>Wagman</w:t>
      </w:r>
      <w:proofErr w:type="spellEnd"/>
      <w:r>
        <w:rPr>
          <w:spacing w:val="-2"/>
        </w:rPr>
        <w:t xml:space="preserve"> LD, </w:t>
      </w:r>
      <w:proofErr w:type="spellStart"/>
      <w:r>
        <w:rPr>
          <w:spacing w:val="-2"/>
        </w:rPr>
        <w:t>Nissen</w:t>
      </w:r>
      <w:proofErr w:type="spellEnd"/>
      <w:r>
        <w:rPr>
          <w:spacing w:val="-2"/>
        </w:rPr>
        <w:t xml:space="preserve"> N, Colquhoun SD, Kim J. Race, ethnicity, and socioeconomic status influence the survival of patients with hepatocellular carcinoma in the United States. </w:t>
      </w:r>
      <w:r>
        <w:rPr>
          <w:i/>
          <w:iCs/>
          <w:spacing w:val="-2"/>
        </w:rPr>
        <w:t>Cancer</w:t>
      </w:r>
      <w:r>
        <w:rPr>
          <w:spacing w:val="-2"/>
        </w:rPr>
        <w:t xml:space="preserve"> 2010; </w:t>
      </w:r>
      <w:r>
        <w:rPr>
          <w:b/>
          <w:bCs/>
          <w:spacing w:val="-2"/>
        </w:rPr>
        <w:t>116</w:t>
      </w:r>
      <w:r>
        <w:rPr>
          <w:spacing w:val="-2"/>
        </w:rPr>
        <w:t>: 1367-1377 [PMID: 20101732 DOI: 10.1002/cncr.24817]</w:t>
      </w:r>
    </w:p>
    <w:p w:rsidR="00E21E48" w:rsidRDefault="00E21E48" w:rsidP="00E21E48">
      <w:pPr>
        <w:pStyle w:val="-1"/>
      </w:pPr>
      <w:r>
        <w:t>18</w:t>
      </w:r>
      <w:r>
        <w:tab/>
      </w:r>
      <w:r>
        <w:rPr>
          <w:b/>
          <w:bCs/>
        </w:rPr>
        <w:t>Wong LL</w:t>
      </w:r>
      <w:r>
        <w:t xml:space="preserve">, Hernandez BY, Albright CL. Socioeconomic factors affect disparities in access to liver transplant for hepatocellular cancer. </w:t>
      </w:r>
      <w:r>
        <w:rPr>
          <w:i/>
          <w:iCs/>
        </w:rPr>
        <w:t>J Transplant</w:t>
      </w:r>
      <w:r>
        <w:t xml:space="preserve"> 2012; </w:t>
      </w:r>
      <w:r>
        <w:rPr>
          <w:b/>
          <w:bCs/>
        </w:rPr>
        <w:t>2012</w:t>
      </w:r>
      <w:r>
        <w:t>: 870659 [PMID: 23304446 DOI: 10.1155/2012/870659]</w:t>
      </w:r>
    </w:p>
    <w:p w:rsidR="00E21E48" w:rsidRDefault="00E21E48" w:rsidP="00E21E48">
      <w:pPr>
        <w:pStyle w:val="-1"/>
        <w:rPr>
          <w:spacing w:val="-3"/>
        </w:rPr>
      </w:pPr>
      <w:r>
        <w:t>19</w:t>
      </w:r>
      <w:r>
        <w:tab/>
      </w:r>
      <w:r>
        <w:rPr>
          <w:b/>
          <w:bCs/>
          <w:spacing w:val="-3"/>
        </w:rPr>
        <w:t>Boden-</w:t>
      </w:r>
      <w:proofErr w:type="spellStart"/>
      <w:r>
        <w:rPr>
          <w:b/>
          <w:bCs/>
          <w:spacing w:val="-3"/>
        </w:rPr>
        <w:t>Albala</w:t>
      </w:r>
      <w:proofErr w:type="spellEnd"/>
      <w:r>
        <w:rPr>
          <w:b/>
          <w:bCs/>
          <w:spacing w:val="-3"/>
        </w:rPr>
        <w:t xml:space="preserve"> B</w:t>
      </w:r>
      <w:r>
        <w:rPr>
          <w:spacing w:val="-3"/>
        </w:rPr>
        <w:t xml:space="preserve">, </w:t>
      </w:r>
      <w:proofErr w:type="spellStart"/>
      <w:r>
        <w:rPr>
          <w:spacing w:val="-3"/>
        </w:rPr>
        <w:t>Cammack</w:t>
      </w:r>
      <w:proofErr w:type="spellEnd"/>
      <w:r>
        <w:rPr>
          <w:spacing w:val="-3"/>
        </w:rPr>
        <w:t xml:space="preserve"> S, Chong J, Wang C, Wright C, </w:t>
      </w:r>
      <w:proofErr w:type="spellStart"/>
      <w:r>
        <w:rPr>
          <w:spacing w:val="-3"/>
        </w:rPr>
        <w:t>Rundek</w:t>
      </w:r>
      <w:proofErr w:type="spellEnd"/>
      <w:r>
        <w:rPr>
          <w:spacing w:val="-3"/>
        </w:rPr>
        <w:t xml:space="preserve"> T, </w:t>
      </w:r>
      <w:proofErr w:type="spellStart"/>
      <w:r>
        <w:rPr>
          <w:spacing w:val="-3"/>
        </w:rPr>
        <w:t>Elkind</w:t>
      </w:r>
      <w:proofErr w:type="spellEnd"/>
      <w:r>
        <w:rPr>
          <w:spacing w:val="-3"/>
        </w:rPr>
        <w:t xml:space="preserve"> MS, Paik MC, Sacco RL. Diabetes, fasting glucose levels, and risk of ischemic stroke and vascular events: findings from the Northern Manhattan Study (NOMAS). </w:t>
      </w:r>
      <w:r>
        <w:rPr>
          <w:i/>
          <w:iCs/>
          <w:spacing w:val="-3"/>
        </w:rPr>
        <w:t>Diabetes Care</w:t>
      </w:r>
      <w:r>
        <w:rPr>
          <w:spacing w:val="-3"/>
        </w:rPr>
        <w:t xml:space="preserve"> 2008; </w:t>
      </w:r>
      <w:r>
        <w:rPr>
          <w:b/>
          <w:bCs/>
          <w:spacing w:val="-3"/>
        </w:rPr>
        <w:t>31</w:t>
      </w:r>
      <w:r>
        <w:rPr>
          <w:spacing w:val="-3"/>
        </w:rPr>
        <w:t>: 1132-1137 [PMID: 18339972 DOI: 10.2337/dc07-0797]</w:t>
      </w:r>
    </w:p>
    <w:p w:rsidR="00E21E48" w:rsidRDefault="00E21E48" w:rsidP="00E21E48">
      <w:pPr>
        <w:pStyle w:val="-1"/>
      </w:pPr>
      <w:r>
        <w:t>20</w:t>
      </w:r>
      <w:r>
        <w:tab/>
      </w:r>
      <w:r>
        <w:rPr>
          <w:b/>
          <w:bCs/>
        </w:rPr>
        <w:t>Rodriguez F</w:t>
      </w:r>
      <w:r>
        <w:t xml:space="preserve">, </w:t>
      </w:r>
      <w:proofErr w:type="spellStart"/>
      <w:r>
        <w:t>Naderi</w:t>
      </w:r>
      <w:proofErr w:type="spellEnd"/>
      <w:r>
        <w:t xml:space="preserve"> S, Wang Y, Johnson CE, Foody JM. High prevalence of metabolic syndrome in young Hispanic women: findings from the national Sister to Sister campaign. </w:t>
      </w:r>
      <w:proofErr w:type="spellStart"/>
      <w:r>
        <w:rPr>
          <w:i/>
          <w:iCs/>
        </w:rPr>
        <w:t>Metab</w:t>
      </w:r>
      <w:proofErr w:type="spellEnd"/>
      <w:r>
        <w:rPr>
          <w:i/>
          <w:iCs/>
        </w:rPr>
        <w:t xml:space="preserve"> </w:t>
      </w:r>
      <w:proofErr w:type="spellStart"/>
      <w:r>
        <w:rPr>
          <w:i/>
          <w:iCs/>
        </w:rPr>
        <w:t>Syndr</w:t>
      </w:r>
      <w:proofErr w:type="spellEnd"/>
      <w:r>
        <w:rPr>
          <w:i/>
          <w:iCs/>
        </w:rPr>
        <w:t xml:space="preserve"> </w:t>
      </w:r>
      <w:proofErr w:type="spellStart"/>
      <w:r>
        <w:rPr>
          <w:i/>
          <w:iCs/>
        </w:rPr>
        <w:t>Relat</w:t>
      </w:r>
      <w:proofErr w:type="spellEnd"/>
      <w:r>
        <w:rPr>
          <w:i/>
          <w:iCs/>
        </w:rPr>
        <w:t xml:space="preserve"> </w:t>
      </w:r>
      <w:proofErr w:type="spellStart"/>
      <w:r>
        <w:rPr>
          <w:i/>
          <w:iCs/>
        </w:rPr>
        <w:t>Disord</w:t>
      </w:r>
      <w:proofErr w:type="spellEnd"/>
      <w:r>
        <w:t xml:space="preserve"> 2013; </w:t>
      </w:r>
      <w:r>
        <w:rPr>
          <w:b/>
          <w:bCs/>
        </w:rPr>
        <w:t>11</w:t>
      </w:r>
      <w:r>
        <w:t>: 81-86 [PMID: 23259587 DOI: 10.1089/met.2012.0109]</w:t>
      </w:r>
    </w:p>
    <w:p w:rsidR="00E21E48" w:rsidRDefault="00E21E48" w:rsidP="00E21E48">
      <w:pPr>
        <w:pStyle w:val="-1"/>
      </w:pPr>
      <w:r>
        <w:t>21</w:t>
      </w:r>
      <w:r>
        <w:tab/>
      </w:r>
      <w:proofErr w:type="spellStart"/>
      <w:r>
        <w:rPr>
          <w:b/>
          <w:bCs/>
        </w:rPr>
        <w:t>Benabe</w:t>
      </w:r>
      <w:proofErr w:type="spellEnd"/>
      <w:r>
        <w:rPr>
          <w:b/>
          <w:bCs/>
        </w:rPr>
        <w:t xml:space="preserve"> JE</w:t>
      </w:r>
      <w:r>
        <w:t xml:space="preserve">, Rios EV. Kidney disease in the Hispanic population: facing the growing challenge. </w:t>
      </w:r>
      <w:r>
        <w:rPr>
          <w:i/>
          <w:iCs/>
        </w:rPr>
        <w:t xml:space="preserve">J Natl Med </w:t>
      </w:r>
      <w:proofErr w:type="spellStart"/>
      <w:r>
        <w:rPr>
          <w:i/>
          <w:iCs/>
        </w:rPr>
        <w:t>Assoc</w:t>
      </w:r>
      <w:proofErr w:type="spellEnd"/>
      <w:r>
        <w:t xml:space="preserve"> 2004; </w:t>
      </w:r>
      <w:r>
        <w:rPr>
          <w:b/>
          <w:bCs/>
        </w:rPr>
        <w:t>96</w:t>
      </w:r>
      <w:r>
        <w:t>: 789-798 [PMID: 15233489]</w:t>
      </w:r>
    </w:p>
    <w:p w:rsidR="00E21E48" w:rsidRDefault="00E21E48" w:rsidP="00E21E48">
      <w:pPr>
        <w:pStyle w:val="-1"/>
      </w:pPr>
      <w:r>
        <w:t>22</w:t>
      </w:r>
      <w:r>
        <w:tab/>
      </w:r>
      <w:r>
        <w:rPr>
          <w:b/>
          <w:bCs/>
        </w:rPr>
        <w:t>Peralta CA</w:t>
      </w:r>
      <w:r>
        <w:t xml:space="preserve">, </w:t>
      </w:r>
      <w:proofErr w:type="spellStart"/>
      <w:r>
        <w:t>Shlipak</w:t>
      </w:r>
      <w:proofErr w:type="spellEnd"/>
      <w:r>
        <w:t xml:space="preserve"> MG, Fan D, </w:t>
      </w:r>
      <w:proofErr w:type="spellStart"/>
      <w:r>
        <w:t>Ordoñez</w:t>
      </w:r>
      <w:proofErr w:type="spellEnd"/>
      <w:r>
        <w:t xml:space="preserve"> J, Lash JP, </w:t>
      </w:r>
      <w:proofErr w:type="spellStart"/>
      <w:r>
        <w:t>Chertow</w:t>
      </w:r>
      <w:proofErr w:type="spellEnd"/>
      <w:r>
        <w:t xml:space="preserve"> GM, Go AS. </w:t>
      </w:r>
      <w:proofErr w:type="gramStart"/>
      <w:r>
        <w:t>Risks for end-stage renal disease, cardiovascular events, and death in Hispanic versus non-Hispanic white adults with chronic kidney disease.</w:t>
      </w:r>
      <w:proofErr w:type="gramEnd"/>
      <w:r>
        <w:t xml:space="preserve"> </w:t>
      </w:r>
      <w:r>
        <w:rPr>
          <w:i/>
          <w:iCs/>
        </w:rPr>
        <w:t xml:space="preserve">J Am </w:t>
      </w:r>
      <w:proofErr w:type="spellStart"/>
      <w:r>
        <w:rPr>
          <w:i/>
          <w:iCs/>
        </w:rPr>
        <w:t>Soc</w:t>
      </w:r>
      <w:proofErr w:type="spellEnd"/>
      <w:r>
        <w:rPr>
          <w:i/>
          <w:iCs/>
        </w:rPr>
        <w:t xml:space="preserve"> </w:t>
      </w:r>
      <w:proofErr w:type="spellStart"/>
      <w:r>
        <w:rPr>
          <w:i/>
          <w:iCs/>
        </w:rPr>
        <w:t>Nephrol</w:t>
      </w:r>
      <w:proofErr w:type="spellEnd"/>
      <w:r>
        <w:t xml:space="preserve"> 2006; </w:t>
      </w:r>
      <w:r>
        <w:rPr>
          <w:b/>
          <w:bCs/>
        </w:rPr>
        <w:t>17</w:t>
      </w:r>
      <w:r>
        <w:t>: 2892-2899 [PMID: 16959827 DOI: 10.1681/ASN.2005101122]</w:t>
      </w:r>
    </w:p>
    <w:p w:rsidR="00E21E48" w:rsidRDefault="00E21E48" w:rsidP="00E21E48">
      <w:pPr>
        <w:pStyle w:val="-1"/>
      </w:pPr>
      <w:r>
        <w:t>23</w:t>
      </w:r>
      <w:r>
        <w:tab/>
      </w:r>
      <w:r>
        <w:rPr>
          <w:b/>
          <w:bCs/>
        </w:rPr>
        <w:t>Coresh J</w:t>
      </w:r>
      <w:r>
        <w:t xml:space="preserve">, Astor BC, Greene T, </w:t>
      </w:r>
      <w:proofErr w:type="spellStart"/>
      <w:r>
        <w:t>Eknoyan</w:t>
      </w:r>
      <w:proofErr w:type="spellEnd"/>
      <w:r>
        <w:t xml:space="preserve"> G, Levey AS. Prevalence of chronic kidney disease and decreased kidney function in the adult US population: Third National Health and Nutrition Examination Survey. </w:t>
      </w:r>
      <w:r>
        <w:rPr>
          <w:i/>
          <w:iCs/>
        </w:rPr>
        <w:t>Am J Kidney Dis</w:t>
      </w:r>
      <w:r>
        <w:t xml:space="preserve"> 2003; </w:t>
      </w:r>
      <w:r>
        <w:rPr>
          <w:b/>
          <w:bCs/>
        </w:rPr>
        <w:t>41</w:t>
      </w:r>
      <w:r>
        <w:t>: 1-12 [PMID: 12500213 DOI: 10.1053/ajkd.2003.50007]</w:t>
      </w:r>
    </w:p>
    <w:p w:rsidR="00E21E48" w:rsidRDefault="00E21E48" w:rsidP="00E21E48">
      <w:pPr>
        <w:pStyle w:val="-1"/>
        <w:rPr>
          <w:spacing w:val="-2"/>
        </w:rPr>
      </w:pPr>
      <w:r>
        <w:t>24</w:t>
      </w:r>
      <w:r>
        <w:tab/>
      </w:r>
      <w:proofErr w:type="spellStart"/>
      <w:r>
        <w:rPr>
          <w:b/>
          <w:bCs/>
          <w:spacing w:val="-2"/>
        </w:rPr>
        <w:t>Calle</w:t>
      </w:r>
      <w:proofErr w:type="spellEnd"/>
      <w:r>
        <w:rPr>
          <w:b/>
          <w:bCs/>
          <w:spacing w:val="-2"/>
        </w:rPr>
        <w:t xml:space="preserve"> EE</w:t>
      </w:r>
      <w:r>
        <w:rPr>
          <w:spacing w:val="-2"/>
        </w:rPr>
        <w:t xml:space="preserve">, </w:t>
      </w:r>
      <w:proofErr w:type="spellStart"/>
      <w:r>
        <w:rPr>
          <w:spacing w:val="-2"/>
        </w:rPr>
        <w:t>Teras</w:t>
      </w:r>
      <w:proofErr w:type="spellEnd"/>
      <w:r>
        <w:rPr>
          <w:spacing w:val="-2"/>
        </w:rPr>
        <w:t xml:space="preserve"> LR, Thun MJ. </w:t>
      </w:r>
      <w:proofErr w:type="gramStart"/>
      <w:r>
        <w:rPr>
          <w:spacing w:val="-2"/>
        </w:rPr>
        <w:t>Obesity and mortality.</w:t>
      </w:r>
      <w:proofErr w:type="gramEnd"/>
      <w:r>
        <w:rPr>
          <w:spacing w:val="-2"/>
        </w:rPr>
        <w:t xml:space="preserve"> </w:t>
      </w:r>
      <w:r>
        <w:rPr>
          <w:i/>
          <w:iCs/>
          <w:spacing w:val="-2"/>
        </w:rPr>
        <w:t xml:space="preserve">N </w:t>
      </w:r>
      <w:proofErr w:type="spellStart"/>
      <w:r>
        <w:rPr>
          <w:i/>
          <w:iCs/>
          <w:spacing w:val="-2"/>
        </w:rPr>
        <w:t>Engl</w:t>
      </w:r>
      <w:proofErr w:type="spellEnd"/>
      <w:r>
        <w:rPr>
          <w:i/>
          <w:iCs/>
          <w:spacing w:val="-2"/>
        </w:rPr>
        <w:t xml:space="preserve"> J Med</w:t>
      </w:r>
      <w:r>
        <w:rPr>
          <w:spacing w:val="-2"/>
        </w:rPr>
        <w:t xml:space="preserve"> 2005; </w:t>
      </w:r>
      <w:r>
        <w:rPr>
          <w:b/>
          <w:bCs/>
          <w:spacing w:val="-2"/>
        </w:rPr>
        <w:t>353</w:t>
      </w:r>
      <w:r>
        <w:rPr>
          <w:spacing w:val="-2"/>
        </w:rPr>
        <w:t>: 2197-2199 [PMID: 16291995 DOI: 10.1056/NEJM200511173532020]</w:t>
      </w:r>
    </w:p>
    <w:p w:rsidR="00E21E48" w:rsidRDefault="00E21E48" w:rsidP="00E21E48">
      <w:pPr>
        <w:pStyle w:val="-1"/>
        <w:rPr>
          <w:spacing w:val="-2"/>
        </w:rPr>
      </w:pPr>
      <w:r>
        <w:t>25</w:t>
      </w:r>
      <w:r>
        <w:tab/>
      </w:r>
      <w:r>
        <w:rPr>
          <w:b/>
          <w:bCs/>
          <w:spacing w:val="-2"/>
        </w:rPr>
        <w:t>El-</w:t>
      </w:r>
      <w:proofErr w:type="spellStart"/>
      <w:r>
        <w:rPr>
          <w:b/>
          <w:bCs/>
          <w:spacing w:val="-2"/>
        </w:rPr>
        <w:t>Serag</w:t>
      </w:r>
      <w:proofErr w:type="spellEnd"/>
      <w:r>
        <w:rPr>
          <w:b/>
          <w:bCs/>
          <w:spacing w:val="-2"/>
        </w:rPr>
        <w:t xml:space="preserve"> HB</w:t>
      </w:r>
      <w:r>
        <w:rPr>
          <w:spacing w:val="-2"/>
        </w:rPr>
        <w:t xml:space="preserve">, </w:t>
      </w:r>
      <w:proofErr w:type="spellStart"/>
      <w:r>
        <w:rPr>
          <w:spacing w:val="-2"/>
        </w:rPr>
        <w:t>Hampel</w:t>
      </w:r>
      <w:proofErr w:type="spellEnd"/>
      <w:r>
        <w:rPr>
          <w:spacing w:val="-2"/>
        </w:rPr>
        <w:t xml:space="preserve"> H, </w:t>
      </w:r>
      <w:proofErr w:type="spellStart"/>
      <w:r>
        <w:rPr>
          <w:spacing w:val="-2"/>
        </w:rPr>
        <w:t>Javadi</w:t>
      </w:r>
      <w:proofErr w:type="spellEnd"/>
      <w:r>
        <w:rPr>
          <w:spacing w:val="-2"/>
        </w:rPr>
        <w:t xml:space="preserve"> F. The association between dia</w:t>
      </w:r>
      <w:r>
        <w:rPr>
          <w:spacing w:val="-2"/>
        </w:rPr>
        <w:softHyphen/>
        <w:t>betes and hepatocellular carcinoma: a systematic review of epide</w:t>
      </w:r>
      <w:r>
        <w:rPr>
          <w:spacing w:val="-2"/>
        </w:rPr>
        <w:softHyphen/>
        <w:t xml:space="preserve">miologic evidence. </w:t>
      </w:r>
      <w:proofErr w:type="spellStart"/>
      <w:r>
        <w:rPr>
          <w:i/>
          <w:iCs/>
          <w:spacing w:val="-2"/>
        </w:rPr>
        <w:t>Clin</w:t>
      </w:r>
      <w:proofErr w:type="spellEnd"/>
      <w:r>
        <w:rPr>
          <w:i/>
          <w:iCs/>
          <w:spacing w:val="-2"/>
        </w:rPr>
        <w:t xml:space="preserve"> </w:t>
      </w:r>
      <w:proofErr w:type="spellStart"/>
      <w:r>
        <w:rPr>
          <w:i/>
          <w:iCs/>
          <w:spacing w:val="-2"/>
        </w:rPr>
        <w:t>Gastroenterol</w:t>
      </w:r>
      <w:proofErr w:type="spellEnd"/>
      <w:r>
        <w:rPr>
          <w:i/>
          <w:iCs/>
          <w:spacing w:val="-2"/>
        </w:rPr>
        <w:t xml:space="preserve"> </w:t>
      </w:r>
      <w:proofErr w:type="spellStart"/>
      <w:r>
        <w:rPr>
          <w:i/>
          <w:iCs/>
          <w:spacing w:val="-2"/>
        </w:rPr>
        <w:t>Hepatol</w:t>
      </w:r>
      <w:proofErr w:type="spellEnd"/>
      <w:r>
        <w:rPr>
          <w:spacing w:val="-2"/>
        </w:rPr>
        <w:t xml:space="preserve"> 2006; </w:t>
      </w:r>
      <w:r>
        <w:rPr>
          <w:b/>
          <w:bCs/>
          <w:spacing w:val="-2"/>
        </w:rPr>
        <w:t>4</w:t>
      </w:r>
      <w:r>
        <w:rPr>
          <w:spacing w:val="-2"/>
        </w:rPr>
        <w:t>: 369-380 [PMID: 16527702 DOI: 10.1016/j.cgh.2005.12.007]</w:t>
      </w:r>
    </w:p>
    <w:p w:rsidR="00E21E48" w:rsidRDefault="00E21E48" w:rsidP="00E21E48">
      <w:pPr>
        <w:pStyle w:val="-1"/>
        <w:rPr>
          <w:spacing w:val="-2"/>
        </w:rPr>
      </w:pPr>
      <w:r>
        <w:t>26</w:t>
      </w:r>
      <w:r>
        <w:tab/>
      </w:r>
      <w:r>
        <w:rPr>
          <w:b/>
          <w:bCs/>
          <w:spacing w:val="-2"/>
        </w:rPr>
        <w:t>Wang C</w:t>
      </w:r>
      <w:r>
        <w:rPr>
          <w:spacing w:val="-2"/>
        </w:rPr>
        <w:t xml:space="preserve">, Wang X, Gong G, Ben Q, </w:t>
      </w:r>
      <w:proofErr w:type="spellStart"/>
      <w:r>
        <w:rPr>
          <w:spacing w:val="-2"/>
        </w:rPr>
        <w:t>Qiu</w:t>
      </w:r>
      <w:proofErr w:type="spellEnd"/>
      <w:r>
        <w:rPr>
          <w:spacing w:val="-2"/>
        </w:rPr>
        <w:t xml:space="preserve"> W, Chen Y, Li G, Wang L. Increased risk of hepatocellular carcinoma in patients with diabetes mellitus: a systematic review and meta-analysis of cohort studies. </w:t>
      </w:r>
      <w:proofErr w:type="spellStart"/>
      <w:r>
        <w:rPr>
          <w:i/>
          <w:iCs/>
          <w:spacing w:val="-3"/>
        </w:rPr>
        <w:t>Int</w:t>
      </w:r>
      <w:proofErr w:type="spellEnd"/>
      <w:r>
        <w:rPr>
          <w:i/>
          <w:iCs/>
          <w:spacing w:val="-3"/>
        </w:rPr>
        <w:t xml:space="preserve"> J Cancer</w:t>
      </w:r>
      <w:r>
        <w:rPr>
          <w:spacing w:val="-3"/>
        </w:rPr>
        <w:t xml:space="preserve"> 2012; </w:t>
      </w:r>
      <w:r>
        <w:rPr>
          <w:b/>
          <w:bCs/>
          <w:spacing w:val="-3"/>
        </w:rPr>
        <w:t>130</w:t>
      </w:r>
      <w:r>
        <w:rPr>
          <w:spacing w:val="-3"/>
        </w:rPr>
        <w:t xml:space="preserve">: 1639-1648 [PMID: 21544812 DOI: </w:t>
      </w:r>
      <w:r>
        <w:rPr>
          <w:spacing w:val="-2"/>
        </w:rPr>
        <w:t>10.1002/ijc.26165]</w:t>
      </w:r>
    </w:p>
    <w:p w:rsidR="00E21E48" w:rsidRDefault="00E21E48" w:rsidP="00E21E48">
      <w:pPr>
        <w:pStyle w:val="-1"/>
        <w:rPr>
          <w:spacing w:val="-2"/>
        </w:rPr>
      </w:pPr>
      <w:r>
        <w:t>27</w:t>
      </w:r>
      <w:r>
        <w:tab/>
      </w:r>
      <w:proofErr w:type="spellStart"/>
      <w:r>
        <w:rPr>
          <w:b/>
          <w:bCs/>
          <w:spacing w:val="-2"/>
        </w:rPr>
        <w:t>Setiawan</w:t>
      </w:r>
      <w:proofErr w:type="spellEnd"/>
      <w:r>
        <w:rPr>
          <w:b/>
          <w:bCs/>
          <w:spacing w:val="-2"/>
        </w:rPr>
        <w:t xml:space="preserve"> VW</w:t>
      </w:r>
      <w:r>
        <w:rPr>
          <w:spacing w:val="-2"/>
        </w:rPr>
        <w:t xml:space="preserve">, Hernandez BY, Lu SC, </w:t>
      </w:r>
      <w:proofErr w:type="spellStart"/>
      <w:r>
        <w:rPr>
          <w:spacing w:val="-2"/>
        </w:rPr>
        <w:t>Stram</w:t>
      </w:r>
      <w:proofErr w:type="spellEnd"/>
      <w:r>
        <w:rPr>
          <w:spacing w:val="-2"/>
        </w:rPr>
        <w:t xml:space="preserve"> DO, Wilkens LR, Le </w:t>
      </w:r>
      <w:proofErr w:type="spellStart"/>
      <w:r>
        <w:rPr>
          <w:spacing w:val="-2"/>
        </w:rPr>
        <w:t>Marchand</w:t>
      </w:r>
      <w:proofErr w:type="spellEnd"/>
      <w:r>
        <w:rPr>
          <w:spacing w:val="-2"/>
        </w:rPr>
        <w:t xml:space="preserve"> L, Henderson BE. Diabetes and racial/ethnic differences in hepatocellular carcinoma risk: the multiethnic cohort. </w:t>
      </w:r>
      <w:r>
        <w:rPr>
          <w:i/>
          <w:iCs/>
          <w:spacing w:val="-2"/>
        </w:rPr>
        <w:t>J Natl Cancer Inst</w:t>
      </w:r>
      <w:r>
        <w:rPr>
          <w:spacing w:val="-2"/>
        </w:rPr>
        <w:t xml:space="preserve"> 2014; </w:t>
      </w:r>
      <w:r>
        <w:rPr>
          <w:b/>
          <w:bCs/>
          <w:spacing w:val="-2"/>
        </w:rPr>
        <w:t>106</w:t>
      </w:r>
      <w:r>
        <w:rPr>
          <w:spacing w:val="-2"/>
        </w:rPr>
        <w:t xml:space="preserve">: </w:t>
      </w:r>
      <w:proofErr w:type="spellStart"/>
      <w:r>
        <w:rPr>
          <w:spacing w:val="-2"/>
        </w:rPr>
        <w:t>pii</w:t>
      </w:r>
      <w:proofErr w:type="spellEnd"/>
      <w:r>
        <w:rPr>
          <w:spacing w:val="-2"/>
        </w:rPr>
        <w:t>: dju326 [PMID: 25326644 DOI: 10.1093/</w:t>
      </w:r>
      <w:proofErr w:type="spellStart"/>
      <w:r>
        <w:rPr>
          <w:spacing w:val="-2"/>
        </w:rPr>
        <w:t>jnci</w:t>
      </w:r>
      <w:proofErr w:type="spellEnd"/>
      <w:r>
        <w:rPr>
          <w:spacing w:val="-2"/>
        </w:rPr>
        <w:t>/dju326]</w:t>
      </w:r>
    </w:p>
    <w:p w:rsidR="00E21E48" w:rsidRDefault="00E21E48" w:rsidP="00E21E48">
      <w:pPr>
        <w:pStyle w:val="-1"/>
        <w:rPr>
          <w:spacing w:val="-3"/>
        </w:rPr>
      </w:pPr>
      <w:r>
        <w:t>28</w:t>
      </w:r>
      <w:r>
        <w:tab/>
      </w:r>
      <w:r>
        <w:rPr>
          <w:b/>
          <w:bCs/>
          <w:spacing w:val="-3"/>
        </w:rPr>
        <w:t xml:space="preserve">Wendy </w:t>
      </w:r>
      <w:proofErr w:type="spellStart"/>
      <w:r>
        <w:rPr>
          <w:b/>
          <w:bCs/>
          <w:spacing w:val="-3"/>
        </w:rPr>
        <w:t>Setiawan</w:t>
      </w:r>
      <w:proofErr w:type="spellEnd"/>
      <w:r>
        <w:rPr>
          <w:b/>
          <w:bCs/>
          <w:spacing w:val="-3"/>
        </w:rPr>
        <w:t xml:space="preserve"> PD</w:t>
      </w:r>
      <w:r>
        <w:rPr>
          <w:spacing w:val="-3"/>
        </w:rPr>
        <w:t xml:space="preserve">. Multiethnic Cohort Study Analysis: Diabetes Identified as Risk Factor for Liver Cancer </w:t>
      </w:r>
      <w:proofErr w:type="gramStart"/>
      <w:r>
        <w:rPr>
          <w:spacing w:val="-3"/>
        </w:rPr>
        <w:t>Across</w:t>
      </w:r>
      <w:proofErr w:type="gramEnd"/>
      <w:r>
        <w:rPr>
          <w:spacing w:val="-3"/>
        </w:rPr>
        <w:t xml:space="preserve"> Ethnic Groups. Paper presented at: </w:t>
      </w:r>
      <w:proofErr w:type="spellStart"/>
      <w:r>
        <w:rPr>
          <w:spacing w:val="-3"/>
        </w:rPr>
        <w:t>AACRSixth</w:t>
      </w:r>
      <w:proofErr w:type="spellEnd"/>
      <w:r>
        <w:rPr>
          <w:spacing w:val="-3"/>
        </w:rPr>
        <w:t xml:space="preserve"> AACR Conference on the Science of Cancer Health Disparities in Racial/Ethnic Minorities and the Medically Underserved, held December 6-9, 2013. Available from: URL: https://www.sciencedaily.com/releases/2013/12/131209084147.htm</w:t>
      </w:r>
    </w:p>
    <w:p w:rsidR="00E21E48" w:rsidRDefault="00E21E48" w:rsidP="00E21E48">
      <w:pPr>
        <w:pStyle w:val="-1"/>
        <w:rPr>
          <w:spacing w:val="-2"/>
        </w:rPr>
      </w:pPr>
      <w:r>
        <w:t>29</w:t>
      </w:r>
      <w:r>
        <w:tab/>
      </w:r>
      <w:r>
        <w:rPr>
          <w:b/>
          <w:bCs/>
          <w:spacing w:val="-2"/>
        </w:rPr>
        <w:t>Flores YN</w:t>
      </w:r>
      <w:r>
        <w:rPr>
          <w:spacing w:val="-2"/>
        </w:rPr>
        <w:t xml:space="preserve">, Yee HF, </w:t>
      </w:r>
      <w:proofErr w:type="spellStart"/>
      <w:r>
        <w:rPr>
          <w:spacing w:val="-2"/>
        </w:rPr>
        <w:t>Leng</w:t>
      </w:r>
      <w:proofErr w:type="spellEnd"/>
      <w:r>
        <w:rPr>
          <w:spacing w:val="-2"/>
        </w:rPr>
        <w:t xml:space="preserve"> M, </w:t>
      </w:r>
      <w:proofErr w:type="spellStart"/>
      <w:r>
        <w:rPr>
          <w:spacing w:val="-2"/>
        </w:rPr>
        <w:t>Escarce</w:t>
      </w:r>
      <w:proofErr w:type="spellEnd"/>
      <w:r>
        <w:rPr>
          <w:spacing w:val="-2"/>
        </w:rPr>
        <w:t xml:space="preserve"> JJ, </w:t>
      </w:r>
      <w:proofErr w:type="spellStart"/>
      <w:r>
        <w:rPr>
          <w:spacing w:val="-2"/>
        </w:rPr>
        <w:t>Bastani</w:t>
      </w:r>
      <w:proofErr w:type="spellEnd"/>
      <w:r>
        <w:rPr>
          <w:spacing w:val="-2"/>
        </w:rPr>
        <w:t xml:space="preserve"> R, </w:t>
      </w:r>
      <w:proofErr w:type="spellStart"/>
      <w:r>
        <w:rPr>
          <w:spacing w:val="-2"/>
        </w:rPr>
        <w:t>Salmerón</w:t>
      </w:r>
      <w:proofErr w:type="spellEnd"/>
      <w:r>
        <w:rPr>
          <w:spacing w:val="-2"/>
        </w:rPr>
        <w:t xml:space="preserve"> J, Morales LS. Risk factors for chronic liver disease in Blacks, Mexican Americans, and Whites in the United States: results from NHANES IV, 1999-2004. </w:t>
      </w:r>
      <w:r>
        <w:rPr>
          <w:i/>
          <w:iCs/>
          <w:spacing w:val="-2"/>
        </w:rPr>
        <w:t xml:space="preserve">Am J </w:t>
      </w:r>
      <w:proofErr w:type="spellStart"/>
      <w:r>
        <w:rPr>
          <w:i/>
          <w:iCs/>
          <w:spacing w:val="-2"/>
        </w:rPr>
        <w:t>Gastroenterol</w:t>
      </w:r>
      <w:proofErr w:type="spellEnd"/>
      <w:r>
        <w:rPr>
          <w:spacing w:val="-2"/>
        </w:rPr>
        <w:t xml:space="preserve"> 2008; </w:t>
      </w:r>
      <w:r>
        <w:rPr>
          <w:b/>
          <w:bCs/>
          <w:spacing w:val="-2"/>
        </w:rPr>
        <w:t>103</w:t>
      </w:r>
      <w:r>
        <w:rPr>
          <w:spacing w:val="-2"/>
        </w:rPr>
        <w:t xml:space="preserve">: 2231-2238 [PMID: 18671818 </w:t>
      </w:r>
      <w:r>
        <w:rPr>
          <w:spacing w:val="-2"/>
        </w:rPr>
        <w:lastRenderedPageBreak/>
        <w:t>DOI: 10.1111/j.1572-0241.2008.02022.x]</w:t>
      </w:r>
    </w:p>
    <w:p w:rsidR="00E21E48" w:rsidRDefault="00E21E48" w:rsidP="00E21E48">
      <w:pPr>
        <w:pStyle w:val="-1"/>
        <w:rPr>
          <w:spacing w:val="-3"/>
        </w:rPr>
      </w:pPr>
      <w:proofErr w:type="gramStart"/>
      <w:r>
        <w:t>30</w:t>
      </w:r>
      <w:r>
        <w:tab/>
      </w:r>
      <w:r>
        <w:rPr>
          <w:b/>
          <w:bCs/>
          <w:spacing w:val="-3"/>
        </w:rPr>
        <w:t>Stewart SH</w:t>
      </w:r>
      <w:r>
        <w:rPr>
          <w:spacing w:val="-3"/>
        </w:rPr>
        <w:t>. Racial and ethnic differences in alcohol-associated aspartate aminotransferase and gamma-</w:t>
      </w:r>
      <w:proofErr w:type="spellStart"/>
      <w:r>
        <w:rPr>
          <w:spacing w:val="-3"/>
        </w:rPr>
        <w:t>glutamyltransferase</w:t>
      </w:r>
      <w:proofErr w:type="spellEnd"/>
      <w:r>
        <w:rPr>
          <w:spacing w:val="-3"/>
        </w:rPr>
        <w:t xml:space="preserve"> elevation.</w:t>
      </w:r>
      <w:proofErr w:type="gramEnd"/>
      <w:r>
        <w:rPr>
          <w:spacing w:val="-3"/>
        </w:rPr>
        <w:t xml:space="preserve"> </w:t>
      </w:r>
      <w:r>
        <w:rPr>
          <w:i/>
          <w:iCs/>
          <w:spacing w:val="-3"/>
        </w:rPr>
        <w:t>Arch Intern Med</w:t>
      </w:r>
      <w:r>
        <w:rPr>
          <w:spacing w:val="-3"/>
        </w:rPr>
        <w:t xml:space="preserve"> 2002; </w:t>
      </w:r>
      <w:r>
        <w:rPr>
          <w:b/>
          <w:bCs/>
          <w:spacing w:val="-3"/>
        </w:rPr>
        <w:t>162</w:t>
      </w:r>
      <w:r>
        <w:rPr>
          <w:spacing w:val="-3"/>
        </w:rPr>
        <w:t>: 2236-2239 [PMID: 12390068 DOI: 10.1001/archinte.162.19.2236]</w:t>
      </w:r>
    </w:p>
    <w:p w:rsidR="00E21E48" w:rsidRDefault="00E21E48" w:rsidP="00E21E48">
      <w:pPr>
        <w:pStyle w:val="-1"/>
        <w:rPr>
          <w:spacing w:val="-3"/>
        </w:rPr>
      </w:pPr>
      <w:r>
        <w:t>31</w:t>
      </w:r>
      <w:r>
        <w:tab/>
      </w:r>
      <w:r>
        <w:rPr>
          <w:b/>
          <w:bCs/>
          <w:spacing w:val="-3"/>
        </w:rPr>
        <w:t>Stinson FS</w:t>
      </w:r>
      <w:r>
        <w:rPr>
          <w:spacing w:val="-3"/>
        </w:rPr>
        <w:t xml:space="preserve">, Grant BF, </w:t>
      </w:r>
      <w:proofErr w:type="spellStart"/>
      <w:r>
        <w:rPr>
          <w:spacing w:val="-3"/>
        </w:rPr>
        <w:t>Dufour</w:t>
      </w:r>
      <w:proofErr w:type="spellEnd"/>
      <w:r>
        <w:rPr>
          <w:spacing w:val="-3"/>
        </w:rPr>
        <w:t xml:space="preserve"> MC. </w:t>
      </w:r>
      <w:proofErr w:type="gramStart"/>
      <w:r>
        <w:rPr>
          <w:spacing w:val="-3"/>
        </w:rPr>
        <w:t>The critical dimension of ethnicity in liver cirrhosis mortality statistics.</w:t>
      </w:r>
      <w:proofErr w:type="gramEnd"/>
      <w:r>
        <w:rPr>
          <w:spacing w:val="-3"/>
        </w:rPr>
        <w:t xml:space="preserve"> </w:t>
      </w:r>
      <w:r>
        <w:rPr>
          <w:i/>
          <w:iCs/>
          <w:spacing w:val="-3"/>
        </w:rPr>
        <w:t xml:space="preserve">Alcohol </w:t>
      </w:r>
      <w:proofErr w:type="spellStart"/>
      <w:r>
        <w:rPr>
          <w:i/>
          <w:iCs/>
          <w:spacing w:val="-3"/>
        </w:rPr>
        <w:t>Clin</w:t>
      </w:r>
      <w:proofErr w:type="spellEnd"/>
      <w:r>
        <w:rPr>
          <w:i/>
          <w:iCs/>
          <w:spacing w:val="-3"/>
        </w:rPr>
        <w:t xml:space="preserve"> </w:t>
      </w:r>
      <w:proofErr w:type="spellStart"/>
      <w:r>
        <w:rPr>
          <w:i/>
          <w:iCs/>
          <w:spacing w:val="-3"/>
        </w:rPr>
        <w:t>Exp</w:t>
      </w:r>
      <w:proofErr w:type="spellEnd"/>
      <w:r>
        <w:rPr>
          <w:i/>
          <w:iCs/>
          <w:spacing w:val="-3"/>
        </w:rPr>
        <w:t xml:space="preserve"> Res</w:t>
      </w:r>
      <w:r>
        <w:rPr>
          <w:spacing w:val="-3"/>
        </w:rPr>
        <w:t xml:space="preserve"> 2001; </w:t>
      </w:r>
      <w:r>
        <w:rPr>
          <w:b/>
          <w:bCs/>
          <w:spacing w:val="-3"/>
        </w:rPr>
        <w:t>25</w:t>
      </w:r>
      <w:r>
        <w:rPr>
          <w:spacing w:val="-3"/>
        </w:rPr>
        <w:t>: 1181-1187 [PMID: 11505049 DOI: 10.1111/j.1530- 0277.2001.tb02333.x]</w:t>
      </w:r>
    </w:p>
    <w:p w:rsidR="00E21E48" w:rsidRDefault="00E21E48" w:rsidP="00E21E48">
      <w:pPr>
        <w:pStyle w:val="-1"/>
        <w:rPr>
          <w:spacing w:val="-2"/>
        </w:rPr>
      </w:pPr>
      <w:r>
        <w:t>32</w:t>
      </w:r>
      <w:r>
        <w:tab/>
      </w:r>
      <w:proofErr w:type="spellStart"/>
      <w:r>
        <w:rPr>
          <w:b/>
          <w:bCs/>
          <w:spacing w:val="-2"/>
        </w:rPr>
        <w:t>Asrani</w:t>
      </w:r>
      <w:proofErr w:type="spellEnd"/>
      <w:r>
        <w:rPr>
          <w:b/>
          <w:bCs/>
          <w:spacing w:val="-2"/>
        </w:rPr>
        <w:t xml:space="preserve"> SK</w:t>
      </w:r>
      <w:r>
        <w:rPr>
          <w:spacing w:val="-2"/>
        </w:rPr>
        <w:t xml:space="preserve">, Larson JJ, Yawn B, </w:t>
      </w:r>
      <w:proofErr w:type="spellStart"/>
      <w:r>
        <w:rPr>
          <w:spacing w:val="-2"/>
        </w:rPr>
        <w:t>Therneau</w:t>
      </w:r>
      <w:proofErr w:type="spellEnd"/>
      <w:r>
        <w:rPr>
          <w:spacing w:val="-2"/>
        </w:rPr>
        <w:t xml:space="preserve"> TM, Kim WR. </w:t>
      </w:r>
      <w:proofErr w:type="gramStart"/>
      <w:r>
        <w:rPr>
          <w:spacing w:val="-2"/>
        </w:rPr>
        <w:t>Underestimation of liver-related mortality in the United States.</w:t>
      </w:r>
      <w:proofErr w:type="gramEnd"/>
      <w:r>
        <w:rPr>
          <w:spacing w:val="-2"/>
        </w:rPr>
        <w:t xml:space="preserve"> </w:t>
      </w:r>
      <w:r>
        <w:rPr>
          <w:i/>
          <w:iCs/>
          <w:spacing w:val="-2"/>
        </w:rPr>
        <w:t>Gastroenterology</w:t>
      </w:r>
      <w:r>
        <w:rPr>
          <w:spacing w:val="-2"/>
        </w:rPr>
        <w:t xml:space="preserve"> 2013; </w:t>
      </w:r>
      <w:r>
        <w:rPr>
          <w:b/>
          <w:bCs/>
          <w:spacing w:val="-2"/>
        </w:rPr>
        <w:t>145</w:t>
      </w:r>
      <w:r>
        <w:rPr>
          <w:spacing w:val="-2"/>
        </w:rPr>
        <w:t>: 375-382.e1-2 [PMID: 23583430 DOI: 10.1053/j.gastro.2013.04.005]</w:t>
      </w:r>
    </w:p>
    <w:p w:rsidR="00E21E48" w:rsidRDefault="00E21E48" w:rsidP="00E21E48">
      <w:pPr>
        <w:pStyle w:val="-1"/>
      </w:pPr>
      <w:r>
        <w:t>33</w:t>
      </w:r>
      <w:r>
        <w:tab/>
      </w:r>
      <w:r>
        <w:rPr>
          <w:b/>
          <w:bCs/>
        </w:rPr>
        <w:t>El-</w:t>
      </w:r>
      <w:proofErr w:type="spellStart"/>
      <w:r>
        <w:rPr>
          <w:b/>
          <w:bCs/>
        </w:rPr>
        <w:t>Serag</w:t>
      </w:r>
      <w:proofErr w:type="spellEnd"/>
      <w:r>
        <w:rPr>
          <w:b/>
          <w:bCs/>
        </w:rPr>
        <w:t xml:space="preserve"> HB</w:t>
      </w:r>
      <w:r>
        <w:t xml:space="preserve">, Kramer J, </w:t>
      </w:r>
      <w:proofErr w:type="spellStart"/>
      <w:r>
        <w:t>Duan</w:t>
      </w:r>
      <w:proofErr w:type="spellEnd"/>
      <w:r>
        <w:t xml:space="preserve"> Z, </w:t>
      </w:r>
      <w:proofErr w:type="spellStart"/>
      <w:r>
        <w:t>Kanwal</w:t>
      </w:r>
      <w:proofErr w:type="spellEnd"/>
      <w:r>
        <w:t xml:space="preserve"> F. Racial differences in the progression to cirrhosis and hepatocellular carcinoma in HCV-infected veterans. </w:t>
      </w:r>
      <w:r>
        <w:rPr>
          <w:i/>
          <w:iCs/>
        </w:rPr>
        <w:t xml:space="preserve">Am J </w:t>
      </w:r>
      <w:proofErr w:type="spellStart"/>
      <w:r>
        <w:rPr>
          <w:i/>
          <w:iCs/>
        </w:rPr>
        <w:t>Gastroenterol</w:t>
      </w:r>
      <w:proofErr w:type="spellEnd"/>
      <w:r>
        <w:t xml:space="preserve"> 2014; </w:t>
      </w:r>
      <w:r>
        <w:rPr>
          <w:b/>
          <w:bCs/>
        </w:rPr>
        <w:t>109</w:t>
      </w:r>
      <w:r>
        <w:t>: 1427-1435 [PMID: 25070058 DOI: 10.1038/ajg.2014.214]</w:t>
      </w:r>
    </w:p>
    <w:p w:rsidR="00E21E48" w:rsidRDefault="00E21E48" w:rsidP="00E21E48">
      <w:pPr>
        <w:pStyle w:val="-1"/>
      </w:pPr>
      <w:r>
        <w:t>34</w:t>
      </w:r>
      <w:r>
        <w:tab/>
      </w:r>
      <w:r>
        <w:rPr>
          <w:b/>
          <w:bCs/>
        </w:rPr>
        <w:t>Rodríguez-Torres M</w:t>
      </w:r>
      <w:r>
        <w:t>, Ríos-Bedoya CF, Rodríguez-</w:t>
      </w:r>
      <w:proofErr w:type="spellStart"/>
      <w:r>
        <w:t>Orengo</w:t>
      </w:r>
      <w:proofErr w:type="spellEnd"/>
      <w:r>
        <w:t xml:space="preserve"> J, </w:t>
      </w:r>
      <w:proofErr w:type="spellStart"/>
      <w:r>
        <w:t>Fernández-Carbia</w:t>
      </w:r>
      <w:proofErr w:type="spellEnd"/>
      <w:r>
        <w:t xml:space="preserve"> A, </w:t>
      </w:r>
      <w:proofErr w:type="spellStart"/>
      <w:r>
        <w:t>Marxuach-Cuétara</w:t>
      </w:r>
      <w:proofErr w:type="spellEnd"/>
      <w:r>
        <w:t xml:space="preserve"> AM, </w:t>
      </w:r>
      <w:proofErr w:type="spellStart"/>
      <w:r>
        <w:t>López</w:t>
      </w:r>
      <w:proofErr w:type="spellEnd"/>
      <w:r>
        <w:t xml:space="preserve">-Torres A, Salgado-Mercado R, </w:t>
      </w:r>
      <w:proofErr w:type="spellStart"/>
      <w:r>
        <w:t>Bräu</w:t>
      </w:r>
      <w:proofErr w:type="spellEnd"/>
      <w:r>
        <w:t xml:space="preserve"> N. Progression to cirrhosis in Latinos with chronic hepatitis C: differences in Puerto Ricans with and without human immunodeficiency virus coinfection and along gender. </w:t>
      </w:r>
      <w:r>
        <w:rPr>
          <w:i/>
          <w:iCs/>
        </w:rPr>
        <w:t xml:space="preserve">J </w:t>
      </w:r>
      <w:proofErr w:type="spellStart"/>
      <w:r>
        <w:rPr>
          <w:i/>
          <w:iCs/>
        </w:rPr>
        <w:t>Clin</w:t>
      </w:r>
      <w:proofErr w:type="spellEnd"/>
      <w:r>
        <w:rPr>
          <w:i/>
          <w:iCs/>
        </w:rPr>
        <w:t xml:space="preserve"> </w:t>
      </w:r>
      <w:proofErr w:type="spellStart"/>
      <w:r>
        <w:rPr>
          <w:i/>
          <w:iCs/>
        </w:rPr>
        <w:t>Gastroenterol</w:t>
      </w:r>
      <w:proofErr w:type="spellEnd"/>
      <w:r>
        <w:t xml:space="preserve"> 2006; </w:t>
      </w:r>
      <w:r>
        <w:rPr>
          <w:b/>
          <w:bCs/>
        </w:rPr>
        <w:t>40</w:t>
      </w:r>
      <w:r>
        <w:t>: 358-366 [PMID: 16633110 DOI: 10.1097/01.mcg.0000210105.66994.dc]</w:t>
      </w:r>
    </w:p>
    <w:p w:rsidR="00E21E48" w:rsidRDefault="00E21E48" w:rsidP="00E21E48">
      <w:pPr>
        <w:pStyle w:val="-1"/>
      </w:pPr>
      <w:r>
        <w:t>35</w:t>
      </w:r>
      <w:r>
        <w:tab/>
      </w:r>
      <w:r>
        <w:rPr>
          <w:b/>
          <w:bCs/>
        </w:rPr>
        <w:t>Lora CM</w:t>
      </w:r>
      <w:r>
        <w:t xml:space="preserve">, </w:t>
      </w:r>
      <w:proofErr w:type="spellStart"/>
      <w:r>
        <w:t>Daviglus</w:t>
      </w:r>
      <w:proofErr w:type="spellEnd"/>
      <w:r>
        <w:t xml:space="preserve"> ML, </w:t>
      </w:r>
      <w:proofErr w:type="spellStart"/>
      <w:r>
        <w:t>Kusek</w:t>
      </w:r>
      <w:proofErr w:type="spellEnd"/>
      <w:r>
        <w:t xml:space="preserve"> JW, Porter A, Ricardo AC, Go AS, Lash JP. Chronic kidney disease in United States Hispanics: a growing public health problem. </w:t>
      </w:r>
      <w:proofErr w:type="spellStart"/>
      <w:r>
        <w:rPr>
          <w:i/>
          <w:iCs/>
        </w:rPr>
        <w:t>Ethn</w:t>
      </w:r>
      <w:proofErr w:type="spellEnd"/>
      <w:r>
        <w:rPr>
          <w:i/>
          <w:iCs/>
        </w:rPr>
        <w:t xml:space="preserve"> Dis</w:t>
      </w:r>
      <w:r>
        <w:t xml:space="preserve"> 2009; </w:t>
      </w:r>
      <w:r>
        <w:rPr>
          <w:b/>
          <w:bCs/>
        </w:rPr>
        <w:t>19</w:t>
      </w:r>
      <w:r>
        <w:t>: 466-472 [PMID: 20073150]</w:t>
      </w:r>
    </w:p>
    <w:p w:rsidR="00E21E48" w:rsidRDefault="00E21E48" w:rsidP="00E21E48">
      <w:pPr>
        <w:pStyle w:val="-1"/>
      </w:pPr>
      <w:r>
        <w:t>36</w:t>
      </w:r>
      <w:r>
        <w:tab/>
      </w:r>
      <w:r>
        <w:rPr>
          <w:b/>
          <w:bCs/>
        </w:rPr>
        <w:t>Fischer MJ</w:t>
      </w:r>
      <w:r>
        <w:t xml:space="preserve">, Go AS, Lora CM, Ackerson L, Cohan J, </w:t>
      </w:r>
      <w:proofErr w:type="spellStart"/>
      <w:r>
        <w:t>Kusek</w:t>
      </w:r>
      <w:proofErr w:type="spellEnd"/>
      <w:r>
        <w:t xml:space="preserve"> JW, Mercado A, </w:t>
      </w:r>
      <w:proofErr w:type="spellStart"/>
      <w:r>
        <w:t>Ojo</w:t>
      </w:r>
      <w:proofErr w:type="spellEnd"/>
      <w:r>
        <w:t xml:space="preserve"> A, Ricardo AC, Rosen LK, Tao K, </w:t>
      </w:r>
      <w:proofErr w:type="spellStart"/>
      <w:r>
        <w:t>Xie</w:t>
      </w:r>
      <w:proofErr w:type="spellEnd"/>
      <w:r>
        <w:t xml:space="preserve"> D, Feldman HI, Lash JP. CKD in Hispanics: Baseline characteristics from the CRIC (Chronic Renal Insufficiency Cohort) and Hispanic-CRIC Studies. </w:t>
      </w:r>
      <w:r>
        <w:rPr>
          <w:i/>
          <w:iCs/>
        </w:rPr>
        <w:t>Am J Kidney Dis</w:t>
      </w:r>
      <w:r>
        <w:t xml:space="preserve"> 2011; </w:t>
      </w:r>
      <w:r>
        <w:rPr>
          <w:b/>
          <w:bCs/>
        </w:rPr>
        <w:t>58</w:t>
      </w:r>
      <w:r>
        <w:t>: 214-227 [PMID: 21705121 DOI: 10.1053/j.ajkd.2011.05.010]</w:t>
      </w:r>
    </w:p>
    <w:p w:rsidR="00E21E48" w:rsidRDefault="00E21E48" w:rsidP="00E21E48">
      <w:pPr>
        <w:pStyle w:val="-1"/>
      </w:pPr>
      <w:r>
        <w:t>37</w:t>
      </w:r>
      <w:r>
        <w:tab/>
      </w:r>
      <w:r>
        <w:rPr>
          <w:b/>
          <w:bCs/>
        </w:rPr>
        <w:t>Belcher JM</w:t>
      </w:r>
      <w:r>
        <w:t>, Garcia-</w:t>
      </w:r>
      <w:proofErr w:type="spellStart"/>
      <w:r>
        <w:t>Tsao</w:t>
      </w:r>
      <w:proofErr w:type="spellEnd"/>
      <w:r>
        <w:t xml:space="preserve"> G, </w:t>
      </w:r>
      <w:proofErr w:type="spellStart"/>
      <w:r>
        <w:t>Sanyal</w:t>
      </w:r>
      <w:proofErr w:type="spellEnd"/>
      <w:r>
        <w:t xml:space="preserve"> AJ, </w:t>
      </w:r>
      <w:proofErr w:type="spellStart"/>
      <w:r>
        <w:t>Bhogal</w:t>
      </w:r>
      <w:proofErr w:type="spellEnd"/>
      <w:r>
        <w:t xml:space="preserve"> H, Lim JK, Ansari N, Coca SG, Parikh CR. Association of AKI with mortality and complications in hospitalized patients with cirrhosis. </w:t>
      </w:r>
      <w:r>
        <w:rPr>
          <w:i/>
          <w:iCs/>
        </w:rPr>
        <w:t>Hepatology</w:t>
      </w:r>
      <w:r>
        <w:t xml:space="preserve"> 2013; </w:t>
      </w:r>
      <w:r>
        <w:rPr>
          <w:b/>
          <w:bCs/>
        </w:rPr>
        <w:t>57</w:t>
      </w:r>
      <w:r>
        <w:t>: 753-762 [PMID: 22454364 DOI: 10.1002/hep.25735]</w:t>
      </w:r>
    </w:p>
    <w:p w:rsidR="00E21E48" w:rsidRDefault="00E21E48" w:rsidP="00E21E48">
      <w:pPr>
        <w:pStyle w:val="-1"/>
      </w:pPr>
      <w:r>
        <w:t>38</w:t>
      </w:r>
      <w:r>
        <w:tab/>
      </w:r>
      <w:proofErr w:type="spellStart"/>
      <w:r>
        <w:rPr>
          <w:b/>
          <w:bCs/>
        </w:rPr>
        <w:t>Ratziu</w:t>
      </w:r>
      <w:proofErr w:type="spellEnd"/>
      <w:r>
        <w:rPr>
          <w:b/>
          <w:bCs/>
        </w:rPr>
        <w:t xml:space="preserve"> V</w:t>
      </w:r>
      <w:r>
        <w:t xml:space="preserve">, </w:t>
      </w:r>
      <w:proofErr w:type="spellStart"/>
      <w:r>
        <w:t>Bellentani</w:t>
      </w:r>
      <w:proofErr w:type="spellEnd"/>
      <w:r>
        <w:t xml:space="preserve"> S, Cortez-Pinto H, Day C, </w:t>
      </w:r>
      <w:proofErr w:type="spellStart"/>
      <w:r>
        <w:t>Marchesini</w:t>
      </w:r>
      <w:proofErr w:type="spellEnd"/>
      <w:r>
        <w:t xml:space="preserve"> G. A position statement on NAFLD/NASH based on the EASL 2009 special conference. </w:t>
      </w:r>
      <w:r>
        <w:rPr>
          <w:i/>
          <w:iCs/>
        </w:rPr>
        <w:t xml:space="preserve">J </w:t>
      </w:r>
      <w:proofErr w:type="spellStart"/>
      <w:r>
        <w:rPr>
          <w:i/>
          <w:iCs/>
        </w:rPr>
        <w:t>Hepatol</w:t>
      </w:r>
      <w:proofErr w:type="spellEnd"/>
      <w:r>
        <w:t xml:space="preserve"> 2010; </w:t>
      </w:r>
      <w:r>
        <w:rPr>
          <w:b/>
          <w:bCs/>
        </w:rPr>
        <w:t>53</w:t>
      </w:r>
      <w:r>
        <w:t>: 372-384 [PMID: 20494470 DOI: 10.1016/j.jhep.2010.04.008]</w:t>
      </w:r>
    </w:p>
    <w:p w:rsidR="00E21E48" w:rsidRDefault="00E21E48" w:rsidP="00E21E48">
      <w:pPr>
        <w:pStyle w:val="-1"/>
      </w:pPr>
      <w:r>
        <w:t>39</w:t>
      </w:r>
      <w:r>
        <w:tab/>
      </w:r>
      <w:proofErr w:type="spellStart"/>
      <w:r>
        <w:rPr>
          <w:b/>
          <w:bCs/>
        </w:rPr>
        <w:t>Starley</w:t>
      </w:r>
      <w:proofErr w:type="spellEnd"/>
      <w:r>
        <w:rPr>
          <w:b/>
          <w:bCs/>
        </w:rPr>
        <w:t xml:space="preserve"> BQ</w:t>
      </w:r>
      <w:r>
        <w:t xml:space="preserve">, Calcagno CJ, Harrison SA. Nonalcoholic fatty liver disease and hepatocellular carcinoma: a weighty connection. </w:t>
      </w:r>
      <w:r>
        <w:rPr>
          <w:i/>
          <w:iCs/>
        </w:rPr>
        <w:t>Hepatology</w:t>
      </w:r>
      <w:r>
        <w:t xml:space="preserve"> 2010; </w:t>
      </w:r>
      <w:r>
        <w:rPr>
          <w:b/>
          <w:bCs/>
        </w:rPr>
        <w:t>51</w:t>
      </w:r>
      <w:r>
        <w:t>: 1820-1832 [PMID: 20432259 DOI: 10.1002/hep.23594]</w:t>
      </w:r>
    </w:p>
    <w:p w:rsidR="00E21E48" w:rsidRDefault="00E21E48" w:rsidP="00E21E48">
      <w:pPr>
        <w:pStyle w:val="-1"/>
      </w:pPr>
      <w:r>
        <w:t>40</w:t>
      </w:r>
      <w:r>
        <w:tab/>
      </w:r>
      <w:r>
        <w:rPr>
          <w:b/>
          <w:bCs/>
        </w:rPr>
        <w:t>Torres DM</w:t>
      </w:r>
      <w:r>
        <w:t xml:space="preserve">, Harrison SA. Nonalcoholic steatohepatitis and </w:t>
      </w:r>
      <w:proofErr w:type="spellStart"/>
      <w:r>
        <w:t>noncirrhotic</w:t>
      </w:r>
      <w:proofErr w:type="spellEnd"/>
      <w:r>
        <w:t xml:space="preserve"> hepatocellular carcinoma: fertile soil. </w:t>
      </w:r>
      <w:proofErr w:type="spellStart"/>
      <w:r>
        <w:rPr>
          <w:i/>
          <w:iCs/>
        </w:rPr>
        <w:t>Semin</w:t>
      </w:r>
      <w:proofErr w:type="spellEnd"/>
      <w:r>
        <w:rPr>
          <w:i/>
          <w:iCs/>
        </w:rPr>
        <w:t xml:space="preserve"> Liver Dis</w:t>
      </w:r>
      <w:r>
        <w:t xml:space="preserve"> 2012; </w:t>
      </w:r>
      <w:r>
        <w:rPr>
          <w:b/>
          <w:bCs/>
        </w:rPr>
        <w:t>32</w:t>
      </w:r>
      <w:r>
        <w:t>: 30-38 [PMID: 22418886 DOI: 10.1055/s-0032-1306424]</w:t>
      </w:r>
    </w:p>
    <w:p w:rsidR="00E21E48" w:rsidRDefault="00E21E48" w:rsidP="00E21E48">
      <w:pPr>
        <w:pStyle w:val="-1"/>
      </w:pPr>
      <w:r>
        <w:t>41</w:t>
      </w:r>
      <w:r>
        <w:tab/>
      </w:r>
      <w:r>
        <w:rPr>
          <w:b/>
          <w:bCs/>
        </w:rPr>
        <w:t>White DL</w:t>
      </w:r>
      <w:r>
        <w:t xml:space="preserve">, </w:t>
      </w:r>
      <w:proofErr w:type="spellStart"/>
      <w:r>
        <w:t>Kanwal</w:t>
      </w:r>
      <w:proofErr w:type="spellEnd"/>
      <w:r>
        <w:t xml:space="preserve"> F, El-</w:t>
      </w:r>
      <w:proofErr w:type="spellStart"/>
      <w:r>
        <w:t>Serag</w:t>
      </w:r>
      <w:proofErr w:type="spellEnd"/>
      <w:r>
        <w:t xml:space="preserve"> HB. </w:t>
      </w:r>
      <w:proofErr w:type="gramStart"/>
      <w:r>
        <w:t>Association between non</w:t>
      </w:r>
      <w:r>
        <w:softHyphen/>
        <w:t>alcoholic fatty liver disease and risk for hepatocellular cancer, based on systematic review.</w:t>
      </w:r>
      <w:proofErr w:type="gramEnd"/>
      <w:r>
        <w:t xml:space="preserve"> </w:t>
      </w:r>
      <w:proofErr w:type="spellStart"/>
      <w:r>
        <w:rPr>
          <w:i/>
          <w:iCs/>
        </w:rPr>
        <w:t>Clin</w:t>
      </w:r>
      <w:proofErr w:type="spellEnd"/>
      <w:r>
        <w:rPr>
          <w:i/>
          <w:iCs/>
        </w:rPr>
        <w:t xml:space="preserve"> </w:t>
      </w:r>
      <w:proofErr w:type="spellStart"/>
      <w:r>
        <w:rPr>
          <w:i/>
          <w:iCs/>
        </w:rPr>
        <w:t>Gastroenterol</w:t>
      </w:r>
      <w:proofErr w:type="spellEnd"/>
      <w:r>
        <w:rPr>
          <w:i/>
          <w:iCs/>
        </w:rPr>
        <w:t xml:space="preserve"> </w:t>
      </w:r>
      <w:proofErr w:type="spellStart"/>
      <w:r>
        <w:rPr>
          <w:i/>
          <w:iCs/>
        </w:rPr>
        <w:t>Hepatol</w:t>
      </w:r>
      <w:proofErr w:type="spellEnd"/>
      <w:r>
        <w:t xml:space="preserve"> 2012; </w:t>
      </w:r>
      <w:r>
        <w:rPr>
          <w:b/>
          <w:bCs/>
        </w:rPr>
        <w:t>10</w:t>
      </w:r>
      <w:r>
        <w:t>: 1342-1359.e2 [PMID: 23041539 DOI: 10.1016/j.cgh.2012.10.001]</w:t>
      </w:r>
    </w:p>
    <w:p w:rsidR="00E21E48" w:rsidRDefault="00E21E48" w:rsidP="00E21E48">
      <w:pPr>
        <w:pStyle w:val="-1"/>
      </w:pPr>
      <w:r>
        <w:t>42</w:t>
      </w:r>
      <w:r>
        <w:tab/>
      </w:r>
      <w:proofErr w:type="spellStart"/>
      <w:r>
        <w:rPr>
          <w:b/>
          <w:bCs/>
        </w:rPr>
        <w:t>Ruhl</w:t>
      </w:r>
      <w:proofErr w:type="spellEnd"/>
      <w:r>
        <w:rPr>
          <w:b/>
          <w:bCs/>
        </w:rPr>
        <w:t xml:space="preserve"> CE</w:t>
      </w:r>
      <w:r>
        <w:t xml:space="preserve">, Everhart JE. </w:t>
      </w:r>
      <w:proofErr w:type="gramStart"/>
      <w:r>
        <w:t>Determinants of the association of overweight with elevated serum alanine aminotransferase activity in the United States.</w:t>
      </w:r>
      <w:proofErr w:type="gramEnd"/>
      <w:r>
        <w:t xml:space="preserve"> </w:t>
      </w:r>
      <w:r>
        <w:rPr>
          <w:i/>
          <w:iCs/>
        </w:rPr>
        <w:t>Gastroenterology</w:t>
      </w:r>
      <w:r>
        <w:t xml:space="preserve"> 2003; </w:t>
      </w:r>
      <w:r>
        <w:rPr>
          <w:b/>
          <w:bCs/>
        </w:rPr>
        <w:t>124</w:t>
      </w:r>
      <w:r>
        <w:t>: 71-79 [PMID: 12512031 DOI: 10.1053/gast.2003.50004]</w:t>
      </w:r>
    </w:p>
    <w:p w:rsidR="00E21E48" w:rsidRDefault="00E21E48" w:rsidP="00E21E48">
      <w:pPr>
        <w:pStyle w:val="-1"/>
      </w:pPr>
      <w:r>
        <w:t>43</w:t>
      </w:r>
      <w:r>
        <w:tab/>
      </w:r>
      <w:proofErr w:type="spellStart"/>
      <w:r>
        <w:rPr>
          <w:b/>
          <w:bCs/>
        </w:rPr>
        <w:t>Younossi</w:t>
      </w:r>
      <w:proofErr w:type="spellEnd"/>
      <w:r>
        <w:rPr>
          <w:b/>
          <w:bCs/>
        </w:rPr>
        <w:t xml:space="preserve"> ZM</w:t>
      </w:r>
      <w:r>
        <w:t xml:space="preserve">, </w:t>
      </w:r>
      <w:proofErr w:type="spellStart"/>
      <w:r>
        <w:t>Stepanova</w:t>
      </w:r>
      <w:proofErr w:type="spellEnd"/>
      <w:r>
        <w:t xml:space="preserve"> M, Negro F, </w:t>
      </w:r>
      <w:proofErr w:type="spellStart"/>
      <w:r>
        <w:t>Hallaji</w:t>
      </w:r>
      <w:proofErr w:type="spellEnd"/>
      <w:r>
        <w:t xml:space="preserve"> S, </w:t>
      </w:r>
      <w:proofErr w:type="spellStart"/>
      <w:r>
        <w:t>Younossi</w:t>
      </w:r>
      <w:proofErr w:type="spellEnd"/>
      <w:r>
        <w:t xml:space="preserve"> Y, Lam B, </w:t>
      </w:r>
      <w:proofErr w:type="spellStart"/>
      <w:r>
        <w:t>Srishord</w:t>
      </w:r>
      <w:proofErr w:type="spellEnd"/>
      <w:r>
        <w:t xml:space="preserve"> M. Nonalcoholic fatty liver disease in lean individuals in the United States. </w:t>
      </w:r>
      <w:r>
        <w:rPr>
          <w:i/>
          <w:iCs/>
        </w:rPr>
        <w:t xml:space="preserve">Medicine </w:t>
      </w:r>
      <w:r>
        <w:t xml:space="preserve">(Baltimore) 2012; </w:t>
      </w:r>
      <w:r>
        <w:rPr>
          <w:b/>
          <w:bCs/>
        </w:rPr>
        <w:t>91</w:t>
      </w:r>
      <w:r>
        <w:t>: 319-327 [PMID: 23117851 DOI: 10.1097/MD.0b013e3182779d49]</w:t>
      </w:r>
    </w:p>
    <w:p w:rsidR="00E21E48" w:rsidRDefault="00E21E48" w:rsidP="00E21E48">
      <w:pPr>
        <w:pStyle w:val="-1"/>
      </w:pPr>
      <w:r>
        <w:t>44</w:t>
      </w:r>
      <w:r>
        <w:tab/>
      </w:r>
      <w:r>
        <w:rPr>
          <w:b/>
          <w:bCs/>
        </w:rPr>
        <w:t>Browning JD</w:t>
      </w:r>
      <w:r>
        <w:t xml:space="preserve">. Statins and hepatic steatosis: perspectives from the Dallas Heart Study. </w:t>
      </w:r>
      <w:r>
        <w:rPr>
          <w:i/>
          <w:iCs/>
        </w:rPr>
        <w:t>Hepatology</w:t>
      </w:r>
      <w:r>
        <w:t xml:space="preserve"> 2006; </w:t>
      </w:r>
      <w:r>
        <w:rPr>
          <w:b/>
          <w:bCs/>
        </w:rPr>
        <w:t>44</w:t>
      </w:r>
      <w:r>
        <w:t>: 466-471 [PMID: 16871575 DOI: 10.1002/hep.21248]</w:t>
      </w:r>
    </w:p>
    <w:p w:rsidR="00E21E48" w:rsidRDefault="00E21E48" w:rsidP="00E21E48">
      <w:pPr>
        <w:pStyle w:val="-1"/>
        <w:rPr>
          <w:spacing w:val="-3"/>
        </w:rPr>
      </w:pPr>
      <w:r>
        <w:t>45</w:t>
      </w:r>
      <w:r>
        <w:tab/>
      </w:r>
      <w:r>
        <w:rPr>
          <w:b/>
          <w:bCs/>
          <w:spacing w:val="-3"/>
        </w:rPr>
        <w:t>Wong RJ</w:t>
      </w:r>
      <w:r>
        <w:rPr>
          <w:spacing w:val="-3"/>
        </w:rPr>
        <w:t xml:space="preserve">, Gish R, Frederick T, </w:t>
      </w:r>
      <w:proofErr w:type="spellStart"/>
      <w:r>
        <w:rPr>
          <w:spacing w:val="-3"/>
        </w:rPr>
        <w:t>Bzowej</w:t>
      </w:r>
      <w:proofErr w:type="spellEnd"/>
      <w:r>
        <w:rPr>
          <w:spacing w:val="-3"/>
        </w:rPr>
        <w:t xml:space="preserve"> N, </w:t>
      </w:r>
      <w:proofErr w:type="spellStart"/>
      <w:r>
        <w:rPr>
          <w:spacing w:val="-3"/>
        </w:rPr>
        <w:t>Frenette</w:t>
      </w:r>
      <w:proofErr w:type="spellEnd"/>
      <w:r>
        <w:rPr>
          <w:spacing w:val="-3"/>
        </w:rPr>
        <w:t xml:space="preserve"> C. </w:t>
      </w:r>
      <w:proofErr w:type="gramStart"/>
      <w:r>
        <w:rPr>
          <w:spacing w:val="-3"/>
        </w:rPr>
        <w:t>The impact of race/ethnicity on the clinical epidemiology of autoimmune hepatitis.</w:t>
      </w:r>
      <w:proofErr w:type="gramEnd"/>
      <w:r>
        <w:rPr>
          <w:spacing w:val="-3"/>
        </w:rPr>
        <w:t xml:space="preserve"> </w:t>
      </w:r>
      <w:r>
        <w:rPr>
          <w:i/>
          <w:iCs/>
          <w:spacing w:val="-3"/>
        </w:rPr>
        <w:t xml:space="preserve">J </w:t>
      </w:r>
      <w:proofErr w:type="spellStart"/>
      <w:r>
        <w:rPr>
          <w:i/>
          <w:iCs/>
          <w:spacing w:val="-3"/>
        </w:rPr>
        <w:t>Clin</w:t>
      </w:r>
      <w:proofErr w:type="spellEnd"/>
      <w:r>
        <w:rPr>
          <w:i/>
          <w:iCs/>
          <w:spacing w:val="-3"/>
        </w:rPr>
        <w:t xml:space="preserve"> </w:t>
      </w:r>
      <w:proofErr w:type="spellStart"/>
      <w:r>
        <w:rPr>
          <w:i/>
          <w:iCs/>
          <w:spacing w:val="-3"/>
        </w:rPr>
        <w:t>Gastroenterol</w:t>
      </w:r>
      <w:proofErr w:type="spellEnd"/>
      <w:r>
        <w:rPr>
          <w:spacing w:val="-3"/>
        </w:rPr>
        <w:t xml:space="preserve"> 2012; </w:t>
      </w:r>
      <w:r>
        <w:rPr>
          <w:b/>
          <w:bCs/>
          <w:spacing w:val="-3"/>
        </w:rPr>
        <w:t>46</w:t>
      </w:r>
      <w:r>
        <w:rPr>
          <w:spacing w:val="-3"/>
        </w:rPr>
        <w:t>: 155-161 [PMID: 21814143 DOI: 10.1097/MCG.0b013e318228b781]</w:t>
      </w:r>
    </w:p>
    <w:p w:rsidR="00E21E48" w:rsidRDefault="00E21E48" w:rsidP="00E21E48">
      <w:pPr>
        <w:pStyle w:val="-1"/>
      </w:pPr>
      <w:r>
        <w:t>46</w:t>
      </w:r>
      <w:r>
        <w:tab/>
      </w:r>
      <w:proofErr w:type="spellStart"/>
      <w:r>
        <w:rPr>
          <w:b/>
          <w:bCs/>
        </w:rPr>
        <w:t>Ditah</w:t>
      </w:r>
      <w:proofErr w:type="spellEnd"/>
      <w:r>
        <w:rPr>
          <w:b/>
          <w:bCs/>
        </w:rPr>
        <w:t xml:space="preserve"> I</w:t>
      </w:r>
      <w:r>
        <w:t xml:space="preserve">, </w:t>
      </w:r>
      <w:proofErr w:type="spellStart"/>
      <w:r>
        <w:t>Ditah</w:t>
      </w:r>
      <w:proofErr w:type="spellEnd"/>
      <w:r>
        <w:t xml:space="preserve"> F, Devaki P, </w:t>
      </w:r>
      <w:proofErr w:type="spellStart"/>
      <w:r>
        <w:t>Ewelukwa</w:t>
      </w:r>
      <w:proofErr w:type="spellEnd"/>
      <w:r>
        <w:t xml:space="preserve"> O, </w:t>
      </w:r>
      <w:proofErr w:type="spellStart"/>
      <w:r>
        <w:t>Ditah</w:t>
      </w:r>
      <w:proofErr w:type="spellEnd"/>
      <w:r>
        <w:t xml:space="preserve"> C, </w:t>
      </w:r>
      <w:proofErr w:type="spellStart"/>
      <w:r>
        <w:t>Njei</w:t>
      </w:r>
      <w:proofErr w:type="spellEnd"/>
      <w:r>
        <w:t xml:space="preserve"> B, </w:t>
      </w:r>
      <w:proofErr w:type="spellStart"/>
      <w:r>
        <w:t>Luma</w:t>
      </w:r>
      <w:proofErr w:type="spellEnd"/>
      <w:r>
        <w:t xml:space="preserve"> HN, Charlton M. The changing epidemiology of hepatitis C virus infection in the United States: National Health and Nutrition Examination Survey 2001 through 2010. </w:t>
      </w:r>
      <w:r>
        <w:rPr>
          <w:i/>
          <w:iCs/>
        </w:rPr>
        <w:t xml:space="preserve">J </w:t>
      </w:r>
      <w:proofErr w:type="spellStart"/>
      <w:r>
        <w:rPr>
          <w:i/>
          <w:iCs/>
        </w:rPr>
        <w:t>Hepatol</w:t>
      </w:r>
      <w:proofErr w:type="spellEnd"/>
      <w:r>
        <w:t xml:space="preserve"> 2014; </w:t>
      </w:r>
      <w:r>
        <w:rPr>
          <w:b/>
          <w:bCs/>
        </w:rPr>
        <w:t>60</w:t>
      </w:r>
      <w:r>
        <w:t>: 691-698 [PMID: 24291324 DOI: 10.1016/j.jhep.2013.11.014]</w:t>
      </w:r>
    </w:p>
    <w:p w:rsidR="00E21E48" w:rsidRDefault="00E21E48" w:rsidP="00E21E48">
      <w:pPr>
        <w:pStyle w:val="-1"/>
      </w:pPr>
      <w:r>
        <w:t>47</w:t>
      </w:r>
      <w:r>
        <w:tab/>
      </w:r>
      <w:proofErr w:type="spellStart"/>
      <w:r>
        <w:rPr>
          <w:b/>
          <w:bCs/>
        </w:rPr>
        <w:t>Ascha</w:t>
      </w:r>
      <w:proofErr w:type="spellEnd"/>
      <w:r>
        <w:rPr>
          <w:b/>
          <w:bCs/>
        </w:rPr>
        <w:t xml:space="preserve"> MS</w:t>
      </w:r>
      <w:r>
        <w:t xml:space="preserve">, </w:t>
      </w:r>
      <w:proofErr w:type="spellStart"/>
      <w:r>
        <w:t>Hanouneh</w:t>
      </w:r>
      <w:proofErr w:type="spellEnd"/>
      <w:r>
        <w:t xml:space="preserve"> IA, Lopez R, </w:t>
      </w:r>
      <w:proofErr w:type="spellStart"/>
      <w:r>
        <w:t>Tamimi</w:t>
      </w:r>
      <w:proofErr w:type="spellEnd"/>
      <w:r>
        <w:t xml:space="preserve"> TA, Feldstein AF, </w:t>
      </w:r>
      <w:proofErr w:type="spellStart"/>
      <w:r>
        <w:t>Zein</w:t>
      </w:r>
      <w:proofErr w:type="spellEnd"/>
      <w:r>
        <w:t xml:space="preserve"> NN. </w:t>
      </w:r>
      <w:proofErr w:type="gramStart"/>
      <w:r>
        <w:t>The incidence and risk factors of hepatocellular carcinoma in patients with nonalcoholic steatohepatitis.</w:t>
      </w:r>
      <w:proofErr w:type="gramEnd"/>
      <w:r>
        <w:t xml:space="preserve"> </w:t>
      </w:r>
      <w:r>
        <w:rPr>
          <w:i/>
          <w:iCs/>
        </w:rPr>
        <w:t>Hepatology</w:t>
      </w:r>
      <w:r>
        <w:t xml:space="preserve"> 2010; </w:t>
      </w:r>
      <w:r>
        <w:rPr>
          <w:b/>
          <w:bCs/>
        </w:rPr>
        <w:t>51</w:t>
      </w:r>
      <w:r>
        <w:t>: 1972-1978 [PMID: 20209604 DOI: 10.1002/hep.23527]</w:t>
      </w:r>
    </w:p>
    <w:p w:rsidR="00E21E48" w:rsidRDefault="00E21E48" w:rsidP="00E21E48">
      <w:pPr>
        <w:pStyle w:val="-1"/>
      </w:pPr>
      <w:r>
        <w:t>48</w:t>
      </w:r>
      <w:r>
        <w:tab/>
      </w:r>
      <w:proofErr w:type="spellStart"/>
      <w:r>
        <w:rPr>
          <w:b/>
          <w:bCs/>
        </w:rPr>
        <w:t>Kallwitz</w:t>
      </w:r>
      <w:proofErr w:type="spellEnd"/>
      <w:r>
        <w:rPr>
          <w:b/>
          <w:bCs/>
        </w:rPr>
        <w:t xml:space="preserve"> ER</w:t>
      </w:r>
      <w:r>
        <w:t xml:space="preserve">, </w:t>
      </w:r>
      <w:proofErr w:type="spellStart"/>
      <w:r>
        <w:t>Layden-Almer</w:t>
      </w:r>
      <w:proofErr w:type="spellEnd"/>
      <w:r>
        <w:t xml:space="preserve"> J, </w:t>
      </w:r>
      <w:proofErr w:type="spellStart"/>
      <w:r>
        <w:t>Dhamija</w:t>
      </w:r>
      <w:proofErr w:type="spellEnd"/>
      <w:r>
        <w:t xml:space="preserve"> M, </w:t>
      </w:r>
      <w:proofErr w:type="spellStart"/>
      <w:r>
        <w:t>Berkes</w:t>
      </w:r>
      <w:proofErr w:type="spellEnd"/>
      <w:r>
        <w:t xml:space="preserve"> J, Guzman G, </w:t>
      </w:r>
      <w:proofErr w:type="spellStart"/>
      <w:r>
        <w:t>Lepe</w:t>
      </w:r>
      <w:proofErr w:type="spellEnd"/>
      <w:r>
        <w:t xml:space="preserve"> R, Cotler SJ, </w:t>
      </w:r>
      <w:proofErr w:type="spellStart"/>
      <w:r>
        <w:t>Layden</w:t>
      </w:r>
      <w:proofErr w:type="spellEnd"/>
      <w:r>
        <w:t xml:space="preserve"> TJ. Ethnicity and body mass index are associated with hepatitis C presentation and progression. </w:t>
      </w:r>
      <w:proofErr w:type="spellStart"/>
      <w:r>
        <w:rPr>
          <w:i/>
          <w:iCs/>
        </w:rPr>
        <w:t>Clin</w:t>
      </w:r>
      <w:proofErr w:type="spellEnd"/>
      <w:r>
        <w:rPr>
          <w:i/>
          <w:iCs/>
        </w:rPr>
        <w:t xml:space="preserve"> </w:t>
      </w:r>
      <w:proofErr w:type="spellStart"/>
      <w:r>
        <w:rPr>
          <w:i/>
          <w:iCs/>
        </w:rPr>
        <w:t>Gastroenterol</w:t>
      </w:r>
      <w:proofErr w:type="spellEnd"/>
      <w:r>
        <w:rPr>
          <w:i/>
          <w:iCs/>
        </w:rPr>
        <w:t xml:space="preserve"> </w:t>
      </w:r>
      <w:proofErr w:type="spellStart"/>
      <w:r>
        <w:rPr>
          <w:i/>
          <w:iCs/>
        </w:rPr>
        <w:t>Hepatol</w:t>
      </w:r>
      <w:proofErr w:type="spellEnd"/>
      <w:r>
        <w:t xml:space="preserve"> 2010; </w:t>
      </w:r>
      <w:r>
        <w:rPr>
          <w:b/>
          <w:bCs/>
        </w:rPr>
        <w:t>8</w:t>
      </w:r>
      <w:r>
        <w:t>: 72-78 [PMID: 19686868 DOI: 10.1016/j.cgh.2009.08.009]</w:t>
      </w:r>
    </w:p>
    <w:p w:rsidR="00E21E48" w:rsidRDefault="00E21E48" w:rsidP="00E21E48">
      <w:pPr>
        <w:pStyle w:val="-1"/>
      </w:pPr>
      <w:r>
        <w:t>49</w:t>
      </w:r>
      <w:r>
        <w:tab/>
      </w:r>
      <w:proofErr w:type="spellStart"/>
      <w:r>
        <w:rPr>
          <w:b/>
          <w:bCs/>
        </w:rPr>
        <w:t>Bambha</w:t>
      </w:r>
      <w:proofErr w:type="spellEnd"/>
      <w:r>
        <w:rPr>
          <w:b/>
          <w:bCs/>
        </w:rPr>
        <w:t xml:space="preserve"> K</w:t>
      </w:r>
      <w:r>
        <w:t xml:space="preserve">, Belt P, Abraham M, Wilson LA, Pabst M, Ferrell L, </w:t>
      </w:r>
      <w:proofErr w:type="spellStart"/>
      <w:r>
        <w:t>Unalp-Arida</w:t>
      </w:r>
      <w:proofErr w:type="spellEnd"/>
      <w:r>
        <w:t xml:space="preserve"> A, Bass N. Ethnicity and nonalcoholic fatty liver disease. </w:t>
      </w:r>
      <w:r>
        <w:rPr>
          <w:i/>
          <w:iCs/>
        </w:rPr>
        <w:t>Hepatology</w:t>
      </w:r>
      <w:r>
        <w:t xml:space="preserve"> 2012; </w:t>
      </w:r>
      <w:r>
        <w:rPr>
          <w:b/>
          <w:bCs/>
        </w:rPr>
        <w:t>55</w:t>
      </w:r>
      <w:r>
        <w:t>: 769-780 [PMID: 21987488 DOI: 10.1002/hep.24726]</w:t>
      </w:r>
    </w:p>
    <w:p w:rsidR="00E21E48" w:rsidRDefault="00E21E48" w:rsidP="00E21E48">
      <w:pPr>
        <w:pStyle w:val="-1"/>
      </w:pPr>
      <w:r>
        <w:t>50</w:t>
      </w:r>
      <w:r>
        <w:tab/>
      </w:r>
      <w:proofErr w:type="spellStart"/>
      <w:r>
        <w:rPr>
          <w:b/>
          <w:bCs/>
        </w:rPr>
        <w:t>Kallwitz</w:t>
      </w:r>
      <w:proofErr w:type="spellEnd"/>
      <w:r>
        <w:rPr>
          <w:b/>
          <w:bCs/>
        </w:rPr>
        <w:t xml:space="preserve"> ER</w:t>
      </w:r>
      <w:r>
        <w:t xml:space="preserve">, Kumar M, Aggarwal R, Berger R, </w:t>
      </w:r>
      <w:proofErr w:type="spellStart"/>
      <w:r>
        <w:t>Layden-Almer</w:t>
      </w:r>
      <w:proofErr w:type="spellEnd"/>
      <w:r>
        <w:t xml:space="preserve"> J, Gupta N, Cotler SJ. Ethnicity and nonalcoholic fatty liver disease in an </w:t>
      </w:r>
      <w:r>
        <w:lastRenderedPageBreak/>
        <w:t xml:space="preserve">obesity clinic: the impact of triglycerides. </w:t>
      </w:r>
      <w:r>
        <w:rPr>
          <w:i/>
          <w:iCs/>
        </w:rPr>
        <w:t xml:space="preserve">Dig Dis </w:t>
      </w:r>
      <w:proofErr w:type="spellStart"/>
      <w:r>
        <w:rPr>
          <w:i/>
          <w:iCs/>
        </w:rPr>
        <w:t>Sci</w:t>
      </w:r>
      <w:proofErr w:type="spellEnd"/>
      <w:r>
        <w:t xml:space="preserve"> 2008; </w:t>
      </w:r>
      <w:r>
        <w:rPr>
          <w:b/>
          <w:bCs/>
        </w:rPr>
        <w:t>53</w:t>
      </w:r>
      <w:r>
        <w:t>: 1358-1363 [PMID: 18347982 DOI: 10.1007/s10620-008-0234-x]</w:t>
      </w:r>
    </w:p>
    <w:p w:rsidR="00E21E48" w:rsidRDefault="00E21E48" w:rsidP="00E21E48">
      <w:pPr>
        <w:pStyle w:val="-1"/>
      </w:pPr>
      <w:r>
        <w:t>51</w:t>
      </w:r>
      <w:r>
        <w:tab/>
      </w:r>
      <w:r>
        <w:rPr>
          <w:b/>
          <w:bCs/>
        </w:rPr>
        <w:t>Dillon ST</w:t>
      </w:r>
      <w:r>
        <w:t xml:space="preserve">, </w:t>
      </w:r>
      <w:proofErr w:type="spellStart"/>
      <w:r>
        <w:t>Bhasin</w:t>
      </w:r>
      <w:proofErr w:type="spellEnd"/>
      <w:r>
        <w:t xml:space="preserve"> MK, Feng X, </w:t>
      </w:r>
      <w:proofErr w:type="spellStart"/>
      <w:r>
        <w:t>Koh</w:t>
      </w:r>
      <w:proofErr w:type="spellEnd"/>
      <w:r>
        <w:t xml:space="preserve"> DW, </w:t>
      </w:r>
      <w:proofErr w:type="spellStart"/>
      <w:r>
        <w:t>Daoud</w:t>
      </w:r>
      <w:proofErr w:type="spellEnd"/>
      <w:r>
        <w:t xml:space="preserve"> SS. Quantitative proteomic analysis in HCV-induced HCC reveals sets of proteins with potential significance for racial disparity. </w:t>
      </w:r>
      <w:r>
        <w:rPr>
          <w:i/>
          <w:iCs/>
        </w:rPr>
        <w:t xml:space="preserve">J </w:t>
      </w:r>
      <w:proofErr w:type="spellStart"/>
      <w:r>
        <w:rPr>
          <w:i/>
          <w:iCs/>
        </w:rPr>
        <w:t>Transl</w:t>
      </w:r>
      <w:proofErr w:type="spellEnd"/>
      <w:r>
        <w:rPr>
          <w:i/>
          <w:iCs/>
        </w:rPr>
        <w:t xml:space="preserve"> Med</w:t>
      </w:r>
      <w:r>
        <w:t xml:space="preserve"> 2013; </w:t>
      </w:r>
      <w:r>
        <w:rPr>
          <w:b/>
          <w:bCs/>
        </w:rPr>
        <w:t>11</w:t>
      </w:r>
      <w:r>
        <w:t>: 239 [PMID: 24283668 DOI: 10.1186/1479-5876-11-239]</w:t>
      </w:r>
    </w:p>
    <w:p w:rsidR="00E21E48" w:rsidRDefault="00E21E48" w:rsidP="00E21E48">
      <w:pPr>
        <w:pStyle w:val="-1"/>
      </w:pPr>
      <w:r>
        <w:t>52</w:t>
      </w:r>
      <w:r>
        <w:tab/>
      </w:r>
      <w:r>
        <w:rPr>
          <w:b/>
          <w:bCs/>
        </w:rPr>
        <w:t>Song TJ</w:t>
      </w:r>
      <w:r>
        <w:t xml:space="preserve">, Fong Y, Cho SJ, </w:t>
      </w:r>
      <w:proofErr w:type="spellStart"/>
      <w:r>
        <w:t>Gönen</w:t>
      </w:r>
      <w:proofErr w:type="spellEnd"/>
      <w:r>
        <w:t xml:space="preserve"> M, </w:t>
      </w:r>
      <w:proofErr w:type="spellStart"/>
      <w:r>
        <w:t>Hezel</w:t>
      </w:r>
      <w:proofErr w:type="spellEnd"/>
      <w:r>
        <w:t xml:space="preserve"> M, </w:t>
      </w:r>
      <w:proofErr w:type="spellStart"/>
      <w:r>
        <w:t>Tuorto</w:t>
      </w:r>
      <w:proofErr w:type="spellEnd"/>
      <w:r>
        <w:t xml:space="preserve"> S, Choi SY, Kim YC, Suh SO, Koo BH, </w:t>
      </w:r>
      <w:proofErr w:type="spellStart"/>
      <w:r>
        <w:t>Chae</w:t>
      </w:r>
      <w:proofErr w:type="spellEnd"/>
      <w:r>
        <w:t xml:space="preserve"> YS, </w:t>
      </w:r>
      <w:proofErr w:type="spellStart"/>
      <w:r>
        <w:t>Jarnagin</w:t>
      </w:r>
      <w:proofErr w:type="spellEnd"/>
      <w:r>
        <w:t xml:space="preserve"> WR, </w:t>
      </w:r>
      <w:proofErr w:type="spellStart"/>
      <w:r>
        <w:t>Klimstra</w:t>
      </w:r>
      <w:proofErr w:type="spellEnd"/>
      <w:r>
        <w:t xml:space="preserve"> DS. </w:t>
      </w:r>
      <w:proofErr w:type="gramStart"/>
      <w:r>
        <w:t>Comparison of hepatocellular carcinoma in American and Asian patients by tissue array analysis.</w:t>
      </w:r>
      <w:proofErr w:type="gramEnd"/>
      <w:r>
        <w:t xml:space="preserve"> </w:t>
      </w:r>
      <w:r>
        <w:rPr>
          <w:i/>
          <w:iCs/>
        </w:rPr>
        <w:t xml:space="preserve">J </w:t>
      </w:r>
      <w:proofErr w:type="spellStart"/>
      <w:r>
        <w:rPr>
          <w:i/>
          <w:iCs/>
        </w:rPr>
        <w:t>Surg</w:t>
      </w:r>
      <w:proofErr w:type="spellEnd"/>
      <w:r>
        <w:rPr>
          <w:i/>
          <w:iCs/>
        </w:rPr>
        <w:t xml:space="preserve"> </w:t>
      </w:r>
      <w:proofErr w:type="spellStart"/>
      <w:r>
        <w:rPr>
          <w:i/>
          <w:iCs/>
        </w:rPr>
        <w:t>Oncol</w:t>
      </w:r>
      <w:proofErr w:type="spellEnd"/>
      <w:r>
        <w:t xml:space="preserve"> 2012; </w:t>
      </w:r>
      <w:r>
        <w:rPr>
          <w:b/>
          <w:bCs/>
        </w:rPr>
        <w:t>106</w:t>
      </w:r>
      <w:r>
        <w:t>: 84-88 [PMID: 22234941 DOI: 10.1002/jso.23036]</w:t>
      </w:r>
    </w:p>
    <w:p w:rsidR="00E21E48" w:rsidRDefault="00E21E48" w:rsidP="00E21E48">
      <w:pPr>
        <w:pStyle w:val="-1"/>
      </w:pPr>
      <w:r>
        <w:t>53</w:t>
      </w:r>
      <w:r>
        <w:tab/>
      </w:r>
      <w:r>
        <w:rPr>
          <w:b/>
          <w:bCs/>
        </w:rPr>
        <w:t>Hassan MM</w:t>
      </w:r>
      <w:r>
        <w:t xml:space="preserve">, </w:t>
      </w:r>
      <w:proofErr w:type="spellStart"/>
      <w:r>
        <w:t>Kaseb</w:t>
      </w:r>
      <w:proofErr w:type="spellEnd"/>
      <w:r>
        <w:t xml:space="preserve"> A, </w:t>
      </w:r>
      <w:proofErr w:type="spellStart"/>
      <w:r>
        <w:t>Etzel</w:t>
      </w:r>
      <w:proofErr w:type="spellEnd"/>
      <w:r>
        <w:t xml:space="preserve"> CJ, El-</w:t>
      </w:r>
      <w:proofErr w:type="spellStart"/>
      <w:r>
        <w:t>Serag</w:t>
      </w:r>
      <w:proofErr w:type="spellEnd"/>
      <w:r>
        <w:t xml:space="preserve"> H, Spitz MR, Chang P, Hale KS, Liu M, Rashid A, </w:t>
      </w:r>
      <w:proofErr w:type="spellStart"/>
      <w:r>
        <w:t>Shama</w:t>
      </w:r>
      <w:proofErr w:type="spellEnd"/>
      <w:r>
        <w:t xml:space="preserve"> M, </w:t>
      </w:r>
      <w:proofErr w:type="spellStart"/>
      <w:r>
        <w:t>Abbruzzese</w:t>
      </w:r>
      <w:proofErr w:type="spellEnd"/>
      <w:r>
        <w:t xml:space="preserve"> JL, </w:t>
      </w:r>
      <w:proofErr w:type="spellStart"/>
      <w:r>
        <w:t>Loyer</w:t>
      </w:r>
      <w:proofErr w:type="spellEnd"/>
      <w:r>
        <w:t xml:space="preserve"> EM, Kaur H, </w:t>
      </w:r>
      <w:proofErr w:type="spellStart"/>
      <w:r>
        <w:t>Hassabo</w:t>
      </w:r>
      <w:proofErr w:type="spellEnd"/>
      <w:r>
        <w:t xml:space="preserve"> HM, </w:t>
      </w:r>
      <w:proofErr w:type="spellStart"/>
      <w:r>
        <w:t>Vauthey</w:t>
      </w:r>
      <w:proofErr w:type="spellEnd"/>
      <w:r>
        <w:t xml:space="preserve"> JN, Wray CJ, Hassan BS, </w:t>
      </w:r>
      <w:proofErr w:type="spellStart"/>
      <w:r>
        <w:t>Patt</w:t>
      </w:r>
      <w:proofErr w:type="spellEnd"/>
      <w:r>
        <w:t xml:space="preserve"> YZ, Hawk E, </w:t>
      </w:r>
      <w:proofErr w:type="spellStart"/>
      <w:r>
        <w:t>Soliman</w:t>
      </w:r>
      <w:proofErr w:type="spellEnd"/>
      <w:r>
        <w:t xml:space="preserve"> KM, Li D. Genetic variation in the PNPLA3 gene and hepatocellular carcinoma in USA: risk and prognosis prediction. </w:t>
      </w:r>
      <w:proofErr w:type="spellStart"/>
      <w:r>
        <w:rPr>
          <w:i/>
          <w:iCs/>
        </w:rPr>
        <w:t>Mol</w:t>
      </w:r>
      <w:proofErr w:type="spellEnd"/>
      <w:r>
        <w:rPr>
          <w:i/>
          <w:iCs/>
        </w:rPr>
        <w:t xml:space="preserve"> </w:t>
      </w:r>
      <w:proofErr w:type="spellStart"/>
      <w:r>
        <w:rPr>
          <w:i/>
          <w:iCs/>
        </w:rPr>
        <w:t>Carcinog</w:t>
      </w:r>
      <w:proofErr w:type="spellEnd"/>
      <w:r>
        <w:t xml:space="preserve"> 2013; </w:t>
      </w:r>
      <w:r>
        <w:rPr>
          <w:b/>
          <w:bCs/>
        </w:rPr>
        <w:t xml:space="preserve">52 </w:t>
      </w:r>
      <w:proofErr w:type="spellStart"/>
      <w:r>
        <w:t>Suppl</w:t>
      </w:r>
      <w:proofErr w:type="spellEnd"/>
      <w:r>
        <w:t xml:space="preserve"> 1: E139-E147 [PMID: 23776098 DOI: 10.1002/mc.22057]</w:t>
      </w:r>
    </w:p>
    <w:p w:rsidR="00E21E48" w:rsidRDefault="00E21E48" w:rsidP="00E21E48">
      <w:pPr>
        <w:pStyle w:val="-1"/>
      </w:pPr>
      <w:r>
        <w:t>54</w:t>
      </w:r>
      <w:r>
        <w:tab/>
      </w:r>
      <w:r>
        <w:rPr>
          <w:b/>
          <w:bCs/>
        </w:rPr>
        <w:t xml:space="preserve">Lade </w:t>
      </w:r>
      <w:proofErr w:type="gramStart"/>
      <w:r>
        <w:rPr>
          <w:b/>
          <w:bCs/>
        </w:rPr>
        <w:t>A</w:t>
      </w:r>
      <w:proofErr w:type="gramEnd"/>
      <w:r>
        <w:t xml:space="preserve">, Noon LA, Friedman SL. Contributions of metabolic dysregulation and inflammation to nonalcoholic steatohepatitis, hepatic fibrosis, and cancer. </w:t>
      </w:r>
      <w:proofErr w:type="spellStart"/>
      <w:r>
        <w:rPr>
          <w:i/>
          <w:iCs/>
        </w:rPr>
        <w:t>Curr</w:t>
      </w:r>
      <w:proofErr w:type="spellEnd"/>
      <w:r>
        <w:rPr>
          <w:i/>
          <w:iCs/>
        </w:rPr>
        <w:t xml:space="preserve"> </w:t>
      </w:r>
      <w:proofErr w:type="spellStart"/>
      <w:r>
        <w:rPr>
          <w:i/>
          <w:iCs/>
        </w:rPr>
        <w:t>Opin</w:t>
      </w:r>
      <w:proofErr w:type="spellEnd"/>
      <w:r>
        <w:rPr>
          <w:i/>
          <w:iCs/>
        </w:rPr>
        <w:t xml:space="preserve"> </w:t>
      </w:r>
      <w:proofErr w:type="spellStart"/>
      <w:r>
        <w:rPr>
          <w:i/>
          <w:iCs/>
        </w:rPr>
        <w:t>Oncol</w:t>
      </w:r>
      <w:proofErr w:type="spellEnd"/>
      <w:r>
        <w:t xml:space="preserve"> 2014; </w:t>
      </w:r>
      <w:r>
        <w:rPr>
          <w:b/>
          <w:bCs/>
        </w:rPr>
        <w:t>26</w:t>
      </w:r>
      <w:r>
        <w:t>: 100-107 [PMID: 24275855 DOI: 10.1097/CCO.0000000000000042]</w:t>
      </w:r>
    </w:p>
    <w:p w:rsidR="00E21E48" w:rsidRDefault="00E21E48" w:rsidP="00E21E48">
      <w:pPr>
        <w:pStyle w:val="-1"/>
      </w:pPr>
      <w:r>
        <w:t>55</w:t>
      </w:r>
      <w:r>
        <w:tab/>
      </w:r>
      <w:r>
        <w:rPr>
          <w:b/>
          <w:bCs/>
        </w:rPr>
        <w:t>Guzman G</w:t>
      </w:r>
      <w:r>
        <w:t xml:space="preserve">, Brunt EM, </w:t>
      </w:r>
      <w:proofErr w:type="spellStart"/>
      <w:r>
        <w:t>Petrovic</w:t>
      </w:r>
      <w:proofErr w:type="spellEnd"/>
      <w:r>
        <w:t xml:space="preserve"> LM, </w:t>
      </w:r>
      <w:proofErr w:type="spellStart"/>
      <w:r>
        <w:t>Chejfec</w:t>
      </w:r>
      <w:proofErr w:type="spellEnd"/>
      <w:r>
        <w:t xml:space="preserve"> G, </w:t>
      </w:r>
      <w:proofErr w:type="spellStart"/>
      <w:r>
        <w:t>Layden</w:t>
      </w:r>
      <w:proofErr w:type="spellEnd"/>
      <w:r>
        <w:t xml:space="preserve"> TJ, Cotler SJ. Does nonalcoholic fatty liver disease predispose patients to hepatocellular carcinoma in the absence of cirrhosis? </w:t>
      </w:r>
      <w:r>
        <w:rPr>
          <w:i/>
          <w:iCs/>
        </w:rPr>
        <w:t xml:space="preserve">Arch </w:t>
      </w:r>
      <w:proofErr w:type="spellStart"/>
      <w:r>
        <w:rPr>
          <w:i/>
          <w:iCs/>
        </w:rPr>
        <w:t>Pathol</w:t>
      </w:r>
      <w:proofErr w:type="spellEnd"/>
      <w:r>
        <w:rPr>
          <w:i/>
          <w:iCs/>
        </w:rPr>
        <w:t xml:space="preserve"> Lab Med</w:t>
      </w:r>
      <w:r>
        <w:t xml:space="preserve"> 2008; </w:t>
      </w:r>
      <w:r>
        <w:rPr>
          <w:b/>
          <w:bCs/>
        </w:rPr>
        <w:t>132</w:t>
      </w:r>
      <w:r>
        <w:t>: 1761-1766 [PMID: 18976012 DOI: 10.1043/1543-2165-132.11.1761]</w:t>
      </w:r>
    </w:p>
    <w:p w:rsidR="00E21E48" w:rsidRDefault="00E21E48" w:rsidP="00E21E48">
      <w:pPr>
        <w:pStyle w:val="-1"/>
        <w:rPr>
          <w:spacing w:val="-2"/>
        </w:rPr>
      </w:pPr>
      <w:r>
        <w:t>56</w:t>
      </w:r>
      <w:r>
        <w:tab/>
      </w:r>
      <w:r>
        <w:rPr>
          <w:b/>
          <w:bCs/>
          <w:spacing w:val="-2"/>
        </w:rPr>
        <w:t>Liu Y</w:t>
      </w:r>
      <w:r>
        <w:rPr>
          <w:spacing w:val="-2"/>
        </w:rPr>
        <w:t>, El-</w:t>
      </w:r>
      <w:proofErr w:type="spellStart"/>
      <w:r>
        <w:rPr>
          <w:spacing w:val="-2"/>
        </w:rPr>
        <w:t>Serag</w:t>
      </w:r>
      <w:proofErr w:type="spellEnd"/>
      <w:r>
        <w:rPr>
          <w:spacing w:val="-2"/>
        </w:rPr>
        <w:t xml:space="preserve"> HB, Jiao L, Lee J, Moore D, Franco LM, </w:t>
      </w:r>
      <w:proofErr w:type="spellStart"/>
      <w:r>
        <w:rPr>
          <w:spacing w:val="-2"/>
        </w:rPr>
        <w:t>Tavakoli-Tabasi</w:t>
      </w:r>
      <w:proofErr w:type="spellEnd"/>
      <w:r>
        <w:rPr>
          <w:spacing w:val="-2"/>
        </w:rPr>
        <w:t xml:space="preserve"> S, </w:t>
      </w:r>
      <w:proofErr w:type="spellStart"/>
      <w:r>
        <w:rPr>
          <w:spacing w:val="-2"/>
        </w:rPr>
        <w:t>Tsavachidis</w:t>
      </w:r>
      <w:proofErr w:type="spellEnd"/>
      <w:r>
        <w:rPr>
          <w:spacing w:val="-2"/>
        </w:rPr>
        <w:t xml:space="preserve"> S, </w:t>
      </w:r>
      <w:proofErr w:type="spellStart"/>
      <w:r>
        <w:rPr>
          <w:spacing w:val="-2"/>
        </w:rPr>
        <w:t>Kuzniarek</w:t>
      </w:r>
      <w:proofErr w:type="spellEnd"/>
      <w:r>
        <w:rPr>
          <w:spacing w:val="-2"/>
        </w:rPr>
        <w:t xml:space="preserve"> J, Ramsey DJ, White DL. </w:t>
      </w:r>
      <w:proofErr w:type="gramStart"/>
      <w:r>
        <w:rPr>
          <w:spacing w:val="-2"/>
        </w:rPr>
        <w:t>WNT signaling pathway gene polymorphisms and risk of hepatic fibrosis and inflammation in HCV-infected patients.</w:t>
      </w:r>
      <w:proofErr w:type="gramEnd"/>
      <w:r>
        <w:rPr>
          <w:spacing w:val="-2"/>
        </w:rPr>
        <w:t xml:space="preserve"> </w:t>
      </w:r>
      <w:proofErr w:type="spellStart"/>
      <w:r>
        <w:rPr>
          <w:i/>
          <w:iCs/>
          <w:spacing w:val="-2"/>
        </w:rPr>
        <w:t>PLoS</w:t>
      </w:r>
      <w:proofErr w:type="spellEnd"/>
      <w:r>
        <w:rPr>
          <w:i/>
          <w:iCs/>
          <w:spacing w:val="-2"/>
        </w:rPr>
        <w:t xml:space="preserve"> One</w:t>
      </w:r>
      <w:r>
        <w:rPr>
          <w:spacing w:val="-2"/>
        </w:rPr>
        <w:t xml:space="preserve"> 2013; </w:t>
      </w:r>
      <w:r>
        <w:rPr>
          <w:b/>
          <w:bCs/>
          <w:spacing w:val="-2"/>
        </w:rPr>
        <w:t>8</w:t>
      </w:r>
      <w:r>
        <w:rPr>
          <w:spacing w:val="-2"/>
        </w:rPr>
        <w:t>: e84407 [PMID: 24386373 DOI: 10.1371/journal.pone.0084407]</w:t>
      </w:r>
    </w:p>
    <w:p w:rsidR="00E21E48" w:rsidRDefault="00E21E48" w:rsidP="00E21E48">
      <w:pPr>
        <w:pStyle w:val="-1"/>
      </w:pPr>
      <w:r>
        <w:t>57</w:t>
      </w:r>
      <w:r>
        <w:tab/>
      </w:r>
      <w:proofErr w:type="spellStart"/>
      <w:r>
        <w:rPr>
          <w:b/>
          <w:bCs/>
        </w:rPr>
        <w:t>Pullinger</w:t>
      </w:r>
      <w:proofErr w:type="spellEnd"/>
      <w:r>
        <w:rPr>
          <w:b/>
          <w:bCs/>
        </w:rPr>
        <w:t xml:space="preserve"> CR</w:t>
      </w:r>
      <w:r>
        <w:t xml:space="preserve">, </w:t>
      </w:r>
      <w:proofErr w:type="spellStart"/>
      <w:r>
        <w:t>Goldfine</w:t>
      </w:r>
      <w:proofErr w:type="spellEnd"/>
      <w:r>
        <w:t xml:space="preserve"> ID, </w:t>
      </w:r>
      <w:proofErr w:type="spellStart"/>
      <w:r>
        <w:t>Tanyolaç</w:t>
      </w:r>
      <w:proofErr w:type="spellEnd"/>
      <w:r>
        <w:t xml:space="preserve"> S, </w:t>
      </w:r>
      <w:proofErr w:type="spellStart"/>
      <w:r>
        <w:t>Movsesyan</w:t>
      </w:r>
      <w:proofErr w:type="spellEnd"/>
      <w:r>
        <w:t xml:space="preserve"> I, </w:t>
      </w:r>
      <w:proofErr w:type="spellStart"/>
      <w:r>
        <w:t>Faynboym</w:t>
      </w:r>
      <w:proofErr w:type="spellEnd"/>
      <w:r>
        <w:t xml:space="preserve"> M, </w:t>
      </w:r>
      <w:proofErr w:type="spellStart"/>
      <w:r>
        <w:t>Durlach</w:t>
      </w:r>
      <w:proofErr w:type="spellEnd"/>
      <w:r>
        <w:t xml:space="preserve"> V, </w:t>
      </w:r>
      <w:proofErr w:type="spellStart"/>
      <w:r>
        <w:t>Chiefari</w:t>
      </w:r>
      <w:proofErr w:type="spellEnd"/>
      <w:r>
        <w:t xml:space="preserve"> E, </w:t>
      </w:r>
      <w:proofErr w:type="spellStart"/>
      <w:r>
        <w:t>Foti</w:t>
      </w:r>
      <w:proofErr w:type="spellEnd"/>
      <w:r>
        <w:t xml:space="preserve"> DP, Frost PH, Malloy MJ, Brunetti A, Kane JP. </w:t>
      </w:r>
      <w:proofErr w:type="gramStart"/>
      <w:r>
        <w:t>Evidence that an HMGA1 gene variant associates with type 2 diabetes, body mass index, and high-density lipoprotein cholesterol in a Hispanic-American population.</w:t>
      </w:r>
      <w:proofErr w:type="gramEnd"/>
      <w:r>
        <w:t xml:space="preserve"> </w:t>
      </w:r>
      <w:proofErr w:type="spellStart"/>
      <w:r>
        <w:rPr>
          <w:i/>
          <w:iCs/>
        </w:rPr>
        <w:t>Metab</w:t>
      </w:r>
      <w:proofErr w:type="spellEnd"/>
      <w:r>
        <w:rPr>
          <w:i/>
          <w:iCs/>
        </w:rPr>
        <w:t xml:space="preserve"> </w:t>
      </w:r>
      <w:proofErr w:type="spellStart"/>
      <w:r>
        <w:rPr>
          <w:i/>
          <w:iCs/>
        </w:rPr>
        <w:t>Syndr</w:t>
      </w:r>
      <w:proofErr w:type="spellEnd"/>
      <w:r>
        <w:rPr>
          <w:i/>
          <w:iCs/>
        </w:rPr>
        <w:t xml:space="preserve"> </w:t>
      </w:r>
      <w:proofErr w:type="spellStart"/>
      <w:r>
        <w:rPr>
          <w:i/>
          <w:iCs/>
        </w:rPr>
        <w:t>Relat</w:t>
      </w:r>
      <w:proofErr w:type="spellEnd"/>
      <w:r>
        <w:rPr>
          <w:i/>
          <w:iCs/>
        </w:rPr>
        <w:t xml:space="preserve"> </w:t>
      </w:r>
      <w:proofErr w:type="spellStart"/>
      <w:r>
        <w:rPr>
          <w:i/>
          <w:iCs/>
        </w:rPr>
        <w:t>Disord</w:t>
      </w:r>
      <w:proofErr w:type="spellEnd"/>
      <w:r>
        <w:t xml:space="preserve"> 2014; </w:t>
      </w:r>
      <w:r>
        <w:rPr>
          <w:b/>
          <w:bCs/>
        </w:rPr>
        <w:t>12</w:t>
      </w:r>
      <w:r>
        <w:t>: 25-30 [PMID: 24148075 DOI: 10.1089/met.2013.0086]</w:t>
      </w:r>
    </w:p>
    <w:p w:rsidR="00E21E48" w:rsidRDefault="00E21E48" w:rsidP="00E21E48">
      <w:pPr>
        <w:pStyle w:val="af3"/>
        <w:rPr>
          <w:rFonts w:ascii="Times New Roman" w:hAnsi="Times New Roman" w:cs="Times New Roman"/>
          <w:b/>
          <w:bCs/>
          <w:spacing w:val="-1"/>
        </w:rPr>
      </w:pPr>
    </w:p>
    <w:p w:rsidR="00E21E48" w:rsidRDefault="00E21E48" w:rsidP="00E21E48">
      <w:r>
        <w:t>Figure Legends</w:t>
      </w:r>
    </w:p>
    <w:p w:rsidR="00E21E48" w:rsidRDefault="00E21E48" w:rsidP="00E21E48">
      <w:pPr>
        <w:pStyle w:val="8BF4"/>
        <w:rPr>
          <w:rFonts w:hint="eastAsia"/>
          <w:b/>
          <w:bCs/>
        </w:rPr>
      </w:pPr>
      <w:r>
        <w:rPr>
          <w:b/>
          <w:bCs/>
          <w:noProof/>
          <w:lang w:bidi="ar-SA"/>
        </w:rPr>
        <w:drawing>
          <wp:inline distT="0" distB="0" distL="0" distR="0">
            <wp:extent cx="2146610" cy="2000250"/>
            <wp:effectExtent l="0" t="0" r="6350" b="0"/>
            <wp:docPr id="5" name="图片 5" descr="D:\排版、组版\WJH\WJHv9i7\pmc-7\fig\WJH-9-391-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H\WJHv9i7\pmc-7\fig\WJH-9-391-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610" cy="2000250"/>
                    </a:xfrm>
                    <a:prstGeom prst="rect">
                      <a:avLst/>
                    </a:prstGeom>
                    <a:noFill/>
                    <a:ln>
                      <a:noFill/>
                    </a:ln>
                  </pic:spPr>
                </pic:pic>
              </a:graphicData>
            </a:graphic>
          </wp:inline>
        </w:drawing>
      </w:r>
    </w:p>
    <w:p w:rsidR="00E21E48" w:rsidRDefault="00E21E48" w:rsidP="00E21E48">
      <w:pPr>
        <w:pStyle w:val="8BF4"/>
      </w:pPr>
      <w:r>
        <w:rPr>
          <w:b/>
          <w:bCs/>
        </w:rPr>
        <w:t xml:space="preserve">Figure </w:t>
      </w:r>
      <w:proofErr w:type="gramStart"/>
      <w:r>
        <w:rPr>
          <w:b/>
          <w:bCs/>
        </w:rPr>
        <w:t>1  Unadjusted</w:t>
      </w:r>
      <w:proofErr w:type="gramEnd"/>
      <w:r>
        <w:rPr>
          <w:b/>
          <w:bCs/>
        </w:rPr>
        <w:t xml:space="preserve"> survival curve stratified in patients with </w:t>
      </w:r>
      <w:proofErr w:type="spellStart"/>
      <w:r>
        <w:rPr>
          <w:b/>
          <w:bCs/>
        </w:rPr>
        <w:t>hepato</w:t>
      </w:r>
      <w:proofErr w:type="spellEnd"/>
      <w:r>
        <w:rPr>
          <w:b/>
          <w:bCs/>
        </w:rPr>
        <w:t>–cellular carcinoma by race from time of presentation to time of death or censorship (with numbers of subject at risk).</w:t>
      </w:r>
      <w:r>
        <w:t xml:space="preserve"> Hispanic (</w:t>
      </w:r>
      <w:r>
        <w:rPr>
          <w:i/>
          <w:iCs/>
        </w:rPr>
        <w:t>n</w:t>
      </w:r>
      <w:r>
        <w:t xml:space="preserve"> = 44), African American (</w:t>
      </w:r>
      <w:r>
        <w:rPr>
          <w:i/>
          <w:iCs/>
        </w:rPr>
        <w:t>n</w:t>
      </w:r>
      <w:r>
        <w:t xml:space="preserve"> = 61), Whites (</w:t>
      </w:r>
      <w:r>
        <w:rPr>
          <w:i/>
          <w:iCs/>
        </w:rPr>
        <w:t>n</w:t>
      </w:r>
      <w:r>
        <w:t xml:space="preserve"> = 90). </w:t>
      </w:r>
      <w:r>
        <w:rPr>
          <w:i/>
          <w:iCs/>
        </w:rPr>
        <w:t>P</w:t>
      </w:r>
      <w:r>
        <w:t xml:space="preserve">-value was obtained by the log-rank test. </w:t>
      </w:r>
    </w:p>
    <w:p w:rsidR="00E21E48" w:rsidRDefault="00E21E48" w:rsidP="00E21E48">
      <w:pPr>
        <w:pStyle w:val="8BF4"/>
        <w:rPr>
          <w:rFonts w:hint="eastAsia"/>
          <w:b/>
          <w:bCs/>
        </w:rPr>
      </w:pPr>
      <w:r>
        <w:rPr>
          <w:b/>
          <w:bCs/>
          <w:noProof/>
          <w:lang w:bidi="ar-SA"/>
        </w:rPr>
        <w:lastRenderedPageBreak/>
        <w:drawing>
          <wp:inline distT="0" distB="0" distL="0" distR="0">
            <wp:extent cx="2476500" cy="2188826"/>
            <wp:effectExtent l="0" t="0" r="0" b="2540"/>
            <wp:docPr id="6" name="图片 6" descr="D:\排版、组版\WJH\WJHv9i7\pmc-7\fig\WJH-9-391-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排版、组版\WJH\WJHv9i7\pmc-7\fig\WJH-9-391-g00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188826"/>
                    </a:xfrm>
                    <a:prstGeom prst="rect">
                      <a:avLst/>
                    </a:prstGeom>
                    <a:noFill/>
                    <a:ln>
                      <a:noFill/>
                    </a:ln>
                  </pic:spPr>
                </pic:pic>
              </a:graphicData>
            </a:graphic>
          </wp:inline>
        </w:drawing>
      </w:r>
    </w:p>
    <w:p w:rsidR="00E21E48" w:rsidRDefault="00E21E48" w:rsidP="00E21E48">
      <w:pPr>
        <w:pStyle w:val="8BF4"/>
      </w:pPr>
      <w:r>
        <w:rPr>
          <w:b/>
          <w:bCs/>
        </w:rPr>
        <w:t xml:space="preserve">Figure </w:t>
      </w:r>
      <w:proofErr w:type="gramStart"/>
      <w:r>
        <w:rPr>
          <w:b/>
          <w:bCs/>
        </w:rPr>
        <w:t>2  Overall</w:t>
      </w:r>
      <w:proofErr w:type="gramEnd"/>
      <w:r>
        <w:rPr>
          <w:b/>
          <w:bCs/>
        </w:rPr>
        <w:t xml:space="preserve"> survival curves by race after exclusion of patients who underwent </w:t>
      </w:r>
      <w:proofErr w:type="spellStart"/>
      <w:r>
        <w:rPr>
          <w:b/>
          <w:bCs/>
        </w:rPr>
        <w:t>orthotopic</w:t>
      </w:r>
      <w:proofErr w:type="spellEnd"/>
      <w:r>
        <w:rPr>
          <w:b/>
          <w:bCs/>
        </w:rPr>
        <w:t xml:space="preserve"> liver transplantation (with numbers of subjects at risk). </w:t>
      </w:r>
      <w:r>
        <w:t>Hispanic (</w:t>
      </w:r>
      <w:r>
        <w:rPr>
          <w:i/>
          <w:iCs/>
        </w:rPr>
        <w:t>n</w:t>
      </w:r>
      <w:r>
        <w:t xml:space="preserve"> = 34), African American (</w:t>
      </w:r>
      <w:r>
        <w:rPr>
          <w:i/>
          <w:iCs/>
        </w:rPr>
        <w:t>n</w:t>
      </w:r>
      <w:r>
        <w:t xml:space="preserve"> = 55), Whites (</w:t>
      </w:r>
      <w:r>
        <w:rPr>
          <w:i/>
          <w:iCs/>
        </w:rPr>
        <w:t>n</w:t>
      </w:r>
      <w:r>
        <w:t xml:space="preserve"> = 69). </w:t>
      </w:r>
      <w:r>
        <w:rPr>
          <w:i/>
          <w:iCs/>
        </w:rPr>
        <w:t>P</w:t>
      </w:r>
      <w:r>
        <w:t xml:space="preserve">-value was obtained with the use of the log-rank test. </w:t>
      </w:r>
    </w:p>
    <w:p w:rsidR="00E21E48" w:rsidRDefault="00E21E48" w:rsidP="00E21E48">
      <w:pPr>
        <w:pStyle w:val="8BF4"/>
        <w:rPr>
          <w:rFonts w:hint="eastAsia"/>
          <w:b/>
          <w:bCs/>
        </w:rPr>
      </w:pPr>
      <w:r>
        <w:rPr>
          <w:b/>
          <w:bCs/>
          <w:noProof/>
          <w:lang w:bidi="ar-SA"/>
        </w:rPr>
        <w:drawing>
          <wp:inline distT="0" distB="0" distL="0" distR="0">
            <wp:extent cx="2472906" cy="1524000"/>
            <wp:effectExtent l="0" t="0" r="3810" b="0"/>
            <wp:docPr id="7" name="图片 7" descr="D:\排版、组版\WJH\WJHv9i7\pmc-7\fig\WJH-9-391-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排版、组版\WJH\WJHv9i7\pmc-7\fig\WJH-9-391-g00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906" cy="1524000"/>
                    </a:xfrm>
                    <a:prstGeom prst="rect">
                      <a:avLst/>
                    </a:prstGeom>
                    <a:noFill/>
                    <a:ln>
                      <a:noFill/>
                    </a:ln>
                  </pic:spPr>
                </pic:pic>
              </a:graphicData>
            </a:graphic>
          </wp:inline>
        </w:drawing>
      </w:r>
    </w:p>
    <w:p w:rsidR="00E21E48" w:rsidRDefault="00E21E48" w:rsidP="00E21E48">
      <w:pPr>
        <w:pStyle w:val="8BF4"/>
      </w:pPr>
      <w:r>
        <w:rPr>
          <w:b/>
          <w:bCs/>
        </w:rPr>
        <w:t xml:space="preserve">Figure </w:t>
      </w:r>
      <w:proofErr w:type="gramStart"/>
      <w:r>
        <w:rPr>
          <w:b/>
          <w:bCs/>
        </w:rPr>
        <w:t>3  Distribution</w:t>
      </w:r>
      <w:proofErr w:type="gramEnd"/>
      <w:r>
        <w:rPr>
          <w:b/>
          <w:bCs/>
        </w:rPr>
        <w:t xml:space="preserve"> of cause of death in patients with hepatocellular carcinoma by race.</w:t>
      </w:r>
      <w:r>
        <w:t xml:space="preserve"> There was no difference in HCC (</w:t>
      </w:r>
      <w:r>
        <w:rPr>
          <w:i/>
          <w:iCs/>
        </w:rPr>
        <w:t>P</w:t>
      </w:r>
      <w:r>
        <w:t xml:space="preserve"> = 0.1051), cirrhosis (</w:t>
      </w:r>
      <w:r>
        <w:rPr>
          <w:i/>
          <w:iCs/>
        </w:rPr>
        <w:t>P</w:t>
      </w:r>
      <w:r>
        <w:t xml:space="preserve"> = 0.6162), or other (</w:t>
      </w:r>
      <w:r>
        <w:rPr>
          <w:i/>
          <w:iCs/>
        </w:rPr>
        <w:t>P</w:t>
      </w:r>
      <w:r>
        <w:t xml:space="preserve"> = 0.0581) as cause of death between Hispanics, African Americans, and White. </w:t>
      </w:r>
      <w:r>
        <w:rPr>
          <w:vertAlign w:val="superscript"/>
        </w:rPr>
        <w:t>1</w:t>
      </w:r>
      <w:r>
        <w:t>Cause of death other includes: Immediate complications post liver transplant (</w:t>
      </w:r>
      <w:r>
        <w:rPr>
          <w:i/>
          <w:iCs/>
        </w:rPr>
        <w:t>n</w:t>
      </w:r>
      <w:r>
        <w:t xml:space="preserve"> = 3), sepsis (</w:t>
      </w:r>
      <w:r>
        <w:rPr>
          <w:i/>
          <w:iCs/>
        </w:rPr>
        <w:t>n</w:t>
      </w:r>
      <w:r>
        <w:t xml:space="preserve"> = 3), complications from second malignancy (</w:t>
      </w:r>
      <w:r>
        <w:rPr>
          <w:i/>
          <w:iCs/>
        </w:rPr>
        <w:t>n</w:t>
      </w:r>
      <w:r>
        <w:t xml:space="preserve"> = 2), cardiogenic shock (</w:t>
      </w:r>
      <w:r>
        <w:rPr>
          <w:i/>
          <w:iCs/>
        </w:rPr>
        <w:t>n</w:t>
      </w:r>
      <w:r>
        <w:t xml:space="preserve"> = 1), PEA (</w:t>
      </w:r>
      <w:r>
        <w:rPr>
          <w:i/>
          <w:iCs/>
        </w:rPr>
        <w:t>n</w:t>
      </w:r>
      <w:r>
        <w:t xml:space="preserve"> = 1), intracerebral hemorrhage (</w:t>
      </w:r>
      <w:r>
        <w:rPr>
          <w:i/>
          <w:iCs/>
        </w:rPr>
        <w:t>n</w:t>
      </w:r>
      <w:r>
        <w:t xml:space="preserve"> = 1). Of Hispanic patient (</w:t>
      </w:r>
      <w:r>
        <w:rPr>
          <w:i/>
          <w:iCs/>
        </w:rPr>
        <w:t>n</w:t>
      </w:r>
      <w:r>
        <w:t xml:space="preserve"> = 4), immediate complications post liver transplant (</w:t>
      </w:r>
      <w:r>
        <w:rPr>
          <w:i/>
          <w:iCs/>
        </w:rPr>
        <w:t>n</w:t>
      </w:r>
      <w:r>
        <w:t xml:space="preserve"> = 2), cardiogenic shock (</w:t>
      </w:r>
      <w:r>
        <w:rPr>
          <w:i/>
          <w:iCs/>
        </w:rPr>
        <w:t>n</w:t>
      </w:r>
      <w:r>
        <w:t xml:space="preserve"> = 1), complications from a second malignancy (</w:t>
      </w:r>
      <w:r>
        <w:rPr>
          <w:i/>
          <w:iCs/>
        </w:rPr>
        <w:t>n</w:t>
      </w:r>
      <w:r>
        <w:t xml:space="preserve"> = 1). </w:t>
      </w:r>
      <w:proofErr w:type="spellStart"/>
      <w:proofErr w:type="gramStart"/>
      <w:r>
        <w:t>Fischers</w:t>
      </w:r>
      <w:proofErr w:type="spellEnd"/>
      <w:proofErr w:type="gramEnd"/>
      <w:r>
        <w:t xml:space="preserve"> pairwise comparison not performed due to </w:t>
      </w:r>
      <w:r>
        <w:rPr>
          <w:i/>
          <w:iCs/>
        </w:rPr>
        <w:t>n</w:t>
      </w:r>
      <w:r>
        <w:t xml:space="preserve"> &lt; 5 per group. HCC: Hepatocellular carcinoma.</w:t>
      </w:r>
    </w:p>
    <w:p w:rsidR="00E21E48" w:rsidRPr="00B46507" w:rsidRDefault="00E21E48" w:rsidP="00E21E48"/>
    <w:p w:rsidR="00E21E48" w:rsidRDefault="00E21E48" w:rsidP="00E21E48">
      <w:pPr>
        <w:rPr>
          <w:rFonts w:hint="eastAsia"/>
        </w:rPr>
      </w:pPr>
      <w:r>
        <w:t>Footnotes</w:t>
      </w:r>
    </w:p>
    <w:p w:rsidR="00E21E48" w:rsidRDefault="00E21E48" w:rsidP="00E21E48">
      <w:pPr>
        <w:pStyle w:val="af"/>
      </w:pPr>
      <w:r>
        <w:rPr>
          <w:rFonts w:ascii="Tahoma" w:hAnsi="Tahoma" w:cs="Tahoma"/>
          <w:lang w:val="it-IT"/>
        </w:rPr>
        <w:t>Institutional review board statement:</w:t>
      </w:r>
      <w:r>
        <w:rPr>
          <w:b/>
          <w:bCs/>
        </w:rPr>
        <w:t xml:space="preserve"> </w:t>
      </w:r>
      <w:r>
        <w:t xml:space="preserve">This was a retrospective study which was approved by the University of Illinois IRB as an expedited review, under expedited category 5 (Protocol 2005-0283). As such, it was granted a waiver of informed consent and HIPAA authorization. </w:t>
      </w:r>
    </w:p>
    <w:p w:rsidR="00E21E48" w:rsidRDefault="00E21E48" w:rsidP="00E21E48">
      <w:pPr>
        <w:pStyle w:val="af"/>
      </w:pPr>
      <w:r>
        <w:rPr>
          <w:rFonts w:ascii="Tahoma" w:hAnsi="Tahoma" w:cs="Tahoma"/>
          <w:lang w:val="it-IT"/>
        </w:rPr>
        <w:t>Informed consent statement:</w:t>
      </w:r>
      <w:r>
        <w:t xml:space="preserve"> This study was approved under expedited category 5 (Protocol 2005-0283). As such, it was granted a waiver of informed consent and HIPAA authorization. </w:t>
      </w:r>
    </w:p>
    <w:p w:rsidR="00E21E48" w:rsidRDefault="00E21E48" w:rsidP="00E21E48">
      <w:pPr>
        <w:pStyle w:val="af"/>
      </w:pPr>
      <w:r>
        <w:rPr>
          <w:rFonts w:ascii="Tahoma" w:hAnsi="Tahoma" w:cs="Tahoma"/>
          <w:lang w:val="it-IT"/>
        </w:rPr>
        <w:t>Conflict-of-interest statement</w:t>
      </w:r>
      <w:r w:rsidRPr="00B46507">
        <w:rPr>
          <w:rFonts w:ascii="Tahoma" w:hAnsi="Tahoma" w:cs="Tahoma"/>
        </w:rPr>
        <w:t>:</w:t>
      </w:r>
      <w:r>
        <w:t xml:space="preserve"> We have no financial relation</w:t>
      </w:r>
      <w:r>
        <w:softHyphen/>
        <w:t>ships to disclose.</w:t>
      </w:r>
    </w:p>
    <w:p w:rsidR="00E21E48" w:rsidRDefault="00E21E48" w:rsidP="00E21E48">
      <w:pPr>
        <w:pStyle w:val="af"/>
      </w:pPr>
      <w:r>
        <w:rPr>
          <w:rFonts w:ascii="Tahoma" w:hAnsi="Tahoma" w:cs="Tahoma"/>
          <w:lang w:val="it-IT"/>
        </w:rPr>
        <w:t>Data sharing statement</w:t>
      </w:r>
      <w:r w:rsidRPr="00B46507">
        <w:rPr>
          <w:rFonts w:ascii="Tahoma" w:hAnsi="Tahoma" w:cs="Tahoma"/>
        </w:rPr>
        <w:t>:</w:t>
      </w:r>
      <w:r>
        <w:t xml:space="preserve"> No additional data are available.</w:t>
      </w:r>
    </w:p>
    <w:p w:rsidR="00E21E48" w:rsidRPr="00B46507" w:rsidRDefault="00E21E48" w:rsidP="00E21E48">
      <w:pPr>
        <w:pStyle w:val="af"/>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21E48" w:rsidRDefault="00E21E48" w:rsidP="00E21E48">
      <w:pPr>
        <w:pStyle w:val="af"/>
      </w:pPr>
      <w:r>
        <w:rPr>
          <w:rFonts w:ascii="Tahoma" w:hAnsi="Tahoma" w:cs="Tahoma"/>
        </w:rPr>
        <w:t>Manuscript source:</w:t>
      </w:r>
      <w:r>
        <w:t xml:space="preserve"> Unsolicited manuscript</w:t>
      </w:r>
    </w:p>
    <w:p w:rsidR="00E21E48" w:rsidRDefault="00E21E48" w:rsidP="00E21E48">
      <w:pPr>
        <w:pStyle w:val="af"/>
      </w:pPr>
      <w:r>
        <w:rPr>
          <w:rFonts w:ascii="Tahoma" w:hAnsi="Tahoma" w:cs="Tahoma"/>
        </w:rPr>
        <w:t>Peer-review started:</w:t>
      </w:r>
      <w:r>
        <w:rPr>
          <w:b/>
          <w:bCs/>
        </w:rPr>
        <w:t xml:space="preserve"> </w:t>
      </w:r>
      <w:r>
        <w:t>September 28, 2016</w:t>
      </w:r>
    </w:p>
    <w:p w:rsidR="00E21E48" w:rsidRDefault="00E21E48" w:rsidP="00E21E48">
      <w:pPr>
        <w:pStyle w:val="af"/>
      </w:pPr>
      <w:r>
        <w:rPr>
          <w:rFonts w:ascii="Tahoma" w:hAnsi="Tahoma" w:cs="Tahoma"/>
        </w:rPr>
        <w:t>First decision:</w:t>
      </w:r>
      <w:r>
        <w:t xml:space="preserve"> October 20, 2016</w:t>
      </w:r>
    </w:p>
    <w:p w:rsidR="00E21E48" w:rsidRDefault="00E21E48" w:rsidP="00E21E48">
      <w:pPr>
        <w:pStyle w:val="af"/>
      </w:pPr>
      <w:r>
        <w:rPr>
          <w:rFonts w:ascii="Tahoma" w:hAnsi="Tahoma" w:cs="Tahoma"/>
        </w:rPr>
        <w:t>Article in press:</w:t>
      </w:r>
      <w:r>
        <w:t xml:space="preserve"> January 18, 2017</w:t>
      </w:r>
    </w:p>
    <w:p w:rsidR="00E21E48" w:rsidRPr="00B46507" w:rsidRDefault="00E21E48" w:rsidP="00E21E48">
      <w:pPr>
        <w:pStyle w:val="af3"/>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spacing w:val="-1"/>
        </w:rPr>
        <w:t xml:space="preserve">: Chiu KW, Ma L, Wong GLH    </w:t>
      </w:r>
      <w:r>
        <w:rPr>
          <w:rFonts w:ascii="Times New Roman" w:hAnsi="Times New Roman" w:cs="Times New Roman"/>
          <w:b/>
          <w:bCs/>
        </w:rPr>
        <w:t>S-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 xml:space="preserve">Kong JX    </w:t>
      </w:r>
      <w:r>
        <w:rPr>
          <w:rFonts w:ascii="Times New Roman" w:hAnsi="Times New Roman" w:cs="Times New Roman"/>
          <w:b/>
          <w:bCs/>
        </w:rPr>
        <w:t>L- Editor</w:t>
      </w:r>
      <w:r>
        <w:rPr>
          <w:rFonts w:ascii="Times New Roman" w:hAnsi="Times New Roman" w:cs="Times New Roman"/>
          <w:spacing w:val="-1"/>
        </w:rPr>
        <w:t>:</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Li D</w:t>
      </w:r>
      <w:r>
        <w:rPr>
          <w:rFonts w:ascii="Times New Roman" w:hAnsi="Times New Roman" w:cs="Times New Roman"/>
          <w:b/>
          <w:bCs/>
        </w:rPr>
        <w:t xml:space="preserve">  </w:t>
      </w:r>
    </w:p>
    <w:p w:rsidR="00E21E48" w:rsidRDefault="00E21E48" w:rsidP="00E21E48">
      <w:pPr>
        <w:rPr>
          <w:rFonts w:hint="eastAsia"/>
        </w:rPr>
      </w:pPr>
    </w:p>
    <w:p w:rsidR="00E21E48" w:rsidRDefault="00E21E48" w:rsidP="00E21E48">
      <w:pPr>
        <w:rPr>
          <w:rFonts w:hint="eastAsia"/>
        </w:rPr>
      </w:pPr>
    </w:p>
    <w:p w:rsidR="00E21E48" w:rsidRDefault="00E21E48" w:rsidP="00E21E48">
      <w:pPr>
        <w:rPr>
          <w:rFonts w:hint="eastAsia"/>
        </w:rPr>
      </w:pPr>
    </w:p>
    <w:p w:rsidR="00E21E48" w:rsidRDefault="00E21E48" w:rsidP="00E21E48">
      <w:pPr>
        <w:rPr>
          <w:rFonts w:hint="eastAsia"/>
        </w:rPr>
      </w:pPr>
    </w:p>
    <w:p w:rsidR="00E21E48" w:rsidRDefault="00E21E48" w:rsidP="00E21E48">
      <w:pPr>
        <w:rPr>
          <w:rFonts w:hint="eastAsia"/>
        </w:rPr>
      </w:pPr>
    </w:p>
    <w:p w:rsidR="00E21E48" w:rsidRDefault="00E21E48" w:rsidP="00E21E48">
      <w:pPr>
        <w:rPr>
          <w:rFonts w:hint="eastAsia"/>
        </w:rPr>
      </w:pPr>
    </w:p>
    <w:p w:rsidR="00E21E48" w:rsidRDefault="00E21E48" w:rsidP="00E21E48">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20217765"/>
                <wp:effectExtent l="8255" t="9525" r="10795" b="133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217765"/>
                        </a:xfrm>
                        <a:prstGeom prst="rect">
                          <a:avLst/>
                        </a:prstGeom>
                        <a:solidFill>
                          <a:srgbClr val="FFFFFF"/>
                        </a:solidFill>
                        <a:ln w="9525">
                          <a:solidFill>
                            <a:srgbClr val="000000"/>
                          </a:solidFill>
                          <a:miter lim="800000"/>
                          <a:headEnd/>
                          <a:tailEnd/>
                        </a:ln>
                      </wps:spPr>
                      <wps:txbx>
                        <w:txbxContent>
                          <w:p w:rsidR="00E21E48" w:rsidRPr="00B46507" w:rsidRDefault="00E21E48" w:rsidP="00E21E48">
                            <w:pPr>
                              <w:rPr>
                                <w:b/>
                                <w:bCs/>
                              </w:rPr>
                            </w:pPr>
                            <w:r w:rsidRPr="00B46507">
                              <w:rPr>
                                <w:b/>
                                <w:bCs/>
                              </w:rPr>
                              <w:t xml:space="preserve">Table </w:t>
                            </w:r>
                            <w:proofErr w:type="gramStart"/>
                            <w:r w:rsidRPr="00B46507">
                              <w:rPr>
                                <w:b/>
                                <w:bCs/>
                              </w:rPr>
                              <w:t>1  Demographics</w:t>
                            </w:r>
                            <w:proofErr w:type="gramEnd"/>
                            <w:r w:rsidRPr="00B46507">
                              <w:rPr>
                                <w:b/>
                                <w:bCs/>
                              </w:rPr>
                              <w:t>, comorbid conditions and disease characteristics of hepatocellular carcinoma patients, by race</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15"/>
                              <w:gridCol w:w="1410"/>
                              <w:gridCol w:w="1417"/>
                              <w:gridCol w:w="1837"/>
                              <w:gridCol w:w="1207"/>
                              <w:gridCol w:w="1267"/>
                            </w:tblGrid>
                            <w:tr w:rsidR="00E21E48" w:rsidRPr="00B46507" w:rsidTr="00B46507">
                              <w:tblPrEx>
                                <w:tblCellMar>
                                  <w:top w:w="0" w:type="dxa"/>
                                  <w:left w:w="0" w:type="dxa"/>
                                  <w:bottom w:w="0" w:type="dxa"/>
                                  <w:right w:w="0" w:type="dxa"/>
                                </w:tblCellMar>
                              </w:tblPrEx>
                              <w:trPr>
                                <w:trHeight w:hRule="exact" w:val="660"/>
                              </w:trPr>
                              <w:tc>
                                <w:tcPr>
                                  <w:tcW w:w="241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left"/>
                                  </w:pPr>
                                  <w:r w:rsidRPr="00B46507">
                                    <w:t>Patient characteristics</w:t>
                                  </w:r>
                                </w:p>
                                <w:p w:rsidR="00E21E48" w:rsidRPr="00B46507" w:rsidRDefault="00E21E48">
                                  <w:pPr>
                                    <w:pStyle w:val="af4"/>
                                    <w:jc w:val="left"/>
                                  </w:pPr>
                                </w:p>
                              </w:tc>
                              <w:tc>
                                <w:tcPr>
                                  <w:tcW w:w="1410"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pPr>
                                  <w:r w:rsidRPr="00B46507">
                                    <w:t>Total (</w:t>
                                  </w:r>
                                  <w:r w:rsidRPr="00B46507">
                                    <w:rPr>
                                      <w:rFonts w:ascii="Albertus Italic" w:hAnsi="Albertus Italic" w:cs="Albertus Italic"/>
                                      <w:i/>
                                      <w:iCs/>
                                    </w:rPr>
                                    <w:t>n</w:t>
                                  </w:r>
                                  <w:r w:rsidRPr="00B46507">
                                    <w:t xml:space="preserve"> = 195)</w:t>
                                  </w:r>
                                </w:p>
                                <w:p w:rsidR="00E21E48" w:rsidRPr="00B46507" w:rsidRDefault="00E21E48">
                                  <w:pPr>
                                    <w:pStyle w:val="af4"/>
                                    <w:jc w:val="center"/>
                                  </w:pPr>
                                </w:p>
                              </w:tc>
                              <w:tc>
                                <w:tcPr>
                                  <w:tcW w:w="141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pPr>
                                  <w:r w:rsidRPr="00B46507">
                                    <w:t>Hispanic (</w:t>
                                  </w:r>
                                  <w:r w:rsidRPr="00B46507">
                                    <w:rPr>
                                      <w:rFonts w:ascii="Albertus Italic" w:hAnsi="Albertus Italic" w:cs="Albertus Italic"/>
                                      <w:i/>
                                      <w:iCs/>
                                    </w:rPr>
                                    <w:t>n</w:t>
                                  </w:r>
                                  <w:r w:rsidRPr="00B46507">
                                    <w:t xml:space="preserve"> = 44)</w:t>
                                  </w:r>
                                </w:p>
                                <w:p w:rsidR="00E21E48" w:rsidRPr="00B46507" w:rsidRDefault="00E21E48">
                                  <w:pPr>
                                    <w:pStyle w:val="af4"/>
                                    <w:jc w:val="center"/>
                                  </w:pPr>
                                </w:p>
                              </w:tc>
                              <w:tc>
                                <w:tcPr>
                                  <w:tcW w:w="183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pPr>
                                  <w:r w:rsidRPr="00B46507">
                                    <w:t>African-American (</w:t>
                                  </w:r>
                                  <w:r w:rsidRPr="00B46507">
                                    <w:rPr>
                                      <w:rFonts w:ascii="Albertus Italic" w:hAnsi="Albertus Italic" w:cs="Albertus Italic"/>
                                      <w:i/>
                                      <w:iCs/>
                                    </w:rPr>
                                    <w:t>n</w:t>
                                  </w:r>
                                  <w:r w:rsidRPr="00B46507">
                                    <w:t xml:space="preserve"> = 61)</w:t>
                                  </w:r>
                                </w:p>
                                <w:p w:rsidR="00E21E48" w:rsidRPr="00B46507" w:rsidRDefault="00E21E48">
                                  <w:pPr>
                                    <w:pStyle w:val="af4"/>
                                    <w:jc w:val="center"/>
                                  </w:pPr>
                                </w:p>
                              </w:tc>
                              <w:tc>
                                <w:tcPr>
                                  <w:tcW w:w="120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pPr>
                                  <w:r w:rsidRPr="00B46507">
                                    <w:t>White (</w:t>
                                  </w:r>
                                  <w:r w:rsidRPr="00B46507">
                                    <w:rPr>
                                      <w:rFonts w:ascii="Albertus Italic" w:hAnsi="Albertus Italic" w:cs="Albertus Italic"/>
                                      <w:i/>
                                      <w:iCs/>
                                    </w:rPr>
                                    <w:t>n</w:t>
                                  </w:r>
                                  <w:r w:rsidRPr="00B46507">
                                    <w:t xml:space="preserve"> = 90)</w:t>
                                  </w:r>
                                </w:p>
                                <w:p w:rsidR="00E21E48" w:rsidRPr="00B46507" w:rsidRDefault="00E21E48">
                                  <w:pPr>
                                    <w:pStyle w:val="af4"/>
                                    <w:jc w:val="center"/>
                                  </w:pPr>
                                </w:p>
                              </w:tc>
                              <w:tc>
                                <w:tcPr>
                                  <w:tcW w:w="126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rPr>
                                      <w:vertAlign w:val="superscript"/>
                                    </w:rPr>
                                  </w:pPr>
                                  <w:r w:rsidRPr="00B46507">
                                    <w:rPr>
                                      <w:rFonts w:ascii="Albertus Italic" w:hAnsi="Albertus Italic" w:cs="Albertus Italic"/>
                                      <w:i/>
                                      <w:iCs/>
                                    </w:rPr>
                                    <w:t>P</w:t>
                                  </w:r>
                                  <w:r w:rsidRPr="00B46507">
                                    <w:rPr>
                                      <w:vertAlign w:val="superscript"/>
                                    </w:rPr>
                                    <w:t>1</w:t>
                                  </w:r>
                                </w:p>
                                <w:p w:rsidR="00E21E48" w:rsidRPr="00B46507" w:rsidRDefault="00E21E48">
                                  <w:pPr>
                                    <w:pStyle w:val="af4"/>
                                    <w:jc w:val="center"/>
                                  </w:pPr>
                                </w:p>
                              </w:tc>
                            </w:tr>
                            <w:tr w:rsidR="00E21E48" w:rsidRPr="00B46507" w:rsidTr="00B46507">
                              <w:tblPrEx>
                                <w:tblCellMar>
                                  <w:top w:w="0" w:type="dxa"/>
                                  <w:left w:w="0" w:type="dxa"/>
                                  <w:bottom w:w="0" w:type="dxa"/>
                                  <w:right w:w="0" w:type="dxa"/>
                                </w:tblCellMar>
                              </w:tblPrEx>
                              <w:trPr>
                                <w:trHeight w:val="60"/>
                              </w:trPr>
                              <w:tc>
                                <w:tcPr>
                                  <w:tcW w:w="2415" w:type="dxa"/>
                                  <w:tcBorders>
                                    <w:top w:val="single" w:sz="6" w:space="0" w:color="000000"/>
                                  </w:tcBorders>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Demographics</w:t>
                                  </w:r>
                                </w:p>
                                <w:p w:rsidR="00E21E48" w:rsidRPr="00B46507" w:rsidRDefault="00E21E48">
                                  <w:pPr>
                                    <w:pStyle w:val="af5"/>
                                    <w:jc w:val="left"/>
                                    <w:rPr>
                                      <w:b w:val="0"/>
                                      <w:bCs w:val="0"/>
                                    </w:rPr>
                                  </w:pPr>
                                </w:p>
                              </w:tc>
                              <w:tc>
                                <w:tcPr>
                                  <w:tcW w:w="1410"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lang w:val="en-US"/>
                                    </w:rPr>
                                  </w:pPr>
                                  <w:r w:rsidRPr="00B46507">
                                    <w:rPr>
                                      <w:b w:val="0"/>
                                      <w:bCs w:val="0"/>
                                      <w:lang w:val="en-US"/>
                                    </w:rPr>
                                    <w:t xml:space="preserve">   Age (</w:t>
                                  </w:r>
                                  <w:proofErr w:type="spellStart"/>
                                  <w:r w:rsidRPr="00B46507">
                                    <w:rPr>
                                      <w:b w:val="0"/>
                                      <w:bCs w:val="0"/>
                                      <w:lang w:val="en-US"/>
                                    </w:rPr>
                                    <w:t>yr</w:t>
                                  </w:r>
                                  <w:proofErr w:type="spellEnd"/>
                                  <w:r w:rsidRPr="00B46507">
                                    <w:rPr>
                                      <w:b w:val="0"/>
                                      <w:bCs w:val="0"/>
                                      <w:lang w:val="en-US"/>
                                    </w:rPr>
                                    <w:t>, mean ± SD)</w:t>
                                  </w:r>
                                </w:p>
                                <w:p w:rsidR="00E21E48" w:rsidRPr="00B46507" w:rsidRDefault="00E21E48">
                                  <w:pPr>
                                    <w:pStyle w:val="af5"/>
                                    <w:jc w:val="left"/>
                                    <w:rPr>
                                      <w:b w:val="0"/>
                                      <w:bCs w:val="0"/>
                                      <w:lang w:val="en-US"/>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59.7 ± 9.8</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62.5 ± 12.5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58.7 ± 10.2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58.9 ± 7.7</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Female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38, 19.5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11, 25.0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17, 27.9</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10, 11.1</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HW, 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Insurance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Medicare/medicaid</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120, 61.5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31, 70.5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36, 59.0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53, 58.9</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Private</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67, 34.4</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12, 27.3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22, 36.1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33, 36.7</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None</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8, 4.1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1, 2.3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3, 4.9</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4, 4.4</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BMI &gt; 24.9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137, 70.3</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31, 70.5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44, 72.1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62, 68.9</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Metabolic syndrome</w:t>
                                  </w:r>
                                  <w:r w:rsidRPr="00B46507">
                                    <w:rPr>
                                      <w:b w:val="0"/>
                                      <w:bCs w:val="0"/>
                                      <w:vertAlign w:val="superscript"/>
                                    </w:rPr>
                                    <w:t>3</w:t>
                                  </w:r>
                                  <w:r w:rsidRPr="00B46507">
                                    <w:rPr>
                                      <w:b w:val="0"/>
                                      <w:bCs w:val="0"/>
                                    </w:rPr>
                                    <w:t xml:space="preserv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27, 14.1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8, 18.2</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3, 4.9</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16, 18.4</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HA, 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Comorbid conditions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Hyperlipidemia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31, 25.4</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16, 55.2</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5, 13.2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10, 18.2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HW, HA</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On dialysis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7, 3.6</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5, 11.4</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0, 0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2, 2.3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vertAlign w:val="superscript"/>
                                    </w:rPr>
                                  </w:pPr>
                                  <w:r w:rsidRPr="00B46507">
                                    <w:rPr>
                                      <w:b w:val="0"/>
                                      <w:bCs w:val="0"/>
                                      <w:vertAlign w:val="superscript"/>
                                    </w:rPr>
                                    <w:t>b</w:t>
                                  </w:r>
                                  <w:r w:rsidRPr="00B46507">
                                    <w:rPr>
                                      <w:b w:val="0"/>
                                      <w:bCs w:val="0"/>
                                    </w:rPr>
                                    <w:t>HNH</w:t>
                                  </w:r>
                                  <w:r w:rsidRPr="00B46507">
                                    <w:rPr>
                                      <w:b w:val="0"/>
                                      <w:bCs w:val="0"/>
                                      <w:vertAlign w:val="superscript"/>
                                    </w:rPr>
                                    <w:t>2</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Diabetes mellitus 2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91, 46.7</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29, 65.9</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19, 31.1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43, 47.8</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 xml:space="preserve">HA, </w:t>
                                  </w:r>
                                  <w:r w:rsidRPr="00B46507">
                                    <w:rPr>
                                      <w:b w:val="0"/>
                                      <w:bCs w:val="0"/>
                                      <w:vertAlign w:val="superscript"/>
                                    </w:rPr>
                                    <w:t>a</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History smoking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126, 65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16, 36.3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43, 70.5</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67, 75.2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 xml:space="preserve">HW, HA; </w:t>
                                  </w:r>
                                  <w:r w:rsidRPr="00B46507">
                                    <w:rPr>
                                      <w:b w:val="0"/>
                                      <w:bCs w:val="0"/>
                                      <w:vertAlign w:val="superscript"/>
                                    </w:rPr>
                                    <w:t>a</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Current smoker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57, 29.4</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2, 4.5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28, 45.9</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27, 30.3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 xml:space="preserve">HW, HA; </w:t>
                                  </w:r>
                                  <w:r w:rsidRPr="00B46507">
                                    <w:rPr>
                                      <w:b w:val="0"/>
                                      <w:bCs w:val="0"/>
                                      <w:vertAlign w:val="superscript"/>
                                    </w:rPr>
                                    <w:t>a</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Triglycerides (median ± SD)</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99.5 ± 66.5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101.0 ± 70.2</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111.0 ± 64.7</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80.5 ± 65.8</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History alcohol use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163, 83.6</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39, 88.6</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50, 82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74, 82.2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Cirrhosis characteristics</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vertAlign w:val="superscript"/>
                                    </w:rPr>
                                  </w:pPr>
                                  <w:r w:rsidRPr="00B46507">
                                    <w:rPr>
                                      <w:b w:val="0"/>
                                      <w:bCs w:val="0"/>
                                    </w:rPr>
                                    <w:t xml:space="preserve">   Etiology</w:t>
                                  </w:r>
                                  <w:r w:rsidRPr="00B46507">
                                    <w:rPr>
                                      <w:b w:val="0"/>
                                      <w:bCs w:val="0"/>
                                      <w:vertAlign w:val="superscript"/>
                                    </w:rPr>
                                    <w:t>4</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HCV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132, 67.7</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18, 40.9</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49, 80.3</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65, 72.2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HW, HA</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HBV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14, 8.1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2, 5.0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8, 14.3</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4, 5.2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ETOH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55, 28.2</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11, 25.0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15, 24.6</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29, 32.2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NASH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35, 18.0</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15, 34.9</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5, 8.2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15, 16.7</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 xml:space="preserve">HA, </w:t>
                                  </w:r>
                                  <w:r w:rsidRPr="00B46507">
                                    <w:rPr>
                                      <w:b w:val="0"/>
                                      <w:bCs w:val="0"/>
                                      <w:vertAlign w:val="superscript"/>
                                    </w:rPr>
                                    <w:t>a</w:t>
                                  </w:r>
                                  <w:r w:rsidRPr="00B46507">
                                    <w:rPr>
                                      <w:b w:val="0"/>
                                      <w:bCs w:val="0"/>
                                    </w:rPr>
                                    <w:t>HW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Other</w:t>
                                  </w:r>
                                  <w:r w:rsidRPr="00B46507">
                                    <w:rPr>
                                      <w:b w:val="0"/>
                                      <w:bCs w:val="0"/>
                                      <w:vertAlign w:val="superscript"/>
                                    </w:rPr>
                                    <w:t>5</w:t>
                                  </w:r>
                                  <w:r w:rsidRPr="00B46507">
                                    <w:rPr>
                                      <w:b w:val="0"/>
                                      <w:bCs w:val="0"/>
                                    </w:rPr>
                                    <w:t xml:space="preserv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22, 11.3</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11, 25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2, 3.3</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9, 11.3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0.056</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MELD (median ± SD)</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11.0 ± 4.6</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11.5 ± 4.4</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9.0 ± 3.1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12.0 ± 5.1</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 xml:space="preserve">HA, </w:t>
                                  </w:r>
                                  <w:r w:rsidRPr="00B46507">
                                    <w:rPr>
                                      <w:b w:val="0"/>
                                      <w:bCs w:val="0"/>
                                      <w:vertAlign w:val="superscript"/>
                                    </w:rPr>
                                    <w:t>b</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AFP</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Median (IQR)</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22.4 (6.1-217.2)</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19 (5.9-434.85)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82 (11.9-434.8)</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12 (5.0-53.2)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AFP &gt; 200</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49, 25.1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12, 27.3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22, 36.1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15, 16.7</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 xml:space="preserve">HA, </w:t>
                                  </w:r>
                                  <w:r w:rsidRPr="00B46507">
                                    <w:rPr>
                                      <w:b w:val="0"/>
                                      <w:bCs w:val="0"/>
                                      <w:vertAlign w:val="superscript"/>
                                    </w:rPr>
                                    <w:t>b</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208"/>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Hepatic encephalopathy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65, 33.3</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16, 36.4</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8, 13.1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41, 45.6</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 xml:space="preserve">HA, </w:t>
                                  </w:r>
                                  <w:r w:rsidRPr="00B46507">
                                    <w:rPr>
                                      <w:b w:val="0"/>
                                      <w:bCs w:val="0"/>
                                      <w:vertAlign w:val="superscript"/>
                                    </w:rPr>
                                    <w:t>b</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Ascites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80, 44.5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23, 54.8</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14, 26</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43, 51.2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HW, HA, 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HCC surveillance performed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113, 61.1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27, 65.9</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31, 51.7</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55, 65.5</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Tumor parameters</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Tumor size (cm)</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lang w:val="en-US"/>
                                    </w:rPr>
                                  </w:pPr>
                                  <w:r w:rsidRPr="00B46507">
                                    <w:rPr>
                                      <w:b w:val="0"/>
                                      <w:bCs w:val="0"/>
                                      <w:lang w:val="en-US"/>
                                    </w:rPr>
                                    <w:t xml:space="preserve">      Median (± SD) (IQ range)</w:t>
                                  </w:r>
                                </w:p>
                                <w:p w:rsidR="00E21E48" w:rsidRPr="00B46507" w:rsidRDefault="00E21E48">
                                  <w:pPr>
                                    <w:pStyle w:val="af5"/>
                                    <w:jc w:val="left"/>
                                    <w:rPr>
                                      <w:b w:val="0"/>
                                      <w:bCs w:val="0"/>
                                      <w:lang w:val="en-US"/>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3.0 ± 3.7 (2.0-6.0)</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3.0 ± 3.9 (2.0-5.0)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3.0 ± 3.6 (2.0-6.0)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3.0 ± 3.7 (2.0-6.0)</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&gt; 5 cm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43, 26.9</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8, 22.2</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14, 28.6</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21, 28</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lang w:val="en-US"/>
                                    </w:rPr>
                                  </w:pPr>
                                  <w:r w:rsidRPr="00B46507">
                                    <w:rPr>
                                      <w:b w:val="0"/>
                                      <w:bCs w:val="0"/>
                                      <w:lang w:val="en-US"/>
                                    </w:rPr>
                                    <w:t xml:space="preserve">      Median &gt; 5 cm (± SD) (IQ range)</w:t>
                                  </w:r>
                                </w:p>
                                <w:p w:rsidR="00E21E48" w:rsidRPr="00B46507" w:rsidRDefault="00E21E48">
                                  <w:pPr>
                                    <w:pStyle w:val="af5"/>
                                    <w:jc w:val="left"/>
                                    <w:rPr>
                                      <w:b w:val="0"/>
                                      <w:bCs w:val="0"/>
                                      <w:lang w:val="en-US"/>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lang w:val="en-US"/>
                                    </w:rPr>
                                    <w:t xml:space="preserve">  </w:t>
                                  </w:r>
                                  <w:r w:rsidRPr="00B46507">
                                    <w:rPr>
                                      <w:b w:val="0"/>
                                      <w:bCs w:val="0"/>
                                    </w:rPr>
                                    <w:t>8.0 ± 4.0 (6.0-12.0)</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13.0 ± 3.4 (7.5-13.0)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9.5 ± 3.1 (6.0-11.0)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7.0 ± 4.7 (6.0-8.0)</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Stage at diagnosis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99, 52.1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20, 45.5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30, 50.8</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49, 56.3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Unifocal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77, 40.5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21, 47.7</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25, 42.4</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31, 35.6</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Multifocal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14, 7.4</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3, 6.8</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4, 6.8</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7, 8.0</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Metastatic</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29, 24.2</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9, 33.3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9, 23.1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11, 20.4</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Portal vein involvement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35, 47.9</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6, 54.5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13, 54.2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16, 42.1</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lang w:val="en-US"/>
                                    </w:rPr>
                                  </w:pPr>
                                  <w:r w:rsidRPr="00B46507">
                                    <w:rPr>
                                      <w:b w:val="0"/>
                                      <w:bCs w:val="0"/>
                                      <w:lang w:val="en-US"/>
                                    </w:rPr>
                                    <w:t xml:space="preserve">   Poorly differentiated within </w:t>
                                  </w:r>
                                  <w:proofErr w:type="spellStart"/>
                                  <w:r w:rsidRPr="00B46507">
                                    <w:rPr>
                                      <w:b w:val="0"/>
                                      <w:bCs w:val="0"/>
                                      <w:lang w:val="en-US"/>
                                    </w:rPr>
                                    <w:t>milan</w:t>
                                  </w:r>
                                  <w:proofErr w:type="spellEnd"/>
                                  <w:r w:rsidRPr="00B46507">
                                    <w:rPr>
                                      <w:b w:val="0"/>
                                      <w:bCs w:val="0"/>
                                      <w:lang w:val="en-US"/>
                                    </w:rPr>
                                    <w:t xml:space="preserve"> </w:t>
                                  </w:r>
                                </w:p>
                                <w:p w:rsidR="00E21E48" w:rsidRPr="00B46507" w:rsidRDefault="00E21E48">
                                  <w:pPr>
                                    <w:pStyle w:val="af5"/>
                                    <w:jc w:val="left"/>
                                    <w:rPr>
                                      <w:b w:val="0"/>
                                      <w:bCs w:val="0"/>
                                      <w:lang w:val="en-US"/>
                                    </w:rPr>
                                  </w:pPr>
                                  <w:r w:rsidRPr="00B46507">
                                    <w:rPr>
                                      <w:b w:val="0"/>
                                      <w:bCs w:val="0"/>
                                      <w:lang w:val="en-US"/>
                                    </w:rPr>
                                    <w:t xml:space="preserve">   </w:t>
                                  </w:r>
                                  <w:proofErr w:type="gramStart"/>
                                  <w:r w:rsidRPr="00B46507">
                                    <w:rPr>
                                      <w:b w:val="0"/>
                                      <w:bCs w:val="0"/>
                                      <w:lang w:val="en-US"/>
                                    </w:rPr>
                                    <w:t>criteria</w:t>
                                  </w:r>
                                  <w:proofErr w:type="gramEnd"/>
                                  <w:r w:rsidRPr="00B46507">
                                    <w:rPr>
                                      <w:b w:val="0"/>
                                      <w:bCs w:val="0"/>
                                      <w:lang w:val="en-US"/>
                                    </w:rPr>
                                    <w:t xml:space="preserve"> (</w:t>
                                  </w:r>
                                  <w:r w:rsidRPr="00B46507">
                                    <w:rPr>
                                      <w:b w:val="0"/>
                                      <w:bCs w:val="0"/>
                                      <w:i/>
                                      <w:iCs/>
                                      <w:lang w:val="en-US"/>
                                    </w:rPr>
                                    <w:t>n</w:t>
                                  </w:r>
                                  <w:r w:rsidRPr="00B46507">
                                    <w:rPr>
                                      <w:b w:val="0"/>
                                      <w:bCs w:val="0"/>
                                      <w:lang w:val="en-US"/>
                                    </w:rPr>
                                    <w:t>, %)</w:t>
                                  </w: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lang w:val="en-US"/>
                                    </w:rPr>
                                    <w:t xml:space="preserve">    </w:t>
                                  </w:r>
                                  <w:r w:rsidRPr="00B46507">
                                    <w:rPr>
                                      <w:b w:val="0"/>
                                      <w:bCs w:val="0"/>
                                    </w:rPr>
                                    <w:t>121, 62.1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28, 63.6</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36, 59.0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57, 63.3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bl>
                          <w:p w:rsidR="00E21E48" w:rsidRPr="00CA5550" w:rsidRDefault="00E21E48" w:rsidP="00E21E48">
                            <w:pPr>
                              <w:pStyle w:val="af6"/>
                              <w:rPr>
                                <w:spacing w:val="-1"/>
                                <w:vertAlign w:val="superscript"/>
                              </w:rPr>
                            </w:pPr>
                            <w:r w:rsidRPr="00B46507">
                              <w:rPr>
                                <w:b w:val="0"/>
                                <w:bCs w:val="0"/>
                                <w:spacing w:val="-1"/>
                                <w:vertAlign w:val="superscript"/>
                              </w:rPr>
                              <w:t>1</w:t>
                            </w:r>
                            <w:r w:rsidRPr="00B46507">
                              <w:rPr>
                                <w:b w:val="0"/>
                                <w:bCs w:val="0"/>
                                <w:i/>
                                <w:iCs/>
                                <w:spacing w:val="-1"/>
                              </w:rPr>
                              <w:t>P</w:t>
                            </w:r>
                            <w:r w:rsidRPr="00B46507">
                              <w:rPr>
                                <w:b w:val="0"/>
                                <w:bCs w:val="0"/>
                                <w:spacing w:val="-1"/>
                              </w:rPr>
                              <w:t xml:space="preserve"> values from </w:t>
                            </w:r>
                            <w:r w:rsidRPr="00B46507">
                              <w:rPr>
                                <w:rFonts w:ascii="Symbol" w:hAnsi="Symbol" w:cs="Symbol"/>
                                <w:b w:val="0"/>
                                <w:bCs w:val="0"/>
                                <w:i/>
                                <w:iCs/>
                                <w:spacing w:val="-1"/>
                              </w:rPr>
                              <w:t></w:t>
                            </w:r>
                            <w:r w:rsidRPr="00B46507">
                              <w:rPr>
                                <w:b w:val="0"/>
                                <w:bCs w:val="0"/>
                                <w:spacing w:val="-1"/>
                                <w:vertAlign w:val="superscript"/>
                              </w:rPr>
                              <w:t>2</w:t>
                            </w:r>
                            <w:r w:rsidRPr="00B46507">
                              <w:rPr>
                                <w:b w:val="0"/>
                                <w:bCs w:val="0"/>
                                <w:spacing w:val="-1"/>
                              </w:rPr>
                              <w:t xml:space="preserve"> tests (two-sided) and </w:t>
                            </w:r>
                            <w:proofErr w:type="spellStart"/>
                            <w:proofErr w:type="gramStart"/>
                            <w:r w:rsidRPr="00B46507">
                              <w:rPr>
                                <w:b w:val="0"/>
                                <w:bCs w:val="0"/>
                                <w:spacing w:val="-1"/>
                              </w:rPr>
                              <w:t>fischer</w:t>
                            </w:r>
                            <w:proofErr w:type="spellEnd"/>
                            <w:proofErr w:type="gramEnd"/>
                            <w:r w:rsidRPr="00B46507">
                              <w:rPr>
                                <w:b w:val="0"/>
                                <w:bCs w:val="0"/>
                                <w:spacing w:val="-1"/>
                              </w:rPr>
                              <w:t xml:space="preserve"> for overall race effect followed by pairwise comparisons, for </w:t>
                            </w:r>
                            <w:r w:rsidRPr="00B46507">
                              <w:rPr>
                                <w:b w:val="0"/>
                                <w:bCs w:val="0"/>
                                <w:i/>
                                <w:iCs/>
                                <w:spacing w:val="-1"/>
                              </w:rPr>
                              <w:t>P</w:t>
                            </w:r>
                            <w:r w:rsidRPr="00B46507">
                              <w:rPr>
                                <w:b w:val="0"/>
                                <w:bCs w:val="0"/>
                                <w:spacing w:val="-1"/>
                              </w:rPr>
                              <w:t xml:space="preserve"> &lt; 0.05. A significance level of 0.05 was used for the overall race comparisons. </w:t>
                            </w:r>
                            <w:proofErr w:type="spellStart"/>
                            <w:r w:rsidRPr="00B46507">
                              <w:rPr>
                                <w:b w:val="0"/>
                                <w:bCs w:val="0"/>
                                <w:spacing w:val="-1"/>
                                <w:vertAlign w:val="superscript"/>
                              </w:rPr>
                              <w:t>a</w:t>
                            </w:r>
                            <w:r w:rsidRPr="00B46507">
                              <w:rPr>
                                <w:b w:val="0"/>
                                <w:bCs w:val="0"/>
                                <w:i/>
                                <w:iCs/>
                                <w:spacing w:val="-1"/>
                              </w:rPr>
                              <w:t>P</w:t>
                            </w:r>
                            <w:proofErr w:type="spellEnd"/>
                            <w:r w:rsidRPr="00B46507">
                              <w:rPr>
                                <w:b w:val="0"/>
                                <w:bCs w:val="0"/>
                                <w:spacing w:val="-1"/>
                              </w:rPr>
                              <w:t xml:space="preserve"> &lt; 0.05, </w:t>
                            </w:r>
                            <w:proofErr w:type="spellStart"/>
                            <w:r w:rsidRPr="00B46507">
                              <w:rPr>
                                <w:b w:val="0"/>
                                <w:bCs w:val="0"/>
                                <w:spacing w:val="-1"/>
                                <w:vertAlign w:val="superscript"/>
                              </w:rPr>
                              <w:t>b</w:t>
                            </w:r>
                            <w:r w:rsidRPr="00B46507">
                              <w:rPr>
                                <w:b w:val="0"/>
                                <w:bCs w:val="0"/>
                                <w:i/>
                                <w:iCs/>
                                <w:spacing w:val="-1"/>
                              </w:rPr>
                              <w:t>P</w:t>
                            </w:r>
                            <w:proofErr w:type="spellEnd"/>
                            <w:r w:rsidRPr="00B46507">
                              <w:rPr>
                                <w:b w:val="0"/>
                                <w:bCs w:val="0"/>
                                <w:spacing w:val="-1"/>
                              </w:rPr>
                              <w:t xml:space="preserve"> &lt; 0.001, </w:t>
                            </w:r>
                            <w:r w:rsidRPr="00B46507">
                              <w:rPr>
                                <w:b w:val="0"/>
                                <w:bCs w:val="0"/>
                                <w:i/>
                                <w:iCs/>
                                <w:spacing w:val="-1"/>
                              </w:rPr>
                              <w:t>P</w:t>
                            </w:r>
                            <w:r w:rsidRPr="00B46507">
                              <w:rPr>
                                <w:b w:val="0"/>
                                <w:bCs w:val="0"/>
                                <w:spacing w:val="-1"/>
                              </w:rPr>
                              <w:t xml:space="preserve"> values were not calculated for </w:t>
                            </w:r>
                            <w:r w:rsidRPr="00B46507">
                              <w:rPr>
                                <w:b w:val="0"/>
                                <w:bCs w:val="0"/>
                                <w:i/>
                                <w:iCs/>
                                <w:spacing w:val="-1"/>
                              </w:rPr>
                              <w:t>n</w:t>
                            </w:r>
                            <w:r w:rsidRPr="00B46507">
                              <w:rPr>
                                <w:b w:val="0"/>
                                <w:bCs w:val="0"/>
                                <w:spacing w:val="-1"/>
                              </w:rPr>
                              <w:t xml:space="preserve"> &lt; 5; </w:t>
                            </w:r>
                            <w:r w:rsidRPr="00B46507">
                              <w:rPr>
                                <w:b w:val="0"/>
                                <w:bCs w:val="0"/>
                                <w:spacing w:val="-1"/>
                                <w:vertAlign w:val="superscript"/>
                              </w:rPr>
                              <w:t>2</w:t>
                            </w:r>
                            <w:r w:rsidRPr="00B46507">
                              <w:rPr>
                                <w:b w:val="0"/>
                                <w:bCs w:val="0"/>
                                <w:spacing w:val="-1"/>
                              </w:rPr>
                              <w:t xml:space="preserve">Given </w:t>
                            </w:r>
                            <w:r w:rsidRPr="00B46507">
                              <w:rPr>
                                <w:b w:val="0"/>
                                <w:bCs w:val="0"/>
                                <w:i/>
                                <w:iCs/>
                                <w:spacing w:val="-1"/>
                              </w:rPr>
                              <w:t>n</w:t>
                            </w:r>
                            <w:r w:rsidRPr="00B46507">
                              <w:rPr>
                                <w:b w:val="0"/>
                                <w:bCs w:val="0"/>
                                <w:spacing w:val="-1"/>
                              </w:rPr>
                              <w:t xml:space="preserve"> &lt; 5 for AA (</w:t>
                            </w:r>
                            <w:r w:rsidRPr="00B46507">
                              <w:rPr>
                                <w:b w:val="0"/>
                                <w:bCs w:val="0"/>
                                <w:i/>
                                <w:iCs/>
                                <w:spacing w:val="-1"/>
                              </w:rPr>
                              <w:t>n</w:t>
                            </w:r>
                            <w:r w:rsidRPr="00B46507">
                              <w:rPr>
                                <w:b w:val="0"/>
                                <w:bCs w:val="0"/>
                                <w:spacing w:val="-1"/>
                              </w:rPr>
                              <w:t xml:space="preserve"> = 0) and W (</w:t>
                            </w:r>
                            <w:r w:rsidRPr="00B46507">
                              <w:rPr>
                                <w:b w:val="0"/>
                                <w:bCs w:val="0"/>
                                <w:i/>
                                <w:iCs/>
                                <w:spacing w:val="-1"/>
                              </w:rPr>
                              <w:t>n</w:t>
                            </w:r>
                            <w:r w:rsidRPr="00B46507">
                              <w:rPr>
                                <w:b w:val="0"/>
                                <w:bCs w:val="0"/>
                                <w:spacing w:val="-1"/>
                              </w:rPr>
                              <w:t xml:space="preserve"> = 2), limited statistical tests for Hispanic to non-Hispanic with </w:t>
                            </w:r>
                            <w:r w:rsidRPr="00B46507">
                              <w:rPr>
                                <w:b w:val="0"/>
                                <w:bCs w:val="0"/>
                                <w:i/>
                                <w:iCs/>
                                <w:spacing w:val="-1"/>
                              </w:rPr>
                              <w:t>P</w:t>
                            </w:r>
                            <w:r w:rsidRPr="00B46507">
                              <w:rPr>
                                <w:b w:val="0"/>
                                <w:bCs w:val="0"/>
                                <w:spacing w:val="-1"/>
                              </w:rPr>
                              <w:t xml:space="preserve"> = 0.0074; </w:t>
                            </w:r>
                            <w:r w:rsidRPr="00B46507">
                              <w:rPr>
                                <w:b w:val="0"/>
                                <w:bCs w:val="0"/>
                                <w:spacing w:val="-1"/>
                                <w:vertAlign w:val="superscript"/>
                              </w:rPr>
                              <w:t>3</w:t>
                            </w:r>
                            <w:r w:rsidRPr="00B46507">
                              <w:rPr>
                                <w:b w:val="0"/>
                                <w:bCs w:val="0"/>
                                <w:spacing w:val="-1"/>
                              </w:rPr>
                              <w:t xml:space="preserve">Metabolic syndrome: Three of the following five traits per adult treatment panel </w:t>
                            </w:r>
                            <w:r w:rsidRPr="00B46507">
                              <w:rPr>
                                <w:rFonts w:ascii="KozMinPro-Regular" w:eastAsia="KozMinPro-Regular" w:cs="KozMinPro-Regular" w:hint="eastAsia"/>
                                <w:b w:val="0"/>
                                <w:bCs w:val="0"/>
                                <w:spacing w:val="-1"/>
                              </w:rPr>
                              <w:t>Ⅲ</w:t>
                            </w:r>
                            <w:r w:rsidRPr="00B46507">
                              <w:rPr>
                                <w:b w:val="0"/>
                                <w:bCs w:val="0"/>
                                <w:spacing w:val="-1"/>
                              </w:rPr>
                              <w:t xml:space="preserve"> guidelines. Abdominal obesity, defined as a waist circumference in men </w:t>
                            </w:r>
                            <w:r w:rsidRPr="00B46507">
                              <w:rPr>
                                <w:rFonts w:ascii="宋体" w:cs="宋体" w:hint="eastAsia"/>
                                <w:b w:val="0"/>
                                <w:bCs w:val="0"/>
                                <w:spacing w:val="-1"/>
                              </w:rPr>
                              <w:t>≥</w:t>
                            </w:r>
                            <w:r w:rsidRPr="00B46507">
                              <w:rPr>
                                <w:b w:val="0"/>
                                <w:bCs w:val="0"/>
                                <w:spacing w:val="-1"/>
                              </w:rPr>
                              <w:t xml:space="preserve"> 102 cm (40 in) and in women </w:t>
                            </w:r>
                            <w:r w:rsidRPr="00B46507">
                              <w:rPr>
                                <w:rFonts w:ascii="宋体" w:cs="宋体" w:hint="eastAsia"/>
                                <w:b w:val="0"/>
                                <w:bCs w:val="0"/>
                                <w:spacing w:val="-1"/>
                              </w:rPr>
                              <w:t>≥</w:t>
                            </w:r>
                            <w:r w:rsidRPr="00B46507">
                              <w:rPr>
                                <w:b w:val="0"/>
                                <w:bCs w:val="0"/>
                                <w:spacing w:val="-1"/>
                              </w:rPr>
                              <w:t xml:space="preserve"> 88 cm (35 in): (1) serum triglycerides </w:t>
                            </w:r>
                            <w:r w:rsidRPr="00B46507">
                              <w:rPr>
                                <w:rFonts w:ascii="宋体" w:cs="宋体" w:hint="eastAsia"/>
                                <w:b w:val="0"/>
                                <w:bCs w:val="0"/>
                                <w:spacing w:val="-1"/>
                              </w:rPr>
                              <w:t>≥</w:t>
                            </w:r>
                            <w:r w:rsidRPr="00B46507">
                              <w:rPr>
                                <w:b w:val="0"/>
                                <w:bCs w:val="0"/>
                                <w:spacing w:val="-1"/>
                              </w:rPr>
                              <w:t xml:space="preserve"> 150 mg/</w:t>
                            </w:r>
                            <w:proofErr w:type="spellStart"/>
                            <w:r w:rsidRPr="00B46507">
                              <w:rPr>
                                <w:b w:val="0"/>
                                <w:bCs w:val="0"/>
                                <w:spacing w:val="-1"/>
                              </w:rPr>
                              <w:t>dL</w:t>
                            </w:r>
                            <w:proofErr w:type="spellEnd"/>
                            <w:r w:rsidRPr="00B46507">
                              <w:rPr>
                                <w:b w:val="0"/>
                                <w:bCs w:val="0"/>
                                <w:spacing w:val="-1"/>
                              </w:rPr>
                              <w:t xml:space="preserve"> (1.7 </w:t>
                            </w:r>
                            <w:proofErr w:type="spellStart"/>
                            <w:r w:rsidRPr="00B46507">
                              <w:rPr>
                                <w:b w:val="0"/>
                                <w:bCs w:val="0"/>
                                <w:spacing w:val="-1"/>
                              </w:rPr>
                              <w:t>mmol</w:t>
                            </w:r>
                            <w:proofErr w:type="spellEnd"/>
                            <w:r w:rsidRPr="00B46507">
                              <w:rPr>
                                <w:b w:val="0"/>
                                <w:bCs w:val="0"/>
                                <w:spacing w:val="-1"/>
                              </w:rPr>
                              <w:t>/L) or drug treatment for elevated triglycerides; (2) serum HDL cholesterol &lt; 40 mg/</w:t>
                            </w:r>
                            <w:proofErr w:type="spellStart"/>
                            <w:r w:rsidRPr="00B46507">
                              <w:rPr>
                                <w:b w:val="0"/>
                                <w:bCs w:val="0"/>
                                <w:spacing w:val="-1"/>
                              </w:rPr>
                              <w:t>dL</w:t>
                            </w:r>
                            <w:proofErr w:type="spellEnd"/>
                            <w:r w:rsidRPr="00B46507">
                              <w:rPr>
                                <w:b w:val="0"/>
                                <w:bCs w:val="0"/>
                                <w:spacing w:val="-1"/>
                              </w:rPr>
                              <w:t xml:space="preserve"> (1 </w:t>
                            </w:r>
                            <w:proofErr w:type="spellStart"/>
                            <w:r w:rsidRPr="00B46507">
                              <w:rPr>
                                <w:b w:val="0"/>
                                <w:bCs w:val="0"/>
                                <w:spacing w:val="-1"/>
                              </w:rPr>
                              <w:t>mmol</w:t>
                            </w:r>
                            <w:proofErr w:type="spellEnd"/>
                            <w:r w:rsidRPr="00B46507">
                              <w:rPr>
                                <w:b w:val="0"/>
                                <w:bCs w:val="0"/>
                                <w:spacing w:val="-1"/>
                              </w:rPr>
                              <w:t>/L) in men and &lt; 50 mg/</w:t>
                            </w:r>
                            <w:proofErr w:type="spellStart"/>
                            <w:r w:rsidRPr="00B46507">
                              <w:rPr>
                                <w:b w:val="0"/>
                                <w:bCs w:val="0"/>
                                <w:spacing w:val="-1"/>
                              </w:rPr>
                              <w:t>dL</w:t>
                            </w:r>
                            <w:proofErr w:type="spellEnd"/>
                            <w:r w:rsidRPr="00B46507">
                              <w:rPr>
                                <w:b w:val="0"/>
                                <w:bCs w:val="0"/>
                                <w:spacing w:val="-1"/>
                              </w:rPr>
                              <w:t xml:space="preserve"> (1.3 </w:t>
                            </w:r>
                            <w:proofErr w:type="spellStart"/>
                            <w:r w:rsidRPr="00B46507">
                              <w:rPr>
                                <w:b w:val="0"/>
                                <w:bCs w:val="0"/>
                                <w:spacing w:val="-1"/>
                              </w:rPr>
                              <w:t>mmol</w:t>
                            </w:r>
                            <w:proofErr w:type="spellEnd"/>
                            <w:r w:rsidRPr="00B46507">
                              <w:rPr>
                                <w:b w:val="0"/>
                                <w:bCs w:val="0"/>
                                <w:spacing w:val="-1"/>
                              </w:rPr>
                              <w:t xml:space="preserve">/L) in women or drug treatment for low HDL-C; (3) blood pressure </w:t>
                            </w:r>
                            <w:r w:rsidRPr="00B46507">
                              <w:rPr>
                                <w:rFonts w:ascii="宋体" w:cs="宋体" w:hint="eastAsia"/>
                                <w:b w:val="0"/>
                                <w:bCs w:val="0"/>
                                <w:spacing w:val="-1"/>
                              </w:rPr>
                              <w:t>≥</w:t>
                            </w:r>
                            <w:r w:rsidRPr="00B46507">
                              <w:rPr>
                                <w:b w:val="0"/>
                                <w:bCs w:val="0"/>
                                <w:spacing w:val="-1"/>
                              </w:rPr>
                              <w:t xml:space="preserve"> 130/85 mmHg or drug treatment for elevated blood pressure; (4) fasting plasma glucose (FPG) </w:t>
                            </w:r>
                            <w:r w:rsidRPr="00B46507">
                              <w:rPr>
                                <w:rFonts w:ascii="宋体" w:cs="宋体" w:hint="eastAsia"/>
                                <w:b w:val="0"/>
                                <w:bCs w:val="0"/>
                                <w:spacing w:val="-1"/>
                              </w:rPr>
                              <w:t>≥</w:t>
                            </w:r>
                            <w:r w:rsidRPr="00B46507">
                              <w:rPr>
                                <w:b w:val="0"/>
                                <w:bCs w:val="0"/>
                                <w:spacing w:val="-1"/>
                              </w:rPr>
                              <w:t xml:space="preserve"> 100 mg/</w:t>
                            </w:r>
                            <w:proofErr w:type="spellStart"/>
                            <w:r w:rsidRPr="00B46507">
                              <w:rPr>
                                <w:b w:val="0"/>
                                <w:bCs w:val="0"/>
                                <w:spacing w:val="-1"/>
                              </w:rPr>
                              <w:t>dL</w:t>
                            </w:r>
                            <w:proofErr w:type="spellEnd"/>
                            <w:r w:rsidRPr="00B46507">
                              <w:rPr>
                                <w:b w:val="0"/>
                                <w:bCs w:val="0"/>
                                <w:spacing w:val="-1"/>
                              </w:rPr>
                              <w:t xml:space="preserve"> (5.6 </w:t>
                            </w:r>
                            <w:proofErr w:type="spellStart"/>
                            <w:r w:rsidRPr="00B46507">
                              <w:rPr>
                                <w:b w:val="0"/>
                                <w:bCs w:val="0"/>
                                <w:spacing w:val="-1"/>
                              </w:rPr>
                              <w:t>mmol</w:t>
                            </w:r>
                            <w:proofErr w:type="spellEnd"/>
                            <w:r w:rsidRPr="00B46507">
                              <w:rPr>
                                <w:b w:val="0"/>
                                <w:bCs w:val="0"/>
                                <w:spacing w:val="-1"/>
                              </w:rPr>
                              <w:t xml:space="preserve">/L) or drug treatment for elevated blood glucose; </w:t>
                            </w:r>
                            <w:r w:rsidRPr="00B46507">
                              <w:rPr>
                                <w:b w:val="0"/>
                                <w:bCs w:val="0"/>
                                <w:spacing w:val="-1"/>
                                <w:vertAlign w:val="superscript"/>
                              </w:rPr>
                              <w:t>4</w:t>
                            </w:r>
                            <w:r w:rsidRPr="00B46507">
                              <w:rPr>
                                <w:b w:val="0"/>
                                <w:bCs w:val="0"/>
                                <w:spacing w:val="-1"/>
                              </w:rPr>
                              <w:t xml:space="preserve">Some patients with more than one listed etiology of cirrhosis; </w:t>
                            </w:r>
                            <w:r w:rsidRPr="00B46507">
                              <w:rPr>
                                <w:b w:val="0"/>
                                <w:bCs w:val="0"/>
                                <w:spacing w:val="-1"/>
                                <w:vertAlign w:val="superscript"/>
                              </w:rPr>
                              <w:t>5</w:t>
                            </w:r>
                            <w:r w:rsidRPr="00B46507">
                              <w:rPr>
                                <w:b w:val="0"/>
                                <w:bCs w:val="0"/>
                                <w:spacing w:val="-1"/>
                              </w:rPr>
                              <w:t>Other: Cryptogenic, hemochromatosis, autoimmune, other not specified. H: Hispanics; A: African Americans; W: Non-Hispanic Caucasians; SD: Standard deviation; IQ: Percentile interquartile range (25%, 75%); HW: Hispanics compared to Whites; HA: Hispanics compared to African Americans; AW: African Americans compared to Whites; HNH: Hispanics compared to non-Hispanics; BMI: Body mass index; HBV: Hepatitis B virus; HCV: Hepatitis C virus; NASH: Nonalcoholic steatohepatitis; HCC: Hepatocellular carcinoma.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20.75pt;height:159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">
                <v:textbox style="mso-fit-shape-to-text:t">
                  <w:txbxContent>
                    <w:p w:rsidR="00E21E48" w:rsidRPr="00B46507" w:rsidRDefault="00E21E48" w:rsidP="00E21E48">
                      <w:pPr>
                        <w:rPr>
                          <w:b/>
                          <w:bCs/>
                        </w:rPr>
                      </w:pPr>
                      <w:r w:rsidRPr="00B46507">
                        <w:rPr>
                          <w:b/>
                          <w:bCs/>
                        </w:rPr>
                        <w:t xml:space="preserve">Table </w:t>
                      </w:r>
                      <w:proofErr w:type="gramStart"/>
                      <w:r w:rsidRPr="00B46507">
                        <w:rPr>
                          <w:b/>
                          <w:bCs/>
                        </w:rPr>
                        <w:t>1  Demographics</w:t>
                      </w:r>
                      <w:proofErr w:type="gramEnd"/>
                      <w:r w:rsidRPr="00B46507">
                        <w:rPr>
                          <w:b/>
                          <w:bCs/>
                        </w:rPr>
                        <w:t>, comorbid conditions and disease characteristics of hepatocellular carcinoma patients, by race</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15"/>
                        <w:gridCol w:w="1410"/>
                        <w:gridCol w:w="1417"/>
                        <w:gridCol w:w="1837"/>
                        <w:gridCol w:w="1207"/>
                        <w:gridCol w:w="1267"/>
                      </w:tblGrid>
                      <w:tr w:rsidR="00E21E48" w:rsidRPr="00B46507" w:rsidTr="00B46507">
                        <w:tblPrEx>
                          <w:tblCellMar>
                            <w:top w:w="0" w:type="dxa"/>
                            <w:left w:w="0" w:type="dxa"/>
                            <w:bottom w:w="0" w:type="dxa"/>
                            <w:right w:w="0" w:type="dxa"/>
                          </w:tblCellMar>
                        </w:tblPrEx>
                        <w:trPr>
                          <w:trHeight w:hRule="exact" w:val="660"/>
                        </w:trPr>
                        <w:tc>
                          <w:tcPr>
                            <w:tcW w:w="241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left"/>
                            </w:pPr>
                            <w:r w:rsidRPr="00B46507">
                              <w:t>Patient characteristics</w:t>
                            </w:r>
                          </w:p>
                          <w:p w:rsidR="00E21E48" w:rsidRPr="00B46507" w:rsidRDefault="00E21E48">
                            <w:pPr>
                              <w:pStyle w:val="af4"/>
                              <w:jc w:val="left"/>
                            </w:pPr>
                          </w:p>
                        </w:tc>
                        <w:tc>
                          <w:tcPr>
                            <w:tcW w:w="1410"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pPr>
                            <w:r w:rsidRPr="00B46507">
                              <w:t>Total (</w:t>
                            </w:r>
                            <w:r w:rsidRPr="00B46507">
                              <w:rPr>
                                <w:rFonts w:ascii="Albertus Italic" w:hAnsi="Albertus Italic" w:cs="Albertus Italic"/>
                                <w:i/>
                                <w:iCs/>
                              </w:rPr>
                              <w:t>n</w:t>
                            </w:r>
                            <w:r w:rsidRPr="00B46507">
                              <w:t xml:space="preserve"> = 195)</w:t>
                            </w:r>
                          </w:p>
                          <w:p w:rsidR="00E21E48" w:rsidRPr="00B46507" w:rsidRDefault="00E21E48">
                            <w:pPr>
                              <w:pStyle w:val="af4"/>
                              <w:jc w:val="center"/>
                            </w:pPr>
                          </w:p>
                        </w:tc>
                        <w:tc>
                          <w:tcPr>
                            <w:tcW w:w="141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pPr>
                            <w:r w:rsidRPr="00B46507">
                              <w:t>Hispanic (</w:t>
                            </w:r>
                            <w:r w:rsidRPr="00B46507">
                              <w:rPr>
                                <w:rFonts w:ascii="Albertus Italic" w:hAnsi="Albertus Italic" w:cs="Albertus Italic"/>
                                <w:i/>
                                <w:iCs/>
                              </w:rPr>
                              <w:t>n</w:t>
                            </w:r>
                            <w:r w:rsidRPr="00B46507">
                              <w:t xml:space="preserve"> = 44)</w:t>
                            </w:r>
                          </w:p>
                          <w:p w:rsidR="00E21E48" w:rsidRPr="00B46507" w:rsidRDefault="00E21E48">
                            <w:pPr>
                              <w:pStyle w:val="af4"/>
                              <w:jc w:val="center"/>
                            </w:pPr>
                          </w:p>
                        </w:tc>
                        <w:tc>
                          <w:tcPr>
                            <w:tcW w:w="183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pPr>
                            <w:r w:rsidRPr="00B46507">
                              <w:t>African-American (</w:t>
                            </w:r>
                            <w:r w:rsidRPr="00B46507">
                              <w:rPr>
                                <w:rFonts w:ascii="Albertus Italic" w:hAnsi="Albertus Italic" w:cs="Albertus Italic"/>
                                <w:i/>
                                <w:iCs/>
                              </w:rPr>
                              <w:t>n</w:t>
                            </w:r>
                            <w:r w:rsidRPr="00B46507">
                              <w:t xml:space="preserve"> = 61)</w:t>
                            </w:r>
                          </w:p>
                          <w:p w:rsidR="00E21E48" w:rsidRPr="00B46507" w:rsidRDefault="00E21E48">
                            <w:pPr>
                              <w:pStyle w:val="af4"/>
                              <w:jc w:val="center"/>
                            </w:pPr>
                          </w:p>
                        </w:tc>
                        <w:tc>
                          <w:tcPr>
                            <w:tcW w:w="120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pPr>
                            <w:r w:rsidRPr="00B46507">
                              <w:t>White (</w:t>
                            </w:r>
                            <w:r w:rsidRPr="00B46507">
                              <w:rPr>
                                <w:rFonts w:ascii="Albertus Italic" w:hAnsi="Albertus Italic" w:cs="Albertus Italic"/>
                                <w:i/>
                                <w:iCs/>
                              </w:rPr>
                              <w:t>n</w:t>
                            </w:r>
                            <w:r w:rsidRPr="00B46507">
                              <w:t xml:space="preserve"> = 90)</w:t>
                            </w:r>
                          </w:p>
                          <w:p w:rsidR="00E21E48" w:rsidRPr="00B46507" w:rsidRDefault="00E21E48">
                            <w:pPr>
                              <w:pStyle w:val="af4"/>
                              <w:jc w:val="center"/>
                            </w:pPr>
                          </w:p>
                        </w:tc>
                        <w:tc>
                          <w:tcPr>
                            <w:tcW w:w="126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pPr>
                              <w:pStyle w:val="af4"/>
                              <w:jc w:val="center"/>
                              <w:rPr>
                                <w:vertAlign w:val="superscript"/>
                              </w:rPr>
                            </w:pPr>
                            <w:r w:rsidRPr="00B46507">
                              <w:rPr>
                                <w:rFonts w:ascii="Albertus Italic" w:hAnsi="Albertus Italic" w:cs="Albertus Italic"/>
                                <w:i/>
                                <w:iCs/>
                              </w:rPr>
                              <w:t>P</w:t>
                            </w:r>
                            <w:r w:rsidRPr="00B46507">
                              <w:rPr>
                                <w:vertAlign w:val="superscript"/>
                              </w:rPr>
                              <w:t>1</w:t>
                            </w:r>
                          </w:p>
                          <w:p w:rsidR="00E21E48" w:rsidRPr="00B46507" w:rsidRDefault="00E21E48">
                            <w:pPr>
                              <w:pStyle w:val="af4"/>
                              <w:jc w:val="center"/>
                            </w:pPr>
                          </w:p>
                        </w:tc>
                      </w:tr>
                      <w:tr w:rsidR="00E21E48" w:rsidRPr="00B46507" w:rsidTr="00B46507">
                        <w:tblPrEx>
                          <w:tblCellMar>
                            <w:top w:w="0" w:type="dxa"/>
                            <w:left w:w="0" w:type="dxa"/>
                            <w:bottom w:w="0" w:type="dxa"/>
                            <w:right w:w="0" w:type="dxa"/>
                          </w:tblCellMar>
                        </w:tblPrEx>
                        <w:trPr>
                          <w:trHeight w:val="60"/>
                        </w:trPr>
                        <w:tc>
                          <w:tcPr>
                            <w:tcW w:w="2415" w:type="dxa"/>
                            <w:tcBorders>
                              <w:top w:val="single" w:sz="6" w:space="0" w:color="000000"/>
                            </w:tcBorders>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Demographics</w:t>
                            </w:r>
                          </w:p>
                          <w:p w:rsidR="00E21E48" w:rsidRPr="00B46507" w:rsidRDefault="00E21E48">
                            <w:pPr>
                              <w:pStyle w:val="af5"/>
                              <w:jc w:val="left"/>
                              <w:rPr>
                                <w:b w:val="0"/>
                                <w:bCs w:val="0"/>
                              </w:rPr>
                            </w:pPr>
                          </w:p>
                        </w:tc>
                        <w:tc>
                          <w:tcPr>
                            <w:tcW w:w="1410"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Borders>
                              <w:top w:val="single" w:sz="6" w:space="0" w:color="000000"/>
                            </w:tcBorders>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lang w:val="en-US"/>
                              </w:rPr>
                            </w:pPr>
                            <w:r w:rsidRPr="00B46507">
                              <w:rPr>
                                <w:b w:val="0"/>
                                <w:bCs w:val="0"/>
                                <w:lang w:val="en-US"/>
                              </w:rPr>
                              <w:t xml:space="preserve">   Age (</w:t>
                            </w:r>
                            <w:proofErr w:type="spellStart"/>
                            <w:r w:rsidRPr="00B46507">
                              <w:rPr>
                                <w:b w:val="0"/>
                                <w:bCs w:val="0"/>
                                <w:lang w:val="en-US"/>
                              </w:rPr>
                              <w:t>yr</w:t>
                            </w:r>
                            <w:proofErr w:type="spellEnd"/>
                            <w:r w:rsidRPr="00B46507">
                              <w:rPr>
                                <w:b w:val="0"/>
                                <w:bCs w:val="0"/>
                                <w:lang w:val="en-US"/>
                              </w:rPr>
                              <w:t>, mean ± SD)</w:t>
                            </w:r>
                          </w:p>
                          <w:p w:rsidR="00E21E48" w:rsidRPr="00B46507" w:rsidRDefault="00E21E48">
                            <w:pPr>
                              <w:pStyle w:val="af5"/>
                              <w:jc w:val="left"/>
                              <w:rPr>
                                <w:b w:val="0"/>
                                <w:bCs w:val="0"/>
                                <w:lang w:val="en-US"/>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59.7 ± 9.8</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62.5 ± 12.5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58.7 ± 10.2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58.9 ± 7.7</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Female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38, 19.5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11, 25.0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17, 27.9</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10, 11.1</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HW, 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Insurance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Medicare/medicaid</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120, 61.5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31, 70.5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36, 59.0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53, 58.9</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Private</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67, 34.4</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12, 27.3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22, 36.1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33, 36.7</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None</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8, 4.1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1, 2.3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3, 4.9</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4, 4.4</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BMI &gt; 24.9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137, 70.3</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31, 70.5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44, 72.1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62, 68.9</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Metabolic syndrome</w:t>
                            </w:r>
                            <w:r w:rsidRPr="00B46507">
                              <w:rPr>
                                <w:b w:val="0"/>
                                <w:bCs w:val="0"/>
                                <w:vertAlign w:val="superscript"/>
                              </w:rPr>
                              <w:t>3</w:t>
                            </w:r>
                            <w:r w:rsidRPr="00B46507">
                              <w:rPr>
                                <w:b w:val="0"/>
                                <w:bCs w:val="0"/>
                              </w:rPr>
                              <w:t xml:space="preserv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27, 14.1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8, 18.2</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3, 4.9</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16, 18.4</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HA, 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Comorbid conditions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Hyperlipidemia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31, 25.4</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16, 55.2</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5, 13.2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10, 18.2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HW, HA</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On dialysis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7, 3.6</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5, 11.4</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0, 0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2, 2.3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vertAlign w:val="superscript"/>
                              </w:rPr>
                            </w:pPr>
                            <w:r w:rsidRPr="00B46507">
                              <w:rPr>
                                <w:b w:val="0"/>
                                <w:bCs w:val="0"/>
                                <w:vertAlign w:val="superscript"/>
                              </w:rPr>
                              <w:t>b</w:t>
                            </w:r>
                            <w:r w:rsidRPr="00B46507">
                              <w:rPr>
                                <w:b w:val="0"/>
                                <w:bCs w:val="0"/>
                              </w:rPr>
                              <w:t>HNH</w:t>
                            </w:r>
                            <w:r w:rsidRPr="00B46507">
                              <w:rPr>
                                <w:b w:val="0"/>
                                <w:bCs w:val="0"/>
                                <w:vertAlign w:val="superscript"/>
                              </w:rPr>
                              <w:t>2</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Diabetes mellitus 2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91, 46.7</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29, 65.9</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19, 31.1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43, 47.8</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 xml:space="preserve">HA, </w:t>
                            </w:r>
                            <w:r w:rsidRPr="00B46507">
                              <w:rPr>
                                <w:b w:val="0"/>
                                <w:bCs w:val="0"/>
                                <w:vertAlign w:val="superscript"/>
                              </w:rPr>
                              <w:t>a</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History smoking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126, 65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16, 36.3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43, 70.5</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67, 75.2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 xml:space="preserve">HW, HA; </w:t>
                            </w:r>
                            <w:r w:rsidRPr="00B46507">
                              <w:rPr>
                                <w:b w:val="0"/>
                                <w:bCs w:val="0"/>
                                <w:vertAlign w:val="superscript"/>
                              </w:rPr>
                              <w:t>a</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Current smoker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57, 29.4</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2, 4.5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28, 45.9</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27, 30.3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 xml:space="preserve">HW, HA; </w:t>
                            </w:r>
                            <w:r w:rsidRPr="00B46507">
                              <w:rPr>
                                <w:b w:val="0"/>
                                <w:bCs w:val="0"/>
                                <w:vertAlign w:val="superscript"/>
                              </w:rPr>
                              <w:t>a</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Triglycerides (median ± SD)</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99.5 ± 66.5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101.0 ± 70.2</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111.0 ± 64.7</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80.5 ± 65.8</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History alcohol use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163, 83.6</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39, 88.6</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50, 82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74, 82.2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Cirrhosis characteristics</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vertAlign w:val="superscript"/>
                              </w:rPr>
                            </w:pPr>
                            <w:r w:rsidRPr="00B46507">
                              <w:rPr>
                                <w:b w:val="0"/>
                                <w:bCs w:val="0"/>
                              </w:rPr>
                              <w:t xml:space="preserve">   Etiology</w:t>
                            </w:r>
                            <w:r w:rsidRPr="00B46507">
                              <w:rPr>
                                <w:b w:val="0"/>
                                <w:bCs w:val="0"/>
                                <w:vertAlign w:val="superscript"/>
                              </w:rPr>
                              <w:t>4</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HCV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132, 67.7</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18, 40.9</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49, 80.3</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65, 72.2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HW, HA</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HBV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14, 8.1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2, 5.0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8, 14.3</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4, 5.2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ETOH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55, 28.2</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11, 25.0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15, 24.6</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29, 32.2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NASH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35, 18.0</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15, 34.9</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5, 8.2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15, 16.7</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b</w:t>
                            </w:r>
                            <w:r w:rsidRPr="00B46507">
                              <w:rPr>
                                <w:b w:val="0"/>
                                <w:bCs w:val="0"/>
                              </w:rPr>
                              <w:t xml:space="preserve">HA, </w:t>
                            </w:r>
                            <w:r w:rsidRPr="00B46507">
                              <w:rPr>
                                <w:b w:val="0"/>
                                <w:bCs w:val="0"/>
                                <w:vertAlign w:val="superscript"/>
                              </w:rPr>
                              <w:t>a</w:t>
                            </w:r>
                            <w:r w:rsidRPr="00B46507">
                              <w:rPr>
                                <w:b w:val="0"/>
                                <w:bCs w:val="0"/>
                              </w:rPr>
                              <w:t>HW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Other</w:t>
                            </w:r>
                            <w:r w:rsidRPr="00B46507">
                              <w:rPr>
                                <w:b w:val="0"/>
                                <w:bCs w:val="0"/>
                                <w:vertAlign w:val="superscript"/>
                              </w:rPr>
                              <w:t>5</w:t>
                            </w:r>
                            <w:r w:rsidRPr="00B46507">
                              <w:rPr>
                                <w:b w:val="0"/>
                                <w:bCs w:val="0"/>
                              </w:rPr>
                              <w:t xml:space="preserve">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22, 11.3</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11, 25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2, 3.3</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9, 11.3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0.056</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MELD (median ± SD)</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11.0 ± 4.6</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11.5 ± 4.4</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9.0 ± 3.1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12.0 ± 5.1</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 xml:space="preserve">HA, </w:t>
                            </w:r>
                            <w:r w:rsidRPr="00B46507">
                              <w:rPr>
                                <w:b w:val="0"/>
                                <w:bCs w:val="0"/>
                                <w:vertAlign w:val="superscript"/>
                              </w:rPr>
                              <w:t>b</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AFP</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Median (IQR)</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22.4 (6.1-217.2)</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19 (5.9-434.85)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82 (11.9-434.8)</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12 (5.0-53.2)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AFP &gt; 200</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49, 25.1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12, 27.3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22, 36.1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15, 16.7</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 xml:space="preserve">HA, </w:t>
                            </w:r>
                            <w:r w:rsidRPr="00B46507">
                              <w:rPr>
                                <w:b w:val="0"/>
                                <w:bCs w:val="0"/>
                                <w:vertAlign w:val="superscript"/>
                              </w:rPr>
                              <w:t>b</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208"/>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Hepatic encephalopathy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65, 33.3</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16, 36.4</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8, 13.1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41, 45.6</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 xml:space="preserve">HA, </w:t>
                            </w:r>
                            <w:r w:rsidRPr="00B46507">
                              <w:rPr>
                                <w:b w:val="0"/>
                                <w:bCs w:val="0"/>
                                <w:vertAlign w:val="superscript"/>
                              </w:rPr>
                              <w:t>b</w:t>
                            </w:r>
                            <w:r w:rsidRPr="00B46507">
                              <w:rPr>
                                <w:b w:val="0"/>
                                <w:bCs w:val="0"/>
                              </w:rPr>
                              <w:t>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Ascites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80, 44.5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23, 54.8</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14, 26</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43, 51.2</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vertAlign w:val="superscript"/>
                              </w:rPr>
                              <w:t>a</w:t>
                            </w:r>
                            <w:r w:rsidRPr="00B46507">
                              <w:rPr>
                                <w:b w:val="0"/>
                                <w:bCs w:val="0"/>
                              </w:rPr>
                              <w:t>HW, HA, AW</w:t>
                            </w:r>
                          </w:p>
                          <w:p w:rsidR="00E21E48" w:rsidRPr="00B46507" w:rsidRDefault="00E21E48">
                            <w:pPr>
                              <w:pStyle w:val="af5"/>
                              <w:jc w:val="center"/>
                              <w:rPr>
                                <w:b w:val="0"/>
                                <w:bCs w:val="0"/>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HCC surveillance performed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113, 61.1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27, 65.9</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31, 51.7</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55, 65.5</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Tumor parameters</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Tumor size (cm)</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41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83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0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lang w:val="en-US"/>
                              </w:rPr>
                            </w:pPr>
                            <w:r w:rsidRPr="00B46507">
                              <w:rPr>
                                <w:b w:val="0"/>
                                <w:bCs w:val="0"/>
                                <w:lang w:val="en-US"/>
                              </w:rPr>
                              <w:t xml:space="preserve">      Median (± SD) (IQ range)</w:t>
                            </w:r>
                          </w:p>
                          <w:p w:rsidR="00E21E48" w:rsidRPr="00B46507" w:rsidRDefault="00E21E48">
                            <w:pPr>
                              <w:pStyle w:val="af5"/>
                              <w:jc w:val="left"/>
                              <w:rPr>
                                <w:b w:val="0"/>
                                <w:bCs w:val="0"/>
                                <w:lang w:val="en-US"/>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3.0 ± 3.7 (2.0-6.0)</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3.0 ± 3.9 (2.0-5.0)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3.0 ± 3.6 (2.0-6.0)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3.0 ± 3.7 (2.0-6.0)</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&gt; 5 cm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43, 26.9</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8, 22.2</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14, 28.6</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21, 28</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lang w:val="en-US"/>
                              </w:rPr>
                            </w:pPr>
                            <w:r w:rsidRPr="00B46507">
                              <w:rPr>
                                <w:b w:val="0"/>
                                <w:bCs w:val="0"/>
                                <w:lang w:val="en-US"/>
                              </w:rPr>
                              <w:t xml:space="preserve">      Median &gt; 5 cm (± SD) (IQ range)</w:t>
                            </w:r>
                          </w:p>
                          <w:p w:rsidR="00E21E48" w:rsidRPr="00B46507" w:rsidRDefault="00E21E48">
                            <w:pPr>
                              <w:pStyle w:val="af5"/>
                              <w:jc w:val="left"/>
                              <w:rPr>
                                <w:b w:val="0"/>
                                <w:bCs w:val="0"/>
                                <w:lang w:val="en-US"/>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lang w:val="en-US"/>
                              </w:rPr>
                              <w:t xml:space="preserve">  </w:t>
                            </w:r>
                            <w:r w:rsidRPr="00B46507">
                              <w:rPr>
                                <w:b w:val="0"/>
                                <w:bCs w:val="0"/>
                              </w:rPr>
                              <w:t>8.0 ± 4.0 (6.0-12.0)</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13.0 ± 3.4 (7.5-13.0)</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9.5 ± 3.1 (6.0-11.0)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7.0 ± 4.7 (6.0-8.0)</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Stage at diagnosis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99, 52.1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20, 45.5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30, 50.8</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49, 56.3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Unifocal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77, 40.5</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21, 47.7</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25, 42.4</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31, 35.6</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Multifocal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14, 7.4</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3, 6.8</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4, 6.8</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7, 8.0</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Metastatic</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29, 24.2</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9, 33.3</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9, 23.1</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11, 20.4</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rPr>
                            </w:pPr>
                            <w:r w:rsidRPr="00B46507">
                              <w:rPr>
                                <w:b w:val="0"/>
                                <w:bCs w:val="0"/>
                              </w:rPr>
                              <w:t xml:space="preserve">   Portal vein involvement (</w:t>
                            </w:r>
                            <w:r w:rsidRPr="00B46507">
                              <w:rPr>
                                <w:b w:val="0"/>
                                <w:bCs w:val="0"/>
                                <w:i/>
                                <w:iCs/>
                              </w:rPr>
                              <w:t>n</w:t>
                            </w:r>
                            <w:r w:rsidRPr="00B46507">
                              <w:rPr>
                                <w:b w:val="0"/>
                                <w:bCs w:val="0"/>
                              </w:rPr>
                              <w:t>, %)</w:t>
                            </w:r>
                          </w:p>
                          <w:p w:rsidR="00E21E48" w:rsidRPr="00B46507" w:rsidRDefault="00E21E48">
                            <w:pPr>
                              <w:pStyle w:val="af5"/>
                              <w:jc w:val="left"/>
                              <w:rPr>
                                <w:b w:val="0"/>
                                <w:bCs w:val="0"/>
                              </w:rPr>
                            </w:pP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35, 47.9</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6, 54.5</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13, 54.2</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16, 42.1</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pPr>
                              <w:pStyle w:val="af5"/>
                              <w:jc w:val="left"/>
                              <w:rPr>
                                <w:b w:val="0"/>
                                <w:bCs w:val="0"/>
                                <w:lang w:val="en-US"/>
                              </w:rPr>
                            </w:pPr>
                            <w:r w:rsidRPr="00B46507">
                              <w:rPr>
                                <w:b w:val="0"/>
                                <w:bCs w:val="0"/>
                                <w:lang w:val="en-US"/>
                              </w:rPr>
                              <w:t xml:space="preserve">   Poorly differentiated within </w:t>
                            </w:r>
                            <w:proofErr w:type="spellStart"/>
                            <w:r w:rsidRPr="00B46507">
                              <w:rPr>
                                <w:b w:val="0"/>
                                <w:bCs w:val="0"/>
                                <w:lang w:val="en-US"/>
                              </w:rPr>
                              <w:t>milan</w:t>
                            </w:r>
                            <w:proofErr w:type="spellEnd"/>
                            <w:r w:rsidRPr="00B46507">
                              <w:rPr>
                                <w:b w:val="0"/>
                                <w:bCs w:val="0"/>
                                <w:lang w:val="en-US"/>
                              </w:rPr>
                              <w:t xml:space="preserve"> </w:t>
                            </w:r>
                          </w:p>
                          <w:p w:rsidR="00E21E48" w:rsidRPr="00B46507" w:rsidRDefault="00E21E48">
                            <w:pPr>
                              <w:pStyle w:val="af5"/>
                              <w:jc w:val="left"/>
                              <w:rPr>
                                <w:b w:val="0"/>
                                <w:bCs w:val="0"/>
                                <w:lang w:val="en-US"/>
                              </w:rPr>
                            </w:pPr>
                            <w:r w:rsidRPr="00B46507">
                              <w:rPr>
                                <w:b w:val="0"/>
                                <w:bCs w:val="0"/>
                                <w:lang w:val="en-US"/>
                              </w:rPr>
                              <w:t xml:space="preserve">   </w:t>
                            </w:r>
                            <w:proofErr w:type="gramStart"/>
                            <w:r w:rsidRPr="00B46507">
                              <w:rPr>
                                <w:b w:val="0"/>
                                <w:bCs w:val="0"/>
                                <w:lang w:val="en-US"/>
                              </w:rPr>
                              <w:t>criteria</w:t>
                            </w:r>
                            <w:proofErr w:type="gramEnd"/>
                            <w:r w:rsidRPr="00B46507">
                              <w:rPr>
                                <w:b w:val="0"/>
                                <w:bCs w:val="0"/>
                                <w:lang w:val="en-US"/>
                              </w:rPr>
                              <w:t xml:space="preserve"> (</w:t>
                            </w:r>
                            <w:r w:rsidRPr="00B46507">
                              <w:rPr>
                                <w:b w:val="0"/>
                                <w:bCs w:val="0"/>
                                <w:i/>
                                <w:iCs/>
                                <w:lang w:val="en-US"/>
                              </w:rPr>
                              <w:t>n</w:t>
                            </w:r>
                            <w:r w:rsidRPr="00B46507">
                              <w:rPr>
                                <w:b w:val="0"/>
                                <w:bCs w:val="0"/>
                                <w:lang w:val="en-US"/>
                              </w:rPr>
                              <w:t>, %)</w:t>
                            </w:r>
                          </w:p>
                        </w:tc>
                        <w:tc>
                          <w:tcPr>
                            <w:tcW w:w="1410"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lang w:val="en-US"/>
                              </w:rPr>
                              <w:t xml:space="preserve">    </w:t>
                            </w:r>
                            <w:r w:rsidRPr="00B46507">
                              <w:rPr>
                                <w:b w:val="0"/>
                                <w:bCs w:val="0"/>
                              </w:rPr>
                              <w:t>121, 62.1</w:t>
                            </w:r>
                          </w:p>
                          <w:p w:rsidR="00E21E48" w:rsidRPr="00B46507" w:rsidRDefault="00E21E48">
                            <w:pPr>
                              <w:pStyle w:val="af5"/>
                              <w:jc w:val="center"/>
                              <w:rPr>
                                <w:b w:val="0"/>
                                <w:bCs w:val="0"/>
                              </w:rPr>
                            </w:pPr>
                          </w:p>
                        </w:tc>
                        <w:tc>
                          <w:tcPr>
                            <w:tcW w:w="141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28, 63.6</w:t>
                            </w:r>
                          </w:p>
                          <w:p w:rsidR="00E21E48" w:rsidRPr="00B46507" w:rsidRDefault="00E21E48">
                            <w:pPr>
                              <w:pStyle w:val="af5"/>
                              <w:jc w:val="center"/>
                              <w:rPr>
                                <w:b w:val="0"/>
                                <w:bCs w:val="0"/>
                              </w:rPr>
                            </w:pPr>
                          </w:p>
                        </w:tc>
                        <w:tc>
                          <w:tcPr>
                            <w:tcW w:w="183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36, 59.0</w:t>
                            </w:r>
                          </w:p>
                          <w:p w:rsidR="00E21E48" w:rsidRPr="00B46507" w:rsidRDefault="00E21E48">
                            <w:pPr>
                              <w:pStyle w:val="af5"/>
                              <w:jc w:val="center"/>
                              <w:rPr>
                                <w:b w:val="0"/>
                                <w:bCs w:val="0"/>
                              </w:rPr>
                            </w:pPr>
                          </w:p>
                        </w:tc>
                        <w:tc>
                          <w:tcPr>
                            <w:tcW w:w="1207" w:type="dxa"/>
                            <w:tcMar>
                              <w:top w:w="28" w:type="dxa"/>
                              <w:left w:w="28" w:type="dxa"/>
                              <w:bottom w:w="28" w:type="dxa"/>
                              <w:right w:w="28" w:type="dxa"/>
                            </w:tcMar>
                          </w:tcPr>
                          <w:p w:rsidR="00E21E48" w:rsidRPr="00B46507" w:rsidRDefault="00E21E48">
                            <w:pPr>
                              <w:pStyle w:val="af5"/>
                              <w:jc w:val="center"/>
                              <w:rPr>
                                <w:b w:val="0"/>
                                <w:bCs w:val="0"/>
                              </w:rPr>
                            </w:pPr>
                            <w:r w:rsidRPr="00B46507">
                              <w:rPr>
                                <w:b w:val="0"/>
                                <w:bCs w:val="0"/>
                              </w:rPr>
                              <w:t xml:space="preserve">   57, 63.3</w:t>
                            </w:r>
                          </w:p>
                          <w:p w:rsidR="00E21E48" w:rsidRPr="00B46507" w:rsidRDefault="00E21E48">
                            <w:pPr>
                              <w:pStyle w:val="af5"/>
                              <w:jc w:val="center"/>
                              <w:rPr>
                                <w:b w:val="0"/>
                                <w:bCs w:val="0"/>
                              </w:rPr>
                            </w:pPr>
                          </w:p>
                        </w:tc>
                        <w:tc>
                          <w:tcPr>
                            <w:tcW w:w="1267" w:type="dxa"/>
                            <w:tcMar>
                              <w:top w:w="28" w:type="dxa"/>
                              <w:left w:w="28" w:type="dxa"/>
                              <w:bottom w:w="28" w:type="dxa"/>
                              <w:right w:w="28" w:type="dxa"/>
                            </w:tcMar>
                          </w:tcPr>
                          <w:p w:rsidR="00E21E48" w:rsidRPr="00B46507" w:rsidRDefault="00E21E48">
                            <w:pPr>
                              <w:pStyle w:val="Noparagraphstyle"/>
                              <w:spacing w:line="240" w:lineRule="auto"/>
                              <w:jc w:val="left"/>
                              <w:textAlignment w:val="auto"/>
                              <w:rPr>
                                <w:color w:val="auto"/>
                                <w:lang w:val="en-US"/>
                              </w:rPr>
                            </w:pPr>
                          </w:p>
                        </w:tc>
                      </w:tr>
                    </w:tbl>
                    <w:p w:rsidR="00E21E48" w:rsidRPr="00CA5550" w:rsidRDefault="00E21E48" w:rsidP="00E21E48">
                      <w:pPr>
                        <w:pStyle w:val="af6"/>
                        <w:rPr>
                          <w:spacing w:val="-1"/>
                          <w:vertAlign w:val="superscript"/>
                        </w:rPr>
                      </w:pPr>
                      <w:r w:rsidRPr="00B46507">
                        <w:rPr>
                          <w:b w:val="0"/>
                          <w:bCs w:val="0"/>
                          <w:spacing w:val="-1"/>
                          <w:vertAlign w:val="superscript"/>
                        </w:rPr>
                        <w:t>1</w:t>
                      </w:r>
                      <w:r w:rsidRPr="00B46507">
                        <w:rPr>
                          <w:b w:val="0"/>
                          <w:bCs w:val="0"/>
                          <w:i/>
                          <w:iCs/>
                          <w:spacing w:val="-1"/>
                        </w:rPr>
                        <w:t>P</w:t>
                      </w:r>
                      <w:r w:rsidRPr="00B46507">
                        <w:rPr>
                          <w:b w:val="0"/>
                          <w:bCs w:val="0"/>
                          <w:spacing w:val="-1"/>
                        </w:rPr>
                        <w:t xml:space="preserve"> values from </w:t>
                      </w:r>
                      <w:r w:rsidRPr="00B46507">
                        <w:rPr>
                          <w:rFonts w:ascii="Symbol" w:hAnsi="Symbol" w:cs="Symbol"/>
                          <w:b w:val="0"/>
                          <w:bCs w:val="0"/>
                          <w:i/>
                          <w:iCs/>
                          <w:spacing w:val="-1"/>
                        </w:rPr>
                        <w:t></w:t>
                      </w:r>
                      <w:r w:rsidRPr="00B46507">
                        <w:rPr>
                          <w:b w:val="0"/>
                          <w:bCs w:val="0"/>
                          <w:spacing w:val="-1"/>
                          <w:vertAlign w:val="superscript"/>
                        </w:rPr>
                        <w:t>2</w:t>
                      </w:r>
                      <w:r w:rsidRPr="00B46507">
                        <w:rPr>
                          <w:b w:val="0"/>
                          <w:bCs w:val="0"/>
                          <w:spacing w:val="-1"/>
                        </w:rPr>
                        <w:t xml:space="preserve"> tests (two-sided) and </w:t>
                      </w:r>
                      <w:proofErr w:type="spellStart"/>
                      <w:proofErr w:type="gramStart"/>
                      <w:r w:rsidRPr="00B46507">
                        <w:rPr>
                          <w:b w:val="0"/>
                          <w:bCs w:val="0"/>
                          <w:spacing w:val="-1"/>
                        </w:rPr>
                        <w:t>fischer</w:t>
                      </w:r>
                      <w:proofErr w:type="spellEnd"/>
                      <w:proofErr w:type="gramEnd"/>
                      <w:r w:rsidRPr="00B46507">
                        <w:rPr>
                          <w:b w:val="0"/>
                          <w:bCs w:val="0"/>
                          <w:spacing w:val="-1"/>
                        </w:rPr>
                        <w:t xml:space="preserve"> for overall race effect followed by pairwise comparisons, for </w:t>
                      </w:r>
                      <w:r w:rsidRPr="00B46507">
                        <w:rPr>
                          <w:b w:val="0"/>
                          <w:bCs w:val="0"/>
                          <w:i/>
                          <w:iCs/>
                          <w:spacing w:val="-1"/>
                        </w:rPr>
                        <w:t>P</w:t>
                      </w:r>
                      <w:r w:rsidRPr="00B46507">
                        <w:rPr>
                          <w:b w:val="0"/>
                          <w:bCs w:val="0"/>
                          <w:spacing w:val="-1"/>
                        </w:rPr>
                        <w:t xml:space="preserve"> &lt; 0.05. A significance level of 0.05 was used for the overall race comparisons. </w:t>
                      </w:r>
                      <w:proofErr w:type="spellStart"/>
                      <w:r w:rsidRPr="00B46507">
                        <w:rPr>
                          <w:b w:val="0"/>
                          <w:bCs w:val="0"/>
                          <w:spacing w:val="-1"/>
                          <w:vertAlign w:val="superscript"/>
                        </w:rPr>
                        <w:t>a</w:t>
                      </w:r>
                      <w:r w:rsidRPr="00B46507">
                        <w:rPr>
                          <w:b w:val="0"/>
                          <w:bCs w:val="0"/>
                          <w:i/>
                          <w:iCs/>
                          <w:spacing w:val="-1"/>
                        </w:rPr>
                        <w:t>P</w:t>
                      </w:r>
                      <w:proofErr w:type="spellEnd"/>
                      <w:r w:rsidRPr="00B46507">
                        <w:rPr>
                          <w:b w:val="0"/>
                          <w:bCs w:val="0"/>
                          <w:spacing w:val="-1"/>
                        </w:rPr>
                        <w:t xml:space="preserve"> &lt; 0.05, </w:t>
                      </w:r>
                      <w:proofErr w:type="spellStart"/>
                      <w:r w:rsidRPr="00B46507">
                        <w:rPr>
                          <w:b w:val="0"/>
                          <w:bCs w:val="0"/>
                          <w:spacing w:val="-1"/>
                          <w:vertAlign w:val="superscript"/>
                        </w:rPr>
                        <w:t>b</w:t>
                      </w:r>
                      <w:r w:rsidRPr="00B46507">
                        <w:rPr>
                          <w:b w:val="0"/>
                          <w:bCs w:val="0"/>
                          <w:i/>
                          <w:iCs/>
                          <w:spacing w:val="-1"/>
                        </w:rPr>
                        <w:t>P</w:t>
                      </w:r>
                      <w:proofErr w:type="spellEnd"/>
                      <w:r w:rsidRPr="00B46507">
                        <w:rPr>
                          <w:b w:val="0"/>
                          <w:bCs w:val="0"/>
                          <w:spacing w:val="-1"/>
                        </w:rPr>
                        <w:t xml:space="preserve"> &lt; 0.001, </w:t>
                      </w:r>
                      <w:r w:rsidRPr="00B46507">
                        <w:rPr>
                          <w:b w:val="0"/>
                          <w:bCs w:val="0"/>
                          <w:i/>
                          <w:iCs/>
                          <w:spacing w:val="-1"/>
                        </w:rPr>
                        <w:t>P</w:t>
                      </w:r>
                      <w:r w:rsidRPr="00B46507">
                        <w:rPr>
                          <w:b w:val="0"/>
                          <w:bCs w:val="0"/>
                          <w:spacing w:val="-1"/>
                        </w:rPr>
                        <w:t xml:space="preserve"> values were not calculated for </w:t>
                      </w:r>
                      <w:r w:rsidRPr="00B46507">
                        <w:rPr>
                          <w:b w:val="0"/>
                          <w:bCs w:val="0"/>
                          <w:i/>
                          <w:iCs/>
                          <w:spacing w:val="-1"/>
                        </w:rPr>
                        <w:t>n</w:t>
                      </w:r>
                      <w:r w:rsidRPr="00B46507">
                        <w:rPr>
                          <w:b w:val="0"/>
                          <w:bCs w:val="0"/>
                          <w:spacing w:val="-1"/>
                        </w:rPr>
                        <w:t xml:space="preserve"> &lt; 5; </w:t>
                      </w:r>
                      <w:r w:rsidRPr="00B46507">
                        <w:rPr>
                          <w:b w:val="0"/>
                          <w:bCs w:val="0"/>
                          <w:spacing w:val="-1"/>
                          <w:vertAlign w:val="superscript"/>
                        </w:rPr>
                        <w:t>2</w:t>
                      </w:r>
                      <w:r w:rsidRPr="00B46507">
                        <w:rPr>
                          <w:b w:val="0"/>
                          <w:bCs w:val="0"/>
                          <w:spacing w:val="-1"/>
                        </w:rPr>
                        <w:t xml:space="preserve">Given </w:t>
                      </w:r>
                      <w:r w:rsidRPr="00B46507">
                        <w:rPr>
                          <w:b w:val="0"/>
                          <w:bCs w:val="0"/>
                          <w:i/>
                          <w:iCs/>
                          <w:spacing w:val="-1"/>
                        </w:rPr>
                        <w:t>n</w:t>
                      </w:r>
                      <w:r w:rsidRPr="00B46507">
                        <w:rPr>
                          <w:b w:val="0"/>
                          <w:bCs w:val="0"/>
                          <w:spacing w:val="-1"/>
                        </w:rPr>
                        <w:t xml:space="preserve"> &lt; 5 for AA (</w:t>
                      </w:r>
                      <w:r w:rsidRPr="00B46507">
                        <w:rPr>
                          <w:b w:val="0"/>
                          <w:bCs w:val="0"/>
                          <w:i/>
                          <w:iCs/>
                          <w:spacing w:val="-1"/>
                        </w:rPr>
                        <w:t>n</w:t>
                      </w:r>
                      <w:r w:rsidRPr="00B46507">
                        <w:rPr>
                          <w:b w:val="0"/>
                          <w:bCs w:val="0"/>
                          <w:spacing w:val="-1"/>
                        </w:rPr>
                        <w:t xml:space="preserve"> = 0) and W (</w:t>
                      </w:r>
                      <w:r w:rsidRPr="00B46507">
                        <w:rPr>
                          <w:b w:val="0"/>
                          <w:bCs w:val="0"/>
                          <w:i/>
                          <w:iCs/>
                          <w:spacing w:val="-1"/>
                        </w:rPr>
                        <w:t>n</w:t>
                      </w:r>
                      <w:r w:rsidRPr="00B46507">
                        <w:rPr>
                          <w:b w:val="0"/>
                          <w:bCs w:val="0"/>
                          <w:spacing w:val="-1"/>
                        </w:rPr>
                        <w:t xml:space="preserve"> = 2), limited statistical tests for Hispanic to non-Hispanic with </w:t>
                      </w:r>
                      <w:r w:rsidRPr="00B46507">
                        <w:rPr>
                          <w:b w:val="0"/>
                          <w:bCs w:val="0"/>
                          <w:i/>
                          <w:iCs/>
                          <w:spacing w:val="-1"/>
                        </w:rPr>
                        <w:t>P</w:t>
                      </w:r>
                      <w:r w:rsidRPr="00B46507">
                        <w:rPr>
                          <w:b w:val="0"/>
                          <w:bCs w:val="0"/>
                          <w:spacing w:val="-1"/>
                        </w:rPr>
                        <w:t xml:space="preserve"> = 0.0074; </w:t>
                      </w:r>
                      <w:r w:rsidRPr="00B46507">
                        <w:rPr>
                          <w:b w:val="0"/>
                          <w:bCs w:val="0"/>
                          <w:spacing w:val="-1"/>
                          <w:vertAlign w:val="superscript"/>
                        </w:rPr>
                        <w:t>3</w:t>
                      </w:r>
                      <w:r w:rsidRPr="00B46507">
                        <w:rPr>
                          <w:b w:val="0"/>
                          <w:bCs w:val="0"/>
                          <w:spacing w:val="-1"/>
                        </w:rPr>
                        <w:t xml:space="preserve">Metabolic syndrome: Three of the following five traits per adult treatment panel </w:t>
                      </w:r>
                      <w:r w:rsidRPr="00B46507">
                        <w:rPr>
                          <w:rFonts w:ascii="KozMinPro-Regular" w:eastAsia="KozMinPro-Regular" w:cs="KozMinPro-Regular" w:hint="eastAsia"/>
                          <w:b w:val="0"/>
                          <w:bCs w:val="0"/>
                          <w:spacing w:val="-1"/>
                        </w:rPr>
                        <w:t>Ⅲ</w:t>
                      </w:r>
                      <w:r w:rsidRPr="00B46507">
                        <w:rPr>
                          <w:b w:val="0"/>
                          <w:bCs w:val="0"/>
                          <w:spacing w:val="-1"/>
                        </w:rPr>
                        <w:t xml:space="preserve"> guidelines. Abdominal obesity, defined as a waist circumference in men </w:t>
                      </w:r>
                      <w:r w:rsidRPr="00B46507">
                        <w:rPr>
                          <w:rFonts w:ascii="宋体" w:cs="宋体" w:hint="eastAsia"/>
                          <w:b w:val="0"/>
                          <w:bCs w:val="0"/>
                          <w:spacing w:val="-1"/>
                        </w:rPr>
                        <w:t>≥</w:t>
                      </w:r>
                      <w:r w:rsidRPr="00B46507">
                        <w:rPr>
                          <w:b w:val="0"/>
                          <w:bCs w:val="0"/>
                          <w:spacing w:val="-1"/>
                        </w:rPr>
                        <w:t xml:space="preserve"> 102 cm (40 in) and in women </w:t>
                      </w:r>
                      <w:r w:rsidRPr="00B46507">
                        <w:rPr>
                          <w:rFonts w:ascii="宋体" w:cs="宋体" w:hint="eastAsia"/>
                          <w:b w:val="0"/>
                          <w:bCs w:val="0"/>
                          <w:spacing w:val="-1"/>
                        </w:rPr>
                        <w:t>≥</w:t>
                      </w:r>
                      <w:r w:rsidRPr="00B46507">
                        <w:rPr>
                          <w:b w:val="0"/>
                          <w:bCs w:val="0"/>
                          <w:spacing w:val="-1"/>
                        </w:rPr>
                        <w:t xml:space="preserve"> 88 cm (35 in): (1) serum triglycerides </w:t>
                      </w:r>
                      <w:r w:rsidRPr="00B46507">
                        <w:rPr>
                          <w:rFonts w:ascii="宋体" w:cs="宋体" w:hint="eastAsia"/>
                          <w:b w:val="0"/>
                          <w:bCs w:val="0"/>
                          <w:spacing w:val="-1"/>
                        </w:rPr>
                        <w:t>≥</w:t>
                      </w:r>
                      <w:r w:rsidRPr="00B46507">
                        <w:rPr>
                          <w:b w:val="0"/>
                          <w:bCs w:val="0"/>
                          <w:spacing w:val="-1"/>
                        </w:rPr>
                        <w:t xml:space="preserve"> 150 mg/</w:t>
                      </w:r>
                      <w:proofErr w:type="spellStart"/>
                      <w:r w:rsidRPr="00B46507">
                        <w:rPr>
                          <w:b w:val="0"/>
                          <w:bCs w:val="0"/>
                          <w:spacing w:val="-1"/>
                        </w:rPr>
                        <w:t>dL</w:t>
                      </w:r>
                      <w:proofErr w:type="spellEnd"/>
                      <w:r w:rsidRPr="00B46507">
                        <w:rPr>
                          <w:b w:val="0"/>
                          <w:bCs w:val="0"/>
                          <w:spacing w:val="-1"/>
                        </w:rPr>
                        <w:t xml:space="preserve"> (1.7 </w:t>
                      </w:r>
                      <w:proofErr w:type="spellStart"/>
                      <w:r w:rsidRPr="00B46507">
                        <w:rPr>
                          <w:b w:val="0"/>
                          <w:bCs w:val="0"/>
                          <w:spacing w:val="-1"/>
                        </w:rPr>
                        <w:t>mmol</w:t>
                      </w:r>
                      <w:proofErr w:type="spellEnd"/>
                      <w:r w:rsidRPr="00B46507">
                        <w:rPr>
                          <w:b w:val="0"/>
                          <w:bCs w:val="0"/>
                          <w:spacing w:val="-1"/>
                        </w:rPr>
                        <w:t>/L) or drug treatment for elevated triglycerides; (2) serum HDL cholesterol &lt; 40 mg/</w:t>
                      </w:r>
                      <w:proofErr w:type="spellStart"/>
                      <w:r w:rsidRPr="00B46507">
                        <w:rPr>
                          <w:b w:val="0"/>
                          <w:bCs w:val="0"/>
                          <w:spacing w:val="-1"/>
                        </w:rPr>
                        <w:t>dL</w:t>
                      </w:r>
                      <w:proofErr w:type="spellEnd"/>
                      <w:r w:rsidRPr="00B46507">
                        <w:rPr>
                          <w:b w:val="0"/>
                          <w:bCs w:val="0"/>
                          <w:spacing w:val="-1"/>
                        </w:rPr>
                        <w:t xml:space="preserve"> (1 </w:t>
                      </w:r>
                      <w:proofErr w:type="spellStart"/>
                      <w:r w:rsidRPr="00B46507">
                        <w:rPr>
                          <w:b w:val="0"/>
                          <w:bCs w:val="0"/>
                          <w:spacing w:val="-1"/>
                        </w:rPr>
                        <w:t>mmol</w:t>
                      </w:r>
                      <w:proofErr w:type="spellEnd"/>
                      <w:r w:rsidRPr="00B46507">
                        <w:rPr>
                          <w:b w:val="0"/>
                          <w:bCs w:val="0"/>
                          <w:spacing w:val="-1"/>
                        </w:rPr>
                        <w:t>/L) in men and &lt; 50 mg/</w:t>
                      </w:r>
                      <w:proofErr w:type="spellStart"/>
                      <w:r w:rsidRPr="00B46507">
                        <w:rPr>
                          <w:b w:val="0"/>
                          <w:bCs w:val="0"/>
                          <w:spacing w:val="-1"/>
                        </w:rPr>
                        <w:t>dL</w:t>
                      </w:r>
                      <w:proofErr w:type="spellEnd"/>
                      <w:r w:rsidRPr="00B46507">
                        <w:rPr>
                          <w:b w:val="0"/>
                          <w:bCs w:val="0"/>
                          <w:spacing w:val="-1"/>
                        </w:rPr>
                        <w:t xml:space="preserve"> (1.3 </w:t>
                      </w:r>
                      <w:proofErr w:type="spellStart"/>
                      <w:r w:rsidRPr="00B46507">
                        <w:rPr>
                          <w:b w:val="0"/>
                          <w:bCs w:val="0"/>
                          <w:spacing w:val="-1"/>
                        </w:rPr>
                        <w:t>mmol</w:t>
                      </w:r>
                      <w:proofErr w:type="spellEnd"/>
                      <w:r w:rsidRPr="00B46507">
                        <w:rPr>
                          <w:b w:val="0"/>
                          <w:bCs w:val="0"/>
                          <w:spacing w:val="-1"/>
                        </w:rPr>
                        <w:t xml:space="preserve">/L) in women or drug treatment for low HDL-C; (3) blood pressure </w:t>
                      </w:r>
                      <w:r w:rsidRPr="00B46507">
                        <w:rPr>
                          <w:rFonts w:ascii="宋体" w:cs="宋体" w:hint="eastAsia"/>
                          <w:b w:val="0"/>
                          <w:bCs w:val="0"/>
                          <w:spacing w:val="-1"/>
                        </w:rPr>
                        <w:t>≥</w:t>
                      </w:r>
                      <w:r w:rsidRPr="00B46507">
                        <w:rPr>
                          <w:b w:val="0"/>
                          <w:bCs w:val="0"/>
                          <w:spacing w:val="-1"/>
                        </w:rPr>
                        <w:t xml:space="preserve"> 130/85 mmHg or drug treatment for elevated blood pressure; (4) fasting plasma glucose (FPG) </w:t>
                      </w:r>
                      <w:r w:rsidRPr="00B46507">
                        <w:rPr>
                          <w:rFonts w:ascii="宋体" w:cs="宋体" w:hint="eastAsia"/>
                          <w:b w:val="0"/>
                          <w:bCs w:val="0"/>
                          <w:spacing w:val="-1"/>
                        </w:rPr>
                        <w:t>≥</w:t>
                      </w:r>
                      <w:r w:rsidRPr="00B46507">
                        <w:rPr>
                          <w:b w:val="0"/>
                          <w:bCs w:val="0"/>
                          <w:spacing w:val="-1"/>
                        </w:rPr>
                        <w:t xml:space="preserve"> 100 mg/</w:t>
                      </w:r>
                      <w:proofErr w:type="spellStart"/>
                      <w:r w:rsidRPr="00B46507">
                        <w:rPr>
                          <w:b w:val="0"/>
                          <w:bCs w:val="0"/>
                          <w:spacing w:val="-1"/>
                        </w:rPr>
                        <w:t>dL</w:t>
                      </w:r>
                      <w:proofErr w:type="spellEnd"/>
                      <w:r w:rsidRPr="00B46507">
                        <w:rPr>
                          <w:b w:val="0"/>
                          <w:bCs w:val="0"/>
                          <w:spacing w:val="-1"/>
                        </w:rPr>
                        <w:t xml:space="preserve"> (5.6 </w:t>
                      </w:r>
                      <w:proofErr w:type="spellStart"/>
                      <w:r w:rsidRPr="00B46507">
                        <w:rPr>
                          <w:b w:val="0"/>
                          <w:bCs w:val="0"/>
                          <w:spacing w:val="-1"/>
                        </w:rPr>
                        <w:t>mmol</w:t>
                      </w:r>
                      <w:proofErr w:type="spellEnd"/>
                      <w:r w:rsidRPr="00B46507">
                        <w:rPr>
                          <w:b w:val="0"/>
                          <w:bCs w:val="0"/>
                          <w:spacing w:val="-1"/>
                        </w:rPr>
                        <w:t xml:space="preserve">/L) or drug treatment for elevated blood glucose; </w:t>
                      </w:r>
                      <w:r w:rsidRPr="00B46507">
                        <w:rPr>
                          <w:b w:val="0"/>
                          <w:bCs w:val="0"/>
                          <w:spacing w:val="-1"/>
                          <w:vertAlign w:val="superscript"/>
                        </w:rPr>
                        <w:t>4</w:t>
                      </w:r>
                      <w:r w:rsidRPr="00B46507">
                        <w:rPr>
                          <w:b w:val="0"/>
                          <w:bCs w:val="0"/>
                          <w:spacing w:val="-1"/>
                        </w:rPr>
                        <w:t xml:space="preserve">Some patients with more than one listed etiology of cirrhosis; </w:t>
                      </w:r>
                      <w:r w:rsidRPr="00B46507">
                        <w:rPr>
                          <w:b w:val="0"/>
                          <w:bCs w:val="0"/>
                          <w:spacing w:val="-1"/>
                          <w:vertAlign w:val="superscript"/>
                        </w:rPr>
                        <w:t>5</w:t>
                      </w:r>
                      <w:r w:rsidRPr="00B46507">
                        <w:rPr>
                          <w:b w:val="0"/>
                          <w:bCs w:val="0"/>
                          <w:spacing w:val="-1"/>
                        </w:rPr>
                        <w:t>Other: Cryptogenic, hemochromatosis, autoimmune, other not specified. H: Hispanics; A: African Americans; W: Non-Hispanic Caucasians; SD: Standard deviation; IQ: Percentile interquartile range (25%, 75%); HW: Hispanics compared to Whites; HA: Hispanics compared to African Americans; AW: African Americans compared to Whites; HNH: Hispanics compared to non-Hispanics; BMI: Body mass index; HBV: Hepatitis B virus; HCV: Hepatitis C virus; NASH: Nonalcoholic steatohepatitis; HCC: Hepatocellular carcinoma.</w:t>
                      </w:r>
                    </w:p>
                  </w:txbxContent>
                </v:textbox>
                <w10:wrap type="square"/>
              </v:shape>
            </w:pict>
          </mc:Fallback>
        </mc:AlternateContent>
      </w:r>
    </w:p>
    <w:p w:rsidR="00E21E48" w:rsidRDefault="00E21E48" w:rsidP="00E21E48">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43525" cy="3602990"/>
                <wp:effectExtent l="8255" t="9525" r="10795" b="698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602990"/>
                        </a:xfrm>
                        <a:prstGeom prst="rect">
                          <a:avLst/>
                        </a:prstGeom>
                        <a:solidFill>
                          <a:srgbClr val="FFFFFF"/>
                        </a:solidFill>
                        <a:ln w="9525">
                          <a:solidFill>
                            <a:srgbClr val="000000"/>
                          </a:solidFill>
                          <a:miter lim="800000"/>
                          <a:headEnd/>
                          <a:tailEnd/>
                        </a:ln>
                      </wps:spPr>
                      <wps:txbx>
                        <w:txbxContent>
                          <w:p w:rsidR="00E21E48" w:rsidRPr="00B46507" w:rsidRDefault="00E21E48" w:rsidP="00E21E48">
                            <w:pPr>
                              <w:rPr>
                                <w:b/>
                                <w:bCs/>
                              </w:rPr>
                            </w:pPr>
                            <w:r w:rsidRPr="00B46507">
                              <w:rPr>
                                <w:b/>
                                <w:bCs/>
                              </w:rPr>
                              <w:t xml:space="preserve">Table </w:t>
                            </w:r>
                            <w:proofErr w:type="gramStart"/>
                            <w:r w:rsidRPr="00B46507">
                              <w:rPr>
                                <w:b/>
                                <w:bCs/>
                              </w:rPr>
                              <w:t>2  Treatment</w:t>
                            </w:r>
                            <w:proofErr w:type="gramEnd"/>
                            <w:r w:rsidRPr="00B46507">
                              <w:rPr>
                                <w:b/>
                                <w:bCs/>
                              </w:rPr>
                              <w:t xml:space="preserve"> patterns for non-metastatic patients at diagnosis: First line treatment patterns for non-metastatic patients by race</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55"/>
                              <w:gridCol w:w="1215"/>
                              <w:gridCol w:w="1694"/>
                              <w:gridCol w:w="2255"/>
                              <w:gridCol w:w="1627"/>
                              <w:gridCol w:w="507"/>
                            </w:tblGrid>
                            <w:tr w:rsidR="00E21E48" w:rsidRPr="00B46507" w:rsidTr="00B46507">
                              <w:tblPrEx>
                                <w:tblCellMar>
                                  <w:top w:w="0" w:type="dxa"/>
                                  <w:left w:w="0" w:type="dxa"/>
                                  <w:bottom w:w="0" w:type="dxa"/>
                                  <w:right w:w="0" w:type="dxa"/>
                                </w:tblCellMar>
                              </w:tblPrEx>
                              <w:trPr>
                                <w:trHeight w:hRule="exact" w:val="809"/>
                              </w:trPr>
                              <w:tc>
                                <w:tcPr>
                                  <w:tcW w:w="225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First line treatment characteristics</w:t>
                                  </w:r>
                                </w:p>
                                <w:p w:rsidR="00E21E48" w:rsidRPr="00B46507" w:rsidRDefault="00E21E48" w:rsidP="00B46507">
                                  <w:pPr>
                                    <w:autoSpaceDE w:val="0"/>
                                    <w:autoSpaceDN w:val="0"/>
                                    <w:adjustRightInd w:val="0"/>
                                    <w:spacing w:line="288" w:lineRule="auto"/>
                                    <w:textAlignment w:val="center"/>
                                    <w:rPr>
                                      <w:rFonts w:ascii="Albertus" w:hAnsi="Albertus" w:cs="Albertus"/>
                                      <w:b/>
                                      <w:bCs/>
                                      <w:color w:val="000000"/>
                                      <w:kern w:val="0"/>
                                      <w:sz w:val="14"/>
                                      <w:szCs w:val="14"/>
                                      <w:lang w:val="zh-CN" w:bidi="th-TH"/>
                                    </w:rPr>
                                  </w:pPr>
                                </w:p>
                              </w:tc>
                              <w:tc>
                                <w:tcPr>
                                  <w:tcW w:w="121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bidi="th-TH"/>
                                    </w:rPr>
                                  </w:pPr>
                                  <w:r w:rsidRPr="00B46507">
                                    <w:rPr>
                                      <w:rFonts w:ascii="Albertus" w:hAnsi="Albertus" w:cs="Albertus"/>
                                      <w:b/>
                                      <w:bCs/>
                                      <w:color w:val="000000"/>
                                      <w:kern w:val="0"/>
                                      <w:sz w:val="14"/>
                                      <w:szCs w:val="14"/>
                                      <w:lang w:val="zh-CN" w:bidi="th-TH"/>
                                    </w:rPr>
                                    <w:t>Total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xml:space="preserve"> = 176)</w:t>
                                  </w:r>
                                  <w:r w:rsidRPr="00B46507">
                                    <w:rPr>
                                      <w:rFonts w:ascii="Albertus" w:hAnsi="Albertus" w:cs="Albertus"/>
                                      <w:b/>
                                      <w:bCs/>
                                      <w:color w:val="000000"/>
                                      <w:kern w:val="0"/>
                                      <w:sz w:val="14"/>
                                      <w:szCs w:val="14"/>
                                      <w:vertAlign w:val="superscript"/>
                                      <w:lang w:val="zh-CN" w:bidi="th-TH"/>
                                    </w:rPr>
                                    <w:t>1</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694"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Hispanic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xml:space="preserve"> = 41)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225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African American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xml:space="preserve"> = 55)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62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White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xml:space="preserve"> = 80)</w:t>
                                  </w:r>
                                  <w:r w:rsidRPr="00B46507">
                                    <w:rPr>
                                      <w:rFonts w:ascii="Albertus" w:hAnsi="Albertus" w:cs="Albertus"/>
                                      <w:b/>
                                      <w:bCs/>
                                      <w:color w:val="000000"/>
                                      <w:kern w:val="0"/>
                                      <w:sz w:val="14"/>
                                      <w:szCs w:val="14"/>
                                      <w:vertAlign w:val="superscript"/>
                                      <w:lang w:val="zh-CN" w:bidi="th-TH"/>
                                    </w:rPr>
                                    <w:t>1</w:t>
                                  </w:r>
                                  <w:r w:rsidRPr="00B46507">
                                    <w:rPr>
                                      <w:rFonts w:ascii="Albertus" w:hAnsi="Albertus" w:cs="Albertus"/>
                                      <w:b/>
                                      <w:bCs/>
                                      <w:color w:val="000000"/>
                                      <w:kern w:val="0"/>
                                      <w:sz w:val="14"/>
                                      <w:szCs w:val="14"/>
                                      <w:lang w:val="zh-CN" w:bidi="th-TH"/>
                                    </w:rPr>
                                    <w:t xml:space="preserve">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50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bidi="th-TH"/>
                                    </w:rPr>
                                  </w:pPr>
                                  <w:r w:rsidRPr="00B46507">
                                    <w:rPr>
                                      <w:rFonts w:ascii="Albertus Italic" w:hAnsi="Albertus Italic" w:cs="Albertus Italic"/>
                                      <w:b/>
                                      <w:bCs/>
                                      <w:i/>
                                      <w:iCs/>
                                      <w:color w:val="000000"/>
                                      <w:kern w:val="0"/>
                                      <w:sz w:val="14"/>
                                      <w:szCs w:val="14"/>
                                      <w:lang w:val="zh-CN" w:bidi="th-TH"/>
                                    </w:rPr>
                                    <w:t>P</w:t>
                                  </w:r>
                                  <w:r w:rsidRPr="00B46507">
                                    <w:rPr>
                                      <w:rFonts w:ascii="Albertus" w:hAnsi="Albertus" w:cs="Albertus"/>
                                      <w:b/>
                                      <w:bCs/>
                                      <w:color w:val="000000"/>
                                      <w:kern w:val="0"/>
                                      <w:sz w:val="14"/>
                                      <w:szCs w:val="14"/>
                                      <w:vertAlign w:val="superscript"/>
                                      <w:lang w:val="zh-CN" w:bidi="th-TH"/>
                                    </w:rPr>
                                    <w:t>2</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r>
                            <w:tr w:rsidR="00E21E48" w:rsidRPr="00B46507" w:rsidTr="00B46507">
                              <w:tblPrEx>
                                <w:tblCellMar>
                                  <w:top w:w="0" w:type="dxa"/>
                                  <w:left w:w="0" w:type="dxa"/>
                                  <w:bottom w:w="0" w:type="dxa"/>
                                  <w:right w:w="0" w:type="dxa"/>
                                </w:tblCellMar>
                              </w:tblPrEx>
                              <w:trPr>
                                <w:trHeight w:val="60"/>
                              </w:trPr>
                              <w:tc>
                                <w:tcPr>
                                  <w:tcW w:w="2255"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Surgery</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0, 0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2, 3.6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0, 0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Borders>
                                    <w:top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Liver directed</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154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38, 92.7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48, 87.2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68, 85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Chemotherapy</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1, 2.4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2, 3.6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3, 3.8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Observation</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0, 0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1, 1.8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4, 5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Lost to follow-up</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2, 4.9</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2, 3.6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4, 5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bl>
                          <w:p w:rsidR="00E21E48" w:rsidRPr="00AD525F" w:rsidRDefault="00E21E48" w:rsidP="00E21E48">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B46507">
                              <w:rPr>
                                <w:rFonts w:ascii="Book Antiqua" w:hAnsi="Book Antiqua" w:cs="Book Antiqua"/>
                                <w:color w:val="000000"/>
                                <w:kern w:val="0"/>
                                <w:sz w:val="14"/>
                                <w:szCs w:val="14"/>
                                <w:vertAlign w:val="superscript"/>
                                <w:lang w:bidi="th-TH"/>
                              </w:rPr>
                              <w:t>1</w:t>
                            </w:r>
                            <w:r w:rsidRPr="00B46507">
                              <w:rPr>
                                <w:rFonts w:ascii="Book Antiqua" w:hAnsi="Book Antiqua" w:cs="Book Antiqua"/>
                                <w:color w:val="000000"/>
                                <w:kern w:val="0"/>
                                <w:sz w:val="14"/>
                                <w:szCs w:val="14"/>
                                <w:lang w:bidi="th-TH"/>
                              </w:rPr>
                              <w:t xml:space="preserve">One patient missing information; </w:t>
                            </w:r>
                            <w:r w:rsidRPr="00B46507">
                              <w:rPr>
                                <w:rFonts w:ascii="Book Antiqua" w:hAnsi="Book Antiqua" w:cs="Book Antiqua"/>
                                <w:color w:val="000000"/>
                                <w:kern w:val="0"/>
                                <w:sz w:val="14"/>
                                <w:szCs w:val="14"/>
                                <w:vertAlign w:val="superscript"/>
                                <w:lang w:bidi="th-TH"/>
                              </w:rPr>
                              <w:t>2</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values from </w:t>
                            </w:r>
                            <w:r w:rsidRPr="00B46507">
                              <w:rPr>
                                <w:rFonts w:ascii="Symbol" w:hAnsi="Symbol" w:cs="Symbol"/>
                                <w:i/>
                                <w:iCs/>
                                <w:color w:val="000000"/>
                                <w:kern w:val="0"/>
                                <w:sz w:val="14"/>
                                <w:szCs w:val="14"/>
                                <w:lang w:bidi="th-TH"/>
                              </w:rPr>
                              <w:t></w:t>
                            </w:r>
                            <w:r w:rsidRPr="00B46507">
                              <w:rPr>
                                <w:rFonts w:ascii="Book Antiqua" w:hAnsi="Book Antiqua" w:cs="Book Antiqua"/>
                                <w:color w:val="000000"/>
                                <w:kern w:val="0"/>
                                <w:sz w:val="14"/>
                                <w:szCs w:val="14"/>
                                <w:vertAlign w:val="superscript"/>
                                <w:lang w:bidi="th-TH"/>
                              </w:rPr>
                              <w:t>2</w:t>
                            </w:r>
                            <w:r w:rsidRPr="00B46507">
                              <w:rPr>
                                <w:rFonts w:ascii="Book Antiqua" w:hAnsi="Book Antiqua" w:cs="Book Antiqua"/>
                                <w:color w:val="000000"/>
                                <w:kern w:val="0"/>
                                <w:sz w:val="14"/>
                                <w:szCs w:val="14"/>
                                <w:lang w:bidi="th-TH"/>
                              </w:rPr>
                              <w:t xml:space="preserve"> tests (two-sided) and </w:t>
                            </w:r>
                            <w:proofErr w:type="spellStart"/>
                            <w:proofErr w:type="gramStart"/>
                            <w:r w:rsidRPr="00B46507">
                              <w:rPr>
                                <w:rFonts w:ascii="Book Antiqua" w:hAnsi="Book Antiqua" w:cs="Book Antiqua"/>
                                <w:color w:val="000000"/>
                                <w:kern w:val="0"/>
                                <w:sz w:val="14"/>
                                <w:szCs w:val="14"/>
                                <w:lang w:bidi="th-TH"/>
                              </w:rPr>
                              <w:t>fischer</w:t>
                            </w:r>
                            <w:proofErr w:type="spellEnd"/>
                            <w:proofErr w:type="gramEnd"/>
                            <w:r w:rsidRPr="00B46507">
                              <w:rPr>
                                <w:rFonts w:ascii="Book Antiqua" w:hAnsi="Book Antiqua" w:cs="Book Antiqua"/>
                                <w:color w:val="000000"/>
                                <w:kern w:val="0"/>
                                <w:sz w:val="14"/>
                                <w:szCs w:val="14"/>
                                <w:lang w:bidi="th-TH"/>
                              </w:rPr>
                              <w:t xml:space="preserve"> for overall race effect followed by pairwise comparisons, for </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&lt; 0.05. A significance level of 0.05 was used for the overall race comparisons.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20.75pt;height:28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">
                <v:textbox style="mso-fit-shape-to-text:t">
                  <w:txbxContent>
                    <w:p w:rsidR="00E21E48" w:rsidRPr="00B46507" w:rsidRDefault="00E21E48" w:rsidP="00E21E48">
                      <w:pPr>
                        <w:rPr>
                          <w:b/>
                          <w:bCs/>
                        </w:rPr>
                      </w:pPr>
                      <w:r w:rsidRPr="00B46507">
                        <w:rPr>
                          <w:b/>
                          <w:bCs/>
                        </w:rPr>
                        <w:t xml:space="preserve">Table </w:t>
                      </w:r>
                      <w:proofErr w:type="gramStart"/>
                      <w:r w:rsidRPr="00B46507">
                        <w:rPr>
                          <w:b/>
                          <w:bCs/>
                        </w:rPr>
                        <w:t>2  Treatment</w:t>
                      </w:r>
                      <w:proofErr w:type="gramEnd"/>
                      <w:r w:rsidRPr="00B46507">
                        <w:rPr>
                          <w:b/>
                          <w:bCs/>
                        </w:rPr>
                        <w:t xml:space="preserve"> patterns for non-metastatic patients at diagnosis: First line treatment patterns for non-metastatic patients by race</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55"/>
                        <w:gridCol w:w="1215"/>
                        <w:gridCol w:w="1694"/>
                        <w:gridCol w:w="2255"/>
                        <w:gridCol w:w="1627"/>
                        <w:gridCol w:w="507"/>
                      </w:tblGrid>
                      <w:tr w:rsidR="00E21E48" w:rsidRPr="00B46507" w:rsidTr="00B46507">
                        <w:tblPrEx>
                          <w:tblCellMar>
                            <w:top w:w="0" w:type="dxa"/>
                            <w:left w:w="0" w:type="dxa"/>
                            <w:bottom w:w="0" w:type="dxa"/>
                            <w:right w:w="0" w:type="dxa"/>
                          </w:tblCellMar>
                        </w:tblPrEx>
                        <w:trPr>
                          <w:trHeight w:hRule="exact" w:val="809"/>
                        </w:trPr>
                        <w:tc>
                          <w:tcPr>
                            <w:tcW w:w="225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First line treatment characteristics</w:t>
                            </w:r>
                          </w:p>
                          <w:p w:rsidR="00E21E48" w:rsidRPr="00B46507" w:rsidRDefault="00E21E48" w:rsidP="00B46507">
                            <w:pPr>
                              <w:autoSpaceDE w:val="0"/>
                              <w:autoSpaceDN w:val="0"/>
                              <w:adjustRightInd w:val="0"/>
                              <w:spacing w:line="288" w:lineRule="auto"/>
                              <w:textAlignment w:val="center"/>
                              <w:rPr>
                                <w:rFonts w:ascii="Albertus" w:hAnsi="Albertus" w:cs="Albertus"/>
                                <w:b/>
                                <w:bCs/>
                                <w:color w:val="000000"/>
                                <w:kern w:val="0"/>
                                <w:sz w:val="14"/>
                                <w:szCs w:val="14"/>
                                <w:lang w:val="zh-CN" w:bidi="th-TH"/>
                              </w:rPr>
                            </w:pPr>
                          </w:p>
                        </w:tc>
                        <w:tc>
                          <w:tcPr>
                            <w:tcW w:w="121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bidi="th-TH"/>
                              </w:rPr>
                            </w:pPr>
                            <w:r w:rsidRPr="00B46507">
                              <w:rPr>
                                <w:rFonts w:ascii="Albertus" w:hAnsi="Albertus" w:cs="Albertus"/>
                                <w:b/>
                                <w:bCs/>
                                <w:color w:val="000000"/>
                                <w:kern w:val="0"/>
                                <w:sz w:val="14"/>
                                <w:szCs w:val="14"/>
                                <w:lang w:val="zh-CN" w:bidi="th-TH"/>
                              </w:rPr>
                              <w:t>Total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xml:space="preserve"> = 176)</w:t>
                            </w:r>
                            <w:r w:rsidRPr="00B46507">
                              <w:rPr>
                                <w:rFonts w:ascii="Albertus" w:hAnsi="Albertus" w:cs="Albertus"/>
                                <w:b/>
                                <w:bCs/>
                                <w:color w:val="000000"/>
                                <w:kern w:val="0"/>
                                <w:sz w:val="14"/>
                                <w:szCs w:val="14"/>
                                <w:vertAlign w:val="superscript"/>
                                <w:lang w:val="zh-CN" w:bidi="th-TH"/>
                              </w:rPr>
                              <w:t>1</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694"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Hispanic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xml:space="preserve"> = 41)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225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African American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xml:space="preserve"> = 55)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62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White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xml:space="preserve"> = 80)</w:t>
                            </w:r>
                            <w:r w:rsidRPr="00B46507">
                              <w:rPr>
                                <w:rFonts w:ascii="Albertus" w:hAnsi="Albertus" w:cs="Albertus"/>
                                <w:b/>
                                <w:bCs/>
                                <w:color w:val="000000"/>
                                <w:kern w:val="0"/>
                                <w:sz w:val="14"/>
                                <w:szCs w:val="14"/>
                                <w:vertAlign w:val="superscript"/>
                                <w:lang w:val="zh-CN" w:bidi="th-TH"/>
                              </w:rPr>
                              <w:t>1</w:t>
                            </w:r>
                            <w:r w:rsidRPr="00B46507">
                              <w:rPr>
                                <w:rFonts w:ascii="Albertus" w:hAnsi="Albertus" w:cs="Albertus"/>
                                <w:b/>
                                <w:bCs/>
                                <w:color w:val="000000"/>
                                <w:kern w:val="0"/>
                                <w:sz w:val="14"/>
                                <w:szCs w:val="14"/>
                                <w:lang w:val="zh-CN" w:bidi="th-TH"/>
                              </w:rPr>
                              <w:t xml:space="preserve"> (</w:t>
                            </w:r>
                            <w:r w:rsidRPr="00B46507">
                              <w:rPr>
                                <w:rFonts w:ascii="Albertus Italic" w:hAnsi="Albertus Italic" w:cs="Albertus Italic"/>
                                <w:b/>
                                <w:bCs/>
                                <w:i/>
                                <w:iCs/>
                                <w:color w:val="000000"/>
                                <w:kern w:val="0"/>
                                <w:sz w:val="14"/>
                                <w:szCs w:val="14"/>
                                <w:lang w:val="zh-CN" w:bidi="th-TH"/>
                              </w:rPr>
                              <w:t>n</w:t>
                            </w:r>
                            <w:r w:rsidRPr="00B46507">
                              <w:rPr>
                                <w:rFonts w:ascii="Albertus" w:hAnsi="Albertus" w:cs="Albertus"/>
                                <w:b/>
                                <w:bCs/>
                                <w:color w:val="000000"/>
                                <w:kern w:val="0"/>
                                <w:sz w:val="14"/>
                                <w:szCs w:val="14"/>
                                <w:lang w:val="zh-CN" w:bidi="th-TH"/>
                              </w:rPr>
                              <w:t>, %)</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507"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bidi="th-TH"/>
                              </w:rPr>
                            </w:pPr>
                            <w:r w:rsidRPr="00B46507">
                              <w:rPr>
                                <w:rFonts w:ascii="Albertus Italic" w:hAnsi="Albertus Italic" w:cs="Albertus Italic"/>
                                <w:b/>
                                <w:bCs/>
                                <w:i/>
                                <w:iCs/>
                                <w:color w:val="000000"/>
                                <w:kern w:val="0"/>
                                <w:sz w:val="14"/>
                                <w:szCs w:val="14"/>
                                <w:lang w:val="zh-CN" w:bidi="th-TH"/>
                              </w:rPr>
                              <w:t>P</w:t>
                            </w:r>
                            <w:r w:rsidRPr="00B46507">
                              <w:rPr>
                                <w:rFonts w:ascii="Albertus" w:hAnsi="Albertus" w:cs="Albertus"/>
                                <w:b/>
                                <w:bCs/>
                                <w:color w:val="000000"/>
                                <w:kern w:val="0"/>
                                <w:sz w:val="14"/>
                                <w:szCs w:val="14"/>
                                <w:vertAlign w:val="superscript"/>
                                <w:lang w:val="zh-CN" w:bidi="th-TH"/>
                              </w:rPr>
                              <w:t>2</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r>
                      <w:tr w:rsidR="00E21E48" w:rsidRPr="00B46507" w:rsidTr="00B46507">
                        <w:tblPrEx>
                          <w:tblCellMar>
                            <w:top w:w="0" w:type="dxa"/>
                            <w:left w:w="0" w:type="dxa"/>
                            <w:bottom w:w="0" w:type="dxa"/>
                            <w:right w:w="0" w:type="dxa"/>
                          </w:tblCellMar>
                        </w:tblPrEx>
                        <w:trPr>
                          <w:trHeight w:val="60"/>
                        </w:trPr>
                        <w:tc>
                          <w:tcPr>
                            <w:tcW w:w="2255"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Surgery</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0, 0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2, 3.6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0, 0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Borders>
                              <w:top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Liver directed</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154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38, 92.7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48, 87.2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68, 85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Chemotherapy</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1, 2.4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2, 3.6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3, 3.8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Observation</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0, 0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1, 1.8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4, 5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Lost to follow-up</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2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9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2, 4.9</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225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2, 3.6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27"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4, 5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507"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bl>
                    <w:p w:rsidR="00E21E48" w:rsidRPr="00AD525F" w:rsidRDefault="00E21E48" w:rsidP="00E21E48">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B46507">
                        <w:rPr>
                          <w:rFonts w:ascii="Book Antiqua" w:hAnsi="Book Antiqua" w:cs="Book Antiqua"/>
                          <w:color w:val="000000"/>
                          <w:kern w:val="0"/>
                          <w:sz w:val="14"/>
                          <w:szCs w:val="14"/>
                          <w:vertAlign w:val="superscript"/>
                          <w:lang w:bidi="th-TH"/>
                        </w:rPr>
                        <w:t>1</w:t>
                      </w:r>
                      <w:r w:rsidRPr="00B46507">
                        <w:rPr>
                          <w:rFonts w:ascii="Book Antiqua" w:hAnsi="Book Antiqua" w:cs="Book Antiqua"/>
                          <w:color w:val="000000"/>
                          <w:kern w:val="0"/>
                          <w:sz w:val="14"/>
                          <w:szCs w:val="14"/>
                          <w:lang w:bidi="th-TH"/>
                        </w:rPr>
                        <w:t xml:space="preserve">One patient missing information; </w:t>
                      </w:r>
                      <w:r w:rsidRPr="00B46507">
                        <w:rPr>
                          <w:rFonts w:ascii="Book Antiqua" w:hAnsi="Book Antiqua" w:cs="Book Antiqua"/>
                          <w:color w:val="000000"/>
                          <w:kern w:val="0"/>
                          <w:sz w:val="14"/>
                          <w:szCs w:val="14"/>
                          <w:vertAlign w:val="superscript"/>
                          <w:lang w:bidi="th-TH"/>
                        </w:rPr>
                        <w:t>2</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values from </w:t>
                      </w:r>
                      <w:r w:rsidRPr="00B46507">
                        <w:rPr>
                          <w:rFonts w:ascii="Symbol" w:hAnsi="Symbol" w:cs="Symbol"/>
                          <w:i/>
                          <w:iCs/>
                          <w:color w:val="000000"/>
                          <w:kern w:val="0"/>
                          <w:sz w:val="14"/>
                          <w:szCs w:val="14"/>
                          <w:lang w:bidi="th-TH"/>
                        </w:rPr>
                        <w:t></w:t>
                      </w:r>
                      <w:r w:rsidRPr="00B46507">
                        <w:rPr>
                          <w:rFonts w:ascii="Book Antiqua" w:hAnsi="Book Antiqua" w:cs="Book Antiqua"/>
                          <w:color w:val="000000"/>
                          <w:kern w:val="0"/>
                          <w:sz w:val="14"/>
                          <w:szCs w:val="14"/>
                          <w:vertAlign w:val="superscript"/>
                          <w:lang w:bidi="th-TH"/>
                        </w:rPr>
                        <w:t>2</w:t>
                      </w:r>
                      <w:r w:rsidRPr="00B46507">
                        <w:rPr>
                          <w:rFonts w:ascii="Book Antiqua" w:hAnsi="Book Antiqua" w:cs="Book Antiqua"/>
                          <w:color w:val="000000"/>
                          <w:kern w:val="0"/>
                          <w:sz w:val="14"/>
                          <w:szCs w:val="14"/>
                          <w:lang w:bidi="th-TH"/>
                        </w:rPr>
                        <w:t xml:space="preserve"> tests (two-sided) and </w:t>
                      </w:r>
                      <w:proofErr w:type="spellStart"/>
                      <w:proofErr w:type="gramStart"/>
                      <w:r w:rsidRPr="00B46507">
                        <w:rPr>
                          <w:rFonts w:ascii="Book Antiqua" w:hAnsi="Book Antiqua" w:cs="Book Antiqua"/>
                          <w:color w:val="000000"/>
                          <w:kern w:val="0"/>
                          <w:sz w:val="14"/>
                          <w:szCs w:val="14"/>
                          <w:lang w:bidi="th-TH"/>
                        </w:rPr>
                        <w:t>fischer</w:t>
                      </w:r>
                      <w:proofErr w:type="spellEnd"/>
                      <w:proofErr w:type="gramEnd"/>
                      <w:r w:rsidRPr="00B46507">
                        <w:rPr>
                          <w:rFonts w:ascii="Book Antiqua" w:hAnsi="Book Antiqua" w:cs="Book Antiqua"/>
                          <w:color w:val="000000"/>
                          <w:kern w:val="0"/>
                          <w:sz w:val="14"/>
                          <w:szCs w:val="14"/>
                          <w:lang w:bidi="th-TH"/>
                        </w:rPr>
                        <w:t xml:space="preserve"> for overall race effect followed by pairwise comparisons, for </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&lt; 0.05. A significance level of 0.05 was used for the overall race comparisons.</w:t>
                      </w:r>
                    </w:p>
                  </w:txbxContent>
                </v:textbox>
                <w10:wrap type="square"/>
              </v:shape>
            </w:pict>
          </mc:Fallback>
        </mc:AlternateContent>
      </w:r>
    </w:p>
    <w:p w:rsidR="00E21E48" w:rsidRDefault="00E21E48" w:rsidP="00E21E48">
      <w:pPr>
        <w:rPr>
          <w:rFonts w:hint="eastAsia"/>
        </w:rPr>
      </w:pPr>
    </w:p>
    <w:p w:rsidR="00E21E48" w:rsidRDefault="00E21E48" w:rsidP="00E21E48">
      <w:pPr>
        <w:rPr>
          <w:rFonts w:hint="eastAsia"/>
        </w:rPr>
      </w:pPr>
    </w:p>
    <w:p w:rsidR="00E21E48" w:rsidRDefault="00E21E48" w:rsidP="00E21E48">
      <w:pPr>
        <w:rPr>
          <w:rFonts w:hint="eastAsia"/>
        </w:rPr>
      </w:pPr>
    </w:p>
    <w:p w:rsidR="00E21E48" w:rsidRPr="00B46507" w:rsidRDefault="00E21E48" w:rsidP="00E21E48">
      <w:pPr>
        <w:rPr>
          <w:rFonts w:hint="eastAsia"/>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6063615"/>
                <wp:effectExtent l="8255" t="9525" r="10795" b="1333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063615"/>
                        </a:xfrm>
                        <a:prstGeom prst="rect">
                          <a:avLst/>
                        </a:prstGeom>
                        <a:solidFill>
                          <a:srgbClr val="FFFFFF"/>
                        </a:solidFill>
                        <a:ln w="9525">
                          <a:solidFill>
                            <a:srgbClr val="000000"/>
                          </a:solidFill>
                          <a:miter lim="800000"/>
                          <a:headEnd/>
                          <a:tailEnd/>
                        </a:ln>
                      </wps:spPr>
                      <wps:txbx>
                        <w:txbxContent>
                          <w:p w:rsidR="00E21E48" w:rsidRPr="00B46507" w:rsidRDefault="00E21E48" w:rsidP="00E21E48">
                            <w:pPr>
                              <w:rPr>
                                <w:b/>
                                <w:bCs/>
                              </w:rPr>
                            </w:pPr>
                            <w:r w:rsidRPr="00B46507">
                              <w:rPr>
                                <w:b/>
                                <w:bCs/>
                              </w:rPr>
                              <w:t xml:space="preserve">Table </w:t>
                            </w:r>
                            <w:proofErr w:type="gramStart"/>
                            <w:r w:rsidRPr="00B46507">
                              <w:rPr>
                                <w:b/>
                                <w:bCs/>
                              </w:rPr>
                              <w:t>3  Treatment</w:t>
                            </w:r>
                            <w:proofErr w:type="gramEnd"/>
                            <w:r w:rsidRPr="00B46507">
                              <w:rPr>
                                <w:b/>
                                <w:bCs/>
                              </w:rPr>
                              <w:t xml:space="preserve"> patterns for non-metastatic patients at diagnosis: Transplantation patterns by race</w:t>
                            </w:r>
                          </w:p>
                          <w:tbl>
                            <w:tblPr>
                              <w:tblW w:w="956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15"/>
                              <w:gridCol w:w="1564"/>
                              <w:gridCol w:w="1491"/>
                              <w:gridCol w:w="1631"/>
                              <w:gridCol w:w="1503"/>
                              <w:gridCol w:w="960"/>
                            </w:tblGrid>
                            <w:tr w:rsidR="00E21E48" w:rsidRPr="00B46507" w:rsidTr="00B46507">
                              <w:tblPrEx>
                                <w:tblCellMar>
                                  <w:top w:w="0" w:type="dxa"/>
                                  <w:left w:w="0" w:type="dxa"/>
                                  <w:bottom w:w="0" w:type="dxa"/>
                                  <w:right w:w="0" w:type="dxa"/>
                                </w:tblCellMar>
                              </w:tblPrEx>
                              <w:trPr>
                                <w:trHeight w:hRule="exact" w:val="660"/>
                              </w:trPr>
                              <w:tc>
                                <w:tcPr>
                                  <w:tcW w:w="241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Transplantation patterns</w:t>
                                  </w:r>
                                </w:p>
                                <w:p w:rsidR="00E21E48" w:rsidRPr="00B46507" w:rsidRDefault="00E21E48" w:rsidP="00B46507">
                                  <w:pPr>
                                    <w:autoSpaceDE w:val="0"/>
                                    <w:autoSpaceDN w:val="0"/>
                                    <w:adjustRightInd w:val="0"/>
                                    <w:spacing w:line="288" w:lineRule="auto"/>
                                    <w:textAlignment w:val="center"/>
                                    <w:rPr>
                                      <w:rFonts w:ascii="Albertus" w:hAnsi="Albertus" w:cs="Albertus"/>
                                      <w:b/>
                                      <w:bCs/>
                                      <w:color w:val="000000"/>
                                      <w:kern w:val="0"/>
                                      <w:sz w:val="14"/>
                                      <w:szCs w:val="14"/>
                                      <w:lang w:val="zh-CN" w:bidi="th-TH"/>
                                    </w:rPr>
                                  </w:pPr>
                                </w:p>
                              </w:tc>
                              <w:tc>
                                <w:tcPr>
                                  <w:tcW w:w="1564"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Total listed</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491"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Hispanic</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631"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African American</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503"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White</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960"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bidi="th-TH"/>
                                    </w:rPr>
                                  </w:pPr>
                                  <w:r w:rsidRPr="00B46507">
                                    <w:rPr>
                                      <w:rFonts w:ascii="Albertus Italic" w:hAnsi="Albertus Italic" w:cs="Albertus Italic"/>
                                      <w:b/>
                                      <w:bCs/>
                                      <w:i/>
                                      <w:iCs/>
                                      <w:color w:val="000000"/>
                                      <w:kern w:val="0"/>
                                      <w:sz w:val="14"/>
                                      <w:szCs w:val="14"/>
                                      <w:lang w:val="zh-CN" w:bidi="th-TH"/>
                                    </w:rPr>
                                    <w:t>P</w:t>
                                  </w:r>
                                  <w:r w:rsidRPr="00B46507">
                                    <w:rPr>
                                      <w:rFonts w:ascii="Albertus" w:hAnsi="Albertus" w:cs="Albertus"/>
                                      <w:b/>
                                      <w:bCs/>
                                      <w:color w:val="000000"/>
                                      <w:kern w:val="0"/>
                                      <w:sz w:val="14"/>
                                      <w:szCs w:val="14"/>
                                      <w:vertAlign w:val="superscript"/>
                                      <w:lang w:val="zh-CN" w:bidi="th-TH"/>
                                    </w:rPr>
                                    <w:t>2</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r>
                            <w:tr w:rsidR="00E21E48" w:rsidRPr="00B46507" w:rsidTr="00B46507">
                              <w:tblPrEx>
                                <w:tblCellMar>
                                  <w:top w:w="0" w:type="dxa"/>
                                  <w:left w:w="0" w:type="dxa"/>
                                  <w:bottom w:w="0" w:type="dxa"/>
                                  <w:right w:w="0" w:type="dxa"/>
                                </w:tblCellMar>
                              </w:tblPrEx>
                              <w:trPr>
                                <w:trHeight w:val="196"/>
                              </w:trPr>
                              <w:tc>
                                <w:tcPr>
                                  <w:tcW w:w="2415"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Met milan criteria</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121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36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57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Borders>
                                    <w:top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Transplanted</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34</w:t>
                                  </w:r>
                                  <w:r w:rsidRPr="00B46507">
                                    <w:rPr>
                                      <w:rFonts w:ascii="Book Antiqua" w:hAnsi="Book Antiqua" w:cs="Book Antiqua"/>
                                      <w:color w:val="000000"/>
                                      <w:kern w:val="0"/>
                                      <w:sz w:val="14"/>
                                      <w:szCs w:val="14"/>
                                      <w:vertAlign w:val="superscript"/>
                                      <w:lang w:val="zh-CN" w:bidi="th-TH"/>
                                    </w:rPr>
                                    <w:t>1</w:t>
                                  </w:r>
                                  <w:r w:rsidRPr="00B46507">
                                    <w:rPr>
                                      <w:rFonts w:ascii="Book Antiqua" w:hAnsi="Book Antiqua" w:cs="Book Antiqua"/>
                                      <w:color w:val="000000"/>
                                      <w:kern w:val="0"/>
                                      <w:sz w:val="14"/>
                                      <w:szCs w:val="14"/>
                                      <w:lang w:val="zh-CN" w:bidi="th-TH"/>
                                    </w:rPr>
                                    <w:t>, 1.4%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10, 35.7%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6, 16.7%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18</w:t>
                                  </w:r>
                                  <w:r w:rsidRPr="00B46507">
                                    <w:rPr>
                                      <w:rFonts w:ascii="Book Antiqua" w:hAnsi="Book Antiqua" w:cs="Book Antiqua"/>
                                      <w:color w:val="000000"/>
                                      <w:kern w:val="0"/>
                                      <w:sz w:val="14"/>
                                      <w:szCs w:val="14"/>
                                      <w:vertAlign w:val="superscript"/>
                                      <w:lang w:val="zh-CN" w:bidi="th-TH"/>
                                    </w:rPr>
                                    <w:t>1</w:t>
                                  </w:r>
                                  <w:r w:rsidRPr="00B46507">
                                    <w:rPr>
                                      <w:rFonts w:ascii="Book Antiqua" w:hAnsi="Book Antiqua" w:cs="Book Antiqua"/>
                                      <w:color w:val="000000"/>
                                      <w:kern w:val="0"/>
                                      <w:sz w:val="14"/>
                                      <w:szCs w:val="14"/>
                                      <w:lang w:val="zh-CN" w:bidi="th-TH"/>
                                    </w:rPr>
                                    <w:t>, 31.6%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Listed</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68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31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Tumor exception points</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33, 48.5%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10, 50%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6, 35.3%</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17, 48.4%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Transplanted</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38</w:t>
                                  </w:r>
                                  <w:r w:rsidRPr="00B46507">
                                    <w:rPr>
                                      <w:rFonts w:ascii="Book Antiqua" w:hAnsi="Book Antiqua" w:cs="Book Antiqua"/>
                                      <w:color w:val="000000"/>
                                      <w:kern w:val="0"/>
                                      <w:sz w:val="14"/>
                                      <w:szCs w:val="14"/>
                                      <w:vertAlign w:val="superscript"/>
                                      <w:lang w:val="zh-CN" w:bidi="th-TH"/>
                                    </w:rPr>
                                    <w:t>1</w:t>
                                  </w:r>
                                  <w:r w:rsidRPr="00B46507">
                                    <w:rPr>
                                      <w:rFonts w:ascii="Book Antiqua" w:hAnsi="Book Antiqua" w:cs="Book Antiqua"/>
                                      <w:color w:val="000000"/>
                                      <w:kern w:val="0"/>
                                      <w:sz w:val="14"/>
                                      <w:szCs w:val="14"/>
                                      <w:lang w:val="zh-CN" w:bidi="th-TH"/>
                                    </w:rPr>
                                    <w:t>, 55.9%</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10, 50%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6, 35.3%</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bidi="th-TH"/>
                                    </w:rPr>
                                  </w:pPr>
                                  <w:r w:rsidRPr="00B46507">
                                    <w:rPr>
                                      <w:rFonts w:ascii="Book Antiqua" w:hAnsi="Book Antiqua" w:cs="Book Antiqua"/>
                                      <w:color w:val="000000"/>
                                      <w:kern w:val="0"/>
                                      <w:sz w:val="14"/>
                                      <w:szCs w:val="14"/>
                                      <w:lang w:val="zh-CN" w:bidi="th-TH"/>
                                    </w:rPr>
                                    <w:t>22</w:t>
                                  </w:r>
                                  <w:r w:rsidRPr="00B46507">
                                    <w:rPr>
                                      <w:rFonts w:ascii="Book Antiqua" w:hAnsi="Book Antiqua" w:cs="Book Antiqua"/>
                                      <w:color w:val="000000"/>
                                      <w:kern w:val="0"/>
                                      <w:sz w:val="14"/>
                                      <w:szCs w:val="14"/>
                                      <w:vertAlign w:val="superscript"/>
                                      <w:lang w:val="zh-CN" w:bidi="th-TH"/>
                                    </w:rPr>
                                    <w:t>1</w:t>
                                  </w:r>
                                  <w:r w:rsidRPr="00B46507">
                                    <w:rPr>
                                      <w:rFonts w:ascii="Book Antiqua" w:hAnsi="Book Antiqua" w:cs="Book Antiqua"/>
                                      <w:color w:val="000000"/>
                                      <w:kern w:val="0"/>
                                      <w:sz w:val="14"/>
                                      <w:szCs w:val="14"/>
                                      <w:lang w:val="zh-CN" w:bidi="th-TH"/>
                                    </w:rPr>
                                    <w:t>, 71%</w:t>
                                  </w:r>
                                  <w:r w:rsidRPr="00B46507">
                                    <w:rPr>
                                      <w:rFonts w:ascii="Book Antiqua" w:hAnsi="Book Antiqua" w:cs="Book Antiqua"/>
                                      <w:color w:val="000000"/>
                                      <w:kern w:val="0"/>
                                      <w:sz w:val="14"/>
                                      <w:szCs w:val="14"/>
                                      <w:vertAlign w:val="superscript"/>
                                      <w:lang w:val="zh-CN" w:bidi="th-TH"/>
                                    </w:rPr>
                                    <w:t>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vertAlign w:val="superscript"/>
                                      <w:lang w:val="zh-CN" w:bidi="th-TH"/>
                                    </w:rPr>
                                    <w:t>a</w:t>
                                  </w:r>
                                  <w:r w:rsidRPr="00B46507">
                                    <w:rPr>
                                      <w:rFonts w:ascii="Book Antiqua" w:hAnsi="Book Antiqua" w:cs="Book Antiqua"/>
                                      <w:color w:val="000000"/>
                                      <w:kern w:val="0"/>
                                      <w:sz w:val="14"/>
                                      <w:szCs w:val="14"/>
                                      <w:lang w:val="zh-CN" w:bidi="th-TH"/>
                                    </w:rPr>
                                    <w:t>AW</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Removed from list</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28, 41.1%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9, 45%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11, 64.7%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8, 25.8%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vertAlign w:val="superscript"/>
                                      <w:lang w:val="zh-CN" w:bidi="th-TH"/>
                                    </w:rPr>
                                    <w:t>b</w:t>
                                  </w:r>
                                  <w:r w:rsidRPr="00B46507">
                                    <w:rPr>
                                      <w:rFonts w:ascii="Book Antiqua" w:hAnsi="Book Antiqua" w:cs="Book Antiqua"/>
                                      <w:color w:val="000000"/>
                                      <w:kern w:val="0"/>
                                      <w:sz w:val="14"/>
                                      <w:szCs w:val="14"/>
                                      <w:lang w:val="zh-CN" w:bidi="th-TH"/>
                                    </w:rPr>
                                    <w:t>AW</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Death</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Progression</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Transfer of care</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Other</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bl>
                          <w:p w:rsidR="00E21E48" w:rsidRPr="00E40504" w:rsidRDefault="00E21E48" w:rsidP="00E21E48">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B46507">
                              <w:rPr>
                                <w:rFonts w:ascii="Book Antiqua" w:hAnsi="Book Antiqua" w:cs="Book Antiqua"/>
                                <w:color w:val="000000"/>
                                <w:kern w:val="0"/>
                                <w:sz w:val="14"/>
                                <w:szCs w:val="14"/>
                                <w:vertAlign w:val="superscript"/>
                                <w:lang w:bidi="th-TH"/>
                              </w:rPr>
                              <w:t>1</w:t>
                            </w:r>
                            <w:r w:rsidRPr="00B46507">
                              <w:rPr>
                                <w:rFonts w:ascii="Book Antiqua" w:hAnsi="Book Antiqua" w:cs="Book Antiqua"/>
                                <w:color w:val="000000"/>
                                <w:kern w:val="0"/>
                                <w:sz w:val="14"/>
                                <w:szCs w:val="14"/>
                                <w:lang w:bidi="th-TH"/>
                              </w:rPr>
                              <w:t xml:space="preserve">Four patients initially outside of Milan </w:t>
                            </w:r>
                            <w:proofErr w:type="gramStart"/>
                            <w:r w:rsidRPr="00B46507">
                              <w:rPr>
                                <w:rFonts w:ascii="Book Antiqua" w:hAnsi="Book Antiqua" w:cs="Book Antiqua"/>
                                <w:color w:val="000000"/>
                                <w:kern w:val="0"/>
                                <w:sz w:val="14"/>
                                <w:szCs w:val="14"/>
                                <w:lang w:bidi="th-TH"/>
                              </w:rPr>
                              <w:t>criteria,</w:t>
                            </w:r>
                            <w:proofErr w:type="gramEnd"/>
                            <w:r w:rsidRPr="00B46507">
                              <w:rPr>
                                <w:rFonts w:ascii="Book Antiqua" w:hAnsi="Book Antiqua" w:cs="Book Antiqua"/>
                                <w:color w:val="000000"/>
                                <w:kern w:val="0"/>
                                <w:sz w:val="14"/>
                                <w:szCs w:val="14"/>
                                <w:lang w:bidi="th-TH"/>
                              </w:rPr>
                              <w:t xml:space="preserve"> subsequently listed and transplanted after reassessment and </w:t>
                            </w:r>
                            <w:proofErr w:type="spellStart"/>
                            <w:r w:rsidRPr="00B46507">
                              <w:rPr>
                                <w:rFonts w:ascii="Book Antiqua" w:hAnsi="Book Antiqua" w:cs="Book Antiqua"/>
                                <w:color w:val="000000"/>
                                <w:kern w:val="0"/>
                                <w:sz w:val="14"/>
                                <w:szCs w:val="14"/>
                                <w:lang w:bidi="th-TH"/>
                              </w:rPr>
                              <w:t>locoregional</w:t>
                            </w:r>
                            <w:proofErr w:type="spellEnd"/>
                            <w:r w:rsidRPr="00B46507">
                              <w:rPr>
                                <w:rFonts w:ascii="Book Antiqua" w:hAnsi="Book Antiqua" w:cs="Book Antiqua"/>
                                <w:color w:val="000000"/>
                                <w:kern w:val="0"/>
                                <w:sz w:val="14"/>
                                <w:szCs w:val="14"/>
                                <w:lang w:bidi="th-TH"/>
                              </w:rPr>
                              <w:t xml:space="preserve"> treatment; </w:t>
                            </w:r>
                            <w:r w:rsidRPr="00B46507">
                              <w:rPr>
                                <w:rFonts w:ascii="Book Antiqua" w:hAnsi="Book Antiqua" w:cs="Book Antiqua"/>
                                <w:color w:val="000000"/>
                                <w:kern w:val="0"/>
                                <w:sz w:val="14"/>
                                <w:szCs w:val="14"/>
                                <w:vertAlign w:val="superscript"/>
                                <w:lang w:bidi="th-TH"/>
                              </w:rPr>
                              <w:t>2</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values from </w:t>
                            </w:r>
                            <w:r w:rsidRPr="00B46507">
                              <w:rPr>
                                <w:rFonts w:ascii="Symbol" w:hAnsi="Symbol" w:cs="Symbol"/>
                                <w:i/>
                                <w:iCs/>
                                <w:color w:val="000000"/>
                                <w:kern w:val="0"/>
                                <w:sz w:val="14"/>
                                <w:szCs w:val="14"/>
                                <w:lang w:bidi="th-TH"/>
                              </w:rPr>
                              <w:t></w:t>
                            </w:r>
                            <w:r w:rsidRPr="00B46507">
                              <w:rPr>
                                <w:rFonts w:ascii="Book Antiqua" w:hAnsi="Book Antiqua" w:cs="Book Antiqua"/>
                                <w:color w:val="000000"/>
                                <w:kern w:val="0"/>
                                <w:sz w:val="14"/>
                                <w:szCs w:val="14"/>
                                <w:vertAlign w:val="superscript"/>
                                <w:lang w:bidi="th-TH"/>
                              </w:rPr>
                              <w:t>2</w:t>
                            </w:r>
                            <w:r w:rsidRPr="00B46507">
                              <w:rPr>
                                <w:rFonts w:ascii="Book Antiqua" w:hAnsi="Book Antiqua" w:cs="Book Antiqua"/>
                                <w:color w:val="000000"/>
                                <w:kern w:val="0"/>
                                <w:sz w:val="14"/>
                                <w:szCs w:val="14"/>
                                <w:lang w:bidi="th-TH"/>
                              </w:rPr>
                              <w:t xml:space="preserve"> tests (two-sided) and </w:t>
                            </w:r>
                            <w:proofErr w:type="spellStart"/>
                            <w:r w:rsidRPr="00B46507">
                              <w:rPr>
                                <w:rFonts w:ascii="Book Antiqua" w:hAnsi="Book Antiqua" w:cs="Book Antiqua"/>
                                <w:color w:val="000000"/>
                                <w:kern w:val="0"/>
                                <w:sz w:val="14"/>
                                <w:szCs w:val="14"/>
                                <w:lang w:bidi="th-TH"/>
                              </w:rPr>
                              <w:t>fischer</w:t>
                            </w:r>
                            <w:proofErr w:type="spellEnd"/>
                            <w:r w:rsidRPr="00B46507">
                              <w:rPr>
                                <w:rFonts w:ascii="Book Antiqua" w:hAnsi="Book Antiqua" w:cs="Book Antiqua"/>
                                <w:color w:val="000000"/>
                                <w:kern w:val="0"/>
                                <w:sz w:val="14"/>
                                <w:szCs w:val="14"/>
                                <w:lang w:bidi="th-TH"/>
                              </w:rPr>
                              <w:t xml:space="preserve"> for overall race effect followed by pairwise comparisons, for </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&lt; 0.05. A significance level of 0.05 was used for the overall race comparisons. </w:t>
                            </w:r>
                            <w:proofErr w:type="spellStart"/>
                            <w:proofErr w:type="gramStart"/>
                            <w:r w:rsidRPr="00B46507">
                              <w:rPr>
                                <w:rFonts w:ascii="Book Antiqua" w:hAnsi="Book Antiqua" w:cs="Book Antiqua"/>
                                <w:color w:val="000000"/>
                                <w:kern w:val="0"/>
                                <w:sz w:val="14"/>
                                <w:szCs w:val="14"/>
                                <w:vertAlign w:val="superscript"/>
                                <w:lang w:bidi="th-TH"/>
                              </w:rPr>
                              <w:t>a</w:t>
                            </w:r>
                            <w:r w:rsidRPr="00B46507">
                              <w:rPr>
                                <w:rFonts w:ascii="Book Antiqua" w:hAnsi="Book Antiqua" w:cs="Book Antiqua"/>
                                <w:i/>
                                <w:iCs/>
                                <w:color w:val="000000"/>
                                <w:kern w:val="0"/>
                                <w:sz w:val="14"/>
                                <w:szCs w:val="14"/>
                                <w:lang w:bidi="th-TH"/>
                              </w:rPr>
                              <w:t>P</w:t>
                            </w:r>
                            <w:proofErr w:type="spellEnd"/>
                            <w:proofErr w:type="gramEnd"/>
                            <w:r w:rsidRPr="00B46507">
                              <w:rPr>
                                <w:rFonts w:ascii="Book Antiqua" w:hAnsi="Book Antiqua" w:cs="Book Antiqua"/>
                                <w:color w:val="000000"/>
                                <w:kern w:val="0"/>
                                <w:sz w:val="14"/>
                                <w:szCs w:val="14"/>
                                <w:lang w:bidi="th-TH"/>
                              </w:rPr>
                              <w:t xml:space="preserve"> &lt; 0.05; </w:t>
                            </w:r>
                            <w:proofErr w:type="spellStart"/>
                            <w:r w:rsidRPr="00B46507">
                              <w:rPr>
                                <w:rFonts w:ascii="Book Antiqua" w:hAnsi="Book Antiqua" w:cs="Book Antiqua"/>
                                <w:color w:val="000000"/>
                                <w:kern w:val="0"/>
                                <w:sz w:val="14"/>
                                <w:szCs w:val="14"/>
                                <w:vertAlign w:val="superscript"/>
                                <w:lang w:bidi="th-TH"/>
                              </w:rPr>
                              <w:t>b</w:t>
                            </w:r>
                            <w:r w:rsidRPr="00B46507">
                              <w:rPr>
                                <w:rFonts w:ascii="Book Antiqua" w:hAnsi="Book Antiqua" w:cs="Book Antiqua"/>
                                <w:i/>
                                <w:iCs/>
                                <w:color w:val="000000"/>
                                <w:kern w:val="0"/>
                                <w:sz w:val="14"/>
                                <w:szCs w:val="14"/>
                                <w:lang w:bidi="th-TH"/>
                              </w:rPr>
                              <w:t>P</w:t>
                            </w:r>
                            <w:proofErr w:type="spellEnd"/>
                            <w:r w:rsidRPr="00B46507">
                              <w:rPr>
                                <w:rFonts w:ascii="Book Antiqua" w:hAnsi="Book Antiqua" w:cs="Book Antiqua"/>
                                <w:color w:val="000000"/>
                                <w:kern w:val="0"/>
                                <w:sz w:val="14"/>
                                <w:szCs w:val="14"/>
                                <w:lang w:bidi="th-TH"/>
                              </w:rPr>
                              <w:t xml:space="preserve"> &lt; 0.001. </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values were not calculated for </w:t>
                            </w:r>
                            <w:r w:rsidRPr="00B46507">
                              <w:rPr>
                                <w:rFonts w:ascii="Book Antiqua" w:hAnsi="Book Antiqua" w:cs="Book Antiqua"/>
                                <w:i/>
                                <w:iCs/>
                                <w:color w:val="000000"/>
                                <w:kern w:val="0"/>
                                <w:sz w:val="14"/>
                                <w:szCs w:val="14"/>
                                <w:lang w:bidi="th-TH"/>
                              </w:rPr>
                              <w:t>n</w:t>
                            </w:r>
                            <w:r w:rsidRPr="00B46507">
                              <w:rPr>
                                <w:rFonts w:ascii="Book Antiqua" w:hAnsi="Book Antiqua" w:cs="Book Antiqua"/>
                                <w:color w:val="000000"/>
                                <w:kern w:val="0"/>
                                <w:sz w:val="14"/>
                                <w:szCs w:val="14"/>
                                <w:lang w:bidi="th-TH"/>
                              </w:rPr>
                              <w:t xml:space="preserve"> &lt; 5. AW: African American compared to Whites.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0;margin-top:0;width:420.75pt;height:477.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">
                <v:textbox style="mso-fit-shape-to-text:t">
                  <w:txbxContent>
                    <w:p w:rsidR="00E21E48" w:rsidRPr="00B46507" w:rsidRDefault="00E21E48" w:rsidP="00E21E48">
                      <w:pPr>
                        <w:rPr>
                          <w:b/>
                          <w:bCs/>
                        </w:rPr>
                      </w:pPr>
                      <w:r w:rsidRPr="00B46507">
                        <w:rPr>
                          <w:b/>
                          <w:bCs/>
                        </w:rPr>
                        <w:t xml:space="preserve">Table </w:t>
                      </w:r>
                      <w:proofErr w:type="gramStart"/>
                      <w:r w:rsidRPr="00B46507">
                        <w:rPr>
                          <w:b/>
                          <w:bCs/>
                        </w:rPr>
                        <w:t>3  Treatment</w:t>
                      </w:r>
                      <w:proofErr w:type="gramEnd"/>
                      <w:r w:rsidRPr="00B46507">
                        <w:rPr>
                          <w:b/>
                          <w:bCs/>
                        </w:rPr>
                        <w:t xml:space="preserve"> patterns for non-metastatic patients at diagnosis: Transplantation patterns by race</w:t>
                      </w:r>
                    </w:p>
                    <w:tbl>
                      <w:tblPr>
                        <w:tblW w:w="956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15"/>
                        <w:gridCol w:w="1564"/>
                        <w:gridCol w:w="1491"/>
                        <w:gridCol w:w="1631"/>
                        <w:gridCol w:w="1503"/>
                        <w:gridCol w:w="960"/>
                      </w:tblGrid>
                      <w:tr w:rsidR="00E21E48" w:rsidRPr="00B46507" w:rsidTr="00B46507">
                        <w:tblPrEx>
                          <w:tblCellMar>
                            <w:top w:w="0" w:type="dxa"/>
                            <w:left w:w="0" w:type="dxa"/>
                            <w:bottom w:w="0" w:type="dxa"/>
                            <w:right w:w="0" w:type="dxa"/>
                          </w:tblCellMar>
                        </w:tblPrEx>
                        <w:trPr>
                          <w:trHeight w:hRule="exact" w:val="660"/>
                        </w:trPr>
                        <w:tc>
                          <w:tcPr>
                            <w:tcW w:w="2415"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Transplantation patterns</w:t>
                            </w:r>
                          </w:p>
                          <w:p w:rsidR="00E21E48" w:rsidRPr="00B46507" w:rsidRDefault="00E21E48" w:rsidP="00B46507">
                            <w:pPr>
                              <w:autoSpaceDE w:val="0"/>
                              <w:autoSpaceDN w:val="0"/>
                              <w:adjustRightInd w:val="0"/>
                              <w:spacing w:line="288" w:lineRule="auto"/>
                              <w:textAlignment w:val="center"/>
                              <w:rPr>
                                <w:rFonts w:ascii="Albertus" w:hAnsi="Albertus" w:cs="Albertus"/>
                                <w:b/>
                                <w:bCs/>
                                <w:color w:val="000000"/>
                                <w:kern w:val="0"/>
                                <w:sz w:val="14"/>
                                <w:szCs w:val="14"/>
                                <w:lang w:val="zh-CN" w:bidi="th-TH"/>
                              </w:rPr>
                            </w:pPr>
                          </w:p>
                        </w:tc>
                        <w:tc>
                          <w:tcPr>
                            <w:tcW w:w="1564"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Total listed</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491"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Hispanic</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631"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African American</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1503"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r w:rsidRPr="00B46507">
                              <w:rPr>
                                <w:rFonts w:ascii="Albertus" w:hAnsi="Albertus" w:cs="Albertus"/>
                                <w:b/>
                                <w:bCs/>
                                <w:color w:val="000000"/>
                                <w:kern w:val="0"/>
                                <w:sz w:val="14"/>
                                <w:szCs w:val="14"/>
                                <w:lang w:val="zh-CN" w:bidi="th-TH"/>
                              </w:rPr>
                              <w:t>White</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c>
                          <w:tcPr>
                            <w:tcW w:w="960" w:type="dxa"/>
                            <w:tcBorders>
                              <w:top w:val="single" w:sz="6" w:space="0" w:color="000000"/>
                              <w:bottom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bidi="th-TH"/>
                              </w:rPr>
                            </w:pPr>
                            <w:r w:rsidRPr="00B46507">
                              <w:rPr>
                                <w:rFonts w:ascii="Albertus Italic" w:hAnsi="Albertus Italic" w:cs="Albertus Italic"/>
                                <w:b/>
                                <w:bCs/>
                                <w:i/>
                                <w:iCs/>
                                <w:color w:val="000000"/>
                                <w:kern w:val="0"/>
                                <w:sz w:val="14"/>
                                <w:szCs w:val="14"/>
                                <w:lang w:val="zh-CN" w:bidi="th-TH"/>
                              </w:rPr>
                              <w:t>P</w:t>
                            </w:r>
                            <w:r w:rsidRPr="00B46507">
                              <w:rPr>
                                <w:rFonts w:ascii="Albertus" w:hAnsi="Albertus" w:cs="Albertus"/>
                                <w:b/>
                                <w:bCs/>
                                <w:color w:val="000000"/>
                                <w:kern w:val="0"/>
                                <w:sz w:val="14"/>
                                <w:szCs w:val="14"/>
                                <w:vertAlign w:val="superscript"/>
                                <w:lang w:val="zh-CN" w:bidi="th-TH"/>
                              </w:rPr>
                              <w:t>2</w:t>
                            </w:r>
                          </w:p>
                          <w:p w:rsidR="00E21E48" w:rsidRPr="00B46507" w:rsidRDefault="00E21E48" w:rsidP="00B46507">
                            <w:pPr>
                              <w:autoSpaceDE w:val="0"/>
                              <w:autoSpaceDN w:val="0"/>
                              <w:adjustRightInd w:val="0"/>
                              <w:spacing w:line="288" w:lineRule="auto"/>
                              <w:jc w:val="center"/>
                              <w:textAlignment w:val="center"/>
                              <w:rPr>
                                <w:rFonts w:ascii="Albertus" w:hAnsi="Albertus" w:cs="Albertus"/>
                                <w:b/>
                                <w:bCs/>
                                <w:color w:val="000000"/>
                                <w:kern w:val="0"/>
                                <w:sz w:val="14"/>
                                <w:szCs w:val="14"/>
                                <w:lang w:val="zh-CN" w:bidi="th-TH"/>
                              </w:rPr>
                            </w:pPr>
                          </w:p>
                        </w:tc>
                      </w:tr>
                      <w:tr w:rsidR="00E21E48" w:rsidRPr="00B46507" w:rsidTr="00B46507">
                        <w:tblPrEx>
                          <w:tblCellMar>
                            <w:top w:w="0" w:type="dxa"/>
                            <w:left w:w="0" w:type="dxa"/>
                            <w:bottom w:w="0" w:type="dxa"/>
                            <w:right w:w="0" w:type="dxa"/>
                          </w:tblCellMar>
                        </w:tblPrEx>
                        <w:trPr>
                          <w:trHeight w:val="196"/>
                        </w:trPr>
                        <w:tc>
                          <w:tcPr>
                            <w:tcW w:w="2415"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Met milan criteria</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121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36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Borders>
                              <w:top w:val="single" w:sz="6" w:space="0" w:color="000000"/>
                            </w:tcBorders>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57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Borders>
                              <w:top w:val="single" w:sz="6" w:space="0" w:color="000000"/>
                            </w:tcBorders>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Transplanted</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34</w:t>
                            </w:r>
                            <w:r w:rsidRPr="00B46507">
                              <w:rPr>
                                <w:rFonts w:ascii="Book Antiqua" w:hAnsi="Book Antiqua" w:cs="Book Antiqua"/>
                                <w:color w:val="000000"/>
                                <w:kern w:val="0"/>
                                <w:sz w:val="14"/>
                                <w:szCs w:val="14"/>
                                <w:vertAlign w:val="superscript"/>
                                <w:lang w:val="zh-CN" w:bidi="th-TH"/>
                              </w:rPr>
                              <w:t>1</w:t>
                            </w:r>
                            <w:r w:rsidRPr="00B46507">
                              <w:rPr>
                                <w:rFonts w:ascii="Book Antiqua" w:hAnsi="Book Antiqua" w:cs="Book Antiqua"/>
                                <w:color w:val="000000"/>
                                <w:kern w:val="0"/>
                                <w:sz w:val="14"/>
                                <w:szCs w:val="14"/>
                                <w:lang w:val="zh-CN" w:bidi="th-TH"/>
                              </w:rPr>
                              <w:t>, 1.4%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10, 35.7%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6, 16.7%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18</w:t>
                            </w:r>
                            <w:r w:rsidRPr="00B46507">
                              <w:rPr>
                                <w:rFonts w:ascii="Book Antiqua" w:hAnsi="Book Antiqua" w:cs="Book Antiqua"/>
                                <w:color w:val="000000"/>
                                <w:kern w:val="0"/>
                                <w:sz w:val="14"/>
                                <w:szCs w:val="14"/>
                                <w:vertAlign w:val="superscript"/>
                                <w:lang w:val="zh-CN" w:bidi="th-TH"/>
                              </w:rPr>
                              <w:t>1</w:t>
                            </w:r>
                            <w:r w:rsidRPr="00B46507">
                              <w:rPr>
                                <w:rFonts w:ascii="Book Antiqua" w:hAnsi="Book Antiqua" w:cs="Book Antiqua"/>
                                <w:color w:val="000000"/>
                                <w:kern w:val="0"/>
                                <w:sz w:val="14"/>
                                <w:szCs w:val="14"/>
                                <w:lang w:val="zh-CN" w:bidi="th-TH"/>
                              </w:rPr>
                              <w:t>, 31.6%</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Listed</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68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20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31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Tumor exception points</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33, 48.5%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10, 50%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6, 35.3%</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17, 48.4%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Transplanted</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38</w:t>
                            </w:r>
                            <w:r w:rsidRPr="00B46507">
                              <w:rPr>
                                <w:rFonts w:ascii="Book Antiqua" w:hAnsi="Book Antiqua" w:cs="Book Antiqua"/>
                                <w:color w:val="000000"/>
                                <w:kern w:val="0"/>
                                <w:sz w:val="14"/>
                                <w:szCs w:val="14"/>
                                <w:vertAlign w:val="superscript"/>
                                <w:lang w:val="zh-CN" w:bidi="th-TH"/>
                              </w:rPr>
                              <w:t>1</w:t>
                            </w:r>
                            <w:r w:rsidRPr="00B46507">
                              <w:rPr>
                                <w:rFonts w:ascii="Book Antiqua" w:hAnsi="Book Antiqua" w:cs="Book Antiqua"/>
                                <w:color w:val="000000"/>
                                <w:kern w:val="0"/>
                                <w:sz w:val="14"/>
                                <w:szCs w:val="14"/>
                                <w:lang w:val="zh-CN" w:bidi="th-TH"/>
                              </w:rPr>
                              <w:t>, 55.9%</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10, 50%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6, 35.3%</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bidi="th-TH"/>
                              </w:rPr>
                            </w:pPr>
                            <w:r w:rsidRPr="00B46507">
                              <w:rPr>
                                <w:rFonts w:ascii="Book Antiqua" w:hAnsi="Book Antiqua" w:cs="Book Antiqua"/>
                                <w:color w:val="000000"/>
                                <w:kern w:val="0"/>
                                <w:sz w:val="14"/>
                                <w:szCs w:val="14"/>
                                <w:lang w:val="zh-CN" w:bidi="th-TH"/>
                              </w:rPr>
                              <w:t>22</w:t>
                            </w:r>
                            <w:r w:rsidRPr="00B46507">
                              <w:rPr>
                                <w:rFonts w:ascii="Book Antiqua" w:hAnsi="Book Antiqua" w:cs="Book Antiqua"/>
                                <w:color w:val="000000"/>
                                <w:kern w:val="0"/>
                                <w:sz w:val="14"/>
                                <w:szCs w:val="14"/>
                                <w:vertAlign w:val="superscript"/>
                                <w:lang w:val="zh-CN" w:bidi="th-TH"/>
                              </w:rPr>
                              <w:t>1</w:t>
                            </w:r>
                            <w:r w:rsidRPr="00B46507">
                              <w:rPr>
                                <w:rFonts w:ascii="Book Antiqua" w:hAnsi="Book Antiqua" w:cs="Book Antiqua"/>
                                <w:color w:val="000000"/>
                                <w:kern w:val="0"/>
                                <w:sz w:val="14"/>
                                <w:szCs w:val="14"/>
                                <w:lang w:val="zh-CN" w:bidi="th-TH"/>
                              </w:rPr>
                              <w:t>, 71%</w:t>
                            </w:r>
                            <w:r w:rsidRPr="00B46507">
                              <w:rPr>
                                <w:rFonts w:ascii="Book Antiqua" w:hAnsi="Book Antiqua" w:cs="Book Antiqua"/>
                                <w:color w:val="000000"/>
                                <w:kern w:val="0"/>
                                <w:sz w:val="14"/>
                                <w:szCs w:val="14"/>
                                <w:vertAlign w:val="superscript"/>
                                <w:lang w:val="zh-CN" w:bidi="th-TH"/>
                              </w:rPr>
                              <w:t>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vertAlign w:val="superscript"/>
                                <w:lang w:val="zh-CN" w:bidi="th-TH"/>
                              </w:rPr>
                              <w:t>a</w:t>
                            </w:r>
                            <w:r w:rsidRPr="00B46507">
                              <w:rPr>
                                <w:rFonts w:ascii="Book Antiqua" w:hAnsi="Book Antiqua" w:cs="Book Antiqua"/>
                                <w:color w:val="000000"/>
                                <w:kern w:val="0"/>
                                <w:sz w:val="14"/>
                                <w:szCs w:val="14"/>
                                <w:lang w:val="zh-CN" w:bidi="th-TH"/>
                              </w:rPr>
                              <w:t>AW</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Removed from list</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28, 41.1%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9, 45%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11, 64.7%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8, 25.8%</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vertAlign w:val="superscript"/>
                                <w:lang w:val="zh-CN" w:bidi="th-TH"/>
                              </w:rPr>
                              <w:t>b</w:t>
                            </w:r>
                            <w:r w:rsidRPr="00B46507">
                              <w:rPr>
                                <w:rFonts w:ascii="Book Antiqua" w:hAnsi="Book Antiqua" w:cs="Book Antiqua"/>
                                <w:color w:val="000000"/>
                                <w:kern w:val="0"/>
                                <w:sz w:val="14"/>
                                <w:szCs w:val="14"/>
                                <w:lang w:val="zh-CN" w:bidi="th-TH"/>
                              </w:rPr>
                              <w:t>AW</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Death</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7</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Progression</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3</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Transfer of care</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2</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r w:rsidR="00E21E48" w:rsidRPr="00B46507" w:rsidTr="00B46507">
                        <w:tblPrEx>
                          <w:tblCellMar>
                            <w:top w:w="0" w:type="dxa"/>
                            <w:left w:w="0" w:type="dxa"/>
                            <w:bottom w:w="0" w:type="dxa"/>
                            <w:right w:w="0" w:type="dxa"/>
                          </w:tblCellMar>
                        </w:tblPrEx>
                        <w:trPr>
                          <w:trHeight w:val="60"/>
                        </w:trPr>
                        <w:tc>
                          <w:tcPr>
                            <w:tcW w:w="2415"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Other</w:t>
                            </w:r>
                          </w:p>
                          <w:p w:rsidR="00E21E48" w:rsidRPr="00B46507" w:rsidRDefault="00E21E48" w:rsidP="00B46507">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bidi="th-TH"/>
                              </w:rPr>
                            </w:pPr>
                          </w:p>
                        </w:tc>
                        <w:tc>
                          <w:tcPr>
                            <w:tcW w:w="1564"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5</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49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1</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631"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4</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1503" w:type="dxa"/>
                            <w:tcMar>
                              <w:top w:w="28" w:type="dxa"/>
                              <w:left w:w="28" w:type="dxa"/>
                              <w:bottom w:w="28" w:type="dxa"/>
                              <w:right w:w="28" w:type="dxa"/>
                            </w:tcMar>
                          </w:tcPr>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r w:rsidRPr="00B46507">
                              <w:rPr>
                                <w:rFonts w:ascii="Book Antiqua" w:hAnsi="Book Antiqua" w:cs="Book Antiqua"/>
                                <w:color w:val="000000"/>
                                <w:kern w:val="0"/>
                                <w:sz w:val="14"/>
                                <w:szCs w:val="14"/>
                                <w:lang w:val="zh-CN" w:bidi="th-TH"/>
                              </w:rPr>
                              <w:t xml:space="preserve">  0</w:t>
                            </w:r>
                          </w:p>
                          <w:p w:rsidR="00E21E48" w:rsidRPr="00B46507" w:rsidRDefault="00E21E48" w:rsidP="00B46507">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bidi="th-TH"/>
                              </w:rPr>
                            </w:pPr>
                          </w:p>
                        </w:tc>
                        <w:tc>
                          <w:tcPr>
                            <w:tcW w:w="960" w:type="dxa"/>
                            <w:tcMar>
                              <w:top w:w="28" w:type="dxa"/>
                              <w:left w:w="28" w:type="dxa"/>
                              <w:bottom w:w="28" w:type="dxa"/>
                              <w:right w:w="28" w:type="dxa"/>
                            </w:tcMar>
                          </w:tcPr>
                          <w:p w:rsidR="00E21E48" w:rsidRPr="00B46507" w:rsidRDefault="00E21E48" w:rsidP="00B46507">
                            <w:pPr>
                              <w:autoSpaceDE w:val="0"/>
                              <w:autoSpaceDN w:val="0"/>
                              <w:adjustRightInd w:val="0"/>
                              <w:jc w:val="left"/>
                              <w:rPr>
                                <w:rFonts w:ascii="Albertus Italic" w:hAnsi="Albertus Italic" w:cs="Angsana New"/>
                                <w:kern w:val="0"/>
                                <w:sz w:val="24"/>
                                <w:lang w:bidi="th-TH"/>
                              </w:rPr>
                            </w:pPr>
                          </w:p>
                        </w:tc>
                      </w:tr>
                    </w:tbl>
                    <w:p w:rsidR="00E21E48" w:rsidRPr="00E40504" w:rsidRDefault="00E21E48" w:rsidP="00E21E48">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B46507">
                        <w:rPr>
                          <w:rFonts w:ascii="Book Antiqua" w:hAnsi="Book Antiqua" w:cs="Book Antiqua"/>
                          <w:color w:val="000000"/>
                          <w:kern w:val="0"/>
                          <w:sz w:val="14"/>
                          <w:szCs w:val="14"/>
                          <w:vertAlign w:val="superscript"/>
                          <w:lang w:bidi="th-TH"/>
                        </w:rPr>
                        <w:t>1</w:t>
                      </w:r>
                      <w:r w:rsidRPr="00B46507">
                        <w:rPr>
                          <w:rFonts w:ascii="Book Antiqua" w:hAnsi="Book Antiqua" w:cs="Book Antiqua"/>
                          <w:color w:val="000000"/>
                          <w:kern w:val="0"/>
                          <w:sz w:val="14"/>
                          <w:szCs w:val="14"/>
                          <w:lang w:bidi="th-TH"/>
                        </w:rPr>
                        <w:t xml:space="preserve">Four patients initially outside of Milan </w:t>
                      </w:r>
                      <w:proofErr w:type="gramStart"/>
                      <w:r w:rsidRPr="00B46507">
                        <w:rPr>
                          <w:rFonts w:ascii="Book Antiqua" w:hAnsi="Book Antiqua" w:cs="Book Antiqua"/>
                          <w:color w:val="000000"/>
                          <w:kern w:val="0"/>
                          <w:sz w:val="14"/>
                          <w:szCs w:val="14"/>
                          <w:lang w:bidi="th-TH"/>
                        </w:rPr>
                        <w:t>criteria,</w:t>
                      </w:r>
                      <w:proofErr w:type="gramEnd"/>
                      <w:r w:rsidRPr="00B46507">
                        <w:rPr>
                          <w:rFonts w:ascii="Book Antiqua" w:hAnsi="Book Antiqua" w:cs="Book Antiqua"/>
                          <w:color w:val="000000"/>
                          <w:kern w:val="0"/>
                          <w:sz w:val="14"/>
                          <w:szCs w:val="14"/>
                          <w:lang w:bidi="th-TH"/>
                        </w:rPr>
                        <w:t xml:space="preserve"> subsequently listed and transplanted after reassessment and </w:t>
                      </w:r>
                      <w:proofErr w:type="spellStart"/>
                      <w:r w:rsidRPr="00B46507">
                        <w:rPr>
                          <w:rFonts w:ascii="Book Antiqua" w:hAnsi="Book Antiqua" w:cs="Book Antiqua"/>
                          <w:color w:val="000000"/>
                          <w:kern w:val="0"/>
                          <w:sz w:val="14"/>
                          <w:szCs w:val="14"/>
                          <w:lang w:bidi="th-TH"/>
                        </w:rPr>
                        <w:t>locoregional</w:t>
                      </w:r>
                      <w:proofErr w:type="spellEnd"/>
                      <w:r w:rsidRPr="00B46507">
                        <w:rPr>
                          <w:rFonts w:ascii="Book Antiqua" w:hAnsi="Book Antiqua" w:cs="Book Antiqua"/>
                          <w:color w:val="000000"/>
                          <w:kern w:val="0"/>
                          <w:sz w:val="14"/>
                          <w:szCs w:val="14"/>
                          <w:lang w:bidi="th-TH"/>
                        </w:rPr>
                        <w:t xml:space="preserve"> treatment; </w:t>
                      </w:r>
                      <w:r w:rsidRPr="00B46507">
                        <w:rPr>
                          <w:rFonts w:ascii="Book Antiqua" w:hAnsi="Book Antiqua" w:cs="Book Antiqua"/>
                          <w:color w:val="000000"/>
                          <w:kern w:val="0"/>
                          <w:sz w:val="14"/>
                          <w:szCs w:val="14"/>
                          <w:vertAlign w:val="superscript"/>
                          <w:lang w:bidi="th-TH"/>
                        </w:rPr>
                        <w:t>2</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values from </w:t>
                      </w:r>
                      <w:r w:rsidRPr="00B46507">
                        <w:rPr>
                          <w:rFonts w:ascii="Symbol" w:hAnsi="Symbol" w:cs="Symbol"/>
                          <w:i/>
                          <w:iCs/>
                          <w:color w:val="000000"/>
                          <w:kern w:val="0"/>
                          <w:sz w:val="14"/>
                          <w:szCs w:val="14"/>
                          <w:lang w:bidi="th-TH"/>
                        </w:rPr>
                        <w:t></w:t>
                      </w:r>
                      <w:r w:rsidRPr="00B46507">
                        <w:rPr>
                          <w:rFonts w:ascii="Book Antiqua" w:hAnsi="Book Antiqua" w:cs="Book Antiqua"/>
                          <w:color w:val="000000"/>
                          <w:kern w:val="0"/>
                          <w:sz w:val="14"/>
                          <w:szCs w:val="14"/>
                          <w:vertAlign w:val="superscript"/>
                          <w:lang w:bidi="th-TH"/>
                        </w:rPr>
                        <w:t>2</w:t>
                      </w:r>
                      <w:r w:rsidRPr="00B46507">
                        <w:rPr>
                          <w:rFonts w:ascii="Book Antiqua" w:hAnsi="Book Antiqua" w:cs="Book Antiqua"/>
                          <w:color w:val="000000"/>
                          <w:kern w:val="0"/>
                          <w:sz w:val="14"/>
                          <w:szCs w:val="14"/>
                          <w:lang w:bidi="th-TH"/>
                        </w:rPr>
                        <w:t xml:space="preserve"> tests (two-sided) and </w:t>
                      </w:r>
                      <w:proofErr w:type="spellStart"/>
                      <w:r w:rsidRPr="00B46507">
                        <w:rPr>
                          <w:rFonts w:ascii="Book Antiqua" w:hAnsi="Book Antiqua" w:cs="Book Antiqua"/>
                          <w:color w:val="000000"/>
                          <w:kern w:val="0"/>
                          <w:sz w:val="14"/>
                          <w:szCs w:val="14"/>
                          <w:lang w:bidi="th-TH"/>
                        </w:rPr>
                        <w:t>fischer</w:t>
                      </w:r>
                      <w:proofErr w:type="spellEnd"/>
                      <w:r w:rsidRPr="00B46507">
                        <w:rPr>
                          <w:rFonts w:ascii="Book Antiqua" w:hAnsi="Book Antiqua" w:cs="Book Antiqua"/>
                          <w:color w:val="000000"/>
                          <w:kern w:val="0"/>
                          <w:sz w:val="14"/>
                          <w:szCs w:val="14"/>
                          <w:lang w:bidi="th-TH"/>
                        </w:rPr>
                        <w:t xml:space="preserve"> for overall race effect followed by pairwise comparisons, for </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&lt; 0.05. A significance level of 0.05 was used for the overall race comparisons. </w:t>
                      </w:r>
                      <w:proofErr w:type="spellStart"/>
                      <w:proofErr w:type="gramStart"/>
                      <w:r w:rsidRPr="00B46507">
                        <w:rPr>
                          <w:rFonts w:ascii="Book Antiqua" w:hAnsi="Book Antiqua" w:cs="Book Antiqua"/>
                          <w:color w:val="000000"/>
                          <w:kern w:val="0"/>
                          <w:sz w:val="14"/>
                          <w:szCs w:val="14"/>
                          <w:vertAlign w:val="superscript"/>
                          <w:lang w:bidi="th-TH"/>
                        </w:rPr>
                        <w:t>a</w:t>
                      </w:r>
                      <w:r w:rsidRPr="00B46507">
                        <w:rPr>
                          <w:rFonts w:ascii="Book Antiqua" w:hAnsi="Book Antiqua" w:cs="Book Antiqua"/>
                          <w:i/>
                          <w:iCs/>
                          <w:color w:val="000000"/>
                          <w:kern w:val="0"/>
                          <w:sz w:val="14"/>
                          <w:szCs w:val="14"/>
                          <w:lang w:bidi="th-TH"/>
                        </w:rPr>
                        <w:t>P</w:t>
                      </w:r>
                      <w:proofErr w:type="spellEnd"/>
                      <w:proofErr w:type="gramEnd"/>
                      <w:r w:rsidRPr="00B46507">
                        <w:rPr>
                          <w:rFonts w:ascii="Book Antiqua" w:hAnsi="Book Antiqua" w:cs="Book Antiqua"/>
                          <w:color w:val="000000"/>
                          <w:kern w:val="0"/>
                          <w:sz w:val="14"/>
                          <w:szCs w:val="14"/>
                          <w:lang w:bidi="th-TH"/>
                        </w:rPr>
                        <w:t xml:space="preserve"> &lt; 0.05; </w:t>
                      </w:r>
                      <w:proofErr w:type="spellStart"/>
                      <w:r w:rsidRPr="00B46507">
                        <w:rPr>
                          <w:rFonts w:ascii="Book Antiqua" w:hAnsi="Book Antiqua" w:cs="Book Antiqua"/>
                          <w:color w:val="000000"/>
                          <w:kern w:val="0"/>
                          <w:sz w:val="14"/>
                          <w:szCs w:val="14"/>
                          <w:vertAlign w:val="superscript"/>
                          <w:lang w:bidi="th-TH"/>
                        </w:rPr>
                        <w:t>b</w:t>
                      </w:r>
                      <w:r w:rsidRPr="00B46507">
                        <w:rPr>
                          <w:rFonts w:ascii="Book Antiqua" w:hAnsi="Book Antiqua" w:cs="Book Antiqua"/>
                          <w:i/>
                          <w:iCs/>
                          <w:color w:val="000000"/>
                          <w:kern w:val="0"/>
                          <w:sz w:val="14"/>
                          <w:szCs w:val="14"/>
                          <w:lang w:bidi="th-TH"/>
                        </w:rPr>
                        <w:t>P</w:t>
                      </w:r>
                      <w:proofErr w:type="spellEnd"/>
                      <w:r w:rsidRPr="00B46507">
                        <w:rPr>
                          <w:rFonts w:ascii="Book Antiqua" w:hAnsi="Book Antiqua" w:cs="Book Antiqua"/>
                          <w:color w:val="000000"/>
                          <w:kern w:val="0"/>
                          <w:sz w:val="14"/>
                          <w:szCs w:val="14"/>
                          <w:lang w:bidi="th-TH"/>
                        </w:rPr>
                        <w:t xml:space="preserve"> &lt; 0.001. </w:t>
                      </w:r>
                      <w:r w:rsidRPr="00B46507">
                        <w:rPr>
                          <w:rFonts w:ascii="Book Antiqua" w:hAnsi="Book Antiqua" w:cs="Book Antiqua"/>
                          <w:i/>
                          <w:iCs/>
                          <w:color w:val="000000"/>
                          <w:kern w:val="0"/>
                          <w:sz w:val="14"/>
                          <w:szCs w:val="14"/>
                          <w:lang w:bidi="th-TH"/>
                        </w:rPr>
                        <w:t>P</w:t>
                      </w:r>
                      <w:r w:rsidRPr="00B46507">
                        <w:rPr>
                          <w:rFonts w:ascii="Book Antiqua" w:hAnsi="Book Antiqua" w:cs="Book Antiqua"/>
                          <w:color w:val="000000"/>
                          <w:kern w:val="0"/>
                          <w:sz w:val="14"/>
                          <w:szCs w:val="14"/>
                          <w:lang w:bidi="th-TH"/>
                        </w:rPr>
                        <w:t xml:space="preserve"> values were not calculated for </w:t>
                      </w:r>
                      <w:r w:rsidRPr="00B46507">
                        <w:rPr>
                          <w:rFonts w:ascii="Book Antiqua" w:hAnsi="Book Antiqua" w:cs="Book Antiqua"/>
                          <w:i/>
                          <w:iCs/>
                          <w:color w:val="000000"/>
                          <w:kern w:val="0"/>
                          <w:sz w:val="14"/>
                          <w:szCs w:val="14"/>
                          <w:lang w:bidi="th-TH"/>
                        </w:rPr>
                        <w:t>n</w:t>
                      </w:r>
                      <w:r w:rsidRPr="00B46507">
                        <w:rPr>
                          <w:rFonts w:ascii="Book Antiqua" w:hAnsi="Book Antiqua" w:cs="Book Antiqua"/>
                          <w:color w:val="000000"/>
                          <w:kern w:val="0"/>
                          <w:sz w:val="14"/>
                          <w:szCs w:val="14"/>
                          <w:lang w:bidi="th-TH"/>
                        </w:rPr>
                        <w:t xml:space="preserve"> &lt; 5. AW: African American compared to Whites.</w:t>
                      </w:r>
                    </w:p>
                  </w:txbxContent>
                </v:textbox>
                <w10:wrap type="square"/>
              </v:shape>
            </w:pict>
          </mc:Fallback>
        </mc:AlternateContent>
      </w:r>
    </w:p>
    <w:p w:rsidR="00E21E48" w:rsidRPr="00E21E48" w:rsidRDefault="00E21E48" w:rsidP="00F50781"/>
    <w:sectPr w:rsidR="00E21E48" w:rsidRPr="00E21E48">
      <w:footerReference w:type="even"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CC" w:rsidRDefault="00F305CC">
      <w:r>
        <w:separator/>
      </w:r>
    </w:p>
  </w:endnote>
  <w:endnote w:type="continuationSeparator" w:id="0">
    <w:p w:rsidR="00F305CC" w:rsidRDefault="00F3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Italic">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KozMinPro-Regular">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CC" w:rsidRDefault="00F305CC">
      <w:r>
        <w:separator/>
      </w:r>
    </w:p>
  </w:footnote>
  <w:footnote w:type="continuationSeparator" w:id="0">
    <w:p w:rsidR="00F305CC" w:rsidRDefault="00F30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86F5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21E48"/>
    <w:rsid w:val="00E74CF7"/>
    <w:rsid w:val="00EA68A7"/>
    <w:rsid w:val="00F15824"/>
    <w:rsid w:val="00F305CC"/>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E21E48"/>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E21E48"/>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E21E48"/>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E21E48"/>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E21E48"/>
    <w:pPr>
      <w:spacing w:line="360" w:lineRule="atLeast"/>
      <w:jc w:val="left"/>
    </w:pPr>
    <w:rPr>
      <w:rFonts w:ascii="Univers" w:hAnsi="Univers" w:cs="Univers"/>
      <w:b/>
      <w:bCs/>
      <w:spacing w:val="-2"/>
    </w:rPr>
  </w:style>
  <w:style w:type="paragraph" w:customStyle="1" w:styleId="af1">
    <w:name w:val="惓暥暥_"/>
    <w:basedOn w:val="NormalParagraphStyle"/>
    <w:rsid w:val="00E21E48"/>
    <w:pPr>
      <w:suppressAutoHyphens/>
    </w:pPr>
    <w:rPr>
      <w:rFonts w:ascii="Verdana" w:hAnsi="Verdana" w:cs="Verdana"/>
      <w:spacing w:val="-9"/>
      <w:sz w:val="18"/>
      <w:szCs w:val="18"/>
      <w:lang w:val="en-US"/>
    </w:rPr>
  </w:style>
  <w:style w:type="paragraph" w:customStyle="1" w:styleId="1">
    <w:name w:val="惓暥暥_1"/>
    <w:basedOn w:val="NormalParagraphStyle"/>
    <w:rsid w:val="00E21E48"/>
    <w:pPr>
      <w:suppressAutoHyphens/>
      <w:ind w:firstLine="283"/>
    </w:pPr>
    <w:rPr>
      <w:rFonts w:ascii="Verdana" w:hAnsi="Verdana" w:cs="Verdana"/>
      <w:spacing w:val="-9"/>
      <w:sz w:val="18"/>
      <w:szCs w:val="18"/>
      <w:lang w:val="en-US"/>
    </w:rPr>
  </w:style>
  <w:style w:type="paragraph" w:customStyle="1" w:styleId="af2">
    <w:name w:val="二级标题"/>
    <w:basedOn w:val="a"/>
    <w:rsid w:val="00E21E48"/>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E21E48"/>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E21E48"/>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p">
    <w:name w:val="釖崍鴹p"/>
    <w:rsid w:val="00E21E48"/>
    <w:rPr>
      <w:w w:val="100"/>
      <w:sz w:val="18"/>
      <w:szCs w:val="18"/>
    </w:rPr>
  </w:style>
  <w:style w:type="paragraph" w:customStyle="1" w:styleId="Noparagraphstyle">
    <w:name w:val="[No paragraph style]"/>
    <w:rsid w:val="00E21E48"/>
    <w:pPr>
      <w:widowControl w:val="0"/>
      <w:autoSpaceDE w:val="0"/>
      <w:autoSpaceDN w:val="0"/>
      <w:adjustRightInd w:val="0"/>
      <w:spacing w:line="288" w:lineRule="auto"/>
      <w:jc w:val="both"/>
      <w:textAlignment w:val="center"/>
    </w:pPr>
    <w:rPr>
      <w:rFonts w:ascii="Albertus Italic" w:hAnsi="Albertus Italic" w:cs="Angsana New"/>
      <w:color w:val="000000"/>
      <w:sz w:val="24"/>
      <w:szCs w:val="24"/>
      <w:lang w:val="zh-CN" w:bidi="th-TH"/>
    </w:rPr>
  </w:style>
  <w:style w:type="paragraph" w:customStyle="1" w:styleId="af4">
    <w:name w:val="表头"/>
    <w:basedOn w:val="NormalParagraphStyle"/>
    <w:rsid w:val="00E21E48"/>
    <w:rPr>
      <w:rFonts w:ascii="Albertus" w:hAnsi="Albertus" w:cs="Albertus"/>
      <w:b/>
      <w:bCs/>
      <w:sz w:val="14"/>
      <w:szCs w:val="14"/>
    </w:rPr>
  </w:style>
  <w:style w:type="paragraph" w:customStyle="1" w:styleId="af5">
    <w:name w:val="表格中文字"/>
    <w:basedOn w:val="a"/>
    <w:rsid w:val="00E21E48"/>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6">
    <w:name w:val="表注"/>
    <w:basedOn w:val="af5"/>
    <w:rsid w:val="00E21E4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E21E48"/>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E21E48"/>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E21E48"/>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E21E48"/>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E21E48"/>
    <w:pPr>
      <w:spacing w:line="360" w:lineRule="atLeast"/>
      <w:jc w:val="left"/>
    </w:pPr>
    <w:rPr>
      <w:rFonts w:ascii="Univers" w:hAnsi="Univers" w:cs="Univers"/>
      <w:b/>
      <w:bCs/>
      <w:spacing w:val="-2"/>
    </w:rPr>
  </w:style>
  <w:style w:type="paragraph" w:customStyle="1" w:styleId="af1">
    <w:name w:val="惓暥暥_"/>
    <w:basedOn w:val="NormalParagraphStyle"/>
    <w:rsid w:val="00E21E48"/>
    <w:pPr>
      <w:suppressAutoHyphens/>
    </w:pPr>
    <w:rPr>
      <w:rFonts w:ascii="Verdana" w:hAnsi="Verdana" w:cs="Verdana"/>
      <w:spacing w:val="-9"/>
      <w:sz w:val="18"/>
      <w:szCs w:val="18"/>
      <w:lang w:val="en-US"/>
    </w:rPr>
  </w:style>
  <w:style w:type="paragraph" w:customStyle="1" w:styleId="1">
    <w:name w:val="惓暥暥_1"/>
    <w:basedOn w:val="NormalParagraphStyle"/>
    <w:rsid w:val="00E21E48"/>
    <w:pPr>
      <w:suppressAutoHyphens/>
      <w:ind w:firstLine="283"/>
    </w:pPr>
    <w:rPr>
      <w:rFonts w:ascii="Verdana" w:hAnsi="Verdana" w:cs="Verdana"/>
      <w:spacing w:val="-9"/>
      <w:sz w:val="18"/>
      <w:szCs w:val="18"/>
      <w:lang w:val="en-US"/>
    </w:rPr>
  </w:style>
  <w:style w:type="paragraph" w:customStyle="1" w:styleId="af2">
    <w:name w:val="二级标题"/>
    <w:basedOn w:val="a"/>
    <w:rsid w:val="00E21E48"/>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E21E48"/>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E21E48"/>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p">
    <w:name w:val="釖崍鴹p"/>
    <w:rsid w:val="00E21E48"/>
    <w:rPr>
      <w:w w:val="100"/>
      <w:sz w:val="18"/>
      <w:szCs w:val="18"/>
    </w:rPr>
  </w:style>
  <w:style w:type="paragraph" w:customStyle="1" w:styleId="Noparagraphstyle">
    <w:name w:val="[No paragraph style]"/>
    <w:rsid w:val="00E21E48"/>
    <w:pPr>
      <w:widowControl w:val="0"/>
      <w:autoSpaceDE w:val="0"/>
      <w:autoSpaceDN w:val="0"/>
      <w:adjustRightInd w:val="0"/>
      <w:spacing w:line="288" w:lineRule="auto"/>
      <w:jc w:val="both"/>
      <w:textAlignment w:val="center"/>
    </w:pPr>
    <w:rPr>
      <w:rFonts w:ascii="Albertus Italic" w:hAnsi="Albertus Italic" w:cs="Angsana New"/>
      <w:color w:val="000000"/>
      <w:sz w:val="24"/>
      <w:szCs w:val="24"/>
      <w:lang w:val="zh-CN" w:bidi="th-TH"/>
    </w:rPr>
  </w:style>
  <w:style w:type="paragraph" w:customStyle="1" w:styleId="af4">
    <w:name w:val="表头"/>
    <w:basedOn w:val="NormalParagraphStyle"/>
    <w:rsid w:val="00E21E48"/>
    <w:rPr>
      <w:rFonts w:ascii="Albertus" w:hAnsi="Albertus" w:cs="Albertus"/>
      <w:b/>
      <w:bCs/>
      <w:sz w:val="14"/>
      <w:szCs w:val="14"/>
    </w:rPr>
  </w:style>
  <w:style w:type="paragraph" w:customStyle="1" w:styleId="af5">
    <w:name w:val="表格中文字"/>
    <w:basedOn w:val="a"/>
    <w:rsid w:val="00E21E48"/>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6">
    <w:name w:val="表注"/>
    <w:basedOn w:val="af5"/>
    <w:rsid w:val="00E21E4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7708</Words>
  <Characters>43941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2017-03-06T05:56:00Z</dcterms:modified>
</cp:coreProperties>
</file>