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F950"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Name of Journal: </w:t>
      </w:r>
      <w:r w:rsidRPr="00966B85">
        <w:rPr>
          <w:rFonts w:ascii="Book Antiqua" w:eastAsia="Book Antiqua" w:hAnsi="Book Antiqua" w:cs="Book Antiqua"/>
          <w:i/>
          <w:color w:val="000000"/>
        </w:rPr>
        <w:t>World Journal of Gastrointestinal Pathophysiology</w:t>
      </w:r>
    </w:p>
    <w:p w14:paraId="0B654323"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Manuscript NO: </w:t>
      </w:r>
      <w:r w:rsidRPr="00966B85">
        <w:rPr>
          <w:rFonts w:ascii="Book Antiqua" w:eastAsia="Book Antiqua" w:hAnsi="Book Antiqua" w:cs="Book Antiqua"/>
          <w:color w:val="000000"/>
        </w:rPr>
        <w:t>65860</w:t>
      </w:r>
    </w:p>
    <w:p w14:paraId="46CD5DB9"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Manuscript Type: </w:t>
      </w:r>
      <w:r w:rsidRPr="00966B85">
        <w:rPr>
          <w:rFonts w:ascii="Book Antiqua" w:eastAsia="Book Antiqua" w:hAnsi="Book Antiqua" w:cs="Book Antiqua"/>
          <w:color w:val="000000"/>
        </w:rPr>
        <w:t>EDITORIAL</w:t>
      </w:r>
    </w:p>
    <w:p w14:paraId="4F914B09" w14:textId="77777777" w:rsidR="00C132BE" w:rsidRPr="00966B85" w:rsidRDefault="00C132BE" w:rsidP="00C132BE">
      <w:pPr>
        <w:snapToGrid w:val="0"/>
        <w:spacing w:line="360" w:lineRule="auto"/>
        <w:jc w:val="both"/>
        <w:rPr>
          <w:rFonts w:ascii="Book Antiqua" w:hAnsi="Book Antiqua"/>
        </w:rPr>
      </w:pPr>
    </w:p>
    <w:p w14:paraId="13F88764"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Bacterial translocation in patients undergoing major gastrointestinal surgery and its role in postoperative sepsis</w:t>
      </w:r>
    </w:p>
    <w:p w14:paraId="406EC91E" w14:textId="77777777" w:rsidR="00C132BE" w:rsidRPr="00966B85" w:rsidRDefault="00C132BE" w:rsidP="00C132BE">
      <w:pPr>
        <w:snapToGrid w:val="0"/>
        <w:spacing w:line="360" w:lineRule="auto"/>
        <w:jc w:val="both"/>
        <w:rPr>
          <w:rFonts w:ascii="Book Antiqua" w:hAnsi="Book Antiqua"/>
        </w:rPr>
      </w:pPr>
    </w:p>
    <w:p w14:paraId="752649CE"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t xml:space="preserve">Doudakmanis C </w:t>
      </w:r>
      <w:r w:rsidRPr="00966B85">
        <w:rPr>
          <w:rFonts w:ascii="Book Antiqua" w:eastAsia="Book Antiqua" w:hAnsi="Book Antiqua" w:cs="Book Antiqua"/>
          <w:i/>
          <w:iCs/>
          <w:color w:val="000000"/>
        </w:rPr>
        <w:t>et al</w:t>
      </w:r>
      <w:r w:rsidRPr="00966B85">
        <w:rPr>
          <w:rFonts w:ascii="Book Antiqua" w:eastAsia="Book Antiqua" w:hAnsi="Book Antiqua" w:cs="Book Antiqua"/>
          <w:color w:val="000000"/>
        </w:rPr>
        <w:t>. Bacterial translocation after major gastrointestinal surgery</w:t>
      </w:r>
    </w:p>
    <w:p w14:paraId="58EA4FBB" w14:textId="77777777" w:rsidR="00C132BE" w:rsidRPr="00966B85" w:rsidRDefault="00C132BE" w:rsidP="00C132BE">
      <w:pPr>
        <w:snapToGrid w:val="0"/>
        <w:spacing w:line="360" w:lineRule="auto"/>
        <w:jc w:val="both"/>
        <w:rPr>
          <w:rFonts w:ascii="Book Antiqua" w:hAnsi="Book Antiqua"/>
        </w:rPr>
      </w:pPr>
    </w:p>
    <w:p w14:paraId="3001A85A"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t>Christos Doudakmanis, Konstantinos Bouliaris, Christina Kolla, Matthaios Efthimiou, Georgios D Koukoulis</w:t>
      </w:r>
    </w:p>
    <w:p w14:paraId="4AA4625B" w14:textId="77777777" w:rsidR="00C132BE" w:rsidRPr="00966B85" w:rsidRDefault="00C132BE" w:rsidP="00C132BE">
      <w:pPr>
        <w:snapToGrid w:val="0"/>
        <w:spacing w:line="360" w:lineRule="auto"/>
        <w:jc w:val="both"/>
        <w:rPr>
          <w:rFonts w:ascii="Book Antiqua" w:hAnsi="Book Antiqua"/>
        </w:rPr>
      </w:pPr>
    </w:p>
    <w:p w14:paraId="1F5E18D9" w14:textId="77777777" w:rsidR="00C132BE" w:rsidRPr="00966B85" w:rsidRDefault="003F0E35"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Christos Doudakmanis, Konstantinos Bouliaris, Christina Kolla, Matthaios Efthimiou, </w:t>
      </w:r>
      <w:r w:rsidR="00C132BE" w:rsidRPr="00966B85">
        <w:rPr>
          <w:rFonts w:ascii="Book Antiqua" w:eastAsia="Book Antiqua" w:hAnsi="Book Antiqua" w:cs="Book Antiqua"/>
          <w:b/>
          <w:bCs/>
          <w:color w:val="000000"/>
        </w:rPr>
        <w:t xml:space="preserve">Georgios D Koukoulis, </w:t>
      </w:r>
      <w:r w:rsidR="00C132BE" w:rsidRPr="00966B85">
        <w:rPr>
          <w:rFonts w:ascii="Book Antiqua" w:eastAsia="Book Antiqua" w:hAnsi="Book Antiqua" w:cs="Book Antiqua"/>
          <w:color w:val="000000"/>
        </w:rPr>
        <w:t>Department of General Surgery, General Hospital of Larissa, Larisa 41221, Greece</w:t>
      </w:r>
    </w:p>
    <w:p w14:paraId="77EC03DC" w14:textId="77777777" w:rsidR="00C132BE" w:rsidRPr="00966B85" w:rsidRDefault="00C132BE" w:rsidP="00C132BE">
      <w:pPr>
        <w:snapToGrid w:val="0"/>
        <w:spacing w:line="360" w:lineRule="auto"/>
        <w:jc w:val="both"/>
        <w:rPr>
          <w:rFonts w:ascii="Book Antiqua" w:hAnsi="Book Antiqua"/>
        </w:rPr>
      </w:pPr>
    </w:p>
    <w:p w14:paraId="345D169E"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Author contributions: </w:t>
      </w:r>
      <w:r w:rsidRPr="00966B85">
        <w:rPr>
          <w:rFonts w:ascii="Book Antiqua" w:eastAsia="Book Antiqua" w:hAnsi="Book Antiqua" w:cs="Book Antiqua"/>
          <w:color w:val="000000"/>
        </w:rPr>
        <w:t>Koukoulis G</w:t>
      </w:r>
      <w:r w:rsidR="005E1BC6" w:rsidRPr="00966B85">
        <w:rPr>
          <w:rFonts w:ascii="Book Antiqua" w:hAnsi="Book Antiqua" w:cs="Book Antiqua" w:hint="eastAsia"/>
          <w:color w:val="000000"/>
          <w:lang w:eastAsia="zh-CN"/>
        </w:rPr>
        <w:t>D</w:t>
      </w:r>
      <w:r w:rsidRPr="00966B85">
        <w:rPr>
          <w:rFonts w:ascii="Book Antiqua" w:eastAsia="Book Antiqua" w:hAnsi="Book Antiqua" w:cs="Book Antiqua"/>
          <w:color w:val="000000"/>
        </w:rPr>
        <w:t xml:space="preserve"> and Doudakmanis C were responsible for conception and design of the study and acquisition of the data; Bouliaris K and Doudakmanis C were responsible for analysis and interpretation of the data; Doudakmanis C, Bouliaris K, Koukoulis G</w:t>
      </w:r>
      <w:r w:rsidR="005E1BC6" w:rsidRPr="00966B85">
        <w:rPr>
          <w:rFonts w:ascii="Book Antiqua" w:hAnsi="Book Antiqua" w:cs="Book Antiqua" w:hint="eastAsia"/>
          <w:color w:val="000000"/>
          <w:lang w:eastAsia="zh-CN"/>
        </w:rPr>
        <w:t>D</w:t>
      </w:r>
      <w:r w:rsidRPr="00966B85">
        <w:rPr>
          <w:rFonts w:ascii="Book Antiqua" w:eastAsia="Book Antiqua" w:hAnsi="Book Antiqua" w:cs="Book Antiqua"/>
          <w:color w:val="000000"/>
        </w:rPr>
        <w:t xml:space="preserve">, Kolla C, and Efthimiou M were responsible for drafting of the article; Efthimiou M was responsible for critical revision of the manuscript for important intellectual content; </w:t>
      </w:r>
      <w:r w:rsidR="005E1BC6" w:rsidRPr="00966B85">
        <w:rPr>
          <w:rFonts w:ascii="Book Antiqua" w:eastAsia="Book Antiqua" w:hAnsi="Book Antiqua" w:cs="Book Antiqua"/>
          <w:color w:val="000000"/>
        </w:rPr>
        <w:t>a</w:t>
      </w:r>
      <w:r w:rsidRPr="00966B85">
        <w:rPr>
          <w:rFonts w:ascii="Book Antiqua" w:eastAsia="Book Antiqua" w:hAnsi="Book Antiqua" w:cs="Book Antiqua"/>
          <w:color w:val="000000"/>
        </w:rPr>
        <w:t>ll authors read and approved the final version of the manuscript.</w:t>
      </w:r>
    </w:p>
    <w:p w14:paraId="72398370" w14:textId="77777777" w:rsidR="00C132BE" w:rsidRPr="00966B85" w:rsidRDefault="00C132BE" w:rsidP="00C132BE">
      <w:pPr>
        <w:snapToGrid w:val="0"/>
        <w:spacing w:line="360" w:lineRule="auto"/>
        <w:jc w:val="both"/>
        <w:rPr>
          <w:rFonts w:ascii="Book Antiqua" w:hAnsi="Book Antiqua"/>
        </w:rPr>
      </w:pPr>
    </w:p>
    <w:p w14:paraId="237449F0" w14:textId="77777777" w:rsidR="00C132BE" w:rsidRPr="00966B85" w:rsidRDefault="00866EEE" w:rsidP="00C132BE">
      <w:pPr>
        <w:snapToGrid w:val="0"/>
        <w:spacing w:line="360" w:lineRule="auto"/>
        <w:jc w:val="both"/>
        <w:rPr>
          <w:rFonts w:ascii="Book Antiqua" w:hAnsi="Book Antiqua"/>
        </w:rPr>
      </w:pPr>
      <w:r w:rsidRPr="00966B85">
        <w:rPr>
          <w:rFonts w:ascii="Book Antiqua" w:hAnsi="Book Antiqua"/>
          <w:b/>
          <w:bCs/>
        </w:rPr>
        <w:t>Corresponding author</w:t>
      </w:r>
      <w:r w:rsidR="00C132BE" w:rsidRPr="00966B85">
        <w:rPr>
          <w:rFonts w:ascii="Book Antiqua" w:eastAsia="Book Antiqua" w:hAnsi="Book Antiqua" w:cs="Book Antiqua"/>
          <w:b/>
          <w:bCs/>
          <w:color w:val="000000"/>
        </w:rPr>
        <w:t xml:space="preserve">: Georgios D Koukoulis, MD, MSc, PhD, Adjunct Professor, Doctor, Surgeon, </w:t>
      </w:r>
      <w:r w:rsidR="00C132BE" w:rsidRPr="00966B85">
        <w:rPr>
          <w:rFonts w:ascii="Book Antiqua" w:eastAsia="Book Antiqua" w:hAnsi="Book Antiqua" w:cs="Book Antiqua"/>
          <w:color w:val="000000"/>
        </w:rPr>
        <w:t>Department of General Surgery, General Hospital of Larissa, Tsakalof 1, Larisa 41221, Greece. georgios.koukoulis@gmail.com</w:t>
      </w:r>
    </w:p>
    <w:p w14:paraId="3F45458B" w14:textId="77777777" w:rsidR="00C132BE" w:rsidRPr="00966B85" w:rsidRDefault="00C132BE" w:rsidP="00C132BE">
      <w:pPr>
        <w:snapToGrid w:val="0"/>
        <w:spacing w:line="360" w:lineRule="auto"/>
        <w:jc w:val="both"/>
        <w:rPr>
          <w:rFonts w:ascii="Book Antiqua" w:hAnsi="Book Antiqua"/>
        </w:rPr>
      </w:pPr>
    </w:p>
    <w:p w14:paraId="5F89B8AA"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Received: </w:t>
      </w:r>
      <w:r w:rsidRPr="00966B85">
        <w:rPr>
          <w:rFonts w:ascii="Book Antiqua" w:eastAsia="Book Antiqua" w:hAnsi="Book Antiqua" w:cs="Book Antiqua"/>
          <w:color w:val="000000"/>
        </w:rPr>
        <w:t>March 16, 2021</w:t>
      </w:r>
    </w:p>
    <w:p w14:paraId="417E436D"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lastRenderedPageBreak/>
        <w:t xml:space="preserve">Revised: </w:t>
      </w:r>
      <w:r w:rsidR="00247A98" w:rsidRPr="00966B85">
        <w:rPr>
          <w:rFonts w:ascii="Book Antiqua" w:hAnsi="Book Antiqua"/>
        </w:rPr>
        <w:t>May 14, 2021</w:t>
      </w:r>
    </w:p>
    <w:p w14:paraId="23ED7521" w14:textId="0ACAC138"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Accepted:</w:t>
      </w:r>
      <w:r w:rsidRPr="00966B85">
        <w:rPr>
          <w:rFonts w:ascii="Book Antiqua" w:eastAsia="Book Antiqua" w:hAnsi="Book Antiqua" w:cs="Book Antiqua"/>
          <w:color w:val="000000"/>
        </w:rPr>
        <w:t xml:space="preserve"> </w:t>
      </w:r>
      <w:r w:rsidR="00054CDF" w:rsidRPr="00966B85">
        <w:rPr>
          <w:rFonts w:ascii="Book Antiqua" w:eastAsia="Book Antiqua" w:hAnsi="Book Antiqua" w:cs="Book Antiqua"/>
          <w:color w:val="000000"/>
        </w:rPr>
        <w:t>September 14, 2021</w:t>
      </w:r>
    </w:p>
    <w:p w14:paraId="67B3463B" w14:textId="4514EBAC"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Published online: </w:t>
      </w:r>
      <w:r w:rsidR="00BE3EE4" w:rsidRPr="00966B85">
        <w:rPr>
          <w:rFonts w:ascii="Book Antiqua" w:eastAsia="Book Antiqua" w:hAnsi="Book Antiqua" w:cs="Book Antiqua"/>
          <w:color w:val="000000"/>
        </w:rPr>
        <w:t>November 22, 2021</w:t>
      </w:r>
    </w:p>
    <w:p w14:paraId="639A3E11" w14:textId="77777777" w:rsidR="00C132BE" w:rsidRPr="00966B85" w:rsidRDefault="00C132BE" w:rsidP="00C132BE">
      <w:pPr>
        <w:snapToGrid w:val="0"/>
        <w:spacing w:line="360" w:lineRule="auto"/>
        <w:jc w:val="both"/>
        <w:rPr>
          <w:rFonts w:ascii="Book Antiqua" w:hAnsi="Book Antiqua"/>
          <w:lang w:eastAsia="zh-CN"/>
        </w:rPr>
      </w:pPr>
    </w:p>
    <w:p w14:paraId="2F4BFCF3"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Abstract</w:t>
      </w:r>
    </w:p>
    <w:p w14:paraId="1133C9E7"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shd w:val="clear" w:color="auto" w:fill="FFFFFF"/>
        </w:rPr>
        <w:t>Bacteria of the human intestinal microflora have a dual role.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They promote digestion</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and</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are part of a defense mechanism against pathogens. These bacteria could become potential pathogens under certain circumstances. The term “bacterial translocation” describes the passage of bacteria of the gastrointestinal tract through the intestinal mucosa barrier to mesenteric lymph nodes and other organs. In some cases, the passage of bacteria and endotoxins could result in blood stream infections and in multiple organ failure. Open elective abdominal surgery more frequently results</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in malfunction of the intestinal barrier and subsequent bacterial translocation and blood stream infections</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than laparoscopic surgery. Postoperative sepsis is a common finding in patients who have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undergone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non-elective abdominal</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surgeries,</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including trauma patients treated with laparotomy.</w:t>
      </w:r>
      <w:r w:rsidRPr="00966B85">
        <w:rPr>
          <w:rFonts w:ascii="Book Antiqua" w:hAnsi="Book Antiqua"/>
        </w:rPr>
        <w:t xml:space="preserve"> </w:t>
      </w:r>
      <w:r w:rsidRPr="00966B85">
        <w:rPr>
          <w:rFonts w:ascii="Book Antiqua" w:eastAsia="Book Antiqua" w:hAnsi="Book Antiqua" w:cs="Book Antiqua"/>
          <w:color w:val="000000"/>
          <w:shd w:val="clear" w:color="auto" w:fill="FFFFFF"/>
        </w:rPr>
        <w:t>Postoperative sepsis is an emerging issue, as it changes the treatment plan in surgical patients and prolongs hospital stay. The association between bacterial translocation and postoperative sepsis could provide novel treatment options.</w:t>
      </w:r>
    </w:p>
    <w:p w14:paraId="0AD54B4F" w14:textId="77777777" w:rsidR="00C132BE" w:rsidRPr="00966B85" w:rsidRDefault="00C132BE" w:rsidP="00C132BE">
      <w:pPr>
        <w:snapToGrid w:val="0"/>
        <w:spacing w:line="360" w:lineRule="auto"/>
        <w:jc w:val="both"/>
        <w:rPr>
          <w:rFonts w:ascii="Book Antiqua" w:hAnsi="Book Antiqua"/>
        </w:rPr>
      </w:pPr>
    </w:p>
    <w:p w14:paraId="33B6C581"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Key Words: </w:t>
      </w:r>
      <w:r w:rsidRPr="00966B85">
        <w:rPr>
          <w:rFonts w:ascii="Book Antiqua" w:eastAsia="Book Antiqua" w:hAnsi="Book Antiqua" w:cs="Book Antiqua"/>
          <w:color w:val="000000"/>
        </w:rPr>
        <w:t>Bacterial translocation; Major gastrointestinal surgery; Postoperative sepsis; Intestinal permeability; Microbiota</w:t>
      </w:r>
    </w:p>
    <w:p w14:paraId="0B3AE0C8" w14:textId="77777777" w:rsidR="004046F8" w:rsidRDefault="004046F8" w:rsidP="004046F8">
      <w:pPr>
        <w:spacing w:line="360" w:lineRule="auto"/>
        <w:jc w:val="both"/>
        <w:rPr>
          <w:lang w:eastAsia="zh-CN"/>
        </w:rPr>
      </w:pPr>
    </w:p>
    <w:p w14:paraId="6CCE0F20" w14:textId="77777777" w:rsidR="004046F8" w:rsidRDefault="004046F8" w:rsidP="004046F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82740DA" w14:textId="77777777" w:rsidR="004046F8" w:rsidRDefault="004046F8" w:rsidP="004046F8">
      <w:pPr>
        <w:spacing w:line="360" w:lineRule="auto"/>
        <w:jc w:val="both"/>
        <w:rPr>
          <w:lang w:eastAsia="zh-CN"/>
        </w:rPr>
      </w:pPr>
    </w:p>
    <w:p w14:paraId="76C8FDED" w14:textId="5F83EE61" w:rsidR="00412ABC" w:rsidRDefault="004046F8" w:rsidP="004046F8">
      <w:pPr>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132BE" w:rsidRPr="00966B85">
        <w:rPr>
          <w:rFonts w:ascii="Book Antiqua" w:eastAsia="Book Antiqua" w:hAnsi="Book Antiqua" w:cs="Book Antiqua"/>
          <w:color w:val="000000"/>
        </w:rPr>
        <w:t xml:space="preserve">Doudakmanis C, Bouliaris K, Kolla C, Efthimiou M, Koukoulis GD. Bacterial translocation in patients undergoing major gastrointestinal surgery and its role in postoperative sepsis. </w:t>
      </w:r>
      <w:r w:rsidR="00C132BE" w:rsidRPr="00966B85">
        <w:rPr>
          <w:rFonts w:ascii="Book Antiqua" w:eastAsia="Book Antiqua" w:hAnsi="Book Antiqua" w:cs="Book Antiqua"/>
          <w:i/>
          <w:iCs/>
          <w:color w:val="000000"/>
        </w:rPr>
        <w:t>World J Gastrointest Pathophysiol</w:t>
      </w:r>
      <w:r w:rsidR="00C132BE" w:rsidRPr="00966B85">
        <w:rPr>
          <w:rFonts w:ascii="Book Antiqua" w:eastAsia="Book Antiqua" w:hAnsi="Book Antiqua" w:cs="Book Antiqua"/>
          <w:color w:val="000000"/>
        </w:rPr>
        <w:t xml:space="preserve"> 2021; </w:t>
      </w:r>
      <w:r w:rsidR="008064BA" w:rsidRPr="00966B85">
        <w:rPr>
          <w:rFonts w:ascii="Book Antiqua" w:eastAsia="Book Antiqua" w:hAnsi="Book Antiqua" w:cs="Book Antiqua"/>
          <w:color w:val="000000"/>
        </w:rPr>
        <w:t xml:space="preserve">12(6): </w:t>
      </w:r>
      <w:r w:rsidR="00412ABC">
        <w:rPr>
          <w:rFonts w:ascii="Book Antiqua" w:hAnsi="Book Antiqua"/>
        </w:rPr>
        <w:t>106-114</w:t>
      </w:r>
    </w:p>
    <w:p w14:paraId="1735E82D" w14:textId="3F9CAC24" w:rsidR="00412ABC" w:rsidRDefault="008064BA" w:rsidP="004046F8">
      <w:pPr>
        <w:snapToGrid w:val="0"/>
        <w:spacing w:line="360" w:lineRule="auto"/>
        <w:jc w:val="both"/>
        <w:rPr>
          <w:rFonts w:ascii="Book Antiqua" w:eastAsia="Book Antiqua" w:hAnsi="Book Antiqua" w:cs="Book Antiqua"/>
          <w:color w:val="000000"/>
        </w:rPr>
      </w:pPr>
      <w:r w:rsidRPr="00966B85">
        <w:rPr>
          <w:rFonts w:ascii="Book Antiqua" w:eastAsia="Book Antiqua" w:hAnsi="Book Antiqua" w:cs="Book Antiqua"/>
          <w:color w:val="000000"/>
        </w:rPr>
        <w:lastRenderedPageBreak/>
        <w:t>URL: https://www.wjgnet.com/2150-5330/full/v12/i6/</w:t>
      </w:r>
      <w:r w:rsidR="00412ABC">
        <w:rPr>
          <w:rFonts w:ascii="Book Antiqua" w:hAnsi="Book Antiqua"/>
        </w:rPr>
        <w:t>106</w:t>
      </w:r>
      <w:r w:rsidRPr="00966B85">
        <w:rPr>
          <w:rFonts w:ascii="Book Antiqua" w:eastAsia="Book Antiqua" w:hAnsi="Book Antiqua" w:cs="Book Antiqua"/>
          <w:color w:val="000000"/>
        </w:rPr>
        <w:t xml:space="preserve">.htm  </w:t>
      </w:r>
    </w:p>
    <w:p w14:paraId="40F77590" w14:textId="5B4EC9CA" w:rsidR="00C132BE" w:rsidRPr="00966B85" w:rsidRDefault="008064BA" w:rsidP="004046F8">
      <w:pPr>
        <w:snapToGrid w:val="0"/>
        <w:spacing w:line="360" w:lineRule="auto"/>
        <w:jc w:val="both"/>
        <w:rPr>
          <w:rFonts w:ascii="Book Antiqua" w:hAnsi="Book Antiqua"/>
        </w:rPr>
      </w:pPr>
      <w:r w:rsidRPr="00966B85">
        <w:rPr>
          <w:rFonts w:ascii="Book Antiqua" w:eastAsia="Book Antiqua" w:hAnsi="Book Antiqua" w:cs="Book Antiqua"/>
          <w:color w:val="000000"/>
        </w:rPr>
        <w:t>DOI: https://dx.doi.org/10.4291/wjgp.v12.i6.</w:t>
      </w:r>
      <w:r w:rsidR="00412ABC">
        <w:rPr>
          <w:rFonts w:ascii="Book Antiqua" w:hAnsi="Book Antiqua"/>
        </w:rPr>
        <w:t>106</w:t>
      </w:r>
    </w:p>
    <w:p w14:paraId="7065F78A" w14:textId="77777777" w:rsidR="00C132BE" w:rsidRPr="00966B85" w:rsidRDefault="00C132BE" w:rsidP="00C132BE">
      <w:pPr>
        <w:snapToGrid w:val="0"/>
        <w:spacing w:line="360" w:lineRule="auto"/>
        <w:jc w:val="both"/>
        <w:rPr>
          <w:rFonts w:ascii="Book Antiqua" w:hAnsi="Book Antiqua"/>
        </w:rPr>
      </w:pPr>
    </w:p>
    <w:p w14:paraId="12D66E5C" w14:textId="77777777" w:rsidR="00C132BE" w:rsidRPr="00966B85" w:rsidRDefault="00C132BE" w:rsidP="00C132BE">
      <w:pPr>
        <w:snapToGrid w:val="0"/>
        <w:spacing w:line="360" w:lineRule="auto"/>
        <w:jc w:val="both"/>
        <w:rPr>
          <w:rFonts w:ascii="Book Antiqua" w:hAnsi="Book Antiqua"/>
          <w:lang w:eastAsia="zh-CN"/>
        </w:rPr>
      </w:pPr>
      <w:r w:rsidRPr="00966B85">
        <w:rPr>
          <w:rFonts w:ascii="Book Antiqua" w:eastAsia="Book Antiqua" w:hAnsi="Book Antiqua" w:cs="Book Antiqua"/>
          <w:b/>
          <w:bCs/>
          <w:color w:val="000000"/>
        </w:rPr>
        <w:t xml:space="preserve">Core Tip: </w:t>
      </w:r>
      <w:r w:rsidRPr="00966B85">
        <w:rPr>
          <w:rFonts w:ascii="Book Antiqua" w:eastAsia="Book Antiqua" w:hAnsi="Book Antiqua" w:cs="Book Antiqua"/>
          <w:color w:val="000000"/>
        </w:rPr>
        <w:t>Increased intestinal permeability can potentially induce intestinal flora dysbiosis. Bacterial translocation, attributed to intestinal barrier impairment, may lead to systematic infection in the postoperative period. The definitive correlation between translocation and postoperative sepsis is yet to be proven, but the latter is an emerging issue for patients undergoing ma</w:t>
      </w:r>
      <w:r w:rsidR="00E72A42" w:rsidRPr="00966B85">
        <w:rPr>
          <w:rFonts w:ascii="Book Antiqua" w:eastAsia="Book Antiqua" w:hAnsi="Book Antiqua" w:cs="Book Antiqua"/>
          <w:color w:val="000000"/>
        </w:rPr>
        <w:t>jor gastrointestinal surgeries.</w:t>
      </w:r>
    </w:p>
    <w:p w14:paraId="47547166" w14:textId="77777777" w:rsidR="00C132BE" w:rsidRPr="00966B85" w:rsidRDefault="00C132BE" w:rsidP="00C132BE">
      <w:pPr>
        <w:snapToGrid w:val="0"/>
        <w:spacing w:line="360" w:lineRule="auto"/>
        <w:jc w:val="both"/>
        <w:rPr>
          <w:rFonts w:ascii="Book Antiqua" w:hAnsi="Book Antiqua" w:cs="Book Antiqua"/>
          <w:color w:val="000000"/>
          <w:lang w:eastAsia="zh-CN"/>
        </w:rPr>
      </w:pPr>
    </w:p>
    <w:p w14:paraId="0D8F35D1"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aps/>
          <w:color w:val="000000"/>
          <w:u w:val="single"/>
        </w:rPr>
        <w:t>INTRODUCTION</w:t>
      </w:r>
    </w:p>
    <w:p w14:paraId="4A104BA5" w14:textId="77777777" w:rsidR="00C132BE" w:rsidRPr="00966B85" w:rsidRDefault="00C132BE" w:rsidP="00C132BE">
      <w:pPr>
        <w:snapToGrid w:val="0"/>
        <w:spacing w:line="360" w:lineRule="auto"/>
        <w:jc w:val="both"/>
        <w:rPr>
          <w:rFonts w:ascii="Book Antiqua" w:hAnsi="Book Antiqua" w:cs="Book Antiqua"/>
          <w:color w:val="000000"/>
          <w:shd w:val="clear" w:color="auto" w:fill="FFFFFF"/>
          <w:lang w:eastAsia="zh-CN"/>
        </w:rPr>
      </w:pPr>
      <w:r w:rsidRPr="00966B85">
        <w:rPr>
          <w:rFonts w:ascii="Book Antiqua" w:eastAsia="Book Antiqua" w:hAnsi="Book Antiqua" w:cs="Book Antiqua"/>
          <w:color w:val="000000"/>
        </w:rPr>
        <w:t>The incidence of postoperative sepsis has increased in the past decades, with the proportion of severe sepsis cases rising to unprecedented levels. Cases of sepsis are noted both after elective and emergency surgeries, but in the cases of elective surgeries, mortality is not respectively affected</w:t>
      </w:r>
      <w:r w:rsidRPr="00966B85">
        <w:rPr>
          <w:rFonts w:ascii="Book Antiqua" w:eastAsia="Book Antiqua" w:hAnsi="Book Antiqua" w:cs="Book Antiqua"/>
          <w:color w:val="000000"/>
          <w:vertAlign w:val="superscript"/>
        </w:rPr>
        <w:t>[1]</w:t>
      </w:r>
      <w:r w:rsidRPr="00966B85">
        <w:rPr>
          <w:rFonts w:ascii="Book Antiqua" w:eastAsia="Book Antiqua" w:hAnsi="Book Antiqua" w:cs="Book Antiqua"/>
          <w:color w:val="000000"/>
        </w:rPr>
        <w:t xml:space="preserve">. Gastrointestinal perforation is the most common surgical condition requiring immediate surgical intervention. More specifically, colonic perforation may cause peritonitis through the spread of bacteria from the intestines, and, therefore, there is a high risk for further bacterial spread </w:t>
      </w:r>
      <w:r w:rsidRPr="00966B85">
        <w:rPr>
          <w:rFonts w:ascii="Book Antiqua" w:eastAsia="Book Antiqua" w:hAnsi="Book Antiqua" w:cs="Book Antiqua"/>
          <w:i/>
          <w:iCs/>
          <w:color w:val="000000"/>
        </w:rPr>
        <w:t>via</w:t>
      </w:r>
      <w:r w:rsidRPr="00966B85">
        <w:rPr>
          <w:rFonts w:ascii="Book Antiqua" w:eastAsia="Book Antiqua" w:hAnsi="Book Antiqua" w:cs="Book Antiqua"/>
          <w:color w:val="000000"/>
        </w:rPr>
        <w:t xml:space="preserve"> blood flow</w:t>
      </w:r>
      <w:r w:rsidRPr="00966B85">
        <w:rPr>
          <w:rFonts w:ascii="Book Antiqua" w:eastAsia="Book Antiqua" w:hAnsi="Book Antiqua" w:cs="Book Antiqua"/>
          <w:color w:val="000000"/>
          <w:vertAlign w:val="superscript"/>
        </w:rPr>
        <w:t>[2]</w:t>
      </w:r>
      <w:r w:rsidR="00E72A42" w:rsidRPr="00966B85">
        <w:rPr>
          <w:rFonts w:ascii="Book Antiqua" w:eastAsia="Book Antiqua" w:hAnsi="Book Antiqua" w:cs="Book Antiqua"/>
          <w:color w:val="000000"/>
        </w:rPr>
        <w:t>.</w:t>
      </w:r>
    </w:p>
    <w:p w14:paraId="6E32E609" w14:textId="77777777" w:rsidR="00C132BE" w:rsidRPr="00966B85" w:rsidRDefault="00C132BE" w:rsidP="00E72A42">
      <w:pPr>
        <w:snapToGrid w:val="0"/>
        <w:spacing w:line="360" w:lineRule="auto"/>
        <w:ind w:firstLineChars="200" w:firstLine="480"/>
        <w:jc w:val="both"/>
        <w:rPr>
          <w:rFonts w:ascii="Book Antiqua" w:eastAsia="Book Antiqua" w:hAnsi="Book Antiqua" w:cs="Book Antiqua"/>
          <w:color w:val="000000"/>
        </w:rPr>
      </w:pPr>
      <w:r w:rsidRPr="00966B85">
        <w:rPr>
          <w:rFonts w:ascii="Book Antiqua" w:eastAsia="Book Antiqua" w:hAnsi="Book Antiqua" w:cs="Book Antiqua"/>
          <w:color w:val="000000"/>
          <w:shd w:val="clear" w:color="auto" w:fill="FFFFFF"/>
        </w:rPr>
        <w:t>Gut microbiota affects the host decisively in both states of health and illness. The human gut microbiota consists of numerous bacteria that coexist and play a beneficial role in normal functions of the intestine. In normal conditions, bacteria of the gut assist in the absorption of nutrients. In illness, there are vast changes that alter the balance of these bacteria, leading to proliferation of potentially dangerous bacteria, capable of causing infections</w:t>
      </w:r>
      <w:r w:rsidRPr="00966B85">
        <w:rPr>
          <w:rFonts w:ascii="Book Antiqua" w:eastAsia="Book Antiqua" w:hAnsi="Book Antiqua" w:cs="Book Antiqua"/>
          <w:color w:val="000000"/>
          <w:shd w:val="clear" w:color="auto" w:fill="FFFFFF"/>
          <w:vertAlign w:val="superscript"/>
        </w:rPr>
        <w:t>[3]</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D</w:t>
      </w:r>
      <w:r w:rsidRPr="00966B85">
        <w:rPr>
          <w:rFonts w:ascii="Book Antiqua" w:eastAsia="Book Antiqua" w:hAnsi="Book Antiqua" w:cs="Book Antiqua"/>
          <w:color w:val="000000"/>
        </w:rPr>
        <w:t xml:space="preserve">iseases like colorectal cancer, inflammatory bowel disease, and diseases of the liver could alter the relationship between bacteria of the gut and the host. </w:t>
      </w:r>
    </w:p>
    <w:p w14:paraId="31AFD318" w14:textId="77777777" w:rsidR="00C132BE" w:rsidRPr="00966B85" w:rsidRDefault="00C132BE" w:rsidP="00E72A42">
      <w:pPr>
        <w:snapToGrid w:val="0"/>
        <w:spacing w:line="360" w:lineRule="auto"/>
        <w:ind w:firstLineChars="200" w:firstLine="480"/>
        <w:jc w:val="both"/>
        <w:rPr>
          <w:rFonts w:ascii="Book Antiqua" w:hAnsi="Book Antiqua" w:cs="Book Antiqua"/>
          <w:color w:val="000000"/>
          <w:lang w:eastAsia="zh-CN"/>
        </w:rPr>
      </w:pPr>
      <w:r w:rsidRPr="00966B85">
        <w:rPr>
          <w:rFonts w:ascii="Book Antiqua" w:eastAsia="Book Antiqua" w:hAnsi="Book Antiqua" w:cs="Book Antiqua"/>
          <w:color w:val="000000"/>
        </w:rPr>
        <w:t>In addition to bacterial dissemination due to mechanical disruption of the continuity of the intestinal barrier, as in the case of perforation, another potential mechanism proposed is bacterial translocation.</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 xml:space="preserve">Bacterial translocation is the </w:t>
      </w:r>
      <w:r w:rsidRPr="00966B85">
        <w:rPr>
          <w:rFonts w:ascii="Book Antiqua" w:eastAsia="Book Antiqua" w:hAnsi="Book Antiqua" w:cs="Book Antiqua"/>
          <w:color w:val="000000"/>
        </w:rPr>
        <w:lastRenderedPageBreak/>
        <w:t>movement of bacteria or their products from the intestinal lumen through the mucosa layer to a normally sterile tissue</w:t>
      </w:r>
      <w:r w:rsidRPr="00966B85">
        <w:rPr>
          <w:rFonts w:ascii="Book Antiqua" w:eastAsia="Book Antiqua" w:hAnsi="Book Antiqua" w:cs="Book Antiqua"/>
          <w:color w:val="000000"/>
          <w:vertAlign w:val="superscript"/>
        </w:rPr>
        <w:t>[4]</w:t>
      </w:r>
      <w:r w:rsidRPr="00966B85">
        <w:rPr>
          <w:rFonts w:ascii="Book Antiqua" w:eastAsia="Book Antiqua" w:hAnsi="Book Antiqua" w:cs="Book Antiqua"/>
          <w:color w:val="000000"/>
        </w:rPr>
        <w:t>. The most common routes for bacterial passage from the intestine to the systemic circulation and eventually to distant organs are the lymphatic route and the vascular route</w:t>
      </w:r>
      <w:r w:rsidRPr="00966B85">
        <w:rPr>
          <w:rFonts w:ascii="Book Antiqua" w:eastAsia="Book Antiqua" w:hAnsi="Book Antiqua" w:cs="Book Antiqua"/>
          <w:color w:val="000000"/>
          <w:vertAlign w:val="superscript"/>
        </w:rPr>
        <w:t>[5]</w:t>
      </w:r>
      <w:r w:rsidR="00E72A42" w:rsidRPr="00966B85">
        <w:rPr>
          <w:rFonts w:ascii="Book Antiqua" w:eastAsia="Book Antiqua" w:hAnsi="Book Antiqua" w:cs="Book Antiqua"/>
          <w:color w:val="000000"/>
        </w:rPr>
        <w:t>.</w:t>
      </w:r>
    </w:p>
    <w:p w14:paraId="414201E1" w14:textId="77777777" w:rsidR="00C132BE" w:rsidRPr="00966B85" w:rsidRDefault="00C132BE" w:rsidP="00E72A42">
      <w:pPr>
        <w:snapToGrid w:val="0"/>
        <w:spacing w:line="360" w:lineRule="auto"/>
        <w:ind w:firstLineChars="200" w:firstLine="480"/>
        <w:jc w:val="both"/>
        <w:rPr>
          <w:rFonts w:ascii="Book Antiqua" w:eastAsia="Book Antiqua" w:hAnsi="Book Antiqua" w:cs="Book Antiqua"/>
          <w:color w:val="000000"/>
          <w:shd w:val="clear" w:color="auto" w:fill="FFFFFF"/>
        </w:rPr>
      </w:pPr>
      <w:r w:rsidRPr="00966B85">
        <w:rPr>
          <w:rFonts w:ascii="Book Antiqua" w:eastAsia="Book Antiqua" w:hAnsi="Book Antiqua" w:cs="Book Antiqua"/>
          <w:color w:val="000000"/>
        </w:rPr>
        <w:t>Major abdominal surgeries are procedures that promote an imbalance in intestinal bacteria.</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Patients undergoing major abdominal surgery are considered at high risk of developing postoperative infections as a result of bacterial translocation. Those undergoing emergency surgery are at even higher risk</w:t>
      </w:r>
      <w:r w:rsidRPr="00966B85">
        <w:rPr>
          <w:rFonts w:ascii="Book Antiqua" w:eastAsia="Book Antiqua" w:hAnsi="Book Antiqua" w:cs="Book Antiqua"/>
          <w:color w:val="000000"/>
          <w:vertAlign w:val="superscript"/>
        </w:rPr>
        <w:t>[6]</w:t>
      </w:r>
      <w:r w:rsidRPr="00966B85">
        <w:rPr>
          <w:rFonts w:ascii="Book Antiqua" w:eastAsia="Book Antiqua" w:hAnsi="Book Antiqua" w:cs="Book Antiqua"/>
          <w:color w:val="000000"/>
        </w:rPr>
        <w:t>.</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An increase in morbidity and mortality has been shown in cases of ascertained translocation to locoregional mesenteric lymph nodes</w:t>
      </w:r>
      <w:r w:rsidRPr="00966B85">
        <w:rPr>
          <w:rFonts w:ascii="Book Antiqua" w:eastAsia="Book Antiqua" w:hAnsi="Book Antiqua" w:cs="Book Antiqua"/>
          <w:color w:val="000000"/>
          <w:vertAlign w:val="superscript"/>
        </w:rPr>
        <w:t>[7,8]</w:t>
      </w:r>
      <w:r w:rsidRPr="00966B85">
        <w:rPr>
          <w:rFonts w:ascii="Book Antiqua" w:eastAsia="Book Antiqua" w:hAnsi="Book Antiqua" w:cs="Book Antiqua"/>
          <w:color w:val="000000"/>
        </w:rPr>
        <w:t>.</w:t>
      </w:r>
    </w:p>
    <w:p w14:paraId="1C4EFD7E" w14:textId="77777777" w:rsidR="00C132BE" w:rsidRPr="00966B85" w:rsidRDefault="00C132BE" w:rsidP="00C132BE">
      <w:pPr>
        <w:snapToGrid w:val="0"/>
        <w:spacing w:line="360" w:lineRule="auto"/>
        <w:jc w:val="both"/>
        <w:rPr>
          <w:rFonts w:ascii="Book Antiqua" w:hAnsi="Book Antiqua"/>
        </w:rPr>
      </w:pPr>
    </w:p>
    <w:p w14:paraId="1D5F7BB4"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aps/>
          <w:color w:val="000000"/>
          <w:u w:val="single"/>
          <w:shd w:val="clear" w:color="auto" w:fill="FFFFFF"/>
        </w:rPr>
        <w:t>Role of the Intestinal Barrier</w:t>
      </w:r>
    </w:p>
    <w:p w14:paraId="73197351" w14:textId="77777777" w:rsidR="00C132BE" w:rsidRPr="00966B85" w:rsidRDefault="00C132BE" w:rsidP="00C132BE">
      <w:pPr>
        <w:snapToGrid w:val="0"/>
        <w:spacing w:line="360" w:lineRule="auto"/>
        <w:jc w:val="both"/>
        <w:rPr>
          <w:rFonts w:ascii="Book Antiqua" w:hAnsi="Book Antiqua"/>
          <w:lang w:eastAsia="zh-CN"/>
        </w:rPr>
      </w:pPr>
      <w:r w:rsidRPr="00966B85">
        <w:rPr>
          <w:rFonts w:ascii="Book Antiqua" w:eastAsia="Book Antiqua" w:hAnsi="Book Antiqua" w:cs="Book Antiqua"/>
          <w:color w:val="000000"/>
          <w:shd w:val="clear" w:color="auto" w:fill="FFFFFF"/>
        </w:rPr>
        <w:t>The intestinal barrier interacts with the contents of the intestinal lumen at immunological and chemical levels, besides being a physical barrier. It is composed of a single layer of columnar epithelial cells, which have diverse functions, such as absorptive, secretory and immune functions. The majority of intestinal epithelial cells are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rPr>
        <w:t>absorptive enterocytes. Other types of intestinal epithelial cells are secretory goblet cells, Paneth cells, and enteroendocrine cells. All these cells are under constant renewal by intestinal epithelial stem cells located in the bases of mucosal crypts</w:t>
      </w:r>
      <w:r w:rsidRPr="00966B85">
        <w:rPr>
          <w:rFonts w:ascii="Book Antiqua" w:eastAsia="Book Antiqua" w:hAnsi="Book Antiqua" w:cs="Book Antiqua"/>
          <w:color w:val="000000"/>
          <w:shd w:val="clear" w:color="auto" w:fill="FFFFFF"/>
          <w:vertAlign w:val="superscript"/>
        </w:rPr>
        <w:t>[9]</w:t>
      </w:r>
      <w:r w:rsidRPr="00966B85">
        <w:rPr>
          <w:rFonts w:ascii="Book Antiqua" w:eastAsia="Book Antiqua" w:hAnsi="Book Antiqua" w:cs="Book Antiqua"/>
          <w:color w:val="000000"/>
          <w:shd w:val="clear" w:color="auto" w:fill="FFFFFF"/>
        </w:rPr>
        <w:t>.</w:t>
      </w:r>
    </w:p>
    <w:p w14:paraId="3269DCD8"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Commensal bacteria</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found in the intestinal lumen prevent the proliferation of potential pathogens through regulating intestinal pH and decreasing the nutrients required by those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pathogens.</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On the surface of the lumen, a layer of water, the glycocalyx, and the mucus layer containing immunoglobulin A</w:t>
      </w:r>
      <w:r w:rsidR="00E72A42" w:rsidRPr="00966B85">
        <w:rPr>
          <w:rFonts w:ascii="Book Antiqua" w:hAnsi="Book Antiqua" w:cs="Book Antiqua" w:hint="eastAsia"/>
          <w:color w:val="000000"/>
          <w:shd w:val="clear" w:color="auto" w:fill="FFFFFF"/>
          <w:lang w:eastAsia="zh-CN"/>
        </w:rPr>
        <w:t xml:space="preserve"> (IgA) </w:t>
      </w:r>
      <w:r w:rsidRPr="00966B85">
        <w:rPr>
          <w:rFonts w:ascii="Book Antiqua" w:eastAsia="Book Antiqua" w:hAnsi="Book Antiqua" w:cs="Book Antiqua"/>
          <w:color w:val="000000"/>
          <w:shd w:val="clear" w:color="auto" w:fill="FFFFFF"/>
        </w:rPr>
        <w:t>create a first defensive line, preventing adhesion of pathogenic bacteria to the epithelium and diminishing interaction between pathogen and epithelial cells.</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In addition, antimicrobial agents secreted by epithelial cells attract monocytes and assist in the opsonization of macrophages. Immunoglobulins and cytokines are secreted by cells of the lamina propria, as those cells are part of the innate and</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lastRenderedPageBreak/>
        <w:t>acquired immune system and play a vast role in immunological regulation in the intestine</w:t>
      </w:r>
      <w:r w:rsidRPr="00966B85">
        <w:rPr>
          <w:rFonts w:ascii="Book Antiqua" w:eastAsia="Book Antiqua" w:hAnsi="Book Antiqua" w:cs="Book Antiqua"/>
          <w:color w:val="000000"/>
          <w:shd w:val="clear" w:color="auto" w:fill="FFFFFF"/>
          <w:vertAlign w:val="superscript"/>
        </w:rPr>
        <w:t>[10]</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rPr>
        <w:t xml:space="preserve">Besides having a role as a physical barrier, the mucus layer of the intestine contains an abundance of secretory </w:t>
      </w:r>
      <w:r w:rsidR="00E72A42" w:rsidRPr="00966B85">
        <w:rPr>
          <w:rFonts w:ascii="Book Antiqua" w:hAnsi="Book Antiqua" w:cs="Book Antiqua" w:hint="eastAsia"/>
          <w:color w:val="000000"/>
          <w:shd w:val="clear" w:color="auto" w:fill="FFFFFF"/>
          <w:lang w:eastAsia="zh-CN"/>
        </w:rPr>
        <w:t>IgA</w:t>
      </w:r>
      <w:r w:rsidRPr="00966B85">
        <w:rPr>
          <w:rFonts w:ascii="Book Antiqua" w:eastAsia="Book Antiqua" w:hAnsi="Book Antiqua" w:cs="Book Antiqua"/>
          <w:color w:val="000000"/>
        </w:rPr>
        <w:t xml:space="preserve"> and antimicrobial proteins. There is a substantial difference in the composition of the mucus layer between the small and large intestine. This layer in the small intestine is penetrable by bacteria, while the large intestine has both a penetrable outer mucus layer and an impenetrable inner mucus layer. Intestinal epithelial cells create a defense barrier below the layers of mucous inside the lumen of the intestine</w:t>
      </w:r>
      <w:r w:rsidRPr="00966B85">
        <w:rPr>
          <w:rFonts w:ascii="Book Antiqua" w:eastAsia="Book Antiqua" w:hAnsi="Book Antiqua" w:cs="Book Antiqua"/>
          <w:color w:val="000000"/>
          <w:vertAlign w:val="superscript"/>
        </w:rPr>
        <w:t>[11]</w:t>
      </w:r>
      <w:r w:rsidRPr="00966B85">
        <w:rPr>
          <w:rFonts w:ascii="Book Antiqua" w:eastAsia="Book Antiqua" w:hAnsi="Book Antiqua" w:cs="Book Antiqua"/>
          <w:color w:val="000000"/>
        </w:rPr>
        <w:t>.</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A barrier formed by mucins between the intestinal lumen and intestinal epithelial cells can regulate expression of tolerogenic and inflammatory cytokines</w:t>
      </w:r>
      <w:r w:rsidRPr="00966B85">
        <w:rPr>
          <w:rFonts w:ascii="Book Antiqua" w:eastAsia="Book Antiqua" w:hAnsi="Book Antiqua" w:cs="Book Antiqua"/>
          <w:color w:val="000000"/>
          <w:vertAlign w:val="superscript"/>
        </w:rPr>
        <w:t>[12]</w:t>
      </w:r>
      <w:r w:rsidRPr="00966B85">
        <w:rPr>
          <w:rFonts w:ascii="Book Antiqua" w:eastAsia="Book Antiqua" w:hAnsi="Book Antiqua" w:cs="Book Antiqua"/>
          <w:color w:val="000000"/>
        </w:rPr>
        <w:t>.</w:t>
      </w:r>
    </w:p>
    <w:p w14:paraId="224A0C08" w14:textId="77777777" w:rsidR="00C132BE" w:rsidRPr="00966B85" w:rsidRDefault="00C132BE" w:rsidP="00C132BE">
      <w:pPr>
        <w:snapToGrid w:val="0"/>
        <w:spacing w:line="360" w:lineRule="auto"/>
        <w:jc w:val="both"/>
        <w:rPr>
          <w:rFonts w:ascii="Book Antiqua" w:hAnsi="Book Antiqua"/>
        </w:rPr>
      </w:pPr>
    </w:p>
    <w:p w14:paraId="0DBC6647" w14:textId="77777777" w:rsidR="00C132BE" w:rsidRPr="00966B85" w:rsidRDefault="00E72A42" w:rsidP="00C132BE">
      <w:pPr>
        <w:snapToGrid w:val="0"/>
        <w:spacing w:line="360" w:lineRule="auto"/>
        <w:jc w:val="both"/>
        <w:rPr>
          <w:rFonts w:ascii="Book Antiqua" w:hAnsi="Book Antiqua"/>
          <w:lang w:eastAsia="zh-CN"/>
        </w:rPr>
      </w:pPr>
      <w:r w:rsidRPr="00966B85">
        <w:rPr>
          <w:rFonts w:ascii="Book Antiqua" w:eastAsia="Book Antiqua" w:hAnsi="Book Antiqua" w:cs="Book Antiqua"/>
          <w:b/>
          <w:bCs/>
          <w:caps/>
          <w:color w:val="000000"/>
          <w:u w:val="single"/>
          <w:shd w:val="clear" w:color="auto" w:fill="FFFFFF"/>
        </w:rPr>
        <w:t>Intestinal Permeability</w:t>
      </w:r>
    </w:p>
    <w:p w14:paraId="0FAC5D54" w14:textId="77777777" w:rsidR="00C132BE" w:rsidRPr="00966B85" w:rsidRDefault="00C132BE" w:rsidP="00C132BE">
      <w:pPr>
        <w:snapToGrid w:val="0"/>
        <w:spacing w:line="360" w:lineRule="auto"/>
        <w:jc w:val="both"/>
        <w:rPr>
          <w:rFonts w:ascii="Book Antiqua" w:hAnsi="Book Antiqua"/>
          <w:lang w:eastAsia="zh-CN"/>
        </w:rPr>
      </w:pPr>
      <w:r w:rsidRPr="00966B85">
        <w:rPr>
          <w:rFonts w:ascii="Book Antiqua" w:eastAsia="Book Antiqua" w:hAnsi="Book Antiqua" w:cs="Book Antiqua"/>
          <w:color w:val="000000"/>
          <w:shd w:val="clear" w:color="auto" w:fill="FFFFFF"/>
        </w:rPr>
        <w:t>Intestinal epithelial cells are connected to each other with tight junctions</w:t>
      </w:r>
      <w:r w:rsidRPr="00966B85">
        <w:rPr>
          <w:rFonts w:ascii="Book Antiqua" w:eastAsia="Book Antiqua" w:hAnsi="Book Antiqua" w:cs="Book Antiqua"/>
          <w:color w:val="000000"/>
          <w:shd w:val="clear" w:color="auto" w:fill="FFFFFF"/>
          <w:vertAlign w:val="superscript"/>
        </w:rPr>
        <w:t>[9,10]</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Tight junctions are an assembly of multiple proteins located on the apical part of neighboring epithelial cells and affect paracellular permeability, as they selectively regulate permeability. Tight junctions are fundamental in maintaining intestinal barrier function. They act as adhesive and mechanical mediators, maintaining barrier function, but do not seal the paracellular space. There are two functional protein categories, namely integral transmembrane proteins that form a network between adjacent cell membranes and peripheral membranes. Four integral transmembrane proteins are occludin, claudin, junctional adhesion molecule, and tricellulin</w:t>
      </w:r>
      <w:r w:rsidRPr="00966B85">
        <w:rPr>
          <w:rFonts w:ascii="Book Antiqua" w:eastAsia="Book Antiqua" w:hAnsi="Book Antiqua" w:cs="Book Antiqua"/>
          <w:color w:val="000000"/>
          <w:shd w:val="clear" w:color="auto" w:fill="FFFFFF"/>
          <w:vertAlign w:val="superscript"/>
        </w:rPr>
        <w:t>[1</w:t>
      </w:r>
      <w:r w:rsidR="003B48CD" w:rsidRPr="00966B85">
        <w:rPr>
          <w:rFonts w:ascii="Book Antiqua" w:hAnsi="Book Antiqua" w:cs="Book Antiqua" w:hint="eastAsia"/>
          <w:color w:val="000000"/>
          <w:shd w:val="clear" w:color="auto" w:fill="FFFFFF"/>
          <w:vertAlign w:val="superscript"/>
          <w:lang w:eastAsia="zh-CN"/>
        </w:rPr>
        <w:t>3</w:t>
      </w:r>
      <w:r w:rsidRPr="00966B85">
        <w:rPr>
          <w:rFonts w:ascii="Book Antiqua" w:eastAsia="Book Antiqua" w:hAnsi="Book Antiqua" w:cs="Book Antiqua"/>
          <w:color w:val="000000"/>
          <w:shd w:val="clear" w:color="auto" w:fill="FFFFFF"/>
          <w:vertAlign w:val="superscript"/>
        </w:rPr>
        <w:t>,1</w:t>
      </w:r>
      <w:r w:rsidR="003B48CD" w:rsidRPr="00966B85">
        <w:rPr>
          <w:rFonts w:ascii="Book Antiqua" w:hAnsi="Book Antiqua" w:cs="Book Antiqua" w:hint="eastAsia"/>
          <w:color w:val="000000"/>
          <w:shd w:val="clear" w:color="auto" w:fill="FFFFFF"/>
          <w:vertAlign w:val="superscript"/>
          <w:lang w:eastAsia="zh-CN"/>
        </w:rPr>
        <w:t>4</w:t>
      </w:r>
      <w:r w:rsidRPr="00966B85">
        <w:rPr>
          <w:rFonts w:ascii="Book Antiqua" w:eastAsia="Book Antiqua" w:hAnsi="Book Antiqua" w:cs="Book Antiqua"/>
          <w:color w:val="000000"/>
          <w:shd w:val="clear" w:color="auto" w:fill="FFFFFF"/>
          <w:vertAlign w:val="superscript"/>
        </w:rPr>
        <w:t>]</w:t>
      </w:r>
      <w:r w:rsidRPr="00966B85">
        <w:rPr>
          <w:rFonts w:ascii="Book Antiqua" w:eastAsia="Book Antiqua" w:hAnsi="Book Antiqua" w:cs="Book Antiqua"/>
          <w:color w:val="000000"/>
          <w:shd w:val="clear" w:color="auto" w:fill="FFFFFF"/>
        </w:rPr>
        <w:t>. In certain conditions of intestinal inflammation, it is shown that these tight junctions dysfunction, increasing</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permeability. The repair process of the epithelial cells affects intestinal motility and is considered an important factor in intestinal barrier function</w:t>
      </w:r>
      <w:r w:rsidRPr="00966B85">
        <w:rPr>
          <w:rFonts w:ascii="Book Antiqua" w:eastAsia="Book Antiqua" w:hAnsi="Book Antiqua" w:cs="Book Antiqua"/>
          <w:color w:val="000000"/>
          <w:shd w:val="clear" w:color="auto" w:fill="FFFFFF"/>
          <w:vertAlign w:val="superscript"/>
        </w:rPr>
        <w:t>[9,10,1</w:t>
      </w:r>
      <w:r w:rsidR="003B48CD" w:rsidRPr="00966B85">
        <w:rPr>
          <w:rFonts w:ascii="Book Antiqua" w:hAnsi="Book Antiqua" w:cs="Book Antiqua" w:hint="eastAsia"/>
          <w:color w:val="000000"/>
          <w:shd w:val="clear" w:color="auto" w:fill="FFFFFF"/>
          <w:vertAlign w:val="superscript"/>
          <w:lang w:eastAsia="zh-CN"/>
        </w:rPr>
        <w:t>5</w:t>
      </w:r>
      <w:r w:rsidRPr="00966B85">
        <w:rPr>
          <w:rFonts w:ascii="Book Antiqua" w:eastAsia="Book Antiqua" w:hAnsi="Book Antiqua" w:cs="Book Antiqua"/>
          <w:color w:val="000000"/>
          <w:shd w:val="clear" w:color="auto" w:fill="FFFFFF"/>
          <w:vertAlign w:val="superscript"/>
        </w:rPr>
        <w:t>]</w:t>
      </w:r>
      <w:r w:rsidRPr="00966B85">
        <w:rPr>
          <w:rFonts w:ascii="Book Antiqua" w:eastAsia="Book Antiqua" w:hAnsi="Book Antiqua" w:cs="Book Antiqua"/>
          <w:color w:val="000000"/>
          <w:shd w:val="clear" w:color="auto" w:fill="FFFFFF"/>
        </w:rPr>
        <w:t>.</w:t>
      </w:r>
    </w:p>
    <w:p w14:paraId="62852772"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Intestinal permeability is the condition during which</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soluble molecules and fluids are exchanged between the intestinal lumen and tissues. In normal conditions, intestinal barrier homeostasis acts to prevent this exchange, but both permeability and barrier function are dynamic states</w:t>
      </w:r>
      <w:r w:rsidRPr="00966B85">
        <w:rPr>
          <w:rFonts w:ascii="Book Antiqua" w:eastAsia="Book Antiqua" w:hAnsi="Book Antiqua" w:cs="Book Antiqua"/>
          <w:color w:val="000000"/>
          <w:shd w:val="clear" w:color="auto" w:fill="FFFFFF"/>
          <w:vertAlign w:val="superscript"/>
        </w:rPr>
        <w:t>[16]</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Dysfunction of the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lastRenderedPageBreak/>
        <w:t>mucosal barrier</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can be found</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in both stress-associated conditions and in a diverse group of conditions in otherwise healthy people. It has been shown that there is increased intestinal permeability in patients with gastroenterological diseases correlated with intestinal inflammation, especially in those with inflammatory bowel disease. In addition, healthy relatives of these patients are at high risk of developing increased intestinal permeability</w:t>
      </w:r>
      <w:r w:rsidRPr="00966B85">
        <w:rPr>
          <w:rFonts w:ascii="Book Antiqua" w:eastAsia="Book Antiqua" w:hAnsi="Book Antiqua" w:cs="Book Antiqua"/>
          <w:color w:val="000000"/>
          <w:shd w:val="clear" w:color="auto" w:fill="FFFFFF"/>
          <w:vertAlign w:val="superscript"/>
        </w:rPr>
        <w:t>[17,18]</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Use of non-steroidal anti-inflammatory drugs may alter the structural normality of the intestinal lumen, thereby impairing the barrier and potentially increasing permeability</w:t>
      </w:r>
      <w:r w:rsidRPr="00966B85">
        <w:rPr>
          <w:rFonts w:ascii="Book Antiqua" w:eastAsia="Book Antiqua" w:hAnsi="Book Antiqua" w:cs="Book Antiqua"/>
          <w:color w:val="000000"/>
          <w:shd w:val="clear" w:color="auto" w:fill="FFFFFF"/>
          <w:vertAlign w:val="superscript"/>
        </w:rPr>
        <w:t>[19]</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More importantly, studies have shown that in a number of patients undergoing abdominal surgery, bacterial DNA was detected as early as a few hours postoperatively, indicating a relation between surgery and translocation</w:t>
      </w:r>
      <w:r w:rsidRPr="00966B85">
        <w:rPr>
          <w:rFonts w:ascii="Book Antiqua" w:eastAsia="Book Antiqua" w:hAnsi="Book Antiqua" w:cs="Book Antiqua"/>
          <w:color w:val="000000"/>
          <w:shd w:val="clear" w:color="auto" w:fill="FFFFFF"/>
          <w:vertAlign w:val="superscript"/>
        </w:rPr>
        <w:t>[6]</w:t>
      </w:r>
      <w:r w:rsidRPr="00966B85">
        <w:rPr>
          <w:rFonts w:ascii="Book Antiqua" w:eastAsia="Book Antiqua" w:hAnsi="Book Antiqua" w:cs="Book Antiqua"/>
          <w:color w:val="000000"/>
          <w:shd w:val="clear" w:color="auto" w:fill="FFFFFF"/>
        </w:rPr>
        <w:t>.</w:t>
      </w:r>
    </w:p>
    <w:p w14:paraId="294728A4" w14:textId="77777777" w:rsidR="00C132BE" w:rsidRPr="00966B85" w:rsidRDefault="00C132BE" w:rsidP="00C132BE">
      <w:pPr>
        <w:snapToGrid w:val="0"/>
        <w:spacing w:line="360" w:lineRule="auto"/>
        <w:jc w:val="both"/>
        <w:rPr>
          <w:rFonts w:ascii="Book Antiqua" w:hAnsi="Book Antiqua"/>
        </w:rPr>
      </w:pPr>
    </w:p>
    <w:p w14:paraId="29EEE875"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aps/>
          <w:color w:val="000000"/>
          <w:u w:val="single"/>
          <w:shd w:val="clear" w:color="auto" w:fill="FFFFFF"/>
        </w:rPr>
        <w:t>Intestinal Microbiota in gastrointestinal diseases</w:t>
      </w:r>
    </w:p>
    <w:p w14:paraId="4D5891EA" w14:textId="77777777" w:rsidR="00C132BE" w:rsidRPr="00966B85" w:rsidRDefault="00C132BE" w:rsidP="00C132BE">
      <w:pPr>
        <w:snapToGrid w:val="0"/>
        <w:spacing w:line="360" w:lineRule="auto"/>
        <w:jc w:val="both"/>
        <w:rPr>
          <w:rFonts w:ascii="Book Antiqua" w:hAnsi="Book Antiqua"/>
          <w:lang w:eastAsia="zh-CN"/>
        </w:rPr>
      </w:pPr>
      <w:r w:rsidRPr="00966B85">
        <w:rPr>
          <w:rFonts w:ascii="Book Antiqua" w:eastAsia="Book Antiqua" w:hAnsi="Book Antiqua" w:cs="Book Antiqua"/>
          <w:color w:val="000000"/>
          <w:shd w:val="clear" w:color="auto" w:fill="FFFFFF"/>
        </w:rPr>
        <w:t>The human intestinal microbiota plays a main role in intestinal metabolism and in immunological response of the intestines</w:t>
      </w:r>
      <w:r w:rsidRPr="00966B85">
        <w:rPr>
          <w:rFonts w:ascii="Book Antiqua" w:eastAsia="Book Antiqua" w:hAnsi="Book Antiqua" w:cs="Book Antiqua"/>
          <w:color w:val="000000"/>
          <w:shd w:val="clear" w:color="auto" w:fill="FFFFFF"/>
          <w:vertAlign w:val="superscript"/>
        </w:rPr>
        <w:t>[20]</w:t>
      </w:r>
      <w:r w:rsidRPr="00966B85">
        <w:rPr>
          <w:rFonts w:ascii="Book Antiqua" w:eastAsia="Book Antiqua" w:hAnsi="Book Antiqua" w:cs="Book Antiqua"/>
          <w:color w:val="000000"/>
          <w:shd w:val="clear" w:color="auto" w:fill="FFFFFF"/>
        </w:rPr>
        <w:t>. Balance of the intestinal microbiota is a prerequisite for a healthy intestinal environment. Imbalance of microbiota and of the host immune system is present in intestinal diseases. Altered concentrations of commensal intestinal bacteria depends on disease activity, and this can easily be noted when patients are compared to healthy individuals</w:t>
      </w:r>
      <w:r w:rsidRPr="00966B85">
        <w:rPr>
          <w:rFonts w:ascii="Book Antiqua" w:eastAsia="Book Antiqua" w:hAnsi="Book Antiqua" w:cs="Book Antiqua"/>
          <w:color w:val="000000"/>
          <w:shd w:val="clear" w:color="auto" w:fill="FFFFFF"/>
          <w:vertAlign w:val="superscript"/>
        </w:rPr>
        <w:t>[21]</w:t>
      </w:r>
      <w:r w:rsidRPr="00966B85">
        <w:rPr>
          <w:rFonts w:ascii="Book Antiqua" w:eastAsia="Book Antiqua" w:hAnsi="Book Antiqua" w:cs="Book Antiqua"/>
          <w:color w:val="000000"/>
          <w:shd w:val="clear" w:color="auto" w:fill="FFFFFF"/>
        </w:rPr>
        <w:t>.</w:t>
      </w:r>
    </w:p>
    <w:p w14:paraId="59E2ADCD"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 xml:space="preserve">Studies in patients with colorectal cancer have shown that alterations in microbiota are also associated with tumorigenesis. These alterations are characterized by the dominance of certain bacteria species. In the spotlight are </w:t>
      </w:r>
      <w:r w:rsidRPr="00966B85">
        <w:rPr>
          <w:rFonts w:ascii="Book Antiqua" w:eastAsia="Book Antiqua" w:hAnsi="Book Antiqua" w:cs="Book Antiqua"/>
          <w:i/>
          <w:iCs/>
          <w:color w:val="000000"/>
          <w:shd w:val="clear" w:color="auto" w:fill="FFFFFF"/>
        </w:rPr>
        <w:t>Fusobacterium nucleatum</w:t>
      </w:r>
      <w:r w:rsidRPr="00966B85">
        <w:rPr>
          <w:rFonts w:ascii="Book Antiqua" w:eastAsia="Book Antiqua" w:hAnsi="Book Antiqua" w:cs="Book Antiqua"/>
          <w:color w:val="000000"/>
          <w:shd w:val="clear" w:color="auto" w:fill="FFFFFF"/>
        </w:rPr>
        <w:t xml:space="preserve">, </w:t>
      </w:r>
      <w:r w:rsidRPr="00966B85">
        <w:rPr>
          <w:rFonts w:ascii="Book Antiqua" w:eastAsia="Book Antiqua" w:hAnsi="Book Antiqua" w:cs="Book Antiqua"/>
          <w:i/>
          <w:iCs/>
          <w:color w:val="000000"/>
          <w:shd w:val="clear" w:color="auto" w:fill="FFFFFF"/>
        </w:rPr>
        <w:t>Escherichia coli</w:t>
      </w:r>
      <w:r w:rsidRPr="00966B85">
        <w:rPr>
          <w:rFonts w:ascii="Book Antiqua" w:eastAsia="Book Antiqua" w:hAnsi="Book Antiqua" w:cs="Book Antiqua"/>
          <w:color w:val="000000"/>
          <w:shd w:val="clear" w:color="auto" w:fill="FFFFFF"/>
        </w:rPr>
        <w:t xml:space="preserve">, and </w:t>
      </w:r>
      <w:r w:rsidRPr="00966B85">
        <w:rPr>
          <w:rFonts w:ascii="Book Antiqua" w:eastAsia="Book Antiqua" w:hAnsi="Book Antiqua" w:cs="Book Antiqua"/>
          <w:i/>
          <w:iCs/>
          <w:color w:val="000000"/>
          <w:shd w:val="clear" w:color="auto" w:fill="FFFFFF"/>
        </w:rPr>
        <w:t>Bacteroides fragilis</w:t>
      </w:r>
      <w:r w:rsidRPr="00966B85">
        <w:rPr>
          <w:rFonts w:ascii="Book Antiqua" w:eastAsia="Book Antiqua" w:hAnsi="Book Antiqua" w:cs="Book Antiqua"/>
          <w:color w:val="000000"/>
          <w:shd w:val="clear" w:color="auto" w:fill="FFFFFF"/>
          <w:vertAlign w:val="superscript"/>
        </w:rPr>
        <w:t>[22]</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 xml:space="preserve">Analyses of intestinal microbiota are performed using 16S ribosomal RNA techniques. When the aforementioned bacteria species are increased, other bacteria are depleted. Gram-positive bacteria are vastly affected, and </w:t>
      </w:r>
      <w:r w:rsidRPr="00966B85">
        <w:rPr>
          <w:rFonts w:ascii="Book Antiqua" w:eastAsia="Book Antiqua" w:hAnsi="Book Antiqua" w:cs="Book Antiqua"/>
          <w:i/>
          <w:iCs/>
          <w:color w:val="000000"/>
          <w:shd w:val="clear" w:color="auto" w:fill="FFFFFF"/>
        </w:rPr>
        <w:t>Clostridia</w:t>
      </w:r>
      <w:r w:rsidRPr="00966B85">
        <w:rPr>
          <w:rFonts w:ascii="Book Antiqua" w:eastAsia="Book Antiqua" w:hAnsi="Book Antiqua" w:cs="Book Antiqua"/>
          <w:color w:val="000000"/>
          <w:shd w:val="clear" w:color="auto" w:fill="FFFFFF"/>
        </w:rPr>
        <w:t xml:space="preserve"> species are also decreased in these patients</w:t>
      </w:r>
      <w:r w:rsidRPr="00966B85">
        <w:rPr>
          <w:rFonts w:ascii="Book Antiqua" w:eastAsia="Book Antiqua" w:hAnsi="Book Antiqua" w:cs="Book Antiqua"/>
          <w:color w:val="000000"/>
          <w:shd w:val="clear" w:color="auto" w:fill="FFFFFF"/>
          <w:vertAlign w:val="superscript"/>
        </w:rPr>
        <w:t>[23</w:t>
      </w:r>
      <w:r w:rsidR="00E72A42" w:rsidRPr="00966B85">
        <w:rPr>
          <w:rFonts w:ascii="Book Antiqua" w:hAnsi="Book Antiqua" w:cs="Book Antiqua" w:hint="eastAsia"/>
          <w:color w:val="000000"/>
          <w:shd w:val="clear" w:color="auto" w:fill="FFFFFF"/>
          <w:vertAlign w:val="superscript"/>
          <w:lang w:eastAsia="zh-CN"/>
        </w:rPr>
        <w:t>-</w:t>
      </w:r>
      <w:r w:rsidRPr="00966B85">
        <w:rPr>
          <w:rFonts w:ascii="Book Antiqua" w:eastAsia="Book Antiqua" w:hAnsi="Book Antiqua" w:cs="Book Antiqua"/>
          <w:color w:val="000000"/>
          <w:shd w:val="clear" w:color="auto" w:fill="FFFFFF"/>
          <w:vertAlign w:val="superscript"/>
        </w:rPr>
        <w:t>26]</w:t>
      </w:r>
      <w:r w:rsidRPr="00966B85">
        <w:rPr>
          <w:rFonts w:ascii="Book Antiqua" w:eastAsia="Book Antiqua" w:hAnsi="Book Antiqua" w:cs="Book Antiqua"/>
          <w:color w:val="000000"/>
          <w:shd w:val="clear" w:color="auto" w:fill="FFFFFF"/>
        </w:rPr>
        <w:t xml:space="preserve">. </w:t>
      </w:r>
      <w:r w:rsidRPr="00966B85">
        <w:rPr>
          <w:rFonts w:ascii="Book Antiqua" w:eastAsia="Book Antiqua" w:hAnsi="Book Antiqua" w:cs="Book Antiqua"/>
          <w:i/>
          <w:iCs/>
          <w:color w:val="000000"/>
          <w:shd w:val="clear" w:color="auto" w:fill="FFFFFF"/>
        </w:rPr>
        <w:t>Bacteroides fragilis</w:t>
      </w:r>
      <w:r w:rsidRPr="00966B85">
        <w:rPr>
          <w:rFonts w:ascii="Book Antiqua" w:eastAsia="Book Antiqua" w:hAnsi="Book Antiqua" w:cs="Book Antiqua"/>
          <w:color w:val="000000"/>
          <w:shd w:val="clear" w:color="auto" w:fill="FFFFFF"/>
        </w:rPr>
        <w:t xml:space="preserve"> colonizes the intestine and has a prominent place in the microbiota. Although </w:t>
      </w:r>
      <w:r w:rsidRPr="00966B85">
        <w:rPr>
          <w:rFonts w:ascii="Book Antiqua" w:eastAsia="Book Antiqua" w:hAnsi="Book Antiqua" w:cs="Book Antiqua"/>
          <w:i/>
          <w:iCs/>
          <w:color w:val="000000"/>
          <w:shd w:val="clear" w:color="auto" w:fill="FFFFFF"/>
        </w:rPr>
        <w:t>Escherichia coli</w:t>
      </w:r>
      <w:r w:rsidRPr="00966B85">
        <w:rPr>
          <w:rFonts w:ascii="Book Antiqua" w:eastAsia="Book Antiqua" w:hAnsi="Book Antiqua" w:cs="Book Antiqua"/>
          <w:color w:val="000000"/>
          <w:shd w:val="clear" w:color="auto" w:fill="FFFFFF"/>
        </w:rPr>
        <w:t xml:space="preserve"> is considered a commensal bacteria, some of its species are potential pathogens, promoting </w:t>
      </w:r>
      <w:r w:rsidRPr="00966B85">
        <w:rPr>
          <w:rFonts w:ascii="Book Antiqua" w:eastAsia="Book Antiqua" w:hAnsi="Book Antiqua" w:cs="Book Antiqua"/>
          <w:color w:val="000000"/>
          <w:shd w:val="clear" w:color="auto" w:fill="FFFFFF"/>
        </w:rPr>
        <w:lastRenderedPageBreak/>
        <w:t>intestinal inflammation and producing oncogenic toxins. This phenomenon, when there is an imbalance in intestinal flora, is called dysbiosis. Dysbiosis may characterize inflammatory gastrointestinal diseases and colorectal cancer but may also be explained by the changes in dietary habits that have occurred over the past decades. The importance of metabolites and their products to intestinal inflammation have led to increased concern for the impact of metabolic diseases on microbiota</w:t>
      </w:r>
      <w:r w:rsidRPr="00966B85">
        <w:rPr>
          <w:rFonts w:ascii="Book Antiqua" w:eastAsia="Book Antiqua" w:hAnsi="Book Antiqua" w:cs="Book Antiqua"/>
          <w:color w:val="000000"/>
          <w:shd w:val="clear" w:color="auto" w:fill="FFFFFF"/>
          <w:vertAlign w:val="superscript"/>
        </w:rPr>
        <w:t>[23,27]</w:t>
      </w:r>
      <w:r w:rsidRPr="00966B85">
        <w:rPr>
          <w:rFonts w:ascii="Book Antiqua" w:eastAsia="Book Antiqua" w:hAnsi="Book Antiqua" w:cs="Book Antiqua"/>
          <w:color w:val="000000"/>
          <w:shd w:val="clear" w:color="auto" w:fill="FFFFFF"/>
        </w:rPr>
        <w:t>.</w:t>
      </w:r>
    </w:p>
    <w:p w14:paraId="68326B9C"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Bowel obstruction has both local and systemic effects. Fecal retention promotes bacterial overgrowth. Besides changes in bowel motility, moderate inflammation is a probable finding. This inflammatory response may lead to systemic responses, with sepsis and septic shock being the most serious. The causative factor for these systemic responses is bacterial translocation</w:t>
      </w:r>
      <w:r w:rsidRPr="00966B85">
        <w:rPr>
          <w:rFonts w:ascii="Book Antiqua" w:eastAsia="Book Antiqua" w:hAnsi="Book Antiqua" w:cs="Book Antiqua"/>
          <w:color w:val="000000"/>
          <w:shd w:val="clear" w:color="auto" w:fill="FFFFFF"/>
          <w:vertAlign w:val="superscript"/>
        </w:rPr>
        <w:t>[28]</w:t>
      </w:r>
      <w:r w:rsidRPr="00966B85">
        <w:rPr>
          <w:rFonts w:ascii="Book Antiqua" w:eastAsia="Book Antiqua" w:hAnsi="Book Antiqua" w:cs="Book Antiqua"/>
          <w:color w:val="000000"/>
          <w:shd w:val="clear" w:color="auto" w:fill="FFFFFF"/>
        </w:rPr>
        <w:t>.</w:t>
      </w:r>
    </w:p>
    <w:p w14:paraId="71572D37" w14:textId="77777777" w:rsidR="00C132BE" w:rsidRPr="00966B85" w:rsidRDefault="00C132BE" w:rsidP="00C132BE">
      <w:pPr>
        <w:snapToGrid w:val="0"/>
        <w:spacing w:line="360" w:lineRule="auto"/>
        <w:jc w:val="both"/>
        <w:rPr>
          <w:rFonts w:ascii="Book Antiqua" w:hAnsi="Book Antiqua"/>
        </w:rPr>
      </w:pPr>
    </w:p>
    <w:p w14:paraId="386E8640"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aps/>
          <w:color w:val="000000"/>
          <w:u w:val="single"/>
          <w:shd w:val="clear" w:color="auto" w:fill="FFFFFF"/>
        </w:rPr>
        <w:t>Bacterial Translocation, Abdominal Surgery, and Postoperative Sepsis</w:t>
      </w:r>
    </w:p>
    <w:p w14:paraId="0321150D"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shd w:val="clear" w:color="auto" w:fill="FFFFFF"/>
        </w:rPr>
        <w:t>Bacterial translocation, attributed to increased intestinal permeability, can be present as early as 2 h after abdominal surgery. The grade and the prognosis depend on the severity of surgical trauma and the presence of</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intestinal ischemia.</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Studies have proposed that the potential mechanism involves visceral</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vasoconstriction due to surgical</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trauma, anesthetic agents, intestinal ischemia, and blood loss. In addition, production of vasoactive agents and release of inflammatory cytokines promote visceral vasoconstriction and therefore intestinal ischemia. Postoperative bacterial translocation is associated with systematic infection and systematic inflammatory response</w:t>
      </w:r>
      <w:r w:rsidRPr="00966B85">
        <w:rPr>
          <w:rFonts w:ascii="Book Antiqua" w:eastAsia="Book Antiqua" w:hAnsi="Book Antiqua" w:cs="Book Antiqua"/>
          <w:color w:val="000000"/>
          <w:shd w:val="clear" w:color="auto" w:fill="FFFFFF"/>
          <w:vertAlign w:val="superscript"/>
        </w:rPr>
        <w:t>[6]</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(Figure 1).</w:t>
      </w:r>
    </w:p>
    <w:p w14:paraId="2731585C"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 xml:space="preserve">In order to assess and confirm bacterial translocation, cultures from mesenteric lymph nodes are taken. Furthermore, blood cultures are collected from patients in the postoperative period. These samples are assessed using real-time polymerase chain reaction techniques to identify bacteria. In the case of bacterial translocation, positive cultures of samples from mesenteric lymph nodes have </w:t>
      </w:r>
      <w:r w:rsidRPr="00966B85">
        <w:rPr>
          <w:rFonts w:ascii="Book Antiqua" w:eastAsia="Book Antiqua" w:hAnsi="Book Antiqua" w:cs="Book Antiqua"/>
          <w:color w:val="000000"/>
          <w:shd w:val="clear" w:color="auto" w:fill="FFFFFF"/>
        </w:rPr>
        <w:lastRenderedPageBreak/>
        <w:t>been reported to have slightly higher specificity</w:t>
      </w:r>
      <w:r w:rsidRPr="00966B85">
        <w:rPr>
          <w:rFonts w:ascii="Book Antiqua" w:eastAsia="Book Antiqua" w:hAnsi="Book Antiqua" w:cs="Book Antiqua"/>
          <w:color w:val="000000"/>
          <w:shd w:val="clear" w:color="auto" w:fill="FFFFFF"/>
          <w:vertAlign w:val="superscript"/>
        </w:rPr>
        <w:t>[29</w:t>
      </w:r>
      <w:r w:rsidR="00E72A42" w:rsidRPr="00966B85">
        <w:rPr>
          <w:rFonts w:ascii="Book Antiqua" w:hAnsi="Book Antiqua" w:cs="Book Antiqua" w:hint="eastAsia"/>
          <w:color w:val="000000"/>
          <w:shd w:val="clear" w:color="auto" w:fill="FFFFFF"/>
          <w:vertAlign w:val="superscript"/>
          <w:lang w:eastAsia="zh-CN"/>
        </w:rPr>
        <w:t>-</w:t>
      </w:r>
      <w:r w:rsidRPr="00966B85">
        <w:rPr>
          <w:rFonts w:ascii="Book Antiqua" w:eastAsia="Book Antiqua" w:hAnsi="Book Antiqua" w:cs="Book Antiqua"/>
          <w:color w:val="000000"/>
          <w:shd w:val="clear" w:color="auto" w:fill="FFFFFF"/>
          <w:vertAlign w:val="superscript"/>
        </w:rPr>
        <w:t>31]</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 xml:space="preserve">The most common isolated bacterium associated with translocation is </w:t>
      </w:r>
      <w:r w:rsidRPr="00966B85">
        <w:rPr>
          <w:rFonts w:ascii="Book Antiqua" w:eastAsia="Book Antiqua" w:hAnsi="Book Antiqua" w:cs="Book Antiqua"/>
          <w:i/>
          <w:iCs/>
          <w:color w:val="000000"/>
          <w:shd w:val="clear" w:color="auto" w:fill="FFFFFF"/>
        </w:rPr>
        <w:t>Escherichia coli</w:t>
      </w:r>
      <w:r w:rsidRPr="00966B85">
        <w:rPr>
          <w:rFonts w:ascii="Book Antiqua" w:eastAsia="Book Antiqua" w:hAnsi="Book Antiqua" w:cs="Book Antiqua"/>
          <w:color w:val="000000"/>
          <w:shd w:val="clear" w:color="auto" w:fill="FFFFFF"/>
          <w:vertAlign w:val="superscript"/>
        </w:rPr>
        <w:t>[32]</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A feasible method proposed to assess and monitor the progress of bacterial translocation is the evaluation of levels of D-lactate. D-lactate is a product of bacteria normally found in the intestinal lumen and is not metabolized by the human body. Levels of plasma D-lactate are used as a postoperative indicator of dissemination of these bacteria from the</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intestinal</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tract to the mesenteric lymph nodes, liver, spleen, and bloodstream</w:t>
      </w:r>
      <w:r w:rsidRPr="00966B85">
        <w:rPr>
          <w:rFonts w:ascii="Book Antiqua" w:eastAsia="Book Antiqua" w:hAnsi="Book Antiqua" w:cs="Book Antiqua"/>
          <w:color w:val="000000"/>
          <w:shd w:val="clear" w:color="auto" w:fill="FFFFFF"/>
          <w:vertAlign w:val="superscript"/>
        </w:rPr>
        <w:t>[33]</w:t>
      </w:r>
      <w:r w:rsidRPr="00966B85">
        <w:rPr>
          <w:rFonts w:ascii="Book Antiqua" w:eastAsia="Book Antiqua" w:hAnsi="Book Antiqua" w:cs="Book Antiqua"/>
          <w:color w:val="000000"/>
          <w:shd w:val="clear" w:color="auto" w:fill="FFFFFF"/>
        </w:rPr>
        <w:t>.</w:t>
      </w:r>
    </w:p>
    <w:p w14:paraId="2B178396"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Infections in the postoperative period are found to be more common in patients with identified bacterial translocation. A positive result in cultures taken from mesenteric lymph nodes is a more accurate prognostic factor than cultures from surgical site, intra-abdominal fluid collection, or peripheral blood samples. In other words, mesenteric lymph nodes act as beacons for progression of the infection</w:t>
      </w:r>
      <w:r w:rsidRPr="00966B85">
        <w:rPr>
          <w:rFonts w:ascii="Book Antiqua" w:eastAsia="Book Antiqua" w:hAnsi="Book Antiqua" w:cs="Book Antiqua"/>
          <w:color w:val="000000"/>
          <w:shd w:val="clear" w:color="auto" w:fill="FFFFFF"/>
          <w:vertAlign w:val="superscript"/>
        </w:rPr>
        <w:t>[34]</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This fact raises concerns regarding prophylactic use of antibiotics in patients undergoing abdominal surgery.</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Elective surgeries are performed under better circumstances and with better precautions taken. Emergency surgeries and surgeries for trauma are considered high-risk for the development of bacterial translocation, thus requiring use of</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antibiotics in the perioperative period</w:t>
      </w:r>
      <w:r w:rsidRPr="00966B85">
        <w:rPr>
          <w:rFonts w:ascii="Book Antiqua" w:eastAsia="Book Antiqua" w:hAnsi="Book Antiqua" w:cs="Book Antiqua"/>
          <w:color w:val="000000"/>
          <w:shd w:val="clear" w:color="auto" w:fill="FFFFFF"/>
          <w:vertAlign w:val="superscript"/>
        </w:rPr>
        <w:t>[35]</w:t>
      </w:r>
      <w:r w:rsidRPr="00966B85">
        <w:rPr>
          <w:rFonts w:ascii="Book Antiqua" w:eastAsia="Book Antiqua" w:hAnsi="Book Antiqua" w:cs="Book Antiqua"/>
          <w:color w:val="000000"/>
          <w:shd w:val="clear" w:color="auto" w:fill="FFFFFF"/>
        </w:rPr>
        <w:t>.</w:t>
      </w:r>
      <w:r w:rsidR="003B48CD"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Patients with advanced colorectal and gastric cancer, potentially associated with cachexia, are also in need of prophylactic use of antibiotics due to immunological imbalance induced by the progressed disease</w:t>
      </w:r>
      <w:r w:rsidRPr="00966B85">
        <w:rPr>
          <w:rFonts w:ascii="Book Antiqua" w:eastAsia="Book Antiqua" w:hAnsi="Book Antiqua" w:cs="Book Antiqua"/>
          <w:color w:val="000000"/>
          <w:shd w:val="clear" w:color="auto" w:fill="FFFFFF"/>
          <w:vertAlign w:val="superscript"/>
        </w:rPr>
        <w:t>[36,37]</w:t>
      </w:r>
      <w:r w:rsidRPr="00966B85">
        <w:rPr>
          <w:rFonts w:ascii="Book Antiqua" w:eastAsia="Book Antiqua" w:hAnsi="Book Antiqua" w:cs="Book Antiqua"/>
          <w:color w:val="000000"/>
          <w:shd w:val="clear" w:color="auto" w:fill="FFFFFF"/>
        </w:rPr>
        <w:t>. Prophylaxis against bacterial translocation seems to be associated with better survival rates in cancer patients who undergo surgery</w:t>
      </w:r>
      <w:r w:rsidRPr="00966B85">
        <w:rPr>
          <w:rFonts w:ascii="Book Antiqua" w:eastAsia="Book Antiqua" w:hAnsi="Book Antiqua" w:cs="Book Antiqua"/>
          <w:color w:val="000000"/>
          <w:shd w:val="clear" w:color="auto" w:fill="FFFFFF"/>
          <w:vertAlign w:val="superscript"/>
        </w:rPr>
        <w:t>[7]</w:t>
      </w:r>
      <w:r w:rsidRPr="00966B85">
        <w:rPr>
          <w:rFonts w:ascii="Book Antiqua" w:eastAsia="Book Antiqua" w:hAnsi="Book Antiqua" w:cs="Book Antiqua"/>
          <w:color w:val="000000"/>
          <w:shd w:val="clear" w:color="auto" w:fill="FFFFFF"/>
        </w:rPr>
        <w:t>. However, while gastric and colon resections are correlated with augmented rates of translocation, the use of antibiotics does not seem to prevent the occurrence of translocation</w:t>
      </w:r>
      <w:r w:rsidRPr="00966B85">
        <w:rPr>
          <w:rFonts w:ascii="Book Antiqua" w:eastAsia="Book Antiqua" w:hAnsi="Book Antiqua" w:cs="Book Antiqua"/>
          <w:color w:val="000000"/>
          <w:shd w:val="clear" w:color="auto" w:fill="FFFFFF"/>
          <w:vertAlign w:val="superscript"/>
        </w:rPr>
        <w:t>[38,39]</w:t>
      </w:r>
      <w:r w:rsidRPr="00966B85">
        <w:rPr>
          <w:rFonts w:ascii="Book Antiqua" w:eastAsia="Book Antiqua" w:hAnsi="Book Antiqua" w:cs="Book Antiqua"/>
          <w:color w:val="000000"/>
          <w:shd w:val="clear" w:color="auto" w:fill="FFFFFF"/>
        </w:rPr>
        <w:t>.</w:t>
      </w:r>
    </w:p>
    <w:p w14:paraId="401FEAE2"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 xml:space="preserve">The definite significance of bacterial translocation is yet to be determined, although there is evidence suggesting a causative role for sepsis. In some cases of sepsis, the causative factor was determined to be bacteria found in the intestine. In critically ill and frail patients undergoing major abdominal surgeries, those </w:t>
      </w:r>
      <w:r w:rsidRPr="00966B85">
        <w:rPr>
          <w:rFonts w:ascii="Book Antiqua" w:eastAsia="Book Antiqua" w:hAnsi="Book Antiqua" w:cs="Book Antiqua"/>
          <w:color w:val="000000"/>
          <w:shd w:val="clear" w:color="auto" w:fill="FFFFFF"/>
        </w:rPr>
        <w:lastRenderedPageBreak/>
        <w:t>bacteria cause sepsis and even septic morbidity</w:t>
      </w:r>
      <w:r w:rsidRPr="00966B85">
        <w:rPr>
          <w:rFonts w:ascii="Book Antiqua" w:eastAsia="Book Antiqua" w:hAnsi="Book Antiqua" w:cs="Book Antiqua"/>
          <w:color w:val="000000"/>
          <w:shd w:val="clear" w:color="auto" w:fill="FFFFFF"/>
          <w:vertAlign w:val="superscript"/>
        </w:rPr>
        <w:t>[40]</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Sepsis is a diverse syndrome of varying severity. Late diagnosis and treatment could lead to more severe illness, even septic shock. In some cases, it may cause multi-organ failure. Severe sepsis is characterized by the presence of hypoperfusion or hypotension and by the failure of at least one organ</w:t>
      </w:r>
      <w:r w:rsidRPr="00966B85">
        <w:rPr>
          <w:rFonts w:ascii="Book Antiqua" w:eastAsia="Book Antiqua" w:hAnsi="Book Antiqua" w:cs="Book Antiqua"/>
          <w:color w:val="000000"/>
          <w:shd w:val="clear" w:color="auto" w:fill="FFFFFF"/>
          <w:vertAlign w:val="superscript"/>
        </w:rPr>
        <w:t>[41]</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However, this is hard to verify in most cases, as in cases of multi-organ failure occurring early postoperatively, and it is probably due to the inflammatory response causing endothelial cell activation. In contrast, late-onset multi-organ failure may be attributed to bacterial translocation, as it creates an imbalance between proinflammatory and anti-inflammatory cytokines</w:t>
      </w:r>
      <w:r w:rsidRPr="00966B85">
        <w:rPr>
          <w:rFonts w:ascii="Book Antiqua" w:eastAsia="Book Antiqua" w:hAnsi="Book Antiqua" w:cs="Book Antiqua"/>
          <w:color w:val="000000"/>
          <w:shd w:val="clear" w:color="auto" w:fill="FFFFFF"/>
          <w:vertAlign w:val="superscript"/>
        </w:rPr>
        <w:t>[42]</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When the septic condition in surgical patients is so severe that it causes a state of immunosuppression, multi-organ failure is responsible, with high mortality rates (reaching 50%-80%). This fact supports the theory of gut-induced sepsis</w:t>
      </w:r>
      <w:r w:rsidRPr="00966B85">
        <w:rPr>
          <w:rFonts w:ascii="Book Antiqua" w:eastAsia="Book Antiqua" w:hAnsi="Book Antiqua" w:cs="Book Antiqua"/>
          <w:color w:val="000000"/>
          <w:shd w:val="clear" w:color="auto" w:fill="FFFFFF"/>
          <w:vertAlign w:val="superscript"/>
        </w:rPr>
        <w:t>[43]</w:t>
      </w:r>
      <w:r w:rsidRPr="00966B85">
        <w:rPr>
          <w:rFonts w:ascii="Book Antiqua" w:eastAsia="Book Antiqua" w:hAnsi="Book Antiqua" w:cs="Book Antiqua"/>
          <w:color w:val="000000"/>
          <w:shd w:val="clear" w:color="auto" w:fill="FFFFFF"/>
        </w:rPr>
        <w:t>.</w:t>
      </w:r>
    </w:p>
    <w:p w14:paraId="2382AE54"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Postoperative sepsis was found to be most common among men and among older and low-income populations. Besides these characteristics, other factors regarding hospitalization are also crucial. Larger hospital bed size, urban hospital location, and non-teaching status were associated with higher postoperative sepsis rates. Comorbidities like diabetes, chronic renal disease, cardiovascular disease, and hypertension increase the risk for postoperative sepsis. Patients’ preoperative status and lifestyle choices contribute to modifying the relative risk. In addition, the type of surgery also has an impact, as gastric, biliary and colorectal surgeries were associated with relatively higher rates of postoperative sepsis, when at the same time esophageal surgery had the lowest risk of postoperative sepsis</w:t>
      </w:r>
      <w:r w:rsidRPr="00966B85">
        <w:rPr>
          <w:rFonts w:ascii="Book Antiqua" w:eastAsia="Book Antiqua" w:hAnsi="Book Antiqua" w:cs="Book Antiqua"/>
          <w:color w:val="000000"/>
          <w:shd w:val="clear" w:color="auto" w:fill="FFFFFF"/>
          <w:vertAlign w:val="superscript"/>
        </w:rPr>
        <w:t>[44</w:t>
      </w:r>
      <w:r w:rsidR="00E72A42" w:rsidRPr="00966B85">
        <w:rPr>
          <w:rFonts w:ascii="Book Antiqua" w:hAnsi="Book Antiqua" w:cs="Book Antiqua" w:hint="eastAsia"/>
          <w:color w:val="000000"/>
          <w:shd w:val="clear" w:color="auto" w:fill="FFFFFF"/>
          <w:vertAlign w:val="superscript"/>
          <w:lang w:eastAsia="zh-CN"/>
        </w:rPr>
        <w:t>-</w:t>
      </w:r>
      <w:r w:rsidRPr="00966B85">
        <w:rPr>
          <w:rFonts w:ascii="Book Antiqua" w:eastAsia="Book Antiqua" w:hAnsi="Book Antiqua" w:cs="Book Antiqua"/>
          <w:color w:val="000000"/>
          <w:shd w:val="clear" w:color="auto" w:fill="FFFFFF"/>
          <w:vertAlign w:val="superscript"/>
        </w:rPr>
        <w:t>46]</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(Figure 2). Although the incidence is rising, especially in elderly patients, mortality rates are decreasing</w:t>
      </w:r>
      <w:r w:rsidRPr="00966B85">
        <w:rPr>
          <w:rFonts w:ascii="Book Antiqua" w:eastAsia="Book Antiqua" w:hAnsi="Book Antiqua" w:cs="Book Antiqua"/>
          <w:color w:val="000000"/>
          <w:shd w:val="clear" w:color="auto" w:fill="FFFFFF"/>
          <w:vertAlign w:val="superscript"/>
        </w:rPr>
        <w:t>[47]</w:t>
      </w:r>
      <w:r w:rsidRPr="00966B85">
        <w:rPr>
          <w:rFonts w:ascii="Book Antiqua" w:eastAsia="Book Antiqua" w:hAnsi="Book Antiqua" w:cs="Book Antiqua"/>
          <w:color w:val="000000"/>
          <w:shd w:val="clear" w:color="auto" w:fill="FFFFFF"/>
        </w:rPr>
        <w:t>.</w:t>
      </w:r>
    </w:p>
    <w:p w14:paraId="67669844"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As sepsis progresses,</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rPr>
        <w:t xml:space="preserve">the release of proinflammatory cytokines triggers the production of toxic mediators that damage the endothelium, thus leading to increased capillary leakage. In addition, the release of agents that act as vasodilators, resulting in hypotension, indicates that evolution of sepsis to septic shock and subsequently to multi-organ failure requires vigilance. Early detection </w:t>
      </w:r>
      <w:r w:rsidRPr="00966B85">
        <w:rPr>
          <w:rFonts w:ascii="Book Antiqua" w:eastAsia="Book Antiqua" w:hAnsi="Book Antiqua" w:cs="Book Antiqua"/>
          <w:color w:val="000000"/>
        </w:rPr>
        <w:lastRenderedPageBreak/>
        <w:t>and therapeutic intervention could improve outcome and prognosis. Diagnosis is based on both</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clinical assessment</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and taking into consideration other factors, such as impaired consciousness and severe underlying diseases. Hypotension, oliguria, and acute altered mental status are indicative signs of severe sepsis</w:t>
      </w:r>
      <w:r w:rsidRPr="00966B85">
        <w:rPr>
          <w:rFonts w:ascii="Book Antiqua" w:eastAsia="Book Antiqua" w:hAnsi="Book Antiqua" w:cs="Book Antiqua"/>
          <w:color w:val="000000"/>
          <w:vertAlign w:val="superscript"/>
        </w:rPr>
        <w:t>[48]</w:t>
      </w:r>
      <w:r w:rsidRPr="00966B85">
        <w:rPr>
          <w:rFonts w:ascii="Book Antiqua" w:eastAsia="Book Antiqua" w:hAnsi="Book Antiqua" w:cs="Book Antiqua"/>
          <w:color w:val="000000"/>
        </w:rPr>
        <w:t>.</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As this condition continues to cause concern, efforts are being made to create a predictive score that will help physicians to assess probability of postoperative sepsis and mortality and to intervene sooner</w:t>
      </w:r>
      <w:r w:rsidRPr="00966B85">
        <w:rPr>
          <w:rFonts w:ascii="Book Antiqua" w:eastAsia="Book Antiqua" w:hAnsi="Book Antiqua" w:cs="Book Antiqua"/>
          <w:color w:val="000000"/>
          <w:vertAlign w:val="superscript"/>
        </w:rPr>
        <w:t>[49]</w:t>
      </w:r>
      <w:r w:rsidRPr="00966B85">
        <w:rPr>
          <w:rFonts w:ascii="Book Antiqua" w:eastAsia="Book Antiqua" w:hAnsi="Book Antiqua" w:cs="Book Antiqua"/>
          <w:color w:val="000000"/>
        </w:rPr>
        <w:t>.</w:t>
      </w:r>
    </w:p>
    <w:p w14:paraId="65EC5B0B" w14:textId="77777777" w:rsidR="00C132BE" w:rsidRPr="00966B85" w:rsidRDefault="00C132BE" w:rsidP="00E72A42">
      <w:pPr>
        <w:snapToGrid w:val="0"/>
        <w:spacing w:line="360" w:lineRule="auto"/>
        <w:ind w:firstLineChars="200" w:firstLine="480"/>
        <w:jc w:val="both"/>
        <w:rPr>
          <w:rFonts w:ascii="Book Antiqua" w:hAnsi="Book Antiqua"/>
        </w:rPr>
      </w:pPr>
      <w:r w:rsidRPr="00966B85">
        <w:rPr>
          <w:rFonts w:ascii="Book Antiqua" w:eastAsia="Book Antiqua" w:hAnsi="Book Antiqua" w:cs="Book Antiqua"/>
          <w:color w:val="000000"/>
          <w:shd w:val="clear" w:color="auto" w:fill="FFFFFF"/>
        </w:rPr>
        <w:t>The cornerstone of treatment is fluid resuscitation to address hypovolemia, hypotension, and hypoperfusion. Hemodynamic stability could be restored using vasopressors when fluids alone are not adequate to maintain blood pressure. Furthermore, broad-spectrum intravenous antibiotics should be administered within the first hour. The choice of antibiotics should be guided by the suspected causative factors. Response of patients to treatment must be monitored closely, because in cases where there is no improvement, surgical intervention may be needed</w:t>
      </w:r>
      <w:r w:rsidRPr="00966B85">
        <w:rPr>
          <w:rFonts w:ascii="Book Antiqua" w:eastAsia="Book Antiqua" w:hAnsi="Book Antiqua" w:cs="Book Antiqua"/>
          <w:color w:val="000000"/>
          <w:shd w:val="clear" w:color="auto" w:fill="FFFFFF"/>
          <w:vertAlign w:val="superscript"/>
        </w:rPr>
        <w:t>[50]</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rPr>
        <w:t xml:space="preserve">Novel treatments have been proposed for postoperative sepsis due to bacterial translocation, such as the use of probiotics and prebiotics. These are considered living microorganisms, which can be beneficial. </w:t>
      </w:r>
      <w:r w:rsidRPr="00966B85">
        <w:rPr>
          <w:rFonts w:ascii="Book Antiqua" w:eastAsia="Book Antiqua" w:hAnsi="Book Antiqua" w:cs="Book Antiqua"/>
          <w:i/>
          <w:iCs/>
          <w:color w:val="000000"/>
        </w:rPr>
        <w:t>Lactobacillus</w:t>
      </w:r>
      <w:r w:rsidRPr="00966B85">
        <w:rPr>
          <w:rFonts w:ascii="Book Antiqua" w:eastAsia="Book Antiqua" w:hAnsi="Book Antiqua" w:cs="Book Antiqua"/>
          <w:color w:val="000000"/>
        </w:rPr>
        <w:t xml:space="preserve"> and </w:t>
      </w:r>
      <w:r w:rsidRPr="00966B85">
        <w:rPr>
          <w:rFonts w:ascii="Book Antiqua" w:eastAsia="Book Antiqua" w:hAnsi="Book Antiqua" w:cs="Book Antiqua"/>
          <w:i/>
          <w:iCs/>
          <w:color w:val="000000"/>
        </w:rPr>
        <w:t>Bifidobacterium</w:t>
      </w:r>
      <w:r w:rsidRPr="00966B85">
        <w:rPr>
          <w:rFonts w:ascii="Book Antiqua" w:eastAsia="Book Antiqua" w:hAnsi="Book Antiqua" w:cs="Book Antiqua"/>
          <w:color w:val="000000"/>
        </w:rPr>
        <w:t xml:space="preserve"> are the most commonly used. They act through competition with pathogens for binding sites and nutrients. Probiotics also induce immunological response and reduce inflammation. Prebiotics are non-digestible food ingredients that promote the growth and the increase in activity of certain intestinal bacteria. These treatments have been studied well in patients with sepsis in intensive care units, with results being promising, as prophylactic use of probiotics has been shown to reduce infections, sepsis, and mortality. Another potential treatment is fecal microbiota transplantation. This is a technique that attempts to restore commensal bacteria in the intestinal epithelium. It also acts as an immunomodulatory tool, as it assists intestinal crypts to express immunological pathways. This being said, this technique prevents severe inflammation and dysregulation of intestinal lumen homeostasis</w:t>
      </w:r>
      <w:r w:rsidRPr="00966B85">
        <w:rPr>
          <w:rFonts w:ascii="Book Antiqua" w:eastAsia="Book Antiqua" w:hAnsi="Book Antiqua" w:cs="Book Antiqua"/>
          <w:color w:val="000000"/>
          <w:vertAlign w:val="superscript"/>
        </w:rPr>
        <w:t>[51]</w:t>
      </w:r>
      <w:r w:rsidRPr="00966B85">
        <w:rPr>
          <w:rFonts w:ascii="Book Antiqua" w:eastAsia="Book Antiqua" w:hAnsi="Book Antiqua" w:cs="Book Antiqua"/>
          <w:color w:val="000000"/>
        </w:rPr>
        <w:t>.</w:t>
      </w:r>
    </w:p>
    <w:p w14:paraId="376D95E1" w14:textId="77777777" w:rsidR="00C132BE" w:rsidRPr="00966B85" w:rsidRDefault="00C132BE" w:rsidP="00C132BE">
      <w:pPr>
        <w:snapToGrid w:val="0"/>
        <w:spacing w:line="360" w:lineRule="auto"/>
        <w:jc w:val="both"/>
        <w:rPr>
          <w:rFonts w:ascii="Book Antiqua" w:hAnsi="Book Antiqua"/>
        </w:rPr>
      </w:pPr>
    </w:p>
    <w:p w14:paraId="021BAD43"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aps/>
          <w:color w:val="000000"/>
          <w:u w:val="single"/>
          <w:shd w:val="clear" w:color="auto" w:fill="FFFFFF"/>
        </w:rPr>
        <w:t xml:space="preserve">Laparotomy </w:t>
      </w:r>
      <w:r w:rsidRPr="00966B85">
        <w:rPr>
          <w:rFonts w:ascii="Book Antiqua" w:eastAsia="Book Antiqua" w:hAnsi="Book Antiqua" w:cs="Book Antiqua"/>
          <w:b/>
          <w:bCs/>
          <w:i/>
          <w:iCs/>
          <w:caps/>
          <w:color w:val="000000"/>
          <w:u w:val="single"/>
          <w:shd w:val="clear" w:color="auto" w:fill="FFFFFF"/>
        </w:rPr>
        <w:t>vs</w:t>
      </w:r>
      <w:r w:rsidRPr="00966B85">
        <w:rPr>
          <w:rFonts w:ascii="Book Antiqua" w:eastAsia="Book Antiqua" w:hAnsi="Book Antiqua" w:cs="Book Antiqua"/>
          <w:b/>
          <w:bCs/>
          <w:caps/>
          <w:color w:val="000000"/>
          <w:u w:val="single"/>
          <w:shd w:val="clear" w:color="auto" w:fill="FFFFFF"/>
        </w:rPr>
        <w:t xml:space="preserve"> Laparoscopic surgery and their impact in bacterial translocation</w:t>
      </w:r>
    </w:p>
    <w:p w14:paraId="7AD2929E"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shd w:val="clear" w:color="auto" w:fill="FFFFFF"/>
        </w:rPr>
        <w:t>The effect of increased intra-abdominal pressure on bacterial translocation has been under investigation. Abdominal surgeries are associated with increased intra-abdominal pressure. Studies have shown that bacterial translocation usually occurs at pressure levels above 14 mmHg</w:t>
      </w:r>
      <w:r w:rsidRPr="00966B85">
        <w:rPr>
          <w:rFonts w:ascii="Book Antiqua" w:eastAsia="Book Antiqua" w:hAnsi="Book Antiqua" w:cs="Book Antiqua"/>
          <w:color w:val="000000"/>
          <w:shd w:val="clear" w:color="auto" w:fill="FFFFFF"/>
          <w:vertAlign w:val="superscript"/>
        </w:rPr>
        <w:t>[52]</w:t>
      </w:r>
      <w:r w:rsidRPr="00966B85">
        <w:rPr>
          <w:rFonts w:ascii="Book Antiqua" w:eastAsia="Book Antiqua" w:hAnsi="Book Antiqua" w:cs="Book Antiqua"/>
          <w:color w:val="000000"/>
          <w:shd w:val="clear" w:color="auto" w:fill="FFFFFF"/>
        </w:rPr>
        <w: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Patients undergoing laparoscopic surgeries should be monitored, as pneumoperitoneum significantly increases intra-abdominal pressure. Randomized control trials regarding patients with colorectal cancer have concluded that</w:t>
      </w:r>
      <w:r w:rsidR="00E72A42" w:rsidRPr="00966B85">
        <w:rPr>
          <w:rFonts w:ascii="Book Antiqua" w:hAnsi="Book Antiqua" w:cs="Book Antiqua" w:hint="eastAsia"/>
          <w:color w:val="000000"/>
          <w:shd w:val="clear" w:color="auto" w:fill="FFFFFF"/>
          <w:lang w:eastAsia="zh-CN"/>
        </w:rPr>
        <w:t xml:space="preserve"> </w:t>
      </w:r>
      <w:r w:rsidRPr="00966B85">
        <w:rPr>
          <w:rFonts w:ascii="Book Antiqua" w:eastAsia="Book Antiqua" w:hAnsi="Book Antiqua" w:cs="Book Antiqua"/>
          <w:color w:val="000000"/>
        </w:rPr>
        <w:t>there is an increase in intra-abdominal pressure, systemic endotoxemia, and bacterial translocation during both open and laparoscopic resection but without a statistically significant difference between the two groups</w:t>
      </w:r>
      <w:r w:rsidRPr="00966B85">
        <w:rPr>
          <w:rFonts w:ascii="Book Antiqua" w:eastAsia="Book Antiqua" w:hAnsi="Book Antiqua" w:cs="Book Antiqua"/>
          <w:color w:val="000000"/>
          <w:vertAlign w:val="superscript"/>
        </w:rPr>
        <w:t>[53]</w:t>
      </w:r>
      <w:r w:rsidRPr="00966B85">
        <w:rPr>
          <w:rFonts w:ascii="Book Antiqua" w:eastAsia="Book Antiqua" w:hAnsi="Book Antiqua" w:cs="Book Antiqua"/>
          <w:color w:val="000000"/>
        </w:rPr>
        <w:t>.</w:t>
      </w:r>
      <w:r w:rsidR="00E72A42" w:rsidRPr="00966B85">
        <w:rPr>
          <w:rFonts w:ascii="Book Antiqua" w:hAnsi="Book Antiqua" w:cs="Book Antiqua" w:hint="eastAsia"/>
          <w:color w:val="000000"/>
          <w:lang w:eastAsia="zh-CN"/>
        </w:rPr>
        <w:t xml:space="preserve"> </w:t>
      </w:r>
      <w:r w:rsidRPr="00966B85">
        <w:rPr>
          <w:rFonts w:ascii="Book Antiqua" w:eastAsia="Book Antiqua" w:hAnsi="Book Antiqua" w:cs="Book Antiqua"/>
          <w:color w:val="000000"/>
        </w:rPr>
        <w:t>The effect of pneumoperitoneum in translocation was also studied in animal models. It was found to provoke alterations in the inflammatory response, with milder inflammation and quicker restoration. However, there was no evidence supporting the premise that laparoscopic surgery is related to higher incidence of bacterial translocation</w:t>
      </w:r>
      <w:r w:rsidRPr="00966B85">
        <w:rPr>
          <w:rFonts w:ascii="Book Antiqua" w:eastAsia="Book Antiqua" w:hAnsi="Book Antiqua" w:cs="Book Antiqua"/>
          <w:color w:val="000000"/>
          <w:vertAlign w:val="superscript"/>
        </w:rPr>
        <w:t>[54</w:t>
      </w:r>
      <w:r w:rsidR="00E72A42" w:rsidRPr="00966B85">
        <w:rPr>
          <w:rFonts w:ascii="Book Antiqua" w:hAnsi="Book Antiqua" w:cs="Book Antiqua" w:hint="eastAsia"/>
          <w:color w:val="000000"/>
          <w:vertAlign w:val="superscript"/>
          <w:lang w:eastAsia="zh-CN"/>
        </w:rPr>
        <w:t>-</w:t>
      </w:r>
      <w:r w:rsidRPr="00966B85">
        <w:rPr>
          <w:rFonts w:ascii="Book Antiqua" w:eastAsia="Book Antiqua" w:hAnsi="Book Antiqua" w:cs="Book Antiqua"/>
          <w:color w:val="000000"/>
          <w:vertAlign w:val="superscript"/>
        </w:rPr>
        <w:t>56]</w:t>
      </w:r>
      <w:r w:rsidRPr="00966B85">
        <w:rPr>
          <w:rFonts w:ascii="Book Antiqua" w:eastAsia="Book Antiqua" w:hAnsi="Book Antiqua" w:cs="Book Antiqua"/>
          <w:color w:val="000000"/>
        </w:rPr>
        <w:t>.</w:t>
      </w:r>
    </w:p>
    <w:p w14:paraId="7B4FA8D7" w14:textId="77777777" w:rsidR="00C132BE" w:rsidRPr="00966B85" w:rsidRDefault="00C132BE" w:rsidP="00C132BE">
      <w:pPr>
        <w:snapToGrid w:val="0"/>
        <w:spacing w:line="360" w:lineRule="auto"/>
        <w:jc w:val="both"/>
        <w:rPr>
          <w:rFonts w:ascii="Book Antiqua" w:hAnsi="Book Antiqua"/>
        </w:rPr>
      </w:pPr>
    </w:p>
    <w:p w14:paraId="3A0D312C"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aps/>
          <w:color w:val="000000"/>
          <w:u w:val="single"/>
        </w:rPr>
        <w:t>CONCLUSION</w:t>
      </w:r>
    </w:p>
    <w:p w14:paraId="27244292"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shd w:val="clear" w:color="auto" w:fill="FFFFFF"/>
        </w:rPr>
        <w:t xml:space="preserve">Postoperative sepsis is an emerging issue that can be present as soon as a few hours postoperatively and requires immediate treatment. It may cause severe disease and result in high mortality rates, especially in frail and elderly surgical patients. Bacterial translocation is proposed as a causative factor of postoperative sepsis. This fact suggests that intestinal microbiota combined with altered homeostasis in the intestinal barrier could create a chain of events leading to sepsis, as commensal bacteria translocate to usually sterile tissues. Bacterial translocation has been noted both in laparotomy and in laparoscopic surgeries, with no significant differences regarding incidence. Proper management and early intervention are needed, based on the fundamentals of sepsis treatment. Over the past few years, data </w:t>
      </w:r>
      <w:r w:rsidRPr="00966B85">
        <w:rPr>
          <w:rFonts w:ascii="Book Antiqua" w:eastAsia="Book Antiqua" w:hAnsi="Book Antiqua" w:cs="Book Antiqua"/>
          <w:color w:val="000000"/>
          <w:shd w:val="clear" w:color="auto" w:fill="FFFFFF"/>
        </w:rPr>
        <w:lastRenderedPageBreak/>
        <w:t>regarding novel treatments using probiotics, which assist classic treatments, have been developed. More randomized studies will be needed to clarify the role of these treatments in postoperative sepsis in the years to come.</w:t>
      </w:r>
    </w:p>
    <w:p w14:paraId="351AAFDC" w14:textId="77777777" w:rsidR="00C132BE" w:rsidRPr="00966B85" w:rsidRDefault="00C132BE" w:rsidP="00C132BE">
      <w:pPr>
        <w:snapToGrid w:val="0"/>
        <w:spacing w:line="360" w:lineRule="auto"/>
        <w:jc w:val="both"/>
        <w:rPr>
          <w:rFonts w:ascii="Book Antiqua" w:hAnsi="Book Antiqua"/>
        </w:rPr>
      </w:pPr>
    </w:p>
    <w:p w14:paraId="5BD95613"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REFERENCES</w:t>
      </w:r>
    </w:p>
    <w:p w14:paraId="3BC7F7DC"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 </w:t>
      </w:r>
      <w:r w:rsidRPr="00966B85">
        <w:rPr>
          <w:rFonts w:ascii="Book Antiqua" w:hAnsi="Book Antiqua"/>
          <w:b/>
          <w:bCs/>
        </w:rPr>
        <w:t>Fried E</w:t>
      </w:r>
      <w:r w:rsidRPr="00966B85">
        <w:rPr>
          <w:rFonts w:ascii="Book Antiqua" w:hAnsi="Book Antiqua"/>
        </w:rPr>
        <w:t xml:space="preserve">, Weissman C, Sprung C. Postoperative sepsis. </w:t>
      </w:r>
      <w:r w:rsidRPr="00966B85">
        <w:rPr>
          <w:rFonts w:ascii="Book Antiqua" w:hAnsi="Book Antiqua"/>
          <w:i/>
          <w:iCs/>
        </w:rPr>
        <w:t>Curr Opin Crit Care</w:t>
      </w:r>
      <w:r w:rsidRPr="00966B85">
        <w:rPr>
          <w:rFonts w:ascii="Book Antiqua" w:hAnsi="Book Antiqua"/>
        </w:rPr>
        <w:t xml:space="preserve"> 2011; </w:t>
      </w:r>
      <w:r w:rsidRPr="00966B85">
        <w:rPr>
          <w:rFonts w:ascii="Book Antiqua" w:hAnsi="Book Antiqua"/>
          <w:b/>
          <w:bCs/>
        </w:rPr>
        <w:t>17</w:t>
      </w:r>
      <w:r w:rsidRPr="00966B85">
        <w:rPr>
          <w:rFonts w:ascii="Book Antiqua" w:hAnsi="Book Antiqua"/>
        </w:rPr>
        <w:t>: 396-401 [PMID: 21677580 DOI: 10.1097/MCC.0b013e328348bee2]</w:t>
      </w:r>
    </w:p>
    <w:p w14:paraId="017C8E6A"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 </w:t>
      </w:r>
      <w:r w:rsidRPr="00966B85">
        <w:rPr>
          <w:rFonts w:ascii="Book Antiqua" w:hAnsi="Book Antiqua"/>
          <w:b/>
          <w:bCs/>
        </w:rPr>
        <w:t>Xu X</w:t>
      </w:r>
      <w:r w:rsidRPr="00966B85">
        <w:rPr>
          <w:rFonts w:ascii="Book Antiqua" w:hAnsi="Book Antiqua"/>
        </w:rPr>
        <w:t xml:space="preserve">, Dong HC, Yao Z, Zhao YZ. Risk factors for postoperative sepsis in patients with gastrointestinal perforation. </w:t>
      </w:r>
      <w:r w:rsidRPr="00966B85">
        <w:rPr>
          <w:rFonts w:ascii="Book Antiqua" w:hAnsi="Book Antiqua"/>
          <w:i/>
          <w:iCs/>
        </w:rPr>
        <w:t>World J Clin Cases</w:t>
      </w:r>
      <w:r w:rsidRPr="00966B85">
        <w:rPr>
          <w:rFonts w:ascii="Book Antiqua" w:hAnsi="Book Antiqua"/>
        </w:rPr>
        <w:t xml:space="preserve"> 2020; </w:t>
      </w:r>
      <w:r w:rsidRPr="00966B85">
        <w:rPr>
          <w:rFonts w:ascii="Book Antiqua" w:hAnsi="Book Antiqua"/>
          <w:b/>
          <w:bCs/>
        </w:rPr>
        <w:t>8</w:t>
      </w:r>
      <w:r w:rsidRPr="00966B85">
        <w:rPr>
          <w:rFonts w:ascii="Book Antiqua" w:hAnsi="Book Antiqua"/>
        </w:rPr>
        <w:t>: 670-678 [PMID: 32149051 DOI: 10.12998/wjcc.v8.i4.670]</w:t>
      </w:r>
    </w:p>
    <w:p w14:paraId="227023AB"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 </w:t>
      </w:r>
      <w:r w:rsidRPr="00966B85">
        <w:rPr>
          <w:rFonts w:ascii="Book Antiqua" w:hAnsi="Book Antiqua"/>
          <w:b/>
          <w:bCs/>
        </w:rPr>
        <w:t>Meng M</w:t>
      </w:r>
      <w:r w:rsidRPr="00966B85">
        <w:rPr>
          <w:rFonts w:ascii="Book Antiqua" w:hAnsi="Book Antiqua"/>
        </w:rPr>
        <w:t xml:space="preserve">, Klingensmith NJ, Coopersmith CM. New insights into the gut as the driver of critical illness and organ failure. </w:t>
      </w:r>
      <w:r w:rsidRPr="00966B85">
        <w:rPr>
          <w:rFonts w:ascii="Book Antiqua" w:hAnsi="Book Antiqua"/>
          <w:i/>
          <w:iCs/>
        </w:rPr>
        <w:t>Curr Opin Crit Care</w:t>
      </w:r>
      <w:r w:rsidRPr="00966B85">
        <w:rPr>
          <w:rFonts w:ascii="Book Antiqua" w:hAnsi="Book Antiqua"/>
        </w:rPr>
        <w:t xml:space="preserve"> 2017; </w:t>
      </w:r>
      <w:r w:rsidRPr="00966B85">
        <w:rPr>
          <w:rFonts w:ascii="Book Antiqua" w:hAnsi="Book Antiqua"/>
          <w:b/>
          <w:bCs/>
        </w:rPr>
        <w:t>23</w:t>
      </w:r>
      <w:r w:rsidRPr="00966B85">
        <w:rPr>
          <w:rFonts w:ascii="Book Antiqua" w:hAnsi="Book Antiqua"/>
        </w:rPr>
        <w:t>: 143-148 [PMID: 28092310 DOI: 10.1097/MCC.0000000000000386]</w:t>
      </w:r>
    </w:p>
    <w:p w14:paraId="43152293"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 </w:t>
      </w:r>
      <w:r w:rsidRPr="00966B85">
        <w:rPr>
          <w:rFonts w:ascii="Book Antiqua" w:hAnsi="Book Antiqua"/>
          <w:b/>
          <w:bCs/>
        </w:rPr>
        <w:t>Komatsu S</w:t>
      </w:r>
      <w:r w:rsidRPr="00966B85">
        <w:rPr>
          <w:rFonts w:ascii="Book Antiqua" w:hAnsi="Book Antiqua"/>
        </w:rPr>
        <w:t xml:space="preserve">, Yokoyama Y, Nagino M. Gut microbiota and bacterial translocation in digestive surgery: the impact of probiotics. </w:t>
      </w:r>
      <w:r w:rsidRPr="00966B85">
        <w:rPr>
          <w:rFonts w:ascii="Book Antiqua" w:hAnsi="Book Antiqua"/>
          <w:i/>
          <w:iCs/>
        </w:rPr>
        <w:t>Langenbecks Arch Surg</w:t>
      </w:r>
      <w:r w:rsidRPr="00966B85">
        <w:rPr>
          <w:rFonts w:ascii="Book Antiqua" w:hAnsi="Book Antiqua"/>
        </w:rPr>
        <w:t xml:space="preserve"> 2017; </w:t>
      </w:r>
      <w:r w:rsidRPr="00966B85">
        <w:rPr>
          <w:rFonts w:ascii="Book Antiqua" w:hAnsi="Book Antiqua"/>
          <w:b/>
          <w:bCs/>
        </w:rPr>
        <w:t>402</w:t>
      </w:r>
      <w:r w:rsidRPr="00966B85">
        <w:rPr>
          <w:rFonts w:ascii="Book Antiqua" w:hAnsi="Book Antiqua"/>
        </w:rPr>
        <w:t>: 401-416 [PMID: 28321508 DOI: 10.1007/s00423-017-1577-6]</w:t>
      </w:r>
    </w:p>
    <w:p w14:paraId="1CDC4360"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 </w:t>
      </w:r>
      <w:r w:rsidRPr="00966B85">
        <w:rPr>
          <w:rFonts w:ascii="Book Antiqua" w:hAnsi="Book Antiqua"/>
          <w:b/>
          <w:bCs/>
        </w:rPr>
        <w:t>Deitch EA</w:t>
      </w:r>
      <w:r w:rsidRPr="00966B85">
        <w:rPr>
          <w:rFonts w:ascii="Book Antiqua" w:hAnsi="Book Antiqua"/>
        </w:rPr>
        <w:t xml:space="preserve">. Gut-origin sepsis: evolution of a concept. </w:t>
      </w:r>
      <w:r w:rsidRPr="00966B85">
        <w:rPr>
          <w:rFonts w:ascii="Book Antiqua" w:hAnsi="Book Antiqua"/>
          <w:i/>
          <w:iCs/>
        </w:rPr>
        <w:t>Surgeon</w:t>
      </w:r>
      <w:r w:rsidRPr="00966B85">
        <w:rPr>
          <w:rFonts w:ascii="Book Antiqua" w:hAnsi="Book Antiqua"/>
        </w:rPr>
        <w:t xml:space="preserve"> 2012; </w:t>
      </w:r>
      <w:r w:rsidRPr="00966B85">
        <w:rPr>
          <w:rFonts w:ascii="Book Antiqua" w:hAnsi="Book Antiqua"/>
          <w:b/>
          <w:bCs/>
        </w:rPr>
        <w:t>10</w:t>
      </w:r>
      <w:r w:rsidRPr="00966B85">
        <w:rPr>
          <w:rFonts w:ascii="Book Antiqua" w:hAnsi="Book Antiqua"/>
        </w:rPr>
        <w:t>: 350-356 [PMID: 22534256 DOI: 10.1016/j.surge.2012.03.003]</w:t>
      </w:r>
    </w:p>
    <w:p w14:paraId="49116D20"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6 </w:t>
      </w:r>
      <w:r w:rsidRPr="00966B85">
        <w:rPr>
          <w:rFonts w:ascii="Book Antiqua" w:hAnsi="Book Antiqua"/>
          <w:b/>
          <w:bCs/>
        </w:rPr>
        <w:t>Qiao Z</w:t>
      </w:r>
      <w:r w:rsidRPr="00966B85">
        <w:rPr>
          <w:rFonts w:ascii="Book Antiqua" w:hAnsi="Book Antiqua"/>
        </w:rPr>
        <w:t xml:space="preserve">, Li Z, Li J, Lu L, Lv Y, Li J. Bacterial translocation and change in intestinal permeability in patients after abdominal surgery. </w:t>
      </w:r>
      <w:r w:rsidRPr="00966B85">
        <w:rPr>
          <w:rFonts w:ascii="Book Antiqua" w:hAnsi="Book Antiqua"/>
          <w:i/>
          <w:iCs/>
        </w:rPr>
        <w:t>J Huazhong Univ Sci Technolog Med Sci</w:t>
      </w:r>
      <w:r w:rsidRPr="00966B85">
        <w:rPr>
          <w:rFonts w:ascii="Book Antiqua" w:hAnsi="Book Antiqua"/>
        </w:rPr>
        <w:t xml:space="preserve"> 2009; </w:t>
      </w:r>
      <w:r w:rsidRPr="00966B85">
        <w:rPr>
          <w:rFonts w:ascii="Book Antiqua" w:hAnsi="Book Antiqua"/>
          <w:b/>
          <w:bCs/>
        </w:rPr>
        <w:t>29</w:t>
      </w:r>
      <w:r w:rsidRPr="00966B85">
        <w:rPr>
          <w:rFonts w:ascii="Book Antiqua" w:hAnsi="Book Antiqua"/>
        </w:rPr>
        <w:t>: 486-491 [PMID: 19662368 DOI: 10.1007/s11596-009-0419-3]</w:t>
      </w:r>
    </w:p>
    <w:p w14:paraId="3C9447C1"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7 </w:t>
      </w:r>
      <w:r w:rsidRPr="00966B85">
        <w:rPr>
          <w:rFonts w:ascii="Book Antiqua" w:hAnsi="Book Antiqua"/>
          <w:b/>
          <w:bCs/>
        </w:rPr>
        <w:t>Chin KF</w:t>
      </w:r>
      <w:r w:rsidRPr="00966B85">
        <w:rPr>
          <w:rFonts w:ascii="Book Antiqua" w:hAnsi="Book Antiqua"/>
        </w:rPr>
        <w:t xml:space="preserve">, Kallam R, O'Boyle C, MacFie J. Bacterial translocation may influence the long-term survival in colorectal cancer patients. </w:t>
      </w:r>
      <w:r w:rsidRPr="00966B85">
        <w:rPr>
          <w:rFonts w:ascii="Book Antiqua" w:hAnsi="Book Antiqua"/>
          <w:i/>
          <w:iCs/>
        </w:rPr>
        <w:t>Dis Colon Rectum</w:t>
      </w:r>
      <w:r w:rsidRPr="00966B85">
        <w:rPr>
          <w:rFonts w:ascii="Book Antiqua" w:hAnsi="Book Antiqua"/>
        </w:rPr>
        <w:t xml:space="preserve"> 2007; </w:t>
      </w:r>
      <w:r w:rsidRPr="00966B85">
        <w:rPr>
          <w:rFonts w:ascii="Book Antiqua" w:hAnsi="Book Antiqua"/>
          <w:b/>
          <w:bCs/>
        </w:rPr>
        <w:t>50</w:t>
      </w:r>
      <w:r w:rsidRPr="00966B85">
        <w:rPr>
          <w:rFonts w:ascii="Book Antiqua" w:hAnsi="Book Antiqua"/>
        </w:rPr>
        <w:t>: 323-330 [PMID: 17237910 DOI: 10.1007/s10350-006-0827-4]</w:t>
      </w:r>
    </w:p>
    <w:p w14:paraId="1F919CDE"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8 </w:t>
      </w:r>
      <w:r w:rsidRPr="00966B85">
        <w:rPr>
          <w:rFonts w:ascii="Book Antiqua" w:hAnsi="Book Antiqua"/>
          <w:b/>
          <w:bCs/>
        </w:rPr>
        <w:t>Sedman PC</w:t>
      </w:r>
      <w:r w:rsidRPr="00966B85">
        <w:rPr>
          <w:rFonts w:ascii="Book Antiqua" w:hAnsi="Book Antiqua"/>
        </w:rPr>
        <w:t xml:space="preserve">, Macfie J, Sagar P, Mitchell CJ, May J, Mancey-Jones B, Johnstone D. The prevalence of gut translocation in humans. </w:t>
      </w:r>
      <w:r w:rsidRPr="00966B85">
        <w:rPr>
          <w:rFonts w:ascii="Book Antiqua" w:hAnsi="Book Antiqua"/>
          <w:i/>
          <w:iCs/>
        </w:rPr>
        <w:t>Gastroenterology</w:t>
      </w:r>
      <w:r w:rsidRPr="00966B85">
        <w:rPr>
          <w:rFonts w:ascii="Book Antiqua" w:hAnsi="Book Antiqua"/>
        </w:rPr>
        <w:t xml:space="preserve"> 1994; </w:t>
      </w:r>
      <w:r w:rsidRPr="00966B85">
        <w:rPr>
          <w:rFonts w:ascii="Book Antiqua" w:hAnsi="Book Antiqua"/>
          <w:b/>
          <w:bCs/>
        </w:rPr>
        <w:t>107</w:t>
      </w:r>
      <w:r w:rsidRPr="00966B85">
        <w:rPr>
          <w:rFonts w:ascii="Book Antiqua" w:hAnsi="Book Antiqua"/>
        </w:rPr>
        <w:t>: 643-649 [PMID: 8076751 DOI: 10.1016/0016-5085(94)90110-4]</w:t>
      </w:r>
    </w:p>
    <w:p w14:paraId="303BBDC0" w14:textId="77777777" w:rsidR="00C132BE" w:rsidRPr="00966B85" w:rsidRDefault="00C132BE" w:rsidP="00C132BE">
      <w:pPr>
        <w:spacing w:line="360" w:lineRule="auto"/>
        <w:jc w:val="both"/>
        <w:rPr>
          <w:rFonts w:ascii="Book Antiqua" w:hAnsi="Book Antiqua"/>
        </w:rPr>
      </w:pPr>
      <w:r w:rsidRPr="00966B85">
        <w:rPr>
          <w:rFonts w:ascii="Book Antiqua" w:hAnsi="Book Antiqua"/>
        </w:rPr>
        <w:lastRenderedPageBreak/>
        <w:t xml:space="preserve">9 </w:t>
      </w:r>
      <w:r w:rsidRPr="00966B85">
        <w:rPr>
          <w:rFonts w:ascii="Book Antiqua" w:hAnsi="Book Antiqua"/>
          <w:b/>
          <w:bCs/>
        </w:rPr>
        <w:t>Peterson LW</w:t>
      </w:r>
      <w:r w:rsidRPr="00966B85">
        <w:rPr>
          <w:rFonts w:ascii="Book Antiqua" w:hAnsi="Book Antiqua"/>
        </w:rPr>
        <w:t xml:space="preserve">, Artis D. Intestinal epithelial cells: regulators of barrier function and immune homeostasis. </w:t>
      </w:r>
      <w:r w:rsidRPr="00966B85">
        <w:rPr>
          <w:rFonts w:ascii="Book Antiqua" w:hAnsi="Book Antiqua"/>
          <w:i/>
          <w:iCs/>
        </w:rPr>
        <w:t>Nat Rev Immunol</w:t>
      </w:r>
      <w:r w:rsidRPr="00966B85">
        <w:rPr>
          <w:rFonts w:ascii="Book Antiqua" w:hAnsi="Book Antiqua"/>
        </w:rPr>
        <w:t xml:space="preserve"> 2014; </w:t>
      </w:r>
      <w:r w:rsidRPr="00966B85">
        <w:rPr>
          <w:rFonts w:ascii="Book Antiqua" w:hAnsi="Book Antiqua"/>
          <w:b/>
          <w:bCs/>
        </w:rPr>
        <w:t>14</w:t>
      </w:r>
      <w:r w:rsidRPr="00966B85">
        <w:rPr>
          <w:rFonts w:ascii="Book Antiqua" w:hAnsi="Book Antiqua"/>
        </w:rPr>
        <w:t>: 141-153 [PMID: 24566914 DOI: 10.1038/nri3608]</w:t>
      </w:r>
    </w:p>
    <w:p w14:paraId="7EEB4510"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10 </w:t>
      </w:r>
      <w:r w:rsidRPr="00966B85">
        <w:rPr>
          <w:rFonts w:ascii="Book Antiqua" w:hAnsi="Book Antiqua"/>
          <w:b/>
          <w:bCs/>
        </w:rPr>
        <w:t>Keita AV</w:t>
      </w:r>
      <w:r w:rsidRPr="00966B85">
        <w:rPr>
          <w:rFonts w:ascii="Book Antiqua" w:hAnsi="Book Antiqua"/>
        </w:rPr>
        <w:t xml:space="preserve">, Söderholm JD. The intestinal barrier and its regulation by neuroimmune factors. </w:t>
      </w:r>
      <w:r w:rsidRPr="00966B85">
        <w:rPr>
          <w:rFonts w:ascii="Book Antiqua" w:hAnsi="Book Antiqua"/>
          <w:i/>
          <w:iCs/>
        </w:rPr>
        <w:t>Neurogastroenterol Motil</w:t>
      </w:r>
      <w:r w:rsidRPr="00966B85">
        <w:rPr>
          <w:rFonts w:ascii="Book Antiqua" w:hAnsi="Book Antiqua"/>
        </w:rPr>
        <w:t xml:space="preserve"> 2010; </w:t>
      </w:r>
      <w:r w:rsidRPr="00966B85">
        <w:rPr>
          <w:rFonts w:ascii="Book Antiqua" w:hAnsi="Book Antiqua"/>
          <w:b/>
          <w:bCs/>
        </w:rPr>
        <w:t>22</w:t>
      </w:r>
      <w:r w:rsidRPr="00966B85">
        <w:rPr>
          <w:rFonts w:ascii="Book Antiqua" w:hAnsi="Book Antiqua"/>
        </w:rPr>
        <w:t>: 718-733 [PMID: 20377785 DOI: 10.1111/j.1365-2982.2010.01498.x]</w:t>
      </w:r>
    </w:p>
    <w:p w14:paraId="22C5809C"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11 </w:t>
      </w:r>
      <w:r w:rsidRPr="00966B85">
        <w:rPr>
          <w:rFonts w:ascii="Book Antiqua" w:hAnsi="Book Antiqua"/>
          <w:b/>
          <w:bCs/>
        </w:rPr>
        <w:t>Coates M</w:t>
      </w:r>
      <w:r w:rsidRPr="00966B85">
        <w:rPr>
          <w:rFonts w:ascii="Book Antiqua" w:hAnsi="Book Antiqua"/>
        </w:rPr>
        <w:t xml:space="preserve">, Lee MJ, Norton D, MacLeod AS. The Skin and Intestinal Microbiota and Their Specific Innate Immune Systems. </w:t>
      </w:r>
      <w:r w:rsidRPr="00966B85">
        <w:rPr>
          <w:rFonts w:ascii="Book Antiqua" w:hAnsi="Book Antiqua"/>
          <w:i/>
          <w:iCs/>
        </w:rPr>
        <w:t>Front Immunol</w:t>
      </w:r>
      <w:r w:rsidRPr="00966B85">
        <w:rPr>
          <w:rFonts w:ascii="Book Antiqua" w:hAnsi="Book Antiqua"/>
        </w:rPr>
        <w:t xml:space="preserve"> 2019; </w:t>
      </w:r>
      <w:r w:rsidRPr="00966B85">
        <w:rPr>
          <w:rFonts w:ascii="Book Antiqua" w:hAnsi="Book Antiqua"/>
          <w:b/>
          <w:bCs/>
        </w:rPr>
        <w:t>10</w:t>
      </w:r>
      <w:r w:rsidRPr="00966B85">
        <w:rPr>
          <w:rFonts w:ascii="Book Antiqua" w:hAnsi="Book Antiqua"/>
        </w:rPr>
        <w:t>: 2950 [PMID: 31921196 DOI: 10.3389/fimmu.2019.02950]</w:t>
      </w:r>
    </w:p>
    <w:p w14:paraId="0DE395A6"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12 </w:t>
      </w:r>
      <w:r w:rsidRPr="00966B85">
        <w:rPr>
          <w:rFonts w:ascii="Book Antiqua" w:hAnsi="Book Antiqua"/>
          <w:b/>
          <w:bCs/>
        </w:rPr>
        <w:t>Shan M</w:t>
      </w:r>
      <w:r w:rsidRPr="00966B85">
        <w:rPr>
          <w:rFonts w:ascii="Book Antiqua" w:hAnsi="Book Antiqua"/>
        </w:rPr>
        <w:t xml:space="preserve">, Gentile M, Yeiser JR, Walland AC, Bornstein VU, Chen K, He B, Cassis L, Bigas A, Cols M, Comerma L, Huang B, Blander JM, Xiong H, Mayer L, Berin C, Augenlicht LH, Velcich A, Cerutti A. Mucus enhances gut homeostasis and oral tolerance by delivering immunoregulatory signals. </w:t>
      </w:r>
      <w:r w:rsidRPr="00966B85">
        <w:rPr>
          <w:rFonts w:ascii="Book Antiqua" w:hAnsi="Book Antiqua"/>
          <w:i/>
          <w:iCs/>
        </w:rPr>
        <w:t>Science</w:t>
      </w:r>
      <w:r w:rsidRPr="00966B85">
        <w:rPr>
          <w:rFonts w:ascii="Book Antiqua" w:hAnsi="Book Antiqua"/>
        </w:rPr>
        <w:t xml:space="preserve"> 2013; </w:t>
      </w:r>
      <w:r w:rsidRPr="00966B85">
        <w:rPr>
          <w:rFonts w:ascii="Book Antiqua" w:hAnsi="Book Antiqua"/>
          <w:b/>
          <w:bCs/>
        </w:rPr>
        <w:t>342</w:t>
      </w:r>
      <w:r w:rsidRPr="00966B85">
        <w:rPr>
          <w:rFonts w:ascii="Book Antiqua" w:hAnsi="Book Antiqua"/>
        </w:rPr>
        <w:t>: 447-453 [PMID: 24072822 DOI: 10.1126/science.1237910]</w:t>
      </w:r>
    </w:p>
    <w:p w14:paraId="6EF0C4E3" w14:textId="77777777" w:rsidR="00C132BE" w:rsidRPr="00966B85" w:rsidRDefault="00C132BE" w:rsidP="00C132BE">
      <w:pPr>
        <w:spacing w:line="360" w:lineRule="auto"/>
        <w:jc w:val="both"/>
        <w:rPr>
          <w:rFonts w:ascii="Book Antiqua" w:hAnsi="Book Antiqua"/>
        </w:rPr>
      </w:pPr>
      <w:r w:rsidRPr="00966B85">
        <w:rPr>
          <w:rFonts w:ascii="Book Antiqua" w:hAnsi="Book Antiqua"/>
        </w:rPr>
        <w:t>1</w:t>
      </w:r>
      <w:r w:rsidR="003B48CD" w:rsidRPr="00966B85">
        <w:rPr>
          <w:rFonts w:ascii="Book Antiqua" w:hAnsi="Book Antiqua" w:hint="eastAsia"/>
          <w:lang w:eastAsia="zh-CN"/>
        </w:rPr>
        <w:t>3</w:t>
      </w:r>
      <w:r w:rsidRPr="00966B85">
        <w:rPr>
          <w:rFonts w:ascii="Book Antiqua" w:hAnsi="Book Antiqua"/>
        </w:rPr>
        <w:t xml:space="preserve"> </w:t>
      </w:r>
      <w:r w:rsidRPr="00966B85">
        <w:rPr>
          <w:rFonts w:ascii="Book Antiqua" w:hAnsi="Book Antiqua"/>
          <w:b/>
          <w:bCs/>
        </w:rPr>
        <w:t>Buckley A</w:t>
      </w:r>
      <w:r w:rsidRPr="00966B85">
        <w:rPr>
          <w:rFonts w:ascii="Book Antiqua" w:hAnsi="Book Antiqua"/>
        </w:rPr>
        <w:t xml:space="preserve">, Turner JR. Cell Biology of Tight Junction Barrier Regulation and Mucosal Disease. </w:t>
      </w:r>
      <w:r w:rsidRPr="00966B85">
        <w:rPr>
          <w:rFonts w:ascii="Book Antiqua" w:hAnsi="Book Antiqua"/>
          <w:i/>
          <w:iCs/>
        </w:rPr>
        <w:t>Cold Spring Harb Perspect Biol</w:t>
      </w:r>
      <w:r w:rsidRPr="00966B85">
        <w:rPr>
          <w:rFonts w:ascii="Book Antiqua" w:hAnsi="Book Antiqua"/>
        </w:rPr>
        <w:t xml:space="preserve"> 2018; </w:t>
      </w:r>
      <w:r w:rsidRPr="00966B85">
        <w:rPr>
          <w:rFonts w:ascii="Book Antiqua" w:hAnsi="Book Antiqua"/>
          <w:b/>
          <w:bCs/>
        </w:rPr>
        <w:t>10</w:t>
      </w:r>
      <w:r w:rsidRPr="00966B85">
        <w:rPr>
          <w:rFonts w:ascii="Book Antiqua" w:hAnsi="Book Antiqua"/>
        </w:rPr>
        <w:t xml:space="preserve"> [PMID: 28507021 DOI: 10.1101/cshperspect.a029314]</w:t>
      </w:r>
    </w:p>
    <w:p w14:paraId="25BE3286" w14:textId="77777777" w:rsidR="00C132BE" w:rsidRPr="00966B85" w:rsidRDefault="00C132BE" w:rsidP="00C132BE">
      <w:pPr>
        <w:spacing w:line="360" w:lineRule="auto"/>
        <w:jc w:val="both"/>
        <w:rPr>
          <w:rFonts w:ascii="Book Antiqua" w:hAnsi="Book Antiqua"/>
          <w:lang w:eastAsia="zh-CN"/>
        </w:rPr>
      </w:pPr>
      <w:r w:rsidRPr="00966B85">
        <w:rPr>
          <w:rFonts w:ascii="Book Antiqua" w:hAnsi="Book Antiqua"/>
        </w:rPr>
        <w:t>1</w:t>
      </w:r>
      <w:r w:rsidR="003B48CD" w:rsidRPr="00966B85">
        <w:rPr>
          <w:rFonts w:ascii="Book Antiqua" w:hAnsi="Book Antiqua" w:hint="eastAsia"/>
          <w:lang w:eastAsia="zh-CN"/>
        </w:rPr>
        <w:t>4</w:t>
      </w:r>
      <w:r w:rsidRPr="00966B85">
        <w:rPr>
          <w:rFonts w:ascii="Book Antiqua" w:hAnsi="Book Antiqua"/>
        </w:rPr>
        <w:t xml:space="preserve"> </w:t>
      </w:r>
      <w:r w:rsidRPr="00966B85">
        <w:rPr>
          <w:rFonts w:ascii="Book Antiqua" w:hAnsi="Book Antiqua"/>
          <w:b/>
          <w:bCs/>
        </w:rPr>
        <w:t>Lee B</w:t>
      </w:r>
      <w:r w:rsidRPr="00966B85">
        <w:rPr>
          <w:rFonts w:ascii="Book Antiqua" w:hAnsi="Book Antiqua"/>
        </w:rPr>
        <w:t xml:space="preserve">, Moon KM, Kim CY. Tight Junction in the Intestinal Epithelium: Its Association with Diseases and Regulation by Phytochemicals. </w:t>
      </w:r>
      <w:r w:rsidRPr="00966B85">
        <w:rPr>
          <w:rFonts w:ascii="Book Antiqua" w:hAnsi="Book Antiqua"/>
          <w:i/>
          <w:iCs/>
        </w:rPr>
        <w:t>J Immunol Res</w:t>
      </w:r>
      <w:r w:rsidRPr="00966B85">
        <w:rPr>
          <w:rFonts w:ascii="Book Antiqua" w:hAnsi="Book Antiqua"/>
        </w:rPr>
        <w:t xml:space="preserve"> 2018; </w:t>
      </w:r>
      <w:r w:rsidRPr="00966B85">
        <w:rPr>
          <w:rFonts w:ascii="Book Antiqua" w:hAnsi="Book Antiqua"/>
          <w:b/>
          <w:bCs/>
        </w:rPr>
        <w:t>2018</w:t>
      </w:r>
      <w:r w:rsidRPr="00966B85">
        <w:rPr>
          <w:rFonts w:ascii="Book Antiqua" w:hAnsi="Book Antiqua"/>
        </w:rPr>
        <w:t>: 2645465 [PMID: 30648119 DOI: 10.1155/2018/2645465]</w:t>
      </w:r>
    </w:p>
    <w:p w14:paraId="0CA5147A" w14:textId="77777777" w:rsidR="003B48CD" w:rsidRPr="00966B85" w:rsidRDefault="003B48CD" w:rsidP="00C132BE">
      <w:pPr>
        <w:spacing w:line="360" w:lineRule="auto"/>
        <w:jc w:val="both"/>
        <w:rPr>
          <w:rFonts w:ascii="Book Antiqua" w:hAnsi="Book Antiqua"/>
          <w:lang w:eastAsia="zh-CN"/>
        </w:rPr>
      </w:pPr>
      <w:r w:rsidRPr="00966B85">
        <w:rPr>
          <w:rFonts w:ascii="Book Antiqua" w:hAnsi="Book Antiqua"/>
        </w:rPr>
        <w:t>1</w:t>
      </w:r>
      <w:r w:rsidRPr="00966B85">
        <w:rPr>
          <w:rFonts w:ascii="Book Antiqua" w:hAnsi="Book Antiqua" w:hint="eastAsia"/>
          <w:lang w:eastAsia="zh-CN"/>
        </w:rPr>
        <w:t>5</w:t>
      </w:r>
      <w:r w:rsidRPr="00966B85">
        <w:rPr>
          <w:rFonts w:ascii="Book Antiqua" w:hAnsi="Book Antiqua"/>
        </w:rPr>
        <w:t xml:space="preserve"> </w:t>
      </w:r>
      <w:r w:rsidRPr="00966B85">
        <w:rPr>
          <w:rFonts w:ascii="Book Antiqua" w:hAnsi="Book Antiqua"/>
          <w:b/>
          <w:bCs/>
        </w:rPr>
        <w:t>Camilleri M</w:t>
      </w:r>
      <w:r w:rsidRPr="00966B85">
        <w:rPr>
          <w:rFonts w:ascii="Book Antiqua" w:hAnsi="Book Antiqua"/>
        </w:rPr>
        <w:t xml:space="preserve">, Madsen K, Spiller R, Greenwood-Van Meerveld B, Verne GN. Intestinal barrier function in health and gastrointestinal disease. </w:t>
      </w:r>
      <w:r w:rsidRPr="00966B85">
        <w:rPr>
          <w:rFonts w:ascii="Book Antiqua" w:hAnsi="Book Antiqua"/>
          <w:i/>
          <w:iCs/>
        </w:rPr>
        <w:t>Neurogastroenterol Motil</w:t>
      </w:r>
      <w:r w:rsidRPr="00966B85">
        <w:rPr>
          <w:rFonts w:ascii="Book Antiqua" w:hAnsi="Book Antiqua"/>
        </w:rPr>
        <w:t xml:space="preserve"> 2012; </w:t>
      </w:r>
      <w:r w:rsidRPr="00966B85">
        <w:rPr>
          <w:rFonts w:ascii="Book Antiqua" w:hAnsi="Book Antiqua"/>
          <w:b/>
          <w:bCs/>
        </w:rPr>
        <w:t>24</w:t>
      </w:r>
      <w:r w:rsidRPr="00966B85">
        <w:rPr>
          <w:rFonts w:ascii="Book Antiqua" w:hAnsi="Book Antiqua"/>
        </w:rPr>
        <w:t>: 503-512 [PMID: 22583600 DOI: 10.1111/j.1365-2982.2012.01921.x]</w:t>
      </w:r>
    </w:p>
    <w:p w14:paraId="340F3EF9"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16 </w:t>
      </w:r>
      <w:r w:rsidRPr="00966B85">
        <w:rPr>
          <w:rFonts w:ascii="Book Antiqua" w:hAnsi="Book Antiqua"/>
          <w:b/>
          <w:bCs/>
        </w:rPr>
        <w:t>Odenwald MA</w:t>
      </w:r>
      <w:r w:rsidRPr="00966B85">
        <w:rPr>
          <w:rFonts w:ascii="Book Antiqua" w:hAnsi="Book Antiqua"/>
        </w:rPr>
        <w:t xml:space="preserve">, Turner JR. Intestinal permeability defects: is it time to treat? </w:t>
      </w:r>
      <w:r w:rsidRPr="00966B85">
        <w:rPr>
          <w:rFonts w:ascii="Book Antiqua" w:hAnsi="Book Antiqua"/>
          <w:i/>
          <w:iCs/>
        </w:rPr>
        <w:t>Clin Gastroenterol Hepatol</w:t>
      </w:r>
      <w:r w:rsidRPr="00966B85">
        <w:rPr>
          <w:rFonts w:ascii="Book Antiqua" w:hAnsi="Book Antiqua"/>
        </w:rPr>
        <w:t xml:space="preserve"> 2013; </w:t>
      </w:r>
      <w:r w:rsidRPr="00966B85">
        <w:rPr>
          <w:rFonts w:ascii="Book Antiqua" w:hAnsi="Book Antiqua"/>
          <w:b/>
          <w:bCs/>
        </w:rPr>
        <w:t>11</w:t>
      </w:r>
      <w:r w:rsidRPr="00966B85">
        <w:rPr>
          <w:rFonts w:ascii="Book Antiqua" w:hAnsi="Book Antiqua"/>
        </w:rPr>
        <w:t>: 1075-1083 [PMID: 23851019 DOI: 10.1016/j.cgh.2013.07.001]</w:t>
      </w:r>
    </w:p>
    <w:p w14:paraId="47EFA834"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17 </w:t>
      </w:r>
      <w:r w:rsidRPr="00966B85">
        <w:rPr>
          <w:rFonts w:ascii="Book Antiqua" w:hAnsi="Book Antiqua"/>
          <w:b/>
          <w:bCs/>
        </w:rPr>
        <w:t>Katzka DA</w:t>
      </w:r>
      <w:r w:rsidRPr="00966B85">
        <w:rPr>
          <w:rFonts w:ascii="Book Antiqua" w:hAnsi="Book Antiqua"/>
        </w:rPr>
        <w:t xml:space="preserve">, Geno DM, Blair HE, Lamsam JL, Alexander JA, Camilleri M. Small intestinal permeability in patients with eosinophilic oesophagitis during active </w:t>
      </w:r>
      <w:r w:rsidRPr="00966B85">
        <w:rPr>
          <w:rFonts w:ascii="Book Antiqua" w:hAnsi="Book Antiqua"/>
        </w:rPr>
        <w:lastRenderedPageBreak/>
        <w:t xml:space="preserve">phase and remission. </w:t>
      </w:r>
      <w:r w:rsidRPr="00966B85">
        <w:rPr>
          <w:rFonts w:ascii="Book Antiqua" w:hAnsi="Book Antiqua"/>
          <w:i/>
          <w:iCs/>
        </w:rPr>
        <w:t>Gut</w:t>
      </w:r>
      <w:r w:rsidRPr="00966B85">
        <w:rPr>
          <w:rFonts w:ascii="Book Antiqua" w:hAnsi="Book Antiqua"/>
        </w:rPr>
        <w:t xml:space="preserve"> 2015; </w:t>
      </w:r>
      <w:r w:rsidRPr="00966B85">
        <w:rPr>
          <w:rFonts w:ascii="Book Antiqua" w:hAnsi="Book Antiqua"/>
          <w:b/>
          <w:bCs/>
        </w:rPr>
        <w:t>64</w:t>
      </w:r>
      <w:r w:rsidRPr="00966B85">
        <w:rPr>
          <w:rFonts w:ascii="Book Antiqua" w:hAnsi="Book Antiqua"/>
        </w:rPr>
        <w:t>: 538-543 [PMID: 24957264 DOI: 10.1136/gutjnl-2013-305882]</w:t>
      </w:r>
    </w:p>
    <w:p w14:paraId="5014B33F"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18 </w:t>
      </w:r>
      <w:r w:rsidRPr="00966B85">
        <w:rPr>
          <w:rFonts w:ascii="Book Antiqua" w:hAnsi="Book Antiqua"/>
          <w:b/>
          <w:bCs/>
        </w:rPr>
        <w:t>Hollander D</w:t>
      </w:r>
      <w:r w:rsidRPr="00966B85">
        <w:rPr>
          <w:rFonts w:ascii="Book Antiqua" w:hAnsi="Book Antiqua"/>
        </w:rPr>
        <w:t xml:space="preserve">, Vadheim CM, Brettholz E, Petersen GM, Delahunty T, Rotter JI. Increased intestinal permeability in patients with Crohn's disease and their relatives. A possible etiologic factor. </w:t>
      </w:r>
      <w:r w:rsidRPr="00966B85">
        <w:rPr>
          <w:rFonts w:ascii="Book Antiqua" w:hAnsi="Book Antiqua"/>
          <w:i/>
          <w:iCs/>
        </w:rPr>
        <w:t>Ann Intern Med</w:t>
      </w:r>
      <w:r w:rsidRPr="00966B85">
        <w:rPr>
          <w:rFonts w:ascii="Book Antiqua" w:hAnsi="Book Antiqua"/>
        </w:rPr>
        <w:t xml:space="preserve"> 1986; </w:t>
      </w:r>
      <w:r w:rsidRPr="00966B85">
        <w:rPr>
          <w:rFonts w:ascii="Book Antiqua" w:hAnsi="Book Antiqua"/>
          <w:b/>
          <w:bCs/>
        </w:rPr>
        <w:t>105</w:t>
      </w:r>
      <w:r w:rsidRPr="00966B85">
        <w:rPr>
          <w:rFonts w:ascii="Book Antiqua" w:hAnsi="Book Antiqua"/>
        </w:rPr>
        <w:t>: 883-885 [PMID: 3777713 DOI: 10.7326/0003-4819-105-6-883]</w:t>
      </w:r>
    </w:p>
    <w:p w14:paraId="452D685B"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19 </w:t>
      </w:r>
      <w:r w:rsidRPr="00966B85">
        <w:rPr>
          <w:rFonts w:ascii="Book Antiqua" w:hAnsi="Book Antiqua"/>
          <w:b/>
          <w:bCs/>
        </w:rPr>
        <w:t>Camilleri M</w:t>
      </w:r>
      <w:r w:rsidRPr="00966B85">
        <w:rPr>
          <w:rFonts w:ascii="Book Antiqua" w:hAnsi="Book Antiqua"/>
        </w:rPr>
        <w:t xml:space="preserve">. Leaky gut: mechanisms, measurement and clinical implications in humans. </w:t>
      </w:r>
      <w:r w:rsidRPr="00966B85">
        <w:rPr>
          <w:rFonts w:ascii="Book Antiqua" w:hAnsi="Book Antiqua"/>
          <w:i/>
          <w:iCs/>
        </w:rPr>
        <w:t>Gut</w:t>
      </w:r>
      <w:r w:rsidRPr="00966B85">
        <w:rPr>
          <w:rFonts w:ascii="Book Antiqua" w:hAnsi="Book Antiqua"/>
        </w:rPr>
        <w:t xml:space="preserve"> 2019; </w:t>
      </w:r>
      <w:r w:rsidRPr="00966B85">
        <w:rPr>
          <w:rFonts w:ascii="Book Antiqua" w:hAnsi="Book Antiqua"/>
          <w:b/>
          <w:bCs/>
        </w:rPr>
        <w:t>68</w:t>
      </w:r>
      <w:r w:rsidRPr="00966B85">
        <w:rPr>
          <w:rFonts w:ascii="Book Antiqua" w:hAnsi="Book Antiqua"/>
        </w:rPr>
        <w:t>: 1516-1526 [PMID: 31076401 DOI: 10.1136/gutjnl-2019-318427]</w:t>
      </w:r>
    </w:p>
    <w:p w14:paraId="7A09372F"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20 </w:t>
      </w:r>
      <w:r w:rsidRPr="00966B85">
        <w:rPr>
          <w:rFonts w:ascii="Book Antiqua" w:hAnsi="Book Antiqua"/>
          <w:b/>
          <w:bCs/>
        </w:rPr>
        <w:t>Zhu B</w:t>
      </w:r>
      <w:r w:rsidRPr="00966B85">
        <w:rPr>
          <w:rFonts w:ascii="Book Antiqua" w:hAnsi="Book Antiqua"/>
        </w:rPr>
        <w:t xml:space="preserve">, Wang X, Li L. Human gut microbiome: the second genome of human body. </w:t>
      </w:r>
      <w:r w:rsidRPr="00966B85">
        <w:rPr>
          <w:rFonts w:ascii="Book Antiqua" w:hAnsi="Book Antiqua"/>
          <w:i/>
          <w:iCs/>
        </w:rPr>
        <w:t>Protein Cell</w:t>
      </w:r>
      <w:r w:rsidRPr="00966B85">
        <w:rPr>
          <w:rFonts w:ascii="Book Antiqua" w:hAnsi="Book Antiqua"/>
        </w:rPr>
        <w:t xml:space="preserve"> 2010; </w:t>
      </w:r>
      <w:r w:rsidRPr="00966B85">
        <w:rPr>
          <w:rFonts w:ascii="Book Antiqua" w:hAnsi="Book Antiqua"/>
          <w:b/>
          <w:bCs/>
        </w:rPr>
        <w:t>1</w:t>
      </w:r>
      <w:r w:rsidRPr="00966B85">
        <w:rPr>
          <w:rFonts w:ascii="Book Antiqua" w:hAnsi="Book Antiqua"/>
        </w:rPr>
        <w:t>: 718-725 [PMID: 21203913 DOI: 10.1007/s13238-010-0093-z]</w:t>
      </w:r>
    </w:p>
    <w:p w14:paraId="4E96F4E5"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21 </w:t>
      </w:r>
      <w:r w:rsidRPr="00966B85">
        <w:rPr>
          <w:rFonts w:ascii="Book Antiqua" w:hAnsi="Book Antiqua"/>
          <w:b/>
          <w:bCs/>
        </w:rPr>
        <w:t>Kataoka K</w:t>
      </w:r>
      <w:r w:rsidRPr="00966B85">
        <w:rPr>
          <w:rFonts w:ascii="Book Antiqua" w:hAnsi="Book Antiqua"/>
        </w:rPr>
        <w:t xml:space="preserve">. The intestinal microbiota and its role in human health and disease. </w:t>
      </w:r>
      <w:r w:rsidRPr="00966B85">
        <w:rPr>
          <w:rFonts w:ascii="Book Antiqua" w:hAnsi="Book Antiqua"/>
          <w:i/>
          <w:iCs/>
        </w:rPr>
        <w:t>J Med Invest</w:t>
      </w:r>
      <w:r w:rsidRPr="00966B85">
        <w:rPr>
          <w:rFonts w:ascii="Book Antiqua" w:hAnsi="Book Antiqua"/>
        </w:rPr>
        <w:t xml:space="preserve"> 2016; </w:t>
      </w:r>
      <w:r w:rsidRPr="00966B85">
        <w:rPr>
          <w:rFonts w:ascii="Book Antiqua" w:hAnsi="Book Antiqua"/>
          <w:b/>
          <w:bCs/>
        </w:rPr>
        <w:t>63</w:t>
      </w:r>
      <w:r w:rsidRPr="00966B85">
        <w:rPr>
          <w:rFonts w:ascii="Book Antiqua" w:hAnsi="Book Antiqua"/>
        </w:rPr>
        <w:t>: 27-37 [PMID: 27040049 DOI: 10.2152/jmi.63.27]</w:t>
      </w:r>
    </w:p>
    <w:p w14:paraId="103DC18C"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22 </w:t>
      </w:r>
      <w:r w:rsidRPr="00966B85">
        <w:rPr>
          <w:rFonts w:ascii="Book Antiqua" w:hAnsi="Book Antiqua"/>
          <w:b/>
          <w:bCs/>
        </w:rPr>
        <w:t>Tilg H</w:t>
      </w:r>
      <w:r w:rsidRPr="00966B85">
        <w:rPr>
          <w:rFonts w:ascii="Book Antiqua" w:hAnsi="Book Antiqua"/>
        </w:rPr>
        <w:t xml:space="preserve">, Adolph TE, Gerner RR, Moschen AR. The Intestinal Microbiota in Colorectal Cancer. </w:t>
      </w:r>
      <w:r w:rsidRPr="00966B85">
        <w:rPr>
          <w:rFonts w:ascii="Book Antiqua" w:hAnsi="Book Antiqua"/>
          <w:i/>
          <w:iCs/>
        </w:rPr>
        <w:t>Cancer Cell</w:t>
      </w:r>
      <w:r w:rsidRPr="00966B85">
        <w:rPr>
          <w:rFonts w:ascii="Book Antiqua" w:hAnsi="Book Antiqua"/>
        </w:rPr>
        <w:t xml:space="preserve"> 2018; </w:t>
      </w:r>
      <w:r w:rsidRPr="00966B85">
        <w:rPr>
          <w:rFonts w:ascii="Book Antiqua" w:hAnsi="Book Antiqua"/>
          <w:b/>
          <w:bCs/>
        </w:rPr>
        <w:t>33</w:t>
      </w:r>
      <w:r w:rsidRPr="00966B85">
        <w:rPr>
          <w:rFonts w:ascii="Book Antiqua" w:hAnsi="Book Antiqua"/>
        </w:rPr>
        <w:t>: 954-964 [PMID: 29657127 DOI: 10.1016/j.ccell.2018.03.004]</w:t>
      </w:r>
    </w:p>
    <w:p w14:paraId="2C36CEDC"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23 </w:t>
      </w:r>
      <w:r w:rsidRPr="00966B85">
        <w:rPr>
          <w:rFonts w:ascii="Book Antiqua" w:hAnsi="Book Antiqua"/>
          <w:b/>
          <w:bCs/>
        </w:rPr>
        <w:t>Sittipo P</w:t>
      </w:r>
      <w:r w:rsidRPr="00966B85">
        <w:rPr>
          <w:rFonts w:ascii="Book Antiqua" w:hAnsi="Book Antiqua"/>
        </w:rPr>
        <w:t xml:space="preserve">, Lobionda S, Lee YK, Maynard CL. Intestinal microbiota and the immune system in metabolic diseases. </w:t>
      </w:r>
      <w:r w:rsidRPr="00966B85">
        <w:rPr>
          <w:rFonts w:ascii="Book Antiqua" w:hAnsi="Book Antiqua"/>
          <w:i/>
          <w:iCs/>
        </w:rPr>
        <w:t>J Microbiol</w:t>
      </w:r>
      <w:r w:rsidRPr="00966B85">
        <w:rPr>
          <w:rFonts w:ascii="Book Antiqua" w:hAnsi="Book Antiqua"/>
        </w:rPr>
        <w:t xml:space="preserve"> 2018; </w:t>
      </w:r>
      <w:r w:rsidRPr="00966B85">
        <w:rPr>
          <w:rFonts w:ascii="Book Antiqua" w:hAnsi="Book Antiqua"/>
          <w:b/>
          <w:bCs/>
        </w:rPr>
        <w:t>56</w:t>
      </w:r>
      <w:r w:rsidRPr="00966B85">
        <w:rPr>
          <w:rFonts w:ascii="Book Antiqua" w:hAnsi="Book Antiqua"/>
        </w:rPr>
        <w:t>: 154-162 [PMID: 29492872 DOI: 10.1007/s12275-018-7548-y]</w:t>
      </w:r>
    </w:p>
    <w:p w14:paraId="4DAA8DD6"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24 </w:t>
      </w:r>
      <w:r w:rsidRPr="00966B85">
        <w:rPr>
          <w:rFonts w:ascii="Book Antiqua" w:hAnsi="Book Antiqua"/>
          <w:b/>
          <w:bCs/>
        </w:rPr>
        <w:t>Lucas C</w:t>
      </w:r>
      <w:r w:rsidRPr="00966B85">
        <w:rPr>
          <w:rFonts w:ascii="Book Antiqua" w:hAnsi="Book Antiqua"/>
        </w:rPr>
        <w:t xml:space="preserve">, Barnich N, Nguyen HTT. Microbiota, Inflammation and Colorectal Cancer. </w:t>
      </w:r>
      <w:r w:rsidRPr="00966B85">
        <w:rPr>
          <w:rFonts w:ascii="Book Antiqua" w:hAnsi="Book Antiqua"/>
          <w:i/>
          <w:iCs/>
        </w:rPr>
        <w:t>Int J Mol Sci</w:t>
      </w:r>
      <w:r w:rsidRPr="00966B85">
        <w:rPr>
          <w:rFonts w:ascii="Book Antiqua" w:hAnsi="Book Antiqua"/>
        </w:rPr>
        <w:t xml:space="preserve"> 2017; </w:t>
      </w:r>
      <w:r w:rsidRPr="00966B85">
        <w:rPr>
          <w:rFonts w:ascii="Book Antiqua" w:hAnsi="Book Antiqua"/>
          <w:b/>
          <w:bCs/>
        </w:rPr>
        <w:t>18</w:t>
      </w:r>
      <w:r w:rsidRPr="00966B85">
        <w:rPr>
          <w:rFonts w:ascii="Book Antiqua" w:hAnsi="Book Antiqua"/>
        </w:rPr>
        <w:t xml:space="preserve"> [PMID: 28632155 DOI: 10.3390/ijms18061310]</w:t>
      </w:r>
    </w:p>
    <w:p w14:paraId="23102243"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25 </w:t>
      </w:r>
      <w:r w:rsidRPr="00966B85">
        <w:rPr>
          <w:rFonts w:ascii="Book Antiqua" w:hAnsi="Book Antiqua"/>
          <w:b/>
          <w:bCs/>
        </w:rPr>
        <w:t>Mizutani S</w:t>
      </w:r>
      <w:r w:rsidRPr="00966B85">
        <w:rPr>
          <w:rFonts w:ascii="Book Antiqua" w:hAnsi="Book Antiqua"/>
        </w:rPr>
        <w:t xml:space="preserve">, Yamada T, Yachida S. Significance of the gut microbiome in multistep colorectal carcinogenesis. </w:t>
      </w:r>
      <w:r w:rsidRPr="00966B85">
        <w:rPr>
          <w:rFonts w:ascii="Book Antiqua" w:hAnsi="Book Antiqua"/>
          <w:i/>
          <w:iCs/>
        </w:rPr>
        <w:t>Cancer Sci</w:t>
      </w:r>
      <w:r w:rsidRPr="00966B85">
        <w:rPr>
          <w:rFonts w:ascii="Book Antiqua" w:hAnsi="Book Antiqua"/>
        </w:rPr>
        <w:t xml:space="preserve"> 2020; </w:t>
      </w:r>
      <w:r w:rsidRPr="00966B85">
        <w:rPr>
          <w:rFonts w:ascii="Book Antiqua" w:hAnsi="Book Antiqua"/>
          <w:b/>
          <w:bCs/>
        </w:rPr>
        <w:t>111</w:t>
      </w:r>
      <w:r w:rsidRPr="00966B85">
        <w:rPr>
          <w:rFonts w:ascii="Book Antiqua" w:hAnsi="Book Antiqua"/>
        </w:rPr>
        <w:t>: 766-773 [PMID: 31910311 DOI: 10.1111/cas.14298]</w:t>
      </w:r>
    </w:p>
    <w:p w14:paraId="3CFF1DCF"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26 </w:t>
      </w:r>
      <w:r w:rsidRPr="00966B85">
        <w:rPr>
          <w:rFonts w:ascii="Book Antiqua" w:hAnsi="Book Antiqua"/>
          <w:b/>
          <w:bCs/>
        </w:rPr>
        <w:t>Kim M</w:t>
      </w:r>
      <w:r w:rsidRPr="00966B85">
        <w:rPr>
          <w:rFonts w:ascii="Book Antiqua" w:hAnsi="Book Antiqua"/>
        </w:rPr>
        <w:t xml:space="preserve">, Vogtmann E, Ahlquist DA, Devens ME, Kisiel JB, Taylor WR, White BA, Hale VL, Sung J, Chia N, Sinha R, Chen J. Fecal Metabolomic Signatures in Colorectal Adenoma Patients Are Associated with Gut Microbiota and Early </w:t>
      </w:r>
      <w:r w:rsidRPr="00966B85">
        <w:rPr>
          <w:rFonts w:ascii="Book Antiqua" w:hAnsi="Book Antiqua"/>
        </w:rPr>
        <w:lastRenderedPageBreak/>
        <w:t xml:space="preserve">Events of Colorectal Cancer Pathogenesis. </w:t>
      </w:r>
      <w:r w:rsidRPr="00966B85">
        <w:rPr>
          <w:rFonts w:ascii="Book Antiqua" w:hAnsi="Book Antiqua"/>
          <w:i/>
          <w:iCs/>
        </w:rPr>
        <w:t>mBio</w:t>
      </w:r>
      <w:r w:rsidRPr="00966B85">
        <w:rPr>
          <w:rFonts w:ascii="Book Antiqua" w:hAnsi="Book Antiqua"/>
        </w:rPr>
        <w:t xml:space="preserve"> 2020; </w:t>
      </w:r>
      <w:r w:rsidRPr="00966B85">
        <w:rPr>
          <w:rFonts w:ascii="Book Antiqua" w:hAnsi="Book Antiqua"/>
          <w:b/>
          <w:bCs/>
        </w:rPr>
        <w:t>11</w:t>
      </w:r>
      <w:r w:rsidRPr="00966B85">
        <w:rPr>
          <w:rFonts w:ascii="Book Antiqua" w:hAnsi="Book Antiqua"/>
        </w:rPr>
        <w:t xml:space="preserve"> [PMID: 32071266 DOI: 10.1128/mBio.03186-19]</w:t>
      </w:r>
    </w:p>
    <w:p w14:paraId="22277441"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27 </w:t>
      </w:r>
      <w:r w:rsidRPr="00966B85">
        <w:rPr>
          <w:rFonts w:ascii="Book Antiqua" w:hAnsi="Book Antiqua"/>
          <w:b/>
          <w:bCs/>
        </w:rPr>
        <w:t>Ramakrishna BS</w:t>
      </w:r>
      <w:r w:rsidRPr="00966B85">
        <w:rPr>
          <w:rFonts w:ascii="Book Antiqua" w:hAnsi="Book Antiqua"/>
        </w:rPr>
        <w:t xml:space="preserve">. Role of the gut microbiota in human nutrition and metabolism. </w:t>
      </w:r>
      <w:r w:rsidRPr="00966B85">
        <w:rPr>
          <w:rFonts w:ascii="Book Antiqua" w:hAnsi="Book Antiqua"/>
          <w:i/>
          <w:iCs/>
        </w:rPr>
        <w:t>J Gastroenterol Hepatol</w:t>
      </w:r>
      <w:r w:rsidRPr="00966B85">
        <w:rPr>
          <w:rFonts w:ascii="Book Antiqua" w:hAnsi="Book Antiqua"/>
        </w:rPr>
        <w:t xml:space="preserve"> 2013; </w:t>
      </w:r>
      <w:r w:rsidRPr="00966B85">
        <w:rPr>
          <w:rFonts w:ascii="Book Antiqua" w:hAnsi="Book Antiqua"/>
          <w:b/>
          <w:bCs/>
        </w:rPr>
        <w:t>28 Suppl 4</w:t>
      </w:r>
      <w:r w:rsidRPr="00966B85">
        <w:rPr>
          <w:rFonts w:ascii="Book Antiqua" w:hAnsi="Book Antiqua"/>
        </w:rPr>
        <w:t>: 9-17 [PMID: 24251697 DOI: 10.1111/jgh.12294]</w:t>
      </w:r>
    </w:p>
    <w:p w14:paraId="5EA3A439"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28 </w:t>
      </w:r>
      <w:r w:rsidRPr="00966B85">
        <w:rPr>
          <w:rFonts w:ascii="Book Antiqua" w:hAnsi="Book Antiqua"/>
          <w:b/>
          <w:bCs/>
        </w:rPr>
        <w:t>Hegde S</w:t>
      </w:r>
      <w:r w:rsidRPr="00966B85">
        <w:rPr>
          <w:rFonts w:ascii="Book Antiqua" w:hAnsi="Book Antiqua"/>
        </w:rPr>
        <w:t xml:space="preserve">, Lin YM, Golovko G, Khanipov K, Cong Y, Savidge T, Fofanov Y, Shi XZ. Microbiota dysbiosis and its pathophysiological significance in bowel obstruction. </w:t>
      </w:r>
      <w:r w:rsidRPr="00966B85">
        <w:rPr>
          <w:rFonts w:ascii="Book Antiqua" w:hAnsi="Book Antiqua"/>
          <w:i/>
          <w:iCs/>
        </w:rPr>
        <w:t>Sci Rep</w:t>
      </w:r>
      <w:r w:rsidRPr="00966B85">
        <w:rPr>
          <w:rFonts w:ascii="Book Antiqua" w:hAnsi="Book Antiqua"/>
        </w:rPr>
        <w:t xml:space="preserve"> 2018; </w:t>
      </w:r>
      <w:r w:rsidRPr="00966B85">
        <w:rPr>
          <w:rFonts w:ascii="Book Antiqua" w:hAnsi="Book Antiqua"/>
          <w:b/>
          <w:bCs/>
        </w:rPr>
        <w:t>8</w:t>
      </w:r>
      <w:r w:rsidRPr="00966B85">
        <w:rPr>
          <w:rFonts w:ascii="Book Antiqua" w:hAnsi="Book Antiqua"/>
        </w:rPr>
        <w:t>: 13044 [PMID: 30177854 DOI: 10.1038/s41598-018-31033-0]</w:t>
      </w:r>
    </w:p>
    <w:p w14:paraId="46E00AE7"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29 </w:t>
      </w:r>
      <w:r w:rsidRPr="00966B85">
        <w:rPr>
          <w:rFonts w:ascii="Book Antiqua" w:hAnsi="Book Antiqua"/>
          <w:b/>
          <w:bCs/>
        </w:rPr>
        <w:t>Akashi K</w:t>
      </w:r>
      <w:r w:rsidRPr="00966B85">
        <w:rPr>
          <w:rFonts w:ascii="Book Antiqua" w:hAnsi="Book Antiqua"/>
        </w:rPr>
        <w:t xml:space="preserve">, Yokoyama Y, Mizuno T, Abe T, Fukaya M, Asahara T, Nagino M. Association Between Preoperative Muscle Mass and Intraoperative Bacterial Translocation in Patients Undergoing Hepatectomy, Pancreatoduodenectomy, and Esophagectomy. </w:t>
      </w:r>
      <w:r w:rsidRPr="00966B85">
        <w:rPr>
          <w:rFonts w:ascii="Book Antiqua" w:hAnsi="Book Antiqua"/>
          <w:i/>
          <w:iCs/>
        </w:rPr>
        <w:t>Ann Surg Oncol</w:t>
      </w:r>
      <w:r w:rsidRPr="00966B85">
        <w:rPr>
          <w:rFonts w:ascii="Book Antiqua" w:hAnsi="Book Antiqua"/>
        </w:rPr>
        <w:t xml:space="preserve"> 2019; </w:t>
      </w:r>
      <w:r w:rsidRPr="00966B85">
        <w:rPr>
          <w:rFonts w:ascii="Book Antiqua" w:hAnsi="Book Antiqua"/>
          <w:b/>
          <w:bCs/>
        </w:rPr>
        <w:t>26</w:t>
      </w:r>
      <w:r w:rsidRPr="00966B85">
        <w:rPr>
          <w:rFonts w:ascii="Book Antiqua" w:hAnsi="Book Antiqua"/>
        </w:rPr>
        <w:t>: 4805-4813 [PMID: 31407185 DOI: 10.1245/s10434-019-07707-y]</w:t>
      </w:r>
    </w:p>
    <w:p w14:paraId="1C0F24D9"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30 </w:t>
      </w:r>
      <w:r w:rsidRPr="00966B85">
        <w:rPr>
          <w:rFonts w:ascii="Book Antiqua" w:hAnsi="Book Antiqua"/>
          <w:b/>
          <w:bCs/>
        </w:rPr>
        <w:t>Yokoyama Y</w:t>
      </w:r>
      <w:r w:rsidRPr="00966B85">
        <w:rPr>
          <w:rFonts w:ascii="Book Antiqua" w:hAnsi="Book Antiqua"/>
        </w:rPr>
        <w:t xml:space="preserve">, Fukaya M, Mizuno T, Ebata T, Asahara T, Nagino M. Clinical importance of "occult-bacterial translocation" in patients undergoing highly invasive gastrointestinal surgery: A review. </w:t>
      </w:r>
      <w:r w:rsidRPr="00966B85">
        <w:rPr>
          <w:rFonts w:ascii="Book Antiqua" w:hAnsi="Book Antiqua"/>
          <w:i/>
          <w:iCs/>
        </w:rPr>
        <w:t>Surg Today</w:t>
      </w:r>
      <w:r w:rsidRPr="00966B85">
        <w:rPr>
          <w:rFonts w:ascii="Book Antiqua" w:hAnsi="Book Antiqua"/>
        </w:rPr>
        <w:t xml:space="preserve"> 2021; </w:t>
      </w:r>
      <w:r w:rsidRPr="00966B85">
        <w:rPr>
          <w:rFonts w:ascii="Book Antiqua" w:hAnsi="Book Antiqua"/>
          <w:b/>
          <w:bCs/>
        </w:rPr>
        <w:t>51</w:t>
      </w:r>
      <w:r w:rsidRPr="00966B85">
        <w:rPr>
          <w:rFonts w:ascii="Book Antiqua" w:hAnsi="Book Antiqua"/>
        </w:rPr>
        <w:t>: 485-492 [PMID: 32857253 DOI: 10.1007/s00595-020-02126-z]</w:t>
      </w:r>
    </w:p>
    <w:p w14:paraId="0C056603"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31 </w:t>
      </w:r>
      <w:r w:rsidRPr="00966B85">
        <w:rPr>
          <w:rFonts w:ascii="Book Antiqua" w:hAnsi="Book Antiqua"/>
          <w:b/>
          <w:bCs/>
        </w:rPr>
        <w:t>Schietroma M</w:t>
      </w:r>
      <w:r w:rsidRPr="00966B85">
        <w:rPr>
          <w:rFonts w:ascii="Book Antiqua" w:hAnsi="Book Antiqua"/>
        </w:rPr>
        <w:t xml:space="preserve">, Pessia B, Colozzi S, Carlei F, Amicucci G. Does bacterial translocation influence the postoperative infections in splenectomized patients after abdominal trauma? </w:t>
      </w:r>
      <w:r w:rsidRPr="00966B85">
        <w:rPr>
          <w:rFonts w:ascii="Book Antiqua" w:hAnsi="Book Antiqua"/>
          <w:i/>
          <w:iCs/>
        </w:rPr>
        <w:t>Surgeon</w:t>
      </w:r>
      <w:r w:rsidRPr="00966B85">
        <w:rPr>
          <w:rFonts w:ascii="Book Antiqua" w:hAnsi="Book Antiqua"/>
        </w:rPr>
        <w:t xml:space="preserve"> 2018; </w:t>
      </w:r>
      <w:r w:rsidRPr="00966B85">
        <w:rPr>
          <w:rFonts w:ascii="Book Antiqua" w:hAnsi="Book Antiqua"/>
          <w:b/>
          <w:bCs/>
        </w:rPr>
        <w:t>16</w:t>
      </w:r>
      <w:r w:rsidRPr="00966B85">
        <w:rPr>
          <w:rFonts w:ascii="Book Antiqua" w:hAnsi="Book Antiqua"/>
        </w:rPr>
        <w:t>: 94-100 [PMID: 28162908 DOI: 10.1016/j.surge.2016.09.009]</w:t>
      </w:r>
    </w:p>
    <w:p w14:paraId="46273803"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32 </w:t>
      </w:r>
      <w:r w:rsidRPr="00966B85">
        <w:rPr>
          <w:rFonts w:ascii="Book Antiqua" w:hAnsi="Book Antiqua"/>
          <w:b/>
          <w:bCs/>
        </w:rPr>
        <w:t>O'Boyle CJ</w:t>
      </w:r>
      <w:r w:rsidRPr="00966B85">
        <w:rPr>
          <w:rFonts w:ascii="Book Antiqua" w:hAnsi="Book Antiqua"/>
        </w:rPr>
        <w:t xml:space="preserve">, MacFie J, Mitchell CJ, Johnstone D, Sagar PM, Sedman PC. Microbiology of bacterial translocation in humans. </w:t>
      </w:r>
      <w:r w:rsidRPr="00966B85">
        <w:rPr>
          <w:rFonts w:ascii="Book Antiqua" w:hAnsi="Book Antiqua"/>
          <w:i/>
          <w:iCs/>
        </w:rPr>
        <w:t>Gut</w:t>
      </w:r>
      <w:r w:rsidRPr="00966B85">
        <w:rPr>
          <w:rFonts w:ascii="Book Antiqua" w:hAnsi="Book Antiqua"/>
        </w:rPr>
        <w:t xml:space="preserve"> 1998; </w:t>
      </w:r>
      <w:r w:rsidRPr="00966B85">
        <w:rPr>
          <w:rFonts w:ascii="Book Antiqua" w:hAnsi="Book Antiqua"/>
          <w:b/>
          <w:bCs/>
        </w:rPr>
        <w:t>42</w:t>
      </w:r>
      <w:r w:rsidRPr="00966B85">
        <w:rPr>
          <w:rFonts w:ascii="Book Antiqua" w:hAnsi="Book Antiqua"/>
        </w:rPr>
        <w:t>: 29-35 [PMID: 9505882 DOI: 10.1136/gut.42.1.29]</w:t>
      </w:r>
    </w:p>
    <w:p w14:paraId="699CAA65"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33 </w:t>
      </w:r>
      <w:r w:rsidRPr="00966B85">
        <w:rPr>
          <w:rFonts w:ascii="Book Antiqua" w:hAnsi="Book Antiqua"/>
          <w:b/>
          <w:bCs/>
        </w:rPr>
        <w:t>Murray MJ</w:t>
      </w:r>
      <w:r w:rsidRPr="00966B85">
        <w:rPr>
          <w:rFonts w:ascii="Book Antiqua" w:hAnsi="Book Antiqua"/>
        </w:rPr>
        <w:t xml:space="preserve">, Gonze MD, Nowak LR, Cobb CF. Serum D(-)-lactate levels as an aid to diagnosing acute intestinal ischemia. </w:t>
      </w:r>
      <w:r w:rsidRPr="00966B85">
        <w:rPr>
          <w:rFonts w:ascii="Book Antiqua" w:hAnsi="Book Antiqua"/>
          <w:i/>
          <w:iCs/>
        </w:rPr>
        <w:t>Am J Surg</w:t>
      </w:r>
      <w:r w:rsidRPr="00966B85">
        <w:rPr>
          <w:rFonts w:ascii="Book Antiqua" w:hAnsi="Book Antiqua"/>
        </w:rPr>
        <w:t xml:space="preserve"> 1994; </w:t>
      </w:r>
      <w:r w:rsidRPr="00966B85">
        <w:rPr>
          <w:rFonts w:ascii="Book Antiqua" w:hAnsi="Book Antiqua"/>
          <w:b/>
          <w:bCs/>
        </w:rPr>
        <w:t>167</w:t>
      </w:r>
      <w:r w:rsidRPr="00966B85">
        <w:rPr>
          <w:rFonts w:ascii="Book Antiqua" w:hAnsi="Book Antiqua"/>
        </w:rPr>
        <w:t>: 575-578 [PMID: 8209931 DOI: 10.1016/0002-9610(94)90101-5]</w:t>
      </w:r>
    </w:p>
    <w:p w14:paraId="3A41E6B1" w14:textId="77777777" w:rsidR="00C132BE" w:rsidRPr="00966B85" w:rsidRDefault="00C132BE" w:rsidP="00C132BE">
      <w:pPr>
        <w:spacing w:line="360" w:lineRule="auto"/>
        <w:jc w:val="both"/>
        <w:rPr>
          <w:rFonts w:ascii="Book Antiqua" w:hAnsi="Book Antiqua"/>
        </w:rPr>
      </w:pPr>
      <w:r w:rsidRPr="00966B85">
        <w:rPr>
          <w:rFonts w:ascii="Book Antiqua" w:hAnsi="Book Antiqua"/>
        </w:rPr>
        <w:lastRenderedPageBreak/>
        <w:t xml:space="preserve">34 </w:t>
      </w:r>
      <w:r w:rsidRPr="00966B85">
        <w:rPr>
          <w:rFonts w:ascii="Book Antiqua" w:hAnsi="Book Antiqua"/>
          <w:b/>
          <w:bCs/>
        </w:rPr>
        <w:t>Nieves E</w:t>
      </w:r>
      <w:r w:rsidRPr="00966B85">
        <w:rPr>
          <w:rFonts w:ascii="Book Antiqua" w:hAnsi="Book Antiqua"/>
        </w:rPr>
        <w:t xml:space="preserve">, Tobón LF, Ríos DI, Isaza A, Ramírez M, Beltrán JA, Garzón-Ospina D, Patarroyo MA, Gómez A. Bacterial translocation in abdominal trauma and postoperative infections. </w:t>
      </w:r>
      <w:r w:rsidRPr="00966B85">
        <w:rPr>
          <w:rFonts w:ascii="Book Antiqua" w:hAnsi="Book Antiqua"/>
          <w:i/>
          <w:iCs/>
        </w:rPr>
        <w:t>J Trauma</w:t>
      </w:r>
      <w:r w:rsidRPr="00966B85">
        <w:rPr>
          <w:rFonts w:ascii="Book Antiqua" w:hAnsi="Book Antiqua"/>
        </w:rPr>
        <w:t xml:space="preserve"> 2011; </w:t>
      </w:r>
      <w:r w:rsidRPr="00966B85">
        <w:rPr>
          <w:rFonts w:ascii="Book Antiqua" w:hAnsi="Book Antiqua"/>
          <w:b/>
          <w:bCs/>
        </w:rPr>
        <w:t>71</w:t>
      </w:r>
      <w:r w:rsidRPr="00966B85">
        <w:rPr>
          <w:rFonts w:ascii="Book Antiqua" w:hAnsi="Book Antiqua"/>
        </w:rPr>
        <w:t>: 1258-1261 [PMID: 21502873 DOI: 10.1097/TA.0b013e318215140e]</w:t>
      </w:r>
    </w:p>
    <w:p w14:paraId="0D3BF3C3"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35 </w:t>
      </w:r>
      <w:r w:rsidRPr="00966B85">
        <w:rPr>
          <w:rFonts w:ascii="Book Antiqua" w:hAnsi="Book Antiqua"/>
          <w:b/>
          <w:bCs/>
        </w:rPr>
        <w:t>Saadia R</w:t>
      </w:r>
      <w:r w:rsidRPr="00966B85">
        <w:rPr>
          <w:rFonts w:ascii="Book Antiqua" w:hAnsi="Book Antiqua"/>
        </w:rPr>
        <w:t xml:space="preserve">. Trauma and bacterial translocation. </w:t>
      </w:r>
      <w:r w:rsidRPr="00966B85">
        <w:rPr>
          <w:rFonts w:ascii="Book Antiqua" w:hAnsi="Book Antiqua"/>
          <w:i/>
          <w:iCs/>
        </w:rPr>
        <w:t>Br J Surg</w:t>
      </w:r>
      <w:r w:rsidRPr="00966B85">
        <w:rPr>
          <w:rFonts w:ascii="Book Antiqua" w:hAnsi="Book Antiqua"/>
        </w:rPr>
        <w:t xml:space="preserve"> 1995; </w:t>
      </w:r>
      <w:r w:rsidRPr="00966B85">
        <w:rPr>
          <w:rFonts w:ascii="Book Antiqua" w:hAnsi="Book Antiqua"/>
          <w:b/>
          <w:bCs/>
        </w:rPr>
        <w:t>82</w:t>
      </w:r>
      <w:r w:rsidRPr="00966B85">
        <w:rPr>
          <w:rFonts w:ascii="Book Antiqua" w:hAnsi="Book Antiqua"/>
        </w:rPr>
        <w:t>: 1243-1244 [PMID: 7552007 DOI: 10.1002/bjs.1800820928]</w:t>
      </w:r>
    </w:p>
    <w:p w14:paraId="5003430D"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36 </w:t>
      </w:r>
      <w:r w:rsidRPr="00966B85">
        <w:rPr>
          <w:rFonts w:ascii="Book Antiqua" w:hAnsi="Book Antiqua"/>
          <w:b/>
          <w:bCs/>
        </w:rPr>
        <w:t>Mi L</w:t>
      </w:r>
      <w:r w:rsidRPr="00966B85">
        <w:rPr>
          <w:rFonts w:ascii="Book Antiqua" w:hAnsi="Book Antiqua"/>
        </w:rPr>
        <w:t xml:space="preserve">, Lin J, Zheng H, Xu X, Zhang J, Zhang D. Bacterial translocation contributes to cachexia from locally advanced gastric cancer. </w:t>
      </w:r>
      <w:r w:rsidRPr="00966B85">
        <w:rPr>
          <w:rFonts w:ascii="Book Antiqua" w:hAnsi="Book Antiqua"/>
          <w:i/>
          <w:iCs/>
        </w:rPr>
        <w:t>Hepatogastroenterology</w:t>
      </w:r>
      <w:r w:rsidRPr="00966B85">
        <w:rPr>
          <w:rFonts w:ascii="Book Antiqua" w:hAnsi="Book Antiqua"/>
        </w:rPr>
        <w:t xml:space="preserve"> 2012; </w:t>
      </w:r>
      <w:r w:rsidRPr="00966B85">
        <w:rPr>
          <w:rFonts w:ascii="Book Antiqua" w:hAnsi="Book Antiqua"/>
          <w:b/>
          <w:bCs/>
        </w:rPr>
        <w:t>59</w:t>
      </w:r>
      <w:r w:rsidRPr="00966B85">
        <w:rPr>
          <w:rFonts w:ascii="Book Antiqua" w:hAnsi="Book Antiqua"/>
        </w:rPr>
        <w:t>: 2348-2351 [PMID: 22709824 DOI: 10.5754/hge11810]</w:t>
      </w:r>
    </w:p>
    <w:p w14:paraId="283020F1"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37 </w:t>
      </w:r>
      <w:r w:rsidRPr="00966B85">
        <w:rPr>
          <w:rFonts w:ascii="Book Antiqua" w:hAnsi="Book Antiqua"/>
          <w:b/>
          <w:bCs/>
        </w:rPr>
        <w:t>Jiang Y</w:t>
      </w:r>
      <w:r w:rsidRPr="00966B85">
        <w:rPr>
          <w:rFonts w:ascii="Book Antiqua" w:hAnsi="Book Antiqua"/>
        </w:rPr>
        <w:t xml:space="preserve">, Lin J, Zhang D, Yu Z, Li Q, Jiang J, Li J. Bacterial translocation contributes to cachexia and its possible pathway in patients with colon cancer. </w:t>
      </w:r>
      <w:r w:rsidRPr="00966B85">
        <w:rPr>
          <w:rFonts w:ascii="Book Antiqua" w:hAnsi="Book Antiqua"/>
          <w:i/>
          <w:iCs/>
        </w:rPr>
        <w:t>J Clin Gastroenterol</w:t>
      </w:r>
      <w:r w:rsidRPr="00966B85">
        <w:rPr>
          <w:rFonts w:ascii="Book Antiqua" w:hAnsi="Book Antiqua"/>
        </w:rPr>
        <w:t xml:space="preserve"> 2014; </w:t>
      </w:r>
      <w:r w:rsidRPr="00966B85">
        <w:rPr>
          <w:rFonts w:ascii="Book Antiqua" w:hAnsi="Book Antiqua"/>
          <w:b/>
          <w:bCs/>
        </w:rPr>
        <w:t>48</w:t>
      </w:r>
      <w:r w:rsidRPr="00966B85">
        <w:rPr>
          <w:rFonts w:ascii="Book Antiqua" w:hAnsi="Book Antiqua"/>
        </w:rPr>
        <w:t>: 131-137 [PMID: 24162171 DOI: 10.1097/01.mcg.0000436437.83015.17]</w:t>
      </w:r>
    </w:p>
    <w:p w14:paraId="596C8182"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38 </w:t>
      </w:r>
      <w:r w:rsidRPr="00966B85">
        <w:rPr>
          <w:rFonts w:ascii="Book Antiqua" w:hAnsi="Book Antiqua"/>
          <w:b/>
          <w:bCs/>
        </w:rPr>
        <w:t>Koratzanis G</w:t>
      </w:r>
      <w:r w:rsidRPr="00966B85">
        <w:rPr>
          <w:rFonts w:ascii="Book Antiqua" w:hAnsi="Book Antiqua"/>
        </w:rPr>
        <w:t xml:space="preserve">, Giamarellos-Bourboulis EJ, Papalambros E, Giamarellou H. Bacterial translocation following intrabdominal surgery. Any influence of antimicrobial prophylaxis? </w:t>
      </w:r>
      <w:r w:rsidRPr="00966B85">
        <w:rPr>
          <w:rFonts w:ascii="Book Antiqua" w:hAnsi="Book Antiqua"/>
          <w:i/>
          <w:iCs/>
        </w:rPr>
        <w:t>Int J Antimicrob Agents</w:t>
      </w:r>
      <w:r w:rsidRPr="00966B85">
        <w:rPr>
          <w:rFonts w:ascii="Book Antiqua" w:hAnsi="Book Antiqua"/>
        </w:rPr>
        <w:t xml:space="preserve"> 2002; </w:t>
      </w:r>
      <w:r w:rsidRPr="00966B85">
        <w:rPr>
          <w:rFonts w:ascii="Book Antiqua" w:hAnsi="Book Antiqua"/>
          <w:b/>
          <w:bCs/>
        </w:rPr>
        <w:t>20</w:t>
      </w:r>
      <w:r w:rsidRPr="00966B85">
        <w:rPr>
          <w:rFonts w:ascii="Book Antiqua" w:hAnsi="Book Antiqua"/>
        </w:rPr>
        <w:t>: 457-460 [PMID: 12458141 DOI: 10.1016/s0924-8579(02)00237-6]</w:t>
      </w:r>
    </w:p>
    <w:p w14:paraId="32B14EC4"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39 </w:t>
      </w:r>
      <w:r w:rsidRPr="00966B85">
        <w:rPr>
          <w:rFonts w:ascii="Book Antiqua" w:hAnsi="Book Antiqua"/>
          <w:b/>
          <w:bCs/>
        </w:rPr>
        <w:t>Diepenhorst GM</w:t>
      </w:r>
      <w:r w:rsidRPr="00966B85">
        <w:rPr>
          <w:rFonts w:ascii="Book Antiqua" w:hAnsi="Book Antiqua"/>
        </w:rPr>
        <w:t xml:space="preserve">, van Ruler O, Besselink MG, van Santvoort HC, Wijnandts PR, Renooij W, Gouma DJ, Gooszen HG, Boermeester MA. Influence of prophylactic probiotics and selective decontamination on bacterial translocation in patients undergoing pancreatic surgery: a randomized controlled trial. </w:t>
      </w:r>
      <w:r w:rsidRPr="00966B85">
        <w:rPr>
          <w:rFonts w:ascii="Book Antiqua" w:hAnsi="Book Antiqua"/>
          <w:i/>
          <w:iCs/>
        </w:rPr>
        <w:t>Shock</w:t>
      </w:r>
      <w:r w:rsidRPr="00966B85">
        <w:rPr>
          <w:rFonts w:ascii="Book Antiqua" w:hAnsi="Book Antiqua"/>
        </w:rPr>
        <w:t xml:space="preserve"> 2011; </w:t>
      </w:r>
      <w:r w:rsidRPr="00966B85">
        <w:rPr>
          <w:rFonts w:ascii="Book Antiqua" w:hAnsi="Book Antiqua"/>
          <w:b/>
          <w:bCs/>
        </w:rPr>
        <w:t>35</w:t>
      </w:r>
      <w:r w:rsidRPr="00966B85">
        <w:rPr>
          <w:rFonts w:ascii="Book Antiqua" w:hAnsi="Book Antiqua"/>
        </w:rPr>
        <w:t>: 9-16 [PMID: 20577144 DOI: 10.1097/SHK.0b013e3181ed8f17]</w:t>
      </w:r>
    </w:p>
    <w:p w14:paraId="57277651"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40 </w:t>
      </w:r>
      <w:r w:rsidRPr="00966B85">
        <w:rPr>
          <w:rFonts w:ascii="Book Antiqua" w:hAnsi="Book Antiqua"/>
          <w:b/>
          <w:bCs/>
        </w:rPr>
        <w:t>MacFie J</w:t>
      </w:r>
      <w:r w:rsidRPr="00966B85">
        <w:rPr>
          <w:rFonts w:ascii="Book Antiqua" w:hAnsi="Book Antiqua"/>
        </w:rPr>
        <w:t xml:space="preserve">, O'Boyle C, Mitchell CJ, Buckley PM, Johnstone D, Sudworth P. Gut origin of sepsis: a prospective study investigating associations between bacterial translocation, gastric microflora, and septic morbidity. </w:t>
      </w:r>
      <w:r w:rsidRPr="00966B85">
        <w:rPr>
          <w:rFonts w:ascii="Book Antiqua" w:hAnsi="Book Antiqua"/>
          <w:i/>
          <w:iCs/>
        </w:rPr>
        <w:t>Gut</w:t>
      </w:r>
      <w:r w:rsidRPr="00966B85">
        <w:rPr>
          <w:rFonts w:ascii="Book Antiqua" w:hAnsi="Book Antiqua"/>
        </w:rPr>
        <w:t xml:space="preserve"> 1999; </w:t>
      </w:r>
      <w:r w:rsidRPr="00966B85">
        <w:rPr>
          <w:rFonts w:ascii="Book Antiqua" w:hAnsi="Book Antiqua"/>
          <w:b/>
          <w:bCs/>
        </w:rPr>
        <w:t>45</w:t>
      </w:r>
      <w:r w:rsidRPr="00966B85">
        <w:rPr>
          <w:rFonts w:ascii="Book Antiqua" w:hAnsi="Book Antiqua"/>
        </w:rPr>
        <w:t>: 223-228 [PMID: 10403734 DOI: 10.1136/gut.45.2.223]</w:t>
      </w:r>
    </w:p>
    <w:p w14:paraId="1FF2D559"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41 </w:t>
      </w:r>
      <w:r w:rsidRPr="00966B85">
        <w:rPr>
          <w:rFonts w:ascii="Book Antiqua" w:hAnsi="Book Antiqua"/>
          <w:b/>
          <w:bCs/>
        </w:rPr>
        <w:t>Levy MM</w:t>
      </w:r>
      <w:r w:rsidRPr="00966B85">
        <w:rPr>
          <w:rFonts w:ascii="Book Antiqua" w:hAnsi="Book Antiqua"/>
        </w:rPr>
        <w:t xml:space="preserve">, Fink MP, Marshall JC, Abraham E, Angus D, Cook D, Cohen J, Opal SM, Vincent JL, Ramsay G; SCCM/ESICM/ACCP/ATS/SIS. 2001 </w:t>
      </w:r>
      <w:r w:rsidRPr="00966B85">
        <w:rPr>
          <w:rFonts w:ascii="Book Antiqua" w:hAnsi="Book Antiqua"/>
        </w:rPr>
        <w:lastRenderedPageBreak/>
        <w:t xml:space="preserve">SCCM/ESICM/ACCP/ATS/SIS International Sepsis Definitions Conference. </w:t>
      </w:r>
      <w:r w:rsidRPr="00966B85">
        <w:rPr>
          <w:rFonts w:ascii="Book Antiqua" w:hAnsi="Book Antiqua"/>
          <w:i/>
          <w:iCs/>
        </w:rPr>
        <w:t>Crit Care Med</w:t>
      </w:r>
      <w:r w:rsidRPr="00966B85">
        <w:rPr>
          <w:rFonts w:ascii="Book Antiqua" w:hAnsi="Book Antiqua"/>
        </w:rPr>
        <w:t xml:space="preserve"> 2003; </w:t>
      </w:r>
      <w:r w:rsidRPr="00966B85">
        <w:rPr>
          <w:rFonts w:ascii="Book Antiqua" w:hAnsi="Book Antiqua"/>
          <w:b/>
          <w:bCs/>
        </w:rPr>
        <w:t>31</w:t>
      </w:r>
      <w:r w:rsidRPr="00966B85">
        <w:rPr>
          <w:rFonts w:ascii="Book Antiqua" w:hAnsi="Book Antiqua"/>
        </w:rPr>
        <w:t>: 1250-1256 [PMID: 12682500 DOI: 10.1097/01.CCM.0000050454.01978.3B]</w:t>
      </w:r>
    </w:p>
    <w:p w14:paraId="41EF7B98"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42 </w:t>
      </w:r>
      <w:r w:rsidRPr="00966B85">
        <w:rPr>
          <w:rFonts w:ascii="Book Antiqua" w:hAnsi="Book Antiqua"/>
          <w:b/>
          <w:bCs/>
        </w:rPr>
        <w:t>Lemaire LC</w:t>
      </w:r>
      <w:r w:rsidRPr="00966B85">
        <w:rPr>
          <w:rFonts w:ascii="Book Antiqua" w:hAnsi="Book Antiqua"/>
        </w:rPr>
        <w:t xml:space="preserve">, van Lanschot JJ, Stoutenbeek CP, van Deventer SJ, Wells CL, Gouma DJ. Bacterial translocation in multiple organ failure: cause or epiphenomenon still unproven. </w:t>
      </w:r>
      <w:r w:rsidRPr="00966B85">
        <w:rPr>
          <w:rFonts w:ascii="Book Antiqua" w:hAnsi="Book Antiqua"/>
          <w:i/>
          <w:iCs/>
        </w:rPr>
        <w:t>Br J Surg</w:t>
      </w:r>
      <w:r w:rsidRPr="00966B85">
        <w:rPr>
          <w:rFonts w:ascii="Book Antiqua" w:hAnsi="Book Antiqua"/>
        </w:rPr>
        <w:t xml:space="preserve"> 1997; </w:t>
      </w:r>
      <w:r w:rsidRPr="00966B85">
        <w:rPr>
          <w:rFonts w:ascii="Book Antiqua" w:hAnsi="Book Antiqua"/>
          <w:b/>
          <w:bCs/>
        </w:rPr>
        <w:t>84</w:t>
      </w:r>
      <w:r w:rsidRPr="00966B85">
        <w:rPr>
          <w:rFonts w:ascii="Book Antiqua" w:hAnsi="Book Antiqua"/>
        </w:rPr>
        <w:t>: 1340-1350 [PMID: 9361586]</w:t>
      </w:r>
    </w:p>
    <w:p w14:paraId="1B653BE8"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43 </w:t>
      </w:r>
      <w:r w:rsidRPr="00966B85">
        <w:rPr>
          <w:rFonts w:ascii="Book Antiqua" w:hAnsi="Book Antiqua"/>
          <w:b/>
          <w:bCs/>
        </w:rPr>
        <w:t>Vaishnavi C</w:t>
      </w:r>
      <w:r w:rsidRPr="00966B85">
        <w:rPr>
          <w:rFonts w:ascii="Book Antiqua" w:hAnsi="Book Antiqua"/>
        </w:rPr>
        <w:t xml:space="preserve">. Translocation of gut flora and its role in sepsis. </w:t>
      </w:r>
      <w:r w:rsidRPr="00966B85">
        <w:rPr>
          <w:rFonts w:ascii="Book Antiqua" w:hAnsi="Book Antiqua"/>
          <w:i/>
          <w:iCs/>
        </w:rPr>
        <w:t>Indian J Med Microbiol</w:t>
      </w:r>
      <w:r w:rsidRPr="00966B85">
        <w:rPr>
          <w:rFonts w:ascii="Book Antiqua" w:hAnsi="Book Antiqua"/>
        </w:rPr>
        <w:t xml:space="preserve"> 2013; </w:t>
      </w:r>
      <w:r w:rsidRPr="00966B85">
        <w:rPr>
          <w:rFonts w:ascii="Book Antiqua" w:hAnsi="Book Antiqua"/>
          <w:b/>
          <w:bCs/>
        </w:rPr>
        <w:t>31</w:t>
      </w:r>
      <w:r w:rsidRPr="00966B85">
        <w:rPr>
          <w:rFonts w:ascii="Book Antiqua" w:hAnsi="Book Antiqua"/>
        </w:rPr>
        <w:t>: 334-342 [PMID: 24064638 DOI: 10.4103/0255-0857.118870]</w:t>
      </w:r>
    </w:p>
    <w:p w14:paraId="15B7E3EA"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44 </w:t>
      </w:r>
      <w:r w:rsidRPr="00966B85">
        <w:rPr>
          <w:rFonts w:ascii="Book Antiqua" w:hAnsi="Book Antiqua"/>
          <w:b/>
          <w:bCs/>
        </w:rPr>
        <w:t>Chen PY</w:t>
      </w:r>
      <w:r w:rsidRPr="00966B85">
        <w:rPr>
          <w:rFonts w:ascii="Book Antiqua" w:hAnsi="Book Antiqua"/>
        </w:rPr>
        <w:t xml:space="preserve">, Luo CW, Chen MH, Yang ML, Kuan YH. Epidemiological Characteristics of Postoperative Sepsis. </w:t>
      </w:r>
      <w:r w:rsidRPr="00966B85">
        <w:rPr>
          <w:rFonts w:ascii="Book Antiqua" w:hAnsi="Book Antiqua"/>
          <w:i/>
          <w:iCs/>
        </w:rPr>
        <w:t>Open Med (Wars)</w:t>
      </w:r>
      <w:r w:rsidRPr="00966B85">
        <w:rPr>
          <w:rFonts w:ascii="Book Antiqua" w:hAnsi="Book Antiqua"/>
        </w:rPr>
        <w:t xml:space="preserve"> 2019; </w:t>
      </w:r>
      <w:r w:rsidRPr="00966B85">
        <w:rPr>
          <w:rFonts w:ascii="Book Antiqua" w:hAnsi="Book Antiqua"/>
          <w:b/>
          <w:bCs/>
        </w:rPr>
        <w:t>14</w:t>
      </w:r>
      <w:r w:rsidRPr="00966B85">
        <w:rPr>
          <w:rFonts w:ascii="Book Antiqua" w:hAnsi="Book Antiqua"/>
        </w:rPr>
        <w:t>: 928-938 [PMID: 31989043 DOI: 10.1515/med-2019-0110]</w:t>
      </w:r>
    </w:p>
    <w:p w14:paraId="4AAF3710"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45 </w:t>
      </w:r>
      <w:r w:rsidRPr="00966B85">
        <w:rPr>
          <w:rFonts w:ascii="Book Antiqua" w:hAnsi="Book Antiqua"/>
          <w:b/>
          <w:bCs/>
        </w:rPr>
        <w:t>Vogel TR</w:t>
      </w:r>
      <w:r w:rsidRPr="00966B85">
        <w:rPr>
          <w:rFonts w:ascii="Book Antiqua" w:hAnsi="Book Antiqua"/>
        </w:rPr>
        <w:t xml:space="preserve">, Dombrovskiy VY, Carson JL, Graham AM, Lowry SF. Postoperative sepsis in the United States. </w:t>
      </w:r>
      <w:r w:rsidRPr="00966B85">
        <w:rPr>
          <w:rFonts w:ascii="Book Antiqua" w:hAnsi="Book Antiqua"/>
          <w:i/>
          <w:iCs/>
        </w:rPr>
        <w:t>Ann Surg</w:t>
      </w:r>
      <w:r w:rsidRPr="00966B85">
        <w:rPr>
          <w:rFonts w:ascii="Book Antiqua" w:hAnsi="Book Antiqua"/>
        </w:rPr>
        <w:t xml:space="preserve"> 2010; </w:t>
      </w:r>
      <w:r w:rsidRPr="00966B85">
        <w:rPr>
          <w:rFonts w:ascii="Book Antiqua" w:hAnsi="Book Antiqua"/>
          <w:b/>
          <w:bCs/>
        </w:rPr>
        <w:t>252</w:t>
      </w:r>
      <w:r w:rsidRPr="00966B85">
        <w:rPr>
          <w:rFonts w:ascii="Book Antiqua" w:hAnsi="Book Antiqua"/>
        </w:rPr>
        <w:t>: 1065-1071 [PMID: 20571363 DOI: 10.1097/SLA.0b013e3181dcf36e]</w:t>
      </w:r>
    </w:p>
    <w:p w14:paraId="3EE03D59"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46 </w:t>
      </w:r>
      <w:r w:rsidRPr="00966B85">
        <w:rPr>
          <w:rFonts w:ascii="Book Antiqua" w:hAnsi="Book Antiqua"/>
          <w:b/>
          <w:bCs/>
        </w:rPr>
        <w:t>Blair LJ</w:t>
      </w:r>
      <w:r w:rsidRPr="00966B85">
        <w:rPr>
          <w:rFonts w:ascii="Book Antiqua" w:hAnsi="Book Antiqua"/>
        </w:rPr>
        <w:t xml:space="preserve">, Huntington CR, Cox TC, Prasad T, Lincourt AE, Gersin KS, Heniford BT, Augenstein VA. Risk factors for postoperative sepsis in laparoscopic gastric bypass. </w:t>
      </w:r>
      <w:r w:rsidRPr="00966B85">
        <w:rPr>
          <w:rFonts w:ascii="Book Antiqua" w:hAnsi="Book Antiqua"/>
          <w:i/>
          <w:iCs/>
        </w:rPr>
        <w:t>Surg Endosc</w:t>
      </w:r>
      <w:r w:rsidRPr="00966B85">
        <w:rPr>
          <w:rFonts w:ascii="Book Antiqua" w:hAnsi="Book Antiqua"/>
        </w:rPr>
        <w:t xml:space="preserve"> 2016; </w:t>
      </w:r>
      <w:r w:rsidRPr="00966B85">
        <w:rPr>
          <w:rFonts w:ascii="Book Antiqua" w:hAnsi="Book Antiqua"/>
          <w:b/>
          <w:bCs/>
        </w:rPr>
        <w:t>30</w:t>
      </w:r>
      <w:r w:rsidRPr="00966B85">
        <w:rPr>
          <w:rFonts w:ascii="Book Antiqua" w:hAnsi="Book Antiqua"/>
        </w:rPr>
        <w:t>: 1287-1293 [PMID: 26130133 DOI: 10.1007/s00464-015-4349-9]</w:t>
      </w:r>
    </w:p>
    <w:p w14:paraId="3B9E65AF"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47 </w:t>
      </w:r>
      <w:r w:rsidRPr="00966B85">
        <w:rPr>
          <w:rFonts w:ascii="Book Antiqua" w:hAnsi="Book Antiqua"/>
          <w:b/>
          <w:bCs/>
        </w:rPr>
        <w:t>Bouza C</w:t>
      </w:r>
      <w:r w:rsidRPr="00966B85">
        <w:rPr>
          <w:rFonts w:ascii="Book Antiqua" w:hAnsi="Book Antiqua"/>
        </w:rPr>
        <w:t xml:space="preserve">, López-Cuadrado T, Amate-Blanco JM. Characteristics, incidence and temporal trends of sepsis in elderly patients undergoing surgery. </w:t>
      </w:r>
      <w:r w:rsidRPr="00966B85">
        <w:rPr>
          <w:rFonts w:ascii="Book Antiqua" w:hAnsi="Book Antiqua"/>
          <w:i/>
          <w:iCs/>
        </w:rPr>
        <w:t>Br J Surg</w:t>
      </w:r>
      <w:r w:rsidRPr="00966B85">
        <w:rPr>
          <w:rFonts w:ascii="Book Antiqua" w:hAnsi="Book Antiqua"/>
        </w:rPr>
        <w:t xml:space="preserve"> 2016; </w:t>
      </w:r>
      <w:r w:rsidRPr="00966B85">
        <w:rPr>
          <w:rFonts w:ascii="Book Antiqua" w:hAnsi="Book Antiqua"/>
          <w:b/>
          <w:bCs/>
        </w:rPr>
        <w:t>103</w:t>
      </w:r>
      <w:r w:rsidRPr="00966B85">
        <w:rPr>
          <w:rFonts w:ascii="Book Antiqua" w:hAnsi="Book Antiqua"/>
        </w:rPr>
        <w:t>: e73-e82 [PMID: 26670423 DOI: 10.1002/bjs.10065]</w:t>
      </w:r>
    </w:p>
    <w:p w14:paraId="46AFC90F"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48 </w:t>
      </w:r>
      <w:r w:rsidRPr="00966B85">
        <w:rPr>
          <w:rFonts w:ascii="Book Antiqua" w:hAnsi="Book Antiqua"/>
          <w:b/>
          <w:bCs/>
        </w:rPr>
        <w:t>Sartelli M</w:t>
      </w:r>
      <w:r w:rsidRPr="00966B85">
        <w:rPr>
          <w:rFonts w:ascii="Book Antiqua" w:hAnsi="Book Antiqua"/>
        </w:rPr>
        <w:t xml:space="preserve">, Catena F, Di Saverio S, Ansaloni L, Malangoni M, Moore EE, Moore FA, Ivatury R, Coimbra R, Leppaniemi A, Biffl W, Kluger Y, Fraga GP, Ordonez CA, Marwah S, Gerych I, Lee JG, Tranà C, Coccolini F, Corradetti F, Kirkby-Bott J. Current concept of abdominal sepsis: WSES position paper. </w:t>
      </w:r>
      <w:r w:rsidRPr="00966B85">
        <w:rPr>
          <w:rFonts w:ascii="Book Antiqua" w:hAnsi="Book Antiqua"/>
          <w:i/>
          <w:iCs/>
        </w:rPr>
        <w:t>World J Emerg Surg</w:t>
      </w:r>
      <w:r w:rsidRPr="00966B85">
        <w:rPr>
          <w:rFonts w:ascii="Book Antiqua" w:hAnsi="Book Antiqua"/>
        </w:rPr>
        <w:t xml:space="preserve"> 2014; </w:t>
      </w:r>
      <w:r w:rsidRPr="00966B85">
        <w:rPr>
          <w:rFonts w:ascii="Book Antiqua" w:hAnsi="Book Antiqua"/>
          <w:b/>
          <w:bCs/>
        </w:rPr>
        <w:t>9</w:t>
      </w:r>
      <w:r w:rsidRPr="00966B85">
        <w:rPr>
          <w:rFonts w:ascii="Book Antiqua" w:hAnsi="Book Antiqua"/>
        </w:rPr>
        <w:t>: 22 [PMID: 24674057 DOI: 10.1186/1749-7922-9-22]</w:t>
      </w:r>
    </w:p>
    <w:p w14:paraId="60C12029"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49 </w:t>
      </w:r>
      <w:r w:rsidRPr="00966B85">
        <w:rPr>
          <w:rFonts w:ascii="Book Antiqua" w:hAnsi="Book Antiqua"/>
          <w:b/>
          <w:bCs/>
        </w:rPr>
        <w:t>Gabriel RA</w:t>
      </w:r>
      <w:r w:rsidRPr="00966B85">
        <w:rPr>
          <w:rFonts w:ascii="Book Antiqua" w:hAnsi="Book Antiqua"/>
        </w:rPr>
        <w:t xml:space="preserve">, Trivedi S, Schmidt UH. A Point-Based Risk Calculator Predicting Mortality in Patients That Developed Postoperative Sepsis. </w:t>
      </w:r>
      <w:r w:rsidRPr="00966B85">
        <w:rPr>
          <w:rFonts w:ascii="Book Antiqua" w:hAnsi="Book Antiqua"/>
          <w:i/>
          <w:iCs/>
        </w:rPr>
        <w:t>J Intensive Care Med</w:t>
      </w:r>
      <w:r w:rsidRPr="00966B85">
        <w:rPr>
          <w:rFonts w:ascii="Book Antiqua" w:hAnsi="Book Antiqua"/>
        </w:rPr>
        <w:t xml:space="preserve"> 2020: 885066620960991 [PMID: 33043770 DOI: 10.1177/0885066620960991]</w:t>
      </w:r>
    </w:p>
    <w:p w14:paraId="6BFBAB52" w14:textId="77777777" w:rsidR="00C132BE" w:rsidRPr="00966B85" w:rsidRDefault="00C132BE" w:rsidP="00C132BE">
      <w:pPr>
        <w:spacing w:line="360" w:lineRule="auto"/>
        <w:jc w:val="both"/>
        <w:rPr>
          <w:rFonts w:ascii="Book Antiqua" w:hAnsi="Book Antiqua"/>
        </w:rPr>
      </w:pPr>
      <w:r w:rsidRPr="00966B85">
        <w:rPr>
          <w:rFonts w:ascii="Book Antiqua" w:hAnsi="Book Antiqua"/>
        </w:rPr>
        <w:lastRenderedPageBreak/>
        <w:t xml:space="preserve">50 </w:t>
      </w:r>
      <w:r w:rsidRPr="00966B85">
        <w:rPr>
          <w:rFonts w:ascii="Book Antiqua" w:hAnsi="Book Antiqua"/>
          <w:b/>
          <w:bCs/>
        </w:rPr>
        <w:t>Dellinger RP</w:t>
      </w:r>
      <w:r w:rsidRPr="00966B85">
        <w:rPr>
          <w:rFonts w:ascii="Book Antiqua" w:hAnsi="Book Antiqua"/>
        </w:rPr>
        <w:t xml:space="preserve">, Levy MM, Rhodes A, Annane D, Gerlach H, Opal SM, Sevransky JE, Sprung CL, Douglas IS, Jaeschke R, Osborn TM, Nunnally ME, Townsend SR, Reinhart K, Kleinpell RM, Angus DC, Deutschman CS, Machado FR, Rubenfeld GD, Webb S, Beale RJ, Vincent JL, Moreno R; Surviving Sepsis Campaign Guidelines Committee including The Pediatric Subgroup. Surviving Sepsis Campaign: international guidelines for management of severe sepsis and septic shock, 2012. </w:t>
      </w:r>
      <w:r w:rsidRPr="00966B85">
        <w:rPr>
          <w:rFonts w:ascii="Book Antiqua" w:hAnsi="Book Antiqua"/>
          <w:i/>
          <w:iCs/>
        </w:rPr>
        <w:t>Intensive Care Med</w:t>
      </w:r>
      <w:r w:rsidRPr="00966B85">
        <w:rPr>
          <w:rFonts w:ascii="Book Antiqua" w:hAnsi="Book Antiqua"/>
        </w:rPr>
        <w:t xml:space="preserve"> 2013; </w:t>
      </w:r>
      <w:r w:rsidRPr="00966B85">
        <w:rPr>
          <w:rFonts w:ascii="Book Antiqua" w:hAnsi="Book Antiqua"/>
          <w:b/>
          <w:bCs/>
        </w:rPr>
        <w:t>39</w:t>
      </w:r>
      <w:r w:rsidRPr="00966B85">
        <w:rPr>
          <w:rFonts w:ascii="Book Antiqua" w:hAnsi="Book Antiqua"/>
        </w:rPr>
        <w:t>: 165-228 [PMID: 23361625 DOI: 10.1007/s00134-012-2769-8]</w:t>
      </w:r>
    </w:p>
    <w:p w14:paraId="30E84E3E"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51 </w:t>
      </w:r>
      <w:r w:rsidRPr="00966B85">
        <w:rPr>
          <w:rFonts w:ascii="Book Antiqua" w:hAnsi="Book Antiqua"/>
          <w:b/>
          <w:bCs/>
        </w:rPr>
        <w:t>Bassetti M</w:t>
      </w:r>
      <w:r w:rsidRPr="00966B85">
        <w:rPr>
          <w:rFonts w:ascii="Book Antiqua" w:hAnsi="Book Antiqua"/>
        </w:rPr>
        <w:t xml:space="preserve">, Bandera A, Gori A. Therapeutic Potential of the Gut Microbiota in the Management of Sepsis. </w:t>
      </w:r>
      <w:r w:rsidRPr="00966B85">
        <w:rPr>
          <w:rFonts w:ascii="Book Antiqua" w:hAnsi="Book Antiqua"/>
          <w:i/>
          <w:iCs/>
        </w:rPr>
        <w:t>Crit Care</w:t>
      </w:r>
      <w:r w:rsidRPr="00966B85">
        <w:rPr>
          <w:rFonts w:ascii="Book Antiqua" w:hAnsi="Book Antiqua"/>
        </w:rPr>
        <w:t xml:space="preserve"> 2020; </w:t>
      </w:r>
      <w:r w:rsidRPr="00966B85">
        <w:rPr>
          <w:rFonts w:ascii="Book Antiqua" w:hAnsi="Book Antiqua"/>
          <w:b/>
          <w:bCs/>
        </w:rPr>
        <w:t>24</w:t>
      </w:r>
      <w:r w:rsidRPr="00966B85">
        <w:rPr>
          <w:rFonts w:ascii="Book Antiqua" w:hAnsi="Book Antiqua"/>
        </w:rPr>
        <w:t>: 105 [PMID: 32204720 DOI: 10.1186/s13054-020-2780-3]</w:t>
      </w:r>
    </w:p>
    <w:p w14:paraId="5B0E7843"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52 </w:t>
      </w:r>
      <w:r w:rsidRPr="00966B85">
        <w:rPr>
          <w:rFonts w:ascii="Book Antiqua" w:hAnsi="Book Antiqua"/>
          <w:b/>
          <w:bCs/>
        </w:rPr>
        <w:t>Polat C</w:t>
      </w:r>
      <w:r w:rsidRPr="00966B85">
        <w:rPr>
          <w:rFonts w:ascii="Book Antiqua" w:hAnsi="Book Antiqua"/>
        </w:rPr>
        <w:t xml:space="preserve">, Aktepe OC, Akbulut G, Yilmaz S, Arikan Y, Dilek ON, Gokce O. The effects of increased intra-abdominal pressure on bacterial translocation. </w:t>
      </w:r>
      <w:r w:rsidRPr="00966B85">
        <w:rPr>
          <w:rFonts w:ascii="Book Antiqua" w:hAnsi="Book Antiqua"/>
          <w:i/>
          <w:iCs/>
        </w:rPr>
        <w:t>Yonsei Med J</w:t>
      </w:r>
      <w:r w:rsidRPr="00966B85">
        <w:rPr>
          <w:rFonts w:ascii="Book Antiqua" w:hAnsi="Book Antiqua"/>
        </w:rPr>
        <w:t xml:space="preserve"> 2003; </w:t>
      </w:r>
      <w:r w:rsidRPr="00966B85">
        <w:rPr>
          <w:rFonts w:ascii="Book Antiqua" w:hAnsi="Book Antiqua"/>
          <w:b/>
          <w:bCs/>
        </w:rPr>
        <w:t>44</w:t>
      </w:r>
      <w:r w:rsidRPr="00966B85">
        <w:rPr>
          <w:rFonts w:ascii="Book Antiqua" w:hAnsi="Book Antiqua"/>
        </w:rPr>
        <w:t>: 259-264 [PMID: 12728466 DOI: 10.3349/ymj.2003.44.2.259]</w:t>
      </w:r>
    </w:p>
    <w:p w14:paraId="55289714"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53 </w:t>
      </w:r>
      <w:r w:rsidRPr="00966B85">
        <w:rPr>
          <w:rFonts w:ascii="Book Antiqua" w:hAnsi="Book Antiqua"/>
          <w:b/>
          <w:bCs/>
        </w:rPr>
        <w:t>Schietroma M</w:t>
      </w:r>
      <w:r w:rsidRPr="00966B85">
        <w:rPr>
          <w:rFonts w:ascii="Book Antiqua" w:hAnsi="Book Antiqua"/>
        </w:rPr>
        <w:t xml:space="preserve">, Pessia B, Carlei F, Cecilia EM, Amicucci G. Intestinal permeability, systemic endotoxemia, and bacterial translocation after open or laparoscopic resection for colon cancer: a prospective randomized study. </w:t>
      </w:r>
      <w:r w:rsidRPr="00966B85">
        <w:rPr>
          <w:rFonts w:ascii="Book Antiqua" w:hAnsi="Book Antiqua"/>
          <w:i/>
          <w:iCs/>
        </w:rPr>
        <w:t>Int J Colorectal Dis</w:t>
      </w:r>
      <w:r w:rsidRPr="00966B85">
        <w:rPr>
          <w:rFonts w:ascii="Book Antiqua" w:hAnsi="Book Antiqua"/>
        </w:rPr>
        <w:t xml:space="preserve"> 2013; </w:t>
      </w:r>
      <w:r w:rsidRPr="00966B85">
        <w:rPr>
          <w:rFonts w:ascii="Book Antiqua" w:hAnsi="Book Antiqua"/>
          <w:b/>
          <w:bCs/>
        </w:rPr>
        <w:t>28</w:t>
      </w:r>
      <w:r w:rsidRPr="00966B85">
        <w:rPr>
          <w:rFonts w:ascii="Book Antiqua" w:hAnsi="Book Antiqua"/>
        </w:rPr>
        <w:t>: 1651-1660 [PMID: 23917392 DOI: 10.1007/s00384-013-1751-4]</w:t>
      </w:r>
    </w:p>
    <w:p w14:paraId="1138B3F5"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54 </w:t>
      </w:r>
      <w:r w:rsidRPr="00966B85">
        <w:rPr>
          <w:rFonts w:ascii="Book Antiqua" w:hAnsi="Book Antiqua"/>
          <w:b/>
          <w:bCs/>
        </w:rPr>
        <w:t>Horattas MC</w:t>
      </w:r>
      <w:r w:rsidRPr="00966B85">
        <w:rPr>
          <w:rFonts w:ascii="Book Antiqua" w:hAnsi="Book Antiqua"/>
        </w:rPr>
        <w:t xml:space="preserve">, Haller N, Ricchiuti D. Increased transperitoneal bacterial translocation in laparoscopic surgery. </w:t>
      </w:r>
      <w:r w:rsidRPr="00966B85">
        <w:rPr>
          <w:rFonts w:ascii="Book Antiqua" w:hAnsi="Book Antiqua"/>
          <w:i/>
          <w:iCs/>
        </w:rPr>
        <w:t>Surg Endosc</w:t>
      </w:r>
      <w:r w:rsidRPr="00966B85">
        <w:rPr>
          <w:rFonts w:ascii="Book Antiqua" w:hAnsi="Book Antiqua"/>
        </w:rPr>
        <w:t xml:space="preserve"> 2003; </w:t>
      </w:r>
      <w:r w:rsidRPr="00966B85">
        <w:rPr>
          <w:rFonts w:ascii="Book Antiqua" w:hAnsi="Book Antiqua"/>
          <w:b/>
          <w:bCs/>
        </w:rPr>
        <w:t>17</w:t>
      </w:r>
      <w:r w:rsidRPr="00966B85">
        <w:rPr>
          <w:rFonts w:ascii="Book Antiqua" w:hAnsi="Book Antiqua"/>
        </w:rPr>
        <w:t>: 1464-1467 [PMID: 12802657 DOI: 10.1007/s00464-001-8289-1]</w:t>
      </w:r>
    </w:p>
    <w:p w14:paraId="475C81BD"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55 </w:t>
      </w:r>
      <w:r w:rsidRPr="00966B85">
        <w:rPr>
          <w:rFonts w:ascii="Book Antiqua" w:hAnsi="Book Antiqua"/>
          <w:b/>
          <w:bCs/>
        </w:rPr>
        <w:t>Wang G</w:t>
      </w:r>
      <w:r w:rsidRPr="00966B85">
        <w:rPr>
          <w:rFonts w:ascii="Book Antiqua" w:hAnsi="Book Antiqua"/>
        </w:rPr>
        <w:t xml:space="preserve">, Wu R, Guo F, Liu W, Chen X, Yu Q. Effects of carbon dioxide pneumoperitoneum on the inflammatory response and bacterial translocation in intraabdominal infection. </w:t>
      </w:r>
      <w:r w:rsidRPr="00966B85">
        <w:rPr>
          <w:rFonts w:ascii="Book Antiqua" w:hAnsi="Book Antiqua"/>
          <w:i/>
          <w:iCs/>
        </w:rPr>
        <w:t>J Laparoendosc Adv Surg Tech A</w:t>
      </w:r>
      <w:r w:rsidRPr="00966B85">
        <w:rPr>
          <w:rFonts w:ascii="Book Antiqua" w:hAnsi="Book Antiqua"/>
        </w:rPr>
        <w:t xml:space="preserve"> 2014; </w:t>
      </w:r>
      <w:r w:rsidRPr="00966B85">
        <w:rPr>
          <w:rFonts w:ascii="Book Antiqua" w:hAnsi="Book Antiqua"/>
          <w:b/>
          <w:bCs/>
        </w:rPr>
        <w:t>24</w:t>
      </w:r>
      <w:r w:rsidRPr="00966B85">
        <w:rPr>
          <w:rFonts w:ascii="Book Antiqua" w:hAnsi="Book Antiqua"/>
        </w:rPr>
        <w:t>: 199-204 [PMID: 24568561 DOI: 10.1089/lap.2013.0129]</w:t>
      </w:r>
    </w:p>
    <w:p w14:paraId="42EA114B" w14:textId="77777777" w:rsidR="00C132BE" w:rsidRPr="00966B85" w:rsidRDefault="00C132BE" w:rsidP="00C132BE">
      <w:pPr>
        <w:spacing w:line="360" w:lineRule="auto"/>
        <w:jc w:val="both"/>
        <w:rPr>
          <w:rFonts w:ascii="Book Antiqua" w:hAnsi="Book Antiqua"/>
        </w:rPr>
      </w:pPr>
      <w:r w:rsidRPr="00966B85">
        <w:rPr>
          <w:rFonts w:ascii="Book Antiqua" w:hAnsi="Book Antiqua"/>
        </w:rPr>
        <w:t xml:space="preserve">56 </w:t>
      </w:r>
      <w:r w:rsidRPr="00966B85">
        <w:rPr>
          <w:rFonts w:ascii="Book Antiqua" w:hAnsi="Book Antiqua"/>
          <w:b/>
          <w:bCs/>
        </w:rPr>
        <w:t>Shan CX</w:t>
      </w:r>
      <w:r w:rsidRPr="00966B85">
        <w:rPr>
          <w:rFonts w:ascii="Book Antiqua" w:hAnsi="Book Antiqua"/>
        </w:rPr>
        <w:t xml:space="preserve">, Ni C, Qiu M, Jiang DZ, Li M. Influence of laparoscopy vs. laparotomy on bacterial translocation and systemic inflammatory responses in a porcine </w:t>
      </w:r>
      <w:r w:rsidRPr="00966B85">
        <w:rPr>
          <w:rFonts w:ascii="Book Antiqua" w:hAnsi="Book Antiqua"/>
        </w:rPr>
        <w:lastRenderedPageBreak/>
        <w:t xml:space="preserve">model with peritonitis. </w:t>
      </w:r>
      <w:r w:rsidRPr="00966B85">
        <w:rPr>
          <w:rFonts w:ascii="Book Antiqua" w:hAnsi="Book Antiqua"/>
          <w:i/>
          <w:iCs/>
        </w:rPr>
        <w:t>J Invest Surg</w:t>
      </w:r>
      <w:r w:rsidRPr="00966B85">
        <w:rPr>
          <w:rFonts w:ascii="Book Antiqua" w:hAnsi="Book Antiqua"/>
        </w:rPr>
        <w:t xml:space="preserve"> 2014; </w:t>
      </w:r>
      <w:r w:rsidRPr="00966B85">
        <w:rPr>
          <w:rFonts w:ascii="Book Antiqua" w:hAnsi="Book Antiqua"/>
          <w:b/>
          <w:bCs/>
        </w:rPr>
        <w:t>27</w:t>
      </w:r>
      <w:r w:rsidRPr="00966B85">
        <w:rPr>
          <w:rFonts w:ascii="Book Antiqua" w:hAnsi="Book Antiqua"/>
        </w:rPr>
        <w:t>: 73-80 [PMID: 24665843 DOI: 10.3109/08941939.2013.837564]</w:t>
      </w:r>
    </w:p>
    <w:p w14:paraId="28A637B9" w14:textId="77777777" w:rsidR="00C132BE" w:rsidRPr="00966B85" w:rsidRDefault="00C132BE" w:rsidP="00C132BE">
      <w:pPr>
        <w:snapToGrid w:val="0"/>
        <w:spacing w:line="360" w:lineRule="auto"/>
        <w:jc w:val="both"/>
        <w:rPr>
          <w:rFonts w:ascii="Book Antiqua" w:hAnsi="Book Antiqua"/>
          <w:lang w:eastAsia="zh-CN"/>
        </w:rPr>
      </w:pPr>
    </w:p>
    <w:p w14:paraId="0BB48702"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Footnotes</w:t>
      </w:r>
    </w:p>
    <w:p w14:paraId="27AC0031"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Conflict-of-interest statement: </w:t>
      </w:r>
      <w:r w:rsidRPr="00966B85">
        <w:rPr>
          <w:rFonts w:ascii="Book Antiqua" w:eastAsia="Book Antiqua" w:hAnsi="Book Antiqua" w:cs="Book Antiqua"/>
          <w:color w:val="000000"/>
          <w:shd w:val="clear" w:color="auto" w:fill="FFFFFF"/>
        </w:rPr>
        <w:t>Christos Doudakmanis, Konstantinos Bouliaris, Christina Kolla, Matthaios Efthimiou, and Georgios D Koukoulis</w:t>
      </w:r>
      <w:r w:rsidRPr="00966B85">
        <w:rPr>
          <w:rFonts w:ascii="Book Antiqua" w:hAnsi="Book Antiqua" w:cs="Book Antiqua"/>
          <w:color w:val="000000"/>
          <w:shd w:val="clear" w:color="auto" w:fill="FFFFFF"/>
          <w:lang w:eastAsia="zh-CN"/>
        </w:rPr>
        <w:t xml:space="preserve"> </w:t>
      </w:r>
      <w:r w:rsidRPr="00966B85">
        <w:rPr>
          <w:rFonts w:ascii="Book Antiqua" w:eastAsia="Book Antiqua" w:hAnsi="Book Antiqua" w:cs="Book Antiqua"/>
          <w:color w:val="000000"/>
          <w:shd w:val="clear" w:color="auto" w:fill="FFFFFF"/>
        </w:rPr>
        <w:t xml:space="preserve">declare that they </w:t>
      </w:r>
      <w:r w:rsidRPr="00966B85">
        <w:rPr>
          <w:rFonts w:ascii="Book Antiqua" w:eastAsia="Book Antiqua" w:hAnsi="Book Antiqua" w:cs="Book Antiqua"/>
          <w:color w:val="000000"/>
        </w:rPr>
        <w:t>have nothing to disclose.</w:t>
      </w:r>
    </w:p>
    <w:p w14:paraId="0C900E94" w14:textId="77777777" w:rsidR="00C132BE" w:rsidRPr="00966B85" w:rsidRDefault="00C132BE" w:rsidP="00C132BE">
      <w:pPr>
        <w:snapToGrid w:val="0"/>
        <w:spacing w:line="360" w:lineRule="auto"/>
        <w:jc w:val="both"/>
        <w:rPr>
          <w:rFonts w:ascii="Book Antiqua" w:hAnsi="Book Antiqua"/>
        </w:rPr>
      </w:pPr>
    </w:p>
    <w:p w14:paraId="0D8BEEC7"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bCs/>
          <w:color w:val="000000"/>
        </w:rPr>
        <w:t xml:space="preserve">Open-Access: </w:t>
      </w:r>
      <w:r w:rsidRPr="00966B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405CF" w14:textId="77777777" w:rsidR="00C132BE" w:rsidRPr="00966B85" w:rsidRDefault="00C132BE" w:rsidP="00C132BE">
      <w:pPr>
        <w:snapToGrid w:val="0"/>
        <w:spacing w:line="360" w:lineRule="auto"/>
        <w:jc w:val="both"/>
        <w:rPr>
          <w:rFonts w:ascii="Book Antiqua" w:hAnsi="Book Antiqua"/>
        </w:rPr>
      </w:pPr>
    </w:p>
    <w:p w14:paraId="4E6FB4E8"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Manuscript source: </w:t>
      </w:r>
      <w:r w:rsidRPr="00966B85">
        <w:rPr>
          <w:rFonts w:ascii="Book Antiqua" w:eastAsia="Book Antiqua" w:hAnsi="Book Antiqua" w:cs="Book Antiqua"/>
          <w:color w:val="000000"/>
        </w:rPr>
        <w:t>Invited manuscript</w:t>
      </w:r>
    </w:p>
    <w:p w14:paraId="2E7C18E6" w14:textId="77777777" w:rsidR="00C132BE" w:rsidRPr="00966B85" w:rsidRDefault="00C132BE" w:rsidP="00C132BE">
      <w:pPr>
        <w:snapToGrid w:val="0"/>
        <w:spacing w:line="360" w:lineRule="auto"/>
        <w:jc w:val="both"/>
        <w:rPr>
          <w:rFonts w:ascii="Book Antiqua" w:hAnsi="Book Antiqua"/>
        </w:rPr>
      </w:pPr>
    </w:p>
    <w:p w14:paraId="69D4099E"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Peer-review started: </w:t>
      </w:r>
      <w:r w:rsidRPr="00966B85">
        <w:rPr>
          <w:rFonts w:ascii="Book Antiqua" w:eastAsia="Book Antiqua" w:hAnsi="Book Antiqua" w:cs="Book Antiqua"/>
          <w:color w:val="000000"/>
        </w:rPr>
        <w:t>March 16, 2021</w:t>
      </w:r>
    </w:p>
    <w:p w14:paraId="0681D8FB"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First decision: </w:t>
      </w:r>
      <w:r w:rsidRPr="00966B85">
        <w:rPr>
          <w:rFonts w:ascii="Book Antiqua" w:eastAsia="Book Antiqua" w:hAnsi="Book Antiqua" w:cs="Book Antiqua"/>
          <w:color w:val="000000"/>
        </w:rPr>
        <w:t>May 6, 2021</w:t>
      </w:r>
    </w:p>
    <w:p w14:paraId="3E6DBBD9" w14:textId="0B391D3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Article in press: </w:t>
      </w:r>
      <w:r w:rsidR="00E05E51" w:rsidRPr="00966B85">
        <w:rPr>
          <w:rFonts w:ascii="Book Antiqua" w:eastAsia="Book Antiqua" w:hAnsi="Book Antiqua" w:cs="Book Antiqua"/>
          <w:color w:val="000000"/>
        </w:rPr>
        <w:t>September 14, 2021</w:t>
      </w:r>
    </w:p>
    <w:p w14:paraId="12CC432F" w14:textId="77777777" w:rsidR="00C132BE" w:rsidRPr="00966B85" w:rsidRDefault="00C132BE" w:rsidP="00C132BE">
      <w:pPr>
        <w:snapToGrid w:val="0"/>
        <w:spacing w:line="360" w:lineRule="auto"/>
        <w:jc w:val="both"/>
        <w:rPr>
          <w:rFonts w:ascii="Book Antiqua" w:hAnsi="Book Antiqua"/>
        </w:rPr>
      </w:pPr>
    </w:p>
    <w:p w14:paraId="413A2343"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Specialty type: </w:t>
      </w:r>
      <w:r w:rsidRPr="00966B85">
        <w:rPr>
          <w:rFonts w:ascii="Book Antiqua" w:eastAsia="Book Antiqua" w:hAnsi="Book Antiqua" w:cs="Book Antiqua"/>
          <w:color w:val="000000"/>
        </w:rPr>
        <w:t xml:space="preserve">Gastroenterology and </w:t>
      </w:r>
      <w:r w:rsidRPr="00966B85">
        <w:rPr>
          <w:rFonts w:ascii="Book Antiqua" w:hAnsi="Book Antiqua" w:cs="Book Antiqua"/>
          <w:color w:val="000000"/>
          <w:lang w:eastAsia="zh-CN"/>
        </w:rPr>
        <w:t>h</w:t>
      </w:r>
      <w:r w:rsidRPr="00966B85">
        <w:rPr>
          <w:rFonts w:ascii="Book Antiqua" w:eastAsia="Book Antiqua" w:hAnsi="Book Antiqua" w:cs="Book Antiqua"/>
          <w:color w:val="000000"/>
        </w:rPr>
        <w:t>epatology</w:t>
      </w:r>
    </w:p>
    <w:p w14:paraId="6E679C3A"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 xml:space="preserve">Country/Territory of origin: </w:t>
      </w:r>
      <w:r w:rsidRPr="00966B85">
        <w:rPr>
          <w:rFonts w:ascii="Book Antiqua" w:eastAsia="Book Antiqua" w:hAnsi="Book Antiqua" w:cs="Book Antiqua"/>
          <w:color w:val="000000"/>
        </w:rPr>
        <w:t>Greece</w:t>
      </w:r>
    </w:p>
    <w:p w14:paraId="17E14393"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b/>
          <w:color w:val="000000"/>
        </w:rPr>
        <w:t>Peer-review report’s scientific quality classification</w:t>
      </w:r>
    </w:p>
    <w:p w14:paraId="37EA2476"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t>Grade A (Excellent): 0</w:t>
      </w:r>
    </w:p>
    <w:p w14:paraId="2C859657"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t>Grade B (Very good): B</w:t>
      </w:r>
    </w:p>
    <w:p w14:paraId="1BE5486C"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t>Grade C (Good): 0</w:t>
      </w:r>
    </w:p>
    <w:p w14:paraId="46180F48"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t>Grade D (Fair): 0</w:t>
      </w:r>
    </w:p>
    <w:p w14:paraId="240F11E7" w14:textId="77777777" w:rsidR="00C132BE" w:rsidRPr="00966B85" w:rsidRDefault="00C132BE" w:rsidP="00C132BE">
      <w:pPr>
        <w:snapToGrid w:val="0"/>
        <w:spacing w:line="360" w:lineRule="auto"/>
        <w:jc w:val="both"/>
        <w:rPr>
          <w:rFonts w:ascii="Book Antiqua" w:hAnsi="Book Antiqua"/>
        </w:rPr>
      </w:pPr>
      <w:r w:rsidRPr="00966B85">
        <w:rPr>
          <w:rFonts w:ascii="Book Antiqua" w:eastAsia="Book Antiqua" w:hAnsi="Book Antiqua" w:cs="Book Antiqua"/>
          <w:color w:val="000000"/>
        </w:rPr>
        <w:lastRenderedPageBreak/>
        <w:t>Grade E (Poor): 0</w:t>
      </w:r>
    </w:p>
    <w:p w14:paraId="712E8F1A" w14:textId="77777777" w:rsidR="00C132BE" w:rsidRPr="00966B85" w:rsidRDefault="00C132BE" w:rsidP="00C132BE">
      <w:pPr>
        <w:snapToGrid w:val="0"/>
        <w:spacing w:line="360" w:lineRule="auto"/>
        <w:jc w:val="both"/>
        <w:rPr>
          <w:rFonts w:ascii="Book Antiqua" w:hAnsi="Book Antiqua"/>
        </w:rPr>
      </w:pPr>
    </w:p>
    <w:p w14:paraId="2234BD87" w14:textId="3749A8D6" w:rsidR="00C132BE" w:rsidRPr="00966B85" w:rsidRDefault="00C132BE" w:rsidP="00C132BE">
      <w:pPr>
        <w:snapToGrid w:val="0"/>
        <w:spacing w:line="360" w:lineRule="auto"/>
        <w:jc w:val="both"/>
        <w:rPr>
          <w:rFonts w:ascii="Book Antiqua" w:hAnsi="Book Antiqua" w:cs="Book Antiqua"/>
          <w:bCs/>
          <w:color w:val="000000"/>
          <w:lang w:eastAsia="zh-CN"/>
        </w:rPr>
      </w:pPr>
      <w:r w:rsidRPr="00966B85">
        <w:rPr>
          <w:rFonts w:ascii="Book Antiqua" w:eastAsia="Book Antiqua" w:hAnsi="Book Antiqua" w:cs="Book Antiqua"/>
          <w:b/>
          <w:color w:val="000000"/>
        </w:rPr>
        <w:t xml:space="preserve">P-Reviewer: </w:t>
      </w:r>
      <w:r w:rsidRPr="00966B85">
        <w:rPr>
          <w:rFonts w:ascii="Book Antiqua" w:eastAsia="Book Antiqua" w:hAnsi="Book Antiqua" w:cs="Book Antiqua"/>
          <w:color w:val="000000"/>
        </w:rPr>
        <w:t>Kordzaia D</w:t>
      </w:r>
      <w:r w:rsidRPr="00966B85">
        <w:rPr>
          <w:rFonts w:ascii="Book Antiqua" w:eastAsia="Book Antiqua" w:hAnsi="Book Antiqua" w:cs="Book Antiqua"/>
          <w:b/>
          <w:color w:val="000000"/>
        </w:rPr>
        <w:t xml:space="preserve"> S-Editor: </w:t>
      </w:r>
      <w:r w:rsidRPr="00966B85">
        <w:rPr>
          <w:rFonts w:ascii="Book Antiqua" w:hAnsi="Book Antiqua" w:cs="Book Antiqua"/>
          <w:color w:val="000000"/>
          <w:lang w:eastAsia="zh-CN"/>
        </w:rPr>
        <w:t>Fan JR</w:t>
      </w:r>
      <w:r w:rsidRPr="00966B85">
        <w:rPr>
          <w:rFonts w:ascii="Book Antiqua" w:eastAsia="Book Antiqua" w:hAnsi="Book Antiqua" w:cs="Book Antiqua"/>
          <w:b/>
          <w:color w:val="000000"/>
        </w:rPr>
        <w:t xml:space="preserve"> L-Editor: </w:t>
      </w:r>
      <w:r w:rsidR="00D37C23" w:rsidRPr="00966B85">
        <w:rPr>
          <w:rFonts w:ascii="Book Antiqua" w:eastAsia="Book Antiqua" w:hAnsi="Book Antiqua" w:cs="Book Antiqua"/>
          <w:bCs/>
          <w:color w:val="000000"/>
        </w:rPr>
        <w:t>A</w:t>
      </w:r>
      <w:r w:rsidRPr="00966B85">
        <w:rPr>
          <w:rFonts w:ascii="Book Antiqua" w:eastAsia="Book Antiqua" w:hAnsi="Book Antiqua" w:cs="Book Antiqua"/>
          <w:b/>
          <w:color w:val="000000"/>
        </w:rPr>
        <w:t xml:space="preserve"> P-Editor: </w:t>
      </w:r>
      <w:r w:rsidR="00D37C23" w:rsidRPr="00966B85">
        <w:rPr>
          <w:rFonts w:ascii="Book Antiqua" w:eastAsia="Book Antiqua" w:hAnsi="Book Antiqua" w:cs="Book Antiqua"/>
          <w:bCs/>
          <w:color w:val="000000"/>
        </w:rPr>
        <w:t>Li JH</w:t>
      </w:r>
    </w:p>
    <w:p w14:paraId="5C5798DE" w14:textId="77777777" w:rsidR="00C132BE" w:rsidRPr="00966B85" w:rsidRDefault="00C132BE" w:rsidP="00C132BE">
      <w:pPr>
        <w:snapToGrid w:val="0"/>
        <w:spacing w:line="360" w:lineRule="auto"/>
        <w:jc w:val="both"/>
        <w:rPr>
          <w:rFonts w:ascii="Book Antiqua" w:hAnsi="Book Antiqua" w:cs="Book Antiqua"/>
          <w:b/>
          <w:color w:val="000000"/>
          <w:lang w:eastAsia="zh-CN"/>
        </w:rPr>
      </w:pPr>
    </w:p>
    <w:p w14:paraId="279058AA" w14:textId="77777777" w:rsidR="00B762D1" w:rsidRPr="00966B85" w:rsidRDefault="00B762D1">
      <w:pPr>
        <w:rPr>
          <w:rFonts w:ascii="Book Antiqua" w:eastAsia="Book Antiqua" w:hAnsi="Book Antiqua" w:cs="Book Antiqua"/>
          <w:b/>
          <w:color w:val="000000"/>
        </w:rPr>
      </w:pPr>
      <w:r w:rsidRPr="00966B85">
        <w:rPr>
          <w:rFonts w:ascii="Book Antiqua" w:eastAsia="Book Antiqua" w:hAnsi="Book Antiqua" w:cs="Book Antiqua"/>
          <w:b/>
          <w:color w:val="000000"/>
        </w:rPr>
        <w:br w:type="page"/>
      </w:r>
    </w:p>
    <w:p w14:paraId="67A62754" w14:textId="77777777" w:rsidR="00060E37" w:rsidRPr="00966B85" w:rsidRDefault="00C132BE" w:rsidP="00C132BE">
      <w:pPr>
        <w:spacing w:before="240" w:after="240"/>
        <w:rPr>
          <w:rFonts w:ascii="Book Antiqua" w:hAnsi="Book Antiqua" w:cs="Book Antiqua"/>
          <w:b/>
          <w:color w:val="000000"/>
          <w:lang w:eastAsia="zh-CN"/>
        </w:rPr>
      </w:pPr>
      <w:r w:rsidRPr="00966B85">
        <w:rPr>
          <w:rFonts w:ascii="Book Antiqua" w:eastAsia="Book Antiqua" w:hAnsi="Book Antiqua" w:cs="Book Antiqua"/>
          <w:b/>
          <w:color w:val="000000"/>
        </w:rPr>
        <w:lastRenderedPageBreak/>
        <w:t>Figure Legends</w:t>
      </w:r>
    </w:p>
    <w:p w14:paraId="6C3FBCD8" w14:textId="77777777" w:rsidR="00B762D1" w:rsidRPr="00966B85" w:rsidRDefault="00B762D1" w:rsidP="00C132BE">
      <w:pPr>
        <w:spacing w:before="240" w:after="240"/>
        <w:rPr>
          <w:lang w:eastAsia="zh-CN"/>
        </w:rPr>
      </w:pPr>
      <w:r w:rsidRPr="00966B85">
        <w:rPr>
          <w:rFonts w:ascii="Book Antiqua" w:hAnsi="Book Antiqua"/>
          <w:noProof/>
          <w:lang w:eastAsia="zh-CN"/>
        </w:rPr>
        <w:drawing>
          <wp:inline distT="0" distB="0" distL="0" distR="0" wp14:anchorId="1666808C" wp14:editId="755E347A">
            <wp:extent cx="5486400" cy="3046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046095"/>
                    </a:xfrm>
                    <a:prstGeom prst="rect">
                      <a:avLst/>
                    </a:prstGeom>
                  </pic:spPr>
                </pic:pic>
              </a:graphicData>
            </a:graphic>
          </wp:inline>
        </w:drawing>
      </w:r>
    </w:p>
    <w:p w14:paraId="643CA9EB" w14:textId="77777777" w:rsidR="00B762D1" w:rsidRPr="00966B85" w:rsidRDefault="00B762D1" w:rsidP="00B762D1">
      <w:pPr>
        <w:snapToGrid w:val="0"/>
        <w:spacing w:line="360" w:lineRule="auto"/>
        <w:jc w:val="both"/>
        <w:rPr>
          <w:rFonts w:ascii="Book Antiqua" w:hAnsi="Book Antiqua"/>
          <w:b/>
          <w:bCs/>
        </w:rPr>
      </w:pPr>
      <w:r w:rsidRPr="00966B85">
        <w:rPr>
          <w:rFonts w:ascii="Book Antiqua" w:eastAsia="Book Antiqua" w:hAnsi="Book Antiqua" w:cs="Book Antiqua"/>
          <w:b/>
          <w:bCs/>
          <w:color w:val="000000"/>
        </w:rPr>
        <w:t>Figure 1 Mechanism of bacterial translocation after major gastrointestinal surgery.</w:t>
      </w:r>
    </w:p>
    <w:p w14:paraId="064F9B87" w14:textId="77777777" w:rsidR="00B762D1" w:rsidRPr="00966B85" w:rsidRDefault="00B762D1">
      <w:pPr>
        <w:rPr>
          <w:lang w:eastAsia="zh-CN"/>
        </w:rPr>
      </w:pPr>
      <w:r w:rsidRPr="00966B85">
        <w:rPr>
          <w:lang w:eastAsia="zh-CN"/>
        </w:rPr>
        <w:br w:type="page"/>
      </w:r>
    </w:p>
    <w:p w14:paraId="370E46E3" w14:textId="77777777" w:rsidR="00B762D1" w:rsidRPr="00966B85" w:rsidRDefault="00B762D1" w:rsidP="00C132BE">
      <w:pPr>
        <w:spacing w:before="240" w:after="240"/>
        <w:rPr>
          <w:lang w:eastAsia="zh-CN"/>
        </w:rPr>
      </w:pPr>
      <w:r w:rsidRPr="00966B85">
        <w:rPr>
          <w:rFonts w:ascii="Book Antiqua" w:hAnsi="Book Antiqua"/>
          <w:noProof/>
          <w:lang w:eastAsia="zh-CN"/>
        </w:rPr>
        <w:lastRenderedPageBreak/>
        <w:drawing>
          <wp:inline distT="0" distB="0" distL="0" distR="0" wp14:anchorId="3A10204F" wp14:editId="17B4576F">
            <wp:extent cx="5486400" cy="3086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86100"/>
                    </a:xfrm>
                    <a:prstGeom prst="rect">
                      <a:avLst/>
                    </a:prstGeom>
                  </pic:spPr>
                </pic:pic>
              </a:graphicData>
            </a:graphic>
          </wp:inline>
        </w:drawing>
      </w:r>
    </w:p>
    <w:p w14:paraId="39C238D3" w14:textId="77777777" w:rsidR="00B762D1" w:rsidRPr="001841A9" w:rsidRDefault="00B762D1" w:rsidP="00B762D1">
      <w:pPr>
        <w:snapToGrid w:val="0"/>
        <w:spacing w:line="360" w:lineRule="auto"/>
        <w:jc w:val="both"/>
        <w:rPr>
          <w:rFonts w:ascii="Book Antiqua" w:hAnsi="Book Antiqua"/>
          <w:b/>
          <w:bCs/>
        </w:rPr>
      </w:pPr>
      <w:r w:rsidRPr="00966B85">
        <w:rPr>
          <w:rFonts w:ascii="Book Antiqua" w:eastAsia="Book Antiqua" w:hAnsi="Book Antiqua" w:cs="Book Antiqua"/>
          <w:b/>
          <w:bCs/>
          <w:color w:val="000000"/>
        </w:rPr>
        <w:t>Figure 2 Characteristics associated with higher postoperative sepsis incidence.</w:t>
      </w:r>
    </w:p>
    <w:p w14:paraId="6B0ABFA1" w14:textId="074FBBEA" w:rsidR="007006DD" w:rsidRDefault="007006DD">
      <w:pPr>
        <w:rPr>
          <w:lang w:eastAsia="zh-CN"/>
        </w:rPr>
      </w:pPr>
      <w:r>
        <w:rPr>
          <w:lang w:eastAsia="zh-CN"/>
        </w:rPr>
        <w:br w:type="page"/>
      </w:r>
    </w:p>
    <w:p w14:paraId="65B7C4CE" w14:textId="77777777" w:rsidR="007006DD" w:rsidRDefault="007006DD" w:rsidP="007006DD">
      <w:pPr>
        <w:jc w:val="center"/>
        <w:rPr>
          <w:rFonts w:ascii="Book Antiqua" w:hAnsi="Book Antiqua"/>
          <w:lang w:eastAsia="zh-CN"/>
        </w:rPr>
      </w:pPr>
    </w:p>
    <w:p w14:paraId="5605EED9" w14:textId="77777777" w:rsidR="007006DD" w:rsidRDefault="007006DD" w:rsidP="007006DD">
      <w:pPr>
        <w:jc w:val="center"/>
        <w:rPr>
          <w:rFonts w:ascii="Book Antiqua" w:hAnsi="Book Antiqua"/>
          <w:lang w:eastAsia="zh-CN"/>
        </w:rPr>
      </w:pPr>
    </w:p>
    <w:p w14:paraId="3CA8D6C5" w14:textId="77777777" w:rsidR="007006DD" w:rsidRDefault="007006DD" w:rsidP="007006DD">
      <w:pPr>
        <w:jc w:val="center"/>
        <w:rPr>
          <w:rFonts w:ascii="Book Antiqua" w:hAnsi="Book Antiqua"/>
          <w:lang w:eastAsia="zh-CN"/>
        </w:rPr>
      </w:pPr>
    </w:p>
    <w:p w14:paraId="34441889" w14:textId="77777777" w:rsidR="007006DD" w:rsidRDefault="007006DD" w:rsidP="007006DD">
      <w:pPr>
        <w:jc w:val="center"/>
        <w:rPr>
          <w:rFonts w:ascii="Book Antiqua" w:hAnsi="Book Antiqua"/>
          <w:lang w:eastAsia="zh-CN"/>
        </w:rPr>
      </w:pPr>
    </w:p>
    <w:p w14:paraId="336E18DC" w14:textId="77777777" w:rsidR="007006DD" w:rsidRDefault="007006DD" w:rsidP="007006DD">
      <w:pPr>
        <w:jc w:val="center"/>
        <w:rPr>
          <w:rFonts w:ascii="Book Antiqua" w:hAnsi="Book Antiqua"/>
          <w:lang w:eastAsia="zh-CN"/>
        </w:rPr>
      </w:pPr>
    </w:p>
    <w:p w14:paraId="21BC88A4" w14:textId="794BF5DB" w:rsidR="007006DD" w:rsidRDefault="007006DD" w:rsidP="007006DD">
      <w:pPr>
        <w:jc w:val="center"/>
        <w:rPr>
          <w:rFonts w:ascii="Book Antiqua" w:hAnsi="Book Antiqua"/>
          <w:lang w:eastAsia="zh-CN"/>
        </w:rPr>
      </w:pPr>
      <w:r>
        <w:rPr>
          <w:rFonts w:ascii="Book Antiqua" w:hAnsi="Book Antiqua"/>
          <w:noProof/>
          <w:lang w:eastAsia="zh-CN"/>
        </w:rPr>
        <w:drawing>
          <wp:inline distT="0" distB="0" distL="0" distR="0" wp14:anchorId="31AE847A" wp14:editId="14937DC0">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8D2B173" w14:textId="77777777" w:rsidR="007006DD" w:rsidRDefault="007006DD" w:rsidP="007006DD">
      <w:pPr>
        <w:jc w:val="center"/>
        <w:rPr>
          <w:rFonts w:ascii="Book Antiqua" w:hAnsi="Book Antiqua"/>
          <w:lang w:eastAsia="zh-CN"/>
        </w:rPr>
      </w:pPr>
    </w:p>
    <w:p w14:paraId="25EE799F" w14:textId="77777777" w:rsidR="007006DD" w:rsidRDefault="007006DD" w:rsidP="007006D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8BC915E" w14:textId="77777777" w:rsidR="007006DD" w:rsidRDefault="007006DD" w:rsidP="007006D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219D5E" w14:textId="77777777" w:rsidR="007006DD" w:rsidRDefault="007006DD" w:rsidP="007006D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9EC6EF" w14:textId="77777777" w:rsidR="007006DD" w:rsidRDefault="007006DD" w:rsidP="007006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42A9F8" w14:textId="77777777" w:rsidR="007006DD" w:rsidRDefault="007006DD" w:rsidP="007006D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7F85B6" w14:textId="77777777" w:rsidR="007006DD" w:rsidRDefault="007006DD" w:rsidP="007006D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E3938D6" w14:textId="77777777" w:rsidR="007006DD" w:rsidRDefault="007006DD" w:rsidP="007006DD">
      <w:pPr>
        <w:jc w:val="center"/>
        <w:rPr>
          <w:rFonts w:ascii="Book Antiqua" w:hAnsi="Book Antiqua"/>
          <w:lang w:eastAsia="zh-CN"/>
        </w:rPr>
      </w:pPr>
    </w:p>
    <w:p w14:paraId="0446398B" w14:textId="77777777" w:rsidR="007006DD" w:rsidRDefault="007006DD" w:rsidP="007006DD">
      <w:pPr>
        <w:jc w:val="center"/>
        <w:rPr>
          <w:rFonts w:ascii="Book Antiqua" w:hAnsi="Book Antiqua"/>
          <w:lang w:eastAsia="zh-CN"/>
        </w:rPr>
      </w:pPr>
    </w:p>
    <w:p w14:paraId="151A4E22" w14:textId="77777777" w:rsidR="007006DD" w:rsidRDefault="007006DD" w:rsidP="007006DD">
      <w:pPr>
        <w:jc w:val="center"/>
        <w:rPr>
          <w:rFonts w:ascii="Book Antiqua" w:hAnsi="Book Antiqua"/>
          <w:lang w:eastAsia="zh-CN"/>
        </w:rPr>
      </w:pPr>
    </w:p>
    <w:p w14:paraId="2D343084" w14:textId="4B8132AE" w:rsidR="007006DD" w:rsidRDefault="007006DD" w:rsidP="007006DD">
      <w:pPr>
        <w:jc w:val="center"/>
        <w:rPr>
          <w:rFonts w:ascii="Book Antiqua" w:hAnsi="Book Antiqua"/>
          <w:lang w:eastAsia="zh-CN"/>
        </w:rPr>
      </w:pPr>
      <w:r>
        <w:rPr>
          <w:rFonts w:ascii="Book Antiqua" w:hAnsi="Book Antiqua"/>
          <w:noProof/>
          <w:lang w:eastAsia="zh-CN"/>
        </w:rPr>
        <w:drawing>
          <wp:inline distT="0" distB="0" distL="0" distR="0" wp14:anchorId="0F1CFA37" wp14:editId="132347AB">
            <wp:extent cx="1446530" cy="143954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4635FA57" w14:textId="77777777" w:rsidR="007006DD" w:rsidRDefault="007006DD" w:rsidP="007006DD">
      <w:pPr>
        <w:jc w:val="center"/>
        <w:rPr>
          <w:rFonts w:ascii="Book Antiqua" w:hAnsi="Book Antiqua"/>
          <w:lang w:eastAsia="zh-CN"/>
        </w:rPr>
      </w:pPr>
    </w:p>
    <w:p w14:paraId="1FD1B2E6" w14:textId="77777777" w:rsidR="007006DD" w:rsidRDefault="007006DD" w:rsidP="007006DD">
      <w:pPr>
        <w:jc w:val="center"/>
        <w:rPr>
          <w:rFonts w:ascii="Book Antiqua" w:hAnsi="Book Antiqua"/>
          <w:lang w:eastAsia="zh-CN"/>
        </w:rPr>
      </w:pPr>
    </w:p>
    <w:p w14:paraId="4AC8EC7C" w14:textId="77777777" w:rsidR="007006DD" w:rsidRDefault="007006DD" w:rsidP="007006DD">
      <w:pPr>
        <w:jc w:val="center"/>
        <w:rPr>
          <w:rFonts w:ascii="Book Antiqua" w:hAnsi="Book Antiqua"/>
          <w:lang w:eastAsia="zh-CN"/>
        </w:rPr>
      </w:pPr>
    </w:p>
    <w:p w14:paraId="19251D1A" w14:textId="77777777" w:rsidR="007006DD" w:rsidRDefault="007006DD" w:rsidP="007006DD">
      <w:pPr>
        <w:jc w:val="center"/>
        <w:rPr>
          <w:rFonts w:ascii="Book Antiqua" w:hAnsi="Book Antiqua"/>
          <w:lang w:eastAsia="zh-CN"/>
        </w:rPr>
      </w:pPr>
    </w:p>
    <w:p w14:paraId="3FDA2FEF" w14:textId="77777777" w:rsidR="007006DD" w:rsidRDefault="007006DD" w:rsidP="007006DD">
      <w:pPr>
        <w:jc w:val="center"/>
        <w:rPr>
          <w:rFonts w:ascii="Book Antiqua" w:hAnsi="Book Antiqua"/>
          <w:lang w:eastAsia="zh-CN"/>
        </w:rPr>
      </w:pPr>
    </w:p>
    <w:p w14:paraId="306DB439" w14:textId="77777777" w:rsidR="007006DD" w:rsidRDefault="007006DD" w:rsidP="007006DD">
      <w:pPr>
        <w:jc w:val="center"/>
        <w:rPr>
          <w:rFonts w:ascii="Book Antiqua" w:hAnsi="Book Antiqua"/>
          <w:lang w:eastAsia="zh-CN"/>
        </w:rPr>
      </w:pPr>
    </w:p>
    <w:p w14:paraId="7BA7C4B9" w14:textId="77777777" w:rsidR="007006DD" w:rsidRDefault="007006DD" w:rsidP="007006DD">
      <w:pPr>
        <w:jc w:val="center"/>
        <w:rPr>
          <w:rFonts w:ascii="Book Antiqua" w:hAnsi="Book Antiqua"/>
          <w:lang w:eastAsia="zh-CN"/>
        </w:rPr>
      </w:pPr>
    </w:p>
    <w:p w14:paraId="6E32DB20" w14:textId="77777777" w:rsidR="007006DD" w:rsidRDefault="007006DD" w:rsidP="007006DD">
      <w:pPr>
        <w:jc w:val="center"/>
        <w:rPr>
          <w:rFonts w:ascii="Book Antiqua" w:hAnsi="Book Antiqua"/>
          <w:lang w:eastAsia="zh-CN"/>
        </w:rPr>
      </w:pPr>
    </w:p>
    <w:p w14:paraId="300D4673" w14:textId="77777777" w:rsidR="007006DD" w:rsidRDefault="007006DD" w:rsidP="007006DD">
      <w:pPr>
        <w:jc w:val="center"/>
        <w:rPr>
          <w:rFonts w:ascii="Book Antiqua" w:hAnsi="Book Antiqua"/>
          <w:lang w:eastAsia="zh-CN"/>
        </w:rPr>
      </w:pPr>
    </w:p>
    <w:p w14:paraId="08546BF1" w14:textId="77777777" w:rsidR="007006DD" w:rsidRDefault="007006DD" w:rsidP="007006DD">
      <w:pPr>
        <w:jc w:val="right"/>
        <w:rPr>
          <w:rFonts w:ascii="Book Antiqua" w:hAnsi="Book Antiqua"/>
          <w:color w:val="000000" w:themeColor="text1"/>
          <w:lang w:eastAsia="zh-CN"/>
        </w:rPr>
      </w:pPr>
    </w:p>
    <w:p w14:paraId="18E8B309" w14:textId="3F21C887" w:rsidR="00B762D1" w:rsidRPr="00105AD1" w:rsidRDefault="007006DD" w:rsidP="00105AD1">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B762D1" w:rsidRPr="00105AD1">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302B" w14:textId="77777777" w:rsidR="00120377" w:rsidRDefault="00120377" w:rsidP="00C132BE">
      <w:r>
        <w:separator/>
      </w:r>
    </w:p>
  </w:endnote>
  <w:endnote w:type="continuationSeparator" w:id="0">
    <w:p w14:paraId="4B26BE57" w14:textId="77777777" w:rsidR="00120377" w:rsidRDefault="00120377" w:rsidP="00C1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068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2B609D" w14:textId="77777777" w:rsidR="00C132BE" w:rsidRPr="00C132BE" w:rsidRDefault="00C132BE">
            <w:pPr>
              <w:pStyle w:val="a5"/>
              <w:jc w:val="right"/>
              <w:rPr>
                <w:rFonts w:ascii="Book Antiqua" w:hAnsi="Book Antiqua"/>
                <w:sz w:val="24"/>
                <w:szCs w:val="24"/>
              </w:rPr>
            </w:pPr>
            <w:r w:rsidRPr="00C132BE">
              <w:rPr>
                <w:rFonts w:ascii="Book Antiqua" w:hAnsi="Book Antiqua"/>
                <w:sz w:val="24"/>
                <w:szCs w:val="24"/>
                <w:lang w:val="zh-CN" w:eastAsia="zh-CN"/>
              </w:rPr>
              <w:t xml:space="preserve"> </w:t>
            </w:r>
            <w:r w:rsidRPr="00C132BE">
              <w:rPr>
                <w:rFonts w:ascii="Book Antiqua" w:hAnsi="Book Antiqua"/>
                <w:b/>
                <w:bCs/>
                <w:sz w:val="24"/>
                <w:szCs w:val="24"/>
              </w:rPr>
              <w:fldChar w:fldCharType="begin"/>
            </w:r>
            <w:r w:rsidRPr="00C132BE">
              <w:rPr>
                <w:rFonts w:ascii="Book Antiqua" w:hAnsi="Book Antiqua"/>
                <w:b/>
                <w:bCs/>
                <w:sz w:val="24"/>
                <w:szCs w:val="24"/>
              </w:rPr>
              <w:instrText>PAGE</w:instrText>
            </w:r>
            <w:r w:rsidRPr="00C132BE">
              <w:rPr>
                <w:rFonts w:ascii="Book Antiqua" w:hAnsi="Book Antiqua"/>
                <w:b/>
                <w:bCs/>
                <w:sz w:val="24"/>
                <w:szCs w:val="24"/>
              </w:rPr>
              <w:fldChar w:fldCharType="separate"/>
            </w:r>
            <w:r w:rsidR="00655C48">
              <w:rPr>
                <w:rFonts w:ascii="Book Antiqua" w:hAnsi="Book Antiqua"/>
                <w:b/>
                <w:bCs/>
                <w:noProof/>
                <w:sz w:val="24"/>
                <w:szCs w:val="24"/>
              </w:rPr>
              <w:t>22</w:t>
            </w:r>
            <w:r w:rsidRPr="00C132BE">
              <w:rPr>
                <w:rFonts w:ascii="Book Antiqua" w:hAnsi="Book Antiqua"/>
                <w:b/>
                <w:bCs/>
                <w:sz w:val="24"/>
                <w:szCs w:val="24"/>
              </w:rPr>
              <w:fldChar w:fldCharType="end"/>
            </w:r>
            <w:r w:rsidRPr="00C132BE">
              <w:rPr>
                <w:rFonts w:ascii="Book Antiqua" w:hAnsi="Book Antiqua"/>
                <w:sz w:val="24"/>
                <w:szCs w:val="24"/>
                <w:lang w:val="zh-CN" w:eastAsia="zh-CN"/>
              </w:rPr>
              <w:t xml:space="preserve"> / </w:t>
            </w:r>
            <w:r w:rsidRPr="00C132BE">
              <w:rPr>
                <w:rFonts w:ascii="Book Antiqua" w:hAnsi="Book Antiqua"/>
                <w:b/>
                <w:bCs/>
                <w:sz w:val="24"/>
                <w:szCs w:val="24"/>
              </w:rPr>
              <w:fldChar w:fldCharType="begin"/>
            </w:r>
            <w:r w:rsidRPr="00C132BE">
              <w:rPr>
                <w:rFonts w:ascii="Book Antiqua" w:hAnsi="Book Antiqua"/>
                <w:b/>
                <w:bCs/>
                <w:sz w:val="24"/>
                <w:szCs w:val="24"/>
              </w:rPr>
              <w:instrText>NUMPAGES</w:instrText>
            </w:r>
            <w:r w:rsidRPr="00C132BE">
              <w:rPr>
                <w:rFonts w:ascii="Book Antiqua" w:hAnsi="Book Antiqua"/>
                <w:b/>
                <w:bCs/>
                <w:sz w:val="24"/>
                <w:szCs w:val="24"/>
              </w:rPr>
              <w:fldChar w:fldCharType="separate"/>
            </w:r>
            <w:r w:rsidR="00655C48">
              <w:rPr>
                <w:rFonts w:ascii="Book Antiqua" w:hAnsi="Book Antiqua"/>
                <w:b/>
                <w:bCs/>
                <w:noProof/>
                <w:sz w:val="24"/>
                <w:szCs w:val="24"/>
              </w:rPr>
              <w:t>22</w:t>
            </w:r>
            <w:r w:rsidRPr="00C132BE">
              <w:rPr>
                <w:rFonts w:ascii="Book Antiqua" w:hAnsi="Book Antiqua"/>
                <w:b/>
                <w:bCs/>
                <w:sz w:val="24"/>
                <w:szCs w:val="24"/>
              </w:rPr>
              <w:fldChar w:fldCharType="end"/>
            </w:r>
          </w:p>
        </w:sdtContent>
      </w:sdt>
    </w:sdtContent>
  </w:sdt>
  <w:p w14:paraId="0426752E" w14:textId="77777777" w:rsidR="00C132BE" w:rsidRDefault="00C132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2F66" w14:textId="77777777" w:rsidR="00120377" w:rsidRDefault="00120377" w:rsidP="00C132BE">
      <w:r>
        <w:separator/>
      </w:r>
    </w:p>
  </w:footnote>
  <w:footnote w:type="continuationSeparator" w:id="0">
    <w:p w14:paraId="4A967777" w14:textId="77777777" w:rsidR="00120377" w:rsidRDefault="00120377" w:rsidP="00C1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37"/>
    <w:rsid w:val="00054CDF"/>
    <w:rsid w:val="00060E37"/>
    <w:rsid w:val="001026CD"/>
    <w:rsid w:val="00105AD1"/>
    <w:rsid w:val="00120377"/>
    <w:rsid w:val="001E562D"/>
    <w:rsid w:val="00247A98"/>
    <w:rsid w:val="003B48CD"/>
    <w:rsid w:val="003F0E35"/>
    <w:rsid w:val="004046F8"/>
    <w:rsid w:val="00412ABC"/>
    <w:rsid w:val="005542A8"/>
    <w:rsid w:val="005C6A1F"/>
    <w:rsid w:val="005E1BC6"/>
    <w:rsid w:val="00655C48"/>
    <w:rsid w:val="007006DD"/>
    <w:rsid w:val="00736B4B"/>
    <w:rsid w:val="008064BA"/>
    <w:rsid w:val="00866EEE"/>
    <w:rsid w:val="00966B85"/>
    <w:rsid w:val="00A81B70"/>
    <w:rsid w:val="00AB74DE"/>
    <w:rsid w:val="00B762D1"/>
    <w:rsid w:val="00BE3EE4"/>
    <w:rsid w:val="00C132BE"/>
    <w:rsid w:val="00D37C23"/>
    <w:rsid w:val="00E05E51"/>
    <w:rsid w:val="00E72A42"/>
    <w:rsid w:val="00F4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0ED57"/>
  <w15:docId w15:val="{449AFAE5-D1C1-4475-B51D-FDDDA52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qFormat/>
    <w:rsid w:val="00EF7B9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qFormat/>
    <w:rsid w:val="00EF7B9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qFormat/>
    <w:rsid w:val="00EF7B96"/>
    <w:pPr>
      <w:keepNext/>
      <w:spacing w:before="240" w:after="60"/>
      <w:outlineLvl w:val="3"/>
    </w:pPr>
    <w:rPr>
      <w:rFonts w:ascii="Book Antiqua" w:eastAsia="Book Antiqua" w:hAnsi="Book Antiqua" w:cs="Book Antiqua"/>
      <w:b/>
      <w:bCs/>
    </w:rPr>
  </w:style>
  <w:style w:type="paragraph" w:styleId="5">
    <w:name w:val="heading 5"/>
    <w:basedOn w:val="a"/>
    <w:next w:val="a"/>
    <w:qFormat/>
    <w:rsid w:val="00EF7B96"/>
    <w:pPr>
      <w:spacing w:before="240" w:after="60"/>
      <w:outlineLvl w:val="4"/>
    </w:pPr>
    <w:rPr>
      <w:rFonts w:ascii="Book Antiqua" w:eastAsia="Book Antiqua" w:hAnsi="Book Antiqua" w:cs="Book Antiqua"/>
      <w:b/>
      <w:bCs/>
      <w:iCs/>
      <w:sz w:val="20"/>
      <w:szCs w:val="20"/>
    </w:rPr>
  </w:style>
  <w:style w:type="paragraph" w:styleId="6">
    <w:name w:val="heading 6"/>
    <w:basedOn w:val="a"/>
    <w:next w:val="a"/>
    <w:qFormat/>
    <w:rsid w:val="00EF7B9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2BE"/>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C132BE"/>
    <w:rPr>
      <w:sz w:val="18"/>
      <w:szCs w:val="18"/>
    </w:rPr>
  </w:style>
  <w:style w:type="paragraph" w:styleId="a5">
    <w:name w:val="footer"/>
    <w:basedOn w:val="a"/>
    <w:link w:val="a6"/>
    <w:uiPriority w:val="99"/>
    <w:unhideWhenUsed/>
    <w:rsid w:val="00C132BE"/>
    <w:pPr>
      <w:tabs>
        <w:tab w:val="center" w:pos="4320"/>
        <w:tab w:val="right" w:pos="8640"/>
      </w:tabs>
      <w:snapToGrid w:val="0"/>
    </w:pPr>
    <w:rPr>
      <w:sz w:val="18"/>
      <w:szCs w:val="18"/>
    </w:rPr>
  </w:style>
  <w:style w:type="character" w:customStyle="1" w:styleId="a6">
    <w:name w:val="页脚 字符"/>
    <w:basedOn w:val="a0"/>
    <w:link w:val="a5"/>
    <w:uiPriority w:val="99"/>
    <w:rsid w:val="00C132BE"/>
    <w:rPr>
      <w:sz w:val="18"/>
      <w:szCs w:val="18"/>
    </w:rPr>
  </w:style>
  <w:style w:type="paragraph" w:styleId="a7">
    <w:name w:val="Balloon Text"/>
    <w:basedOn w:val="a"/>
    <w:link w:val="a8"/>
    <w:uiPriority w:val="99"/>
    <w:semiHidden/>
    <w:unhideWhenUsed/>
    <w:rsid w:val="00B762D1"/>
    <w:rPr>
      <w:sz w:val="18"/>
      <w:szCs w:val="18"/>
    </w:rPr>
  </w:style>
  <w:style w:type="character" w:customStyle="1" w:styleId="a8">
    <w:name w:val="批注框文本 字符"/>
    <w:basedOn w:val="a0"/>
    <w:link w:val="a7"/>
    <w:uiPriority w:val="99"/>
    <w:semiHidden/>
    <w:rsid w:val="00B76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210">
      <w:bodyDiv w:val="1"/>
      <w:marLeft w:val="0"/>
      <w:marRight w:val="0"/>
      <w:marTop w:val="0"/>
      <w:marBottom w:val="0"/>
      <w:divBdr>
        <w:top w:val="none" w:sz="0" w:space="0" w:color="auto"/>
        <w:left w:val="none" w:sz="0" w:space="0" w:color="auto"/>
        <w:bottom w:val="none" w:sz="0" w:space="0" w:color="auto"/>
        <w:right w:val="none" w:sz="0" w:space="0" w:color="auto"/>
      </w:divBdr>
    </w:div>
    <w:div w:id="109316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5527</Words>
  <Characters>31506</Characters>
  <Application>Microsoft Office Word</Application>
  <DocSecurity>0</DocSecurity>
  <Lines>262</Lines>
  <Paragraphs>73</Paragraphs>
  <ScaleCrop>false</ScaleCrop>
  <Company>HP Inc.</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 Jia-Hui</cp:lastModifiedBy>
  <cp:revision>18</cp:revision>
  <dcterms:created xsi:type="dcterms:W3CDTF">2021-09-14T05:52:00Z</dcterms:created>
  <dcterms:modified xsi:type="dcterms:W3CDTF">2021-11-16T03:13:00Z</dcterms:modified>
</cp:coreProperties>
</file>